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A1A" w:rsidRPr="008E28EA" w:rsidRDefault="003F3A1A" w:rsidP="008E28EA">
      <w:pPr>
        <w:pStyle w:val="Default"/>
        <w:snapToGrid w:val="0"/>
        <w:jc w:val="center"/>
        <w:rPr>
          <w:rFonts w:ascii="Times New Roman" w:hAnsi="Times New Roman" w:cs="Times New Roman"/>
          <w:b/>
          <w:bCs/>
          <w:sz w:val="20"/>
          <w:szCs w:val="20"/>
        </w:rPr>
      </w:pPr>
      <w:r w:rsidRPr="008E28EA">
        <w:rPr>
          <w:rStyle w:val="arttitle"/>
          <w:rFonts w:ascii="Times New Roman" w:hAnsi="Times New Roman"/>
          <w:b/>
          <w:bCs/>
          <w:sz w:val="20"/>
          <w:szCs w:val="20"/>
        </w:rPr>
        <w:t xml:space="preserve">Utility of Cord Blood </w:t>
      </w:r>
      <w:r w:rsidRPr="008E28EA">
        <w:rPr>
          <w:rFonts w:ascii="Times New Roman" w:hAnsi="Times New Roman" w:cs="Times New Roman"/>
          <w:b/>
          <w:bCs/>
          <w:sz w:val="20"/>
          <w:szCs w:val="20"/>
        </w:rPr>
        <w:t>Alkaline Phosphatase</w:t>
      </w:r>
      <w:r w:rsidRPr="008E28EA">
        <w:rPr>
          <w:rFonts w:ascii="Times New Roman" w:hAnsi="Times New Roman" w:cs="Times New Roman"/>
          <w:sz w:val="20"/>
          <w:szCs w:val="20"/>
        </w:rPr>
        <w:t xml:space="preserve"> </w:t>
      </w:r>
      <w:r w:rsidRPr="008E28EA">
        <w:rPr>
          <w:rFonts w:ascii="Times New Roman" w:hAnsi="Times New Roman" w:cs="Times New Roman"/>
          <w:b/>
          <w:bCs/>
          <w:sz w:val="20"/>
          <w:szCs w:val="20"/>
        </w:rPr>
        <w:t>Enzyme</w:t>
      </w:r>
      <w:r w:rsidRPr="008E28EA">
        <w:rPr>
          <w:rStyle w:val="arttitle"/>
          <w:rFonts w:ascii="Times New Roman" w:hAnsi="Times New Roman"/>
          <w:b/>
          <w:bCs/>
          <w:sz w:val="20"/>
          <w:szCs w:val="20"/>
        </w:rPr>
        <w:t xml:space="preserve"> as a Predictor of Significant Neonatal Jaundice in Well Term Infants</w:t>
      </w:r>
    </w:p>
    <w:p w:rsidR="003F3A1A" w:rsidRPr="008E28EA" w:rsidRDefault="003F3A1A" w:rsidP="008E28EA">
      <w:pPr>
        <w:bidi w:val="0"/>
        <w:snapToGrid w:val="0"/>
        <w:jc w:val="center"/>
        <w:rPr>
          <w:sz w:val="20"/>
          <w:szCs w:val="20"/>
        </w:rPr>
      </w:pPr>
    </w:p>
    <w:p w:rsidR="003F3A1A" w:rsidRPr="008E28EA" w:rsidRDefault="003F3A1A" w:rsidP="008E28EA">
      <w:pPr>
        <w:bidi w:val="0"/>
        <w:snapToGrid w:val="0"/>
        <w:jc w:val="center"/>
        <w:rPr>
          <w:sz w:val="20"/>
          <w:szCs w:val="20"/>
          <w:vertAlign w:val="superscript"/>
          <w:lang w:eastAsia="zh-CN" w:bidi="ar-EG"/>
        </w:rPr>
      </w:pPr>
      <w:r w:rsidRPr="008E28EA">
        <w:rPr>
          <w:sz w:val="20"/>
          <w:szCs w:val="20"/>
        </w:rPr>
        <w:t>Hussein Mohamed Al Assal</w:t>
      </w:r>
      <w:r w:rsidRPr="008E28EA">
        <w:rPr>
          <w:sz w:val="20"/>
          <w:szCs w:val="20"/>
          <w:vertAlign w:val="superscript"/>
        </w:rPr>
        <w:t>1</w:t>
      </w:r>
      <w:r w:rsidRPr="008E28EA">
        <w:rPr>
          <w:sz w:val="20"/>
          <w:szCs w:val="20"/>
        </w:rPr>
        <w:t>, Hatem Refaat Hablas</w:t>
      </w:r>
      <w:r w:rsidRPr="008E28EA">
        <w:rPr>
          <w:sz w:val="20"/>
          <w:szCs w:val="20"/>
          <w:vertAlign w:val="superscript"/>
        </w:rPr>
        <w:t>1</w:t>
      </w:r>
      <w:r w:rsidRPr="008E28EA">
        <w:rPr>
          <w:sz w:val="20"/>
          <w:szCs w:val="20"/>
        </w:rPr>
        <w:t>, Ali Abd Ellatief Afia</w:t>
      </w:r>
      <w:r w:rsidRPr="008E28EA">
        <w:rPr>
          <w:sz w:val="20"/>
          <w:szCs w:val="20"/>
          <w:vertAlign w:val="superscript"/>
        </w:rPr>
        <w:t>1</w:t>
      </w:r>
      <w:r w:rsidRPr="008E28EA">
        <w:rPr>
          <w:sz w:val="20"/>
          <w:szCs w:val="20"/>
        </w:rPr>
        <w:t>, Mohamed</w:t>
      </w:r>
      <w:r w:rsidRPr="008E28EA">
        <w:rPr>
          <w:i/>
          <w:iCs/>
          <w:sz w:val="20"/>
          <w:szCs w:val="20"/>
        </w:rPr>
        <w:t xml:space="preserve"> </w:t>
      </w:r>
      <w:r w:rsidRPr="008E28EA">
        <w:rPr>
          <w:rStyle w:val="Emphasis"/>
          <w:i w:val="0"/>
          <w:sz w:val="20"/>
          <w:szCs w:val="20"/>
        </w:rPr>
        <w:t>Abd Alhameed</w:t>
      </w:r>
      <w:r w:rsidRPr="008E28EA">
        <w:rPr>
          <w:i/>
          <w:iCs/>
          <w:sz w:val="20"/>
          <w:szCs w:val="20"/>
        </w:rPr>
        <w:t xml:space="preserve"> </w:t>
      </w:r>
      <w:r w:rsidRPr="008E28EA">
        <w:rPr>
          <w:rStyle w:val="Emphasis"/>
          <w:i w:val="0"/>
          <w:sz w:val="20"/>
          <w:szCs w:val="20"/>
        </w:rPr>
        <w:t>Khedr</w:t>
      </w:r>
      <w:r w:rsidRPr="008E28EA">
        <w:rPr>
          <w:rStyle w:val="Emphasis"/>
          <w:i w:val="0"/>
          <w:sz w:val="20"/>
          <w:szCs w:val="20"/>
          <w:vertAlign w:val="superscript"/>
        </w:rPr>
        <w:t>2</w:t>
      </w:r>
      <w:r w:rsidRPr="008E28EA">
        <w:rPr>
          <w:sz w:val="20"/>
          <w:szCs w:val="20"/>
        </w:rPr>
        <w:t>, Hamada Mohammed Abd Elaal El kzaz</w:t>
      </w:r>
      <w:r w:rsidRPr="008E28EA">
        <w:rPr>
          <w:sz w:val="20"/>
          <w:szCs w:val="20"/>
          <w:vertAlign w:val="superscript"/>
          <w:lang w:bidi="ar-EG"/>
        </w:rPr>
        <w:t>1</w:t>
      </w:r>
    </w:p>
    <w:p w:rsidR="003F3A1A" w:rsidRPr="008E28EA" w:rsidRDefault="003F3A1A" w:rsidP="008E28EA">
      <w:pPr>
        <w:bidi w:val="0"/>
        <w:snapToGrid w:val="0"/>
        <w:jc w:val="center"/>
        <w:rPr>
          <w:sz w:val="20"/>
          <w:szCs w:val="20"/>
          <w:vertAlign w:val="superscript"/>
          <w:lang w:eastAsia="zh-CN" w:bidi="ar-EG"/>
        </w:rPr>
      </w:pPr>
    </w:p>
    <w:p w:rsidR="003F3A1A" w:rsidRPr="008E28EA" w:rsidRDefault="003F3A1A" w:rsidP="008E28EA">
      <w:pPr>
        <w:autoSpaceDE w:val="0"/>
        <w:autoSpaceDN w:val="0"/>
        <w:bidi w:val="0"/>
        <w:adjustRightInd w:val="0"/>
        <w:snapToGrid w:val="0"/>
        <w:jc w:val="center"/>
        <w:rPr>
          <w:sz w:val="20"/>
          <w:szCs w:val="20"/>
        </w:rPr>
      </w:pPr>
      <w:r w:rsidRPr="00B76535">
        <w:rPr>
          <w:sz w:val="20"/>
          <w:szCs w:val="20"/>
          <w:vertAlign w:val="superscript"/>
        </w:rPr>
        <w:t>1</w:t>
      </w:r>
      <w:r w:rsidRPr="008E28EA">
        <w:rPr>
          <w:sz w:val="20"/>
          <w:szCs w:val="20"/>
        </w:rPr>
        <w:t xml:space="preserve">Pediatrics and Neonatology Department, Faculty of Medicine, </w:t>
      </w:r>
      <w:smartTag w:uri="urn:schemas-microsoft-com:office:smarttags" w:element="place">
        <w:smartTag w:uri="urn:schemas-microsoft-com:office:smarttags" w:element="City">
          <w:r w:rsidRPr="008E28EA">
            <w:rPr>
              <w:sz w:val="20"/>
              <w:szCs w:val="20"/>
            </w:rPr>
            <w:t>AL-Azhar University</w:t>
          </w:r>
        </w:smartTag>
        <w:r w:rsidRPr="008E28EA">
          <w:rPr>
            <w:sz w:val="20"/>
            <w:szCs w:val="20"/>
          </w:rPr>
          <w:t xml:space="preserve">, </w:t>
        </w:r>
        <w:smartTag w:uri="urn:schemas-microsoft-com:office:smarttags" w:element="country-region">
          <w:r w:rsidRPr="008E28EA">
            <w:rPr>
              <w:sz w:val="20"/>
              <w:szCs w:val="20"/>
            </w:rPr>
            <w:t>Egypt</w:t>
          </w:r>
        </w:smartTag>
      </w:smartTag>
    </w:p>
    <w:p w:rsidR="003F3A1A" w:rsidRPr="008E28EA" w:rsidRDefault="003F3A1A" w:rsidP="008E28EA">
      <w:pPr>
        <w:autoSpaceDE w:val="0"/>
        <w:autoSpaceDN w:val="0"/>
        <w:bidi w:val="0"/>
        <w:adjustRightInd w:val="0"/>
        <w:snapToGrid w:val="0"/>
        <w:jc w:val="center"/>
        <w:rPr>
          <w:sz w:val="20"/>
          <w:szCs w:val="20"/>
        </w:rPr>
      </w:pPr>
      <w:r w:rsidRPr="00B76535">
        <w:rPr>
          <w:sz w:val="20"/>
          <w:szCs w:val="20"/>
          <w:vertAlign w:val="superscript"/>
        </w:rPr>
        <w:t>2</w:t>
      </w:r>
      <w:r w:rsidRPr="008E28EA">
        <w:rPr>
          <w:sz w:val="20"/>
          <w:szCs w:val="20"/>
        </w:rPr>
        <w:t xml:space="preserve">Clinical Pathology Department, Faculty of Medicine, </w:t>
      </w:r>
      <w:smartTag w:uri="urn:schemas-microsoft-com:office:smarttags" w:element="place">
        <w:smartTag w:uri="urn:schemas-microsoft-com:office:smarttags" w:element="City">
          <w:r w:rsidRPr="008E28EA">
            <w:rPr>
              <w:sz w:val="20"/>
              <w:szCs w:val="20"/>
            </w:rPr>
            <w:t>AL-Azhar University</w:t>
          </w:r>
        </w:smartTag>
        <w:r w:rsidRPr="008E28EA">
          <w:rPr>
            <w:sz w:val="20"/>
            <w:szCs w:val="20"/>
          </w:rPr>
          <w:t xml:space="preserve">, </w:t>
        </w:r>
        <w:smartTag w:uri="urn:schemas-microsoft-com:office:smarttags" w:element="country-region">
          <w:r w:rsidRPr="008E28EA">
            <w:rPr>
              <w:sz w:val="20"/>
              <w:szCs w:val="20"/>
            </w:rPr>
            <w:t>Egypt</w:t>
          </w:r>
        </w:smartTag>
      </w:smartTag>
    </w:p>
    <w:p w:rsidR="003F3A1A" w:rsidRDefault="00CB2818" w:rsidP="008E28EA">
      <w:pPr>
        <w:bidi w:val="0"/>
        <w:snapToGrid w:val="0"/>
        <w:jc w:val="center"/>
        <w:rPr>
          <w:sz w:val="20"/>
          <w:szCs w:val="20"/>
          <w:lang w:eastAsia="zh-CN" w:bidi="ar-EG"/>
        </w:rPr>
      </w:pPr>
      <w:hyperlink r:id="rId8" w:history="1">
        <w:r w:rsidR="003F3A1A" w:rsidRPr="008E28EA">
          <w:rPr>
            <w:rStyle w:val="Hyperlink"/>
            <w:sz w:val="20"/>
            <w:szCs w:val="20"/>
            <w:lang w:bidi="ar-EG"/>
          </w:rPr>
          <w:t>Asdazharmed1@gmail.com</w:t>
        </w:r>
      </w:hyperlink>
    </w:p>
    <w:p w:rsidR="003F3A1A" w:rsidRPr="008E28EA" w:rsidRDefault="003F3A1A" w:rsidP="008E28EA">
      <w:pPr>
        <w:bidi w:val="0"/>
        <w:snapToGrid w:val="0"/>
        <w:jc w:val="center"/>
        <w:rPr>
          <w:sz w:val="20"/>
          <w:szCs w:val="20"/>
          <w:lang w:eastAsia="zh-CN" w:bidi="ar-EG"/>
        </w:rPr>
      </w:pPr>
    </w:p>
    <w:p w:rsidR="003F3A1A" w:rsidRDefault="003F3A1A" w:rsidP="00D80FE8">
      <w:pPr>
        <w:bidi w:val="0"/>
        <w:jc w:val="both"/>
        <w:rPr>
          <w:b/>
          <w:bCs/>
          <w:sz w:val="20"/>
          <w:szCs w:val="20"/>
        </w:rPr>
      </w:pPr>
      <w:r w:rsidRPr="00B76535">
        <w:rPr>
          <w:b/>
          <w:bCs/>
          <w:sz w:val="20"/>
          <w:szCs w:val="20"/>
        </w:rPr>
        <w:t>Abstract:</w:t>
      </w:r>
      <w:r w:rsidR="00D80FE8">
        <w:rPr>
          <w:b/>
          <w:bCs/>
          <w:sz w:val="20"/>
          <w:szCs w:val="20"/>
        </w:rPr>
        <w:t xml:space="preserve"> </w:t>
      </w:r>
      <w:r>
        <w:rPr>
          <w:b/>
          <w:bCs/>
          <w:sz w:val="20"/>
          <w:szCs w:val="20"/>
        </w:rPr>
        <w:t>Background:</w:t>
      </w:r>
      <w:r w:rsidRPr="00B76535">
        <w:rPr>
          <w:b/>
          <w:bCs/>
          <w:sz w:val="20"/>
          <w:szCs w:val="20"/>
        </w:rPr>
        <w:t xml:space="preserve"> </w:t>
      </w:r>
      <w:r w:rsidRPr="00B76535">
        <w:rPr>
          <w:sz w:val="20"/>
          <w:szCs w:val="20"/>
        </w:rPr>
        <w:t>Early diagnosis and appropriate management of neonatal hyperbilirubinemia are very important in order to prevent bilirubin encephalopathy and kernicterus. Several diagnostic tests may be used for this purpose, including bilirubin level itself.</w:t>
      </w:r>
    </w:p>
    <w:p w:rsidR="003F3A1A" w:rsidRDefault="003F3A1A" w:rsidP="00D372CC">
      <w:pPr>
        <w:bidi w:val="0"/>
        <w:jc w:val="both"/>
        <w:rPr>
          <w:b/>
          <w:bCs/>
          <w:sz w:val="20"/>
          <w:szCs w:val="20"/>
        </w:rPr>
      </w:pPr>
      <w:r w:rsidRPr="00B76535">
        <w:rPr>
          <w:b/>
          <w:bCs/>
          <w:sz w:val="20"/>
          <w:szCs w:val="20"/>
        </w:rPr>
        <w:t xml:space="preserve"> The aim:</w:t>
      </w:r>
      <w:r w:rsidRPr="00B76535">
        <w:rPr>
          <w:sz w:val="20"/>
          <w:szCs w:val="20"/>
        </w:rPr>
        <w:t xml:space="preserve"> of the present study was to investigate whether serum alkaline phosphatase (ALP), which is an intracellular enzyme found abundantly in red blood cells, could be used for the early prediction of hyperbilirubinemia in newborns.</w:t>
      </w:r>
      <w:r w:rsidRPr="00B76535">
        <w:rPr>
          <w:b/>
          <w:bCs/>
          <w:sz w:val="20"/>
          <w:szCs w:val="20"/>
        </w:rPr>
        <w:t xml:space="preserve"> </w:t>
      </w:r>
    </w:p>
    <w:p w:rsidR="003F3A1A" w:rsidRDefault="003F3A1A" w:rsidP="00D372CC">
      <w:pPr>
        <w:bidi w:val="0"/>
        <w:jc w:val="both"/>
        <w:rPr>
          <w:b/>
          <w:bCs/>
          <w:sz w:val="20"/>
          <w:szCs w:val="20"/>
        </w:rPr>
      </w:pPr>
      <w:r w:rsidRPr="00B76535">
        <w:rPr>
          <w:b/>
          <w:bCs/>
          <w:sz w:val="20"/>
          <w:szCs w:val="20"/>
        </w:rPr>
        <w:t>Methods:</w:t>
      </w:r>
      <w:r w:rsidRPr="00B76535">
        <w:rPr>
          <w:sz w:val="20"/>
          <w:szCs w:val="20"/>
        </w:rPr>
        <w:t xml:space="preserve"> A total of 200 healthy full term babies with apparently healthy mothers were evaluated and investigated for ALP assay and follow up the level of serum billirubin.</w:t>
      </w:r>
    </w:p>
    <w:p w:rsidR="003F3A1A" w:rsidRDefault="003F3A1A" w:rsidP="00D372CC">
      <w:pPr>
        <w:bidi w:val="0"/>
        <w:jc w:val="both"/>
        <w:rPr>
          <w:b/>
          <w:bCs/>
          <w:sz w:val="20"/>
          <w:szCs w:val="20"/>
        </w:rPr>
      </w:pPr>
      <w:r w:rsidRPr="00B76535">
        <w:rPr>
          <w:b/>
          <w:bCs/>
          <w:sz w:val="20"/>
          <w:szCs w:val="20"/>
        </w:rPr>
        <w:t xml:space="preserve"> Results:</w:t>
      </w:r>
      <w:r w:rsidRPr="00B76535">
        <w:rPr>
          <w:sz w:val="20"/>
          <w:szCs w:val="20"/>
        </w:rPr>
        <w:t xml:space="preserve"> ALP levels were significantly higher in babies requiring therapy such as phototherapy or exchange transfusion which The best cut off point for serum ALP to predict neonates needed treatment of NJ was found &gt; 315 with sensitivity 84.2% and specificity of 84.48% and area under curve 88.8 %.</w:t>
      </w:r>
      <w:r w:rsidRPr="00B76535">
        <w:rPr>
          <w:b/>
          <w:bCs/>
          <w:sz w:val="20"/>
          <w:szCs w:val="20"/>
        </w:rPr>
        <w:t xml:space="preserve"> </w:t>
      </w:r>
    </w:p>
    <w:p w:rsidR="003F3A1A" w:rsidRDefault="003F3A1A" w:rsidP="00D372CC">
      <w:pPr>
        <w:bidi w:val="0"/>
        <w:jc w:val="both"/>
        <w:rPr>
          <w:b/>
          <w:bCs/>
          <w:sz w:val="20"/>
          <w:szCs w:val="20"/>
        </w:rPr>
      </w:pPr>
      <w:r w:rsidRPr="00B76535">
        <w:rPr>
          <w:b/>
          <w:bCs/>
          <w:sz w:val="20"/>
          <w:szCs w:val="20"/>
        </w:rPr>
        <w:t>Conclusion:</w:t>
      </w:r>
      <w:r w:rsidRPr="00B76535">
        <w:rPr>
          <w:sz w:val="20"/>
          <w:szCs w:val="20"/>
        </w:rPr>
        <w:t xml:space="preserve"> cord ALP levels may be a significant predictor of developing hyperbilirubinemia requiring treatment.</w:t>
      </w:r>
    </w:p>
    <w:p w:rsidR="003F3A1A" w:rsidRPr="00B76535" w:rsidRDefault="003F3A1A" w:rsidP="00B76535">
      <w:pPr>
        <w:bidi w:val="0"/>
        <w:snapToGrid w:val="0"/>
        <w:jc w:val="both"/>
        <w:rPr>
          <w:sz w:val="20"/>
          <w:szCs w:val="20"/>
        </w:rPr>
      </w:pPr>
      <w:r w:rsidRPr="00B76535">
        <w:rPr>
          <w:sz w:val="20"/>
          <w:szCs w:val="20"/>
        </w:rPr>
        <w:t>[Hussein Mohamed Al Assal, Hatem Refaat Hablas, Ali Abd Ellatief Afia, Mohamed</w:t>
      </w:r>
      <w:r w:rsidRPr="00B76535">
        <w:rPr>
          <w:i/>
          <w:iCs/>
          <w:sz w:val="20"/>
          <w:szCs w:val="20"/>
        </w:rPr>
        <w:t xml:space="preserve"> </w:t>
      </w:r>
      <w:r w:rsidRPr="00B76535">
        <w:rPr>
          <w:rStyle w:val="Emphasis"/>
          <w:i w:val="0"/>
          <w:sz w:val="20"/>
          <w:szCs w:val="20"/>
        </w:rPr>
        <w:t>Abd Alhameed</w:t>
      </w:r>
      <w:r w:rsidRPr="00B76535">
        <w:rPr>
          <w:i/>
          <w:iCs/>
          <w:sz w:val="20"/>
          <w:szCs w:val="20"/>
        </w:rPr>
        <w:t xml:space="preserve"> </w:t>
      </w:r>
      <w:r w:rsidRPr="00B76535">
        <w:rPr>
          <w:rStyle w:val="Emphasis"/>
          <w:i w:val="0"/>
          <w:sz w:val="20"/>
          <w:szCs w:val="20"/>
        </w:rPr>
        <w:t>Khedr</w:t>
      </w:r>
      <w:r w:rsidRPr="00B76535">
        <w:rPr>
          <w:sz w:val="20"/>
          <w:szCs w:val="20"/>
        </w:rPr>
        <w:t>, Hamada Mohammed Abd Elaal El kzaz</w:t>
      </w:r>
      <w:r w:rsidRPr="00B76535">
        <w:rPr>
          <w:sz w:val="20"/>
          <w:szCs w:val="20"/>
          <w:lang w:eastAsia="zh-CN"/>
        </w:rPr>
        <w:t>.</w:t>
      </w:r>
      <w:r w:rsidRPr="00B76535">
        <w:rPr>
          <w:sz w:val="20"/>
          <w:szCs w:val="20"/>
        </w:rPr>
        <w:t xml:space="preserve"> </w:t>
      </w:r>
      <w:r w:rsidRPr="00B76535">
        <w:rPr>
          <w:rStyle w:val="arttitle"/>
          <w:b/>
          <w:bCs/>
          <w:sz w:val="20"/>
          <w:szCs w:val="20"/>
        </w:rPr>
        <w:t xml:space="preserve">Utility of Cord Blood </w:t>
      </w:r>
      <w:r w:rsidRPr="00B76535">
        <w:rPr>
          <w:b/>
          <w:bCs/>
          <w:sz w:val="20"/>
          <w:szCs w:val="20"/>
        </w:rPr>
        <w:t>Alkaline Phosphatase</w:t>
      </w:r>
      <w:r w:rsidRPr="00B76535">
        <w:rPr>
          <w:sz w:val="20"/>
          <w:szCs w:val="20"/>
        </w:rPr>
        <w:t xml:space="preserve"> </w:t>
      </w:r>
      <w:r w:rsidRPr="00B76535">
        <w:rPr>
          <w:b/>
          <w:bCs/>
          <w:sz w:val="20"/>
          <w:szCs w:val="20"/>
        </w:rPr>
        <w:t>Enzyme</w:t>
      </w:r>
      <w:r w:rsidRPr="00B76535">
        <w:rPr>
          <w:rStyle w:val="arttitle"/>
          <w:b/>
          <w:bCs/>
          <w:sz w:val="20"/>
          <w:szCs w:val="20"/>
        </w:rPr>
        <w:t xml:space="preserve"> as a Predictor of Significant Neonatal Jaundice in Well Term Infants</w:t>
      </w:r>
      <w:r w:rsidRPr="00B76535">
        <w:rPr>
          <w:b/>
          <w:bCs/>
          <w:sz w:val="20"/>
          <w:szCs w:val="20"/>
          <w:lang w:bidi="fa-IR"/>
        </w:rPr>
        <w:t>.</w:t>
      </w:r>
      <w:r w:rsidRPr="00B76535">
        <w:rPr>
          <w:bCs/>
          <w:i/>
          <w:sz w:val="20"/>
          <w:szCs w:val="20"/>
        </w:rPr>
        <w:t xml:space="preserve"> N Y Sci J</w:t>
      </w:r>
      <w:r w:rsidRPr="00B76535">
        <w:rPr>
          <w:bCs/>
          <w:sz w:val="20"/>
          <w:szCs w:val="20"/>
        </w:rPr>
        <w:t xml:space="preserve"> </w:t>
      </w:r>
      <w:r w:rsidRPr="00B76535">
        <w:rPr>
          <w:sz w:val="20"/>
          <w:szCs w:val="20"/>
        </w:rPr>
        <w:t>2017;10(4):</w:t>
      </w:r>
      <w:r w:rsidRPr="00B76535">
        <w:rPr>
          <w:noProof/>
          <w:color w:val="000000"/>
          <w:sz w:val="20"/>
          <w:szCs w:val="20"/>
        </w:rPr>
        <w:t>70</w:t>
      </w:r>
      <w:r w:rsidRPr="00B76535">
        <w:rPr>
          <w:color w:val="000000"/>
          <w:sz w:val="20"/>
          <w:szCs w:val="20"/>
        </w:rPr>
        <w:t>-</w:t>
      </w:r>
      <w:r w:rsidRPr="00B76535">
        <w:rPr>
          <w:noProof/>
          <w:color w:val="000000"/>
          <w:sz w:val="20"/>
          <w:szCs w:val="20"/>
        </w:rPr>
        <w:t>74</w:t>
      </w:r>
      <w:r w:rsidRPr="00B76535">
        <w:rPr>
          <w:sz w:val="20"/>
          <w:szCs w:val="20"/>
        </w:rPr>
        <w:t xml:space="preserve">]. </w:t>
      </w:r>
      <w:r w:rsidRPr="00B76535">
        <w:rPr>
          <w:iCs/>
          <w:color w:val="000000"/>
          <w:sz w:val="20"/>
          <w:szCs w:val="20"/>
        </w:rPr>
        <w:t>ISSN 1554-0200 (print); ISSN 2375-723X (online)</w:t>
      </w:r>
      <w:r w:rsidRPr="00B76535">
        <w:rPr>
          <w:sz w:val="20"/>
          <w:szCs w:val="20"/>
        </w:rPr>
        <w:t xml:space="preserve">. </w:t>
      </w:r>
      <w:hyperlink r:id="rId9" w:history="1">
        <w:r w:rsidRPr="00B76535">
          <w:rPr>
            <w:rStyle w:val="Hyperlink"/>
            <w:sz w:val="20"/>
            <w:szCs w:val="20"/>
          </w:rPr>
          <w:t>http://www.sciencepub.net/newyork</w:t>
        </w:r>
      </w:hyperlink>
      <w:r w:rsidRPr="00B76535">
        <w:rPr>
          <w:sz w:val="20"/>
          <w:szCs w:val="20"/>
        </w:rPr>
        <w:t xml:space="preserve">. </w:t>
      </w:r>
      <w:r w:rsidRPr="00B76535">
        <w:rPr>
          <w:sz w:val="20"/>
          <w:szCs w:val="20"/>
          <w:lang w:eastAsia="zh-CN"/>
        </w:rPr>
        <w:t>9</w:t>
      </w:r>
      <w:r w:rsidRPr="00B76535">
        <w:rPr>
          <w:sz w:val="20"/>
          <w:szCs w:val="20"/>
        </w:rPr>
        <w:t xml:space="preserve">. </w:t>
      </w:r>
      <w:r w:rsidRPr="00B76535">
        <w:rPr>
          <w:color w:val="000000"/>
          <w:sz w:val="20"/>
          <w:szCs w:val="20"/>
          <w:shd w:val="clear" w:color="auto" w:fill="FFFFFF"/>
        </w:rPr>
        <w:t>doi:</w:t>
      </w:r>
      <w:hyperlink r:id="rId10" w:history="1">
        <w:r w:rsidRPr="00B76535">
          <w:rPr>
            <w:rStyle w:val="Hyperlink"/>
            <w:sz w:val="20"/>
            <w:szCs w:val="20"/>
            <w:shd w:val="clear" w:color="auto" w:fill="FFFFFF"/>
          </w:rPr>
          <w:t>10.7537/marsnys100417.0</w:t>
        </w:r>
        <w:r w:rsidRPr="00B76535">
          <w:rPr>
            <w:rStyle w:val="Hyperlink"/>
            <w:sz w:val="20"/>
            <w:szCs w:val="20"/>
            <w:shd w:val="clear" w:color="auto" w:fill="FFFFFF"/>
            <w:lang w:eastAsia="zh-CN"/>
          </w:rPr>
          <w:t>9</w:t>
        </w:r>
      </w:hyperlink>
      <w:r w:rsidRPr="00B76535">
        <w:rPr>
          <w:color w:val="000000"/>
          <w:sz w:val="20"/>
          <w:szCs w:val="20"/>
          <w:shd w:val="clear" w:color="auto" w:fill="FFFFFF"/>
        </w:rPr>
        <w:t>.</w:t>
      </w:r>
    </w:p>
    <w:p w:rsidR="003F3A1A" w:rsidRPr="00B76535" w:rsidRDefault="003F3A1A" w:rsidP="008E28EA">
      <w:pPr>
        <w:pStyle w:val="Default"/>
        <w:snapToGrid w:val="0"/>
        <w:jc w:val="both"/>
        <w:rPr>
          <w:rFonts w:ascii="Times New Roman" w:hAnsi="Times New Roman" w:cs="Times New Roman"/>
          <w:color w:val="auto"/>
          <w:sz w:val="20"/>
          <w:szCs w:val="20"/>
          <w:lang w:val="en-CA" w:eastAsia="zh-CN"/>
        </w:rPr>
      </w:pPr>
    </w:p>
    <w:p w:rsidR="003F3A1A" w:rsidRPr="00B76535" w:rsidRDefault="003F3A1A" w:rsidP="00B76535">
      <w:pPr>
        <w:pStyle w:val="Default"/>
        <w:snapToGrid w:val="0"/>
        <w:jc w:val="both"/>
        <w:rPr>
          <w:rFonts w:ascii="Times New Roman" w:hAnsi="Times New Roman" w:cs="Times New Roman"/>
          <w:bCs/>
          <w:sz w:val="20"/>
          <w:szCs w:val="20"/>
          <w:lang w:eastAsia="zh-CN"/>
        </w:rPr>
      </w:pPr>
      <w:r w:rsidRPr="00B76535">
        <w:rPr>
          <w:rFonts w:ascii="Times New Roman" w:hAnsi="Times New Roman" w:cs="Times New Roman"/>
          <w:b/>
          <w:color w:val="auto"/>
          <w:sz w:val="20"/>
          <w:szCs w:val="20"/>
          <w:lang w:val="en-CA" w:eastAsia="zh-CN"/>
        </w:rPr>
        <w:t xml:space="preserve">Keywords: </w:t>
      </w:r>
      <w:r w:rsidRPr="00B76535">
        <w:rPr>
          <w:rFonts w:ascii="Times New Roman" w:hAnsi="Times New Roman" w:cs="Times New Roman"/>
          <w:sz w:val="20"/>
          <w:szCs w:val="20"/>
        </w:rPr>
        <w:t>alkaline phosphatase, hemolysis, hyperbilirubinemia.</w:t>
      </w:r>
    </w:p>
    <w:p w:rsidR="003F3A1A" w:rsidRDefault="003F3A1A" w:rsidP="008E28EA">
      <w:pPr>
        <w:bidi w:val="0"/>
        <w:snapToGrid w:val="0"/>
        <w:jc w:val="both"/>
        <w:rPr>
          <w:b/>
          <w:bCs/>
          <w:sz w:val="20"/>
          <w:szCs w:val="20"/>
        </w:rPr>
      </w:pPr>
    </w:p>
    <w:p w:rsidR="003F3A1A" w:rsidRPr="008E28EA" w:rsidRDefault="003F3A1A" w:rsidP="008E28EA">
      <w:pPr>
        <w:bidi w:val="0"/>
        <w:snapToGrid w:val="0"/>
        <w:jc w:val="both"/>
        <w:rPr>
          <w:b/>
          <w:bCs/>
          <w:sz w:val="20"/>
          <w:szCs w:val="20"/>
        </w:rPr>
        <w:sectPr w:rsidR="003F3A1A" w:rsidRPr="008E28EA" w:rsidSect="001644B7">
          <w:headerReference w:type="default" r:id="rId11"/>
          <w:footerReference w:type="default" r:id="rId12"/>
          <w:type w:val="continuous"/>
          <w:pgSz w:w="12242" w:h="15842" w:code="1"/>
          <w:pgMar w:top="1440" w:right="1440" w:bottom="1440" w:left="1440" w:header="720" w:footer="720" w:gutter="0"/>
          <w:pgNumType w:start="70"/>
          <w:cols w:space="708"/>
          <w:bidi/>
          <w:docGrid w:linePitch="360"/>
        </w:sectPr>
      </w:pPr>
    </w:p>
    <w:p w:rsidR="003F3A1A" w:rsidRPr="008E28EA" w:rsidRDefault="003F3A1A" w:rsidP="008E28EA">
      <w:pPr>
        <w:bidi w:val="0"/>
        <w:snapToGrid w:val="0"/>
        <w:jc w:val="both"/>
        <w:rPr>
          <w:b/>
          <w:bCs/>
          <w:sz w:val="20"/>
          <w:szCs w:val="20"/>
        </w:rPr>
      </w:pPr>
      <w:r w:rsidRPr="008E28EA">
        <w:rPr>
          <w:b/>
          <w:bCs/>
          <w:sz w:val="20"/>
          <w:szCs w:val="20"/>
        </w:rPr>
        <w:lastRenderedPageBreak/>
        <w:t>1</w:t>
      </w:r>
      <w:r>
        <w:rPr>
          <w:b/>
          <w:bCs/>
          <w:sz w:val="20"/>
          <w:szCs w:val="20"/>
        </w:rPr>
        <w:t>.</w:t>
      </w:r>
      <w:r w:rsidRPr="008E28EA">
        <w:rPr>
          <w:b/>
          <w:bCs/>
          <w:sz w:val="20"/>
          <w:szCs w:val="20"/>
        </w:rPr>
        <w:t xml:space="preserve"> Introduction</w:t>
      </w:r>
    </w:p>
    <w:p w:rsidR="003F3A1A" w:rsidRPr="008E28EA" w:rsidRDefault="003F3A1A" w:rsidP="008E28EA">
      <w:pPr>
        <w:bidi w:val="0"/>
        <w:snapToGrid w:val="0"/>
        <w:ind w:firstLine="425"/>
        <w:jc w:val="both"/>
        <w:rPr>
          <w:sz w:val="20"/>
          <w:szCs w:val="20"/>
        </w:rPr>
      </w:pPr>
      <w:r w:rsidRPr="008E28EA">
        <w:rPr>
          <w:sz w:val="20"/>
          <w:szCs w:val="20"/>
        </w:rPr>
        <w:t>Jaundice is the yellow discoloration of skin or the eyes due to an increase in the bile pigment bilirubin in the blood. Neonatal jaundice is such a common problem in newborns that 60% of term newborns and 80% of preterm infants succumb to the condition, which is caused by an increase in bilirubin level</w:t>
      </w:r>
      <w:r>
        <w:rPr>
          <w:sz w:val="20"/>
          <w:szCs w:val="20"/>
        </w:rPr>
        <w:t xml:space="preserve"> </w:t>
      </w:r>
      <w:r w:rsidRPr="008E28EA">
        <w:rPr>
          <w:sz w:val="20"/>
          <w:szCs w:val="20"/>
        </w:rPr>
        <w:t>[1]. Neonatal jaundice or hyperbilirubin is mostly cured (20% cases) though it can still prove hazardous and need medical intervention [4]. Appropriate treatment with phototherapy and/or exchange transfusion are effective in controlling excessive bilirubin levels in the affected infants [5]. Otherwise,</w:t>
      </w:r>
      <w:r>
        <w:rPr>
          <w:sz w:val="20"/>
          <w:szCs w:val="20"/>
        </w:rPr>
        <w:t xml:space="preserve"> </w:t>
      </w:r>
      <w:r w:rsidRPr="008E28EA">
        <w:rPr>
          <w:sz w:val="20"/>
          <w:szCs w:val="20"/>
        </w:rPr>
        <w:t>Bilirubin may be entered the brain as free (unbound) bilirubin or as bilirubin bound to albumin in the presence of a disrupted blood-brain barrier in conditions like severe metabolic acidosis, asphyxia and prematurity [6].</w:t>
      </w:r>
      <w:r>
        <w:rPr>
          <w:sz w:val="20"/>
          <w:szCs w:val="20"/>
        </w:rPr>
        <w:t xml:space="preserve"> </w:t>
      </w:r>
      <w:r w:rsidRPr="008E28EA">
        <w:rPr>
          <w:sz w:val="20"/>
          <w:szCs w:val="20"/>
        </w:rPr>
        <w:t>The objective tests for estimating and monitoring the degree of jaundice are transcutaneous bilirubin (TCB) and/or serum bilirubin levels. TCB is a non-invasive, portable screening tool ideally used to determine the need for the more accurate serum bilirubin which requires a venous or capillary blood sample [7].</w:t>
      </w:r>
      <w:r>
        <w:rPr>
          <w:sz w:val="20"/>
          <w:szCs w:val="20"/>
        </w:rPr>
        <w:t xml:space="preserve"> </w:t>
      </w:r>
      <w:r w:rsidRPr="008E28EA">
        <w:rPr>
          <w:sz w:val="20"/>
          <w:szCs w:val="20"/>
        </w:rPr>
        <w:t>American Academic of Pediatrics (2004)</w:t>
      </w:r>
      <w:r>
        <w:rPr>
          <w:sz w:val="20"/>
          <w:szCs w:val="20"/>
        </w:rPr>
        <w:t xml:space="preserve"> </w:t>
      </w:r>
      <w:r w:rsidRPr="008E28EA">
        <w:rPr>
          <w:sz w:val="20"/>
          <w:szCs w:val="20"/>
        </w:rPr>
        <w:t xml:space="preserve">recommends that newborn discharged within 48 hours should have a follow-up visit within 48 to 72 hours for any significant jaundice </w:t>
      </w:r>
      <w:r w:rsidRPr="008E28EA">
        <w:rPr>
          <w:sz w:val="20"/>
          <w:szCs w:val="20"/>
        </w:rPr>
        <w:lastRenderedPageBreak/>
        <w:t>and other problems [9]. Several methods have been used to determine risk of neonatal hyperbilirubinemia. The measurement of bilirubin level [10] and alpha fetoprotein [11] in cord blood have been used for this purpose. For the first time Aysin Nalbantoglu et al (2011). used alkaline phosphatase (ALP) level 6 hours after birth as a marker for determining hemolysis and hyperbilirubinemia [12]</w:t>
      </w:r>
      <w:r>
        <w:rPr>
          <w:sz w:val="20"/>
          <w:szCs w:val="20"/>
        </w:rPr>
        <w:t xml:space="preserve"> </w:t>
      </w:r>
      <w:r w:rsidRPr="008E28EA">
        <w:rPr>
          <w:sz w:val="20"/>
          <w:szCs w:val="20"/>
        </w:rPr>
        <w:t>Alkaline phosphatase is a hydrolase enzyme and responsible for removing phosphate from many types of molecules [13]. Alkaline phosphatase is found in almost all body cells, including red blood cells, bones, intestines, and kidneys. In pregnant women, ALP is made in the placenta [12].</w:t>
      </w:r>
    </w:p>
    <w:p w:rsidR="003F3A1A" w:rsidRPr="008E28EA" w:rsidRDefault="003F3A1A" w:rsidP="008E28EA">
      <w:pPr>
        <w:bidi w:val="0"/>
        <w:snapToGrid w:val="0"/>
        <w:jc w:val="both"/>
        <w:rPr>
          <w:b/>
          <w:bCs/>
          <w:sz w:val="20"/>
          <w:szCs w:val="20"/>
        </w:rPr>
      </w:pPr>
      <w:r w:rsidRPr="008E28EA">
        <w:rPr>
          <w:b/>
          <w:bCs/>
          <w:sz w:val="20"/>
          <w:szCs w:val="20"/>
        </w:rPr>
        <w:t>Aim of the work</w:t>
      </w:r>
    </w:p>
    <w:p w:rsidR="003F3A1A" w:rsidRPr="008E28EA" w:rsidRDefault="003F3A1A" w:rsidP="008E28EA">
      <w:pPr>
        <w:bidi w:val="0"/>
        <w:snapToGrid w:val="0"/>
        <w:ind w:firstLine="425"/>
        <w:jc w:val="both"/>
        <w:rPr>
          <w:sz w:val="20"/>
          <w:szCs w:val="20"/>
        </w:rPr>
      </w:pPr>
      <w:r w:rsidRPr="008E28EA">
        <w:rPr>
          <w:sz w:val="20"/>
          <w:szCs w:val="20"/>
        </w:rPr>
        <w:t>Due to early discharge of infants from the hospital, readmission has been increased. Therefore, early diagnosis of jaundice and timely actions are necessary.</w:t>
      </w:r>
    </w:p>
    <w:p w:rsidR="003F3A1A" w:rsidRPr="008E28EA" w:rsidRDefault="003F3A1A" w:rsidP="008E28EA">
      <w:pPr>
        <w:bidi w:val="0"/>
        <w:snapToGrid w:val="0"/>
        <w:ind w:firstLine="425"/>
        <w:jc w:val="both"/>
        <w:rPr>
          <w:sz w:val="20"/>
          <w:szCs w:val="20"/>
        </w:rPr>
      </w:pPr>
      <w:r w:rsidRPr="008E28EA">
        <w:rPr>
          <w:sz w:val="20"/>
          <w:szCs w:val="20"/>
        </w:rPr>
        <w:t>Therefore this study will evaluate the serum alkaline phosphatase (ALP) level as a marker for early detection of neonatal jaundice.</w:t>
      </w:r>
    </w:p>
    <w:p w:rsidR="003F3A1A" w:rsidRDefault="003F3A1A" w:rsidP="008E28EA">
      <w:pPr>
        <w:bidi w:val="0"/>
        <w:snapToGrid w:val="0"/>
        <w:jc w:val="both"/>
        <w:rPr>
          <w:b/>
          <w:bCs/>
          <w:sz w:val="20"/>
          <w:szCs w:val="20"/>
        </w:rPr>
      </w:pPr>
    </w:p>
    <w:p w:rsidR="003F3A1A" w:rsidRPr="008E28EA" w:rsidRDefault="003F3A1A" w:rsidP="00D372CC">
      <w:pPr>
        <w:bidi w:val="0"/>
        <w:snapToGrid w:val="0"/>
        <w:jc w:val="both"/>
        <w:rPr>
          <w:b/>
          <w:bCs/>
          <w:sz w:val="20"/>
          <w:szCs w:val="20"/>
        </w:rPr>
      </w:pPr>
      <w:r w:rsidRPr="008E28EA">
        <w:rPr>
          <w:b/>
          <w:bCs/>
          <w:sz w:val="20"/>
          <w:szCs w:val="20"/>
        </w:rPr>
        <w:t>Study site</w:t>
      </w:r>
    </w:p>
    <w:p w:rsidR="003F3A1A" w:rsidRPr="008E28EA" w:rsidRDefault="003F3A1A" w:rsidP="008E28EA">
      <w:pPr>
        <w:bidi w:val="0"/>
        <w:snapToGrid w:val="0"/>
        <w:ind w:firstLine="425"/>
        <w:jc w:val="both"/>
        <w:rPr>
          <w:sz w:val="20"/>
          <w:szCs w:val="20"/>
        </w:rPr>
      </w:pPr>
      <w:r w:rsidRPr="008E28EA">
        <w:rPr>
          <w:sz w:val="20"/>
          <w:szCs w:val="20"/>
        </w:rPr>
        <w:t xml:space="preserve">Study will be carried out at </w:t>
      </w:r>
      <w:smartTag w:uri="urn:schemas-microsoft-com:office:smarttags" w:element="place">
        <w:smartTag w:uri="urn:schemas-microsoft-com:office:smarttags" w:element="PlaceName">
          <w:r w:rsidRPr="008E28EA">
            <w:rPr>
              <w:sz w:val="20"/>
              <w:szCs w:val="20"/>
            </w:rPr>
            <w:t>Al-Hussein</w:t>
          </w:r>
        </w:smartTag>
        <w:r w:rsidRPr="008E28EA">
          <w:rPr>
            <w:sz w:val="20"/>
            <w:szCs w:val="20"/>
          </w:rPr>
          <w:t xml:space="preserve"> </w:t>
        </w:r>
        <w:smartTag w:uri="urn:schemas-microsoft-com:office:smarttags" w:element="PlaceType">
          <w:r w:rsidRPr="008E28EA">
            <w:rPr>
              <w:sz w:val="20"/>
              <w:szCs w:val="20"/>
            </w:rPr>
            <w:t>University</w:t>
          </w:r>
        </w:smartTag>
      </w:smartTag>
      <w:r w:rsidRPr="008E28EA">
        <w:rPr>
          <w:sz w:val="20"/>
          <w:szCs w:val="20"/>
        </w:rPr>
        <w:t xml:space="preserve"> hospital, Kafr El Sheikh general hospital </w:t>
      </w:r>
      <w:r w:rsidRPr="008E28EA">
        <w:rPr>
          <w:sz w:val="20"/>
          <w:szCs w:val="20"/>
        </w:rPr>
        <w:lastRenderedPageBreak/>
        <w:t>and Baltim central hospital (delivery rooms and neonatal intensive care units).</w:t>
      </w:r>
    </w:p>
    <w:p w:rsidR="003F3A1A" w:rsidRPr="008E28EA" w:rsidRDefault="003F3A1A" w:rsidP="008E28EA">
      <w:pPr>
        <w:bidi w:val="0"/>
        <w:snapToGrid w:val="0"/>
        <w:jc w:val="both"/>
        <w:rPr>
          <w:sz w:val="20"/>
          <w:szCs w:val="20"/>
        </w:rPr>
      </w:pPr>
    </w:p>
    <w:p w:rsidR="003F3A1A" w:rsidRPr="008E28EA" w:rsidRDefault="003F3A1A" w:rsidP="008E28EA">
      <w:pPr>
        <w:bidi w:val="0"/>
        <w:snapToGrid w:val="0"/>
        <w:jc w:val="both"/>
        <w:rPr>
          <w:b/>
          <w:bCs/>
          <w:sz w:val="20"/>
          <w:szCs w:val="20"/>
        </w:rPr>
      </w:pPr>
      <w:r w:rsidRPr="008E28EA">
        <w:rPr>
          <w:b/>
          <w:bCs/>
          <w:sz w:val="20"/>
          <w:szCs w:val="20"/>
        </w:rPr>
        <w:t>2. Patients and Methods</w:t>
      </w:r>
    </w:p>
    <w:p w:rsidR="003F3A1A" w:rsidRPr="008E28EA" w:rsidRDefault="003F3A1A" w:rsidP="008E28EA">
      <w:pPr>
        <w:bidi w:val="0"/>
        <w:snapToGrid w:val="0"/>
        <w:ind w:firstLine="425"/>
        <w:jc w:val="both"/>
        <w:rPr>
          <w:sz w:val="20"/>
          <w:szCs w:val="20"/>
        </w:rPr>
      </w:pPr>
      <w:r w:rsidRPr="008E28EA">
        <w:rPr>
          <w:sz w:val="20"/>
          <w:szCs w:val="20"/>
        </w:rPr>
        <w:t>A prospective study will be performed on 200 sequentially born healthy term (gestational age ≥ 37 weeks) of either gender, delivered vaginally or cesarean section, with Apgar score ≥7, to apparently healthy mothers.</w:t>
      </w:r>
    </w:p>
    <w:p w:rsidR="003F3A1A" w:rsidRPr="008E28EA" w:rsidRDefault="003F3A1A" w:rsidP="008E28EA">
      <w:pPr>
        <w:bidi w:val="0"/>
        <w:snapToGrid w:val="0"/>
        <w:ind w:firstLine="425"/>
        <w:jc w:val="both"/>
        <w:rPr>
          <w:sz w:val="20"/>
          <w:szCs w:val="20"/>
        </w:rPr>
      </w:pPr>
      <w:r w:rsidRPr="008E28EA">
        <w:rPr>
          <w:sz w:val="20"/>
          <w:szCs w:val="20"/>
        </w:rPr>
        <w:t>All infants will be subjected to the following after taking the informed consent of their parents.</w:t>
      </w:r>
    </w:p>
    <w:p w:rsidR="003F3A1A" w:rsidRPr="008E28EA" w:rsidRDefault="003F3A1A" w:rsidP="008E28EA">
      <w:pPr>
        <w:bidi w:val="0"/>
        <w:snapToGrid w:val="0"/>
        <w:ind w:firstLine="425"/>
        <w:jc w:val="both"/>
        <w:rPr>
          <w:sz w:val="20"/>
          <w:szCs w:val="20"/>
        </w:rPr>
      </w:pPr>
      <w:r w:rsidRPr="008E28EA">
        <w:rPr>
          <w:sz w:val="20"/>
          <w:szCs w:val="20"/>
        </w:rPr>
        <w:t>I. Complete history taking.</w:t>
      </w:r>
    </w:p>
    <w:p w:rsidR="003F3A1A" w:rsidRPr="008E28EA" w:rsidRDefault="003F3A1A" w:rsidP="008E28EA">
      <w:pPr>
        <w:bidi w:val="0"/>
        <w:snapToGrid w:val="0"/>
        <w:ind w:firstLine="425"/>
        <w:jc w:val="both"/>
        <w:rPr>
          <w:sz w:val="20"/>
          <w:szCs w:val="20"/>
        </w:rPr>
      </w:pPr>
      <w:r w:rsidRPr="008E28EA">
        <w:rPr>
          <w:sz w:val="20"/>
          <w:szCs w:val="20"/>
        </w:rPr>
        <w:t>II. Complete clinical examination.</w:t>
      </w:r>
    </w:p>
    <w:p w:rsidR="003F3A1A" w:rsidRPr="008E28EA" w:rsidRDefault="003F3A1A" w:rsidP="008E28EA">
      <w:pPr>
        <w:bidi w:val="0"/>
        <w:snapToGrid w:val="0"/>
        <w:ind w:firstLine="425"/>
        <w:jc w:val="both"/>
        <w:rPr>
          <w:sz w:val="20"/>
          <w:szCs w:val="20"/>
        </w:rPr>
      </w:pPr>
      <w:r w:rsidRPr="008E28EA">
        <w:rPr>
          <w:sz w:val="20"/>
          <w:szCs w:val="20"/>
        </w:rPr>
        <w:t>III. Laboratory investigations as serum alkaline phosphatase.</w:t>
      </w:r>
    </w:p>
    <w:p w:rsidR="003F3A1A" w:rsidRPr="008E28EA" w:rsidRDefault="003F3A1A" w:rsidP="008E28EA">
      <w:pPr>
        <w:bidi w:val="0"/>
        <w:snapToGrid w:val="0"/>
        <w:jc w:val="both"/>
        <w:rPr>
          <w:b/>
          <w:bCs/>
          <w:sz w:val="20"/>
          <w:szCs w:val="20"/>
        </w:rPr>
      </w:pPr>
      <w:r w:rsidRPr="008E28EA">
        <w:rPr>
          <w:b/>
          <w:bCs/>
          <w:sz w:val="20"/>
          <w:szCs w:val="20"/>
        </w:rPr>
        <w:t>Inclusion criteria</w:t>
      </w:r>
    </w:p>
    <w:p w:rsidR="003F3A1A" w:rsidRDefault="003F3A1A" w:rsidP="008E28EA">
      <w:pPr>
        <w:bidi w:val="0"/>
        <w:snapToGrid w:val="0"/>
        <w:ind w:firstLine="425"/>
        <w:jc w:val="both"/>
        <w:rPr>
          <w:sz w:val="20"/>
          <w:szCs w:val="20"/>
        </w:rPr>
      </w:pPr>
      <w:r w:rsidRPr="008E28EA">
        <w:rPr>
          <w:sz w:val="20"/>
          <w:szCs w:val="20"/>
        </w:rPr>
        <w:t>1- Full term</w:t>
      </w:r>
      <w:r>
        <w:rPr>
          <w:sz w:val="20"/>
          <w:szCs w:val="20"/>
        </w:rPr>
        <w:t xml:space="preserve"> </w:t>
      </w:r>
      <w:r w:rsidRPr="008E28EA">
        <w:rPr>
          <w:sz w:val="20"/>
          <w:szCs w:val="20"/>
        </w:rPr>
        <w:t>( gestational age ≥37 weeks)</w:t>
      </w:r>
      <w:r>
        <w:rPr>
          <w:sz w:val="20"/>
          <w:szCs w:val="20"/>
        </w:rPr>
        <w:t>.</w:t>
      </w:r>
    </w:p>
    <w:p w:rsidR="003F3A1A" w:rsidRPr="008E28EA" w:rsidRDefault="003F3A1A" w:rsidP="008E28EA">
      <w:pPr>
        <w:bidi w:val="0"/>
        <w:snapToGrid w:val="0"/>
        <w:ind w:firstLine="425"/>
        <w:jc w:val="both"/>
        <w:rPr>
          <w:sz w:val="20"/>
          <w:szCs w:val="20"/>
        </w:rPr>
      </w:pPr>
      <w:r w:rsidRPr="008E28EA">
        <w:rPr>
          <w:sz w:val="20"/>
          <w:szCs w:val="20"/>
        </w:rPr>
        <w:t>2- Appropriate for gestational age (AGA).</w:t>
      </w:r>
    </w:p>
    <w:p w:rsidR="003F3A1A" w:rsidRPr="008E28EA" w:rsidRDefault="003F3A1A" w:rsidP="008E28EA">
      <w:pPr>
        <w:bidi w:val="0"/>
        <w:snapToGrid w:val="0"/>
        <w:ind w:firstLine="425"/>
        <w:jc w:val="both"/>
        <w:rPr>
          <w:sz w:val="20"/>
          <w:szCs w:val="20"/>
        </w:rPr>
      </w:pPr>
      <w:r w:rsidRPr="008E28EA">
        <w:rPr>
          <w:sz w:val="20"/>
          <w:szCs w:val="20"/>
        </w:rPr>
        <w:t>3- Apparently healthy mothers.</w:t>
      </w:r>
    </w:p>
    <w:p w:rsidR="003F3A1A" w:rsidRPr="008E28EA" w:rsidRDefault="003F3A1A" w:rsidP="008E28EA">
      <w:pPr>
        <w:bidi w:val="0"/>
        <w:snapToGrid w:val="0"/>
        <w:ind w:firstLine="425"/>
        <w:jc w:val="both"/>
        <w:rPr>
          <w:sz w:val="20"/>
          <w:szCs w:val="20"/>
        </w:rPr>
      </w:pPr>
      <w:r w:rsidRPr="008E28EA">
        <w:rPr>
          <w:sz w:val="20"/>
          <w:szCs w:val="20"/>
        </w:rPr>
        <w:t>4- Apgar score of more than 7 at first and fifth minute of life.</w:t>
      </w:r>
    </w:p>
    <w:p w:rsidR="003F3A1A" w:rsidRPr="008E28EA" w:rsidRDefault="003F3A1A" w:rsidP="008E28EA">
      <w:pPr>
        <w:bidi w:val="0"/>
        <w:snapToGrid w:val="0"/>
        <w:jc w:val="both"/>
        <w:rPr>
          <w:b/>
          <w:bCs/>
          <w:sz w:val="20"/>
          <w:szCs w:val="20"/>
        </w:rPr>
      </w:pPr>
      <w:r w:rsidRPr="008E28EA">
        <w:rPr>
          <w:b/>
          <w:bCs/>
          <w:sz w:val="20"/>
          <w:szCs w:val="20"/>
        </w:rPr>
        <w:t>Exclusion criteria</w:t>
      </w:r>
    </w:p>
    <w:p w:rsidR="003F3A1A" w:rsidRPr="008E28EA" w:rsidRDefault="003F3A1A" w:rsidP="008E28EA">
      <w:pPr>
        <w:bidi w:val="0"/>
        <w:snapToGrid w:val="0"/>
        <w:ind w:firstLine="425"/>
        <w:jc w:val="both"/>
        <w:rPr>
          <w:sz w:val="20"/>
          <w:szCs w:val="20"/>
        </w:rPr>
      </w:pPr>
      <w:r w:rsidRPr="008E28EA">
        <w:rPr>
          <w:sz w:val="20"/>
          <w:szCs w:val="20"/>
        </w:rPr>
        <w:t>1- Infants of gestational age less than 37 weeks.</w:t>
      </w:r>
    </w:p>
    <w:p w:rsidR="003F3A1A" w:rsidRPr="008E28EA" w:rsidRDefault="003F3A1A" w:rsidP="008E28EA">
      <w:pPr>
        <w:bidi w:val="0"/>
        <w:snapToGrid w:val="0"/>
        <w:ind w:firstLine="425"/>
        <w:jc w:val="both"/>
        <w:rPr>
          <w:sz w:val="20"/>
          <w:szCs w:val="20"/>
        </w:rPr>
      </w:pPr>
      <w:r w:rsidRPr="008E28EA">
        <w:rPr>
          <w:sz w:val="20"/>
          <w:szCs w:val="20"/>
        </w:rPr>
        <w:t>2- Low Apgar score of less than 7 at first and fifth minute after birth.</w:t>
      </w:r>
    </w:p>
    <w:p w:rsidR="003F3A1A" w:rsidRPr="008E28EA" w:rsidRDefault="003F3A1A" w:rsidP="008E28EA">
      <w:pPr>
        <w:bidi w:val="0"/>
        <w:snapToGrid w:val="0"/>
        <w:ind w:firstLine="425"/>
        <w:jc w:val="both"/>
        <w:rPr>
          <w:sz w:val="20"/>
          <w:szCs w:val="20"/>
        </w:rPr>
      </w:pPr>
      <w:r w:rsidRPr="008E28EA">
        <w:rPr>
          <w:sz w:val="20"/>
          <w:szCs w:val="20"/>
        </w:rPr>
        <w:t>3- Infants of maternal diseased such as; eclampsia –diabetes –</w:t>
      </w:r>
      <w:r>
        <w:rPr>
          <w:sz w:val="20"/>
          <w:szCs w:val="20"/>
        </w:rPr>
        <w:t xml:space="preserve"> </w:t>
      </w:r>
      <w:r w:rsidRPr="008E28EA">
        <w:rPr>
          <w:sz w:val="20"/>
          <w:szCs w:val="20"/>
        </w:rPr>
        <w:t>bone, kidney and liver diseases.</w:t>
      </w:r>
    </w:p>
    <w:p w:rsidR="003F3A1A" w:rsidRPr="008E28EA" w:rsidRDefault="003F3A1A" w:rsidP="008E28EA">
      <w:pPr>
        <w:bidi w:val="0"/>
        <w:snapToGrid w:val="0"/>
        <w:ind w:firstLine="425"/>
        <w:jc w:val="both"/>
        <w:rPr>
          <w:sz w:val="20"/>
          <w:szCs w:val="20"/>
        </w:rPr>
      </w:pPr>
      <w:r w:rsidRPr="008E28EA">
        <w:rPr>
          <w:sz w:val="20"/>
          <w:szCs w:val="20"/>
        </w:rPr>
        <w:t>4- Infants with apparent significant congenital malformations.</w:t>
      </w:r>
    </w:p>
    <w:p w:rsidR="003F3A1A" w:rsidRPr="008E28EA" w:rsidRDefault="003F3A1A" w:rsidP="008E28EA">
      <w:pPr>
        <w:bidi w:val="0"/>
        <w:snapToGrid w:val="0"/>
        <w:ind w:firstLine="425"/>
        <w:jc w:val="both"/>
        <w:rPr>
          <w:sz w:val="20"/>
          <w:szCs w:val="20"/>
        </w:rPr>
      </w:pPr>
      <w:r w:rsidRPr="008E28EA">
        <w:rPr>
          <w:sz w:val="20"/>
          <w:szCs w:val="20"/>
        </w:rPr>
        <w:t>5- Infants with perinatal asphyxia.</w:t>
      </w:r>
    </w:p>
    <w:p w:rsidR="003F3A1A" w:rsidRPr="008E28EA" w:rsidRDefault="003F3A1A" w:rsidP="008E28EA">
      <w:pPr>
        <w:bidi w:val="0"/>
        <w:snapToGrid w:val="0"/>
        <w:ind w:firstLine="425"/>
        <w:jc w:val="both"/>
        <w:rPr>
          <w:sz w:val="20"/>
          <w:szCs w:val="20"/>
        </w:rPr>
      </w:pPr>
      <w:r w:rsidRPr="008E28EA">
        <w:rPr>
          <w:sz w:val="20"/>
          <w:szCs w:val="20"/>
        </w:rPr>
        <w:t>6- Infants with cephalhematoma or contusions.</w:t>
      </w:r>
    </w:p>
    <w:p w:rsidR="003F3A1A" w:rsidRPr="008E28EA" w:rsidRDefault="003F3A1A" w:rsidP="008E28EA">
      <w:pPr>
        <w:bidi w:val="0"/>
        <w:snapToGrid w:val="0"/>
        <w:ind w:firstLine="425"/>
        <w:jc w:val="both"/>
        <w:rPr>
          <w:sz w:val="20"/>
          <w:szCs w:val="20"/>
        </w:rPr>
      </w:pPr>
      <w:r w:rsidRPr="008E28EA">
        <w:rPr>
          <w:sz w:val="20"/>
          <w:szCs w:val="20"/>
        </w:rPr>
        <w:t>Five mL umbilical cord blood will be taken after birth for determination of alkaline phosphatase (ALP) level for all infants In the study.</w:t>
      </w:r>
    </w:p>
    <w:p w:rsidR="003F3A1A" w:rsidRPr="008E28EA" w:rsidRDefault="003F3A1A" w:rsidP="008E28EA">
      <w:pPr>
        <w:bidi w:val="0"/>
        <w:snapToGrid w:val="0"/>
        <w:ind w:firstLine="425"/>
        <w:jc w:val="both"/>
        <w:rPr>
          <w:sz w:val="20"/>
          <w:szCs w:val="20"/>
        </w:rPr>
      </w:pPr>
      <w:r w:rsidRPr="008E28EA">
        <w:rPr>
          <w:sz w:val="20"/>
          <w:szCs w:val="20"/>
        </w:rPr>
        <w:lastRenderedPageBreak/>
        <w:t>After history and clinical examination, all the study population will be followed up daily up to seven days after birth.</w:t>
      </w:r>
    </w:p>
    <w:p w:rsidR="003F3A1A" w:rsidRPr="008E28EA" w:rsidRDefault="003F3A1A" w:rsidP="008E28EA">
      <w:pPr>
        <w:bidi w:val="0"/>
        <w:snapToGrid w:val="0"/>
        <w:ind w:firstLine="425"/>
        <w:jc w:val="both"/>
        <w:rPr>
          <w:sz w:val="20"/>
          <w:szCs w:val="20"/>
        </w:rPr>
      </w:pPr>
      <w:r w:rsidRPr="008E28EA">
        <w:rPr>
          <w:sz w:val="20"/>
          <w:szCs w:val="20"/>
        </w:rPr>
        <w:t>So 200 infants will be monitored for the emergence of clinical jaundice based on clinical observation by parents or physicians.</w:t>
      </w:r>
    </w:p>
    <w:p w:rsidR="003F3A1A" w:rsidRPr="008E28EA" w:rsidRDefault="003F3A1A" w:rsidP="008E28EA">
      <w:pPr>
        <w:bidi w:val="0"/>
        <w:snapToGrid w:val="0"/>
        <w:ind w:firstLine="425"/>
        <w:jc w:val="both"/>
        <w:rPr>
          <w:sz w:val="20"/>
          <w:szCs w:val="20"/>
        </w:rPr>
      </w:pPr>
      <w:r w:rsidRPr="008E28EA">
        <w:rPr>
          <w:sz w:val="20"/>
          <w:szCs w:val="20"/>
        </w:rPr>
        <w:t>Infants with clinical jaundice will be subjected to measure serum bilirubin level and will receive the proper treatment based on American Academic of Pediatrics protocols (2004).</w:t>
      </w:r>
    </w:p>
    <w:p w:rsidR="003F3A1A" w:rsidRPr="008E28EA" w:rsidRDefault="003F3A1A" w:rsidP="008E28EA">
      <w:pPr>
        <w:bidi w:val="0"/>
        <w:snapToGrid w:val="0"/>
        <w:ind w:firstLine="425"/>
        <w:jc w:val="both"/>
        <w:rPr>
          <w:sz w:val="20"/>
          <w:szCs w:val="20"/>
        </w:rPr>
      </w:pPr>
      <w:r w:rsidRPr="008E28EA">
        <w:rPr>
          <w:sz w:val="20"/>
          <w:szCs w:val="20"/>
        </w:rPr>
        <w:t xml:space="preserve">All the study population will be </w:t>
      </w:r>
      <w:r w:rsidRPr="008E28EA">
        <w:rPr>
          <w:b/>
          <w:bCs/>
          <w:sz w:val="20"/>
          <w:szCs w:val="20"/>
        </w:rPr>
        <w:t>classified into three groups</w:t>
      </w:r>
      <w:r w:rsidRPr="008E28EA">
        <w:rPr>
          <w:sz w:val="20"/>
          <w:szCs w:val="20"/>
        </w:rPr>
        <w:t>:</w:t>
      </w:r>
    </w:p>
    <w:p w:rsidR="003F3A1A" w:rsidRPr="008E28EA" w:rsidRDefault="003F3A1A" w:rsidP="008E28EA">
      <w:pPr>
        <w:bidi w:val="0"/>
        <w:snapToGrid w:val="0"/>
        <w:ind w:firstLine="425"/>
        <w:jc w:val="both"/>
        <w:rPr>
          <w:sz w:val="20"/>
          <w:szCs w:val="20"/>
        </w:rPr>
      </w:pPr>
      <w:r w:rsidRPr="008E28EA">
        <w:rPr>
          <w:sz w:val="20"/>
          <w:szCs w:val="20"/>
        </w:rPr>
        <w:t>A- Infants without emergence of jaundice.</w:t>
      </w:r>
    </w:p>
    <w:p w:rsidR="003F3A1A" w:rsidRPr="008E28EA" w:rsidRDefault="003F3A1A" w:rsidP="008E28EA">
      <w:pPr>
        <w:bidi w:val="0"/>
        <w:snapToGrid w:val="0"/>
        <w:ind w:firstLine="425"/>
        <w:jc w:val="both"/>
        <w:rPr>
          <w:sz w:val="20"/>
          <w:szCs w:val="20"/>
        </w:rPr>
      </w:pPr>
      <w:r w:rsidRPr="008E28EA">
        <w:rPr>
          <w:sz w:val="20"/>
          <w:szCs w:val="20"/>
        </w:rPr>
        <w:t>B- Infants with emergence of jaundice but without need for treatment.</w:t>
      </w:r>
    </w:p>
    <w:p w:rsidR="003F3A1A" w:rsidRPr="008E28EA" w:rsidRDefault="003F3A1A" w:rsidP="008E28EA">
      <w:pPr>
        <w:bidi w:val="0"/>
        <w:snapToGrid w:val="0"/>
        <w:ind w:firstLine="425"/>
        <w:jc w:val="both"/>
        <w:rPr>
          <w:sz w:val="20"/>
          <w:szCs w:val="20"/>
        </w:rPr>
      </w:pPr>
      <w:r w:rsidRPr="008E28EA">
        <w:rPr>
          <w:sz w:val="20"/>
          <w:szCs w:val="20"/>
        </w:rPr>
        <w:t>C- Infants with emergence of jaundice with indication for treatment</w:t>
      </w:r>
      <w:r>
        <w:rPr>
          <w:sz w:val="20"/>
          <w:szCs w:val="20"/>
        </w:rPr>
        <w:t xml:space="preserve"> </w:t>
      </w:r>
      <w:r w:rsidRPr="008E28EA">
        <w:rPr>
          <w:sz w:val="20"/>
          <w:szCs w:val="20"/>
        </w:rPr>
        <w:t>according to American Academic of Pediatrics protocols (2004).</w:t>
      </w:r>
    </w:p>
    <w:p w:rsidR="003F3A1A" w:rsidRPr="008E28EA" w:rsidRDefault="003F3A1A" w:rsidP="008E28EA">
      <w:pPr>
        <w:bidi w:val="0"/>
        <w:snapToGrid w:val="0"/>
        <w:ind w:firstLine="425"/>
        <w:jc w:val="both"/>
        <w:rPr>
          <w:sz w:val="20"/>
          <w:szCs w:val="20"/>
        </w:rPr>
      </w:pPr>
      <w:r w:rsidRPr="008E28EA">
        <w:rPr>
          <w:sz w:val="20"/>
          <w:szCs w:val="20"/>
        </w:rPr>
        <w:t>The last group (group C) will be subjected to further clinical evaluation and laboratory investigations, to know the underlying causes of hyperbilirubinemia including:-</w:t>
      </w:r>
    </w:p>
    <w:p w:rsidR="003F3A1A" w:rsidRDefault="003F3A1A" w:rsidP="008E28EA">
      <w:pPr>
        <w:bidi w:val="0"/>
        <w:snapToGrid w:val="0"/>
        <w:ind w:firstLine="425"/>
        <w:jc w:val="both"/>
        <w:rPr>
          <w:sz w:val="20"/>
          <w:szCs w:val="20"/>
        </w:rPr>
      </w:pPr>
      <w:r w:rsidRPr="008E28EA">
        <w:rPr>
          <w:sz w:val="20"/>
          <w:szCs w:val="20"/>
        </w:rPr>
        <w:t>–CBC (complete blood count)</w:t>
      </w:r>
      <w:r>
        <w:rPr>
          <w:sz w:val="20"/>
          <w:szCs w:val="20"/>
        </w:rPr>
        <w:t>.</w:t>
      </w:r>
    </w:p>
    <w:p w:rsidR="003F3A1A" w:rsidRDefault="003F3A1A" w:rsidP="008E28EA">
      <w:pPr>
        <w:bidi w:val="0"/>
        <w:snapToGrid w:val="0"/>
        <w:ind w:firstLine="425"/>
        <w:jc w:val="both"/>
        <w:rPr>
          <w:sz w:val="20"/>
          <w:szCs w:val="20"/>
        </w:rPr>
      </w:pPr>
      <w:r w:rsidRPr="008E28EA">
        <w:rPr>
          <w:sz w:val="20"/>
          <w:szCs w:val="20"/>
        </w:rPr>
        <w:t>– Reticulocyte count</w:t>
      </w:r>
      <w:r>
        <w:rPr>
          <w:sz w:val="20"/>
          <w:szCs w:val="20"/>
        </w:rPr>
        <w:t>.</w:t>
      </w:r>
    </w:p>
    <w:p w:rsidR="003F3A1A" w:rsidRDefault="003F3A1A" w:rsidP="008E28EA">
      <w:pPr>
        <w:bidi w:val="0"/>
        <w:snapToGrid w:val="0"/>
        <w:ind w:firstLine="425"/>
        <w:jc w:val="both"/>
        <w:rPr>
          <w:sz w:val="20"/>
          <w:szCs w:val="20"/>
        </w:rPr>
      </w:pPr>
      <w:r w:rsidRPr="008E28EA">
        <w:rPr>
          <w:sz w:val="20"/>
          <w:szCs w:val="20"/>
        </w:rPr>
        <w:t>–Maternal and infants blood grouping and RH</w:t>
      </w:r>
      <w:hyperlink r:id="rId13" w:tgtFrame="_blank" w:history="1"/>
      <w:r w:rsidRPr="008E28EA">
        <w:rPr>
          <w:sz w:val="20"/>
          <w:szCs w:val="20"/>
        </w:rPr>
        <w:t xml:space="preserve"> (Rhesus factor)</w:t>
      </w:r>
      <w:r>
        <w:rPr>
          <w:sz w:val="20"/>
          <w:szCs w:val="20"/>
        </w:rPr>
        <w:t>.</w:t>
      </w:r>
    </w:p>
    <w:p w:rsidR="003F3A1A" w:rsidRDefault="003F3A1A" w:rsidP="008E28EA">
      <w:pPr>
        <w:bidi w:val="0"/>
        <w:snapToGrid w:val="0"/>
        <w:ind w:firstLine="425"/>
        <w:jc w:val="both"/>
        <w:rPr>
          <w:sz w:val="20"/>
          <w:szCs w:val="20"/>
        </w:rPr>
      </w:pPr>
      <w:r w:rsidRPr="008E28EA">
        <w:rPr>
          <w:sz w:val="20"/>
          <w:szCs w:val="20"/>
        </w:rPr>
        <w:t>–Blood film</w:t>
      </w:r>
      <w:r>
        <w:rPr>
          <w:sz w:val="20"/>
          <w:szCs w:val="20"/>
        </w:rPr>
        <w:t>.</w:t>
      </w:r>
    </w:p>
    <w:p w:rsidR="003F3A1A" w:rsidRDefault="003F3A1A" w:rsidP="008E28EA">
      <w:pPr>
        <w:bidi w:val="0"/>
        <w:snapToGrid w:val="0"/>
        <w:ind w:firstLine="425"/>
        <w:jc w:val="both"/>
        <w:rPr>
          <w:sz w:val="20"/>
          <w:szCs w:val="20"/>
        </w:rPr>
      </w:pPr>
      <w:r w:rsidRPr="008E28EA">
        <w:rPr>
          <w:sz w:val="20"/>
          <w:szCs w:val="20"/>
        </w:rPr>
        <w:t>–G6BD (Glucose-6-phosphate dehydrogenase) assay</w:t>
      </w:r>
      <w:r>
        <w:rPr>
          <w:sz w:val="20"/>
          <w:szCs w:val="20"/>
        </w:rPr>
        <w:t>.</w:t>
      </w:r>
    </w:p>
    <w:p w:rsidR="003F3A1A" w:rsidRDefault="003F3A1A" w:rsidP="008E28EA">
      <w:pPr>
        <w:bidi w:val="0"/>
        <w:snapToGrid w:val="0"/>
        <w:ind w:firstLine="425"/>
        <w:jc w:val="both"/>
        <w:rPr>
          <w:sz w:val="20"/>
          <w:szCs w:val="20"/>
        </w:rPr>
      </w:pPr>
      <w:r w:rsidRPr="008E28EA">
        <w:rPr>
          <w:sz w:val="20"/>
          <w:szCs w:val="20"/>
        </w:rPr>
        <w:t>– Combs test</w:t>
      </w:r>
      <w:r>
        <w:rPr>
          <w:sz w:val="20"/>
          <w:szCs w:val="20"/>
        </w:rPr>
        <w:t>.</w:t>
      </w:r>
    </w:p>
    <w:p w:rsidR="003F3A1A" w:rsidRPr="008E28EA" w:rsidRDefault="003F3A1A" w:rsidP="008E28EA">
      <w:pPr>
        <w:bidi w:val="0"/>
        <w:snapToGrid w:val="0"/>
        <w:ind w:firstLine="425"/>
        <w:jc w:val="both"/>
        <w:rPr>
          <w:sz w:val="20"/>
          <w:szCs w:val="20"/>
        </w:rPr>
      </w:pPr>
      <w:r w:rsidRPr="008E28EA">
        <w:rPr>
          <w:sz w:val="20"/>
          <w:szCs w:val="20"/>
        </w:rPr>
        <w:t>–CRP (C-reactive protein).</w:t>
      </w:r>
    </w:p>
    <w:p w:rsidR="003F3A1A" w:rsidRPr="008E28EA" w:rsidRDefault="003F3A1A" w:rsidP="008E28EA">
      <w:pPr>
        <w:bidi w:val="0"/>
        <w:snapToGrid w:val="0"/>
        <w:jc w:val="both"/>
        <w:rPr>
          <w:sz w:val="20"/>
          <w:szCs w:val="20"/>
          <w:lang w:bidi="ar-EG"/>
        </w:rPr>
      </w:pPr>
    </w:p>
    <w:p w:rsidR="003F3A1A" w:rsidRPr="008E28EA" w:rsidRDefault="003F3A1A" w:rsidP="008E28EA">
      <w:pPr>
        <w:bidi w:val="0"/>
        <w:snapToGrid w:val="0"/>
        <w:jc w:val="both"/>
        <w:rPr>
          <w:b/>
          <w:bCs/>
          <w:sz w:val="20"/>
          <w:szCs w:val="20"/>
          <w:lang w:bidi="ar-EG"/>
        </w:rPr>
      </w:pPr>
      <w:r w:rsidRPr="008E28EA">
        <w:rPr>
          <w:b/>
          <w:bCs/>
          <w:sz w:val="20"/>
          <w:szCs w:val="20"/>
          <w:lang w:bidi="ar-EG"/>
        </w:rPr>
        <w:t>Result</w:t>
      </w:r>
    </w:p>
    <w:p w:rsidR="003F3A1A" w:rsidRPr="008E28EA" w:rsidRDefault="003F3A1A" w:rsidP="008E28EA">
      <w:pPr>
        <w:bidi w:val="0"/>
        <w:snapToGrid w:val="0"/>
        <w:ind w:firstLine="425"/>
        <w:jc w:val="both"/>
        <w:rPr>
          <w:sz w:val="20"/>
          <w:szCs w:val="20"/>
        </w:rPr>
        <w:sectPr w:rsidR="003F3A1A" w:rsidRPr="008E28EA" w:rsidSect="008E28EA">
          <w:headerReference w:type="default" r:id="rId14"/>
          <w:footerReference w:type="default" r:id="rId15"/>
          <w:type w:val="continuous"/>
          <w:pgSz w:w="12242" w:h="15842" w:code="1"/>
          <w:pgMar w:top="1440" w:right="1440" w:bottom="1440" w:left="1440" w:header="720" w:footer="720" w:gutter="0"/>
          <w:cols w:num="2" w:space="600"/>
          <w:docGrid w:linePitch="360"/>
        </w:sectPr>
      </w:pPr>
    </w:p>
    <w:p w:rsidR="003F3A1A" w:rsidRPr="008E28EA" w:rsidRDefault="003F3A1A" w:rsidP="008E28EA">
      <w:pPr>
        <w:bidi w:val="0"/>
        <w:snapToGrid w:val="0"/>
        <w:jc w:val="center"/>
        <w:rPr>
          <w:sz w:val="20"/>
          <w:szCs w:val="20"/>
        </w:rPr>
      </w:pPr>
    </w:p>
    <w:p w:rsidR="003F3A1A" w:rsidRPr="008E28EA" w:rsidRDefault="003F3A1A" w:rsidP="008E28EA">
      <w:pPr>
        <w:bidi w:val="0"/>
        <w:snapToGrid w:val="0"/>
        <w:jc w:val="center"/>
        <w:rPr>
          <w:sz w:val="20"/>
          <w:szCs w:val="20"/>
        </w:rPr>
      </w:pPr>
      <w:r w:rsidRPr="008E28EA">
        <w:rPr>
          <w:sz w:val="20"/>
          <w:szCs w:val="20"/>
        </w:rPr>
        <w:t>Table 1.</w:t>
      </w:r>
      <w:r>
        <w:rPr>
          <w:sz w:val="20"/>
          <w:szCs w:val="20"/>
        </w:rPr>
        <w:t xml:space="preserve"> </w:t>
      </w:r>
      <w:r w:rsidRPr="008E28EA">
        <w:rPr>
          <w:sz w:val="20"/>
          <w:szCs w:val="20"/>
        </w:rPr>
        <w:t>Comparison between three groups as regards sex</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421"/>
        <w:gridCol w:w="2046"/>
        <w:gridCol w:w="1977"/>
        <w:gridCol w:w="1872"/>
        <w:gridCol w:w="1132"/>
        <w:gridCol w:w="1130"/>
      </w:tblGrid>
      <w:tr w:rsidR="003F3A1A" w:rsidRPr="008E28EA" w:rsidTr="008E28EA">
        <w:trPr>
          <w:jc w:val="center"/>
        </w:trPr>
        <w:tc>
          <w:tcPr>
            <w:tcW w:w="742" w:type="pct"/>
            <w:vMerge w:val="restart"/>
            <w:tcBorders>
              <w:top w:val="single" w:sz="18" w:space="0" w:color="000000"/>
            </w:tcBorders>
            <w:vAlign w:val="center"/>
          </w:tcPr>
          <w:p w:rsidR="003F3A1A" w:rsidRPr="008E28EA" w:rsidRDefault="003F3A1A" w:rsidP="008E28EA">
            <w:pPr>
              <w:bidi w:val="0"/>
              <w:snapToGrid w:val="0"/>
              <w:jc w:val="both"/>
              <w:rPr>
                <w:b/>
                <w:bCs/>
                <w:color w:val="000000"/>
                <w:sz w:val="20"/>
                <w:szCs w:val="20"/>
              </w:rPr>
            </w:pPr>
            <w:r w:rsidRPr="008E28EA">
              <w:rPr>
                <w:b/>
                <w:bCs/>
                <w:color w:val="000000"/>
                <w:sz w:val="20"/>
                <w:szCs w:val="20"/>
              </w:rPr>
              <w:t>Sex</w:t>
            </w:r>
          </w:p>
        </w:tc>
        <w:tc>
          <w:tcPr>
            <w:tcW w:w="1068"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1</w:t>
            </w:r>
          </w:p>
          <w:p w:rsidR="003F3A1A" w:rsidRPr="008E28EA" w:rsidRDefault="003F3A1A" w:rsidP="008E28EA">
            <w:pPr>
              <w:bidi w:val="0"/>
              <w:snapToGrid w:val="0"/>
              <w:jc w:val="both"/>
              <w:rPr>
                <w:b/>
                <w:color w:val="000000"/>
                <w:sz w:val="20"/>
                <w:szCs w:val="20"/>
              </w:rPr>
            </w:pPr>
            <w:r w:rsidRPr="008E28EA">
              <w:rPr>
                <w:b/>
                <w:color w:val="000000"/>
                <w:sz w:val="20"/>
                <w:szCs w:val="20"/>
              </w:rPr>
              <w:t>No. = 64</w:t>
            </w:r>
          </w:p>
        </w:tc>
        <w:tc>
          <w:tcPr>
            <w:tcW w:w="1032"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2</w:t>
            </w:r>
          </w:p>
          <w:p w:rsidR="003F3A1A" w:rsidRPr="008E28EA" w:rsidRDefault="003F3A1A" w:rsidP="008E28EA">
            <w:pPr>
              <w:bidi w:val="0"/>
              <w:snapToGrid w:val="0"/>
              <w:jc w:val="both"/>
              <w:rPr>
                <w:b/>
                <w:color w:val="000000"/>
                <w:sz w:val="20"/>
                <w:szCs w:val="20"/>
              </w:rPr>
            </w:pPr>
            <w:r w:rsidRPr="008E28EA">
              <w:rPr>
                <w:b/>
                <w:color w:val="000000"/>
                <w:sz w:val="20"/>
                <w:szCs w:val="20"/>
              </w:rPr>
              <w:t>No. = 117</w:t>
            </w:r>
          </w:p>
        </w:tc>
        <w:tc>
          <w:tcPr>
            <w:tcW w:w="977"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3</w:t>
            </w:r>
          </w:p>
          <w:p w:rsidR="003F3A1A" w:rsidRPr="008E28EA" w:rsidRDefault="003F3A1A" w:rsidP="008E28EA">
            <w:pPr>
              <w:bidi w:val="0"/>
              <w:snapToGrid w:val="0"/>
              <w:jc w:val="both"/>
              <w:rPr>
                <w:b/>
                <w:color w:val="000000"/>
                <w:sz w:val="20"/>
                <w:szCs w:val="20"/>
              </w:rPr>
            </w:pPr>
            <w:r w:rsidRPr="008E28EA">
              <w:rPr>
                <w:b/>
                <w:color w:val="000000"/>
                <w:sz w:val="20"/>
                <w:szCs w:val="20"/>
              </w:rPr>
              <w:t>No. = 19</w:t>
            </w:r>
          </w:p>
        </w:tc>
        <w:tc>
          <w:tcPr>
            <w:tcW w:w="1181" w:type="pct"/>
            <w:gridSpan w:val="2"/>
            <w:tcBorders>
              <w:top w:val="single" w:sz="18" w:space="0" w:color="000000"/>
            </w:tcBorders>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Chi-square test</w:t>
            </w:r>
          </w:p>
        </w:tc>
      </w:tr>
      <w:tr w:rsidR="003F3A1A" w:rsidRPr="008E28EA" w:rsidTr="008E28EA">
        <w:trPr>
          <w:jc w:val="center"/>
        </w:trPr>
        <w:tc>
          <w:tcPr>
            <w:tcW w:w="742" w:type="pct"/>
            <w:vMerge/>
            <w:vAlign w:val="center"/>
          </w:tcPr>
          <w:p w:rsidR="003F3A1A" w:rsidRPr="008E28EA" w:rsidRDefault="003F3A1A" w:rsidP="008E28EA">
            <w:pPr>
              <w:bidi w:val="0"/>
              <w:snapToGrid w:val="0"/>
              <w:jc w:val="both"/>
              <w:rPr>
                <w:color w:val="000000"/>
                <w:sz w:val="20"/>
                <w:szCs w:val="20"/>
              </w:rPr>
            </w:pPr>
          </w:p>
        </w:tc>
        <w:tc>
          <w:tcPr>
            <w:tcW w:w="1068" w:type="pct"/>
            <w:vMerge/>
            <w:vAlign w:val="center"/>
          </w:tcPr>
          <w:p w:rsidR="003F3A1A" w:rsidRPr="008E28EA" w:rsidRDefault="003F3A1A" w:rsidP="008E28EA">
            <w:pPr>
              <w:bidi w:val="0"/>
              <w:snapToGrid w:val="0"/>
              <w:jc w:val="both"/>
              <w:rPr>
                <w:color w:val="000000"/>
                <w:sz w:val="20"/>
                <w:szCs w:val="20"/>
              </w:rPr>
            </w:pPr>
          </w:p>
        </w:tc>
        <w:tc>
          <w:tcPr>
            <w:tcW w:w="1032" w:type="pct"/>
            <w:vMerge/>
            <w:vAlign w:val="center"/>
          </w:tcPr>
          <w:p w:rsidR="003F3A1A" w:rsidRPr="008E28EA" w:rsidRDefault="003F3A1A" w:rsidP="008E28EA">
            <w:pPr>
              <w:bidi w:val="0"/>
              <w:snapToGrid w:val="0"/>
              <w:jc w:val="both"/>
              <w:rPr>
                <w:color w:val="000000"/>
                <w:sz w:val="20"/>
                <w:szCs w:val="20"/>
              </w:rPr>
            </w:pPr>
          </w:p>
        </w:tc>
        <w:tc>
          <w:tcPr>
            <w:tcW w:w="977" w:type="pct"/>
            <w:vMerge/>
            <w:vAlign w:val="center"/>
          </w:tcPr>
          <w:p w:rsidR="003F3A1A" w:rsidRPr="008E28EA" w:rsidRDefault="003F3A1A" w:rsidP="008E28EA">
            <w:pPr>
              <w:bidi w:val="0"/>
              <w:snapToGrid w:val="0"/>
              <w:jc w:val="both"/>
              <w:rPr>
                <w:color w:val="000000"/>
                <w:sz w:val="20"/>
                <w:szCs w:val="20"/>
              </w:rPr>
            </w:pPr>
          </w:p>
        </w:tc>
        <w:tc>
          <w:tcPr>
            <w:tcW w:w="591"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X</w:t>
            </w:r>
            <w:r w:rsidRPr="008E28EA">
              <w:rPr>
                <w:b/>
                <w:color w:val="000000"/>
                <w:sz w:val="20"/>
                <w:szCs w:val="20"/>
                <w:vertAlign w:val="superscript"/>
              </w:rPr>
              <w:t>2</w:t>
            </w:r>
          </w:p>
        </w:tc>
        <w:tc>
          <w:tcPr>
            <w:tcW w:w="590"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P-value</w:t>
            </w:r>
          </w:p>
        </w:tc>
      </w:tr>
      <w:tr w:rsidR="003F3A1A" w:rsidRPr="008E28EA" w:rsidTr="008E28EA">
        <w:trPr>
          <w:jc w:val="center"/>
        </w:trPr>
        <w:tc>
          <w:tcPr>
            <w:tcW w:w="742" w:type="pct"/>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Female</w:t>
            </w:r>
          </w:p>
        </w:tc>
        <w:tc>
          <w:tcPr>
            <w:tcW w:w="1068" w:type="pct"/>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28 (43.8%)</w:t>
            </w:r>
          </w:p>
        </w:tc>
        <w:tc>
          <w:tcPr>
            <w:tcW w:w="1032" w:type="pct"/>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55 (47.0%)</w:t>
            </w:r>
          </w:p>
        </w:tc>
        <w:tc>
          <w:tcPr>
            <w:tcW w:w="977" w:type="pct"/>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6 (31.6%)</w:t>
            </w:r>
          </w:p>
        </w:tc>
        <w:tc>
          <w:tcPr>
            <w:tcW w:w="591"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1.597</w:t>
            </w:r>
          </w:p>
        </w:tc>
        <w:tc>
          <w:tcPr>
            <w:tcW w:w="590"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0.450</w:t>
            </w:r>
          </w:p>
        </w:tc>
      </w:tr>
      <w:tr w:rsidR="003F3A1A" w:rsidRPr="008E28EA" w:rsidTr="008E28EA">
        <w:trPr>
          <w:jc w:val="center"/>
        </w:trPr>
        <w:tc>
          <w:tcPr>
            <w:tcW w:w="742" w:type="pct"/>
            <w:tcBorders>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Male</w:t>
            </w:r>
          </w:p>
        </w:tc>
        <w:tc>
          <w:tcPr>
            <w:tcW w:w="1068" w:type="pct"/>
            <w:tcBorders>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36 (56.3%)</w:t>
            </w:r>
          </w:p>
        </w:tc>
        <w:tc>
          <w:tcPr>
            <w:tcW w:w="1032" w:type="pct"/>
            <w:tcBorders>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62 (53.0%)</w:t>
            </w:r>
          </w:p>
        </w:tc>
        <w:tc>
          <w:tcPr>
            <w:tcW w:w="977" w:type="pct"/>
            <w:tcBorders>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13 (68.4%)</w:t>
            </w:r>
          </w:p>
        </w:tc>
        <w:tc>
          <w:tcPr>
            <w:tcW w:w="591"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590"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r>
    </w:tbl>
    <w:p w:rsidR="003F3A1A" w:rsidRPr="008E28EA" w:rsidRDefault="003F3A1A" w:rsidP="008E28EA">
      <w:pPr>
        <w:bidi w:val="0"/>
        <w:snapToGrid w:val="0"/>
        <w:jc w:val="center"/>
        <w:rPr>
          <w:sz w:val="20"/>
          <w:szCs w:val="20"/>
        </w:rPr>
      </w:pPr>
    </w:p>
    <w:p w:rsidR="003F3A1A" w:rsidRPr="008E28EA" w:rsidRDefault="003F3A1A" w:rsidP="008E28EA">
      <w:pPr>
        <w:bidi w:val="0"/>
        <w:snapToGrid w:val="0"/>
        <w:jc w:val="center"/>
        <w:rPr>
          <w:sz w:val="20"/>
          <w:szCs w:val="20"/>
          <w:lang w:bidi="ar-EG"/>
        </w:rPr>
      </w:pPr>
      <w:r w:rsidRPr="008E28EA">
        <w:rPr>
          <w:sz w:val="20"/>
          <w:szCs w:val="20"/>
        </w:rPr>
        <w:t>Table 2.</w:t>
      </w:r>
      <w:r>
        <w:rPr>
          <w:sz w:val="20"/>
          <w:szCs w:val="20"/>
        </w:rPr>
        <w:t xml:space="preserve"> </w:t>
      </w:r>
      <w:r w:rsidRPr="008E28EA">
        <w:rPr>
          <w:sz w:val="20"/>
          <w:szCs w:val="20"/>
        </w:rPr>
        <w:t>Comparison between three groups as regards</w:t>
      </w:r>
      <w:r w:rsidRPr="008E28EA">
        <w:rPr>
          <w:sz w:val="20"/>
          <w:szCs w:val="20"/>
          <w:lang w:bidi="ar-EG"/>
        </w:rPr>
        <w:t xml:space="preserve"> mode of delivery</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417"/>
        <w:gridCol w:w="2048"/>
        <w:gridCol w:w="1979"/>
        <w:gridCol w:w="1872"/>
        <w:gridCol w:w="1134"/>
        <w:gridCol w:w="1128"/>
      </w:tblGrid>
      <w:tr w:rsidR="003F3A1A" w:rsidRPr="008E28EA" w:rsidTr="008E28EA">
        <w:trPr>
          <w:jc w:val="center"/>
        </w:trPr>
        <w:tc>
          <w:tcPr>
            <w:tcW w:w="740" w:type="pct"/>
            <w:vMerge w:val="restart"/>
            <w:tcBorders>
              <w:top w:val="single" w:sz="18" w:space="0" w:color="000000"/>
            </w:tcBorders>
            <w:vAlign w:val="center"/>
          </w:tcPr>
          <w:p w:rsidR="003F3A1A" w:rsidRPr="008E28EA" w:rsidRDefault="003F3A1A" w:rsidP="008E28EA">
            <w:pPr>
              <w:bidi w:val="0"/>
              <w:snapToGrid w:val="0"/>
              <w:jc w:val="both"/>
              <w:rPr>
                <w:b/>
                <w:bCs/>
                <w:color w:val="000000"/>
                <w:sz w:val="20"/>
                <w:szCs w:val="20"/>
              </w:rPr>
            </w:pPr>
            <w:r w:rsidRPr="008E28EA">
              <w:rPr>
                <w:b/>
                <w:bCs/>
                <w:color w:val="000000"/>
                <w:sz w:val="20"/>
                <w:szCs w:val="20"/>
              </w:rPr>
              <w:t>Type of delivery</w:t>
            </w:r>
          </w:p>
        </w:tc>
        <w:tc>
          <w:tcPr>
            <w:tcW w:w="1069"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1</w:t>
            </w:r>
          </w:p>
          <w:p w:rsidR="003F3A1A" w:rsidRPr="008E28EA" w:rsidRDefault="003F3A1A" w:rsidP="008E28EA">
            <w:pPr>
              <w:bidi w:val="0"/>
              <w:snapToGrid w:val="0"/>
              <w:jc w:val="both"/>
              <w:rPr>
                <w:b/>
                <w:color w:val="000000"/>
                <w:sz w:val="20"/>
                <w:szCs w:val="20"/>
              </w:rPr>
            </w:pPr>
            <w:r w:rsidRPr="008E28EA">
              <w:rPr>
                <w:b/>
                <w:color w:val="000000"/>
                <w:sz w:val="20"/>
                <w:szCs w:val="20"/>
              </w:rPr>
              <w:t>No. = 64</w:t>
            </w:r>
          </w:p>
        </w:tc>
        <w:tc>
          <w:tcPr>
            <w:tcW w:w="1033"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2</w:t>
            </w:r>
          </w:p>
          <w:p w:rsidR="003F3A1A" w:rsidRPr="008E28EA" w:rsidRDefault="003F3A1A" w:rsidP="008E28EA">
            <w:pPr>
              <w:bidi w:val="0"/>
              <w:snapToGrid w:val="0"/>
              <w:jc w:val="both"/>
              <w:rPr>
                <w:b/>
                <w:color w:val="000000"/>
                <w:sz w:val="20"/>
                <w:szCs w:val="20"/>
              </w:rPr>
            </w:pPr>
            <w:r w:rsidRPr="008E28EA">
              <w:rPr>
                <w:b/>
                <w:color w:val="000000"/>
                <w:sz w:val="20"/>
                <w:szCs w:val="20"/>
              </w:rPr>
              <w:t>No. = 117</w:t>
            </w:r>
          </w:p>
        </w:tc>
        <w:tc>
          <w:tcPr>
            <w:tcW w:w="977"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3</w:t>
            </w:r>
          </w:p>
          <w:p w:rsidR="003F3A1A" w:rsidRPr="008E28EA" w:rsidRDefault="003F3A1A" w:rsidP="008E28EA">
            <w:pPr>
              <w:bidi w:val="0"/>
              <w:snapToGrid w:val="0"/>
              <w:jc w:val="both"/>
              <w:rPr>
                <w:b/>
                <w:color w:val="000000"/>
                <w:sz w:val="20"/>
                <w:szCs w:val="20"/>
              </w:rPr>
            </w:pPr>
            <w:r w:rsidRPr="008E28EA">
              <w:rPr>
                <w:b/>
                <w:color w:val="000000"/>
                <w:sz w:val="20"/>
                <w:szCs w:val="20"/>
              </w:rPr>
              <w:t>No. = 19</w:t>
            </w:r>
          </w:p>
        </w:tc>
        <w:tc>
          <w:tcPr>
            <w:tcW w:w="1182" w:type="pct"/>
            <w:gridSpan w:val="2"/>
            <w:tcBorders>
              <w:top w:val="single" w:sz="18" w:space="0" w:color="000000"/>
            </w:tcBorders>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Chi-square test</w:t>
            </w:r>
          </w:p>
        </w:tc>
      </w:tr>
      <w:tr w:rsidR="003F3A1A" w:rsidRPr="008E28EA" w:rsidTr="008E28EA">
        <w:trPr>
          <w:jc w:val="center"/>
        </w:trPr>
        <w:tc>
          <w:tcPr>
            <w:tcW w:w="740" w:type="pct"/>
            <w:vMerge/>
            <w:vAlign w:val="center"/>
          </w:tcPr>
          <w:p w:rsidR="003F3A1A" w:rsidRPr="008E28EA" w:rsidRDefault="003F3A1A" w:rsidP="008E28EA">
            <w:pPr>
              <w:bidi w:val="0"/>
              <w:snapToGrid w:val="0"/>
              <w:jc w:val="both"/>
              <w:rPr>
                <w:color w:val="000000"/>
                <w:sz w:val="20"/>
                <w:szCs w:val="20"/>
              </w:rPr>
            </w:pPr>
          </w:p>
        </w:tc>
        <w:tc>
          <w:tcPr>
            <w:tcW w:w="1069" w:type="pct"/>
            <w:vMerge/>
            <w:vAlign w:val="center"/>
          </w:tcPr>
          <w:p w:rsidR="003F3A1A" w:rsidRPr="008E28EA" w:rsidRDefault="003F3A1A" w:rsidP="008E28EA">
            <w:pPr>
              <w:bidi w:val="0"/>
              <w:snapToGrid w:val="0"/>
              <w:jc w:val="both"/>
              <w:rPr>
                <w:color w:val="000000"/>
                <w:sz w:val="20"/>
                <w:szCs w:val="20"/>
              </w:rPr>
            </w:pPr>
          </w:p>
        </w:tc>
        <w:tc>
          <w:tcPr>
            <w:tcW w:w="1033" w:type="pct"/>
            <w:vMerge/>
            <w:vAlign w:val="center"/>
          </w:tcPr>
          <w:p w:rsidR="003F3A1A" w:rsidRPr="008E28EA" w:rsidRDefault="003F3A1A" w:rsidP="008E28EA">
            <w:pPr>
              <w:bidi w:val="0"/>
              <w:snapToGrid w:val="0"/>
              <w:jc w:val="both"/>
              <w:rPr>
                <w:color w:val="000000"/>
                <w:sz w:val="20"/>
                <w:szCs w:val="20"/>
              </w:rPr>
            </w:pPr>
          </w:p>
        </w:tc>
        <w:tc>
          <w:tcPr>
            <w:tcW w:w="977" w:type="pct"/>
            <w:vMerge/>
            <w:vAlign w:val="center"/>
          </w:tcPr>
          <w:p w:rsidR="003F3A1A" w:rsidRPr="008E28EA" w:rsidRDefault="003F3A1A" w:rsidP="008E28EA">
            <w:pPr>
              <w:bidi w:val="0"/>
              <w:snapToGrid w:val="0"/>
              <w:jc w:val="both"/>
              <w:rPr>
                <w:color w:val="000000"/>
                <w:sz w:val="20"/>
                <w:szCs w:val="20"/>
              </w:rPr>
            </w:pPr>
          </w:p>
        </w:tc>
        <w:tc>
          <w:tcPr>
            <w:tcW w:w="592"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X</w:t>
            </w:r>
            <w:r w:rsidRPr="008E28EA">
              <w:rPr>
                <w:b/>
                <w:color w:val="000000"/>
                <w:sz w:val="20"/>
                <w:szCs w:val="20"/>
                <w:vertAlign w:val="superscript"/>
              </w:rPr>
              <w:t>2</w:t>
            </w:r>
          </w:p>
        </w:tc>
        <w:tc>
          <w:tcPr>
            <w:tcW w:w="590"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P-value</w:t>
            </w:r>
          </w:p>
        </w:tc>
      </w:tr>
      <w:tr w:rsidR="003F3A1A" w:rsidRPr="008E28EA" w:rsidTr="008E28EA">
        <w:trPr>
          <w:jc w:val="center"/>
        </w:trPr>
        <w:tc>
          <w:tcPr>
            <w:tcW w:w="740" w:type="pct"/>
            <w:tcBorders>
              <w:bottom w:val="nil"/>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CS</w:t>
            </w:r>
          </w:p>
        </w:tc>
        <w:tc>
          <w:tcPr>
            <w:tcW w:w="1069"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63 (98.4%)</w:t>
            </w:r>
          </w:p>
        </w:tc>
        <w:tc>
          <w:tcPr>
            <w:tcW w:w="1033"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112 (95.7%)</w:t>
            </w:r>
          </w:p>
        </w:tc>
        <w:tc>
          <w:tcPr>
            <w:tcW w:w="977"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19 (100.0%)</w:t>
            </w:r>
          </w:p>
        </w:tc>
        <w:tc>
          <w:tcPr>
            <w:tcW w:w="592"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1.718</w:t>
            </w:r>
          </w:p>
        </w:tc>
        <w:tc>
          <w:tcPr>
            <w:tcW w:w="590"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0.424</w:t>
            </w:r>
          </w:p>
        </w:tc>
      </w:tr>
      <w:tr w:rsidR="003F3A1A" w:rsidRPr="008E28EA" w:rsidTr="008E28EA">
        <w:trPr>
          <w:jc w:val="center"/>
        </w:trPr>
        <w:tc>
          <w:tcPr>
            <w:tcW w:w="740" w:type="pct"/>
            <w:tcBorders>
              <w:top w:val="nil"/>
              <w:bottom w:val="single" w:sz="18" w:space="0" w:color="000000"/>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NVD</w:t>
            </w:r>
          </w:p>
        </w:tc>
        <w:tc>
          <w:tcPr>
            <w:tcW w:w="1069"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 (1.6%)</w:t>
            </w:r>
          </w:p>
        </w:tc>
        <w:tc>
          <w:tcPr>
            <w:tcW w:w="1033"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5 (4.3%)</w:t>
            </w:r>
          </w:p>
        </w:tc>
        <w:tc>
          <w:tcPr>
            <w:tcW w:w="977"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0 (0.0%)</w:t>
            </w:r>
          </w:p>
        </w:tc>
        <w:tc>
          <w:tcPr>
            <w:tcW w:w="592"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590"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r>
    </w:tbl>
    <w:p w:rsidR="003F3A1A" w:rsidRPr="008E28EA" w:rsidRDefault="003F3A1A" w:rsidP="008E28EA">
      <w:pPr>
        <w:bidi w:val="0"/>
        <w:snapToGrid w:val="0"/>
        <w:ind w:firstLine="425"/>
        <w:jc w:val="both"/>
        <w:rPr>
          <w:sz w:val="20"/>
          <w:szCs w:val="20"/>
          <w:lang w:bidi="ar-EG"/>
        </w:rPr>
      </w:pPr>
    </w:p>
    <w:p w:rsidR="003F3A1A" w:rsidRPr="008E28EA" w:rsidRDefault="003F3A1A" w:rsidP="008E28EA">
      <w:pPr>
        <w:bidi w:val="0"/>
        <w:snapToGrid w:val="0"/>
        <w:jc w:val="center"/>
        <w:rPr>
          <w:sz w:val="20"/>
          <w:szCs w:val="20"/>
          <w:lang w:bidi="ar-EG"/>
        </w:rPr>
      </w:pPr>
      <w:r w:rsidRPr="008E28EA">
        <w:rPr>
          <w:sz w:val="20"/>
          <w:szCs w:val="20"/>
        </w:rPr>
        <w:t>Table 3. Comparison between three groups as regards weight.</w:t>
      </w:r>
    </w:p>
    <w:tbl>
      <w:tblPr>
        <w:tblW w:w="5024"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576"/>
        <w:gridCol w:w="1492"/>
        <w:gridCol w:w="1544"/>
        <w:gridCol w:w="1499"/>
        <w:gridCol w:w="1497"/>
        <w:gridCol w:w="957"/>
        <w:gridCol w:w="1059"/>
      </w:tblGrid>
      <w:tr w:rsidR="003F3A1A" w:rsidRPr="008E28EA" w:rsidTr="008E28EA">
        <w:trPr>
          <w:jc w:val="center"/>
        </w:trPr>
        <w:tc>
          <w:tcPr>
            <w:tcW w:w="1594" w:type="pct"/>
            <w:gridSpan w:val="2"/>
            <w:vMerge w:val="restart"/>
            <w:tcBorders>
              <w:top w:val="single" w:sz="18" w:space="0" w:color="000000"/>
            </w:tcBorders>
            <w:vAlign w:val="center"/>
          </w:tcPr>
          <w:p w:rsidR="003F3A1A" w:rsidRPr="008E28EA" w:rsidRDefault="003F3A1A" w:rsidP="008E28EA">
            <w:pPr>
              <w:bidi w:val="0"/>
              <w:snapToGrid w:val="0"/>
              <w:jc w:val="both"/>
              <w:rPr>
                <w:color w:val="000000"/>
                <w:sz w:val="20"/>
                <w:szCs w:val="20"/>
              </w:rPr>
            </w:pPr>
          </w:p>
        </w:tc>
        <w:tc>
          <w:tcPr>
            <w:tcW w:w="802"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1</w:t>
            </w:r>
          </w:p>
          <w:p w:rsidR="003F3A1A" w:rsidRPr="008E28EA" w:rsidRDefault="003F3A1A" w:rsidP="008E28EA">
            <w:pPr>
              <w:bidi w:val="0"/>
              <w:snapToGrid w:val="0"/>
              <w:jc w:val="both"/>
              <w:rPr>
                <w:b/>
                <w:color w:val="000000"/>
                <w:sz w:val="20"/>
                <w:szCs w:val="20"/>
              </w:rPr>
            </w:pPr>
            <w:r w:rsidRPr="008E28EA">
              <w:rPr>
                <w:b/>
                <w:color w:val="000000"/>
                <w:sz w:val="20"/>
                <w:szCs w:val="20"/>
              </w:rPr>
              <w:t>No. = 64</w:t>
            </w:r>
          </w:p>
        </w:tc>
        <w:tc>
          <w:tcPr>
            <w:tcW w:w="779"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2</w:t>
            </w:r>
          </w:p>
          <w:p w:rsidR="003F3A1A" w:rsidRPr="008E28EA" w:rsidRDefault="003F3A1A" w:rsidP="008E28EA">
            <w:pPr>
              <w:bidi w:val="0"/>
              <w:snapToGrid w:val="0"/>
              <w:jc w:val="both"/>
              <w:rPr>
                <w:b/>
                <w:color w:val="000000"/>
                <w:sz w:val="20"/>
                <w:szCs w:val="20"/>
              </w:rPr>
            </w:pPr>
            <w:r w:rsidRPr="008E28EA">
              <w:rPr>
                <w:b/>
                <w:color w:val="000000"/>
                <w:sz w:val="20"/>
                <w:szCs w:val="20"/>
              </w:rPr>
              <w:t>No. = 117</w:t>
            </w:r>
          </w:p>
        </w:tc>
        <w:tc>
          <w:tcPr>
            <w:tcW w:w="778"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3</w:t>
            </w:r>
          </w:p>
          <w:p w:rsidR="003F3A1A" w:rsidRPr="008E28EA" w:rsidRDefault="003F3A1A" w:rsidP="008E28EA">
            <w:pPr>
              <w:bidi w:val="0"/>
              <w:snapToGrid w:val="0"/>
              <w:jc w:val="both"/>
              <w:rPr>
                <w:b/>
                <w:color w:val="000000"/>
                <w:sz w:val="20"/>
                <w:szCs w:val="20"/>
              </w:rPr>
            </w:pPr>
            <w:r w:rsidRPr="008E28EA">
              <w:rPr>
                <w:b/>
                <w:color w:val="000000"/>
                <w:sz w:val="20"/>
                <w:szCs w:val="20"/>
              </w:rPr>
              <w:t>No. = 19</w:t>
            </w:r>
          </w:p>
        </w:tc>
        <w:tc>
          <w:tcPr>
            <w:tcW w:w="1047" w:type="pct"/>
            <w:gridSpan w:val="2"/>
            <w:tcBorders>
              <w:top w:val="single" w:sz="18" w:space="0" w:color="000000"/>
            </w:tcBorders>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One Way ANOVA</w:t>
            </w:r>
          </w:p>
        </w:tc>
      </w:tr>
      <w:tr w:rsidR="003F3A1A" w:rsidRPr="008E28EA" w:rsidTr="008E28EA">
        <w:trPr>
          <w:jc w:val="center"/>
        </w:trPr>
        <w:tc>
          <w:tcPr>
            <w:tcW w:w="1594" w:type="pct"/>
            <w:gridSpan w:val="2"/>
            <w:vMerge/>
            <w:vAlign w:val="center"/>
          </w:tcPr>
          <w:p w:rsidR="003F3A1A" w:rsidRPr="008E28EA" w:rsidRDefault="003F3A1A" w:rsidP="008E28EA">
            <w:pPr>
              <w:bidi w:val="0"/>
              <w:snapToGrid w:val="0"/>
              <w:jc w:val="both"/>
              <w:rPr>
                <w:color w:val="000000"/>
                <w:sz w:val="20"/>
                <w:szCs w:val="20"/>
              </w:rPr>
            </w:pPr>
          </w:p>
        </w:tc>
        <w:tc>
          <w:tcPr>
            <w:tcW w:w="802" w:type="pct"/>
            <w:vMerge/>
            <w:vAlign w:val="center"/>
          </w:tcPr>
          <w:p w:rsidR="003F3A1A" w:rsidRPr="008E28EA" w:rsidRDefault="003F3A1A" w:rsidP="008E28EA">
            <w:pPr>
              <w:bidi w:val="0"/>
              <w:snapToGrid w:val="0"/>
              <w:jc w:val="both"/>
              <w:rPr>
                <w:color w:val="000000"/>
                <w:sz w:val="20"/>
                <w:szCs w:val="20"/>
              </w:rPr>
            </w:pPr>
          </w:p>
        </w:tc>
        <w:tc>
          <w:tcPr>
            <w:tcW w:w="779" w:type="pct"/>
            <w:vMerge/>
            <w:vAlign w:val="center"/>
          </w:tcPr>
          <w:p w:rsidR="003F3A1A" w:rsidRPr="008E28EA" w:rsidRDefault="003F3A1A" w:rsidP="008E28EA">
            <w:pPr>
              <w:bidi w:val="0"/>
              <w:snapToGrid w:val="0"/>
              <w:jc w:val="both"/>
              <w:rPr>
                <w:color w:val="000000"/>
                <w:sz w:val="20"/>
                <w:szCs w:val="20"/>
              </w:rPr>
            </w:pPr>
          </w:p>
        </w:tc>
        <w:tc>
          <w:tcPr>
            <w:tcW w:w="778" w:type="pct"/>
            <w:vMerge/>
            <w:vAlign w:val="center"/>
          </w:tcPr>
          <w:p w:rsidR="003F3A1A" w:rsidRPr="008E28EA" w:rsidRDefault="003F3A1A" w:rsidP="008E28EA">
            <w:pPr>
              <w:bidi w:val="0"/>
              <w:snapToGrid w:val="0"/>
              <w:jc w:val="both"/>
              <w:rPr>
                <w:color w:val="000000"/>
                <w:sz w:val="20"/>
                <w:szCs w:val="20"/>
              </w:rPr>
            </w:pPr>
          </w:p>
        </w:tc>
        <w:tc>
          <w:tcPr>
            <w:tcW w:w="497"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F</w:t>
            </w:r>
          </w:p>
        </w:tc>
        <w:tc>
          <w:tcPr>
            <w:tcW w:w="550"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P-value</w:t>
            </w:r>
          </w:p>
        </w:tc>
      </w:tr>
      <w:tr w:rsidR="003F3A1A" w:rsidRPr="008E28EA" w:rsidTr="008E28EA">
        <w:trPr>
          <w:jc w:val="center"/>
        </w:trPr>
        <w:tc>
          <w:tcPr>
            <w:tcW w:w="819"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Weight</w:t>
            </w:r>
          </w:p>
        </w:tc>
        <w:tc>
          <w:tcPr>
            <w:tcW w:w="775" w:type="pct"/>
            <w:tcBorders>
              <w:bottom w:val="nil"/>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Mean±SD</w:t>
            </w:r>
          </w:p>
        </w:tc>
        <w:tc>
          <w:tcPr>
            <w:tcW w:w="802"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3.05 ± 0.47</w:t>
            </w:r>
          </w:p>
        </w:tc>
        <w:tc>
          <w:tcPr>
            <w:tcW w:w="779"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3.15 ± 0.48</w:t>
            </w:r>
          </w:p>
        </w:tc>
        <w:tc>
          <w:tcPr>
            <w:tcW w:w="778"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3.13 ± 0.42</w:t>
            </w:r>
          </w:p>
        </w:tc>
        <w:tc>
          <w:tcPr>
            <w:tcW w:w="497"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0.982</w:t>
            </w:r>
          </w:p>
        </w:tc>
        <w:tc>
          <w:tcPr>
            <w:tcW w:w="550"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0.376</w:t>
            </w:r>
          </w:p>
        </w:tc>
      </w:tr>
      <w:tr w:rsidR="003F3A1A" w:rsidRPr="008E28EA" w:rsidTr="008E28EA">
        <w:trPr>
          <w:jc w:val="center"/>
        </w:trPr>
        <w:tc>
          <w:tcPr>
            <w:tcW w:w="819"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775" w:type="pct"/>
            <w:tcBorders>
              <w:top w:val="nil"/>
              <w:bottom w:val="single" w:sz="18" w:space="0" w:color="000000"/>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Range</w:t>
            </w:r>
          </w:p>
        </w:tc>
        <w:tc>
          <w:tcPr>
            <w:tcW w:w="802"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2.1 – 4.3</w:t>
            </w:r>
          </w:p>
        </w:tc>
        <w:tc>
          <w:tcPr>
            <w:tcW w:w="779"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2.3 – 4.3</w:t>
            </w:r>
          </w:p>
        </w:tc>
        <w:tc>
          <w:tcPr>
            <w:tcW w:w="778"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2.2 – 4.0</w:t>
            </w:r>
          </w:p>
        </w:tc>
        <w:tc>
          <w:tcPr>
            <w:tcW w:w="497"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550"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r>
    </w:tbl>
    <w:p w:rsidR="003F3A1A" w:rsidRDefault="003F3A1A" w:rsidP="008E28EA">
      <w:pPr>
        <w:bidi w:val="0"/>
        <w:snapToGrid w:val="0"/>
        <w:jc w:val="center"/>
        <w:rPr>
          <w:sz w:val="20"/>
          <w:szCs w:val="20"/>
          <w:lang w:eastAsia="zh-CN" w:bidi="ar-EG"/>
        </w:rPr>
      </w:pPr>
    </w:p>
    <w:p w:rsidR="003F3A1A" w:rsidRDefault="003F3A1A" w:rsidP="008E28EA">
      <w:pPr>
        <w:bidi w:val="0"/>
        <w:snapToGrid w:val="0"/>
        <w:jc w:val="center"/>
        <w:rPr>
          <w:sz w:val="20"/>
          <w:szCs w:val="20"/>
          <w:lang w:eastAsia="zh-CN" w:bidi="ar-EG"/>
        </w:rPr>
        <w:sectPr w:rsidR="003F3A1A" w:rsidSect="00902C14">
          <w:headerReference w:type="default" r:id="rId16"/>
          <w:footerReference w:type="default" r:id="rId17"/>
          <w:type w:val="continuous"/>
          <w:pgSz w:w="12242" w:h="15842" w:code="1"/>
          <w:pgMar w:top="1440" w:right="1440" w:bottom="1440" w:left="1440" w:header="720" w:footer="720" w:gutter="0"/>
          <w:cols w:space="708"/>
          <w:bidi/>
          <w:docGrid w:linePitch="360"/>
        </w:sectPr>
      </w:pPr>
    </w:p>
    <w:p w:rsidR="003F3A1A" w:rsidRPr="008E28EA" w:rsidRDefault="003F3A1A" w:rsidP="008E28EA">
      <w:pPr>
        <w:bidi w:val="0"/>
        <w:snapToGrid w:val="0"/>
        <w:ind w:firstLine="425"/>
        <w:jc w:val="both"/>
        <w:rPr>
          <w:sz w:val="20"/>
          <w:szCs w:val="20"/>
        </w:rPr>
      </w:pPr>
      <w:r w:rsidRPr="008E28EA">
        <w:rPr>
          <w:sz w:val="20"/>
          <w:szCs w:val="20"/>
        </w:rPr>
        <w:lastRenderedPageBreak/>
        <w:t>A total of 200 cases were followed-up consisted of 111 (55.5%) males and 89 (44.5%) females (table 1). seventy eight (97%) in</w:t>
      </w:r>
      <w:r w:rsidRPr="008E28EA">
        <w:rPr>
          <w:sz w:val="20"/>
          <w:szCs w:val="20"/>
        </w:rPr>
        <w:softHyphen/>
        <w:t>fants were born by cesarean section and (3%) only by vaginal delivery</w:t>
      </w:r>
      <w:r>
        <w:rPr>
          <w:sz w:val="20"/>
          <w:szCs w:val="20"/>
          <w:lang w:eastAsia="zh-CN"/>
        </w:rPr>
        <w:t xml:space="preserve"> </w:t>
      </w:r>
      <w:r w:rsidRPr="008E28EA">
        <w:rPr>
          <w:sz w:val="20"/>
          <w:szCs w:val="20"/>
        </w:rPr>
        <w:t>(table 2). Apgar scores were normal (9 - 10) at birth in all cases. The mean gestational age was 38.7 weeks and the mean birth weight 3100 grams (table 3).</w:t>
      </w:r>
    </w:p>
    <w:p w:rsidR="003F3A1A" w:rsidRPr="008E28EA" w:rsidRDefault="003F3A1A" w:rsidP="008E28EA">
      <w:pPr>
        <w:bidi w:val="0"/>
        <w:snapToGrid w:val="0"/>
        <w:ind w:firstLine="425"/>
        <w:jc w:val="both"/>
        <w:rPr>
          <w:sz w:val="20"/>
          <w:szCs w:val="20"/>
        </w:rPr>
      </w:pPr>
      <w:r w:rsidRPr="008E28EA">
        <w:rPr>
          <w:sz w:val="20"/>
          <w:szCs w:val="20"/>
        </w:rPr>
        <w:t>Neonates classified into 3 groups according to total serum bilirubin, In group І bilirubin level ranged between 2 and 5 (with mean ± SD 3.75 ±.99), in group П bilirubin value ranged between 6</w:t>
      </w:r>
      <w:r>
        <w:rPr>
          <w:sz w:val="20"/>
          <w:szCs w:val="20"/>
        </w:rPr>
        <w:t xml:space="preserve"> </w:t>
      </w:r>
      <w:r w:rsidRPr="008E28EA">
        <w:rPr>
          <w:sz w:val="20"/>
          <w:szCs w:val="20"/>
        </w:rPr>
        <w:t>and 14 (with mean ± SD 10.22 ± 2.4), in group Ш bilirubin value ranged between 15 and 27 (with mean ± SD 16.84 ± 2.89) (table 4).</w:t>
      </w:r>
    </w:p>
    <w:p w:rsidR="003F3A1A" w:rsidRPr="008E28EA" w:rsidRDefault="003F3A1A" w:rsidP="008E28EA">
      <w:pPr>
        <w:bidi w:val="0"/>
        <w:snapToGrid w:val="0"/>
        <w:ind w:firstLine="425"/>
        <w:jc w:val="both"/>
        <w:rPr>
          <w:sz w:val="20"/>
          <w:szCs w:val="20"/>
        </w:rPr>
      </w:pPr>
      <w:r w:rsidRPr="008E28EA">
        <w:rPr>
          <w:sz w:val="20"/>
          <w:szCs w:val="20"/>
        </w:rPr>
        <w:t xml:space="preserve">And In group І ALP value ranged between 108 and 383 (with mean ± SD 205.7 ± 53.49), in group П ALP value ranged between 138 and 440 (with mean ± SD 156.45 ± 62.85), in group Ш ALP value ranged between 210 and 420 (with mean ± SD 353.11 ± </w:t>
      </w:r>
      <w:r w:rsidRPr="008E28EA">
        <w:rPr>
          <w:sz w:val="20"/>
          <w:szCs w:val="20"/>
        </w:rPr>
        <w:lastRenderedPageBreak/>
        <w:t>48.48) (table 5).</w:t>
      </w:r>
      <w:r>
        <w:rPr>
          <w:sz w:val="20"/>
          <w:szCs w:val="20"/>
        </w:rPr>
        <w:t xml:space="preserve"> </w:t>
      </w:r>
      <w:r w:rsidRPr="008E28EA">
        <w:rPr>
          <w:sz w:val="20"/>
          <w:szCs w:val="20"/>
        </w:rPr>
        <w:t>The best cut off point for serum alkaline phosphatase to predict neonates needed treatment of NJ was found &gt; 315 with sensitivity 84.2% and specificity of 84.48% and area under curve 88.8</w:t>
      </w:r>
      <w:r>
        <w:rPr>
          <w:sz w:val="20"/>
          <w:szCs w:val="20"/>
        </w:rPr>
        <w:t>%</w:t>
      </w:r>
      <w:r>
        <w:rPr>
          <w:sz w:val="20"/>
          <w:szCs w:val="20"/>
          <w:lang w:eastAsia="zh-CN"/>
        </w:rPr>
        <w:t xml:space="preserve"> </w:t>
      </w:r>
      <w:r w:rsidRPr="008E28EA">
        <w:rPr>
          <w:sz w:val="20"/>
          <w:szCs w:val="20"/>
        </w:rPr>
        <w:t>(table 6) (figure 1). 20% of all cases in the study with siblings with neonatal jaundice.</w:t>
      </w:r>
    </w:p>
    <w:p w:rsidR="003F3A1A" w:rsidRDefault="003F3A1A" w:rsidP="008E28EA">
      <w:pPr>
        <w:bidi w:val="0"/>
        <w:snapToGrid w:val="0"/>
        <w:ind w:firstLine="425"/>
        <w:jc w:val="both"/>
        <w:rPr>
          <w:sz w:val="20"/>
          <w:szCs w:val="20"/>
          <w:lang w:eastAsia="zh-CN" w:bidi="ar-EG"/>
        </w:rPr>
      </w:pPr>
      <w:r>
        <w:rPr>
          <w:sz w:val="20"/>
          <w:szCs w:val="20"/>
          <w:lang w:eastAsia="zh-CN"/>
        </w:rPr>
        <w:t>T</w:t>
      </w:r>
      <w:r w:rsidRPr="008E28EA">
        <w:rPr>
          <w:sz w:val="20"/>
          <w:szCs w:val="20"/>
        </w:rPr>
        <w:t>he distribution of blood groups of neonates in the third group showing that neonates with blood group A+ were 9 neonates and represent (47.4%), B + were 5 neonates and represent (26.3%), O + were 2 neonates and represent (10.5%), AB – were 1 neonate and represent (5.3%) and AB + were 2 and represent (10.2%) of all cases in the third group. But distribution of blood groups for mothers in the third group showing that mothers with blood group A+ were 9 and represent (47.4%), A - were 2 and represent (10.5%), O + were 6 and represent (31.6%), O – were 1 and represent (5.3%) and AB - were 1 and represent (5.3%).</w:t>
      </w:r>
    </w:p>
    <w:p w:rsidR="003F3A1A" w:rsidRDefault="003F3A1A" w:rsidP="008E28EA">
      <w:pPr>
        <w:bidi w:val="0"/>
        <w:snapToGrid w:val="0"/>
        <w:jc w:val="center"/>
        <w:rPr>
          <w:sz w:val="20"/>
          <w:szCs w:val="20"/>
          <w:lang w:eastAsia="zh-CN" w:bidi="ar-EG"/>
        </w:rPr>
        <w:sectPr w:rsidR="003F3A1A" w:rsidSect="008E28EA">
          <w:type w:val="continuous"/>
          <w:pgSz w:w="12242" w:h="15842" w:code="1"/>
          <w:pgMar w:top="1440" w:right="1440" w:bottom="1440" w:left="1440" w:header="720" w:footer="720" w:gutter="0"/>
          <w:cols w:num="2" w:space="600"/>
          <w:docGrid w:linePitch="360"/>
        </w:sectPr>
      </w:pPr>
    </w:p>
    <w:p w:rsidR="003F3A1A" w:rsidRDefault="003F3A1A" w:rsidP="008E28EA">
      <w:pPr>
        <w:bidi w:val="0"/>
        <w:snapToGrid w:val="0"/>
        <w:jc w:val="center"/>
        <w:rPr>
          <w:sz w:val="20"/>
          <w:szCs w:val="20"/>
          <w:lang w:eastAsia="zh-CN" w:bidi="ar-EG"/>
        </w:rPr>
      </w:pPr>
    </w:p>
    <w:p w:rsidR="003F3A1A" w:rsidRPr="008E28EA" w:rsidRDefault="003F3A1A" w:rsidP="008E28EA">
      <w:pPr>
        <w:bidi w:val="0"/>
        <w:snapToGrid w:val="0"/>
        <w:jc w:val="center"/>
        <w:rPr>
          <w:sz w:val="20"/>
          <w:szCs w:val="20"/>
          <w:lang w:bidi="ar-EG"/>
        </w:rPr>
      </w:pPr>
      <w:r w:rsidRPr="008E28EA">
        <w:rPr>
          <w:sz w:val="20"/>
          <w:szCs w:val="20"/>
        </w:rPr>
        <w:t>Table 4. Comparison between three groups as regards Billirubin.</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386"/>
        <w:gridCol w:w="1987"/>
        <w:gridCol w:w="1922"/>
        <w:gridCol w:w="1921"/>
        <w:gridCol w:w="1190"/>
        <w:gridCol w:w="1172"/>
      </w:tblGrid>
      <w:tr w:rsidR="003F3A1A" w:rsidRPr="008E28EA" w:rsidTr="008E28EA">
        <w:trPr>
          <w:jc w:val="center"/>
        </w:trPr>
        <w:tc>
          <w:tcPr>
            <w:tcW w:w="723" w:type="pct"/>
            <w:vMerge w:val="restart"/>
            <w:tcBorders>
              <w:top w:val="single" w:sz="18" w:space="0" w:color="000000"/>
            </w:tcBorders>
            <w:vAlign w:val="center"/>
          </w:tcPr>
          <w:p w:rsidR="003F3A1A" w:rsidRPr="008E28EA" w:rsidRDefault="003F3A1A" w:rsidP="008E28EA">
            <w:pPr>
              <w:bidi w:val="0"/>
              <w:snapToGrid w:val="0"/>
              <w:jc w:val="both"/>
              <w:rPr>
                <w:b/>
                <w:bCs/>
                <w:color w:val="000000"/>
                <w:sz w:val="20"/>
                <w:szCs w:val="20"/>
              </w:rPr>
            </w:pPr>
            <w:r w:rsidRPr="008E28EA">
              <w:rPr>
                <w:b/>
                <w:bCs/>
                <w:color w:val="000000"/>
                <w:sz w:val="20"/>
                <w:szCs w:val="20"/>
              </w:rPr>
              <w:t>TSB</w:t>
            </w:r>
          </w:p>
        </w:tc>
        <w:tc>
          <w:tcPr>
            <w:tcW w:w="1037"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1</w:t>
            </w:r>
          </w:p>
          <w:p w:rsidR="003F3A1A" w:rsidRPr="008E28EA" w:rsidRDefault="003F3A1A" w:rsidP="008E28EA">
            <w:pPr>
              <w:bidi w:val="0"/>
              <w:snapToGrid w:val="0"/>
              <w:jc w:val="both"/>
              <w:rPr>
                <w:b/>
                <w:color w:val="000000"/>
                <w:sz w:val="20"/>
                <w:szCs w:val="20"/>
              </w:rPr>
            </w:pPr>
            <w:r w:rsidRPr="008E28EA">
              <w:rPr>
                <w:b/>
                <w:color w:val="000000"/>
                <w:sz w:val="20"/>
                <w:szCs w:val="20"/>
              </w:rPr>
              <w:t>No. = 64</w:t>
            </w:r>
          </w:p>
        </w:tc>
        <w:tc>
          <w:tcPr>
            <w:tcW w:w="1003"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2</w:t>
            </w:r>
          </w:p>
          <w:p w:rsidR="003F3A1A" w:rsidRPr="008E28EA" w:rsidRDefault="003F3A1A" w:rsidP="008E28EA">
            <w:pPr>
              <w:bidi w:val="0"/>
              <w:snapToGrid w:val="0"/>
              <w:jc w:val="both"/>
              <w:rPr>
                <w:b/>
                <w:color w:val="000000"/>
                <w:sz w:val="20"/>
                <w:szCs w:val="20"/>
              </w:rPr>
            </w:pPr>
            <w:r w:rsidRPr="008E28EA">
              <w:rPr>
                <w:b/>
                <w:color w:val="000000"/>
                <w:sz w:val="20"/>
                <w:szCs w:val="20"/>
              </w:rPr>
              <w:t>No. = 117</w:t>
            </w:r>
          </w:p>
        </w:tc>
        <w:tc>
          <w:tcPr>
            <w:tcW w:w="1003"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3</w:t>
            </w:r>
          </w:p>
          <w:p w:rsidR="003F3A1A" w:rsidRPr="008E28EA" w:rsidRDefault="003F3A1A" w:rsidP="008E28EA">
            <w:pPr>
              <w:bidi w:val="0"/>
              <w:snapToGrid w:val="0"/>
              <w:jc w:val="both"/>
              <w:rPr>
                <w:b/>
                <w:color w:val="000000"/>
                <w:sz w:val="20"/>
                <w:szCs w:val="20"/>
              </w:rPr>
            </w:pPr>
            <w:r w:rsidRPr="008E28EA">
              <w:rPr>
                <w:b/>
                <w:color w:val="000000"/>
                <w:sz w:val="20"/>
                <w:szCs w:val="20"/>
              </w:rPr>
              <w:t>No. = 19</w:t>
            </w:r>
          </w:p>
        </w:tc>
        <w:tc>
          <w:tcPr>
            <w:tcW w:w="1233" w:type="pct"/>
            <w:gridSpan w:val="2"/>
            <w:tcBorders>
              <w:top w:val="single" w:sz="18" w:space="0" w:color="000000"/>
            </w:tcBorders>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One Way ANOVA</w:t>
            </w:r>
          </w:p>
        </w:tc>
      </w:tr>
      <w:tr w:rsidR="003F3A1A" w:rsidRPr="008E28EA" w:rsidTr="008E28EA">
        <w:trPr>
          <w:jc w:val="center"/>
        </w:trPr>
        <w:tc>
          <w:tcPr>
            <w:tcW w:w="723" w:type="pct"/>
            <w:vMerge/>
            <w:vAlign w:val="center"/>
          </w:tcPr>
          <w:p w:rsidR="003F3A1A" w:rsidRPr="008E28EA" w:rsidRDefault="003F3A1A" w:rsidP="008E28EA">
            <w:pPr>
              <w:bidi w:val="0"/>
              <w:snapToGrid w:val="0"/>
              <w:jc w:val="both"/>
              <w:rPr>
                <w:color w:val="000000"/>
                <w:sz w:val="20"/>
                <w:szCs w:val="20"/>
              </w:rPr>
            </w:pPr>
          </w:p>
        </w:tc>
        <w:tc>
          <w:tcPr>
            <w:tcW w:w="1037" w:type="pct"/>
            <w:vMerge/>
            <w:vAlign w:val="center"/>
          </w:tcPr>
          <w:p w:rsidR="003F3A1A" w:rsidRPr="008E28EA" w:rsidRDefault="003F3A1A" w:rsidP="008E28EA">
            <w:pPr>
              <w:bidi w:val="0"/>
              <w:snapToGrid w:val="0"/>
              <w:jc w:val="both"/>
              <w:rPr>
                <w:color w:val="000000"/>
                <w:sz w:val="20"/>
                <w:szCs w:val="20"/>
              </w:rPr>
            </w:pPr>
          </w:p>
        </w:tc>
        <w:tc>
          <w:tcPr>
            <w:tcW w:w="1003" w:type="pct"/>
            <w:vMerge/>
            <w:vAlign w:val="center"/>
          </w:tcPr>
          <w:p w:rsidR="003F3A1A" w:rsidRPr="008E28EA" w:rsidRDefault="003F3A1A" w:rsidP="008E28EA">
            <w:pPr>
              <w:bidi w:val="0"/>
              <w:snapToGrid w:val="0"/>
              <w:jc w:val="both"/>
              <w:rPr>
                <w:color w:val="000000"/>
                <w:sz w:val="20"/>
                <w:szCs w:val="20"/>
              </w:rPr>
            </w:pPr>
          </w:p>
        </w:tc>
        <w:tc>
          <w:tcPr>
            <w:tcW w:w="1003" w:type="pct"/>
            <w:vMerge/>
            <w:vAlign w:val="center"/>
          </w:tcPr>
          <w:p w:rsidR="003F3A1A" w:rsidRPr="008E28EA" w:rsidRDefault="003F3A1A" w:rsidP="008E28EA">
            <w:pPr>
              <w:bidi w:val="0"/>
              <w:snapToGrid w:val="0"/>
              <w:jc w:val="both"/>
              <w:rPr>
                <w:color w:val="000000"/>
                <w:sz w:val="20"/>
                <w:szCs w:val="20"/>
              </w:rPr>
            </w:pPr>
          </w:p>
        </w:tc>
        <w:tc>
          <w:tcPr>
            <w:tcW w:w="621"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F</w:t>
            </w:r>
          </w:p>
        </w:tc>
        <w:tc>
          <w:tcPr>
            <w:tcW w:w="612"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P-value</w:t>
            </w:r>
          </w:p>
        </w:tc>
      </w:tr>
      <w:tr w:rsidR="003F3A1A" w:rsidRPr="008E28EA" w:rsidTr="008E28EA">
        <w:trPr>
          <w:jc w:val="center"/>
        </w:trPr>
        <w:tc>
          <w:tcPr>
            <w:tcW w:w="723" w:type="pct"/>
            <w:tcBorders>
              <w:bottom w:val="nil"/>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Mean±SD</w:t>
            </w:r>
          </w:p>
        </w:tc>
        <w:tc>
          <w:tcPr>
            <w:tcW w:w="1037"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3.75 ± 0.99</w:t>
            </w:r>
          </w:p>
        </w:tc>
        <w:tc>
          <w:tcPr>
            <w:tcW w:w="1003"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10.22 ± 2.40</w:t>
            </w:r>
          </w:p>
        </w:tc>
        <w:tc>
          <w:tcPr>
            <w:tcW w:w="1003"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16.84 ± 2.89</w:t>
            </w:r>
          </w:p>
        </w:tc>
        <w:tc>
          <w:tcPr>
            <w:tcW w:w="621"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346.094</w:t>
            </w:r>
          </w:p>
        </w:tc>
        <w:tc>
          <w:tcPr>
            <w:tcW w:w="612"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0.000</w:t>
            </w:r>
          </w:p>
        </w:tc>
      </w:tr>
      <w:tr w:rsidR="003F3A1A" w:rsidRPr="008E28EA" w:rsidTr="008E28EA">
        <w:trPr>
          <w:jc w:val="center"/>
        </w:trPr>
        <w:tc>
          <w:tcPr>
            <w:tcW w:w="723" w:type="pct"/>
            <w:tcBorders>
              <w:top w:val="nil"/>
              <w:bottom w:val="single" w:sz="18" w:space="0" w:color="000000"/>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Range</w:t>
            </w:r>
          </w:p>
        </w:tc>
        <w:tc>
          <w:tcPr>
            <w:tcW w:w="1037"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 – 5</w:t>
            </w:r>
          </w:p>
        </w:tc>
        <w:tc>
          <w:tcPr>
            <w:tcW w:w="1003"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6 – 14</w:t>
            </w:r>
          </w:p>
        </w:tc>
        <w:tc>
          <w:tcPr>
            <w:tcW w:w="1003"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15 – 27</w:t>
            </w:r>
          </w:p>
        </w:tc>
        <w:tc>
          <w:tcPr>
            <w:tcW w:w="621"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612"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r>
    </w:tbl>
    <w:p w:rsidR="003F3A1A" w:rsidRPr="008E28EA" w:rsidRDefault="003F3A1A" w:rsidP="008E28EA">
      <w:pPr>
        <w:bidi w:val="0"/>
        <w:snapToGrid w:val="0"/>
        <w:jc w:val="center"/>
        <w:rPr>
          <w:sz w:val="20"/>
          <w:szCs w:val="20"/>
        </w:rPr>
      </w:pPr>
    </w:p>
    <w:p w:rsidR="003F3A1A" w:rsidRPr="008E28EA" w:rsidRDefault="003F3A1A" w:rsidP="008E28EA">
      <w:pPr>
        <w:bidi w:val="0"/>
        <w:snapToGrid w:val="0"/>
        <w:jc w:val="center"/>
        <w:rPr>
          <w:sz w:val="20"/>
          <w:szCs w:val="20"/>
        </w:rPr>
      </w:pPr>
      <w:r w:rsidRPr="008E28EA">
        <w:rPr>
          <w:sz w:val="20"/>
          <w:szCs w:val="20"/>
        </w:rPr>
        <w:t>Table 5. ALP range, mean and standard deviation in the 3 studied groups.</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1386"/>
        <w:gridCol w:w="1987"/>
        <w:gridCol w:w="1922"/>
        <w:gridCol w:w="1921"/>
        <w:gridCol w:w="1190"/>
        <w:gridCol w:w="1172"/>
      </w:tblGrid>
      <w:tr w:rsidR="003F3A1A" w:rsidRPr="008E28EA" w:rsidTr="008E28EA">
        <w:trPr>
          <w:jc w:val="center"/>
        </w:trPr>
        <w:tc>
          <w:tcPr>
            <w:tcW w:w="723" w:type="pct"/>
            <w:vMerge w:val="restart"/>
            <w:tcBorders>
              <w:top w:val="single" w:sz="18" w:space="0" w:color="000000"/>
            </w:tcBorders>
            <w:vAlign w:val="center"/>
          </w:tcPr>
          <w:p w:rsidR="003F3A1A" w:rsidRPr="008E28EA" w:rsidRDefault="003F3A1A" w:rsidP="008E28EA">
            <w:pPr>
              <w:bidi w:val="0"/>
              <w:snapToGrid w:val="0"/>
              <w:jc w:val="both"/>
              <w:rPr>
                <w:b/>
                <w:bCs/>
                <w:color w:val="000000"/>
                <w:sz w:val="20"/>
                <w:szCs w:val="20"/>
              </w:rPr>
            </w:pPr>
            <w:r w:rsidRPr="008E28EA">
              <w:rPr>
                <w:b/>
                <w:bCs/>
                <w:color w:val="000000"/>
                <w:sz w:val="20"/>
                <w:szCs w:val="20"/>
              </w:rPr>
              <w:t>ALP*</w:t>
            </w:r>
          </w:p>
        </w:tc>
        <w:tc>
          <w:tcPr>
            <w:tcW w:w="1037"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1</w:t>
            </w:r>
          </w:p>
          <w:p w:rsidR="003F3A1A" w:rsidRPr="008E28EA" w:rsidRDefault="003F3A1A" w:rsidP="008E28EA">
            <w:pPr>
              <w:bidi w:val="0"/>
              <w:snapToGrid w:val="0"/>
              <w:jc w:val="both"/>
              <w:rPr>
                <w:b/>
                <w:color w:val="000000"/>
                <w:sz w:val="20"/>
                <w:szCs w:val="20"/>
              </w:rPr>
            </w:pPr>
            <w:r w:rsidRPr="008E28EA">
              <w:rPr>
                <w:b/>
                <w:color w:val="000000"/>
                <w:sz w:val="20"/>
                <w:szCs w:val="20"/>
              </w:rPr>
              <w:t>No. = 64</w:t>
            </w:r>
          </w:p>
        </w:tc>
        <w:tc>
          <w:tcPr>
            <w:tcW w:w="1003"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2</w:t>
            </w:r>
          </w:p>
          <w:p w:rsidR="003F3A1A" w:rsidRPr="008E28EA" w:rsidRDefault="003F3A1A" w:rsidP="008E28EA">
            <w:pPr>
              <w:bidi w:val="0"/>
              <w:snapToGrid w:val="0"/>
              <w:jc w:val="both"/>
              <w:rPr>
                <w:b/>
                <w:color w:val="000000"/>
                <w:sz w:val="20"/>
                <w:szCs w:val="20"/>
              </w:rPr>
            </w:pPr>
            <w:r w:rsidRPr="008E28EA">
              <w:rPr>
                <w:b/>
                <w:color w:val="000000"/>
                <w:sz w:val="20"/>
                <w:szCs w:val="20"/>
              </w:rPr>
              <w:t>No. = 117</w:t>
            </w:r>
          </w:p>
        </w:tc>
        <w:tc>
          <w:tcPr>
            <w:tcW w:w="1003" w:type="pct"/>
            <w:vMerge w:val="restart"/>
            <w:tcBorders>
              <w:top w:val="single" w:sz="18" w:space="0" w:color="000000"/>
            </w:tcBorders>
            <w:noWrap/>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Group 3</w:t>
            </w:r>
          </w:p>
          <w:p w:rsidR="003F3A1A" w:rsidRPr="008E28EA" w:rsidRDefault="003F3A1A" w:rsidP="008E28EA">
            <w:pPr>
              <w:bidi w:val="0"/>
              <w:snapToGrid w:val="0"/>
              <w:jc w:val="both"/>
              <w:rPr>
                <w:b/>
                <w:color w:val="000000"/>
                <w:sz w:val="20"/>
                <w:szCs w:val="20"/>
              </w:rPr>
            </w:pPr>
            <w:r w:rsidRPr="008E28EA">
              <w:rPr>
                <w:b/>
                <w:color w:val="000000"/>
                <w:sz w:val="20"/>
                <w:szCs w:val="20"/>
              </w:rPr>
              <w:t>No. = 19</w:t>
            </w:r>
          </w:p>
        </w:tc>
        <w:tc>
          <w:tcPr>
            <w:tcW w:w="1233" w:type="pct"/>
            <w:gridSpan w:val="2"/>
            <w:tcBorders>
              <w:top w:val="single" w:sz="18" w:space="0" w:color="000000"/>
            </w:tcBorders>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One Way ANOVA</w:t>
            </w:r>
          </w:p>
        </w:tc>
      </w:tr>
      <w:tr w:rsidR="003F3A1A" w:rsidRPr="008E28EA" w:rsidTr="008E28EA">
        <w:trPr>
          <w:jc w:val="center"/>
        </w:trPr>
        <w:tc>
          <w:tcPr>
            <w:tcW w:w="723" w:type="pct"/>
            <w:vMerge/>
            <w:vAlign w:val="center"/>
          </w:tcPr>
          <w:p w:rsidR="003F3A1A" w:rsidRPr="008E28EA" w:rsidRDefault="003F3A1A" w:rsidP="008E28EA">
            <w:pPr>
              <w:bidi w:val="0"/>
              <w:snapToGrid w:val="0"/>
              <w:jc w:val="both"/>
              <w:rPr>
                <w:color w:val="000000"/>
                <w:sz w:val="20"/>
                <w:szCs w:val="20"/>
              </w:rPr>
            </w:pPr>
          </w:p>
        </w:tc>
        <w:tc>
          <w:tcPr>
            <w:tcW w:w="1037" w:type="pct"/>
            <w:vMerge/>
            <w:vAlign w:val="center"/>
          </w:tcPr>
          <w:p w:rsidR="003F3A1A" w:rsidRPr="008E28EA" w:rsidRDefault="003F3A1A" w:rsidP="008E28EA">
            <w:pPr>
              <w:bidi w:val="0"/>
              <w:snapToGrid w:val="0"/>
              <w:jc w:val="both"/>
              <w:rPr>
                <w:color w:val="000000"/>
                <w:sz w:val="20"/>
                <w:szCs w:val="20"/>
              </w:rPr>
            </w:pPr>
          </w:p>
        </w:tc>
        <w:tc>
          <w:tcPr>
            <w:tcW w:w="1003" w:type="pct"/>
            <w:vMerge/>
            <w:vAlign w:val="center"/>
          </w:tcPr>
          <w:p w:rsidR="003F3A1A" w:rsidRPr="008E28EA" w:rsidRDefault="003F3A1A" w:rsidP="008E28EA">
            <w:pPr>
              <w:bidi w:val="0"/>
              <w:snapToGrid w:val="0"/>
              <w:jc w:val="both"/>
              <w:rPr>
                <w:color w:val="000000"/>
                <w:sz w:val="20"/>
                <w:szCs w:val="20"/>
              </w:rPr>
            </w:pPr>
          </w:p>
        </w:tc>
        <w:tc>
          <w:tcPr>
            <w:tcW w:w="1003" w:type="pct"/>
            <w:vMerge/>
            <w:vAlign w:val="center"/>
          </w:tcPr>
          <w:p w:rsidR="003F3A1A" w:rsidRPr="008E28EA" w:rsidRDefault="003F3A1A" w:rsidP="008E28EA">
            <w:pPr>
              <w:bidi w:val="0"/>
              <w:snapToGrid w:val="0"/>
              <w:jc w:val="both"/>
              <w:rPr>
                <w:color w:val="000000"/>
                <w:sz w:val="20"/>
                <w:szCs w:val="20"/>
              </w:rPr>
            </w:pPr>
          </w:p>
        </w:tc>
        <w:tc>
          <w:tcPr>
            <w:tcW w:w="621"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F</w:t>
            </w:r>
          </w:p>
        </w:tc>
        <w:tc>
          <w:tcPr>
            <w:tcW w:w="612" w:type="pct"/>
            <w:vAlign w:val="center"/>
          </w:tcPr>
          <w:p w:rsidR="003F3A1A" w:rsidRPr="008E28EA" w:rsidRDefault="003F3A1A" w:rsidP="008E28EA">
            <w:pPr>
              <w:bidi w:val="0"/>
              <w:snapToGrid w:val="0"/>
              <w:jc w:val="both"/>
              <w:rPr>
                <w:b/>
                <w:color w:val="000000"/>
                <w:sz w:val="20"/>
                <w:szCs w:val="20"/>
              </w:rPr>
            </w:pPr>
            <w:r w:rsidRPr="008E28EA">
              <w:rPr>
                <w:b/>
                <w:color w:val="000000"/>
                <w:sz w:val="20"/>
                <w:szCs w:val="20"/>
              </w:rPr>
              <w:t>P-value</w:t>
            </w:r>
          </w:p>
        </w:tc>
      </w:tr>
      <w:tr w:rsidR="003F3A1A" w:rsidRPr="008E28EA" w:rsidTr="008E28EA">
        <w:trPr>
          <w:jc w:val="center"/>
        </w:trPr>
        <w:tc>
          <w:tcPr>
            <w:tcW w:w="723" w:type="pct"/>
            <w:tcBorders>
              <w:bottom w:val="nil"/>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Mean±SD</w:t>
            </w:r>
          </w:p>
        </w:tc>
        <w:tc>
          <w:tcPr>
            <w:tcW w:w="1037"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205.72</w:t>
            </w:r>
            <w:r>
              <w:rPr>
                <w:color w:val="000000"/>
                <w:sz w:val="20"/>
                <w:szCs w:val="20"/>
              </w:rPr>
              <w:t xml:space="preserve"> </w:t>
            </w:r>
            <w:r w:rsidRPr="008E28EA">
              <w:rPr>
                <w:color w:val="000000"/>
                <w:sz w:val="20"/>
                <w:szCs w:val="20"/>
              </w:rPr>
              <w:t>± 53.49</w:t>
            </w:r>
          </w:p>
        </w:tc>
        <w:tc>
          <w:tcPr>
            <w:tcW w:w="1003"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256.45 ± 62.85</w:t>
            </w:r>
          </w:p>
        </w:tc>
        <w:tc>
          <w:tcPr>
            <w:tcW w:w="1003" w:type="pct"/>
            <w:tcBorders>
              <w:bottom w:val="nil"/>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353.11 ± 48.48</w:t>
            </w:r>
          </w:p>
        </w:tc>
        <w:tc>
          <w:tcPr>
            <w:tcW w:w="621"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48.099</w:t>
            </w:r>
          </w:p>
        </w:tc>
        <w:tc>
          <w:tcPr>
            <w:tcW w:w="612" w:type="pct"/>
            <w:vMerge w:val="restart"/>
            <w:vAlign w:val="center"/>
          </w:tcPr>
          <w:p w:rsidR="003F3A1A" w:rsidRPr="008E28EA" w:rsidRDefault="003F3A1A" w:rsidP="008E28EA">
            <w:pPr>
              <w:bidi w:val="0"/>
              <w:snapToGrid w:val="0"/>
              <w:jc w:val="both"/>
              <w:rPr>
                <w:color w:val="000000"/>
                <w:sz w:val="20"/>
                <w:szCs w:val="20"/>
              </w:rPr>
            </w:pPr>
            <w:r w:rsidRPr="008E28EA">
              <w:rPr>
                <w:color w:val="000000"/>
                <w:sz w:val="20"/>
                <w:szCs w:val="20"/>
              </w:rPr>
              <w:t>0.000</w:t>
            </w:r>
          </w:p>
        </w:tc>
      </w:tr>
      <w:tr w:rsidR="003F3A1A" w:rsidRPr="008E28EA" w:rsidTr="008E28EA">
        <w:trPr>
          <w:jc w:val="center"/>
        </w:trPr>
        <w:tc>
          <w:tcPr>
            <w:tcW w:w="723" w:type="pct"/>
            <w:tcBorders>
              <w:top w:val="nil"/>
              <w:bottom w:val="single" w:sz="18" w:space="0" w:color="000000"/>
            </w:tcBorders>
            <w:vAlign w:val="center"/>
          </w:tcPr>
          <w:p w:rsidR="003F3A1A" w:rsidRPr="008E28EA" w:rsidRDefault="003F3A1A" w:rsidP="008E28EA">
            <w:pPr>
              <w:bidi w:val="0"/>
              <w:snapToGrid w:val="0"/>
              <w:jc w:val="both"/>
              <w:rPr>
                <w:color w:val="000000"/>
                <w:sz w:val="20"/>
                <w:szCs w:val="20"/>
              </w:rPr>
            </w:pPr>
            <w:r w:rsidRPr="008E28EA">
              <w:rPr>
                <w:color w:val="000000"/>
                <w:sz w:val="20"/>
                <w:szCs w:val="20"/>
              </w:rPr>
              <w:t>Range</w:t>
            </w:r>
          </w:p>
        </w:tc>
        <w:tc>
          <w:tcPr>
            <w:tcW w:w="1037"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108 – 383</w:t>
            </w:r>
          </w:p>
        </w:tc>
        <w:tc>
          <w:tcPr>
            <w:tcW w:w="1003"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138 – 440</w:t>
            </w:r>
          </w:p>
        </w:tc>
        <w:tc>
          <w:tcPr>
            <w:tcW w:w="1003" w:type="pct"/>
            <w:tcBorders>
              <w:top w:val="nil"/>
              <w:bottom w:val="single" w:sz="18" w:space="0" w:color="000000"/>
            </w:tcBorders>
            <w:noWrap/>
            <w:vAlign w:val="center"/>
          </w:tcPr>
          <w:p w:rsidR="003F3A1A" w:rsidRPr="008E28EA" w:rsidRDefault="003F3A1A" w:rsidP="008E28EA">
            <w:pPr>
              <w:bidi w:val="0"/>
              <w:snapToGrid w:val="0"/>
              <w:jc w:val="both"/>
              <w:rPr>
                <w:color w:val="000000"/>
                <w:sz w:val="20"/>
                <w:szCs w:val="20"/>
              </w:rPr>
            </w:pPr>
            <w:r w:rsidRPr="008E28EA">
              <w:rPr>
                <w:color w:val="000000"/>
                <w:sz w:val="20"/>
                <w:szCs w:val="20"/>
              </w:rPr>
              <w:t>210 – 420</w:t>
            </w:r>
          </w:p>
        </w:tc>
        <w:tc>
          <w:tcPr>
            <w:tcW w:w="621"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c>
          <w:tcPr>
            <w:tcW w:w="612" w:type="pct"/>
            <w:vMerge/>
            <w:tcBorders>
              <w:bottom w:val="single" w:sz="18" w:space="0" w:color="000000"/>
            </w:tcBorders>
            <w:vAlign w:val="center"/>
          </w:tcPr>
          <w:p w:rsidR="003F3A1A" w:rsidRPr="008E28EA" w:rsidRDefault="003F3A1A" w:rsidP="008E28EA">
            <w:pPr>
              <w:bidi w:val="0"/>
              <w:snapToGrid w:val="0"/>
              <w:jc w:val="both"/>
              <w:rPr>
                <w:color w:val="000000"/>
                <w:sz w:val="20"/>
                <w:szCs w:val="20"/>
              </w:rPr>
            </w:pPr>
          </w:p>
        </w:tc>
      </w:tr>
    </w:tbl>
    <w:p w:rsidR="003F3A1A" w:rsidRPr="008E28EA" w:rsidRDefault="003F3A1A" w:rsidP="008E28EA">
      <w:pPr>
        <w:bidi w:val="0"/>
        <w:snapToGrid w:val="0"/>
        <w:jc w:val="center"/>
        <w:rPr>
          <w:sz w:val="20"/>
          <w:szCs w:val="20"/>
          <w:lang w:bidi="ar-EG"/>
        </w:rPr>
      </w:pPr>
    </w:p>
    <w:p w:rsidR="003F3A1A" w:rsidRDefault="003F3A1A" w:rsidP="008E28EA">
      <w:pPr>
        <w:bidi w:val="0"/>
        <w:snapToGrid w:val="0"/>
        <w:jc w:val="both"/>
        <w:rPr>
          <w:sz w:val="20"/>
          <w:szCs w:val="20"/>
          <w:lang w:eastAsia="zh-CN"/>
        </w:rPr>
      </w:pPr>
      <w:r w:rsidRPr="008E28EA">
        <w:rPr>
          <w:sz w:val="20"/>
          <w:szCs w:val="20"/>
        </w:rPr>
        <w:t>Table 6.</w:t>
      </w:r>
      <w:r>
        <w:rPr>
          <w:sz w:val="20"/>
          <w:szCs w:val="20"/>
        </w:rPr>
        <w:t xml:space="preserve"> </w:t>
      </w:r>
      <w:r w:rsidRPr="008E28EA">
        <w:rPr>
          <w:sz w:val="20"/>
          <w:szCs w:val="20"/>
        </w:rPr>
        <w:t>figure 1: The previous ROC curve shows that the best cut off point for serum alkaline phosphatase to predict neonates needed treatment of NJ was found &gt; 315 with sensitivity 84.2% and specificity of 84.48% and area under curve 88.8%.</w:t>
      </w:r>
    </w:p>
    <w:tbl>
      <w:tblPr>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2143"/>
        <w:gridCol w:w="1025"/>
        <w:gridCol w:w="2070"/>
        <w:gridCol w:w="2068"/>
        <w:gridCol w:w="1083"/>
        <w:gridCol w:w="1082"/>
      </w:tblGrid>
      <w:tr w:rsidR="003F3A1A" w:rsidRPr="008E28EA" w:rsidTr="008E28EA">
        <w:trPr>
          <w:jc w:val="center"/>
        </w:trPr>
        <w:tc>
          <w:tcPr>
            <w:tcW w:w="1131" w:type="pct"/>
            <w:tcBorders>
              <w:top w:val="single" w:sz="18" w:space="0" w:color="000000"/>
            </w:tcBorders>
            <w:shd w:val="clear" w:color="auto" w:fill="F1EFE2"/>
          </w:tcPr>
          <w:p w:rsidR="003F3A1A" w:rsidRPr="008E28EA" w:rsidRDefault="003F3A1A" w:rsidP="008E28EA">
            <w:pPr>
              <w:bidi w:val="0"/>
              <w:snapToGrid w:val="0"/>
              <w:jc w:val="both"/>
              <w:rPr>
                <w:b/>
                <w:bCs/>
                <w:color w:val="000000"/>
                <w:sz w:val="20"/>
                <w:szCs w:val="20"/>
              </w:rPr>
            </w:pPr>
            <w:r w:rsidRPr="008E28EA">
              <w:rPr>
                <w:rStyle w:val="normal1"/>
                <w:rFonts w:ascii="Times New Roman" w:hAnsi="Times New Roman"/>
                <w:b/>
                <w:bCs/>
                <w:szCs w:val="20"/>
              </w:rPr>
              <w:t>Cut off point</w:t>
            </w:r>
          </w:p>
        </w:tc>
        <w:tc>
          <w:tcPr>
            <w:tcW w:w="541" w:type="pct"/>
            <w:tcBorders>
              <w:top w:val="single" w:sz="18" w:space="0" w:color="000000"/>
            </w:tcBorders>
            <w:shd w:val="clear" w:color="auto" w:fill="F1EFE2"/>
          </w:tcPr>
          <w:p w:rsidR="003F3A1A" w:rsidRPr="008E28EA" w:rsidRDefault="003F3A1A" w:rsidP="008E28EA">
            <w:pPr>
              <w:bidi w:val="0"/>
              <w:snapToGrid w:val="0"/>
              <w:jc w:val="both"/>
              <w:rPr>
                <w:rStyle w:val="normal1"/>
                <w:rFonts w:ascii="Times New Roman" w:hAnsi="Times New Roman"/>
                <w:b/>
                <w:bCs/>
                <w:szCs w:val="20"/>
              </w:rPr>
            </w:pPr>
            <w:r w:rsidRPr="008E28EA">
              <w:rPr>
                <w:rStyle w:val="normal1"/>
                <w:rFonts w:ascii="Times New Roman" w:hAnsi="Times New Roman"/>
                <w:b/>
                <w:bCs/>
                <w:szCs w:val="20"/>
              </w:rPr>
              <w:t>AUC</w:t>
            </w:r>
          </w:p>
        </w:tc>
        <w:tc>
          <w:tcPr>
            <w:tcW w:w="1093" w:type="pct"/>
            <w:tcBorders>
              <w:top w:val="single" w:sz="18" w:space="0" w:color="000000"/>
            </w:tcBorders>
            <w:shd w:val="clear" w:color="auto" w:fill="F1EFE2"/>
            <w:tcMar>
              <w:top w:w="15" w:type="dxa"/>
              <w:left w:w="86" w:type="dxa"/>
              <w:bottom w:w="15" w:type="dxa"/>
              <w:right w:w="86" w:type="dxa"/>
            </w:tcMar>
          </w:tcPr>
          <w:p w:rsidR="003F3A1A" w:rsidRPr="008E28EA" w:rsidRDefault="003F3A1A" w:rsidP="008E28EA">
            <w:pPr>
              <w:bidi w:val="0"/>
              <w:snapToGrid w:val="0"/>
              <w:jc w:val="both"/>
              <w:rPr>
                <w:b/>
                <w:bCs/>
                <w:color w:val="000000"/>
                <w:sz w:val="20"/>
                <w:szCs w:val="20"/>
              </w:rPr>
            </w:pPr>
            <w:r w:rsidRPr="008E28EA">
              <w:rPr>
                <w:rStyle w:val="normal1"/>
                <w:rFonts w:ascii="Times New Roman" w:hAnsi="Times New Roman"/>
                <w:b/>
                <w:bCs/>
                <w:szCs w:val="20"/>
              </w:rPr>
              <w:t>Sensitivity</w:t>
            </w:r>
          </w:p>
        </w:tc>
        <w:tc>
          <w:tcPr>
            <w:tcW w:w="1092" w:type="pct"/>
            <w:tcBorders>
              <w:top w:val="single" w:sz="18" w:space="0" w:color="000000"/>
            </w:tcBorders>
            <w:shd w:val="clear" w:color="auto" w:fill="F1EFE2"/>
            <w:tcMar>
              <w:top w:w="15" w:type="dxa"/>
              <w:left w:w="86" w:type="dxa"/>
              <w:bottom w:w="15" w:type="dxa"/>
              <w:right w:w="86" w:type="dxa"/>
            </w:tcMar>
          </w:tcPr>
          <w:p w:rsidR="003F3A1A" w:rsidRPr="008E28EA" w:rsidRDefault="003F3A1A" w:rsidP="008E28EA">
            <w:pPr>
              <w:bidi w:val="0"/>
              <w:snapToGrid w:val="0"/>
              <w:jc w:val="both"/>
              <w:rPr>
                <w:b/>
                <w:bCs/>
                <w:color w:val="000000"/>
                <w:sz w:val="20"/>
                <w:szCs w:val="20"/>
              </w:rPr>
            </w:pPr>
            <w:r w:rsidRPr="008E28EA">
              <w:rPr>
                <w:rStyle w:val="normal1"/>
                <w:rFonts w:ascii="Times New Roman" w:hAnsi="Times New Roman"/>
                <w:b/>
                <w:bCs/>
                <w:szCs w:val="20"/>
              </w:rPr>
              <w:t>Specificity</w:t>
            </w:r>
          </w:p>
        </w:tc>
        <w:tc>
          <w:tcPr>
            <w:tcW w:w="572" w:type="pct"/>
            <w:tcBorders>
              <w:top w:val="single" w:sz="18" w:space="0" w:color="000000"/>
            </w:tcBorders>
            <w:shd w:val="clear" w:color="auto" w:fill="F1EFE2"/>
            <w:tcMar>
              <w:top w:w="15" w:type="dxa"/>
              <w:left w:w="86" w:type="dxa"/>
              <w:bottom w:w="15" w:type="dxa"/>
              <w:right w:w="86" w:type="dxa"/>
            </w:tcMar>
          </w:tcPr>
          <w:p w:rsidR="003F3A1A" w:rsidRPr="008E28EA" w:rsidRDefault="003F3A1A" w:rsidP="008E28EA">
            <w:pPr>
              <w:bidi w:val="0"/>
              <w:snapToGrid w:val="0"/>
              <w:jc w:val="both"/>
              <w:rPr>
                <w:b/>
                <w:bCs/>
                <w:color w:val="000000"/>
                <w:sz w:val="20"/>
                <w:szCs w:val="20"/>
              </w:rPr>
            </w:pPr>
            <w:r w:rsidRPr="008E28EA">
              <w:rPr>
                <w:rStyle w:val="HTMLAcronym"/>
                <w:b/>
                <w:bCs/>
                <w:color w:val="000000"/>
                <w:sz w:val="20"/>
                <w:szCs w:val="20"/>
              </w:rPr>
              <w:t>+PV</w:t>
            </w:r>
          </w:p>
        </w:tc>
        <w:tc>
          <w:tcPr>
            <w:tcW w:w="571" w:type="pct"/>
            <w:tcBorders>
              <w:top w:val="single" w:sz="18" w:space="0" w:color="000000"/>
            </w:tcBorders>
            <w:shd w:val="clear" w:color="auto" w:fill="F1EFE2"/>
            <w:tcMar>
              <w:top w:w="15" w:type="dxa"/>
              <w:left w:w="86" w:type="dxa"/>
              <w:bottom w:w="15" w:type="dxa"/>
              <w:right w:w="86" w:type="dxa"/>
            </w:tcMar>
          </w:tcPr>
          <w:p w:rsidR="003F3A1A" w:rsidRPr="008E28EA" w:rsidRDefault="003F3A1A" w:rsidP="008E28EA">
            <w:pPr>
              <w:bidi w:val="0"/>
              <w:snapToGrid w:val="0"/>
              <w:jc w:val="both"/>
              <w:rPr>
                <w:b/>
                <w:bCs/>
                <w:color w:val="000000"/>
                <w:sz w:val="20"/>
                <w:szCs w:val="20"/>
              </w:rPr>
            </w:pPr>
            <w:r w:rsidRPr="008E28EA">
              <w:rPr>
                <w:rStyle w:val="HTMLAcronym"/>
                <w:b/>
                <w:bCs/>
                <w:color w:val="000000"/>
                <w:sz w:val="20"/>
                <w:szCs w:val="20"/>
              </w:rPr>
              <w:t>-PV</w:t>
            </w:r>
          </w:p>
        </w:tc>
      </w:tr>
      <w:tr w:rsidR="003F3A1A" w:rsidRPr="008E28EA" w:rsidTr="008E28EA">
        <w:trPr>
          <w:jc w:val="center"/>
        </w:trPr>
        <w:tc>
          <w:tcPr>
            <w:tcW w:w="1131" w:type="pct"/>
            <w:tcBorders>
              <w:bottom w:val="single" w:sz="18" w:space="0" w:color="000000"/>
            </w:tcBorders>
          </w:tcPr>
          <w:p w:rsidR="003F3A1A" w:rsidRPr="008E28EA" w:rsidRDefault="003F3A1A" w:rsidP="008E28EA">
            <w:pPr>
              <w:bidi w:val="0"/>
              <w:snapToGrid w:val="0"/>
              <w:jc w:val="both"/>
              <w:rPr>
                <w:color w:val="000000"/>
                <w:sz w:val="20"/>
                <w:szCs w:val="20"/>
              </w:rPr>
            </w:pPr>
            <w:r w:rsidRPr="008E28EA">
              <w:rPr>
                <w:rStyle w:val="result"/>
                <w:color w:val="000000"/>
                <w:sz w:val="20"/>
                <w:szCs w:val="20"/>
              </w:rPr>
              <w:t>&gt;315</w:t>
            </w:r>
          </w:p>
        </w:tc>
        <w:tc>
          <w:tcPr>
            <w:tcW w:w="541" w:type="pct"/>
            <w:tcBorders>
              <w:bottom w:val="single" w:sz="18" w:space="0" w:color="000000"/>
            </w:tcBorders>
          </w:tcPr>
          <w:p w:rsidR="003F3A1A" w:rsidRPr="008E28EA" w:rsidRDefault="003F3A1A" w:rsidP="008E28EA">
            <w:pPr>
              <w:bidi w:val="0"/>
              <w:snapToGrid w:val="0"/>
              <w:jc w:val="both"/>
              <w:rPr>
                <w:rStyle w:val="result"/>
                <w:color w:val="000000"/>
                <w:sz w:val="20"/>
                <w:szCs w:val="20"/>
              </w:rPr>
            </w:pPr>
            <w:r w:rsidRPr="008E28EA">
              <w:rPr>
                <w:rStyle w:val="result"/>
                <w:color w:val="000000"/>
                <w:sz w:val="20"/>
                <w:szCs w:val="20"/>
              </w:rPr>
              <w:t>88.8</w:t>
            </w:r>
          </w:p>
        </w:tc>
        <w:tc>
          <w:tcPr>
            <w:tcW w:w="1093" w:type="pct"/>
            <w:tcBorders>
              <w:bottom w:val="single" w:sz="18" w:space="0" w:color="000000"/>
            </w:tcBorders>
            <w:tcMar>
              <w:top w:w="15" w:type="dxa"/>
              <w:left w:w="86" w:type="dxa"/>
              <w:bottom w:w="15" w:type="dxa"/>
              <w:right w:w="86" w:type="dxa"/>
            </w:tcMar>
          </w:tcPr>
          <w:p w:rsidR="003F3A1A" w:rsidRPr="008E28EA" w:rsidRDefault="003F3A1A" w:rsidP="008E28EA">
            <w:pPr>
              <w:bidi w:val="0"/>
              <w:snapToGrid w:val="0"/>
              <w:jc w:val="both"/>
              <w:rPr>
                <w:color w:val="000000"/>
                <w:sz w:val="20"/>
                <w:szCs w:val="20"/>
              </w:rPr>
            </w:pPr>
            <w:r w:rsidRPr="008E28EA">
              <w:rPr>
                <w:rStyle w:val="result"/>
                <w:color w:val="000000"/>
                <w:sz w:val="20"/>
                <w:szCs w:val="20"/>
              </w:rPr>
              <w:t>84.21</w:t>
            </w:r>
          </w:p>
        </w:tc>
        <w:tc>
          <w:tcPr>
            <w:tcW w:w="1092" w:type="pct"/>
            <w:tcBorders>
              <w:bottom w:val="single" w:sz="18" w:space="0" w:color="000000"/>
            </w:tcBorders>
            <w:tcMar>
              <w:top w:w="15" w:type="dxa"/>
              <w:left w:w="86" w:type="dxa"/>
              <w:bottom w:w="15" w:type="dxa"/>
              <w:right w:w="86" w:type="dxa"/>
            </w:tcMar>
          </w:tcPr>
          <w:p w:rsidR="003F3A1A" w:rsidRPr="008E28EA" w:rsidRDefault="003F3A1A" w:rsidP="008E28EA">
            <w:pPr>
              <w:bidi w:val="0"/>
              <w:snapToGrid w:val="0"/>
              <w:jc w:val="both"/>
              <w:rPr>
                <w:color w:val="000000"/>
                <w:sz w:val="20"/>
                <w:szCs w:val="20"/>
              </w:rPr>
            </w:pPr>
            <w:r w:rsidRPr="008E28EA">
              <w:rPr>
                <w:rStyle w:val="result"/>
                <w:color w:val="000000"/>
                <w:sz w:val="20"/>
                <w:szCs w:val="20"/>
              </w:rPr>
              <w:t>84.48</w:t>
            </w:r>
          </w:p>
        </w:tc>
        <w:tc>
          <w:tcPr>
            <w:tcW w:w="572" w:type="pct"/>
            <w:tcBorders>
              <w:bottom w:val="single" w:sz="18" w:space="0" w:color="000000"/>
            </w:tcBorders>
            <w:tcMar>
              <w:top w:w="15" w:type="dxa"/>
              <w:left w:w="86" w:type="dxa"/>
              <w:bottom w:w="15" w:type="dxa"/>
              <w:right w:w="86" w:type="dxa"/>
            </w:tcMar>
          </w:tcPr>
          <w:p w:rsidR="003F3A1A" w:rsidRPr="008E28EA" w:rsidRDefault="003F3A1A" w:rsidP="008E28EA">
            <w:pPr>
              <w:bidi w:val="0"/>
              <w:snapToGrid w:val="0"/>
              <w:jc w:val="both"/>
              <w:rPr>
                <w:color w:val="000000"/>
                <w:sz w:val="20"/>
                <w:szCs w:val="20"/>
              </w:rPr>
            </w:pPr>
            <w:r w:rsidRPr="008E28EA">
              <w:rPr>
                <w:rStyle w:val="result"/>
                <w:color w:val="000000"/>
                <w:sz w:val="20"/>
                <w:szCs w:val="20"/>
              </w:rPr>
              <w:t>47.1</w:t>
            </w:r>
          </w:p>
        </w:tc>
        <w:tc>
          <w:tcPr>
            <w:tcW w:w="571" w:type="pct"/>
            <w:tcBorders>
              <w:bottom w:val="single" w:sz="18" w:space="0" w:color="000000"/>
            </w:tcBorders>
            <w:tcMar>
              <w:top w:w="15" w:type="dxa"/>
              <w:left w:w="86" w:type="dxa"/>
              <w:bottom w:w="15" w:type="dxa"/>
              <w:right w:w="86" w:type="dxa"/>
            </w:tcMar>
          </w:tcPr>
          <w:p w:rsidR="003F3A1A" w:rsidRPr="008E28EA" w:rsidRDefault="003F3A1A" w:rsidP="008E28EA">
            <w:pPr>
              <w:bidi w:val="0"/>
              <w:snapToGrid w:val="0"/>
              <w:jc w:val="both"/>
              <w:rPr>
                <w:color w:val="000000"/>
                <w:sz w:val="20"/>
                <w:szCs w:val="20"/>
              </w:rPr>
            </w:pPr>
            <w:r w:rsidRPr="008E28EA">
              <w:rPr>
                <w:rStyle w:val="result"/>
                <w:color w:val="000000"/>
                <w:sz w:val="20"/>
                <w:szCs w:val="20"/>
              </w:rPr>
              <w:t>97.0</w:t>
            </w:r>
          </w:p>
        </w:tc>
      </w:tr>
    </w:tbl>
    <w:p w:rsidR="003F3A1A" w:rsidRDefault="003F3A1A" w:rsidP="008E28EA">
      <w:pPr>
        <w:bidi w:val="0"/>
        <w:snapToGrid w:val="0"/>
        <w:jc w:val="both"/>
        <w:rPr>
          <w:b/>
          <w:bCs/>
          <w:sz w:val="20"/>
          <w:szCs w:val="20"/>
        </w:rPr>
      </w:pPr>
    </w:p>
    <w:p w:rsidR="003F3A1A" w:rsidRPr="008E28EA" w:rsidRDefault="003F3A1A" w:rsidP="008E28EA">
      <w:pPr>
        <w:bidi w:val="0"/>
        <w:snapToGrid w:val="0"/>
        <w:jc w:val="both"/>
        <w:rPr>
          <w:b/>
          <w:bCs/>
          <w:sz w:val="20"/>
          <w:szCs w:val="20"/>
        </w:rPr>
        <w:sectPr w:rsidR="003F3A1A" w:rsidRPr="008E28EA" w:rsidSect="00902C14">
          <w:type w:val="continuous"/>
          <w:pgSz w:w="12242" w:h="15842" w:code="1"/>
          <w:pgMar w:top="1440" w:right="1440" w:bottom="1440" w:left="1440" w:header="720" w:footer="720" w:gutter="0"/>
          <w:cols w:space="708"/>
          <w:bidi/>
          <w:docGrid w:linePitch="360"/>
        </w:sectPr>
      </w:pPr>
    </w:p>
    <w:p w:rsidR="003F3A1A" w:rsidRDefault="00D80FE8" w:rsidP="00C118ED">
      <w:pPr>
        <w:bidi w:val="0"/>
        <w:snapToGrid w:val="0"/>
        <w:jc w:val="both"/>
        <w:rPr>
          <w:b/>
          <w:bCs/>
          <w:sz w:val="20"/>
          <w:szCs w:val="20"/>
          <w:lang w:eastAsia="zh-CN"/>
        </w:rPr>
      </w:pPr>
      <w:r>
        <w:rPr>
          <w:noProof/>
          <w:sz w:val="20"/>
          <w:szCs w:val="20"/>
        </w:rPr>
        <w:lastRenderedPageBreak/>
        <w:drawing>
          <wp:inline distT="0" distB="0" distL="0" distR="0">
            <wp:extent cx="2458720" cy="232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8720" cy="2329180"/>
                    </a:xfrm>
                    <a:prstGeom prst="rect">
                      <a:avLst/>
                    </a:prstGeom>
                    <a:noFill/>
                    <a:ln>
                      <a:noFill/>
                    </a:ln>
                  </pic:spPr>
                </pic:pic>
              </a:graphicData>
            </a:graphic>
          </wp:inline>
        </w:drawing>
      </w:r>
    </w:p>
    <w:p w:rsidR="003F3A1A" w:rsidRPr="008E28EA" w:rsidRDefault="003F3A1A" w:rsidP="00C118ED">
      <w:pPr>
        <w:bidi w:val="0"/>
        <w:snapToGrid w:val="0"/>
        <w:jc w:val="both"/>
        <w:rPr>
          <w:b/>
          <w:bCs/>
          <w:sz w:val="20"/>
          <w:szCs w:val="20"/>
        </w:rPr>
      </w:pPr>
      <w:bookmarkStart w:id="0" w:name="_GoBack"/>
      <w:bookmarkEnd w:id="0"/>
      <w:r w:rsidRPr="008E28EA">
        <w:rPr>
          <w:b/>
          <w:bCs/>
          <w:sz w:val="20"/>
          <w:szCs w:val="20"/>
        </w:rPr>
        <w:lastRenderedPageBreak/>
        <w:t>4. Discussion</w:t>
      </w:r>
    </w:p>
    <w:p w:rsidR="003F3A1A" w:rsidRPr="008E28EA" w:rsidRDefault="003F3A1A" w:rsidP="008E28EA">
      <w:pPr>
        <w:bidi w:val="0"/>
        <w:snapToGrid w:val="0"/>
        <w:ind w:firstLine="425"/>
        <w:jc w:val="both"/>
        <w:rPr>
          <w:color w:val="000000"/>
          <w:sz w:val="20"/>
          <w:szCs w:val="20"/>
          <w:shd w:val="clear" w:color="auto" w:fill="FFFFFF"/>
        </w:rPr>
      </w:pPr>
      <w:r w:rsidRPr="008E28EA">
        <w:rPr>
          <w:color w:val="000000"/>
          <w:sz w:val="20"/>
          <w:szCs w:val="20"/>
          <w:shd w:val="clear" w:color="auto" w:fill="FFFFFF"/>
        </w:rPr>
        <w:t xml:space="preserve">To our knowledge this is the first clinical study that examines cord blood alkaline phosphatase level as an indicator to predict severe neonatal jaundice. The results of our study indicate that measurement of cord blood alkaline phosphatase may be a predicting marker for neonatal and necessitates treatment in the first week of life. Cord blood alkaline phosphatase level with sensitivity and specificity of </w:t>
      </w:r>
      <w:r w:rsidRPr="008E28EA">
        <w:rPr>
          <w:sz w:val="20"/>
          <w:szCs w:val="20"/>
        </w:rPr>
        <w:t>84.21</w:t>
      </w:r>
      <w:r w:rsidRPr="008E28EA">
        <w:rPr>
          <w:color w:val="000000"/>
          <w:sz w:val="20"/>
          <w:szCs w:val="20"/>
          <w:shd w:val="clear" w:color="auto" w:fill="FFFFFF"/>
        </w:rPr>
        <w:t xml:space="preserve">% and </w:t>
      </w:r>
      <w:r w:rsidRPr="008E28EA">
        <w:rPr>
          <w:sz w:val="20"/>
          <w:szCs w:val="20"/>
        </w:rPr>
        <w:t>84.48</w:t>
      </w:r>
      <w:r w:rsidRPr="008E28EA">
        <w:rPr>
          <w:color w:val="000000"/>
          <w:sz w:val="20"/>
          <w:szCs w:val="20"/>
          <w:shd w:val="clear" w:color="auto" w:fill="FFFFFF"/>
        </w:rPr>
        <w:t>% respectively in cutoff level &gt; 314 IU/L predicts a need for treatment.</w:t>
      </w:r>
    </w:p>
    <w:p w:rsidR="003F3A1A" w:rsidRPr="008E28EA" w:rsidRDefault="003F3A1A" w:rsidP="008E28EA">
      <w:pPr>
        <w:bidi w:val="0"/>
        <w:snapToGrid w:val="0"/>
        <w:ind w:firstLine="425"/>
        <w:jc w:val="both"/>
        <w:rPr>
          <w:sz w:val="20"/>
          <w:szCs w:val="20"/>
        </w:rPr>
      </w:pPr>
      <w:r w:rsidRPr="008E28EA">
        <w:rPr>
          <w:sz w:val="20"/>
          <w:szCs w:val="20"/>
        </w:rPr>
        <w:t xml:space="preserve">Ahmadpour-Kacho, et al (2015): (Cord Blood Alkaline Phosphates as an Indicator of Neonatal Jaundice) they carried out their study on 105 cases were followed-up. Three cases were lost to the study. The remaining 102 cases consisted of 50 (49%) males </w:t>
      </w:r>
      <w:r w:rsidRPr="008E28EA">
        <w:rPr>
          <w:sz w:val="20"/>
          <w:szCs w:val="20"/>
        </w:rPr>
        <w:lastRenderedPageBreak/>
        <w:t>and 52 (51%) females. Ninety-eight (96%) infants were born by cesarean section and 4 (4%) by vaginal delivery. Apgar scores were normal (9 - 10) at birth in all cases. The mean gestational age was 38.7 weeks and the mean birth weight 3649.59 grams. The incidence of clinical jaundice during follow-up was 47%. In 39.2%, bilirubin reached a peak of ≤ 10 mg/dL. The rate of need for treatment was 9.8% (10 cases), of which 5 cases were ABO incompatible, one case Rh incompatible, 2 cases G6PD deficient and in 2 cases the cause of jaundice remained unknown. Hct levels and reticulocyte count were in normal range and Coombs test was negative in these cases. None of the neonates needed exchange transfusion.</w:t>
      </w:r>
    </w:p>
    <w:p w:rsidR="003F3A1A" w:rsidRDefault="003F3A1A" w:rsidP="008E28EA">
      <w:pPr>
        <w:bidi w:val="0"/>
        <w:snapToGrid w:val="0"/>
        <w:ind w:firstLine="425"/>
        <w:jc w:val="both"/>
        <w:rPr>
          <w:sz w:val="20"/>
          <w:szCs w:val="20"/>
        </w:rPr>
      </w:pPr>
      <w:r w:rsidRPr="008E28EA">
        <w:rPr>
          <w:sz w:val="20"/>
          <w:szCs w:val="20"/>
        </w:rPr>
        <w:t>There was no difference between groups with regard to gestational age, birth weight and Apgar scores, but the comparison of cord blood alkaline phosphates levels revealed a significant difference between the two groups (P value = 0.041)</w:t>
      </w:r>
      <w:r>
        <w:rPr>
          <w:sz w:val="20"/>
          <w:szCs w:val="20"/>
        </w:rPr>
        <w:t>.</w:t>
      </w:r>
    </w:p>
    <w:p w:rsidR="003F3A1A" w:rsidRDefault="003F3A1A" w:rsidP="008E28EA">
      <w:pPr>
        <w:bidi w:val="0"/>
        <w:snapToGrid w:val="0"/>
        <w:ind w:firstLine="425"/>
        <w:jc w:val="both"/>
        <w:rPr>
          <w:sz w:val="20"/>
          <w:szCs w:val="20"/>
        </w:rPr>
      </w:pPr>
      <w:r w:rsidRPr="008E28EA">
        <w:rPr>
          <w:sz w:val="20"/>
          <w:szCs w:val="20"/>
        </w:rPr>
        <w:t>Comparison of cord blood alkaline phosphates levels between non-jaundiced group and jaundiced newborns in whom bilirubin level had reached ≤ 10 mg/dL, revealed a significant difference (P value = 0.016)</w:t>
      </w:r>
      <w:r>
        <w:rPr>
          <w:sz w:val="20"/>
          <w:szCs w:val="20"/>
        </w:rPr>
        <w:t>.</w:t>
      </w:r>
    </w:p>
    <w:p w:rsidR="003F3A1A" w:rsidRDefault="003F3A1A" w:rsidP="008E28EA">
      <w:pPr>
        <w:bidi w:val="0"/>
        <w:snapToGrid w:val="0"/>
        <w:ind w:firstLine="425"/>
        <w:jc w:val="both"/>
        <w:rPr>
          <w:sz w:val="20"/>
          <w:szCs w:val="20"/>
        </w:rPr>
      </w:pPr>
      <w:r w:rsidRPr="008E28EA">
        <w:rPr>
          <w:sz w:val="20"/>
          <w:szCs w:val="20"/>
        </w:rPr>
        <w:t>Comparison of the non-jaundiced group with neonates who required treatment according to AAP protocol (the treatment group) showed a significant difference in cord blood alkaline phosphates levels (P value = 0.040)</w:t>
      </w:r>
      <w:r>
        <w:rPr>
          <w:sz w:val="20"/>
          <w:szCs w:val="20"/>
        </w:rPr>
        <w:t>.</w:t>
      </w:r>
    </w:p>
    <w:p w:rsidR="003F3A1A" w:rsidRPr="008E28EA" w:rsidRDefault="003F3A1A" w:rsidP="008E28EA">
      <w:pPr>
        <w:bidi w:val="0"/>
        <w:snapToGrid w:val="0"/>
        <w:ind w:firstLine="425"/>
        <w:jc w:val="both"/>
        <w:rPr>
          <w:sz w:val="20"/>
          <w:szCs w:val="20"/>
        </w:rPr>
      </w:pPr>
      <w:r w:rsidRPr="008E28EA">
        <w:rPr>
          <w:sz w:val="20"/>
          <w:szCs w:val="20"/>
        </w:rPr>
        <w:t>Comparison of the ROC curves of the alkaline phosphates levels between the non-jaundiced and treatment groups revealed that a cord blood alkaline phosphates level &gt; 314 IU/L was the most suitable cutoff value for predicting severe jaundice (that needs treatment). This cut-off value was associated with 80% sensitivity and 63% specificity. [14]</w:t>
      </w:r>
    </w:p>
    <w:p w:rsidR="003F3A1A" w:rsidRPr="008E28EA" w:rsidRDefault="003F3A1A" w:rsidP="00C118ED">
      <w:pPr>
        <w:bidi w:val="0"/>
        <w:snapToGrid w:val="0"/>
        <w:ind w:firstLine="425"/>
        <w:jc w:val="both"/>
        <w:rPr>
          <w:sz w:val="20"/>
          <w:szCs w:val="20"/>
        </w:rPr>
      </w:pPr>
      <w:r w:rsidRPr="008E28EA">
        <w:rPr>
          <w:b/>
          <w:bCs/>
          <w:color w:val="000000"/>
          <w:sz w:val="20"/>
          <w:szCs w:val="20"/>
          <w:shd w:val="clear" w:color="auto" w:fill="FFFFFF"/>
        </w:rPr>
        <w:t>Nalbantoglu et al.</w:t>
      </w:r>
      <w:r w:rsidRPr="008E28EA">
        <w:rPr>
          <w:color w:val="000000"/>
          <w:sz w:val="20"/>
          <w:szCs w:val="20"/>
          <w:shd w:val="clear" w:color="auto" w:fill="FFFFFF"/>
        </w:rPr>
        <w:t xml:space="preserve"> used blood alkaline phosphatase levels 6 hours after birth. They found that ALP levels were significantly higher in patients with hyperbilirubinemia requiring treatment, either with phototherapy or exchange transfusion (P value 0.0001) (</w:t>
      </w:r>
      <w:r w:rsidRPr="008E28EA">
        <w:rPr>
          <w:sz w:val="20"/>
          <w:szCs w:val="20"/>
        </w:rPr>
        <w:t>15</w:t>
      </w:r>
      <w:r w:rsidRPr="008E28EA">
        <w:rPr>
          <w:color w:val="000000"/>
          <w:sz w:val="20"/>
          <w:szCs w:val="20"/>
          <w:shd w:val="clear" w:color="auto" w:fill="FFFFFF"/>
        </w:rPr>
        <w:t>). In our study, there was a significant difference in the levels of cord blood alkaline phosphatase between the non-jaundiced and clinically jaundiced newborns, and it was significantly higher in patients with hyperbilirubinemia requiring treatment. Moreover, the ALP levels were significantly higher in newborns whose serum bilirubin level reached a level ≥ 10 mg/dL. These findings confirm the results of Nalbantoglu et al. (</w:t>
      </w:r>
      <w:r w:rsidRPr="008E28EA">
        <w:rPr>
          <w:sz w:val="20"/>
          <w:szCs w:val="20"/>
        </w:rPr>
        <w:t>15</w:t>
      </w:r>
      <w:r w:rsidRPr="008E28EA">
        <w:rPr>
          <w:color w:val="000000"/>
          <w:sz w:val="20"/>
          <w:szCs w:val="20"/>
          <w:shd w:val="clear" w:color="auto" w:fill="FFFFFF"/>
        </w:rPr>
        <w:t>). One of advantages in our study was the site of sample collection, which was taken from cord blood. Cord blood sample predicts hyperbilirubinemia earlier than a sample taken after birth does. In addition, the neonate may not be lost to follow-up because of early discharge.</w:t>
      </w:r>
    </w:p>
    <w:p w:rsidR="003F3A1A" w:rsidRPr="008E28EA" w:rsidRDefault="003F3A1A" w:rsidP="00C118ED">
      <w:pPr>
        <w:bidi w:val="0"/>
        <w:snapToGrid w:val="0"/>
        <w:jc w:val="both"/>
        <w:rPr>
          <w:sz w:val="20"/>
          <w:szCs w:val="20"/>
          <w:lang w:eastAsia="zh-CN"/>
        </w:rPr>
      </w:pPr>
    </w:p>
    <w:p w:rsidR="003F3A1A" w:rsidRPr="008E28EA" w:rsidRDefault="003F3A1A" w:rsidP="008E28EA">
      <w:pPr>
        <w:pStyle w:val="Default"/>
        <w:snapToGrid w:val="0"/>
        <w:jc w:val="both"/>
        <w:rPr>
          <w:rFonts w:ascii="Times New Roman" w:hAnsi="Times New Roman" w:cs="Times New Roman"/>
          <w:sz w:val="20"/>
          <w:szCs w:val="20"/>
        </w:rPr>
      </w:pPr>
      <w:r w:rsidRPr="008E28EA">
        <w:rPr>
          <w:rFonts w:ascii="Times New Roman" w:hAnsi="Times New Roman" w:cs="Times New Roman"/>
          <w:b/>
          <w:bCs/>
          <w:sz w:val="20"/>
          <w:szCs w:val="20"/>
        </w:rPr>
        <w:lastRenderedPageBreak/>
        <w:t>Conclusion</w:t>
      </w:r>
    </w:p>
    <w:p w:rsidR="003F3A1A" w:rsidRPr="008E28EA" w:rsidRDefault="003F3A1A" w:rsidP="008E28EA">
      <w:pPr>
        <w:bidi w:val="0"/>
        <w:snapToGrid w:val="0"/>
        <w:ind w:firstLine="425"/>
        <w:jc w:val="both"/>
        <w:rPr>
          <w:sz w:val="20"/>
          <w:szCs w:val="20"/>
        </w:rPr>
      </w:pPr>
      <w:r w:rsidRPr="008E28EA">
        <w:rPr>
          <w:sz w:val="20"/>
          <w:szCs w:val="20"/>
        </w:rPr>
        <w:t>Our data clearly demonstrates that the quantification of umbilical cord blood alkaline phosphates enzyme (ALP) is a useful test to predict hyperbilirubinemia in healthy full term and preterm newborns.</w:t>
      </w:r>
    </w:p>
    <w:p w:rsidR="003F3A1A" w:rsidRPr="008E28EA" w:rsidRDefault="003F3A1A" w:rsidP="008E28EA">
      <w:pPr>
        <w:bidi w:val="0"/>
        <w:snapToGrid w:val="0"/>
        <w:ind w:firstLine="425"/>
        <w:jc w:val="both"/>
        <w:rPr>
          <w:sz w:val="20"/>
          <w:szCs w:val="20"/>
        </w:rPr>
      </w:pPr>
      <w:r w:rsidRPr="008E28EA">
        <w:rPr>
          <w:sz w:val="20"/>
          <w:szCs w:val="20"/>
        </w:rPr>
        <w:t>As a result of the study we can determine,</w:t>
      </w:r>
      <w:r>
        <w:rPr>
          <w:sz w:val="20"/>
          <w:szCs w:val="20"/>
        </w:rPr>
        <w:t xml:space="preserve"> </w:t>
      </w:r>
      <w:r w:rsidRPr="008E28EA">
        <w:rPr>
          <w:sz w:val="20"/>
          <w:szCs w:val="20"/>
        </w:rPr>
        <w:t>in advanced, the healthy full term and preterm newborns that will develop neonatal jaundice by checking the alkaline phosphates levels in the umbilical cord blood and prevent problems based on early hospital discharge by closer monitoring of the babies that determined as risky for hyperbilirubinemia.</w:t>
      </w:r>
    </w:p>
    <w:p w:rsidR="003F3A1A" w:rsidRPr="008E28EA" w:rsidRDefault="003F3A1A" w:rsidP="008E28EA">
      <w:pPr>
        <w:bidi w:val="0"/>
        <w:snapToGrid w:val="0"/>
        <w:ind w:firstLine="425"/>
        <w:jc w:val="both"/>
        <w:rPr>
          <w:sz w:val="20"/>
          <w:szCs w:val="20"/>
        </w:rPr>
      </w:pPr>
      <w:r w:rsidRPr="008E28EA">
        <w:rPr>
          <w:sz w:val="20"/>
          <w:szCs w:val="20"/>
        </w:rPr>
        <w:t>With this method, it is possible to determine the newborns with low risk for hyperbilirubinemia and prevent unnecessary monitoring and care of numerous cases.</w:t>
      </w:r>
    </w:p>
    <w:p w:rsidR="003F3A1A" w:rsidRPr="008E28EA" w:rsidRDefault="003F3A1A" w:rsidP="008E28EA">
      <w:pPr>
        <w:bidi w:val="0"/>
        <w:snapToGrid w:val="0"/>
        <w:ind w:firstLine="425"/>
        <w:jc w:val="both"/>
        <w:rPr>
          <w:sz w:val="20"/>
          <w:szCs w:val="20"/>
        </w:rPr>
      </w:pPr>
      <w:r w:rsidRPr="008E28EA">
        <w:rPr>
          <w:sz w:val="20"/>
          <w:szCs w:val="20"/>
        </w:rPr>
        <w:t>More work and prospective wider studies should carried out with larger numbers of newborns in order to further determine the efficacy of alkaline phosphates enzyme as an early predictor of neonatal jaundice.</w:t>
      </w:r>
    </w:p>
    <w:p w:rsidR="003F3A1A" w:rsidRDefault="003F3A1A" w:rsidP="008E28EA">
      <w:pPr>
        <w:bidi w:val="0"/>
        <w:snapToGrid w:val="0"/>
        <w:jc w:val="both"/>
        <w:rPr>
          <w:b/>
          <w:bCs/>
          <w:sz w:val="20"/>
          <w:szCs w:val="20"/>
          <w:lang w:eastAsia="zh-CN"/>
        </w:rPr>
      </w:pPr>
    </w:p>
    <w:p w:rsidR="003F3A1A" w:rsidRPr="008E28EA" w:rsidRDefault="003F3A1A" w:rsidP="00C118ED">
      <w:pPr>
        <w:bidi w:val="0"/>
        <w:snapToGrid w:val="0"/>
        <w:jc w:val="both"/>
        <w:rPr>
          <w:b/>
          <w:bCs/>
          <w:sz w:val="20"/>
          <w:szCs w:val="20"/>
          <w:lang w:eastAsia="zh-CN"/>
        </w:rPr>
      </w:pPr>
    </w:p>
    <w:p w:rsidR="003F3A1A" w:rsidRPr="008E28EA" w:rsidRDefault="003F3A1A" w:rsidP="008E28EA">
      <w:pPr>
        <w:bidi w:val="0"/>
        <w:snapToGrid w:val="0"/>
        <w:jc w:val="both"/>
        <w:rPr>
          <w:bCs/>
          <w:sz w:val="20"/>
          <w:szCs w:val="20"/>
        </w:rPr>
      </w:pPr>
      <w:r w:rsidRPr="008E28EA">
        <w:rPr>
          <w:b/>
          <w:bCs/>
          <w:sz w:val="20"/>
          <w:szCs w:val="20"/>
        </w:rPr>
        <w:t>References</w:t>
      </w:r>
    </w:p>
    <w:p w:rsidR="003F3A1A" w:rsidRPr="008E28EA" w:rsidRDefault="003F3A1A" w:rsidP="008E28EA">
      <w:pPr>
        <w:numPr>
          <w:ilvl w:val="0"/>
          <w:numId w:val="1"/>
        </w:numPr>
        <w:bidi w:val="0"/>
        <w:snapToGrid w:val="0"/>
        <w:ind w:left="425" w:hanging="425"/>
        <w:jc w:val="both"/>
        <w:rPr>
          <w:sz w:val="20"/>
          <w:szCs w:val="20"/>
        </w:rPr>
      </w:pPr>
      <w:r w:rsidRPr="008E28EA">
        <w:rPr>
          <w:bCs/>
          <w:sz w:val="20"/>
          <w:szCs w:val="20"/>
        </w:rPr>
        <w:t>Babaei</w:t>
      </w:r>
      <w:r>
        <w:rPr>
          <w:bCs/>
          <w:sz w:val="20"/>
          <w:szCs w:val="20"/>
        </w:rPr>
        <w:t xml:space="preserve"> </w:t>
      </w:r>
      <w:r w:rsidRPr="008E28EA">
        <w:rPr>
          <w:bCs/>
          <w:sz w:val="20"/>
          <w:szCs w:val="20"/>
        </w:rPr>
        <w:t>H,</w:t>
      </w:r>
      <w:r>
        <w:rPr>
          <w:bCs/>
          <w:sz w:val="20"/>
          <w:szCs w:val="20"/>
        </w:rPr>
        <w:t xml:space="preserve"> </w:t>
      </w:r>
      <w:r w:rsidRPr="008E28EA">
        <w:rPr>
          <w:bCs/>
          <w:sz w:val="20"/>
          <w:szCs w:val="20"/>
        </w:rPr>
        <w:t>Alipour</w:t>
      </w:r>
      <w:r>
        <w:rPr>
          <w:bCs/>
          <w:sz w:val="20"/>
          <w:szCs w:val="20"/>
        </w:rPr>
        <w:t xml:space="preserve"> </w:t>
      </w:r>
      <w:r w:rsidRPr="008E28EA">
        <w:rPr>
          <w:bCs/>
          <w:sz w:val="20"/>
          <w:szCs w:val="20"/>
        </w:rPr>
        <w:t>AA,</w:t>
      </w:r>
      <w:r>
        <w:rPr>
          <w:bCs/>
          <w:sz w:val="20"/>
          <w:szCs w:val="20"/>
        </w:rPr>
        <w:t xml:space="preserve"> </w:t>
      </w:r>
      <w:r w:rsidRPr="008E28EA">
        <w:rPr>
          <w:bCs/>
          <w:sz w:val="20"/>
          <w:szCs w:val="20"/>
        </w:rPr>
        <w:t>Hemmati</w:t>
      </w:r>
      <w:r>
        <w:rPr>
          <w:bCs/>
          <w:sz w:val="20"/>
          <w:szCs w:val="20"/>
        </w:rPr>
        <w:t xml:space="preserve"> </w:t>
      </w:r>
      <w:r w:rsidRPr="008E28EA">
        <w:rPr>
          <w:bCs/>
          <w:sz w:val="20"/>
          <w:szCs w:val="20"/>
        </w:rPr>
        <w:t>M,</w:t>
      </w:r>
      <w:r>
        <w:rPr>
          <w:bCs/>
          <w:sz w:val="20"/>
          <w:szCs w:val="20"/>
        </w:rPr>
        <w:t xml:space="preserve"> </w:t>
      </w:r>
      <w:r w:rsidRPr="008E28EA">
        <w:rPr>
          <w:bCs/>
          <w:sz w:val="20"/>
          <w:szCs w:val="20"/>
        </w:rPr>
        <w:t>Ghaderi</w:t>
      </w:r>
      <w:r>
        <w:rPr>
          <w:bCs/>
          <w:sz w:val="20"/>
          <w:szCs w:val="20"/>
        </w:rPr>
        <w:t xml:space="preserve"> </w:t>
      </w:r>
      <w:r w:rsidRPr="008E28EA">
        <w:rPr>
          <w:bCs/>
          <w:sz w:val="20"/>
          <w:szCs w:val="20"/>
        </w:rPr>
        <w:t>M,</w:t>
      </w:r>
      <w:r>
        <w:rPr>
          <w:bCs/>
          <w:sz w:val="20"/>
          <w:szCs w:val="20"/>
        </w:rPr>
        <w:t xml:space="preserve"> </w:t>
      </w:r>
      <w:r w:rsidRPr="008E28EA">
        <w:rPr>
          <w:bCs/>
          <w:sz w:val="20"/>
          <w:szCs w:val="20"/>
        </w:rPr>
        <w:t>Rezaei</w:t>
      </w:r>
      <w:r>
        <w:rPr>
          <w:bCs/>
          <w:sz w:val="20"/>
          <w:szCs w:val="20"/>
        </w:rPr>
        <w:t xml:space="preserve"> </w:t>
      </w:r>
      <w:r w:rsidRPr="008E28EA">
        <w:rPr>
          <w:bCs/>
          <w:sz w:val="20"/>
          <w:szCs w:val="20"/>
        </w:rPr>
        <w:t>M.</w:t>
      </w:r>
      <w:r>
        <w:rPr>
          <w:bCs/>
          <w:sz w:val="20"/>
          <w:szCs w:val="20"/>
        </w:rPr>
        <w:t xml:space="preserve"> </w:t>
      </w:r>
      <w:r w:rsidRPr="008E28EA">
        <w:rPr>
          <w:sz w:val="20"/>
          <w:szCs w:val="20"/>
        </w:rPr>
        <w:t>Effect</w:t>
      </w:r>
      <w:r>
        <w:rPr>
          <w:sz w:val="20"/>
          <w:szCs w:val="20"/>
        </w:rPr>
        <w:t xml:space="preserve"> </w:t>
      </w:r>
      <w:r w:rsidRPr="008E28EA">
        <w:rPr>
          <w:sz w:val="20"/>
          <w:szCs w:val="20"/>
        </w:rPr>
        <w:t>of</w:t>
      </w:r>
      <w:r>
        <w:rPr>
          <w:sz w:val="20"/>
          <w:szCs w:val="20"/>
        </w:rPr>
        <w:t xml:space="preserve"> </w:t>
      </w:r>
      <w:r w:rsidRPr="008E28EA">
        <w:rPr>
          <w:sz w:val="20"/>
          <w:szCs w:val="20"/>
        </w:rPr>
        <w:t>white</w:t>
      </w:r>
      <w:r>
        <w:rPr>
          <w:sz w:val="20"/>
          <w:szCs w:val="20"/>
        </w:rPr>
        <w:t xml:space="preserve"> </w:t>
      </w:r>
      <w:r w:rsidRPr="008E28EA">
        <w:rPr>
          <w:sz w:val="20"/>
          <w:szCs w:val="20"/>
        </w:rPr>
        <w:t>plastic</w:t>
      </w:r>
      <w:r>
        <w:rPr>
          <w:sz w:val="20"/>
          <w:szCs w:val="20"/>
        </w:rPr>
        <w:t xml:space="preserve"> </w:t>
      </w:r>
      <w:r w:rsidRPr="008E28EA">
        <w:rPr>
          <w:sz w:val="20"/>
          <w:szCs w:val="20"/>
        </w:rPr>
        <w:t>cover</w:t>
      </w:r>
      <w:r>
        <w:rPr>
          <w:sz w:val="20"/>
          <w:szCs w:val="20"/>
        </w:rPr>
        <w:t xml:space="preserve"> </w:t>
      </w:r>
      <w:r w:rsidRPr="008E28EA">
        <w:rPr>
          <w:sz w:val="20"/>
          <w:szCs w:val="20"/>
        </w:rPr>
        <w:t>around</w:t>
      </w:r>
      <w:r>
        <w:rPr>
          <w:sz w:val="20"/>
          <w:szCs w:val="20"/>
        </w:rPr>
        <w:t xml:space="preserve"> </w:t>
      </w:r>
      <w:r w:rsidRPr="008E28EA">
        <w:rPr>
          <w:sz w:val="20"/>
          <w:szCs w:val="20"/>
        </w:rPr>
        <w:t>the</w:t>
      </w:r>
      <w:r>
        <w:rPr>
          <w:sz w:val="20"/>
          <w:szCs w:val="20"/>
        </w:rPr>
        <w:t xml:space="preserve"> </w:t>
      </w:r>
      <w:r w:rsidRPr="008E28EA">
        <w:rPr>
          <w:sz w:val="20"/>
          <w:szCs w:val="20"/>
        </w:rPr>
        <w:t>phototherapy</w:t>
      </w:r>
      <w:r>
        <w:rPr>
          <w:sz w:val="20"/>
          <w:szCs w:val="20"/>
        </w:rPr>
        <w:t xml:space="preserve"> </w:t>
      </w:r>
      <w:r w:rsidRPr="008E28EA">
        <w:rPr>
          <w:sz w:val="20"/>
          <w:szCs w:val="20"/>
        </w:rPr>
        <w:t>unit</w:t>
      </w:r>
      <w:r>
        <w:rPr>
          <w:sz w:val="20"/>
          <w:szCs w:val="20"/>
        </w:rPr>
        <w:t xml:space="preserve"> </w:t>
      </w:r>
      <w:r w:rsidRPr="008E28EA">
        <w:rPr>
          <w:sz w:val="20"/>
          <w:szCs w:val="20"/>
        </w:rPr>
        <w:t>on</w:t>
      </w:r>
      <w:r>
        <w:rPr>
          <w:sz w:val="20"/>
          <w:szCs w:val="20"/>
        </w:rPr>
        <w:t xml:space="preserve"> </w:t>
      </w:r>
      <w:r w:rsidRPr="008E28EA">
        <w:rPr>
          <w:sz w:val="20"/>
          <w:szCs w:val="20"/>
        </w:rPr>
        <w:t>hyperbilirubinemia</w:t>
      </w:r>
      <w:r>
        <w:rPr>
          <w:sz w:val="20"/>
          <w:szCs w:val="20"/>
        </w:rPr>
        <w:t xml:space="preserve"> </w:t>
      </w:r>
      <w:r w:rsidRPr="008E28EA">
        <w:rPr>
          <w:sz w:val="20"/>
          <w:szCs w:val="20"/>
        </w:rPr>
        <w:t>in</w:t>
      </w:r>
      <w:r>
        <w:rPr>
          <w:sz w:val="20"/>
          <w:szCs w:val="20"/>
        </w:rPr>
        <w:t xml:space="preserve"> </w:t>
      </w:r>
      <w:r w:rsidRPr="008E28EA">
        <w:rPr>
          <w:sz w:val="20"/>
          <w:szCs w:val="20"/>
        </w:rPr>
        <w:t>full</w:t>
      </w:r>
      <w:r>
        <w:rPr>
          <w:sz w:val="20"/>
          <w:szCs w:val="20"/>
        </w:rPr>
        <w:t xml:space="preserve"> </w:t>
      </w:r>
      <w:r w:rsidRPr="008E28EA">
        <w:rPr>
          <w:sz w:val="20"/>
          <w:szCs w:val="20"/>
        </w:rPr>
        <w:t>term</w:t>
      </w:r>
      <w:r>
        <w:rPr>
          <w:sz w:val="20"/>
          <w:szCs w:val="20"/>
        </w:rPr>
        <w:t xml:space="preserve"> </w:t>
      </w:r>
      <w:r w:rsidRPr="008E28EA">
        <w:rPr>
          <w:sz w:val="20"/>
          <w:szCs w:val="20"/>
        </w:rPr>
        <w:t>neonates.</w:t>
      </w:r>
      <w:r>
        <w:rPr>
          <w:sz w:val="20"/>
          <w:szCs w:val="20"/>
        </w:rPr>
        <w:t xml:space="preserve"> </w:t>
      </w:r>
      <w:r w:rsidRPr="008E28EA">
        <w:rPr>
          <w:sz w:val="20"/>
          <w:szCs w:val="20"/>
        </w:rPr>
        <w:t>Iran</w:t>
      </w:r>
      <w:r>
        <w:rPr>
          <w:sz w:val="20"/>
          <w:szCs w:val="20"/>
        </w:rPr>
        <w:t xml:space="preserve"> </w:t>
      </w:r>
      <w:r w:rsidRPr="008E28EA">
        <w:rPr>
          <w:sz w:val="20"/>
          <w:szCs w:val="20"/>
        </w:rPr>
        <w:t>J</w:t>
      </w:r>
      <w:r>
        <w:rPr>
          <w:sz w:val="20"/>
          <w:szCs w:val="20"/>
        </w:rPr>
        <w:t xml:space="preserve"> </w:t>
      </w:r>
      <w:r w:rsidRPr="008E28EA">
        <w:rPr>
          <w:sz w:val="20"/>
          <w:szCs w:val="20"/>
        </w:rPr>
        <w:t>Pediatrics</w:t>
      </w:r>
      <w:r>
        <w:rPr>
          <w:sz w:val="20"/>
          <w:szCs w:val="20"/>
        </w:rPr>
        <w:t xml:space="preserve"> </w:t>
      </w:r>
      <w:r w:rsidRPr="008E28EA">
        <w:rPr>
          <w:sz w:val="20"/>
          <w:szCs w:val="20"/>
        </w:rPr>
        <w:t>2013;23:143-8.</w:t>
      </w:r>
    </w:p>
    <w:p w:rsidR="003F3A1A" w:rsidRPr="008E28EA" w:rsidRDefault="003F3A1A" w:rsidP="008E28EA">
      <w:pPr>
        <w:numPr>
          <w:ilvl w:val="0"/>
          <w:numId w:val="1"/>
        </w:numPr>
        <w:bidi w:val="0"/>
        <w:snapToGrid w:val="0"/>
        <w:ind w:left="425" w:hanging="425"/>
        <w:jc w:val="both"/>
        <w:rPr>
          <w:sz w:val="20"/>
          <w:szCs w:val="20"/>
        </w:rPr>
      </w:pPr>
      <w:r w:rsidRPr="008E28EA">
        <w:rPr>
          <w:bCs/>
          <w:sz w:val="20"/>
          <w:szCs w:val="20"/>
        </w:rPr>
        <w:t>Hoppenot</w:t>
      </w:r>
      <w:r>
        <w:rPr>
          <w:bCs/>
          <w:sz w:val="20"/>
          <w:szCs w:val="20"/>
        </w:rPr>
        <w:t xml:space="preserve"> </w:t>
      </w:r>
      <w:r w:rsidRPr="008E28EA">
        <w:rPr>
          <w:bCs/>
          <w:sz w:val="20"/>
          <w:szCs w:val="20"/>
        </w:rPr>
        <w:t>C,</w:t>
      </w:r>
      <w:r>
        <w:rPr>
          <w:bCs/>
          <w:sz w:val="20"/>
          <w:szCs w:val="20"/>
        </w:rPr>
        <w:t xml:space="preserve"> </w:t>
      </w:r>
      <w:r w:rsidRPr="008E28EA">
        <w:rPr>
          <w:bCs/>
          <w:sz w:val="20"/>
          <w:szCs w:val="20"/>
        </w:rPr>
        <w:t>Emmett</w:t>
      </w:r>
      <w:r>
        <w:rPr>
          <w:bCs/>
          <w:sz w:val="20"/>
          <w:szCs w:val="20"/>
        </w:rPr>
        <w:t xml:space="preserve"> </w:t>
      </w:r>
      <w:r w:rsidRPr="008E28EA">
        <w:rPr>
          <w:bCs/>
          <w:sz w:val="20"/>
          <w:szCs w:val="20"/>
        </w:rPr>
        <w:t>GA</w:t>
      </w:r>
      <w:r w:rsidRPr="008E28EA">
        <w:rPr>
          <w:sz w:val="20"/>
          <w:szCs w:val="20"/>
        </w:rPr>
        <w:t>.</w:t>
      </w:r>
      <w:r>
        <w:rPr>
          <w:sz w:val="20"/>
          <w:szCs w:val="20"/>
        </w:rPr>
        <w:t xml:space="preserve"> </w:t>
      </w:r>
      <w:r w:rsidRPr="008E28EA">
        <w:rPr>
          <w:sz w:val="20"/>
          <w:szCs w:val="20"/>
        </w:rPr>
        <w:t>Neonatal</w:t>
      </w:r>
      <w:r>
        <w:rPr>
          <w:sz w:val="20"/>
          <w:szCs w:val="20"/>
        </w:rPr>
        <w:t xml:space="preserve"> </w:t>
      </w:r>
      <w:r w:rsidRPr="008E28EA">
        <w:rPr>
          <w:sz w:val="20"/>
          <w:szCs w:val="20"/>
        </w:rPr>
        <w:t>bilirubin</w:t>
      </w:r>
      <w:r>
        <w:rPr>
          <w:sz w:val="20"/>
          <w:szCs w:val="20"/>
        </w:rPr>
        <w:t xml:space="preserve"> </w:t>
      </w:r>
      <w:r w:rsidRPr="008E28EA">
        <w:rPr>
          <w:sz w:val="20"/>
          <w:szCs w:val="20"/>
        </w:rPr>
        <w:t>triage</w:t>
      </w:r>
      <w:r>
        <w:rPr>
          <w:sz w:val="20"/>
          <w:szCs w:val="20"/>
        </w:rPr>
        <w:t xml:space="preserve"> </w:t>
      </w:r>
      <w:r w:rsidRPr="008E28EA">
        <w:rPr>
          <w:sz w:val="20"/>
          <w:szCs w:val="20"/>
        </w:rPr>
        <w:t>with</w:t>
      </w:r>
      <w:r>
        <w:rPr>
          <w:sz w:val="20"/>
          <w:szCs w:val="20"/>
        </w:rPr>
        <w:t xml:space="preserve"> </w:t>
      </w:r>
      <w:r w:rsidRPr="008E28EA">
        <w:rPr>
          <w:sz w:val="20"/>
          <w:szCs w:val="20"/>
        </w:rPr>
        <w:t>transcutaneous</w:t>
      </w:r>
      <w:r>
        <w:rPr>
          <w:sz w:val="20"/>
          <w:szCs w:val="20"/>
        </w:rPr>
        <w:t xml:space="preserve"> </w:t>
      </w:r>
      <w:r w:rsidRPr="008E28EA">
        <w:rPr>
          <w:sz w:val="20"/>
          <w:szCs w:val="20"/>
        </w:rPr>
        <w:t>meters:</w:t>
      </w:r>
      <w:r>
        <w:rPr>
          <w:sz w:val="20"/>
          <w:szCs w:val="20"/>
        </w:rPr>
        <w:t xml:space="preserve"> </w:t>
      </w:r>
      <w:r w:rsidRPr="008E28EA">
        <w:rPr>
          <w:sz w:val="20"/>
          <w:szCs w:val="20"/>
        </w:rPr>
        <w:t>when</w:t>
      </w:r>
      <w:r>
        <w:rPr>
          <w:sz w:val="20"/>
          <w:szCs w:val="20"/>
        </w:rPr>
        <w:t xml:space="preserve"> </w:t>
      </w:r>
      <w:r w:rsidRPr="008E28EA">
        <w:rPr>
          <w:sz w:val="20"/>
          <w:szCs w:val="20"/>
        </w:rPr>
        <w:t>is</w:t>
      </w:r>
      <w:r>
        <w:rPr>
          <w:sz w:val="20"/>
          <w:szCs w:val="20"/>
        </w:rPr>
        <w:t xml:space="preserve"> </w:t>
      </w:r>
      <w:r w:rsidRPr="008E28EA">
        <w:rPr>
          <w:sz w:val="20"/>
          <w:szCs w:val="20"/>
        </w:rPr>
        <w:t>a</w:t>
      </w:r>
      <w:r>
        <w:rPr>
          <w:sz w:val="20"/>
          <w:szCs w:val="20"/>
        </w:rPr>
        <w:t xml:space="preserve"> </w:t>
      </w:r>
      <w:r w:rsidRPr="008E28EA">
        <w:rPr>
          <w:sz w:val="20"/>
          <w:szCs w:val="20"/>
        </w:rPr>
        <w:t>blood</w:t>
      </w:r>
      <w:r>
        <w:rPr>
          <w:sz w:val="20"/>
          <w:szCs w:val="20"/>
        </w:rPr>
        <w:t xml:space="preserve"> </w:t>
      </w:r>
      <w:r w:rsidRPr="008E28EA">
        <w:rPr>
          <w:sz w:val="20"/>
          <w:szCs w:val="20"/>
        </w:rPr>
        <w:t>draw</w:t>
      </w:r>
      <w:r>
        <w:rPr>
          <w:sz w:val="20"/>
          <w:szCs w:val="20"/>
        </w:rPr>
        <w:t xml:space="preserve"> </w:t>
      </w:r>
      <w:r w:rsidRPr="008E28EA">
        <w:rPr>
          <w:sz w:val="20"/>
          <w:szCs w:val="20"/>
        </w:rPr>
        <w:t>necessary?</w:t>
      </w:r>
      <w:r>
        <w:rPr>
          <w:sz w:val="20"/>
          <w:szCs w:val="20"/>
        </w:rPr>
        <w:t xml:space="preserve"> </w:t>
      </w:r>
      <w:r w:rsidRPr="008E28EA">
        <w:rPr>
          <w:sz w:val="20"/>
          <w:szCs w:val="20"/>
        </w:rPr>
        <w:t>Hospital</w:t>
      </w:r>
      <w:r>
        <w:rPr>
          <w:sz w:val="20"/>
          <w:szCs w:val="20"/>
        </w:rPr>
        <w:t xml:space="preserve"> </w:t>
      </w:r>
      <w:r w:rsidRPr="008E28EA">
        <w:rPr>
          <w:sz w:val="20"/>
          <w:szCs w:val="20"/>
        </w:rPr>
        <w:t>Pediatr</w:t>
      </w:r>
      <w:r>
        <w:rPr>
          <w:sz w:val="20"/>
          <w:szCs w:val="20"/>
        </w:rPr>
        <w:t xml:space="preserve"> </w:t>
      </w:r>
      <w:r w:rsidRPr="008E28EA">
        <w:rPr>
          <w:sz w:val="20"/>
          <w:szCs w:val="20"/>
        </w:rPr>
        <w:t>2012;</w:t>
      </w:r>
      <w:r>
        <w:rPr>
          <w:sz w:val="20"/>
          <w:szCs w:val="20"/>
        </w:rPr>
        <w:t xml:space="preserve"> </w:t>
      </w:r>
      <w:r w:rsidRPr="008E28EA">
        <w:rPr>
          <w:sz w:val="20"/>
          <w:szCs w:val="20"/>
        </w:rPr>
        <w:t>2:</w:t>
      </w:r>
      <w:r>
        <w:rPr>
          <w:sz w:val="20"/>
          <w:szCs w:val="20"/>
        </w:rPr>
        <w:t xml:space="preserve"> </w:t>
      </w:r>
      <w:r w:rsidRPr="008E28EA">
        <w:rPr>
          <w:sz w:val="20"/>
          <w:szCs w:val="20"/>
        </w:rPr>
        <w:t>215-20.</w:t>
      </w:r>
    </w:p>
    <w:p w:rsidR="003F3A1A" w:rsidRPr="008E28EA" w:rsidRDefault="003F3A1A" w:rsidP="008E28EA">
      <w:pPr>
        <w:numPr>
          <w:ilvl w:val="0"/>
          <w:numId w:val="1"/>
        </w:numPr>
        <w:bidi w:val="0"/>
        <w:snapToGrid w:val="0"/>
        <w:ind w:left="425" w:hanging="425"/>
        <w:jc w:val="both"/>
        <w:rPr>
          <w:rStyle w:val="mixed-citation"/>
          <w:sz w:val="20"/>
          <w:szCs w:val="20"/>
        </w:rPr>
      </w:pPr>
      <w:r w:rsidRPr="008E28EA">
        <w:rPr>
          <w:rStyle w:val="mixed-citation"/>
          <w:sz w:val="20"/>
          <w:szCs w:val="20"/>
        </w:rPr>
        <w:t>National</w:t>
      </w:r>
      <w:r>
        <w:rPr>
          <w:rStyle w:val="mixed-citation"/>
          <w:sz w:val="20"/>
          <w:szCs w:val="20"/>
        </w:rPr>
        <w:t xml:space="preserve"> </w:t>
      </w:r>
      <w:r w:rsidRPr="008E28EA">
        <w:rPr>
          <w:rStyle w:val="mixed-citation"/>
          <w:sz w:val="20"/>
          <w:szCs w:val="20"/>
        </w:rPr>
        <w:t>Institute</w:t>
      </w:r>
      <w:r>
        <w:rPr>
          <w:rStyle w:val="mixed-citation"/>
          <w:sz w:val="20"/>
          <w:szCs w:val="20"/>
        </w:rPr>
        <w:t xml:space="preserve"> </w:t>
      </w:r>
      <w:r w:rsidRPr="008E28EA">
        <w:rPr>
          <w:rStyle w:val="mixed-citation"/>
          <w:sz w:val="20"/>
          <w:szCs w:val="20"/>
        </w:rPr>
        <w:t>for</w:t>
      </w:r>
      <w:r>
        <w:rPr>
          <w:rStyle w:val="mixed-citation"/>
          <w:sz w:val="20"/>
          <w:szCs w:val="20"/>
        </w:rPr>
        <w:t xml:space="preserve"> </w:t>
      </w:r>
      <w:r w:rsidRPr="008E28EA">
        <w:rPr>
          <w:rStyle w:val="mixed-citation"/>
          <w:sz w:val="20"/>
          <w:szCs w:val="20"/>
        </w:rPr>
        <w:t>Health</w:t>
      </w:r>
      <w:r>
        <w:rPr>
          <w:rStyle w:val="mixed-citation"/>
          <w:sz w:val="20"/>
          <w:szCs w:val="20"/>
        </w:rPr>
        <w:t xml:space="preserve"> </w:t>
      </w:r>
      <w:r w:rsidRPr="008E28EA">
        <w:rPr>
          <w:rStyle w:val="mixed-citation"/>
          <w:sz w:val="20"/>
          <w:szCs w:val="20"/>
        </w:rPr>
        <w:t>and</w:t>
      </w:r>
      <w:r>
        <w:rPr>
          <w:rStyle w:val="mixed-citation"/>
          <w:sz w:val="20"/>
          <w:szCs w:val="20"/>
        </w:rPr>
        <w:t xml:space="preserve"> </w:t>
      </w:r>
      <w:r w:rsidRPr="008E28EA">
        <w:rPr>
          <w:rStyle w:val="mixed-citation"/>
          <w:sz w:val="20"/>
          <w:szCs w:val="20"/>
        </w:rPr>
        <w:t>Clinical</w:t>
      </w:r>
      <w:r>
        <w:rPr>
          <w:rStyle w:val="mixed-citation"/>
          <w:sz w:val="20"/>
          <w:szCs w:val="20"/>
        </w:rPr>
        <w:t xml:space="preserve"> </w:t>
      </w:r>
      <w:r w:rsidRPr="008E28EA">
        <w:rPr>
          <w:rStyle w:val="mixed-citation"/>
          <w:sz w:val="20"/>
          <w:szCs w:val="20"/>
        </w:rPr>
        <w:t>Excellence</w:t>
      </w:r>
      <w:r>
        <w:rPr>
          <w:rStyle w:val="mixed-citation"/>
          <w:sz w:val="20"/>
          <w:szCs w:val="20"/>
        </w:rPr>
        <w:t xml:space="preserve"> </w:t>
      </w:r>
      <w:r w:rsidRPr="008E28EA">
        <w:rPr>
          <w:rStyle w:val="mixed-citation"/>
          <w:sz w:val="20"/>
          <w:szCs w:val="20"/>
        </w:rPr>
        <w:t>(NICE).</w:t>
      </w:r>
      <w:r>
        <w:rPr>
          <w:rStyle w:val="mixed-citation"/>
          <w:sz w:val="20"/>
          <w:szCs w:val="20"/>
        </w:rPr>
        <w:t xml:space="preserve"> </w:t>
      </w:r>
      <w:r w:rsidRPr="008E28EA">
        <w:rPr>
          <w:rStyle w:val="mixed-citation"/>
          <w:sz w:val="20"/>
          <w:szCs w:val="20"/>
        </w:rPr>
        <w:t>Neonatal</w:t>
      </w:r>
      <w:r>
        <w:rPr>
          <w:rStyle w:val="mixed-citation"/>
          <w:sz w:val="20"/>
          <w:szCs w:val="20"/>
        </w:rPr>
        <w:t xml:space="preserve"> </w:t>
      </w:r>
      <w:r w:rsidRPr="008E28EA">
        <w:rPr>
          <w:rStyle w:val="mixed-citation"/>
          <w:sz w:val="20"/>
          <w:szCs w:val="20"/>
        </w:rPr>
        <w:t>jaundice.</w:t>
      </w:r>
      <w:r>
        <w:rPr>
          <w:rStyle w:val="mixed-citation"/>
          <w:sz w:val="20"/>
          <w:szCs w:val="20"/>
        </w:rPr>
        <w:t xml:space="preserve"> </w:t>
      </w:r>
      <w:r w:rsidRPr="008E28EA">
        <w:rPr>
          <w:rStyle w:val="mixed-citation"/>
          <w:sz w:val="20"/>
          <w:szCs w:val="20"/>
        </w:rPr>
        <w:t>(Clinical</w:t>
      </w:r>
      <w:r>
        <w:rPr>
          <w:rStyle w:val="mixed-citation"/>
          <w:sz w:val="20"/>
          <w:szCs w:val="20"/>
        </w:rPr>
        <w:t xml:space="preserve"> </w:t>
      </w:r>
      <w:r w:rsidRPr="008E28EA">
        <w:rPr>
          <w:rStyle w:val="mixed-citation"/>
          <w:sz w:val="20"/>
          <w:szCs w:val="20"/>
        </w:rPr>
        <w:t>guideline</w:t>
      </w:r>
      <w:r>
        <w:rPr>
          <w:rStyle w:val="mixed-citation"/>
          <w:sz w:val="20"/>
          <w:szCs w:val="20"/>
        </w:rPr>
        <w:t xml:space="preserve"> </w:t>
      </w:r>
      <w:r w:rsidRPr="008E28EA">
        <w:rPr>
          <w:rStyle w:val="mixed-citation"/>
          <w:sz w:val="20"/>
          <w:szCs w:val="20"/>
        </w:rPr>
        <w:t>98.),</w:t>
      </w:r>
      <w:r>
        <w:rPr>
          <w:rStyle w:val="mixed-citation"/>
          <w:sz w:val="20"/>
          <w:szCs w:val="20"/>
        </w:rPr>
        <w:t xml:space="preserve"> </w:t>
      </w:r>
      <w:r w:rsidRPr="008E28EA">
        <w:rPr>
          <w:rStyle w:val="mixed-citation"/>
          <w:sz w:val="20"/>
          <w:szCs w:val="20"/>
        </w:rPr>
        <w:t>2010.</w:t>
      </w:r>
    </w:p>
    <w:p w:rsidR="003F3A1A" w:rsidRPr="008E28EA" w:rsidRDefault="003F3A1A" w:rsidP="008E28EA">
      <w:pPr>
        <w:numPr>
          <w:ilvl w:val="0"/>
          <w:numId w:val="1"/>
        </w:numPr>
        <w:bidi w:val="0"/>
        <w:snapToGrid w:val="0"/>
        <w:ind w:left="425" w:hanging="425"/>
        <w:jc w:val="both"/>
        <w:rPr>
          <w:rStyle w:val="HTMLCite"/>
          <w:iCs/>
          <w:sz w:val="20"/>
          <w:szCs w:val="20"/>
        </w:rPr>
      </w:pPr>
      <w:r w:rsidRPr="008E28EA">
        <w:rPr>
          <w:rStyle w:val="HTMLCite"/>
          <w:bCs/>
          <w:i w:val="0"/>
          <w:sz w:val="20"/>
          <w:szCs w:val="20"/>
        </w:rPr>
        <w:t>Rylance</w:t>
      </w:r>
      <w:r>
        <w:rPr>
          <w:rStyle w:val="HTMLCite"/>
          <w:bCs/>
          <w:i w:val="0"/>
          <w:sz w:val="20"/>
          <w:szCs w:val="20"/>
        </w:rPr>
        <w:t xml:space="preserve"> </w:t>
      </w:r>
      <w:r w:rsidRPr="008E28EA">
        <w:rPr>
          <w:rStyle w:val="HTMLCite"/>
          <w:bCs/>
          <w:i w:val="0"/>
          <w:sz w:val="20"/>
          <w:szCs w:val="20"/>
        </w:rPr>
        <w:t>S,</w:t>
      </w:r>
      <w:r>
        <w:rPr>
          <w:rStyle w:val="HTMLCite"/>
          <w:bCs/>
          <w:i w:val="0"/>
          <w:sz w:val="20"/>
          <w:szCs w:val="20"/>
        </w:rPr>
        <w:t xml:space="preserve"> </w:t>
      </w:r>
      <w:r w:rsidRPr="008E28EA">
        <w:rPr>
          <w:rStyle w:val="HTMLCite"/>
          <w:bCs/>
          <w:i w:val="0"/>
          <w:sz w:val="20"/>
          <w:szCs w:val="20"/>
        </w:rPr>
        <w:t>Yan</w:t>
      </w:r>
      <w:r>
        <w:rPr>
          <w:rStyle w:val="HTMLCite"/>
          <w:bCs/>
          <w:i w:val="0"/>
          <w:sz w:val="20"/>
          <w:szCs w:val="20"/>
        </w:rPr>
        <w:t xml:space="preserve"> </w:t>
      </w:r>
      <w:r w:rsidRPr="008E28EA">
        <w:rPr>
          <w:rStyle w:val="HTMLCite"/>
          <w:bCs/>
          <w:i w:val="0"/>
          <w:sz w:val="20"/>
          <w:szCs w:val="20"/>
        </w:rPr>
        <w:t>J,</w:t>
      </w:r>
      <w:r>
        <w:rPr>
          <w:rStyle w:val="HTMLCite"/>
          <w:bCs/>
          <w:i w:val="0"/>
          <w:sz w:val="20"/>
          <w:szCs w:val="20"/>
        </w:rPr>
        <w:t xml:space="preserve"> </w:t>
      </w:r>
      <w:r w:rsidRPr="008E28EA">
        <w:rPr>
          <w:rStyle w:val="HTMLCite"/>
          <w:bCs/>
          <w:i w:val="0"/>
          <w:sz w:val="20"/>
          <w:szCs w:val="20"/>
        </w:rPr>
        <w:t>Molyneux</w:t>
      </w:r>
      <w:r>
        <w:rPr>
          <w:rStyle w:val="HTMLCite"/>
          <w:bCs/>
          <w:i w:val="0"/>
          <w:sz w:val="20"/>
          <w:szCs w:val="20"/>
        </w:rPr>
        <w:t xml:space="preserve"> </w:t>
      </w:r>
      <w:r w:rsidRPr="008E28EA">
        <w:rPr>
          <w:rStyle w:val="HTMLCite"/>
          <w:bCs/>
          <w:i w:val="0"/>
          <w:sz w:val="20"/>
          <w:szCs w:val="20"/>
        </w:rPr>
        <w:t>E.</w:t>
      </w:r>
      <w:r>
        <w:rPr>
          <w:rStyle w:val="HTMLCite"/>
          <w:iCs/>
          <w:sz w:val="20"/>
          <w:szCs w:val="20"/>
        </w:rPr>
        <w:t xml:space="preserve"> </w:t>
      </w:r>
      <w:r w:rsidRPr="008E28EA">
        <w:rPr>
          <w:rStyle w:val="HTMLCite"/>
          <w:iCs/>
          <w:sz w:val="20"/>
          <w:szCs w:val="20"/>
        </w:rPr>
        <w:t>Can</w:t>
      </w:r>
      <w:r>
        <w:rPr>
          <w:rStyle w:val="HTMLCite"/>
          <w:iCs/>
          <w:sz w:val="20"/>
          <w:szCs w:val="20"/>
        </w:rPr>
        <w:t xml:space="preserve"> </w:t>
      </w:r>
      <w:r w:rsidRPr="008E28EA">
        <w:rPr>
          <w:rStyle w:val="HTMLCite"/>
          <w:iCs/>
          <w:sz w:val="20"/>
          <w:szCs w:val="20"/>
        </w:rPr>
        <w:t>transcutaneous</w:t>
      </w:r>
      <w:r>
        <w:rPr>
          <w:rStyle w:val="HTMLCite"/>
          <w:iCs/>
          <w:sz w:val="20"/>
          <w:szCs w:val="20"/>
        </w:rPr>
        <w:t xml:space="preserve"> </w:t>
      </w:r>
      <w:r w:rsidRPr="008E28EA">
        <w:rPr>
          <w:rStyle w:val="HTMLCite"/>
          <w:iCs/>
          <w:sz w:val="20"/>
          <w:szCs w:val="20"/>
        </w:rPr>
        <w:t>bilirubinometry</w:t>
      </w:r>
      <w:r>
        <w:rPr>
          <w:rStyle w:val="HTMLCite"/>
          <w:iCs/>
          <w:sz w:val="20"/>
          <w:szCs w:val="20"/>
        </w:rPr>
        <w:t xml:space="preserve"> </w:t>
      </w:r>
      <w:r w:rsidRPr="008E28EA">
        <w:rPr>
          <w:rStyle w:val="HTMLCite"/>
          <w:iCs/>
          <w:sz w:val="20"/>
          <w:szCs w:val="20"/>
        </w:rPr>
        <w:t>safely</w:t>
      </w:r>
      <w:r>
        <w:rPr>
          <w:rStyle w:val="HTMLCite"/>
          <w:iCs/>
          <w:sz w:val="20"/>
          <w:szCs w:val="20"/>
        </w:rPr>
        <w:t xml:space="preserve"> </w:t>
      </w:r>
      <w:r w:rsidRPr="008E28EA">
        <w:rPr>
          <w:rStyle w:val="HTMLCite"/>
          <w:iCs/>
          <w:sz w:val="20"/>
          <w:szCs w:val="20"/>
        </w:rPr>
        <w:t>guide</w:t>
      </w:r>
      <w:r>
        <w:rPr>
          <w:rStyle w:val="HTMLCite"/>
          <w:iCs/>
          <w:sz w:val="20"/>
          <w:szCs w:val="20"/>
        </w:rPr>
        <w:t xml:space="preserve"> </w:t>
      </w:r>
      <w:r w:rsidRPr="008E28EA">
        <w:rPr>
          <w:rStyle w:val="HTMLCite"/>
          <w:iCs/>
          <w:sz w:val="20"/>
          <w:szCs w:val="20"/>
        </w:rPr>
        <w:t>phototherapy</w:t>
      </w:r>
      <w:r>
        <w:rPr>
          <w:rStyle w:val="HTMLCite"/>
          <w:iCs/>
          <w:sz w:val="20"/>
          <w:szCs w:val="20"/>
        </w:rPr>
        <w:t xml:space="preserve"> </w:t>
      </w:r>
      <w:r w:rsidRPr="008E28EA">
        <w:rPr>
          <w:rStyle w:val="HTMLCite"/>
          <w:iCs/>
          <w:sz w:val="20"/>
          <w:szCs w:val="20"/>
        </w:rPr>
        <w:t>treatment</w:t>
      </w:r>
      <w:r>
        <w:rPr>
          <w:rStyle w:val="HTMLCite"/>
          <w:iCs/>
          <w:sz w:val="20"/>
          <w:szCs w:val="20"/>
        </w:rPr>
        <w:t xml:space="preserve"> </w:t>
      </w:r>
      <w:r w:rsidRPr="008E28EA">
        <w:rPr>
          <w:rStyle w:val="HTMLCite"/>
          <w:iCs/>
          <w:sz w:val="20"/>
          <w:szCs w:val="20"/>
        </w:rPr>
        <w:t>of</w:t>
      </w:r>
      <w:r>
        <w:rPr>
          <w:rStyle w:val="HTMLCite"/>
          <w:iCs/>
          <w:sz w:val="20"/>
          <w:szCs w:val="20"/>
        </w:rPr>
        <w:t xml:space="preserve"> </w:t>
      </w:r>
      <w:r w:rsidRPr="008E28EA">
        <w:rPr>
          <w:rStyle w:val="HTMLCite"/>
          <w:iCs/>
          <w:sz w:val="20"/>
          <w:szCs w:val="20"/>
        </w:rPr>
        <w:t>neonatal</w:t>
      </w:r>
      <w:r>
        <w:rPr>
          <w:rStyle w:val="HTMLCite"/>
          <w:iCs/>
          <w:sz w:val="20"/>
          <w:szCs w:val="20"/>
        </w:rPr>
        <w:t xml:space="preserve"> </w:t>
      </w:r>
      <w:r w:rsidRPr="008E28EA">
        <w:rPr>
          <w:rStyle w:val="HTMLCite"/>
          <w:iCs/>
          <w:sz w:val="20"/>
          <w:szCs w:val="20"/>
        </w:rPr>
        <w:t>jaundice</w:t>
      </w:r>
      <w:r>
        <w:rPr>
          <w:rStyle w:val="HTMLCite"/>
          <w:iCs/>
          <w:sz w:val="20"/>
          <w:szCs w:val="20"/>
        </w:rPr>
        <w:t xml:space="preserve"> </w:t>
      </w:r>
      <w:r w:rsidRPr="008E28EA">
        <w:rPr>
          <w:rStyle w:val="HTMLCite"/>
          <w:iCs/>
          <w:sz w:val="20"/>
          <w:szCs w:val="20"/>
        </w:rPr>
        <w:t>in</w:t>
      </w:r>
      <w:r>
        <w:rPr>
          <w:rStyle w:val="HTMLCite"/>
          <w:iCs/>
          <w:sz w:val="20"/>
          <w:szCs w:val="20"/>
        </w:rPr>
        <w:t xml:space="preserve"> </w:t>
      </w:r>
      <w:r w:rsidRPr="008E28EA">
        <w:rPr>
          <w:rStyle w:val="HTMLCite"/>
          <w:iCs/>
          <w:sz w:val="20"/>
          <w:szCs w:val="20"/>
        </w:rPr>
        <w:t>Malawi?</w:t>
      </w:r>
      <w:r>
        <w:rPr>
          <w:rStyle w:val="HTMLCite"/>
          <w:iCs/>
          <w:sz w:val="20"/>
          <w:szCs w:val="20"/>
        </w:rPr>
        <w:t xml:space="preserve"> </w:t>
      </w:r>
      <w:r w:rsidRPr="008E28EA">
        <w:rPr>
          <w:rStyle w:val="HTMLCite"/>
          <w:iCs/>
          <w:sz w:val="20"/>
          <w:szCs w:val="20"/>
        </w:rPr>
        <w:t>Paediatr</w:t>
      </w:r>
      <w:r>
        <w:rPr>
          <w:rStyle w:val="HTMLCite"/>
          <w:iCs/>
          <w:sz w:val="20"/>
          <w:szCs w:val="20"/>
        </w:rPr>
        <w:t xml:space="preserve"> </w:t>
      </w:r>
      <w:r w:rsidRPr="008E28EA">
        <w:rPr>
          <w:rStyle w:val="HTMLCite"/>
          <w:iCs/>
          <w:sz w:val="20"/>
          <w:szCs w:val="20"/>
        </w:rPr>
        <w:t>Int</w:t>
      </w:r>
      <w:r>
        <w:rPr>
          <w:rStyle w:val="HTMLCite"/>
          <w:iCs/>
          <w:sz w:val="20"/>
          <w:szCs w:val="20"/>
        </w:rPr>
        <w:t xml:space="preserve"> </w:t>
      </w:r>
      <w:r w:rsidRPr="008E28EA">
        <w:rPr>
          <w:rStyle w:val="HTMLCite"/>
          <w:iCs/>
          <w:sz w:val="20"/>
          <w:szCs w:val="20"/>
        </w:rPr>
        <w:t>Child</w:t>
      </w:r>
      <w:r>
        <w:rPr>
          <w:rStyle w:val="HTMLCite"/>
          <w:iCs/>
          <w:sz w:val="20"/>
          <w:szCs w:val="20"/>
        </w:rPr>
        <w:t xml:space="preserve"> </w:t>
      </w:r>
      <w:r w:rsidRPr="008E28EA">
        <w:rPr>
          <w:rStyle w:val="HTMLCite"/>
          <w:iCs/>
          <w:sz w:val="20"/>
          <w:szCs w:val="20"/>
        </w:rPr>
        <w:t>Health.</w:t>
      </w:r>
      <w:r>
        <w:rPr>
          <w:rStyle w:val="HTMLCite"/>
          <w:iCs/>
          <w:sz w:val="20"/>
          <w:szCs w:val="20"/>
        </w:rPr>
        <w:t xml:space="preserve"> </w:t>
      </w:r>
      <w:r w:rsidRPr="008E28EA">
        <w:rPr>
          <w:rStyle w:val="HTMLCite"/>
          <w:iCs/>
          <w:sz w:val="20"/>
          <w:szCs w:val="20"/>
        </w:rPr>
        <w:t>2014;34:101–7.</w:t>
      </w:r>
    </w:p>
    <w:p w:rsidR="003F3A1A" w:rsidRPr="008E28EA" w:rsidRDefault="003F3A1A" w:rsidP="008E28EA">
      <w:pPr>
        <w:numPr>
          <w:ilvl w:val="0"/>
          <w:numId w:val="1"/>
        </w:numPr>
        <w:bidi w:val="0"/>
        <w:snapToGrid w:val="0"/>
        <w:ind w:left="425" w:hanging="425"/>
        <w:jc w:val="both"/>
        <w:rPr>
          <w:rStyle w:val="element-citation"/>
          <w:sz w:val="20"/>
          <w:szCs w:val="20"/>
        </w:rPr>
      </w:pPr>
      <w:r w:rsidRPr="008E28EA">
        <w:rPr>
          <w:rStyle w:val="element-citation"/>
          <w:bCs/>
          <w:sz w:val="20"/>
          <w:szCs w:val="20"/>
        </w:rPr>
        <w:t>Cline</w:t>
      </w:r>
      <w:r>
        <w:rPr>
          <w:rStyle w:val="element-citation"/>
          <w:bCs/>
          <w:sz w:val="20"/>
          <w:szCs w:val="20"/>
        </w:rPr>
        <w:t xml:space="preserve"> </w:t>
      </w:r>
      <w:r w:rsidRPr="008E28EA">
        <w:rPr>
          <w:rStyle w:val="element-citation"/>
          <w:bCs/>
          <w:sz w:val="20"/>
          <w:szCs w:val="20"/>
        </w:rPr>
        <w:t>BK,</w:t>
      </w:r>
      <w:r>
        <w:rPr>
          <w:rStyle w:val="element-citation"/>
          <w:bCs/>
          <w:sz w:val="20"/>
          <w:szCs w:val="20"/>
        </w:rPr>
        <w:t xml:space="preserve"> </w:t>
      </w:r>
      <w:r w:rsidRPr="008E28EA">
        <w:rPr>
          <w:rStyle w:val="element-citation"/>
          <w:bCs/>
          <w:sz w:val="20"/>
          <w:szCs w:val="20"/>
        </w:rPr>
        <w:t>Vreman</w:t>
      </w:r>
      <w:r>
        <w:rPr>
          <w:rStyle w:val="element-citation"/>
          <w:bCs/>
          <w:sz w:val="20"/>
          <w:szCs w:val="20"/>
        </w:rPr>
        <w:t xml:space="preserve"> </w:t>
      </w:r>
      <w:r w:rsidRPr="008E28EA">
        <w:rPr>
          <w:rStyle w:val="element-citation"/>
          <w:bCs/>
          <w:sz w:val="20"/>
          <w:szCs w:val="20"/>
        </w:rPr>
        <w:t>HJ,</w:t>
      </w:r>
      <w:r>
        <w:rPr>
          <w:rStyle w:val="element-citation"/>
          <w:bCs/>
          <w:sz w:val="20"/>
          <w:szCs w:val="20"/>
        </w:rPr>
        <w:t xml:space="preserve"> </w:t>
      </w:r>
      <w:r w:rsidRPr="008E28EA">
        <w:rPr>
          <w:rStyle w:val="element-citation"/>
          <w:bCs/>
          <w:sz w:val="20"/>
          <w:szCs w:val="20"/>
        </w:rPr>
        <w:t>Faber</w:t>
      </w:r>
      <w:r>
        <w:rPr>
          <w:rStyle w:val="element-citation"/>
          <w:bCs/>
          <w:sz w:val="20"/>
          <w:szCs w:val="20"/>
        </w:rPr>
        <w:t xml:space="preserve"> </w:t>
      </w:r>
      <w:r w:rsidRPr="008E28EA">
        <w:rPr>
          <w:rStyle w:val="element-citation"/>
          <w:bCs/>
          <w:sz w:val="20"/>
          <w:szCs w:val="20"/>
        </w:rPr>
        <w:t>K,</w:t>
      </w:r>
      <w:r>
        <w:rPr>
          <w:rStyle w:val="element-citation"/>
          <w:bCs/>
          <w:sz w:val="20"/>
          <w:szCs w:val="20"/>
        </w:rPr>
        <w:t xml:space="preserve"> </w:t>
      </w:r>
      <w:r w:rsidRPr="008E28EA">
        <w:rPr>
          <w:rStyle w:val="element-citation"/>
          <w:bCs/>
          <w:sz w:val="20"/>
          <w:szCs w:val="20"/>
        </w:rPr>
        <w:t>Lou</w:t>
      </w:r>
      <w:r>
        <w:rPr>
          <w:rStyle w:val="element-citation"/>
          <w:bCs/>
          <w:sz w:val="20"/>
          <w:szCs w:val="20"/>
        </w:rPr>
        <w:t xml:space="preserve"> </w:t>
      </w:r>
      <w:r w:rsidRPr="008E28EA">
        <w:rPr>
          <w:rStyle w:val="element-citation"/>
          <w:bCs/>
          <w:sz w:val="20"/>
          <w:szCs w:val="20"/>
        </w:rPr>
        <w:t>H,</w:t>
      </w:r>
      <w:r>
        <w:rPr>
          <w:rStyle w:val="element-citation"/>
          <w:bCs/>
          <w:sz w:val="20"/>
          <w:szCs w:val="20"/>
        </w:rPr>
        <w:t xml:space="preserve"> </w:t>
      </w:r>
      <w:r w:rsidRPr="008E28EA">
        <w:rPr>
          <w:rStyle w:val="element-citation"/>
          <w:bCs/>
          <w:sz w:val="20"/>
          <w:szCs w:val="20"/>
        </w:rPr>
        <w:t>Donaldson</w:t>
      </w:r>
      <w:r>
        <w:rPr>
          <w:rStyle w:val="element-citation"/>
          <w:bCs/>
          <w:sz w:val="20"/>
          <w:szCs w:val="20"/>
        </w:rPr>
        <w:t xml:space="preserve"> </w:t>
      </w:r>
      <w:r w:rsidRPr="008E28EA">
        <w:rPr>
          <w:rStyle w:val="element-citation"/>
          <w:bCs/>
          <w:sz w:val="20"/>
          <w:szCs w:val="20"/>
        </w:rPr>
        <w:t>KM,</w:t>
      </w:r>
      <w:r>
        <w:rPr>
          <w:rStyle w:val="element-citation"/>
          <w:bCs/>
          <w:sz w:val="20"/>
          <w:szCs w:val="20"/>
        </w:rPr>
        <w:t xml:space="preserve"> </w:t>
      </w:r>
      <w:r w:rsidRPr="008E28EA">
        <w:rPr>
          <w:rStyle w:val="element-citation"/>
          <w:bCs/>
          <w:sz w:val="20"/>
          <w:szCs w:val="20"/>
        </w:rPr>
        <w:t>Amuabunosi</w:t>
      </w:r>
      <w:r>
        <w:rPr>
          <w:rStyle w:val="element-citation"/>
          <w:bCs/>
          <w:sz w:val="20"/>
          <w:szCs w:val="20"/>
        </w:rPr>
        <w:t xml:space="preserve"> </w:t>
      </w:r>
      <w:r w:rsidRPr="008E28EA">
        <w:rPr>
          <w:rStyle w:val="element-citation"/>
          <w:bCs/>
          <w:sz w:val="20"/>
          <w:szCs w:val="20"/>
        </w:rPr>
        <w:t>E,</w:t>
      </w:r>
      <w:r>
        <w:rPr>
          <w:rStyle w:val="element-citation"/>
          <w:bCs/>
          <w:sz w:val="20"/>
          <w:szCs w:val="20"/>
        </w:rPr>
        <w:t xml:space="preserve"> </w:t>
      </w:r>
      <w:r w:rsidRPr="008E28EA">
        <w:rPr>
          <w:rStyle w:val="element-citation"/>
          <w:bCs/>
          <w:sz w:val="20"/>
          <w:szCs w:val="20"/>
        </w:rPr>
        <w:t>Ofovwe</w:t>
      </w:r>
      <w:r>
        <w:rPr>
          <w:rStyle w:val="element-citation"/>
          <w:bCs/>
          <w:sz w:val="20"/>
          <w:szCs w:val="20"/>
        </w:rPr>
        <w:t xml:space="preserve"> </w:t>
      </w:r>
      <w:r w:rsidRPr="008E28EA">
        <w:rPr>
          <w:rStyle w:val="element-citation"/>
          <w:bCs/>
          <w:sz w:val="20"/>
          <w:szCs w:val="20"/>
        </w:rPr>
        <w:t>G,</w:t>
      </w:r>
      <w:r>
        <w:rPr>
          <w:rStyle w:val="element-citation"/>
          <w:bCs/>
          <w:sz w:val="20"/>
          <w:szCs w:val="20"/>
        </w:rPr>
        <w:t xml:space="preserve"> </w:t>
      </w:r>
      <w:r w:rsidRPr="008E28EA">
        <w:rPr>
          <w:rStyle w:val="element-citation"/>
          <w:bCs/>
          <w:sz w:val="20"/>
          <w:szCs w:val="20"/>
        </w:rPr>
        <w:t>Bhutani</w:t>
      </w:r>
      <w:r>
        <w:rPr>
          <w:rStyle w:val="element-citation"/>
          <w:bCs/>
          <w:sz w:val="20"/>
          <w:szCs w:val="20"/>
        </w:rPr>
        <w:t xml:space="preserve"> </w:t>
      </w:r>
      <w:r w:rsidRPr="008E28EA">
        <w:rPr>
          <w:rStyle w:val="element-citation"/>
          <w:bCs/>
          <w:sz w:val="20"/>
          <w:szCs w:val="20"/>
        </w:rPr>
        <w:t>VK,</w:t>
      </w:r>
      <w:r>
        <w:rPr>
          <w:rStyle w:val="element-citation"/>
          <w:bCs/>
          <w:sz w:val="20"/>
          <w:szCs w:val="20"/>
        </w:rPr>
        <w:t xml:space="preserve"> </w:t>
      </w:r>
      <w:r w:rsidRPr="008E28EA">
        <w:rPr>
          <w:rStyle w:val="element-citation"/>
          <w:bCs/>
          <w:sz w:val="20"/>
          <w:szCs w:val="20"/>
        </w:rPr>
        <w:t>Olusanya</w:t>
      </w:r>
      <w:r>
        <w:rPr>
          <w:rStyle w:val="element-citation"/>
          <w:bCs/>
          <w:sz w:val="20"/>
          <w:szCs w:val="20"/>
        </w:rPr>
        <w:t xml:space="preserve"> </w:t>
      </w:r>
      <w:r w:rsidRPr="008E28EA">
        <w:rPr>
          <w:rStyle w:val="element-citation"/>
          <w:bCs/>
          <w:sz w:val="20"/>
          <w:szCs w:val="20"/>
        </w:rPr>
        <w:t>BO,</w:t>
      </w:r>
      <w:r>
        <w:rPr>
          <w:rStyle w:val="element-citation"/>
          <w:bCs/>
          <w:sz w:val="20"/>
          <w:szCs w:val="20"/>
        </w:rPr>
        <w:t xml:space="preserve"> </w:t>
      </w:r>
      <w:r w:rsidRPr="008E28EA">
        <w:rPr>
          <w:rStyle w:val="element-citation"/>
          <w:bCs/>
          <w:sz w:val="20"/>
          <w:szCs w:val="20"/>
        </w:rPr>
        <w:t>Slusher</w:t>
      </w:r>
      <w:r>
        <w:rPr>
          <w:rStyle w:val="element-citation"/>
          <w:bCs/>
          <w:sz w:val="20"/>
          <w:szCs w:val="20"/>
        </w:rPr>
        <w:t xml:space="preserve"> </w:t>
      </w:r>
      <w:r w:rsidRPr="008E28EA">
        <w:rPr>
          <w:rStyle w:val="element-citation"/>
          <w:bCs/>
          <w:sz w:val="20"/>
          <w:szCs w:val="20"/>
        </w:rPr>
        <w:t>TM.</w:t>
      </w:r>
      <w:r>
        <w:rPr>
          <w:rStyle w:val="element-citation"/>
          <w:sz w:val="20"/>
          <w:szCs w:val="20"/>
        </w:rPr>
        <w:t xml:space="preserve"> </w:t>
      </w:r>
      <w:r w:rsidRPr="008E28EA">
        <w:rPr>
          <w:rStyle w:val="element-citation"/>
          <w:sz w:val="20"/>
          <w:szCs w:val="20"/>
        </w:rPr>
        <w:t>Phototherapy</w:t>
      </w:r>
      <w:r>
        <w:rPr>
          <w:rStyle w:val="element-citation"/>
          <w:sz w:val="20"/>
          <w:szCs w:val="20"/>
        </w:rPr>
        <w:t xml:space="preserve"> </w:t>
      </w:r>
      <w:r w:rsidRPr="008E28EA">
        <w:rPr>
          <w:rStyle w:val="element-citation"/>
          <w:sz w:val="20"/>
          <w:szCs w:val="20"/>
        </w:rPr>
        <w:t>device</w:t>
      </w:r>
      <w:r>
        <w:rPr>
          <w:rStyle w:val="element-citation"/>
          <w:sz w:val="20"/>
          <w:szCs w:val="20"/>
        </w:rPr>
        <w:t xml:space="preserve"> </w:t>
      </w:r>
      <w:r w:rsidRPr="008E28EA">
        <w:rPr>
          <w:rStyle w:val="element-citation"/>
          <w:sz w:val="20"/>
          <w:szCs w:val="20"/>
        </w:rPr>
        <w:t>effectiveness</w:t>
      </w:r>
      <w:r>
        <w:rPr>
          <w:rStyle w:val="element-citation"/>
          <w:sz w:val="20"/>
          <w:szCs w:val="20"/>
        </w:rPr>
        <w:t xml:space="preserve"> </w:t>
      </w:r>
      <w:r w:rsidRPr="008E28EA">
        <w:rPr>
          <w:rStyle w:val="element-citation"/>
          <w:sz w:val="20"/>
          <w:szCs w:val="20"/>
        </w:rPr>
        <w:t>in</w:t>
      </w:r>
      <w:r>
        <w:rPr>
          <w:rStyle w:val="element-citation"/>
          <w:sz w:val="20"/>
          <w:szCs w:val="20"/>
        </w:rPr>
        <w:t xml:space="preserve"> </w:t>
      </w:r>
      <w:r w:rsidRPr="008E28EA">
        <w:rPr>
          <w:rStyle w:val="element-citation"/>
          <w:sz w:val="20"/>
          <w:szCs w:val="20"/>
        </w:rPr>
        <w:t>Nigeria:</w:t>
      </w:r>
      <w:r>
        <w:rPr>
          <w:rStyle w:val="element-citation"/>
          <w:sz w:val="20"/>
          <w:szCs w:val="20"/>
        </w:rPr>
        <w:t xml:space="preserve"> </w:t>
      </w:r>
      <w:r w:rsidRPr="008E28EA">
        <w:rPr>
          <w:rStyle w:val="element-citation"/>
          <w:sz w:val="20"/>
          <w:szCs w:val="20"/>
        </w:rPr>
        <w:t>irradiance</w:t>
      </w:r>
      <w:r>
        <w:rPr>
          <w:rStyle w:val="element-citation"/>
          <w:sz w:val="20"/>
          <w:szCs w:val="20"/>
        </w:rPr>
        <w:t xml:space="preserve"> </w:t>
      </w:r>
      <w:r w:rsidRPr="008E28EA">
        <w:rPr>
          <w:rStyle w:val="element-citation"/>
          <w:sz w:val="20"/>
          <w:szCs w:val="20"/>
        </w:rPr>
        <w:t>assessment</w:t>
      </w:r>
      <w:r>
        <w:rPr>
          <w:rStyle w:val="element-citation"/>
          <w:sz w:val="20"/>
          <w:szCs w:val="20"/>
        </w:rPr>
        <w:t xml:space="preserve"> </w:t>
      </w:r>
      <w:r w:rsidRPr="008E28EA">
        <w:rPr>
          <w:rStyle w:val="element-citation"/>
          <w:sz w:val="20"/>
          <w:szCs w:val="20"/>
        </w:rPr>
        <w:t>and</w:t>
      </w:r>
      <w:r>
        <w:rPr>
          <w:rStyle w:val="element-citation"/>
          <w:sz w:val="20"/>
          <w:szCs w:val="20"/>
        </w:rPr>
        <w:t xml:space="preserve"> </w:t>
      </w:r>
      <w:r w:rsidRPr="008E28EA">
        <w:rPr>
          <w:rStyle w:val="element-citation"/>
          <w:sz w:val="20"/>
          <w:szCs w:val="20"/>
        </w:rPr>
        <w:t>potential</w:t>
      </w:r>
      <w:r>
        <w:rPr>
          <w:rStyle w:val="element-citation"/>
          <w:sz w:val="20"/>
          <w:szCs w:val="20"/>
        </w:rPr>
        <w:t xml:space="preserve"> </w:t>
      </w:r>
      <w:r w:rsidRPr="008E28EA">
        <w:rPr>
          <w:rStyle w:val="element-citation"/>
          <w:sz w:val="20"/>
          <w:szCs w:val="20"/>
        </w:rPr>
        <w:t>for</w:t>
      </w:r>
      <w:r>
        <w:rPr>
          <w:rStyle w:val="element-citation"/>
          <w:sz w:val="20"/>
          <w:szCs w:val="20"/>
        </w:rPr>
        <w:t xml:space="preserve"> </w:t>
      </w:r>
      <w:r w:rsidRPr="008E28EA">
        <w:rPr>
          <w:rStyle w:val="element-citation"/>
          <w:sz w:val="20"/>
          <w:szCs w:val="20"/>
        </w:rPr>
        <w:t>improvement.</w:t>
      </w:r>
      <w:r>
        <w:rPr>
          <w:rStyle w:val="element-citation"/>
          <w:sz w:val="20"/>
          <w:szCs w:val="20"/>
        </w:rPr>
        <w:t xml:space="preserve"> </w:t>
      </w:r>
      <w:r w:rsidRPr="008E28EA">
        <w:rPr>
          <w:rStyle w:val="ref-journal"/>
          <w:sz w:val="20"/>
          <w:szCs w:val="20"/>
        </w:rPr>
        <w:t>J</w:t>
      </w:r>
      <w:r>
        <w:rPr>
          <w:rStyle w:val="ref-journal"/>
          <w:sz w:val="20"/>
          <w:szCs w:val="20"/>
        </w:rPr>
        <w:t xml:space="preserve"> </w:t>
      </w:r>
      <w:r w:rsidRPr="008E28EA">
        <w:rPr>
          <w:rStyle w:val="ref-journal"/>
          <w:sz w:val="20"/>
          <w:szCs w:val="20"/>
        </w:rPr>
        <w:t>Trop</w:t>
      </w:r>
      <w:r>
        <w:rPr>
          <w:rStyle w:val="ref-journal"/>
          <w:sz w:val="20"/>
          <w:szCs w:val="20"/>
        </w:rPr>
        <w:t xml:space="preserve"> </w:t>
      </w:r>
      <w:r w:rsidRPr="008E28EA">
        <w:rPr>
          <w:rStyle w:val="ref-journal"/>
          <w:sz w:val="20"/>
          <w:szCs w:val="20"/>
        </w:rPr>
        <w:t>Pediatr.</w:t>
      </w:r>
      <w:r>
        <w:rPr>
          <w:rStyle w:val="ref-journal"/>
          <w:sz w:val="20"/>
          <w:szCs w:val="20"/>
        </w:rPr>
        <w:t xml:space="preserve"> </w:t>
      </w:r>
      <w:r w:rsidRPr="008E28EA">
        <w:rPr>
          <w:rStyle w:val="element-citation"/>
          <w:sz w:val="20"/>
          <w:szCs w:val="20"/>
        </w:rPr>
        <w:t>2013;</w:t>
      </w:r>
      <w:r w:rsidRPr="008E28EA">
        <w:rPr>
          <w:rStyle w:val="ref-vol"/>
          <w:sz w:val="20"/>
          <w:szCs w:val="20"/>
        </w:rPr>
        <w:t>59</w:t>
      </w:r>
      <w:r w:rsidRPr="008E28EA">
        <w:rPr>
          <w:rStyle w:val="element-citation"/>
          <w:sz w:val="20"/>
          <w:szCs w:val="20"/>
        </w:rPr>
        <w:t>:321–5.</w:t>
      </w:r>
      <w:r>
        <w:rPr>
          <w:rStyle w:val="element-citation"/>
          <w:sz w:val="20"/>
          <w:szCs w:val="20"/>
        </w:rPr>
        <w:t xml:space="preserve"> </w:t>
      </w:r>
      <w:r w:rsidRPr="008E28EA">
        <w:rPr>
          <w:rStyle w:val="element-citation"/>
          <w:sz w:val="20"/>
          <w:szCs w:val="20"/>
        </w:rPr>
        <w:t>doi:</w:t>
      </w:r>
      <w:r>
        <w:rPr>
          <w:rStyle w:val="element-citation"/>
          <w:sz w:val="20"/>
          <w:szCs w:val="20"/>
        </w:rPr>
        <w:t xml:space="preserve"> </w:t>
      </w:r>
      <w:r w:rsidRPr="008E28EA">
        <w:rPr>
          <w:rStyle w:val="element-citation"/>
          <w:sz w:val="20"/>
          <w:szCs w:val="20"/>
        </w:rPr>
        <w:t>10.1093/tropej/fmt027.</w:t>
      </w:r>
    </w:p>
    <w:p w:rsidR="003F3A1A" w:rsidRPr="008E28EA" w:rsidRDefault="003F3A1A" w:rsidP="008E28EA">
      <w:pPr>
        <w:numPr>
          <w:ilvl w:val="0"/>
          <w:numId w:val="1"/>
        </w:numPr>
        <w:bidi w:val="0"/>
        <w:snapToGrid w:val="0"/>
        <w:ind w:left="425" w:hanging="425"/>
        <w:jc w:val="both"/>
        <w:rPr>
          <w:color w:val="000000"/>
          <w:sz w:val="20"/>
          <w:szCs w:val="20"/>
        </w:rPr>
      </w:pPr>
      <w:r w:rsidRPr="008E28EA">
        <w:rPr>
          <w:color w:val="000000"/>
          <w:sz w:val="20"/>
          <w:szCs w:val="20"/>
        </w:rPr>
        <w:t>American</w:t>
      </w:r>
      <w:r>
        <w:rPr>
          <w:color w:val="000000"/>
          <w:sz w:val="20"/>
          <w:szCs w:val="20"/>
        </w:rPr>
        <w:t xml:space="preserve"> </w:t>
      </w:r>
      <w:r w:rsidRPr="008E28EA">
        <w:rPr>
          <w:color w:val="000000"/>
          <w:sz w:val="20"/>
          <w:szCs w:val="20"/>
        </w:rPr>
        <w:t>Academy</w:t>
      </w:r>
      <w:r>
        <w:rPr>
          <w:color w:val="000000"/>
          <w:sz w:val="20"/>
          <w:szCs w:val="20"/>
        </w:rPr>
        <w:t xml:space="preserve"> </w:t>
      </w:r>
      <w:r w:rsidRPr="008E28EA">
        <w:rPr>
          <w:color w:val="000000"/>
          <w:sz w:val="20"/>
          <w:szCs w:val="20"/>
        </w:rPr>
        <w:t>of</w:t>
      </w:r>
      <w:r>
        <w:rPr>
          <w:color w:val="000000"/>
          <w:sz w:val="20"/>
          <w:szCs w:val="20"/>
        </w:rPr>
        <w:t xml:space="preserve"> </w:t>
      </w:r>
      <w:r w:rsidRPr="008E28EA">
        <w:rPr>
          <w:color w:val="000000"/>
          <w:sz w:val="20"/>
          <w:szCs w:val="20"/>
        </w:rPr>
        <w:t>Pediatrics</w:t>
      </w:r>
      <w:r>
        <w:rPr>
          <w:color w:val="000000"/>
          <w:sz w:val="20"/>
          <w:szCs w:val="20"/>
        </w:rPr>
        <w:t xml:space="preserve"> </w:t>
      </w:r>
      <w:r w:rsidRPr="008E28EA">
        <w:rPr>
          <w:color w:val="000000"/>
          <w:sz w:val="20"/>
          <w:szCs w:val="20"/>
        </w:rPr>
        <w:t>Subcommittee</w:t>
      </w:r>
      <w:r>
        <w:rPr>
          <w:color w:val="000000"/>
          <w:sz w:val="20"/>
          <w:szCs w:val="20"/>
        </w:rPr>
        <w:t xml:space="preserve"> </w:t>
      </w:r>
      <w:r w:rsidRPr="008E28EA">
        <w:rPr>
          <w:color w:val="000000"/>
          <w:sz w:val="20"/>
          <w:szCs w:val="20"/>
        </w:rPr>
        <w:t>hyperbilirubinaemia</w:t>
      </w:r>
      <w:r>
        <w:rPr>
          <w:color w:val="000000"/>
          <w:sz w:val="20"/>
          <w:szCs w:val="20"/>
        </w:rPr>
        <w:t xml:space="preserve"> </w:t>
      </w:r>
      <w:r w:rsidRPr="008E28EA">
        <w:rPr>
          <w:color w:val="000000"/>
          <w:sz w:val="20"/>
          <w:szCs w:val="20"/>
        </w:rPr>
        <w:t>(2004)</w:t>
      </w:r>
      <w:r>
        <w:rPr>
          <w:color w:val="000000"/>
          <w:sz w:val="20"/>
          <w:szCs w:val="20"/>
        </w:rPr>
        <w:t xml:space="preserve"> </w:t>
      </w:r>
      <w:r w:rsidRPr="008E28EA">
        <w:rPr>
          <w:color w:val="000000"/>
          <w:sz w:val="20"/>
          <w:szCs w:val="20"/>
        </w:rPr>
        <w:t>Management</w:t>
      </w:r>
      <w:r>
        <w:rPr>
          <w:color w:val="000000"/>
          <w:sz w:val="20"/>
          <w:szCs w:val="20"/>
        </w:rPr>
        <w:t xml:space="preserve"> </w:t>
      </w:r>
      <w:r w:rsidRPr="008E28EA">
        <w:rPr>
          <w:color w:val="000000"/>
          <w:sz w:val="20"/>
          <w:szCs w:val="20"/>
        </w:rPr>
        <w:t>of</w:t>
      </w:r>
      <w:r>
        <w:rPr>
          <w:color w:val="000000"/>
          <w:sz w:val="20"/>
          <w:szCs w:val="20"/>
        </w:rPr>
        <w:t xml:space="preserve"> </w:t>
      </w:r>
      <w:r w:rsidRPr="008E28EA">
        <w:rPr>
          <w:color w:val="000000"/>
          <w:sz w:val="20"/>
          <w:szCs w:val="20"/>
        </w:rPr>
        <w:t>hyperbilirubinaemia</w:t>
      </w:r>
      <w:r>
        <w:rPr>
          <w:color w:val="000000"/>
          <w:sz w:val="20"/>
          <w:szCs w:val="20"/>
        </w:rPr>
        <w:t xml:space="preserve"> </w:t>
      </w:r>
      <w:r w:rsidRPr="008E28EA">
        <w:rPr>
          <w:color w:val="000000"/>
          <w:sz w:val="20"/>
          <w:szCs w:val="20"/>
        </w:rPr>
        <w:t>in</w:t>
      </w:r>
      <w:r>
        <w:rPr>
          <w:color w:val="000000"/>
          <w:sz w:val="20"/>
          <w:szCs w:val="20"/>
        </w:rPr>
        <w:t xml:space="preserve"> </w:t>
      </w:r>
      <w:r w:rsidRPr="008E28EA">
        <w:rPr>
          <w:color w:val="000000"/>
          <w:sz w:val="20"/>
          <w:szCs w:val="20"/>
        </w:rPr>
        <w:t>the</w:t>
      </w:r>
      <w:r>
        <w:rPr>
          <w:color w:val="000000"/>
          <w:sz w:val="20"/>
          <w:szCs w:val="20"/>
        </w:rPr>
        <w:t xml:space="preserve"> </w:t>
      </w:r>
      <w:r w:rsidRPr="008E28EA">
        <w:rPr>
          <w:color w:val="000000"/>
          <w:sz w:val="20"/>
          <w:szCs w:val="20"/>
        </w:rPr>
        <w:t>newborn</w:t>
      </w:r>
      <w:r>
        <w:rPr>
          <w:color w:val="000000"/>
          <w:sz w:val="20"/>
          <w:szCs w:val="20"/>
        </w:rPr>
        <w:t xml:space="preserve"> </w:t>
      </w:r>
      <w:r w:rsidRPr="008E28EA">
        <w:rPr>
          <w:color w:val="000000"/>
          <w:sz w:val="20"/>
          <w:szCs w:val="20"/>
        </w:rPr>
        <w:t>infant</w:t>
      </w:r>
      <w:r>
        <w:rPr>
          <w:color w:val="000000"/>
          <w:sz w:val="20"/>
          <w:szCs w:val="20"/>
        </w:rPr>
        <w:t xml:space="preserve"> </w:t>
      </w:r>
      <w:r w:rsidRPr="008E28EA">
        <w:rPr>
          <w:color w:val="000000"/>
          <w:sz w:val="20"/>
          <w:szCs w:val="20"/>
        </w:rPr>
        <w:t>35</w:t>
      </w:r>
      <w:r>
        <w:rPr>
          <w:color w:val="000000"/>
          <w:sz w:val="20"/>
          <w:szCs w:val="20"/>
        </w:rPr>
        <w:t xml:space="preserve"> </w:t>
      </w:r>
      <w:r w:rsidRPr="008E28EA">
        <w:rPr>
          <w:color w:val="000000"/>
          <w:sz w:val="20"/>
          <w:szCs w:val="20"/>
        </w:rPr>
        <w:t>or</w:t>
      </w:r>
      <w:r>
        <w:rPr>
          <w:color w:val="000000"/>
          <w:sz w:val="20"/>
          <w:szCs w:val="20"/>
        </w:rPr>
        <w:t xml:space="preserve"> </w:t>
      </w:r>
      <w:r w:rsidRPr="008E28EA">
        <w:rPr>
          <w:color w:val="000000"/>
          <w:sz w:val="20"/>
          <w:szCs w:val="20"/>
        </w:rPr>
        <w:t>more</w:t>
      </w:r>
      <w:r>
        <w:rPr>
          <w:color w:val="000000"/>
          <w:sz w:val="20"/>
          <w:szCs w:val="20"/>
        </w:rPr>
        <w:t xml:space="preserve"> </w:t>
      </w:r>
      <w:r w:rsidRPr="008E28EA">
        <w:rPr>
          <w:color w:val="000000"/>
          <w:sz w:val="20"/>
          <w:szCs w:val="20"/>
        </w:rPr>
        <w:t>week</w:t>
      </w:r>
      <w:r>
        <w:rPr>
          <w:color w:val="000000"/>
          <w:sz w:val="20"/>
          <w:szCs w:val="20"/>
        </w:rPr>
        <w:t xml:space="preserve"> </w:t>
      </w:r>
      <w:r w:rsidRPr="008E28EA">
        <w:rPr>
          <w:color w:val="000000"/>
          <w:sz w:val="20"/>
          <w:szCs w:val="20"/>
        </w:rPr>
        <w:t>of</w:t>
      </w:r>
      <w:r>
        <w:rPr>
          <w:color w:val="000000"/>
          <w:sz w:val="20"/>
          <w:szCs w:val="20"/>
        </w:rPr>
        <w:t xml:space="preserve"> </w:t>
      </w:r>
      <w:r w:rsidRPr="008E28EA">
        <w:rPr>
          <w:color w:val="000000"/>
          <w:sz w:val="20"/>
          <w:szCs w:val="20"/>
        </w:rPr>
        <w:t>gestation.</w:t>
      </w:r>
      <w:r>
        <w:rPr>
          <w:color w:val="000000"/>
          <w:sz w:val="20"/>
          <w:szCs w:val="20"/>
        </w:rPr>
        <w:t xml:space="preserve"> </w:t>
      </w:r>
      <w:r w:rsidRPr="008E28EA">
        <w:rPr>
          <w:color w:val="000000"/>
          <w:sz w:val="20"/>
          <w:szCs w:val="20"/>
        </w:rPr>
        <w:t>Pediatrics</w:t>
      </w:r>
      <w:r>
        <w:rPr>
          <w:color w:val="000000"/>
          <w:sz w:val="20"/>
          <w:szCs w:val="20"/>
        </w:rPr>
        <w:t xml:space="preserve"> </w:t>
      </w:r>
      <w:r w:rsidRPr="008E28EA">
        <w:rPr>
          <w:color w:val="000000"/>
          <w:sz w:val="20"/>
          <w:szCs w:val="20"/>
        </w:rPr>
        <w:t>114(1):</w:t>
      </w:r>
      <w:r>
        <w:rPr>
          <w:color w:val="000000"/>
          <w:sz w:val="20"/>
          <w:szCs w:val="20"/>
        </w:rPr>
        <w:t xml:space="preserve"> </w:t>
      </w:r>
      <w:r w:rsidRPr="008E28EA">
        <w:rPr>
          <w:color w:val="000000"/>
          <w:sz w:val="20"/>
          <w:szCs w:val="20"/>
        </w:rPr>
        <w:t>297-316.</w:t>
      </w:r>
    </w:p>
    <w:p w:rsidR="003F3A1A" w:rsidRPr="008E28EA" w:rsidRDefault="003F3A1A" w:rsidP="008E28EA">
      <w:pPr>
        <w:numPr>
          <w:ilvl w:val="0"/>
          <w:numId w:val="1"/>
        </w:numPr>
        <w:bidi w:val="0"/>
        <w:snapToGrid w:val="0"/>
        <w:ind w:left="425" w:hanging="425"/>
        <w:jc w:val="both"/>
        <w:rPr>
          <w:sz w:val="20"/>
          <w:szCs w:val="20"/>
        </w:rPr>
      </w:pPr>
      <w:r w:rsidRPr="008E28EA">
        <w:rPr>
          <w:rStyle w:val="element-citation"/>
          <w:bCs/>
          <w:sz w:val="20"/>
          <w:szCs w:val="20"/>
        </w:rPr>
        <w:t>Tan</w:t>
      </w:r>
      <w:r>
        <w:rPr>
          <w:rStyle w:val="element-citation"/>
          <w:bCs/>
          <w:sz w:val="20"/>
          <w:szCs w:val="20"/>
        </w:rPr>
        <w:t xml:space="preserve"> </w:t>
      </w:r>
      <w:r w:rsidRPr="008E28EA">
        <w:rPr>
          <w:rStyle w:val="element-citation"/>
          <w:bCs/>
          <w:sz w:val="20"/>
          <w:szCs w:val="20"/>
        </w:rPr>
        <w:t>KL,</w:t>
      </w:r>
      <w:r>
        <w:rPr>
          <w:rStyle w:val="element-citation"/>
          <w:bCs/>
          <w:sz w:val="20"/>
          <w:szCs w:val="20"/>
        </w:rPr>
        <w:t xml:space="preserve"> </w:t>
      </w:r>
      <w:r w:rsidRPr="008E28EA">
        <w:rPr>
          <w:rStyle w:val="element-citation"/>
          <w:bCs/>
          <w:sz w:val="20"/>
          <w:szCs w:val="20"/>
        </w:rPr>
        <w:t>Loganath</w:t>
      </w:r>
      <w:r>
        <w:rPr>
          <w:rStyle w:val="element-citation"/>
          <w:bCs/>
          <w:sz w:val="20"/>
          <w:szCs w:val="20"/>
        </w:rPr>
        <w:t xml:space="preserve"> </w:t>
      </w:r>
      <w:r w:rsidRPr="008E28EA">
        <w:rPr>
          <w:rStyle w:val="element-citation"/>
          <w:bCs/>
          <w:sz w:val="20"/>
          <w:szCs w:val="20"/>
        </w:rPr>
        <w:t>A,</w:t>
      </w:r>
      <w:r>
        <w:rPr>
          <w:rStyle w:val="element-citation"/>
          <w:bCs/>
          <w:sz w:val="20"/>
          <w:szCs w:val="20"/>
        </w:rPr>
        <w:t xml:space="preserve"> </w:t>
      </w:r>
      <w:r w:rsidRPr="008E28EA">
        <w:rPr>
          <w:rStyle w:val="element-citation"/>
          <w:bCs/>
          <w:sz w:val="20"/>
          <w:szCs w:val="20"/>
        </w:rPr>
        <w:t>Roy</w:t>
      </w:r>
      <w:r>
        <w:rPr>
          <w:rStyle w:val="element-citation"/>
          <w:bCs/>
          <w:sz w:val="20"/>
          <w:szCs w:val="20"/>
        </w:rPr>
        <w:t xml:space="preserve"> </w:t>
      </w:r>
      <w:r w:rsidRPr="008E28EA">
        <w:rPr>
          <w:rStyle w:val="element-citation"/>
          <w:bCs/>
          <w:sz w:val="20"/>
          <w:szCs w:val="20"/>
        </w:rPr>
        <w:t>AC,</w:t>
      </w:r>
      <w:r>
        <w:rPr>
          <w:rStyle w:val="element-citation"/>
          <w:bCs/>
          <w:sz w:val="20"/>
          <w:szCs w:val="20"/>
        </w:rPr>
        <w:t xml:space="preserve"> </w:t>
      </w:r>
      <w:r w:rsidRPr="008E28EA">
        <w:rPr>
          <w:rStyle w:val="element-citation"/>
          <w:bCs/>
          <w:sz w:val="20"/>
          <w:szCs w:val="20"/>
        </w:rPr>
        <w:t>Goh</w:t>
      </w:r>
      <w:r>
        <w:rPr>
          <w:rStyle w:val="element-citation"/>
          <w:bCs/>
          <w:sz w:val="20"/>
          <w:szCs w:val="20"/>
        </w:rPr>
        <w:t xml:space="preserve"> </w:t>
      </w:r>
      <w:r w:rsidRPr="008E28EA">
        <w:rPr>
          <w:rStyle w:val="element-citation"/>
          <w:bCs/>
          <w:sz w:val="20"/>
          <w:szCs w:val="20"/>
        </w:rPr>
        <w:t>HH,</w:t>
      </w:r>
      <w:r>
        <w:rPr>
          <w:rStyle w:val="element-citation"/>
          <w:bCs/>
          <w:sz w:val="20"/>
          <w:szCs w:val="20"/>
        </w:rPr>
        <w:t xml:space="preserve"> </w:t>
      </w:r>
      <w:r w:rsidRPr="008E28EA">
        <w:rPr>
          <w:rStyle w:val="element-citation"/>
          <w:bCs/>
          <w:sz w:val="20"/>
          <w:szCs w:val="20"/>
        </w:rPr>
        <w:t>Karim</w:t>
      </w:r>
      <w:r>
        <w:rPr>
          <w:rStyle w:val="element-citation"/>
          <w:bCs/>
          <w:sz w:val="20"/>
          <w:szCs w:val="20"/>
        </w:rPr>
        <w:t xml:space="preserve"> </w:t>
      </w:r>
      <w:r w:rsidRPr="008E28EA">
        <w:rPr>
          <w:rStyle w:val="element-citation"/>
          <w:bCs/>
          <w:sz w:val="20"/>
          <w:szCs w:val="20"/>
        </w:rPr>
        <w:t>SM,</w:t>
      </w:r>
      <w:r>
        <w:rPr>
          <w:rStyle w:val="element-citation"/>
          <w:bCs/>
          <w:sz w:val="20"/>
          <w:szCs w:val="20"/>
        </w:rPr>
        <w:t xml:space="preserve"> </w:t>
      </w:r>
      <w:r w:rsidRPr="008E28EA">
        <w:rPr>
          <w:rStyle w:val="element-citation"/>
          <w:bCs/>
          <w:sz w:val="20"/>
          <w:szCs w:val="20"/>
        </w:rPr>
        <w:t>Ratnam</w:t>
      </w:r>
      <w:r>
        <w:rPr>
          <w:rStyle w:val="element-citation"/>
          <w:bCs/>
          <w:sz w:val="20"/>
          <w:szCs w:val="20"/>
        </w:rPr>
        <w:t xml:space="preserve"> </w:t>
      </w:r>
      <w:r w:rsidRPr="008E28EA">
        <w:rPr>
          <w:rStyle w:val="element-citation"/>
          <w:bCs/>
          <w:sz w:val="20"/>
          <w:szCs w:val="20"/>
        </w:rPr>
        <w:t>SS</w:t>
      </w:r>
      <w:r w:rsidRPr="008E28EA">
        <w:rPr>
          <w:rStyle w:val="element-citation"/>
          <w:sz w:val="20"/>
          <w:szCs w:val="20"/>
        </w:rPr>
        <w:t>.</w:t>
      </w:r>
      <w:r>
        <w:rPr>
          <w:rStyle w:val="element-citation"/>
          <w:sz w:val="20"/>
          <w:szCs w:val="20"/>
        </w:rPr>
        <w:t xml:space="preserve"> </w:t>
      </w:r>
      <w:r w:rsidRPr="008E28EA">
        <w:rPr>
          <w:rStyle w:val="element-citation"/>
          <w:sz w:val="20"/>
          <w:szCs w:val="20"/>
        </w:rPr>
        <w:t>Cord</w:t>
      </w:r>
      <w:r>
        <w:rPr>
          <w:rStyle w:val="element-citation"/>
          <w:sz w:val="20"/>
          <w:szCs w:val="20"/>
        </w:rPr>
        <w:t xml:space="preserve"> </w:t>
      </w:r>
      <w:r w:rsidRPr="008E28EA">
        <w:rPr>
          <w:rStyle w:val="element-citation"/>
          <w:sz w:val="20"/>
          <w:szCs w:val="20"/>
        </w:rPr>
        <w:t>plasma</w:t>
      </w:r>
      <w:r>
        <w:rPr>
          <w:rStyle w:val="element-citation"/>
          <w:sz w:val="20"/>
          <w:szCs w:val="20"/>
        </w:rPr>
        <w:t xml:space="preserve"> </w:t>
      </w:r>
      <w:r w:rsidRPr="008E28EA">
        <w:rPr>
          <w:rStyle w:val="element-citation"/>
          <w:sz w:val="20"/>
          <w:szCs w:val="20"/>
        </w:rPr>
        <w:t>alpha-fetoprotein</w:t>
      </w:r>
      <w:r>
        <w:rPr>
          <w:rStyle w:val="element-citation"/>
          <w:sz w:val="20"/>
          <w:szCs w:val="20"/>
        </w:rPr>
        <w:t xml:space="preserve"> </w:t>
      </w:r>
      <w:r w:rsidRPr="008E28EA">
        <w:rPr>
          <w:rStyle w:val="element-citation"/>
          <w:sz w:val="20"/>
          <w:szCs w:val="20"/>
        </w:rPr>
        <w:lastRenderedPageBreak/>
        <w:t>values</w:t>
      </w:r>
      <w:r>
        <w:rPr>
          <w:rStyle w:val="element-citation"/>
          <w:sz w:val="20"/>
          <w:szCs w:val="20"/>
        </w:rPr>
        <w:t xml:space="preserve"> </w:t>
      </w:r>
      <w:r w:rsidRPr="008E28EA">
        <w:rPr>
          <w:rStyle w:val="element-citation"/>
          <w:sz w:val="20"/>
          <w:szCs w:val="20"/>
        </w:rPr>
        <w:t>and</w:t>
      </w:r>
      <w:r>
        <w:rPr>
          <w:rStyle w:val="element-citation"/>
          <w:sz w:val="20"/>
          <w:szCs w:val="20"/>
        </w:rPr>
        <w:t xml:space="preserve"> </w:t>
      </w:r>
      <w:r w:rsidRPr="008E28EA">
        <w:rPr>
          <w:rStyle w:val="element-citation"/>
          <w:sz w:val="20"/>
          <w:szCs w:val="20"/>
        </w:rPr>
        <w:t>neonatal</w:t>
      </w:r>
      <w:r>
        <w:rPr>
          <w:rStyle w:val="element-citation"/>
          <w:sz w:val="20"/>
          <w:szCs w:val="20"/>
        </w:rPr>
        <w:t xml:space="preserve"> </w:t>
      </w:r>
      <w:r w:rsidRPr="008E28EA">
        <w:rPr>
          <w:rStyle w:val="element-citation"/>
          <w:sz w:val="20"/>
          <w:szCs w:val="20"/>
        </w:rPr>
        <w:t>jaundice.</w:t>
      </w:r>
      <w:r>
        <w:rPr>
          <w:rStyle w:val="element-citation"/>
          <w:sz w:val="20"/>
          <w:szCs w:val="20"/>
        </w:rPr>
        <w:t xml:space="preserve"> </w:t>
      </w:r>
      <w:r w:rsidRPr="008E28EA">
        <w:rPr>
          <w:rStyle w:val="ref-journal"/>
          <w:sz w:val="20"/>
          <w:szCs w:val="20"/>
        </w:rPr>
        <w:t>Pediatrics.</w:t>
      </w:r>
      <w:r>
        <w:rPr>
          <w:rStyle w:val="ref-journal"/>
          <w:sz w:val="20"/>
          <w:szCs w:val="20"/>
        </w:rPr>
        <w:t xml:space="preserve"> </w:t>
      </w:r>
      <w:r w:rsidRPr="008E28EA">
        <w:rPr>
          <w:rStyle w:val="element-citation"/>
          <w:sz w:val="20"/>
          <w:szCs w:val="20"/>
        </w:rPr>
        <w:t>1984;</w:t>
      </w:r>
      <w:r w:rsidRPr="008E28EA">
        <w:rPr>
          <w:rStyle w:val="ref-vol"/>
          <w:sz w:val="20"/>
          <w:szCs w:val="20"/>
        </w:rPr>
        <w:t>74</w:t>
      </w:r>
      <w:r w:rsidRPr="008E28EA">
        <w:rPr>
          <w:rStyle w:val="element-citation"/>
          <w:sz w:val="20"/>
          <w:szCs w:val="20"/>
        </w:rPr>
        <w:t>(6):1065–8.</w:t>
      </w:r>
    </w:p>
    <w:p w:rsidR="003F3A1A" w:rsidRPr="008E28EA" w:rsidRDefault="003F3A1A" w:rsidP="008E28EA">
      <w:pPr>
        <w:numPr>
          <w:ilvl w:val="0"/>
          <w:numId w:val="1"/>
        </w:numPr>
        <w:bidi w:val="0"/>
        <w:snapToGrid w:val="0"/>
        <w:ind w:left="425" w:hanging="425"/>
        <w:jc w:val="both"/>
        <w:rPr>
          <w:rStyle w:val="element-citation"/>
          <w:sz w:val="20"/>
          <w:szCs w:val="20"/>
        </w:rPr>
      </w:pPr>
      <w:r w:rsidRPr="008E28EA">
        <w:rPr>
          <w:rStyle w:val="element-citation"/>
          <w:bCs/>
          <w:sz w:val="20"/>
          <w:szCs w:val="20"/>
        </w:rPr>
        <w:t>Nalbantoglu</w:t>
      </w:r>
      <w:r>
        <w:rPr>
          <w:rStyle w:val="element-citation"/>
          <w:bCs/>
          <w:sz w:val="20"/>
          <w:szCs w:val="20"/>
        </w:rPr>
        <w:t xml:space="preserve"> </w:t>
      </w:r>
      <w:r w:rsidRPr="008E28EA">
        <w:rPr>
          <w:rStyle w:val="element-citation"/>
          <w:bCs/>
          <w:sz w:val="20"/>
          <w:szCs w:val="20"/>
        </w:rPr>
        <w:t>A,</w:t>
      </w:r>
      <w:r>
        <w:rPr>
          <w:rStyle w:val="element-citation"/>
          <w:bCs/>
          <w:sz w:val="20"/>
          <w:szCs w:val="20"/>
        </w:rPr>
        <w:t xml:space="preserve"> </w:t>
      </w:r>
      <w:r w:rsidRPr="008E28EA">
        <w:rPr>
          <w:rStyle w:val="element-citation"/>
          <w:bCs/>
          <w:sz w:val="20"/>
          <w:szCs w:val="20"/>
        </w:rPr>
        <w:t>Ovali</w:t>
      </w:r>
      <w:r>
        <w:rPr>
          <w:rStyle w:val="element-citation"/>
          <w:bCs/>
          <w:sz w:val="20"/>
          <w:szCs w:val="20"/>
        </w:rPr>
        <w:t xml:space="preserve"> </w:t>
      </w:r>
      <w:r w:rsidRPr="008E28EA">
        <w:rPr>
          <w:rStyle w:val="element-citation"/>
          <w:bCs/>
          <w:sz w:val="20"/>
          <w:szCs w:val="20"/>
        </w:rPr>
        <w:t>F,</w:t>
      </w:r>
      <w:r>
        <w:rPr>
          <w:rStyle w:val="element-citation"/>
          <w:bCs/>
          <w:sz w:val="20"/>
          <w:szCs w:val="20"/>
        </w:rPr>
        <w:t xml:space="preserve"> </w:t>
      </w:r>
      <w:r w:rsidRPr="008E28EA">
        <w:rPr>
          <w:rStyle w:val="element-citation"/>
          <w:bCs/>
          <w:sz w:val="20"/>
          <w:szCs w:val="20"/>
        </w:rPr>
        <w:t>Nalbantoglu</w:t>
      </w:r>
      <w:r>
        <w:rPr>
          <w:rStyle w:val="element-citation"/>
          <w:bCs/>
          <w:sz w:val="20"/>
          <w:szCs w:val="20"/>
        </w:rPr>
        <w:t xml:space="preserve"> </w:t>
      </w:r>
      <w:r w:rsidRPr="008E28EA">
        <w:rPr>
          <w:rStyle w:val="element-citation"/>
          <w:bCs/>
          <w:sz w:val="20"/>
          <w:szCs w:val="20"/>
        </w:rPr>
        <w:t>B.</w:t>
      </w:r>
      <w:r>
        <w:rPr>
          <w:rStyle w:val="element-citation"/>
          <w:sz w:val="20"/>
          <w:szCs w:val="20"/>
        </w:rPr>
        <w:t xml:space="preserve"> </w:t>
      </w:r>
      <w:r w:rsidRPr="008E28EA">
        <w:rPr>
          <w:rStyle w:val="element-citation"/>
          <w:sz w:val="20"/>
          <w:szCs w:val="20"/>
        </w:rPr>
        <w:t>Alkaline</w:t>
      </w:r>
      <w:r>
        <w:rPr>
          <w:rStyle w:val="element-citation"/>
          <w:sz w:val="20"/>
          <w:szCs w:val="20"/>
        </w:rPr>
        <w:t xml:space="preserve"> </w:t>
      </w:r>
      <w:r w:rsidRPr="008E28EA">
        <w:rPr>
          <w:rStyle w:val="element-citation"/>
          <w:sz w:val="20"/>
          <w:szCs w:val="20"/>
        </w:rPr>
        <w:t>phosphatase</w:t>
      </w:r>
      <w:r>
        <w:rPr>
          <w:rStyle w:val="element-citation"/>
          <w:sz w:val="20"/>
          <w:szCs w:val="20"/>
        </w:rPr>
        <w:t xml:space="preserve"> </w:t>
      </w:r>
      <w:r w:rsidRPr="008E28EA">
        <w:rPr>
          <w:rStyle w:val="element-citation"/>
          <w:sz w:val="20"/>
          <w:szCs w:val="20"/>
        </w:rPr>
        <w:t>as</w:t>
      </w:r>
      <w:r>
        <w:rPr>
          <w:rStyle w:val="element-citation"/>
          <w:sz w:val="20"/>
          <w:szCs w:val="20"/>
        </w:rPr>
        <w:t xml:space="preserve"> </w:t>
      </w:r>
      <w:r w:rsidRPr="008E28EA">
        <w:rPr>
          <w:rStyle w:val="element-citation"/>
          <w:sz w:val="20"/>
          <w:szCs w:val="20"/>
        </w:rPr>
        <w:t>an</w:t>
      </w:r>
      <w:r>
        <w:rPr>
          <w:rStyle w:val="element-citation"/>
          <w:sz w:val="20"/>
          <w:szCs w:val="20"/>
        </w:rPr>
        <w:t xml:space="preserve"> </w:t>
      </w:r>
      <w:r w:rsidRPr="008E28EA">
        <w:rPr>
          <w:rStyle w:val="element-citation"/>
          <w:sz w:val="20"/>
          <w:szCs w:val="20"/>
        </w:rPr>
        <w:t>early</w:t>
      </w:r>
      <w:r>
        <w:rPr>
          <w:rStyle w:val="element-citation"/>
          <w:sz w:val="20"/>
          <w:szCs w:val="20"/>
        </w:rPr>
        <w:t xml:space="preserve"> </w:t>
      </w:r>
      <w:r w:rsidRPr="008E28EA">
        <w:rPr>
          <w:rStyle w:val="element-citation"/>
          <w:sz w:val="20"/>
          <w:szCs w:val="20"/>
        </w:rPr>
        <w:t>marker</w:t>
      </w:r>
      <w:r>
        <w:rPr>
          <w:rStyle w:val="element-citation"/>
          <w:sz w:val="20"/>
          <w:szCs w:val="20"/>
        </w:rPr>
        <w:t xml:space="preserve"> </w:t>
      </w:r>
      <w:r w:rsidRPr="008E28EA">
        <w:rPr>
          <w:rStyle w:val="element-citation"/>
          <w:sz w:val="20"/>
          <w:szCs w:val="20"/>
        </w:rPr>
        <w:t>of</w:t>
      </w:r>
      <w:r>
        <w:rPr>
          <w:rStyle w:val="element-citation"/>
          <w:sz w:val="20"/>
          <w:szCs w:val="20"/>
        </w:rPr>
        <w:t xml:space="preserve"> </w:t>
      </w:r>
      <w:r w:rsidRPr="008E28EA">
        <w:rPr>
          <w:rStyle w:val="element-citation"/>
          <w:sz w:val="20"/>
          <w:szCs w:val="20"/>
        </w:rPr>
        <w:t>hemolysis</w:t>
      </w:r>
      <w:r>
        <w:rPr>
          <w:rStyle w:val="element-citation"/>
          <w:sz w:val="20"/>
          <w:szCs w:val="20"/>
        </w:rPr>
        <w:t xml:space="preserve"> </w:t>
      </w:r>
      <w:r w:rsidRPr="008E28EA">
        <w:rPr>
          <w:rStyle w:val="element-citation"/>
          <w:sz w:val="20"/>
          <w:szCs w:val="20"/>
        </w:rPr>
        <w:t>in</w:t>
      </w:r>
      <w:r>
        <w:rPr>
          <w:rStyle w:val="element-citation"/>
          <w:sz w:val="20"/>
          <w:szCs w:val="20"/>
        </w:rPr>
        <w:t xml:space="preserve"> </w:t>
      </w:r>
      <w:r w:rsidRPr="008E28EA">
        <w:rPr>
          <w:rStyle w:val="element-citation"/>
          <w:sz w:val="20"/>
          <w:szCs w:val="20"/>
        </w:rPr>
        <w:t>newborns.</w:t>
      </w:r>
      <w:r>
        <w:rPr>
          <w:rStyle w:val="element-citation"/>
          <w:sz w:val="20"/>
          <w:szCs w:val="20"/>
        </w:rPr>
        <w:t xml:space="preserve"> </w:t>
      </w:r>
      <w:r w:rsidRPr="008E28EA">
        <w:rPr>
          <w:rStyle w:val="ref-journal"/>
          <w:sz w:val="20"/>
          <w:szCs w:val="20"/>
        </w:rPr>
        <w:t>Pediatr</w:t>
      </w:r>
      <w:r>
        <w:rPr>
          <w:rStyle w:val="ref-journal"/>
          <w:sz w:val="20"/>
          <w:szCs w:val="20"/>
        </w:rPr>
        <w:t xml:space="preserve"> </w:t>
      </w:r>
      <w:r w:rsidRPr="008E28EA">
        <w:rPr>
          <w:rStyle w:val="ref-journal"/>
          <w:sz w:val="20"/>
          <w:szCs w:val="20"/>
        </w:rPr>
        <w:t>Int.</w:t>
      </w:r>
      <w:r>
        <w:rPr>
          <w:rStyle w:val="ref-journal"/>
          <w:sz w:val="20"/>
          <w:szCs w:val="20"/>
        </w:rPr>
        <w:t xml:space="preserve"> </w:t>
      </w:r>
      <w:r w:rsidRPr="008E28EA">
        <w:rPr>
          <w:rStyle w:val="element-citation"/>
          <w:sz w:val="20"/>
          <w:szCs w:val="20"/>
        </w:rPr>
        <w:t>2011;</w:t>
      </w:r>
      <w:r w:rsidRPr="008E28EA">
        <w:rPr>
          <w:rStyle w:val="ref-vol"/>
          <w:sz w:val="20"/>
          <w:szCs w:val="20"/>
        </w:rPr>
        <w:t>53</w:t>
      </w:r>
      <w:r w:rsidRPr="008E28EA">
        <w:rPr>
          <w:rStyle w:val="element-citation"/>
          <w:sz w:val="20"/>
          <w:szCs w:val="20"/>
        </w:rPr>
        <w:t>(6):936–8.</w:t>
      </w:r>
      <w:r>
        <w:rPr>
          <w:rStyle w:val="element-citation"/>
          <w:sz w:val="20"/>
          <w:szCs w:val="20"/>
        </w:rPr>
        <w:t xml:space="preserve"> </w:t>
      </w:r>
      <w:r w:rsidRPr="008E28EA">
        <w:rPr>
          <w:rStyle w:val="element-citation"/>
          <w:sz w:val="20"/>
          <w:szCs w:val="20"/>
        </w:rPr>
        <w:t>doi:</w:t>
      </w:r>
      <w:r>
        <w:rPr>
          <w:rStyle w:val="element-citation"/>
          <w:sz w:val="20"/>
          <w:szCs w:val="20"/>
        </w:rPr>
        <w:t xml:space="preserve"> </w:t>
      </w:r>
      <w:r w:rsidRPr="008E28EA">
        <w:rPr>
          <w:rStyle w:val="element-citation"/>
          <w:sz w:val="20"/>
          <w:szCs w:val="20"/>
        </w:rPr>
        <w:t>10.1111/j.1442-200X.2011.03491.x.</w:t>
      </w:r>
    </w:p>
    <w:p w:rsidR="003F3A1A" w:rsidRPr="008E28EA" w:rsidRDefault="003F3A1A" w:rsidP="008E28EA">
      <w:pPr>
        <w:numPr>
          <w:ilvl w:val="0"/>
          <w:numId w:val="1"/>
        </w:numPr>
        <w:bidi w:val="0"/>
        <w:snapToGrid w:val="0"/>
        <w:ind w:left="425" w:hanging="425"/>
        <w:jc w:val="both"/>
        <w:rPr>
          <w:rStyle w:val="element-citation"/>
          <w:sz w:val="20"/>
          <w:szCs w:val="20"/>
        </w:rPr>
      </w:pPr>
      <w:r w:rsidRPr="008E28EA">
        <w:rPr>
          <w:rStyle w:val="element-citation"/>
          <w:bCs/>
          <w:sz w:val="20"/>
          <w:szCs w:val="20"/>
        </w:rPr>
        <w:t>Tinnion</w:t>
      </w:r>
      <w:r>
        <w:rPr>
          <w:rStyle w:val="element-citation"/>
          <w:bCs/>
          <w:sz w:val="20"/>
          <w:szCs w:val="20"/>
        </w:rPr>
        <w:t xml:space="preserve"> </w:t>
      </w:r>
      <w:r w:rsidRPr="008E28EA">
        <w:rPr>
          <w:rStyle w:val="element-citation"/>
          <w:bCs/>
          <w:sz w:val="20"/>
          <w:szCs w:val="20"/>
        </w:rPr>
        <w:t>RJ,</w:t>
      </w:r>
      <w:r>
        <w:rPr>
          <w:rStyle w:val="element-citation"/>
          <w:bCs/>
          <w:sz w:val="20"/>
          <w:szCs w:val="20"/>
        </w:rPr>
        <w:t xml:space="preserve"> </w:t>
      </w:r>
      <w:r w:rsidRPr="008E28EA">
        <w:rPr>
          <w:rStyle w:val="element-citation"/>
          <w:bCs/>
          <w:sz w:val="20"/>
          <w:szCs w:val="20"/>
        </w:rPr>
        <w:t>Embleton</w:t>
      </w:r>
      <w:r>
        <w:rPr>
          <w:rStyle w:val="element-citation"/>
          <w:bCs/>
          <w:sz w:val="20"/>
          <w:szCs w:val="20"/>
        </w:rPr>
        <w:t xml:space="preserve"> </w:t>
      </w:r>
      <w:r w:rsidRPr="008E28EA">
        <w:rPr>
          <w:rStyle w:val="element-citation"/>
          <w:bCs/>
          <w:sz w:val="20"/>
          <w:szCs w:val="20"/>
        </w:rPr>
        <w:t>ND</w:t>
      </w:r>
      <w:r w:rsidRPr="008E28EA">
        <w:rPr>
          <w:rStyle w:val="element-citation"/>
          <w:sz w:val="20"/>
          <w:szCs w:val="20"/>
        </w:rPr>
        <w:t>.</w:t>
      </w:r>
      <w:r>
        <w:rPr>
          <w:rStyle w:val="element-citation"/>
          <w:sz w:val="20"/>
          <w:szCs w:val="20"/>
        </w:rPr>
        <w:t xml:space="preserve"> </w:t>
      </w:r>
      <w:r w:rsidRPr="008E28EA">
        <w:rPr>
          <w:rStyle w:val="element-citation"/>
          <w:sz w:val="20"/>
          <w:szCs w:val="20"/>
        </w:rPr>
        <w:t>How</w:t>
      </w:r>
      <w:r>
        <w:rPr>
          <w:rStyle w:val="element-citation"/>
          <w:sz w:val="20"/>
          <w:szCs w:val="20"/>
        </w:rPr>
        <w:t xml:space="preserve"> </w:t>
      </w:r>
      <w:r w:rsidRPr="008E28EA">
        <w:rPr>
          <w:rStyle w:val="element-citation"/>
          <w:sz w:val="20"/>
          <w:szCs w:val="20"/>
        </w:rPr>
        <w:t>to</w:t>
      </w:r>
      <w:r>
        <w:rPr>
          <w:rStyle w:val="element-citation"/>
          <w:sz w:val="20"/>
          <w:szCs w:val="20"/>
        </w:rPr>
        <w:t xml:space="preserve"> </w:t>
      </w:r>
      <w:r w:rsidRPr="008E28EA">
        <w:rPr>
          <w:rStyle w:val="element-citation"/>
          <w:sz w:val="20"/>
          <w:szCs w:val="20"/>
        </w:rPr>
        <w:t>use...</w:t>
      </w:r>
      <w:r>
        <w:rPr>
          <w:rStyle w:val="element-citation"/>
          <w:sz w:val="20"/>
          <w:szCs w:val="20"/>
        </w:rPr>
        <w:t xml:space="preserve"> </w:t>
      </w:r>
      <w:r w:rsidRPr="008E28EA">
        <w:rPr>
          <w:rStyle w:val="element-citation"/>
          <w:sz w:val="20"/>
          <w:szCs w:val="20"/>
        </w:rPr>
        <w:t>alkaline</w:t>
      </w:r>
      <w:r>
        <w:rPr>
          <w:rStyle w:val="element-citation"/>
          <w:sz w:val="20"/>
          <w:szCs w:val="20"/>
        </w:rPr>
        <w:t xml:space="preserve"> </w:t>
      </w:r>
      <w:r w:rsidRPr="008E28EA">
        <w:rPr>
          <w:rStyle w:val="element-citation"/>
          <w:sz w:val="20"/>
          <w:szCs w:val="20"/>
        </w:rPr>
        <w:t>phosphatase</w:t>
      </w:r>
      <w:r>
        <w:rPr>
          <w:rStyle w:val="element-citation"/>
          <w:sz w:val="20"/>
          <w:szCs w:val="20"/>
        </w:rPr>
        <w:t xml:space="preserve"> </w:t>
      </w:r>
      <w:r w:rsidRPr="008E28EA">
        <w:rPr>
          <w:rStyle w:val="element-citation"/>
          <w:sz w:val="20"/>
          <w:szCs w:val="20"/>
        </w:rPr>
        <w:t>in</w:t>
      </w:r>
      <w:r>
        <w:rPr>
          <w:rStyle w:val="element-citation"/>
          <w:sz w:val="20"/>
          <w:szCs w:val="20"/>
        </w:rPr>
        <w:t xml:space="preserve"> </w:t>
      </w:r>
      <w:r w:rsidRPr="008E28EA">
        <w:rPr>
          <w:rStyle w:val="element-citation"/>
          <w:sz w:val="20"/>
          <w:szCs w:val="20"/>
        </w:rPr>
        <w:t>neonatology.</w:t>
      </w:r>
      <w:r>
        <w:rPr>
          <w:rStyle w:val="element-citation"/>
          <w:sz w:val="20"/>
          <w:szCs w:val="20"/>
        </w:rPr>
        <w:t xml:space="preserve"> </w:t>
      </w:r>
      <w:r w:rsidRPr="008E28EA">
        <w:rPr>
          <w:rStyle w:val="ref-journal"/>
          <w:sz w:val="20"/>
          <w:szCs w:val="20"/>
        </w:rPr>
        <w:t>Arch</w:t>
      </w:r>
      <w:r>
        <w:rPr>
          <w:rStyle w:val="ref-journal"/>
          <w:sz w:val="20"/>
          <w:szCs w:val="20"/>
        </w:rPr>
        <w:t xml:space="preserve"> </w:t>
      </w:r>
      <w:r w:rsidRPr="008E28EA">
        <w:rPr>
          <w:rStyle w:val="ref-journal"/>
          <w:sz w:val="20"/>
          <w:szCs w:val="20"/>
        </w:rPr>
        <w:t>Dis</w:t>
      </w:r>
      <w:r>
        <w:rPr>
          <w:rStyle w:val="ref-journal"/>
          <w:sz w:val="20"/>
          <w:szCs w:val="20"/>
        </w:rPr>
        <w:t xml:space="preserve"> </w:t>
      </w:r>
      <w:r w:rsidRPr="008E28EA">
        <w:rPr>
          <w:rStyle w:val="ref-journal"/>
          <w:sz w:val="20"/>
          <w:szCs w:val="20"/>
        </w:rPr>
        <w:t>Child</w:t>
      </w:r>
      <w:r>
        <w:rPr>
          <w:rStyle w:val="ref-journal"/>
          <w:sz w:val="20"/>
          <w:szCs w:val="20"/>
        </w:rPr>
        <w:t xml:space="preserve"> </w:t>
      </w:r>
      <w:r w:rsidRPr="008E28EA">
        <w:rPr>
          <w:rStyle w:val="ref-journal"/>
          <w:sz w:val="20"/>
          <w:szCs w:val="20"/>
        </w:rPr>
        <w:lastRenderedPageBreak/>
        <w:t>Educ</w:t>
      </w:r>
      <w:r>
        <w:rPr>
          <w:rStyle w:val="ref-journal"/>
          <w:sz w:val="20"/>
          <w:szCs w:val="20"/>
        </w:rPr>
        <w:t xml:space="preserve"> </w:t>
      </w:r>
      <w:r w:rsidRPr="008E28EA">
        <w:rPr>
          <w:rStyle w:val="ref-journal"/>
          <w:sz w:val="20"/>
          <w:szCs w:val="20"/>
        </w:rPr>
        <w:t>Pract</w:t>
      </w:r>
      <w:r>
        <w:rPr>
          <w:rStyle w:val="ref-journal"/>
          <w:sz w:val="20"/>
          <w:szCs w:val="20"/>
        </w:rPr>
        <w:t xml:space="preserve"> </w:t>
      </w:r>
      <w:r w:rsidRPr="008E28EA">
        <w:rPr>
          <w:rStyle w:val="ref-journal"/>
          <w:sz w:val="20"/>
          <w:szCs w:val="20"/>
        </w:rPr>
        <w:t>Ed.</w:t>
      </w:r>
      <w:r>
        <w:rPr>
          <w:rStyle w:val="ref-journal"/>
          <w:sz w:val="20"/>
          <w:szCs w:val="20"/>
        </w:rPr>
        <w:t xml:space="preserve"> </w:t>
      </w:r>
      <w:r w:rsidRPr="008E28EA">
        <w:rPr>
          <w:rStyle w:val="element-citation"/>
          <w:sz w:val="20"/>
          <w:szCs w:val="20"/>
        </w:rPr>
        <w:t>2012;</w:t>
      </w:r>
      <w:r w:rsidRPr="008E28EA">
        <w:rPr>
          <w:rStyle w:val="ref-vol"/>
          <w:sz w:val="20"/>
          <w:szCs w:val="20"/>
        </w:rPr>
        <w:t>97</w:t>
      </w:r>
      <w:r w:rsidRPr="008E28EA">
        <w:rPr>
          <w:rStyle w:val="element-citation"/>
          <w:sz w:val="20"/>
          <w:szCs w:val="20"/>
        </w:rPr>
        <w:t>(4):157–63.</w:t>
      </w:r>
      <w:r>
        <w:rPr>
          <w:rStyle w:val="element-citation"/>
          <w:sz w:val="20"/>
          <w:szCs w:val="20"/>
        </w:rPr>
        <w:t xml:space="preserve"> </w:t>
      </w:r>
      <w:r w:rsidRPr="008E28EA">
        <w:rPr>
          <w:rStyle w:val="element-citation"/>
          <w:sz w:val="20"/>
          <w:szCs w:val="20"/>
        </w:rPr>
        <w:t>doi:</w:t>
      </w:r>
      <w:r>
        <w:rPr>
          <w:rStyle w:val="element-citation"/>
          <w:sz w:val="20"/>
          <w:szCs w:val="20"/>
        </w:rPr>
        <w:t xml:space="preserve"> </w:t>
      </w:r>
      <w:r w:rsidRPr="008E28EA">
        <w:rPr>
          <w:rStyle w:val="element-citation"/>
          <w:sz w:val="20"/>
          <w:szCs w:val="20"/>
        </w:rPr>
        <w:t>10.1136/archdischild-2012-301633.</w:t>
      </w:r>
    </w:p>
    <w:p w:rsidR="003F3A1A" w:rsidRDefault="003F3A1A" w:rsidP="008E28EA">
      <w:pPr>
        <w:numPr>
          <w:ilvl w:val="0"/>
          <w:numId w:val="1"/>
        </w:numPr>
        <w:autoSpaceDE w:val="0"/>
        <w:autoSpaceDN w:val="0"/>
        <w:bidi w:val="0"/>
        <w:adjustRightInd w:val="0"/>
        <w:snapToGrid w:val="0"/>
        <w:ind w:left="425" w:hanging="425"/>
        <w:jc w:val="both"/>
        <w:rPr>
          <w:sz w:val="20"/>
          <w:szCs w:val="20"/>
        </w:rPr>
      </w:pPr>
      <w:r w:rsidRPr="008E28EA">
        <w:rPr>
          <w:bCs/>
          <w:sz w:val="20"/>
          <w:szCs w:val="20"/>
        </w:rPr>
        <w:t>Ahmadpour-Kacho,</w:t>
      </w:r>
      <w:r>
        <w:rPr>
          <w:bCs/>
          <w:sz w:val="20"/>
          <w:szCs w:val="20"/>
        </w:rPr>
        <w:t xml:space="preserve"> </w:t>
      </w:r>
      <w:r w:rsidRPr="008E28EA">
        <w:rPr>
          <w:bCs/>
          <w:sz w:val="20"/>
          <w:szCs w:val="20"/>
        </w:rPr>
        <w:t>et</w:t>
      </w:r>
      <w:r>
        <w:rPr>
          <w:bCs/>
          <w:sz w:val="20"/>
          <w:szCs w:val="20"/>
        </w:rPr>
        <w:t xml:space="preserve"> </w:t>
      </w:r>
      <w:r w:rsidRPr="008E28EA">
        <w:rPr>
          <w:bCs/>
          <w:sz w:val="20"/>
          <w:szCs w:val="20"/>
        </w:rPr>
        <w:t>al</w:t>
      </w:r>
      <w:r>
        <w:rPr>
          <w:bCs/>
          <w:sz w:val="20"/>
          <w:szCs w:val="20"/>
        </w:rPr>
        <w:t xml:space="preserve"> </w:t>
      </w:r>
      <w:r w:rsidRPr="008E28EA">
        <w:rPr>
          <w:bCs/>
          <w:sz w:val="20"/>
          <w:szCs w:val="20"/>
        </w:rPr>
        <w:t>(2015):</w:t>
      </w:r>
      <w:r>
        <w:rPr>
          <w:bCs/>
          <w:sz w:val="20"/>
          <w:szCs w:val="20"/>
        </w:rPr>
        <w:t xml:space="preserve"> </w:t>
      </w:r>
      <w:r w:rsidRPr="008E28EA">
        <w:rPr>
          <w:sz w:val="20"/>
          <w:szCs w:val="20"/>
        </w:rPr>
        <w:t>Cord</w:t>
      </w:r>
      <w:r>
        <w:rPr>
          <w:sz w:val="20"/>
          <w:szCs w:val="20"/>
        </w:rPr>
        <w:t xml:space="preserve"> </w:t>
      </w:r>
      <w:r w:rsidRPr="008E28EA">
        <w:rPr>
          <w:sz w:val="20"/>
          <w:szCs w:val="20"/>
        </w:rPr>
        <w:t>Blood</w:t>
      </w:r>
      <w:r>
        <w:rPr>
          <w:sz w:val="20"/>
          <w:szCs w:val="20"/>
        </w:rPr>
        <w:t xml:space="preserve"> </w:t>
      </w:r>
      <w:r w:rsidRPr="008E28EA">
        <w:rPr>
          <w:sz w:val="20"/>
          <w:szCs w:val="20"/>
        </w:rPr>
        <w:t>Alkaline</w:t>
      </w:r>
      <w:r>
        <w:rPr>
          <w:sz w:val="20"/>
          <w:szCs w:val="20"/>
        </w:rPr>
        <w:t xml:space="preserve"> </w:t>
      </w:r>
      <w:r w:rsidRPr="008E28EA">
        <w:rPr>
          <w:sz w:val="20"/>
          <w:szCs w:val="20"/>
        </w:rPr>
        <w:t>Phosphatase</w:t>
      </w:r>
      <w:r>
        <w:rPr>
          <w:sz w:val="20"/>
          <w:szCs w:val="20"/>
        </w:rPr>
        <w:t xml:space="preserve"> </w:t>
      </w:r>
      <w:r w:rsidRPr="008E28EA">
        <w:rPr>
          <w:sz w:val="20"/>
          <w:szCs w:val="20"/>
        </w:rPr>
        <w:t>as</w:t>
      </w:r>
      <w:r>
        <w:rPr>
          <w:sz w:val="20"/>
          <w:szCs w:val="20"/>
        </w:rPr>
        <w:t xml:space="preserve"> </w:t>
      </w:r>
      <w:r w:rsidRPr="008E28EA">
        <w:rPr>
          <w:sz w:val="20"/>
          <w:szCs w:val="20"/>
        </w:rPr>
        <w:t>an</w:t>
      </w:r>
      <w:r>
        <w:rPr>
          <w:sz w:val="20"/>
          <w:szCs w:val="20"/>
        </w:rPr>
        <w:t xml:space="preserve"> </w:t>
      </w:r>
      <w:r w:rsidRPr="008E28EA">
        <w:rPr>
          <w:sz w:val="20"/>
          <w:szCs w:val="20"/>
        </w:rPr>
        <w:t>Indicator</w:t>
      </w:r>
      <w:r>
        <w:rPr>
          <w:sz w:val="20"/>
          <w:szCs w:val="20"/>
        </w:rPr>
        <w:t xml:space="preserve"> </w:t>
      </w:r>
      <w:r w:rsidRPr="008E28EA">
        <w:rPr>
          <w:sz w:val="20"/>
          <w:szCs w:val="20"/>
        </w:rPr>
        <w:t>of</w:t>
      </w:r>
      <w:r>
        <w:rPr>
          <w:sz w:val="20"/>
          <w:szCs w:val="20"/>
        </w:rPr>
        <w:t xml:space="preserve"> </w:t>
      </w:r>
      <w:r w:rsidRPr="008E28EA">
        <w:rPr>
          <w:sz w:val="20"/>
          <w:szCs w:val="20"/>
        </w:rPr>
        <w:t>Neonatal</w:t>
      </w:r>
      <w:r>
        <w:rPr>
          <w:sz w:val="20"/>
          <w:szCs w:val="20"/>
        </w:rPr>
        <w:t xml:space="preserve"> </w:t>
      </w:r>
      <w:r w:rsidRPr="008E28EA">
        <w:rPr>
          <w:sz w:val="20"/>
          <w:szCs w:val="20"/>
        </w:rPr>
        <w:t>Jaundice</w:t>
      </w:r>
      <w:r>
        <w:rPr>
          <w:sz w:val="20"/>
          <w:szCs w:val="20"/>
        </w:rPr>
        <w:t>.</w:t>
      </w:r>
    </w:p>
    <w:p w:rsidR="003F3A1A" w:rsidRPr="00C118ED" w:rsidRDefault="003F3A1A" w:rsidP="007600FD">
      <w:pPr>
        <w:numPr>
          <w:ilvl w:val="0"/>
          <w:numId w:val="1"/>
        </w:numPr>
        <w:bidi w:val="0"/>
        <w:snapToGrid w:val="0"/>
        <w:ind w:left="425" w:hanging="425"/>
        <w:jc w:val="both"/>
        <w:rPr>
          <w:sz w:val="20"/>
          <w:szCs w:val="20"/>
          <w:lang w:eastAsia="zh-CN" w:bidi="ar-EG"/>
        </w:rPr>
      </w:pPr>
      <w:r w:rsidRPr="00C118ED">
        <w:rPr>
          <w:rStyle w:val="element-citation"/>
          <w:bCs/>
          <w:color w:val="000000"/>
          <w:sz w:val="20"/>
          <w:szCs w:val="20"/>
          <w:shd w:val="clear" w:color="auto" w:fill="FFFFFF"/>
        </w:rPr>
        <w:t>Nalbantoglu A, Ovali F, Nalbantoglu B</w:t>
      </w:r>
      <w:r w:rsidRPr="00C118ED">
        <w:rPr>
          <w:rStyle w:val="element-citation"/>
          <w:color w:val="000000"/>
          <w:sz w:val="20"/>
          <w:szCs w:val="20"/>
          <w:shd w:val="clear" w:color="auto" w:fill="FFFFFF"/>
        </w:rPr>
        <w:t>. Alkaline phosphatase as an early marker of hemolysis in newborns.</w:t>
      </w:r>
      <w:r w:rsidRPr="00C118ED">
        <w:rPr>
          <w:rStyle w:val="apple-converted-space"/>
          <w:color w:val="000000"/>
          <w:sz w:val="20"/>
          <w:szCs w:val="20"/>
          <w:shd w:val="clear" w:color="auto" w:fill="FFFFFF"/>
        </w:rPr>
        <w:t xml:space="preserve"> </w:t>
      </w:r>
      <w:r w:rsidRPr="00C118ED">
        <w:rPr>
          <w:rStyle w:val="ref-journal"/>
          <w:color w:val="000000"/>
          <w:sz w:val="20"/>
          <w:szCs w:val="20"/>
          <w:shd w:val="clear" w:color="auto" w:fill="FFFFFF"/>
        </w:rPr>
        <w:t>Pediatr Int.</w:t>
      </w:r>
      <w:r w:rsidRPr="00C118ED">
        <w:rPr>
          <w:rStyle w:val="apple-converted-space"/>
          <w:color w:val="000000"/>
          <w:sz w:val="20"/>
          <w:szCs w:val="20"/>
          <w:shd w:val="clear" w:color="auto" w:fill="FFFFFF"/>
        </w:rPr>
        <w:t xml:space="preserve"> </w:t>
      </w:r>
      <w:r w:rsidRPr="00C118ED">
        <w:rPr>
          <w:rStyle w:val="element-citation"/>
          <w:color w:val="000000"/>
          <w:sz w:val="20"/>
          <w:szCs w:val="20"/>
          <w:shd w:val="clear" w:color="auto" w:fill="FFFFFF"/>
        </w:rPr>
        <w:t>2011;</w:t>
      </w:r>
      <w:r w:rsidRPr="00C118ED">
        <w:rPr>
          <w:rStyle w:val="ref-vol"/>
          <w:color w:val="000000"/>
          <w:sz w:val="20"/>
          <w:szCs w:val="20"/>
          <w:shd w:val="clear" w:color="auto" w:fill="FFFFFF"/>
        </w:rPr>
        <w:t>53</w:t>
      </w:r>
      <w:r w:rsidRPr="00C118ED">
        <w:rPr>
          <w:rStyle w:val="element-citation"/>
          <w:color w:val="000000"/>
          <w:sz w:val="20"/>
          <w:szCs w:val="20"/>
          <w:shd w:val="clear" w:color="auto" w:fill="FFFFFF"/>
        </w:rPr>
        <w:t>(6):936–8. doi: 10.1111/j.1442-200X.2011.03491.</w:t>
      </w:r>
    </w:p>
    <w:p w:rsidR="003F3A1A" w:rsidRPr="008E28EA" w:rsidRDefault="003F3A1A" w:rsidP="008E28EA">
      <w:pPr>
        <w:bidi w:val="0"/>
        <w:snapToGrid w:val="0"/>
        <w:ind w:left="425" w:hanging="425"/>
        <w:jc w:val="both"/>
        <w:rPr>
          <w:sz w:val="20"/>
          <w:szCs w:val="20"/>
          <w:lang w:bidi="ar-EG"/>
        </w:rPr>
        <w:sectPr w:rsidR="003F3A1A" w:rsidRPr="008E28EA" w:rsidSect="008E28EA">
          <w:headerReference w:type="default" r:id="rId19"/>
          <w:footerReference w:type="default" r:id="rId20"/>
          <w:type w:val="continuous"/>
          <w:pgSz w:w="12242" w:h="15842" w:code="1"/>
          <w:pgMar w:top="1440" w:right="1440" w:bottom="1440" w:left="1440" w:header="720" w:footer="720" w:gutter="0"/>
          <w:cols w:num="2" w:space="600"/>
          <w:docGrid w:linePitch="360"/>
        </w:sectPr>
      </w:pPr>
    </w:p>
    <w:p w:rsidR="003F3A1A" w:rsidRPr="008E28EA" w:rsidRDefault="003F3A1A" w:rsidP="008E28EA">
      <w:pPr>
        <w:bidi w:val="0"/>
        <w:snapToGrid w:val="0"/>
        <w:ind w:left="425" w:hanging="425"/>
        <w:jc w:val="both"/>
        <w:rPr>
          <w:sz w:val="20"/>
          <w:szCs w:val="20"/>
          <w:lang w:eastAsia="zh-CN" w:bidi="ar-EG"/>
        </w:rPr>
      </w:pPr>
    </w:p>
    <w:p w:rsidR="003F3A1A" w:rsidRPr="008E28EA" w:rsidRDefault="003F3A1A" w:rsidP="008E28EA">
      <w:pPr>
        <w:bidi w:val="0"/>
        <w:snapToGrid w:val="0"/>
        <w:ind w:left="425" w:hanging="425"/>
        <w:jc w:val="both"/>
        <w:rPr>
          <w:sz w:val="20"/>
          <w:szCs w:val="20"/>
          <w:lang w:eastAsia="zh-CN" w:bidi="ar-EG"/>
        </w:rPr>
      </w:pPr>
    </w:p>
    <w:p w:rsidR="003F3A1A" w:rsidRPr="008E28EA" w:rsidRDefault="003F3A1A" w:rsidP="008E28EA">
      <w:pPr>
        <w:bidi w:val="0"/>
        <w:snapToGrid w:val="0"/>
        <w:ind w:left="425" w:hanging="425"/>
        <w:jc w:val="both"/>
        <w:rPr>
          <w:sz w:val="20"/>
          <w:szCs w:val="20"/>
          <w:lang w:eastAsia="zh-CN" w:bidi="ar-EG"/>
        </w:rPr>
      </w:pPr>
    </w:p>
    <w:p w:rsidR="003F3A1A" w:rsidRPr="008E28EA" w:rsidRDefault="003F3A1A" w:rsidP="008E28EA">
      <w:pPr>
        <w:bidi w:val="0"/>
        <w:snapToGrid w:val="0"/>
        <w:ind w:left="425" w:hanging="425"/>
        <w:jc w:val="both"/>
        <w:rPr>
          <w:sz w:val="20"/>
          <w:szCs w:val="20"/>
          <w:lang w:bidi="ar-EG"/>
        </w:rPr>
      </w:pPr>
      <w:r>
        <w:rPr>
          <w:sz w:val="20"/>
          <w:szCs w:val="20"/>
          <w:lang w:eastAsia="zh-CN" w:bidi="ar-EG"/>
        </w:rPr>
        <w:t>4/1/2017</w:t>
      </w:r>
    </w:p>
    <w:sectPr w:rsidR="003F3A1A" w:rsidRPr="008E28EA" w:rsidSect="00902C14">
      <w:headerReference w:type="default" r:id="rId21"/>
      <w:footerReference w:type="default" r:id="rId22"/>
      <w:type w:val="continuous"/>
      <w:pgSz w:w="12242" w:h="15842" w:code="1"/>
      <w:pgMar w:top="1440" w:right="1440" w:bottom="1440" w:left="1440" w:header="720" w:footer="720" w:gutter="0"/>
      <w:cols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18" w:rsidRDefault="00CB2818" w:rsidP="00AD2B46">
      <w:r>
        <w:separator/>
      </w:r>
    </w:p>
  </w:endnote>
  <w:endnote w:type="continuationSeparator" w:id="0">
    <w:p w:rsidR="00CB2818" w:rsidRDefault="00CB2818" w:rsidP="00AD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bidi w:val="0"/>
      <w:jc w:val="center"/>
      <w:rPr>
        <w:sz w:val="20"/>
      </w:rPr>
    </w:pPr>
    <w:r w:rsidRPr="008E28EA">
      <w:rPr>
        <w:sz w:val="20"/>
      </w:rPr>
      <w:fldChar w:fldCharType="begin"/>
    </w:r>
    <w:r w:rsidRPr="008E28EA">
      <w:rPr>
        <w:sz w:val="20"/>
      </w:rPr>
      <w:instrText xml:space="preserve"> page </w:instrText>
    </w:r>
    <w:r w:rsidRPr="008E28EA">
      <w:rPr>
        <w:sz w:val="20"/>
      </w:rPr>
      <w:fldChar w:fldCharType="separate"/>
    </w:r>
    <w:r w:rsidR="00D80FE8">
      <w:rPr>
        <w:noProof/>
        <w:sz w:val="20"/>
      </w:rPr>
      <w:t>70</w:t>
    </w:r>
    <w:r w:rsidRPr="008E28EA">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bidi w:val="0"/>
      <w:jc w:val="center"/>
      <w:rPr>
        <w:sz w:val="20"/>
      </w:rPr>
    </w:pPr>
    <w:r w:rsidRPr="008E28EA">
      <w:rPr>
        <w:sz w:val="20"/>
      </w:rPr>
      <w:fldChar w:fldCharType="begin"/>
    </w:r>
    <w:r w:rsidRPr="008E28EA">
      <w:rPr>
        <w:sz w:val="20"/>
      </w:rPr>
      <w:instrText xml:space="preserve"> page </w:instrText>
    </w:r>
    <w:r w:rsidRPr="008E28EA">
      <w:rPr>
        <w:sz w:val="20"/>
      </w:rPr>
      <w:fldChar w:fldCharType="separate"/>
    </w:r>
    <w:r w:rsidR="00D80FE8">
      <w:rPr>
        <w:noProof/>
        <w:sz w:val="20"/>
      </w:rPr>
      <w:t>71</w:t>
    </w:r>
    <w:r w:rsidRPr="008E28EA">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bidi w:val="0"/>
      <w:jc w:val="center"/>
      <w:rPr>
        <w:sz w:val="20"/>
      </w:rPr>
    </w:pPr>
    <w:r w:rsidRPr="008E28EA">
      <w:rPr>
        <w:sz w:val="20"/>
      </w:rPr>
      <w:fldChar w:fldCharType="begin"/>
    </w:r>
    <w:r w:rsidRPr="008E28EA">
      <w:rPr>
        <w:sz w:val="20"/>
      </w:rPr>
      <w:instrText xml:space="preserve"> page </w:instrText>
    </w:r>
    <w:r w:rsidRPr="008E28EA">
      <w:rPr>
        <w:sz w:val="20"/>
      </w:rPr>
      <w:fldChar w:fldCharType="separate"/>
    </w:r>
    <w:r w:rsidR="00D80FE8">
      <w:rPr>
        <w:noProof/>
        <w:sz w:val="20"/>
      </w:rPr>
      <w:t>72</w:t>
    </w:r>
    <w:r w:rsidRPr="008E28EA">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bidi w:val="0"/>
      <w:jc w:val="center"/>
      <w:rPr>
        <w:sz w:val="20"/>
      </w:rPr>
    </w:pPr>
    <w:r w:rsidRPr="008E28EA">
      <w:rPr>
        <w:sz w:val="20"/>
      </w:rPr>
      <w:fldChar w:fldCharType="begin"/>
    </w:r>
    <w:r w:rsidRPr="008E28EA">
      <w:rPr>
        <w:sz w:val="20"/>
      </w:rPr>
      <w:instrText xml:space="preserve"> page </w:instrText>
    </w:r>
    <w:r w:rsidRPr="008E28EA">
      <w:rPr>
        <w:sz w:val="20"/>
      </w:rPr>
      <w:fldChar w:fldCharType="separate"/>
    </w:r>
    <w:r w:rsidR="00D80FE8">
      <w:rPr>
        <w:noProof/>
        <w:sz w:val="20"/>
      </w:rPr>
      <w:t>74</w:t>
    </w:r>
    <w:r w:rsidRPr="008E28EA">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bidi w:val="0"/>
      <w:jc w:val="center"/>
      <w:rPr>
        <w:sz w:val="20"/>
      </w:rPr>
    </w:pPr>
    <w:r w:rsidRPr="008E28EA">
      <w:rPr>
        <w:sz w:val="20"/>
      </w:rPr>
      <w:fldChar w:fldCharType="begin"/>
    </w:r>
    <w:r w:rsidRPr="008E28EA">
      <w:rPr>
        <w:sz w:val="20"/>
      </w:rPr>
      <w:instrText xml:space="preserve"> page </w:instrText>
    </w:r>
    <w:r w:rsidRPr="008E28EA">
      <w:rPr>
        <w:sz w:val="20"/>
      </w:rPr>
      <w:fldChar w:fldCharType="separate"/>
    </w:r>
    <w:r>
      <w:rPr>
        <w:noProof/>
        <w:sz w:val="20"/>
      </w:rPr>
      <w:t>1</w:t>
    </w:r>
    <w:r w:rsidRPr="008E28EA">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18" w:rsidRDefault="00CB2818" w:rsidP="00AD2B46">
      <w:r>
        <w:separator/>
      </w:r>
    </w:p>
  </w:footnote>
  <w:footnote w:type="continuationSeparator" w:id="0">
    <w:p w:rsidR="00CB2818" w:rsidRDefault="00CB2818" w:rsidP="00AD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pBdr>
        <w:bottom w:val="thinThickMediumGap" w:sz="12" w:space="1" w:color="auto"/>
      </w:pBdr>
      <w:tabs>
        <w:tab w:val="left" w:pos="851"/>
        <w:tab w:val="right" w:pos="8364"/>
      </w:tabs>
      <w:bidi w:val="0"/>
      <w:adjustRightInd w:val="0"/>
      <w:snapToGrid w:val="0"/>
      <w:jc w:val="both"/>
      <w:rPr>
        <w:iCs/>
        <w:sz w:val="20"/>
        <w:szCs w:val="20"/>
      </w:rPr>
    </w:pPr>
    <w:r w:rsidRPr="008E28EA">
      <w:rPr>
        <w:sz w:val="20"/>
        <w:szCs w:val="20"/>
      </w:rPr>
      <w:tab/>
    </w:r>
    <w:smartTag w:uri="urn:schemas-microsoft-com:office:smarttags" w:element="place">
      <w:smartTag w:uri="urn:schemas-microsoft-com:office:smarttags" w:element="State">
        <w:r w:rsidRPr="008E28EA">
          <w:rPr>
            <w:sz w:val="20"/>
            <w:szCs w:val="20"/>
          </w:rPr>
          <w:t>New York</w:t>
        </w:r>
      </w:smartTag>
    </w:smartTag>
    <w:r w:rsidRPr="008E28EA">
      <w:rPr>
        <w:sz w:val="20"/>
        <w:szCs w:val="20"/>
      </w:rPr>
      <w:t xml:space="preserve"> Science Journal 2017;10(4)</w:t>
    </w:r>
    <w:r w:rsidRPr="008E28EA">
      <w:rPr>
        <w:iCs/>
        <w:sz w:val="20"/>
        <w:szCs w:val="20"/>
      </w:rPr>
      <w:t xml:space="preserve">     </w:t>
    </w:r>
    <w:r w:rsidRPr="008E28EA">
      <w:rPr>
        <w:iCs/>
        <w:sz w:val="20"/>
        <w:szCs w:val="20"/>
      </w:rPr>
      <w:tab/>
      <w:t xml:space="preserve">     </w:t>
    </w:r>
    <w:hyperlink r:id="rId1" w:history="1">
      <w:r w:rsidRPr="008E28EA">
        <w:rPr>
          <w:rStyle w:val="Hyperlink"/>
          <w:sz w:val="20"/>
          <w:szCs w:val="20"/>
        </w:rPr>
        <w:t>http://www.sciencepub.net/newyork</w:t>
      </w:r>
    </w:hyperlink>
  </w:p>
  <w:p w:rsidR="003F3A1A" w:rsidRPr="008E28EA" w:rsidRDefault="003F3A1A" w:rsidP="008E28EA">
    <w:pPr>
      <w:tabs>
        <w:tab w:val="left" w:pos="851"/>
        <w:tab w:val="left" w:pos="7200"/>
        <w:tab w:val="right" w:pos="8364"/>
      </w:tabs>
      <w:bidi w:val="0"/>
      <w:adjustRightInd w:val="0"/>
      <w:snapToGrid w:val="0"/>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pBdr>
        <w:bottom w:val="thinThickMediumGap" w:sz="12" w:space="1" w:color="auto"/>
      </w:pBdr>
      <w:tabs>
        <w:tab w:val="left" w:pos="851"/>
        <w:tab w:val="right" w:pos="8364"/>
      </w:tabs>
      <w:bidi w:val="0"/>
      <w:adjustRightInd w:val="0"/>
      <w:snapToGrid w:val="0"/>
      <w:jc w:val="both"/>
      <w:rPr>
        <w:iCs/>
        <w:sz w:val="20"/>
        <w:szCs w:val="20"/>
      </w:rPr>
    </w:pPr>
    <w:r w:rsidRPr="008E28EA">
      <w:rPr>
        <w:sz w:val="20"/>
        <w:szCs w:val="20"/>
      </w:rPr>
      <w:tab/>
    </w:r>
    <w:smartTag w:uri="urn:schemas-microsoft-com:office:smarttags" w:element="place">
      <w:smartTag w:uri="urn:schemas-microsoft-com:office:smarttags" w:element="State">
        <w:r w:rsidRPr="008E28EA">
          <w:rPr>
            <w:sz w:val="20"/>
            <w:szCs w:val="20"/>
          </w:rPr>
          <w:t>New York</w:t>
        </w:r>
      </w:smartTag>
    </w:smartTag>
    <w:r w:rsidRPr="008E28EA">
      <w:rPr>
        <w:sz w:val="20"/>
        <w:szCs w:val="20"/>
      </w:rPr>
      <w:t xml:space="preserve"> Science Journal 2017;10(4)</w:t>
    </w:r>
    <w:r w:rsidRPr="008E28EA">
      <w:rPr>
        <w:iCs/>
        <w:sz w:val="20"/>
        <w:szCs w:val="20"/>
      </w:rPr>
      <w:t xml:space="preserve">     </w:t>
    </w:r>
    <w:r w:rsidRPr="008E28EA">
      <w:rPr>
        <w:iCs/>
        <w:sz w:val="20"/>
        <w:szCs w:val="20"/>
      </w:rPr>
      <w:tab/>
      <w:t xml:space="preserve">     </w:t>
    </w:r>
    <w:hyperlink r:id="rId1" w:history="1">
      <w:r w:rsidRPr="008E28EA">
        <w:rPr>
          <w:rStyle w:val="Hyperlink"/>
          <w:sz w:val="20"/>
          <w:szCs w:val="20"/>
        </w:rPr>
        <w:t>http://www.sciencepub.net/newyork</w:t>
      </w:r>
    </w:hyperlink>
  </w:p>
  <w:p w:rsidR="003F3A1A" w:rsidRPr="008E28EA" w:rsidRDefault="003F3A1A" w:rsidP="008E28EA">
    <w:pPr>
      <w:tabs>
        <w:tab w:val="left" w:pos="851"/>
        <w:tab w:val="left" w:pos="7200"/>
        <w:tab w:val="right" w:pos="8364"/>
      </w:tabs>
      <w:bidi w:val="0"/>
      <w:adjustRightInd w:val="0"/>
      <w:snapToGrid w:val="0"/>
      <w:jc w:val="both"/>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pBdr>
        <w:bottom w:val="thinThickMediumGap" w:sz="12" w:space="1" w:color="auto"/>
      </w:pBdr>
      <w:tabs>
        <w:tab w:val="left" w:pos="851"/>
        <w:tab w:val="right" w:pos="8364"/>
      </w:tabs>
      <w:bidi w:val="0"/>
      <w:adjustRightInd w:val="0"/>
      <w:snapToGrid w:val="0"/>
      <w:jc w:val="both"/>
      <w:rPr>
        <w:iCs/>
        <w:sz w:val="20"/>
        <w:szCs w:val="20"/>
      </w:rPr>
    </w:pPr>
    <w:r w:rsidRPr="008E28EA">
      <w:rPr>
        <w:sz w:val="20"/>
        <w:szCs w:val="20"/>
      </w:rPr>
      <w:tab/>
    </w:r>
    <w:smartTag w:uri="urn:schemas-microsoft-com:office:smarttags" w:element="place">
      <w:smartTag w:uri="urn:schemas-microsoft-com:office:smarttags" w:element="State">
        <w:r w:rsidRPr="008E28EA">
          <w:rPr>
            <w:sz w:val="20"/>
            <w:szCs w:val="20"/>
          </w:rPr>
          <w:t>New York</w:t>
        </w:r>
      </w:smartTag>
    </w:smartTag>
    <w:r w:rsidRPr="008E28EA">
      <w:rPr>
        <w:sz w:val="20"/>
        <w:szCs w:val="20"/>
      </w:rPr>
      <w:t xml:space="preserve"> Science Journal 2017;10(4)</w:t>
    </w:r>
    <w:r w:rsidRPr="008E28EA">
      <w:rPr>
        <w:iCs/>
        <w:sz w:val="20"/>
        <w:szCs w:val="20"/>
      </w:rPr>
      <w:t xml:space="preserve">     </w:t>
    </w:r>
    <w:r w:rsidRPr="008E28EA">
      <w:rPr>
        <w:iCs/>
        <w:sz w:val="20"/>
        <w:szCs w:val="20"/>
      </w:rPr>
      <w:tab/>
      <w:t xml:space="preserve">     </w:t>
    </w:r>
    <w:hyperlink r:id="rId1" w:history="1">
      <w:r w:rsidRPr="008E28EA">
        <w:rPr>
          <w:rStyle w:val="Hyperlink"/>
          <w:sz w:val="20"/>
          <w:szCs w:val="20"/>
        </w:rPr>
        <w:t>http://www.sciencepub.net/newyork</w:t>
      </w:r>
    </w:hyperlink>
  </w:p>
  <w:p w:rsidR="003F3A1A" w:rsidRPr="008E28EA" w:rsidRDefault="003F3A1A" w:rsidP="008E28EA">
    <w:pPr>
      <w:tabs>
        <w:tab w:val="left" w:pos="851"/>
        <w:tab w:val="left" w:pos="7200"/>
        <w:tab w:val="right" w:pos="8364"/>
      </w:tabs>
      <w:bidi w:val="0"/>
      <w:adjustRightInd w:val="0"/>
      <w:snapToGrid w:val="0"/>
      <w:jc w:val="both"/>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pBdr>
        <w:bottom w:val="thinThickMediumGap" w:sz="12" w:space="1" w:color="auto"/>
      </w:pBdr>
      <w:tabs>
        <w:tab w:val="left" w:pos="851"/>
        <w:tab w:val="right" w:pos="8364"/>
      </w:tabs>
      <w:bidi w:val="0"/>
      <w:adjustRightInd w:val="0"/>
      <w:snapToGrid w:val="0"/>
      <w:jc w:val="both"/>
      <w:rPr>
        <w:iCs/>
        <w:sz w:val="20"/>
        <w:szCs w:val="20"/>
      </w:rPr>
    </w:pPr>
    <w:r w:rsidRPr="008E28EA">
      <w:rPr>
        <w:sz w:val="20"/>
        <w:szCs w:val="20"/>
      </w:rPr>
      <w:tab/>
      <w:t>New York Science Journal 2017;10(4)</w:t>
    </w:r>
    <w:r w:rsidRPr="008E28EA">
      <w:rPr>
        <w:iCs/>
        <w:sz w:val="20"/>
        <w:szCs w:val="20"/>
      </w:rPr>
      <w:t xml:space="preserve">     </w:t>
    </w:r>
    <w:r w:rsidRPr="008E28EA">
      <w:rPr>
        <w:iCs/>
        <w:sz w:val="20"/>
        <w:szCs w:val="20"/>
      </w:rPr>
      <w:tab/>
      <w:t xml:space="preserve">     </w:t>
    </w:r>
    <w:hyperlink r:id="rId1" w:history="1">
      <w:r w:rsidRPr="008E28EA">
        <w:rPr>
          <w:rStyle w:val="Hyperlink"/>
          <w:sz w:val="20"/>
          <w:szCs w:val="20"/>
        </w:rPr>
        <w:t>http://www.sciencepub.net/newyork</w:t>
      </w:r>
    </w:hyperlink>
  </w:p>
  <w:p w:rsidR="003F3A1A" w:rsidRPr="008E28EA" w:rsidRDefault="003F3A1A" w:rsidP="008E28EA">
    <w:pPr>
      <w:tabs>
        <w:tab w:val="left" w:pos="851"/>
        <w:tab w:val="left" w:pos="7200"/>
        <w:tab w:val="right" w:pos="8364"/>
      </w:tabs>
      <w:bidi w:val="0"/>
      <w:adjustRightInd w:val="0"/>
      <w:snapToGrid w:val="0"/>
      <w:jc w:val="both"/>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A1A" w:rsidRPr="008E28EA" w:rsidRDefault="003F3A1A" w:rsidP="008E28EA">
    <w:pPr>
      <w:pBdr>
        <w:bottom w:val="thinThickMediumGap" w:sz="12" w:space="1" w:color="auto"/>
      </w:pBdr>
      <w:tabs>
        <w:tab w:val="left" w:pos="851"/>
        <w:tab w:val="right" w:pos="8364"/>
      </w:tabs>
      <w:bidi w:val="0"/>
      <w:adjustRightInd w:val="0"/>
      <w:snapToGrid w:val="0"/>
      <w:jc w:val="both"/>
      <w:rPr>
        <w:iCs/>
        <w:sz w:val="20"/>
        <w:szCs w:val="20"/>
      </w:rPr>
    </w:pPr>
    <w:r w:rsidRPr="008E28EA">
      <w:rPr>
        <w:sz w:val="20"/>
        <w:szCs w:val="20"/>
      </w:rPr>
      <w:tab/>
      <w:t>New York Science Journal 2017;10(4)</w:t>
    </w:r>
    <w:r w:rsidRPr="008E28EA">
      <w:rPr>
        <w:iCs/>
        <w:sz w:val="20"/>
        <w:szCs w:val="20"/>
      </w:rPr>
      <w:t xml:space="preserve">     </w:t>
    </w:r>
    <w:r w:rsidRPr="008E28EA">
      <w:rPr>
        <w:iCs/>
        <w:sz w:val="20"/>
        <w:szCs w:val="20"/>
      </w:rPr>
      <w:tab/>
      <w:t xml:space="preserve">     </w:t>
    </w:r>
    <w:hyperlink r:id="rId1" w:history="1">
      <w:r w:rsidRPr="008E28EA">
        <w:rPr>
          <w:rStyle w:val="Hyperlink"/>
          <w:sz w:val="20"/>
          <w:szCs w:val="20"/>
        </w:rPr>
        <w:t>http://www.sciencepub.net/newyork</w:t>
      </w:r>
    </w:hyperlink>
  </w:p>
  <w:p w:rsidR="003F3A1A" w:rsidRPr="008E28EA" w:rsidRDefault="003F3A1A" w:rsidP="008E28EA">
    <w:pPr>
      <w:tabs>
        <w:tab w:val="left" w:pos="851"/>
        <w:tab w:val="left" w:pos="7200"/>
        <w:tab w:val="right" w:pos="8364"/>
      </w:tabs>
      <w:bidi w:val="0"/>
      <w:adjustRightInd w:val="0"/>
      <w:snapToGrid w:val="0"/>
      <w:jc w:val="both"/>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A7B37"/>
    <w:multiLevelType w:val="hybridMultilevel"/>
    <w:tmpl w:val="365AA5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6EF7920"/>
    <w:multiLevelType w:val="hybridMultilevel"/>
    <w:tmpl w:val="E886F358"/>
    <w:lvl w:ilvl="0" w:tplc="1BB2F0DA">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C6"/>
    <w:rsid w:val="00035DFD"/>
    <w:rsid w:val="000A4261"/>
    <w:rsid w:val="00111CB0"/>
    <w:rsid w:val="00145E9C"/>
    <w:rsid w:val="001644B7"/>
    <w:rsid w:val="00182C74"/>
    <w:rsid w:val="001E7375"/>
    <w:rsid w:val="002B2360"/>
    <w:rsid w:val="00356F56"/>
    <w:rsid w:val="003D0FB9"/>
    <w:rsid w:val="003F3A1A"/>
    <w:rsid w:val="00404DF5"/>
    <w:rsid w:val="00495A3C"/>
    <w:rsid w:val="00524B09"/>
    <w:rsid w:val="0052758F"/>
    <w:rsid w:val="0068368D"/>
    <w:rsid w:val="0069450A"/>
    <w:rsid w:val="006F1805"/>
    <w:rsid w:val="00741AC6"/>
    <w:rsid w:val="007600FD"/>
    <w:rsid w:val="0076305D"/>
    <w:rsid w:val="00773E4F"/>
    <w:rsid w:val="007A3853"/>
    <w:rsid w:val="007F1481"/>
    <w:rsid w:val="007F4A34"/>
    <w:rsid w:val="00836315"/>
    <w:rsid w:val="008E28EA"/>
    <w:rsid w:val="00902C14"/>
    <w:rsid w:val="00963E89"/>
    <w:rsid w:val="00A03E88"/>
    <w:rsid w:val="00A07FC0"/>
    <w:rsid w:val="00A707E8"/>
    <w:rsid w:val="00AD2B46"/>
    <w:rsid w:val="00AF5AEA"/>
    <w:rsid w:val="00B26538"/>
    <w:rsid w:val="00B76535"/>
    <w:rsid w:val="00BC3AE5"/>
    <w:rsid w:val="00BD18D3"/>
    <w:rsid w:val="00BE4923"/>
    <w:rsid w:val="00C118ED"/>
    <w:rsid w:val="00C55C96"/>
    <w:rsid w:val="00CB2818"/>
    <w:rsid w:val="00CF2A93"/>
    <w:rsid w:val="00D27F75"/>
    <w:rsid w:val="00D372CC"/>
    <w:rsid w:val="00D41F4C"/>
    <w:rsid w:val="00D80FE8"/>
    <w:rsid w:val="00DA0DA4"/>
    <w:rsid w:val="00E62B1C"/>
    <w:rsid w:val="00E87753"/>
    <w:rsid w:val="00F364BF"/>
    <w:rsid w:val="00F762A7"/>
    <w:rsid w:val="00F91B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C6"/>
    <w:pPr>
      <w:bidi/>
    </w:pPr>
    <w:rPr>
      <w:sz w:val="24"/>
      <w:szCs w:val="24"/>
    </w:rPr>
  </w:style>
  <w:style w:type="paragraph" w:styleId="Heading2">
    <w:name w:val="heading 2"/>
    <w:basedOn w:val="Normal"/>
    <w:link w:val="Heading2Char"/>
    <w:uiPriority w:val="99"/>
    <w:qFormat/>
    <w:rsid w:val="006F1805"/>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220B"/>
    <w:rPr>
      <w:rFonts w:asciiTheme="majorHAnsi" w:eastAsiaTheme="majorEastAsia" w:hAnsiTheme="majorHAnsi" w:cstheme="majorBidi"/>
      <w:b/>
      <w:bCs/>
      <w:i/>
      <w:iCs/>
      <w:sz w:val="28"/>
      <w:szCs w:val="28"/>
    </w:rPr>
  </w:style>
  <w:style w:type="paragraph" w:customStyle="1" w:styleId="Default">
    <w:name w:val="Default"/>
    <w:uiPriority w:val="99"/>
    <w:rsid w:val="00741AC6"/>
    <w:pPr>
      <w:autoSpaceDE w:val="0"/>
      <w:autoSpaceDN w:val="0"/>
      <w:adjustRightInd w:val="0"/>
    </w:pPr>
    <w:rPr>
      <w:rFonts w:ascii="Arial" w:hAnsi="Arial" w:cs="Arial"/>
      <w:color w:val="000000"/>
      <w:sz w:val="24"/>
      <w:szCs w:val="24"/>
    </w:rPr>
  </w:style>
  <w:style w:type="character" w:customStyle="1" w:styleId="st">
    <w:name w:val="st"/>
    <w:basedOn w:val="DefaultParagraphFont"/>
    <w:uiPriority w:val="99"/>
    <w:rsid w:val="00741AC6"/>
    <w:rPr>
      <w:rFonts w:cs="Times New Roman"/>
    </w:rPr>
  </w:style>
  <w:style w:type="character" w:customStyle="1" w:styleId="arttitle">
    <w:name w:val="arttitle"/>
    <w:basedOn w:val="DefaultParagraphFont"/>
    <w:uiPriority w:val="99"/>
    <w:rsid w:val="00741AC6"/>
    <w:rPr>
      <w:rFonts w:cs="Times New Roman"/>
    </w:rPr>
  </w:style>
  <w:style w:type="character" w:customStyle="1" w:styleId="element-citation">
    <w:name w:val="element-citation"/>
    <w:basedOn w:val="DefaultParagraphFont"/>
    <w:uiPriority w:val="99"/>
    <w:rsid w:val="00741AC6"/>
    <w:rPr>
      <w:rFonts w:cs="Times New Roman"/>
    </w:rPr>
  </w:style>
  <w:style w:type="character" w:customStyle="1" w:styleId="ref-journal">
    <w:name w:val="ref-journal"/>
    <w:basedOn w:val="DefaultParagraphFont"/>
    <w:uiPriority w:val="99"/>
    <w:rsid w:val="00741AC6"/>
    <w:rPr>
      <w:rFonts w:cs="Times New Roman"/>
    </w:rPr>
  </w:style>
  <w:style w:type="character" w:customStyle="1" w:styleId="ref-vol">
    <w:name w:val="ref-vol"/>
    <w:basedOn w:val="DefaultParagraphFont"/>
    <w:uiPriority w:val="99"/>
    <w:rsid w:val="00741AC6"/>
    <w:rPr>
      <w:rFonts w:cs="Times New Roman"/>
    </w:rPr>
  </w:style>
  <w:style w:type="character" w:customStyle="1" w:styleId="mixed-citation">
    <w:name w:val="mixed-citation"/>
    <w:basedOn w:val="DefaultParagraphFont"/>
    <w:uiPriority w:val="99"/>
    <w:rsid w:val="00741AC6"/>
    <w:rPr>
      <w:rFonts w:cs="Times New Roman"/>
    </w:rPr>
  </w:style>
  <w:style w:type="character" w:customStyle="1" w:styleId="A3">
    <w:name w:val="A3"/>
    <w:uiPriority w:val="99"/>
    <w:rsid w:val="00741AC6"/>
    <w:rPr>
      <w:rFonts w:ascii="Cambria" w:hAnsi="Cambria"/>
      <w:color w:val="000000"/>
      <w:sz w:val="18"/>
    </w:rPr>
  </w:style>
  <w:style w:type="character" w:customStyle="1" w:styleId="A2">
    <w:name w:val="A2"/>
    <w:uiPriority w:val="99"/>
    <w:rsid w:val="00741AC6"/>
    <w:rPr>
      <w:rFonts w:ascii="Cambria" w:hAnsi="Cambria"/>
      <w:color w:val="000000"/>
      <w:sz w:val="16"/>
    </w:rPr>
  </w:style>
  <w:style w:type="character" w:styleId="Emphasis">
    <w:name w:val="Emphasis"/>
    <w:basedOn w:val="DefaultParagraphFont"/>
    <w:uiPriority w:val="99"/>
    <w:qFormat/>
    <w:rsid w:val="00741AC6"/>
    <w:rPr>
      <w:rFonts w:cs="Times New Roman"/>
      <w:i/>
    </w:rPr>
  </w:style>
  <w:style w:type="character" w:styleId="Strong">
    <w:name w:val="Strong"/>
    <w:basedOn w:val="DefaultParagraphFont"/>
    <w:uiPriority w:val="99"/>
    <w:qFormat/>
    <w:rsid w:val="00741AC6"/>
    <w:rPr>
      <w:rFonts w:cs="Times New Roman"/>
      <w:b/>
    </w:rPr>
  </w:style>
  <w:style w:type="character" w:styleId="HTMLCite">
    <w:name w:val="HTML Cite"/>
    <w:basedOn w:val="DefaultParagraphFont"/>
    <w:uiPriority w:val="99"/>
    <w:rsid w:val="00741AC6"/>
    <w:rPr>
      <w:rFonts w:cs="Times New Roman"/>
      <w:i/>
    </w:rPr>
  </w:style>
  <w:style w:type="character" w:customStyle="1" w:styleId="normal1">
    <w:name w:val="normal1"/>
    <w:uiPriority w:val="99"/>
    <w:rsid w:val="00E87753"/>
    <w:rPr>
      <w:rFonts w:ascii="Arial" w:hAnsi="Arial"/>
      <w:color w:val="000000"/>
      <w:sz w:val="20"/>
    </w:rPr>
  </w:style>
  <w:style w:type="character" w:customStyle="1" w:styleId="result">
    <w:name w:val="result"/>
    <w:uiPriority w:val="99"/>
    <w:rsid w:val="00E87753"/>
    <w:rPr>
      <w:color w:val="000080"/>
    </w:rPr>
  </w:style>
  <w:style w:type="character" w:styleId="HTMLAcronym">
    <w:name w:val="HTML Acronym"/>
    <w:basedOn w:val="DefaultParagraphFont"/>
    <w:uiPriority w:val="99"/>
    <w:rsid w:val="00E87753"/>
    <w:rPr>
      <w:rFonts w:cs="Times New Roman"/>
    </w:rPr>
  </w:style>
  <w:style w:type="character" w:styleId="Hyperlink">
    <w:name w:val="Hyperlink"/>
    <w:basedOn w:val="DefaultParagraphFont"/>
    <w:uiPriority w:val="99"/>
    <w:rsid w:val="00DA0DA4"/>
    <w:rPr>
      <w:rFonts w:cs="Times New Roman"/>
      <w:color w:val="0000FF"/>
      <w:u w:val="single"/>
    </w:rPr>
  </w:style>
  <w:style w:type="character" w:customStyle="1" w:styleId="apple-converted-space">
    <w:name w:val="apple-converted-space"/>
    <w:basedOn w:val="DefaultParagraphFont"/>
    <w:uiPriority w:val="99"/>
    <w:rsid w:val="006F1805"/>
    <w:rPr>
      <w:rFonts w:cs="Times New Roman"/>
    </w:rPr>
  </w:style>
  <w:style w:type="paragraph" w:styleId="Header">
    <w:name w:val="header"/>
    <w:basedOn w:val="Normal"/>
    <w:link w:val="HeaderChar"/>
    <w:uiPriority w:val="99"/>
    <w:rsid w:val="00AD2B46"/>
    <w:pPr>
      <w:tabs>
        <w:tab w:val="center" w:pos="4153"/>
        <w:tab w:val="right" w:pos="8306"/>
      </w:tabs>
    </w:pPr>
  </w:style>
  <w:style w:type="character" w:customStyle="1" w:styleId="HeaderChar">
    <w:name w:val="Header Char"/>
    <w:basedOn w:val="DefaultParagraphFont"/>
    <w:link w:val="Header"/>
    <w:uiPriority w:val="99"/>
    <w:locked/>
    <w:rsid w:val="00AD2B46"/>
    <w:rPr>
      <w:sz w:val="24"/>
    </w:rPr>
  </w:style>
  <w:style w:type="paragraph" w:styleId="Footer">
    <w:name w:val="footer"/>
    <w:basedOn w:val="Normal"/>
    <w:link w:val="FooterChar"/>
    <w:uiPriority w:val="99"/>
    <w:rsid w:val="00AD2B46"/>
    <w:pPr>
      <w:tabs>
        <w:tab w:val="center" w:pos="4153"/>
        <w:tab w:val="right" w:pos="8306"/>
      </w:tabs>
    </w:pPr>
  </w:style>
  <w:style w:type="character" w:customStyle="1" w:styleId="FooterChar">
    <w:name w:val="Footer Char"/>
    <w:basedOn w:val="DefaultParagraphFont"/>
    <w:link w:val="Footer"/>
    <w:uiPriority w:val="99"/>
    <w:locked/>
    <w:rsid w:val="00AD2B4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AC6"/>
    <w:pPr>
      <w:bidi/>
    </w:pPr>
    <w:rPr>
      <w:sz w:val="24"/>
      <w:szCs w:val="24"/>
    </w:rPr>
  </w:style>
  <w:style w:type="paragraph" w:styleId="Heading2">
    <w:name w:val="heading 2"/>
    <w:basedOn w:val="Normal"/>
    <w:link w:val="Heading2Char"/>
    <w:uiPriority w:val="99"/>
    <w:qFormat/>
    <w:rsid w:val="006F1805"/>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220B"/>
    <w:rPr>
      <w:rFonts w:asciiTheme="majorHAnsi" w:eastAsiaTheme="majorEastAsia" w:hAnsiTheme="majorHAnsi" w:cstheme="majorBidi"/>
      <w:b/>
      <w:bCs/>
      <w:i/>
      <w:iCs/>
      <w:sz w:val="28"/>
      <w:szCs w:val="28"/>
    </w:rPr>
  </w:style>
  <w:style w:type="paragraph" w:customStyle="1" w:styleId="Default">
    <w:name w:val="Default"/>
    <w:uiPriority w:val="99"/>
    <w:rsid w:val="00741AC6"/>
    <w:pPr>
      <w:autoSpaceDE w:val="0"/>
      <w:autoSpaceDN w:val="0"/>
      <w:adjustRightInd w:val="0"/>
    </w:pPr>
    <w:rPr>
      <w:rFonts w:ascii="Arial" w:hAnsi="Arial" w:cs="Arial"/>
      <w:color w:val="000000"/>
      <w:sz w:val="24"/>
      <w:szCs w:val="24"/>
    </w:rPr>
  </w:style>
  <w:style w:type="character" w:customStyle="1" w:styleId="st">
    <w:name w:val="st"/>
    <w:basedOn w:val="DefaultParagraphFont"/>
    <w:uiPriority w:val="99"/>
    <w:rsid w:val="00741AC6"/>
    <w:rPr>
      <w:rFonts w:cs="Times New Roman"/>
    </w:rPr>
  </w:style>
  <w:style w:type="character" w:customStyle="1" w:styleId="arttitle">
    <w:name w:val="arttitle"/>
    <w:basedOn w:val="DefaultParagraphFont"/>
    <w:uiPriority w:val="99"/>
    <w:rsid w:val="00741AC6"/>
    <w:rPr>
      <w:rFonts w:cs="Times New Roman"/>
    </w:rPr>
  </w:style>
  <w:style w:type="character" w:customStyle="1" w:styleId="element-citation">
    <w:name w:val="element-citation"/>
    <w:basedOn w:val="DefaultParagraphFont"/>
    <w:uiPriority w:val="99"/>
    <w:rsid w:val="00741AC6"/>
    <w:rPr>
      <w:rFonts w:cs="Times New Roman"/>
    </w:rPr>
  </w:style>
  <w:style w:type="character" w:customStyle="1" w:styleId="ref-journal">
    <w:name w:val="ref-journal"/>
    <w:basedOn w:val="DefaultParagraphFont"/>
    <w:uiPriority w:val="99"/>
    <w:rsid w:val="00741AC6"/>
    <w:rPr>
      <w:rFonts w:cs="Times New Roman"/>
    </w:rPr>
  </w:style>
  <w:style w:type="character" w:customStyle="1" w:styleId="ref-vol">
    <w:name w:val="ref-vol"/>
    <w:basedOn w:val="DefaultParagraphFont"/>
    <w:uiPriority w:val="99"/>
    <w:rsid w:val="00741AC6"/>
    <w:rPr>
      <w:rFonts w:cs="Times New Roman"/>
    </w:rPr>
  </w:style>
  <w:style w:type="character" w:customStyle="1" w:styleId="mixed-citation">
    <w:name w:val="mixed-citation"/>
    <w:basedOn w:val="DefaultParagraphFont"/>
    <w:uiPriority w:val="99"/>
    <w:rsid w:val="00741AC6"/>
    <w:rPr>
      <w:rFonts w:cs="Times New Roman"/>
    </w:rPr>
  </w:style>
  <w:style w:type="character" w:customStyle="1" w:styleId="A3">
    <w:name w:val="A3"/>
    <w:uiPriority w:val="99"/>
    <w:rsid w:val="00741AC6"/>
    <w:rPr>
      <w:rFonts w:ascii="Cambria" w:hAnsi="Cambria"/>
      <w:color w:val="000000"/>
      <w:sz w:val="18"/>
    </w:rPr>
  </w:style>
  <w:style w:type="character" w:customStyle="1" w:styleId="A2">
    <w:name w:val="A2"/>
    <w:uiPriority w:val="99"/>
    <w:rsid w:val="00741AC6"/>
    <w:rPr>
      <w:rFonts w:ascii="Cambria" w:hAnsi="Cambria"/>
      <w:color w:val="000000"/>
      <w:sz w:val="16"/>
    </w:rPr>
  </w:style>
  <w:style w:type="character" w:styleId="Emphasis">
    <w:name w:val="Emphasis"/>
    <w:basedOn w:val="DefaultParagraphFont"/>
    <w:uiPriority w:val="99"/>
    <w:qFormat/>
    <w:rsid w:val="00741AC6"/>
    <w:rPr>
      <w:rFonts w:cs="Times New Roman"/>
      <w:i/>
    </w:rPr>
  </w:style>
  <w:style w:type="character" w:styleId="Strong">
    <w:name w:val="Strong"/>
    <w:basedOn w:val="DefaultParagraphFont"/>
    <w:uiPriority w:val="99"/>
    <w:qFormat/>
    <w:rsid w:val="00741AC6"/>
    <w:rPr>
      <w:rFonts w:cs="Times New Roman"/>
      <w:b/>
    </w:rPr>
  </w:style>
  <w:style w:type="character" w:styleId="HTMLCite">
    <w:name w:val="HTML Cite"/>
    <w:basedOn w:val="DefaultParagraphFont"/>
    <w:uiPriority w:val="99"/>
    <w:rsid w:val="00741AC6"/>
    <w:rPr>
      <w:rFonts w:cs="Times New Roman"/>
      <w:i/>
    </w:rPr>
  </w:style>
  <w:style w:type="character" w:customStyle="1" w:styleId="normal1">
    <w:name w:val="normal1"/>
    <w:uiPriority w:val="99"/>
    <w:rsid w:val="00E87753"/>
    <w:rPr>
      <w:rFonts w:ascii="Arial" w:hAnsi="Arial"/>
      <w:color w:val="000000"/>
      <w:sz w:val="20"/>
    </w:rPr>
  </w:style>
  <w:style w:type="character" w:customStyle="1" w:styleId="result">
    <w:name w:val="result"/>
    <w:uiPriority w:val="99"/>
    <w:rsid w:val="00E87753"/>
    <w:rPr>
      <w:color w:val="000080"/>
    </w:rPr>
  </w:style>
  <w:style w:type="character" w:styleId="HTMLAcronym">
    <w:name w:val="HTML Acronym"/>
    <w:basedOn w:val="DefaultParagraphFont"/>
    <w:uiPriority w:val="99"/>
    <w:rsid w:val="00E87753"/>
    <w:rPr>
      <w:rFonts w:cs="Times New Roman"/>
    </w:rPr>
  </w:style>
  <w:style w:type="character" w:styleId="Hyperlink">
    <w:name w:val="Hyperlink"/>
    <w:basedOn w:val="DefaultParagraphFont"/>
    <w:uiPriority w:val="99"/>
    <w:rsid w:val="00DA0DA4"/>
    <w:rPr>
      <w:rFonts w:cs="Times New Roman"/>
      <w:color w:val="0000FF"/>
      <w:u w:val="single"/>
    </w:rPr>
  </w:style>
  <w:style w:type="character" w:customStyle="1" w:styleId="apple-converted-space">
    <w:name w:val="apple-converted-space"/>
    <w:basedOn w:val="DefaultParagraphFont"/>
    <w:uiPriority w:val="99"/>
    <w:rsid w:val="006F1805"/>
    <w:rPr>
      <w:rFonts w:cs="Times New Roman"/>
    </w:rPr>
  </w:style>
  <w:style w:type="paragraph" w:styleId="Header">
    <w:name w:val="header"/>
    <w:basedOn w:val="Normal"/>
    <w:link w:val="HeaderChar"/>
    <w:uiPriority w:val="99"/>
    <w:rsid w:val="00AD2B46"/>
    <w:pPr>
      <w:tabs>
        <w:tab w:val="center" w:pos="4153"/>
        <w:tab w:val="right" w:pos="8306"/>
      </w:tabs>
    </w:pPr>
  </w:style>
  <w:style w:type="character" w:customStyle="1" w:styleId="HeaderChar">
    <w:name w:val="Header Char"/>
    <w:basedOn w:val="DefaultParagraphFont"/>
    <w:link w:val="Header"/>
    <w:uiPriority w:val="99"/>
    <w:locked/>
    <w:rsid w:val="00AD2B46"/>
    <w:rPr>
      <w:sz w:val="24"/>
    </w:rPr>
  </w:style>
  <w:style w:type="paragraph" w:styleId="Footer">
    <w:name w:val="footer"/>
    <w:basedOn w:val="Normal"/>
    <w:link w:val="FooterChar"/>
    <w:uiPriority w:val="99"/>
    <w:rsid w:val="00AD2B46"/>
    <w:pPr>
      <w:tabs>
        <w:tab w:val="center" w:pos="4153"/>
        <w:tab w:val="right" w:pos="8306"/>
      </w:tabs>
    </w:pPr>
  </w:style>
  <w:style w:type="character" w:customStyle="1" w:styleId="FooterChar">
    <w:name w:val="Footer Char"/>
    <w:basedOn w:val="DefaultParagraphFont"/>
    <w:link w:val="Footer"/>
    <w:uiPriority w:val="99"/>
    <w:locked/>
    <w:rsid w:val="00AD2B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21275">
      <w:marLeft w:val="0"/>
      <w:marRight w:val="0"/>
      <w:marTop w:val="0"/>
      <w:marBottom w:val="0"/>
      <w:divBdr>
        <w:top w:val="none" w:sz="0" w:space="0" w:color="auto"/>
        <w:left w:val="none" w:sz="0" w:space="0" w:color="auto"/>
        <w:bottom w:val="none" w:sz="0" w:space="0" w:color="auto"/>
        <w:right w:val="none" w:sz="0" w:space="0" w:color="auto"/>
      </w:divBdr>
    </w:div>
    <w:div w:id="853421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dazharmed1@gmail.com" TargetMode="External"/><Relationship Id="rId13" Type="http://schemas.openxmlformats.org/officeDocument/2006/relationships/hyperlink" Target="https://translate.google.com.eg/translate?hl=ar&amp;sl=en&amp;u=http://www.mayoclinic.org/tests-procedures/rh-factor/basics/definition/prc-20013476&amp;prev=search"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dx.doi.org/10.7537/marsnys100417.09"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ciencepub.net/newyork"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&lt;egyptian hak&gt;</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2017-05-02T16:25:00Z</dcterms:created>
  <dcterms:modified xsi:type="dcterms:W3CDTF">2017-05-02T16:25:00Z</dcterms:modified>
</cp:coreProperties>
</file>