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DA" w:rsidRPr="007D18E0" w:rsidRDefault="00381FDA" w:rsidP="00E75D7F">
      <w:pPr>
        <w:snapToGrid w:val="0"/>
        <w:jc w:val="center"/>
        <w:rPr>
          <w:b/>
          <w:sz w:val="20"/>
          <w:szCs w:val="20"/>
          <w:lang w:eastAsia="zh-CN"/>
        </w:rPr>
      </w:pPr>
      <w:r w:rsidRPr="007D18E0">
        <w:rPr>
          <w:b/>
          <w:sz w:val="20"/>
          <w:szCs w:val="20"/>
        </w:rPr>
        <w:t>Primary Productivity of Owalla Reservoir,</w:t>
      </w:r>
      <w:r w:rsidRPr="007D18E0">
        <w:rPr>
          <w:rFonts w:eastAsia="Calibri"/>
          <w:b/>
          <w:sz w:val="20"/>
          <w:szCs w:val="20"/>
        </w:rPr>
        <w:t xml:space="preserve"> Osun State, Southwest, Nigeria.</w:t>
      </w:r>
    </w:p>
    <w:p w:rsidR="0034636B" w:rsidRPr="007D18E0" w:rsidRDefault="0034636B" w:rsidP="00E75D7F">
      <w:pPr>
        <w:snapToGrid w:val="0"/>
        <w:jc w:val="center"/>
        <w:rPr>
          <w:b/>
          <w:sz w:val="20"/>
          <w:szCs w:val="20"/>
          <w:lang w:eastAsia="zh-CN"/>
        </w:rPr>
      </w:pPr>
    </w:p>
    <w:p w:rsidR="00381FDA" w:rsidRPr="007D18E0" w:rsidRDefault="00381FDA" w:rsidP="00E75D7F">
      <w:pPr>
        <w:snapToGrid w:val="0"/>
        <w:jc w:val="center"/>
        <w:rPr>
          <w:sz w:val="20"/>
          <w:szCs w:val="20"/>
          <w:lang w:eastAsia="zh-CN"/>
        </w:rPr>
      </w:pPr>
      <w:r w:rsidRPr="007D18E0">
        <w:rPr>
          <w:rFonts w:eastAsia="Calibri"/>
          <w:sz w:val="20"/>
          <w:szCs w:val="20"/>
        </w:rPr>
        <w:t>Omoboye, H. Y.* and Adeniyi, I. F.</w:t>
      </w:r>
    </w:p>
    <w:p w:rsidR="0034636B" w:rsidRPr="007D18E0" w:rsidRDefault="0034636B" w:rsidP="00E75D7F">
      <w:pPr>
        <w:snapToGrid w:val="0"/>
        <w:jc w:val="center"/>
        <w:rPr>
          <w:sz w:val="20"/>
          <w:szCs w:val="20"/>
          <w:vertAlign w:val="superscript"/>
          <w:lang w:eastAsia="zh-CN"/>
        </w:rPr>
      </w:pPr>
    </w:p>
    <w:p w:rsidR="00381FDA" w:rsidRPr="007D18E0" w:rsidRDefault="00381FDA" w:rsidP="00E75D7F">
      <w:pPr>
        <w:snapToGrid w:val="0"/>
        <w:jc w:val="center"/>
        <w:rPr>
          <w:rFonts w:eastAsia="Calibri"/>
          <w:sz w:val="20"/>
          <w:szCs w:val="20"/>
        </w:rPr>
      </w:pPr>
      <w:r w:rsidRPr="007D18E0">
        <w:rPr>
          <w:rFonts w:eastAsia="Calibri"/>
          <w:sz w:val="20"/>
          <w:szCs w:val="20"/>
        </w:rPr>
        <w:t>Zoology Department, Obafemi Awolowo University, Ile-Ife, Osun State, Nigeria.</w:t>
      </w:r>
    </w:p>
    <w:p w:rsidR="00381FDA" w:rsidRPr="007D18E0" w:rsidRDefault="00381FDA" w:rsidP="00E75D7F">
      <w:pPr>
        <w:snapToGrid w:val="0"/>
        <w:jc w:val="center"/>
        <w:rPr>
          <w:rFonts w:hint="eastAsia"/>
          <w:sz w:val="20"/>
          <w:szCs w:val="20"/>
          <w:lang w:eastAsia="zh-CN"/>
        </w:rPr>
      </w:pPr>
      <w:r w:rsidRPr="007D18E0">
        <w:rPr>
          <w:sz w:val="20"/>
          <w:szCs w:val="20"/>
        </w:rPr>
        <w:t xml:space="preserve">*Correspondent: </w:t>
      </w:r>
      <w:hyperlink r:id="rId7" w:history="1">
        <w:r w:rsidRPr="007D18E0">
          <w:rPr>
            <w:rStyle w:val="Hyperlink"/>
            <w:color w:val="auto"/>
            <w:sz w:val="20"/>
            <w:szCs w:val="20"/>
            <w:u w:val="none"/>
          </w:rPr>
          <w:t>yettyabioye@yahoo.com</w:t>
        </w:r>
      </w:hyperlink>
      <w:r w:rsidRPr="007D18E0">
        <w:rPr>
          <w:sz w:val="20"/>
          <w:szCs w:val="20"/>
        </w:rPr>
        <w:t xml:space="preserve">, </w:t>
      </w:r>
      <w:hyperlink r:id="rId8" w:history="1">
        <w:r w:rsidR="007D18E0" w:rsidRPr="007D18E0">
          <w:rPr>
            <w:rStyle w:val="Hyperlink"/>
            <w:sz w:val="20"/>
            <w:szCs w:val="20"/>
          </w:rPr>
          <w:t>helenabioye@gmail.com</w:t>
        </w:r>
      </w:hyperlink>
      <w:r w:rsidR="007D18E0" w:rsidRPr="007D18E0">
        <w:rPr>
          <w:rFonts w:hint="eastAsia"/>
          <w:sz w:val="20"/>
          <w:szCs w:val="20"/>
          <w:lang w:eastAsia="zh-CN"/>
        </w:rPr>
        <w:t xml:space="preserve"> </w:t>
      </w:r>
    </w:p>
    <w:p w:rsidR="00381FDA" w:rsidRPr="007D18E0" w:rsidRDefault="00381FDA" w:rsidP="00E75D7F">
      <w:pPr>
        <w:snapToGrid w:val="0"/>
        <w:jc w:val="center"/>
        <w:rPr>
          <w:sz w:val="20"/>
          <w:szCs w:val="20"/>
        </w:rPr>
      </w:pPr>
    </w:p>
    <w:p w:rsidR="00381FDA" w:rsidRPr="007D18E0" w:rsidRDefault="00381FDA" w:rsidP="00E75D7F">
      <w:pPr>
        <w:snapToGrid w:val="0"/>
        <w:jc w:val="both"/>
        <w:rPr>
          <w:sz w:val="20"/>
          <w:szCs w:val="20"/>
          <w:lang w:eastAsia="zh-CN"/>
        </w:rPr>
      </w:pPr>
      <w:r w:rsidRPr="007D18E0">
        <w:rPr>
          <w:b/>
          <w:sz w:val="20"/>
          <w:szCs w:val="20"/>
        </w:rPr>
        <w:t>Abstract</w:t>
      </w:r>
      <w:r w:rsidR="00F96D8C" w:rsidRPr="007D18E0">
        <w:rPr>
          <w:rFonts w:hint="eastAsia"/>
          <w:b/>
          <w:sz w:val="20"/>
          <w:szCs w:val="20"/>
          <w:lang w:eastAsia="zh-CN"/>
        </w:rPr>
        <w:t xml:space="preserve">: </w:t>
      </w:r>
      <w:r w:rsidRPr="007D18E0">
        <w:rPr>
          <w:sz w:val="20"/>
          <w:szCs w:val="20"/>
          <w:lang w:val="af-ZA"/>
        </w:rPr>
        <w:t xml:space="preserve">This study investigated primary productivity of Owalla Reservoir, Osun State, Nigeria. This was with a view to providing relevant information on the primary productivity of the reservoir. </w:t>
      </w:r>
      <w:r w:rsidRPr="007D18E0">
        <w:rPr>
          <w:sz w:val="20"/>
          <w:szCs w:val="20"/>
        </w:rPr>
        <w:t xml:space="preserve">Sampling period covered rainy and dry seasons. Seven Sampling stations were selected on the reservoir for this study (designated 1, 2, 2 3, 4, 5, 6 and 7). At Stations 1 and 3, only surface water samples were collected for primary productivity while water samples were collected from three levels of water column (surface, mid-depth and close to the bottom) of the reservoir at other stations (Stations 2, 4, 5, 6, and 7). Primary productivity was determined using Oxygen Method. The data obtained were subjected to appropriate statistical analysis. The gross primary productivity of Owalla Reservoir during the study period ranged from 17.28 to 126.72 </w:t>
      </w:r>
      <w:r w:rsidRPr="007D18E0">
        <w:rPr>
          <w:sz w:val="20"/>
          <w:szCs w:val="20"/>
          <w:lang w:val="af-ZA"/>
        </w:rPr>
        <w:t>KCal</w:t>
      </w:r>
      <w:r w:rsidRPr="007D18E0">
        <w:rPr>
          <w:sz w:val="20"/>
          <w:szCs w:val="20"/>
        </w:rPr>
        <w:t>/M</w:t>
      </w:r>
      <w:r w:rsidRPr="007D18E0">
        <w:rPr>
          <w:sz w:val="20"/>
          <w:szCs w:val="20"/>
          <w:vertAlign w:val="superscript"/>
        </w:rPr>
        <w:t>3</w:t>
      </w:r>
      <w:r w:rsidRPr="007D18E0">
        <w:rPr>
          <w:sz w:val="20"/>
          <w:szCs w:val="20"/>
        </w:rPr>
        <w:t xml:space="preserve">/day. The respiration of Owalla Reservoir during the study period ranged from 1.73 to 103.68 </w:t>
      </w:r>
      <w:r w:rsidRPr="007D18E0">
        <w:rPr>
          <w:sz w:val="20"/>
          <w:szCs w:val="20"/>
          <w:lang w:val="af-ZA"/>
        </w:rPr>
        <w:t>KCal</w:t>
      </w:r>
      <w:r w:rsidRPr="007D18E0">
        <w:rPr>
          <w:sz w:val="20"/>
          <w:szCs w:val="20"/>
        </w:rPr>
        <w:t>/M</w:t>
      </w:r>
      <w:r w:rsidRPr="007D18E0">
        <w:rPr>
          <w:sz w:val="20"/>
          <w:szCs w:val="20"/>
          <w:vertAlign w:val="superscript"/>
        </w:rPr>
        <w:t>3</w:t>
      </w:r>
      <w:r w:rsidRPr="007D18E0">
        <w:rPr>
          <w:sz w:val="20"/>
          <w:szCs w:val="20"/>
        </w:rPr>
        <w:t>/day while</w:t>
      </w:r>
      <w:r w:rsidRPr="007D18E0">
        <w:rPr>
          <w:sz w:val="20"/>
          <w:szCs w:val="20"/>
          <w:lang w:val="af-ZA"/>
        </w:rPr>
        <w:t xml:space="preserve"> the net primary productivity of Owalla Reservoir during the study period was in the range of 4.90 - </w:t>
      </w:r>
      <w:r w:rsidRPr="007D18E0">
        <w:rPr>
          <w:sz w:val="20"/>
          <w:szCs w:val="20"/>
        </w:rPr>
        <w:t>45.22</w:t>
      </w:r>
      <w:r w:rsidRPr="007D18E0">
        <w:rPr>
          <w:sz w:val="20"/>
          <w:szCs w:val="20"/>
          <w:lang w:val="af-ZA"/>
        </w:rPr>
        <w:t xml:space="preserve"> KCal</w:t>
      </w:r>
      <w:r w:rsidRPr="007D18E0">
        <w:rPr>
          <w:sz w:val="20"/>
          <w:szCs w:val="20"/>
        </w:rPr>
        <w:t>/M</w:t>
      </w:r>
      <w:r w:rsidRPr="007D18E0">
        <w:rPr>
          <w:sz w:val="20"/>
          <w:szCs w:val="20"/>
          <w:vertAlign w:val="superscript"/>
        </w:rPr>
        <w:t>3</w:t>
      </w:r>
      <w:r w:rsidRPr="007D18E0">
        <w:rPr>
          <w:sz w:val="20"/>
          <w:szCs w:val="20"/>
        </w:rPr>
        <w:t>/day. Net productivity accounted for 34.7% of the Gross Productivity. Respiration accounted for 65.3% of the Gross Productivity. The mean value of the net productivity of the reservoir decreased vertically from surface to the bottom. The mean respiration decreased towards the dam site while the vertical variation generally showed decrease vertically from the surface level to the bottom of the reservoir (P≤0.05). Gross primary productivity decreased down the reservoir column from the surface to the bottom and there was very highly significant difference (P≤0.001) in mean value at the three vertical depths. The reservoir can be classified as oligotrophic based on its primary productivity level. However, the lake should be subjected to regular proper monitoring.</w:t>
      </w:r>
    </w:p>
    <w:p w:rsidR="00F96D8C" w:rsidRPr="007D18E0" w:rsidRDefault="00F96D8C" w:rsidP="00E75D7F">
      <w:pPr>
        <w:snapToGrid w:val="0"/>
        <w:jc w:val="both"/>
        <w:rPr>
          <w:sz w:val="20"/>
          <w:szCs w:val="20"/>
        </w:rPr>
      </w:pPr>
      <w:r w:rsidRPr="007D18E0">
        <w:rPr>
          <w:bCs/>
          <w:sz w:val="20"/>
          <w:szCs w:val="20"/>
        </w:rPr>
        <w:t>[</w:t>
      </w:r>
      <w:r w:rsidRPr="007D18E0">
        <w:rPr>
          <w:rFonts w:eastAsia="Calibri"/>
          <w:sz w:val="20"/>
          <w:szCs w:val="20"/>
        </w:rPr>
        <w:t>Omoboye, H. Y. and Adeniyi, I. F</w:t>
      </w:r>
      <w:r w:rsidRPr="007D18E0">
        <w:rPr>
          <w:sz w:val="20"/>
          <w:szCs w:val="20"/>
        </w:rPr>
        <w:t>.</w:t>
      </w:r>
      <w:r w:rsidRPr="007D18E0">
        <w:rPr>
          <w:rFonts w:eastAsiaTheme="minorEastAsia" w:hint="eastAsia"/>
          <w:b/>
          <w:bCs/>
          <w:sz w:val="20"/>
          <w:szCs w:val="20"/>
          <w:lang w:bidi="fa-IR"/>
        </w:rPr>
        <w:t xml:space="preserve"> </w:t>
      </w:r>
      <w:r w:rsidRPr="007D18E0">
        <w:rPr>
          <w:b/>
          <w:sz w:val="20"/>
          <w:szCs w:val="20"/>
        </w:rPr>
        <w:t>Primary Productivity of Owalla Reservoir,</w:t>
      </w:r>
      <w:r w:rsidRPr="007D18E0">
        <w:rPr>
          <w:rFonts w:eastAsia="Calibri"/>
          <w:b/>
          <w:sz w:val="20"/>
          <w:szCs w:val="20"/>
        </w:rPr>
        <w:t xml:space="preserve"> Osun State, Southwest, Nigeria</w:t>
      </w:r>
      <w:r w:rsidRPr="007D18E0">
        <w:rPr>
          <w:rFonts w:eastAsia="Times New Roman"/>
          <w:b/>
          <w:bCs/>
          <w:sz w:val="20"/>
          <w:szCs w:val="20"/>
          <w:lang w:bidi="fa-IR"/>
        </w:rPr>
        <w:t>.</w:t>
      </w:r>
      <w:r w:rsidRPr="007D18E0">
        <w:rPr>
          <w:bCs/>
          <w:i/>
          <w:sz w:val="20"/>
          <w:szCs w:val="20"/>
        </w:rPr>
        <w:t xml:space="preserve"> N Y Sci J</w:t>
      </w:r>
      <w:r w:rsidRPr="007D18E0">
        <w:rPr>
          <w:bCs/>
          <w:sz w:val="20"/>
          <w:szCs w:val="20"/>
        </w:rPr>
        <w:t xml:space="preserve"> </w:t>
      </w:r>
      <w:r w:rsidRPr="007D18E0">
        <w:rPr>
          <w:sz w:val="20"/>
          <w:szCs w:val="20"/>
        </w:rPr>
        <w:t>201</w:t>
      </w:r>
      <w:r w:rsidRPr="007D18E0">
        <w:rPr>
          <w:rFonts w:hint="eastAsia"/>
          <w:sz w:val="20"/>
          <w:szCs w:val="20"/>
        </w:rPr>
        <w:t>7</w:t>
      </w:r>
      <w:r w:rsidRPr="007D18E0">
        <w:rPr>
          <w:sz w:val="20"/>
          <w:szCs w:val="20"/>
        </w:rPr>
        <w:t>;</w:t>
      </w:r>
      <w:r w:rsidRPr="007D18E0">
        <w:rPr>
          <w:rFonts w:hint="eastAsia"/>
          <w:sz w:val="20"/>
          <w:szCs w:val="20"/>
        </w:rPr>
        <w:t>10</w:t>
      </w:r>
      <w:r w:rsidRPr="007D18E0">
        <w:rPr>
          <w:sz w:val="20"/>
          <w:szCs w:val="20"/>
        </w:rPr>
        <w:t>(</w:t>
      </w:r>
      <w:r w:rsidRPr="007D18E0">
        <w:rPr>
          <w:rFonts w:hint="eastAsia"/>
          <w:sz w:val="20"/>
          <w:szCs w:val="20"/>
        </w:rPr>
        <w:t>4</w:t>
      </w:r>
      <w:r w:rsidRPr="007D18E0">
        <w:rPr>
          <w:sz w:val="20"/>
          <w:szCs w:val="20"/>
        </w:rPr>
        <w:t>):</w:t>
      </w:r>
      <w:r w:rsidR="00542FF0" w:rsidRPr="007D18E0">
        <w:rPr>
          <w:noProof/>
          <w:color w:val="000000"/>
          <w:sz w:val="20"/>
          <w:szCs w:val="20"/>
        </w:rPr>
        <w:t>87</w:t>
      </w:r>
      <w:r w:rsidRPr="007D18E0">
        <w:rPr>
          <w:color w:val="000000"/>
          <w:sz w:val="20"/>
          <w:szCs w:val="20"/>
        </w:rPr>
        <w:t>-</w:t>
      </w:r>
      <w:r w:rsidR="00542FF0" w:rsidRPr="007D18E0">
        <w:rPr>
          <w:noProof/>
          <w:color w:val="000000"/>
          <w:sz w:val="20"/>
          <w:szCs w:val="20"/>
        </w:rPr>
        <w:t>93</w:t>
      </w:r>
      <w:r w:rsidRPr="007D18E0">
        <w:rPr>
          <w:sz w:val="20"/>
          <w:szCs w:val="20"/>
        </w:rPr>
        <w:t xml:space="preserve">]. </w:t>
      </w:r>
      <w:r w:rsidRPr="007D18E0">
        <w:rPr>
          <w:iCs/>
          <w:color w:val="000000"/>
          <w:sz w:val="20"/>
          <w:szCs w:val="20"/>
        </w:rPr>
        <w:t>ISSN 1554-0200 (print); ISSN 2375-723X (online)</w:t>
      </w:r>
      <w:r w:rsidRPr="007D18E0">
        <w:rPr>
          <w:sz w:val="20"/>
          <w:szCs w:val="20"/>
        </w:rPr>
        <w:t xml:space="preserve">. </w:t>
      </w:r>
      <w:hyperlink r:id="rId9" w:history="1">
        <w:r w:rsidRPr="007D18E0">
          <w:rPr>
            <w:rStyle w:val="Hyperlink"/>
            <w:sz w:val="20"/>
            <w:szCs w:val="20"/>
          </w:rPr>
          <w:t>http://www.sciencepub.net/newyork</w:t>
        </w:r>
      </w:hyperlink>
      <w:r w:rsidRPr="007D18E0">
        <w:rPr>
          <w:sz w:val="20"/>
          <w:szCs w:val="20"/>
        </w:rPr>
        <w:t>.</w:t>
      </w:r>
      <w:r w:rsidRPr="007D18E0">
        <w:rPr>
          <w:rFonts w:hint="eastAsia"/>
          <w:sz w:val="20"/>
          <w:szCs w:val="20"/>
          <w:lang w:eastAsia="zh-CN"/>
        </w:rPr>
        <w:t>12</w:t>
      </w:r>
      <w:r w:rsidRPr="007D18E0">
        <w:rPr>
          <w:rFonts w:hint="eastAsia"/>
          <w:sz w:val="20"/>
          <w:szCs w:val="20"/>
        </w:rPr>
        <w:t xml:space="preserve">. </w:t>
      </w:r>
      <w:r w:rsidRPr="007D18E0">
        <w:rPr>
          <w:color w:val="000000"/>
          <w:sz w:val="20"/>
          <w:szCs w:val="20"/>
          <w:shd w:val="clear" w:color="auto" w:fill="FFFFFF"/>
        </w:rPr>
        <w:t>doi:</w:t>
      </w:r>
      <w:hyperlink r:id="rId10" w:history="1">
        <w:r w:rsidRPr="007D18E0">
          <w:rPr>
            <w:rStyle w:val="Hyperlink"/>
            <w:sz w:val="20"/>
            <w:szCs w:val="20"/>
            <w:shd w:val="clear" w:color="auto" w:fill="FFFFFF"/>
          </w:rPr>
          <w:t>10.7537/mars</w:t>
        </w:r>
        <w:r w:rsidRPr="007D18E0">
          <w:rPr>
            <w:rStyle w:val="Hyperlink"/>
            <w:rFonts w:hint="eastAsia"/>
            <w:sz w:val="20"/>
            <w:szCs w:val="20"/>
            <w:shd w:val="clear" w:color="auto" w:fill="FFFFFF"/>
          </w:rPr>
          <w:t>nys100417.</w:t>
        </w:r>
        <w:r w:rsidRPr="007D18E0">
          <w:rPr>
            <w:rStyle w:val="Hyperlink"/>
            <w:rFonts w:hint="eastAsia"/>
            <w:sz w:val="20"/>
            <w:szCs w:val="20"/>
            <w:shd w:val="clear" w:color="auto" w:fill="FFFFFF"/>
            <w:lang w:eastAsia="zh-CN"/>
          </w:rPr>
          <w:t>12</w:t>
        </w:r>
      </w:hyperlink>
      <w:r w:rsidRPr="007D18E0">
        <w:rPr>
          <w:color w:val="000000"/>
          <w:sz w:val="20"/>
          <w:szCs w:val="20"/>
          <w:shd w:val="clear" w:color="auto" w:fill="FFFFFF"/>
        </w:rPr>
        <w:t>.</w:t>
      </w:r>
    </w:p>
    <w:p w:rsidR="00F96D8C" w:rsidRPr="007D18E0" w:rsidRDefault="00F96D8C" w:rsidP="00E75D7F">
      <w:pPr>
        <w:snapToGrid w:val="0"/>
        <w:jc w:val="both"/>
        <w:rPr>
          <w:sz w:val="20"/>
          <w:szCs w:val="20"/>
          <w:lang w:eastAsia="zh-CN"/>
        </w:rPr>
      </w:pPr>
    </w:p>
    <w:p w:rsidR="00381FDA" w:rsidRPr="007D18E0" w:rsidRDefault="00381FDA" w:rsidP="00E75D7F">
      <w:pPr>
        <w:snapToGrid w:val="0"/>
        <w:jc w:val="both"/>
        <w:rPr>
          <w:sz w:val="20"/>
          <w:szCs w:val="20"/>
        </w:rPr>
      </w:pPr>
      <w:r w:rsidRPr="007D18E0">
        <w:rPr>
          <w:b/>
          <w:sz w:val="20"/>
          <w:szCs w:val="20"/>
          <w:lang w:val="af-ZA"/>
        </w:rPr>
        <w:t>Keywords</w:t>
      </w:r>
      <w:r w:rsidRPr="007D18E0">
        <w:rPr>
          <w:sz w:val="20"/>
          <w:szCs w:val="20"/>
          <w:lang w:val="af-ZA"/>
        </w:rPr>
        <w:t>: Primary productivity, Respiration, Oligotrophic, Owalla Reservoir.</w:t>
      </w:r>
    </w:p>
    <w:p w:rsidR="00E75D7F" w:rsidRPr="007D18E0" w:rsidRDefault="00E75D7F" w:rsidP="00E75D7F">
      <w:pPr>
        <w:snapToGrid w:val="0"/>
        <w:jc w:val="both"/>
        <w:rPr>
          <w:b/>
          <w:color w:val="FF0000"/>
          <w:sz w:val="20"/>
          <w:szCs w:val="20"/>
        </w:rPr>
      </w:pPr>
    </w:p>
    <w:p w:rsidR="00E75D7F" w:rsidRPr="007D18E0" w:rsidRDefault="00E75D7F" w:rsidP="00E75D7F">
      <w:pPr>
        <w:snapToGrid w:val="0"/>
        <w:jc w:val="both"/>
        <w:rPr>
          <w:b/>
          <w:color w:val="FF0000"/>
          <w:sz w:val="20"/>
          <w:szCs w:val="20"/>
        </w:rPr>
        <w:sectPr w:rsidR="00E75D7F" w:rsidRPr="007D18E0" w:rsidSect="00542FF0">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7"/>
          <w:cols w:space="720"/>
          <w:docGrid w:linePitch="360"/>
        </w:sectPr>
      </w:pPr>
    </w:p>
    <w:p w:rsidR="009A534F" w:rsidRPr="007D18E0" w:rsidRDefault="009A534F" w:rsidP="00E75D7F">
      <w:pPr>
        <w:snapToGrid w:val="0"/>
        <w:jc w:val="both"/>
        <w:rPr>
          <w:b/>
          <w:sz w:val="20"/>
          <w:szCs w:val="20"/>
        </w:rPr>
      </w:pPr>
      <w:r w:rsidRPr="007D18E0">
        <w:rPr>
          <w:b/>
          <w:sz w:val="20"/>
          <w:szCs w:val="20"/>
        </w:rPr>
        <w:lastRenderedPageBreak/>
        <w:t>1. Introduction</w:t>
      </w:r>
    </w:p>
    <w:p w:rsidR="009A534F" w:rsidRPr="007D18E0" w:rsidRDefault="009A534F" w:rsidP="00E75D7F">
      <w:pPr>
        <w:snapToGrid w:val="0"/>
        <w:ind w:firstLine="425"/>
        <w:jc w:val="both"/>
        <w:rPr>
          <w:sz w:val="20"/>
          <w:szCs w:val="20"/>
          <w:lang w:eastAsia="en-GB"/>
        </w:rPr>
      </w:pPr>
      <w:r w:rsidRPr="007D18E0">
        <w:rPr>
          <w:sz w:val="20"/>
          <w:szCs w:val="20"/>
        </w:rPr>
        <w:t>This work involved water sampling of Owalla Reservoir over the two seasons of the year, the analysis of the water samples for determining the primary productivity of the reservoir. Primary production is the manufacture of organic compounds from atmospheric or aquatic carbon (IV) oxide, principally through the process of photosynthesis, with chemosynthesis being much less important (Global Change, 2008).</w:t>
      </w:r>
      <w:r w:rsidRPr="007D18E0">
        <w:rPr>
          <w:sz w:val="20"/>
          <w:szCs w:val="20"/>
          <w:lang w:eastAsia="en-GB"/>
        </w:rPr>
        <w:t xml:space="preserve"> </w:t>
      </w:r>
      <w:r w:rsidRPr="007D18E0">
        <w:rPr>
          <w:sz w:val="20"/>
          <w:szCs w:val="20"/>
        </w:rPr>
        <w:t xml:space="preserve">The flow of energy through any ecosystem starts with the fixation of sunlight by plants and other </w:t>
      </w:r>
      <w:r w:rsidRPr="007D18E0">
        <w:rPr>
          <w:bCs/>
          <w:sz w:val="20"/>
          <w:szCs w:val="20"/>
        </w:rPr>
        <w:t>autotrophic</w:t>
      </w:r>
      <w:r w:rsidRPr="007D18E0">
        <w:rPr>
          <w:sz w:val="20"/>
          <w:szCs w:val="20"/>
        </w:rPr>
        <w:t xml:space="preserve"> organisms. In this way the plant accumulates energy and this energy is called </w:t>
      </w:r>
      <w:r w:rsidRPr="007D18E0">
        <w:rPr>
          <w:bCs/>
          <w:sz w:val="20"/>
          <w:szCs w:val="20"/>
        </w:rPr>
        <w:t>primary production</w:t>
      </w:r>
      <w:r w:rsidRPr="007D18E0">
        <w:rPr>
          <w:sz w:val="20"/>
          <w:szCs w:val="20"/>
        </w:rPr>
        <w:t xml:space="preserve">. The rate at which this energy accumulates is called </w:t>
      </w:r>
      <w:r w:rsidRPr="007D18E0">
        <w:rPr>
          <w:bCs/>
          <w:sz w:val="20"/>
          <w:szCs w:val="20"/>
        </w:rPr>
        <w:t>primary productivity</w:t>
      </w:r>
      <w:r w:rsidRPr="007D18E0">
        <w:rPr>
          <w:sz w:val="20"/>
          <w:szCs w:val="20"/>
        </w:rPr>
        <w:t xml:space="preserve">. The total energy accumulated is </w:t>
      </w:r>
      <w:r w:rsidRPr="007D18E0">
        <w:rPr>
          <w:bCs/>
          <w:sz w:val="20"/>
          <w:szCs w:val="20"/>
        </w:rPr>
        <w:t>gross primary production</w:t>
      </w:r>
      <w:r w:rsidRPr="007D18E0">
        <w:rPr>
          <w:sz w:val="20"/>
          <w:szCs w:val="20"/>
        </w:rPr>
        <w:t xml:space="preserve">, however, since plants use some of this energy themselves, it is not all available for the food web. The difference between what is accumulated and what is available for the food web is called </w:t>
      </w:r>
      <w:r w:rsidRPr="007D18E0">
        <w:rPr>
          <w:bCs/>
          <w:sz w:val="20"/>
          <w:szCs w:val="20"/>
        </w:rPr>
        <w:t>net primary production.</w:t>
      </w:r>
      <w:r w:rsidRPr="007D18E0">
        <w:rPr>
          <w:sz w:val="20"/>
          <w:szCs w:val="20"/>
        </w:rPr>
        <w:t xml:space="preserve"> </w:t>
      </w:r>
      <w:r w:rsidRPr="007D18E0">
        <w:rPr>
          <w:sz w:val="20"/>
          <w:szCs w:val="20"/>
          <w:lang w:eastAsia="en-GB"/>
        </w:rPr>
        <w:t>Planktonic productivity and respiration can be separated from overall community activity by the use of the light-and-dark bottle oxygen technique (Hall, 1972; Nixon, 1974).</w:t>
      </w:r>
      <w:r w:rsidRPr="007D18E0">
        <w:rPr>
          <w:rFonts w:eastAsia="Calibri"/>
          <w:sz w:val="20"/>
          <w:szCs w:val="20"/>
        </w:rPr>
        <w:t xml:space="preserve"> </w:t>
      </w:r>
      <w:r w:rsidRPr="007D18E0">
        <w:rPr>
          <w:sz w:val="20"/>
          <w:szCs w:val="20"/>
          <w:lang w:eastAsia="en-GB"/>
        </w:rPr>
        <w:t xml:space="preserve">The primary productivity of a water body is the manifestation of its biological production. It is an ultimate outcome of </w:t>
      </w:r>
      <w:r w:rsidRPr="007D18E0">
        <w:rPr>
          <w:sz w:val="20"/>
          <w:szCs w:val="20"/>
          <w:lang w:eastAsia="en-GB"/>
        </w:rPr>
        <w:lastRenderedPageBreak/>
        <w:t xml:space="preserve">photosynthesis that forms the basis of ecosystem functioning since it makes the chemical energy and organic matter available to the entire biological community. The chlorophyll bearing organisms utilize solar energy and convert it into chemical energy in the form of carbohydrate molecules by taking carbon dioxide and water from the environment (Patra, 1985). All freshwater ecosystems (lakes, rivers, ponds, streams, wetlands) are home to various life forms, often collectively referred to as the food chain or food web. Therefore, the numbers and variety of living organisms in a freshwater food web are dependent on the </w:t>
      </w:r>
      <w:r w:rsidRPr="007D18E0">
        <w:rPr>
          <w:bCs/>
          <w:sz w:val="20"/>
          <w:szCs w:val="20"/>
          <w:lang w:eastAsia="en-GB"/>
        </w:rPr>
        <w:t>productivity</w:t>
      </w:r>
      <w:r w:rsidRPr="007D18E0">
        <w:rPr>
          <w:sz w:val="20"/>
          <w:szCs w:val="20"/>
          <w:lang w:eastAsia="en-GB"/>
        </w:rPr>
        <w:t xml:space="preserve"> of the ecosystem. Of course, the available energy is constantly changing with daily and seasonal cycles, and the raw materials are continuously cycling (water cycle, carbon cycle, nitrogen cycle, phosphorus cycle) through and within the ecosystem. These fluctuations also help to determine the shorter-term productivity of the system. The greater the primary production within an ecosystem, the more living biomass that can be supported within the food web. This work was conducted to study the spatial and seasonal changes in </w:t>
      </w:r>
      <w:r w:rsidRPr="007D18E0">
        <w:rPr>
          <w:sz w:val="20"/>
          <w:szCs w:val="20"/>
        </w:rPr>
        <w:t>primary photosynthetic productivity of Owalla Reservoir.</w:t>
      </w:r>
    </w:p>
    <w:p w:rsidR="00EB51F4" w:rsidRPr="007D18E0" w:rsidRDefault="00EB51F4" w:rsidP="00E75D7F">
      <w:pPr>
        <w:snapToGrid w:val="0"/>
        <w:jc w:val="both"/>
        <w:rPr>
          <w:b/>
          <w:sz w:val="20"/>
          <w:szCs w:val="20"/>
        </w:rPr>
      </w:pPr>
    </w:p>
    <w:p w:rsidR="00471E57" w:rsidRPr="007D18E0" w:rsidRDefault="00471E57" w:rsidP="00E75D7F">
      <w:pPr>
        <w:snapToGrid w:val="0"/>
        <w:jc w:val="both"/>
        <w:rPr>
          <w:b/>
          <w:color w:val="FF0000"/>
          <w:sz w:val="20"/>
          <w:szCs w:val="20"/>
        </w:rPr>
      </w:pPr>
      <w:r w:rsidRPr="007D18E0">
        <w:rPr>
          <w:b/>
          <w:sz w:val="20"/>
          <w:szCs w:val="20"/>
        </w:rPr>
        <w:lastRenderedPageBreak/>
        <w:t>2. Material and Methods</w:t>
      </w:r>
    </w:p>
    <w:p w:rsidR="009A534F" w:rsidRPr="007D18E0" w:rsidRDefault="009A534F" w:rsidP="00E75D7F">
      <w:pPr>
        <w:snapToGrid w:val="0"/>
        <w:jc w:val="both"/>
        <w:rPr>
          <w:b/>
          <w:sz w:val="20"/>
          <w:szCs w:val="20"/>
        </w:rPr>
      </w:pPr>
      <w:r w:rsidRPr="007D18E0">
        <w:rPr>
          <w:b/>
          <w:sz w:val="20"/>
          <w:szCs w:val="20"/>
        </w:rPr>
        <w:t>2.1. Study Area</w:t>
      </w:r>
    </w:p>
    <w:p w:rsidR="009A534F" w:rsidRPr="007D18E0" w:rsidRDefault="009A534F" w:rsidP="00E75D7F">
      <w:pPr>
        <w:snapToGrid w:val="0"/>
        <w:ind w:firstLine="425"/>
        <w:jc w:val="both"/>
        <w:rPr>
          <w:sz w:val="20"/>
          <w:szCs w:val="20"/>
        </w:rPr>
      </w:pPr>
      <w:r w:rsidRPr="007D18E0">
        <w:rPr>
          <w:sz w:val="20"/>
          <w:szCs w:val="20"/>
        </w:rPr>
        <w:t>The investigated water body is Owalla Reservoir (Figure 1) which is one of the largest surface water bodies in Osun State and one of the largest water bodies in South West Nigeria. The reservoir is located in Irepodun Local Government Area of Osun State within Latitudes 07</w:t>
      </w:r>
      <w:r w:rsidRPr="007D18E0">
        <w:rPr>
          <w:sz w:val="20"/>
          <w:szCs w:val="20"/>
          <w:vertAlign w:val="superscript"/>
        </w:rPr>
        <w:t>o</w:t>
      </w:r>
      <w:r w:rsidRPr="007D18E0">
        <w:rPr>
          <w:sz w:val="20"/>
          <w:szCs w:val="20"/>
        </w:rPr>
        <w:t>55</w:t>
      </w:r>
      <w:r w:rsidRPr="007D18E0">
        <w:rPr>
          <w:sz w:val="20"/>
          <w:szCs w:val="20"/>
          <w:vertAlign w:val="superscript"/>
        </w:rPr>
        <w:t xml:space="preserve">1 </w:t>
      </w:r>
      <w:r w:rsidRPr="007D18E0">
        <w:rPr>
          <w:sz w:val="20"/>
          <w:szCs w:val="20"/>
        </w:rPr>
        <w:t>N – 07</w:t>
      </w:r>
      <w:r w:rsidRPr="007D18E0">
        <w:rPr>
          <w:sz w:val="20"/>
          <w:szCs w:val="20"/>
          <w:vertAlign w:val="superscript"/>
        </w:rPr>
        <w:t>o</w:t>
      </w:r>
      <w:r w:rsidRPr="007D18E0">
        <w:rPr>
          <w:sz w:val="20"/>
          <w:szCs w:val="20"/>
        </w:rPr>
        <w:t>60</w:t>
      </w:r>
      <w:r w:rsidRPr="007D18E0">
        <w:rPr>
          <w:sz w:val="20"/>
          <w:szCs w:val="20"/>
          <w:vertAlign w:val="superscript"/>
        </w:rPr>
        <w:t xml:space="preserve">1 </w:t>
      </w:r>
      <w:r w:rsidRPr="007D18E0">
        <w:rPr>
          <w:sz w:val="20"/>
          <w:szCs w:val="20"/>
        </w:rPr>
        <w:t>N and Longitudes 004</w:t>
      </w:r>
      <w:r w:rsidRPr="007D18E0">
        <w:rPr>
          <w:sz w:val="20"/>
          <w:szCs w:val="20"/>
          <w:vertAlign w:val="superscript"/>
        </w:rPr>
        <w:t>o</w:t>
      </w:r>
      <w:r w:rsidRPr="007D18E0">
        <w:rPr>
          <w:sz w:val="20"/>
          <w:szCs w:val="20"/>
        </w:rPr>
        <w:t>30</w:t>
      </w:r>
      <w:r w:rsidRPr="007D18E0">
        <w:rPr>
          <w:sz w:val="20"/>
          <w:szCs w:val="20"/>
          <w:vertAlign w:val="superscript"/>
        </w:rPr>
        <w:t xml:space="preserve">1 </w:t>
      </w:r>
      <w:r w:rsidRPr="007D18E0">
        <w:rPr>
          <w:sz w:val="20"/>
          <w:szCs w:val="20"/>
        </w:rPr>
        <w:t>E – 004</w:t>
      </w:r>
      <w:r w:rsidRPr="007D18E0">
        <w:rPr>
          <w:sz w:val="20"/>
          <w:szCs w:val="20"/>
          <w:vertAlign w:val="superscript"/>
        </w:rPr>
        <w:t xml:space="preserve">o </w:t>
      </w:r>
      <w:r w:rsidRPr="007D18E0">
        <w:rPr>
          <w:sz w:val="20"/>
          <w:szCs w:val="20"/>
        </w:rPr>
        <w:t>35</w:t>
      </w:r>
      <w:r w:rsidRPr="007D18E0">
        <w:rPr>
          <w:sz w:val="20"/>
          <w:szCs w:val="20"/>
          <w:vertAlign w:val="superscript"/>
        </w:rPr>
        <w:t>1</w:t>
      </w:r>
      <w:r w:rsidRPr="007D18E0">
        <w:rPr>
          <w:sz w:val="20"/>
          <w:szCs w:val="20"/>
        </w:rPr>
        <w:t>E with a surface area of 12km</w:t>
      </w:r>
      <w:r w:rsidRPr="007D18E0">
        <w:rPr>
          <w:sz w:val="20"/>
          <w:szCs w:val="20"/>
          <w:vertAlign w:val="superscript"/>
        </w:rPr>
        <w:t xml:space="preserve">2 </w:t>
      </w:r>
      <w:r w:rsidRPr="007D18E0">
        <w:rPr>
          <w:sz w:val="20"/>
          <w:szCs w:val="20"/>
        </w:rPr>
        <w:t xml:space="preserve">(1200 ha). It is located about 17 km upstream of the </w:t>
      </w:r>
      <w:r w:rsidRPr="007D18E0">
        <w:rPr>
          <w:sz w:val="20"/>
          <w:szCs w:val="20"/>
        </w:rPr>
        <w:lastRenderedPageBreak/>
        <w:t>existing Erinle/Ede reservoir. The reservoir was formed in 1989 as an impoundment of the River Erinle within the Osun River sub basin of the Ogun Osun River Basin of Nigeria. It is part of the water bodies impounded by the old Oyo State (now Oyo and Osun States) for the purpose of water storage to supply water to</w:t>
      </w:r>
      <w:r w:rsidRPr="007D18E0">
        <w:rPr>
          <w:b/>
          <w:sz w:val="20"/>
          <w:szCs w:val="20"/>
        </w:rPr>
        <w:t xml:space="preserve"> </w:t>
      </w:r>
      <w:r w:rsidRPr="007D18E0">
        <w:rPr>
          <w:sz w:val="20"/>
          <w:szCs w:val="20"/>
        </w:rPr>
        <w:t>a number of towns in the states (Osogbo, Ede, Ile-Ife, Gbongan, Erin-Osun, Ilobu and Ifon-Osun) while fisheries development of the reservoir is a major secondary benefit.</w:t>
      </w:r>
    </w:p>
    <w:p w:rsidR="00E75D7F" w:rsidRPr="007D18E0" w:rsidRDefault="00E75D7F" w:rsidP="00E75D7F">
      <w:pPr>
        <w:snapToGrid w:val="0"/>
        <w:jc w:val="both"/>
        <w:rPr>
          <w:b/>
          <w:noProof/>
          <w:sz w:val="20"/>
          <w:szCs w:val="20"/>
        </w:rPr>
        <w:sectPr w:rsidR="00E75D7F" w:rsidRPr="007D18E0" w:rsidSect="00E75D7F">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EF1B7D" w:rsidRPr="007D18E0" w:rsidRDefault="0098537A" w:rsidP="00E75D7F">
      <w:pPr>
        <w:snapToGrid w:val="0"/>
        <w:jc w:val="center"/>
        <w:rPr>
          <w:b/>
          <w:noProof/>
          <w:sz w:val="20"/>
          <w:szCs w:val="20"/>
        </w:rPr>
      </w:pPr>
      <w:r w:rsidRPr="007D18E0">
        <w:rPr>
          <w:b/>
          <w:noProof/>
          <w:sz w:val="20"/>
          <w:szCs w:val="20"/>
          <w:lang w:eastAsia="zh-CN"/>
        </w:rPr>
        <w:lastRenderedPageBreak/>
        <w:drawing>
          <wp:inline distT="0" distB="0" distL="0" distR="0">
            <wp:extent cx="5666132" cy="4134678"/>
            <wp:effectExtent l="19050" t="0" r="0" b="0"/>
            <wp:docPr id="1" name="Picture 1" descr="G:\ema_damwprk_Study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a_damwprk_Studyarea.jpg"/>
                    <pic:cNvPicPr>
                      <a:picLocks noChangeAspect="1" noChangeArrowheads="1"/>
                    </pic:cNvPicPr>
                  </pic:nvPicPr>
                  <pic:blipFill>
                    <a:blip r:embed="rId17" cstate="print"/>
                    <a:srcRect t="3085" r="4613" b="2541"/>
                    <a:stretch>
                      <a:fillRect/>
                    </a:stretch>
                  </pic:blipFill>
                  <pic:spPr bwMode="auto">
                    <a:xfrm>
                      <a:off x="0" y="0"/>
                      <a:ext cx="5666132" cy="4134678"/>
                    </a:xfrm>
                    <a:prstGeom prst="rect">
                      <a:avLst/>
                    </a:prstGeom>
                    <a:noFill/>
                    <a:ln w="9525">
                      <a:noFill/>
                      <a:miter lim="800000"/>
                      <a:headEnd/>
                      <a:tailEnd/>
                    </a:ln>
                  </pic:spPr>
                </pic:pic>
              </a:graphicData>
            </a:graphic>
          </wp:inline>
        </w:drawing>
      </w:r>
    </w:p>
    <w:p w:rsidR="00EF1B7D" w:rsidRPr="007D18E0" w:rsidRDefault="00EF1B7D" w:rsidP="00E75D7F">
      <w:pPr>
        <w:snapToGrid w:val="0"/>
        <w:jc w:val="center"/>
        <w:rPr>
          <w:b/>
          <w:sz w:val="20"/>
          <w:szCs w:val="20"/>
        </w:rPr>
      </w:pPr>
      <w:r w:rsidRPr="007D18E0">
        <w:rPr>
          <w:b/>
          <w:sz w:val="20"/>
          <w:szCs w:val="20"/>
        </w:rPr>
        <w:t>Figure 1: The map of Osun State showing Owalla Reservoir (Ikpe, 2012)</w:t>
      </w:r>
    </w:p>
    <w:p w:rsidR="00E75D7F" w:rsidRPr="007D18E0" w:rsidRDefault="00E75D7F" w:rsidP="00E75D7F">
      <w:pPr>
        <w:snapToGrid w:val="0"/>
        <w:jc w:val="both"/>
        <w:rPr>
          <w:b/>
          <w:noProof/>
          <w:sz w:val="20"/>
          <w:szCs w:val="20"/>
          <w:lang w:eastAsia="zh-CN"/>
        </w:rPr>
      </w:pPr>
    </w:p>
    <w:p w:rsidR="00E75D7F" w:rsidRPr="007D18E0" w:rsidRDefault="00E75D7F" w:rsidP="00E75D7F">
      <w:pPr>
        <w:snapToGrid w:val="0"/>
        <w:jc w:val="both"/>
        <w:rPr>
          <w:b/>
          <w:noProof/>
          <w:sz w:val="20"/>
          <w:szCs w:val="20"/>
          <w:lang w:eastAsia="zh-CN"/>
        </w:rPr>
        <w:sectPr w:rsidR="00E75D7F" w:rsidRPr="007D18E0" w:rsidSect="0034636B">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576"/>
          <w:docGrid w:linePitch="360"/>
        </w:sectPr>
      </w:pPr>
    </w:p>
    <w:p w:rsidR="009A534F" w:rsidRPr="007D18E0" w:rsidRDefault="009A534F" w:rsidP="00E75D7F">
      <w:pPr>
        <w:snapToGrid w:val="0"/>
        <w:ind w:firstLine="425"/>
        <w:jc w:val="both"/>
        <w:rPr>
          <w:sz w:val="20"/>
          <w:szCs w:val="20"/>
        </w:rPr>
      </w:pPr>
      <w:r w:rsidRPr="007D18E0">
        <w:rPr>
          <w:sz w:val="20"/>
          <w:szCs w:val="20"/>
        </w:rPr>
        <w:lastRenderedPageBreak/>
        <w:t>The study area is characterized by two distinct climatic seasons namely: dry season from November to March or April and the rainy season from April to October. Specifically, the study area is under Koppen’s Af humid rainforest climate (Adediji and Ajibade, 2008). The study area constitutes a part of the Basement Complex of Southwestern Nigeria and it is characteristically underlain by hard crystalline igneous and metamorphic rocks. These rocks constitute the prominent outcrops and inselbergs that define topographic highlands (Cita</w:t>
      </w:r>
      <w:r w:rsidR="001C22AB" w:rsidRPr="007D18E0">
        <w:rPr>
          <w:sz w:val="20"/>
          <w:szCs w:val="20"/>
        </w:rPr>
        <w:t>. D</w:t>
      </w:r>
      <w:r w:rsidRPr="007D18E0">
        <w:rPr>
          <w:sz w:val="20"/>
          <w:szCs w:val="20"/>
        </w:rPr>
        <w:t>el Consult, 1994).</w:t>
      </w:r>
    </w:p>
    <w:p w:rsidR="009A534F" w:rsidRPr="007D18E0" w:rsidRDefault="009A534F" w:rsidP="00E75D7F">
      <w:pPr>
        <w:snapToGrid w:val="0"/>
        <w:ind w:firstLine="425"/>
        <w:jc w:val="both"/>
        <w:rPr>
          <w:sz w:val="20"/>
          <w:szCs w:val="20"/>
        </w:rPr>
      </w:pPr>
      <w:r w:rsidRPr="007D18E0">
        <w:rPr>
          <w:sz w:val="20"/>
          <w:szCs w:val="20"/>
        </w:rPr>
        <w:t xml:space="preserve">Surface materials are characterized by relatively deeply weathered soil profile or regolith in the low lying areas, due to the relatively humid climate condition. Greater proportion of the soils are </w:t>
      </w:r>
      <w:r w:rsidRPr="007D18E0">
        <w:rPr>
          <w:sz w:val="20"/>
          <w:szCs w:val="20"/>
        </w:rPr>
        <w:lastRenderedPageBreak/>
        <w:t>ferruginous tropical red (laterites) associated with Basement Complex terrains (Moshood and Shinichi, 2009). The soil of the area vary from moderately to strongly leached, and have low to medium humus content, weakly acidic to neutral on surface layers and moderately to strongly acidic sub-soil (Smith and Montgomery, 1962).</w:t>
      </w:r>
    </w:p>
    <w:p w:rsidR="001C22AB" w:rsidRPr="007D18E0" w:rsidRDefault="009A534F" w:rsidP="00E75D7F">
      <w:pPr>
        <w:snapToGrid w:val="0"/>
        <w:ind w:firstLine="425"/>
        <w:jc w:val="both"/>
        <w:rPr>
          <w:sz w:val="20"/>
          <w:szCs w:val="20"/>
        </w:rPr>
      </w:pPr>
      <w:r w:rsidRPr="007D18E0">
        <w:rPr>
          <w:sz w:val="20"/>
          <w:szCs w:val="20"/>
        </w:rPr>
        <w:t>The area falls within the lowland tropical rain forest vegetation (Moshood and Shinichi, 2009), characterized by emergent trees with multiple canopies lianas (Adediji and Ajibade, 2008). Most of the original vegetation has given way to secondary forest and derived savanna</w:t>
      </w:r>
      <w:r w:rsidR="001C22AB" w:rsidRPr="007D18E0">
        <w:rPr>
          <w:sz w:val="20"/>
          <w:szCs w:val="20"/>
        </w:rPr>
        <w:t>h.</w:t>
      </w:r>
    </w:p>
    <w:p w:rsidR="009A534F" w:rsidRPr="007D18E0" w:rsidRDefault="009A534F" w:rsidP="00E75D7F">
      <w:pPr>
        <w:snapToGrid w:val="0"/>
        <w:jc w:val="both"/>
        <w:rPr>
          <w:b/>
          <w:sz w:val="20"/>
          <w:szCs w:val="20"/>
        </w:rPr>
      </w:pPr>
      <w:r w:rsidRPr="007D18E0">
        <w:rPr>
          <w:b/>
          <w:sz w:val="20"/>
          <w:szCs w:val="20"/>
        </w:rPr>
        <w:t>2.2. Selection and Description of Sampling Stations</w:t>
      </w:r>
    </w:p>
    <w:p w:rsidR="009A534F" w:rsidRPr="007D18E0" w:rsidRDefault="009A534F" w:rsidP="00E75D7F">
      <w:pPr>
        <w:snapToGrid w:val="0"/>
        <w:ind w:firstLine="425"/>
        <w:jc w:val="both"/>
        <w:rPr>
          <w:sz w:val="20"/>
          <w:szCs w:val="20"/>
        </w:rPr>
      </w:pPr>
      <w:r w:rsidRPr="007D18E0">
        <w:rPr>
          <w:sz w:val="20"/>
          <w:szCs w:val="20"/>
        </w:rPr>
        <w:t xml:space="preserve">For this study, seven sampling stations (Stations 1, 2, 3, 4, 5, 6, and 7) were established along the </w:t>
      </w:r>
      <w:r w:rsidRPr="007D18E0">
        <w:rPr>
          <w:sz w:val="20"/>
          <w:szCs w:val="20"/>
        </w:rPr>
        <w:lastRenderedPageBreak/>
        <w:t xml:space="preserve">horizontal axis of the reservoir (Figure 2). Stations 2 and 5 are located at the middle basin. Stations 1, 3, 4 and 6 are established at the riverside portion of the reservoir while Station 7 is located towards the deepest portion of the reservoir close to the dam, mid-point from the shores. A permanent floating material </w:t>
      </w:r>
      <w:r w:rsidRPr="007D18E0">
        <w:rPr>
          <w:sz w:val="20"/>
          <w:szCs w:val="20"/>
        </w:rPr>
        <w:lastRenderedPageBreak/>
        <w:t>was used to indicate the location of each of the seven sampling stations for easy subsequent recognition. The grid co-ordinates of each station were measured and recorded using a Global Positioning System (GPS) handset.</w:t>
      </w:r>
    </w:p>
    <w:p w:rsidR="00E75D7F" w:rsidRPr="007D18E0" w:rsidRDefault="00E75D7F" w:rsidP="00E75D7F">
      <w:pPr>
        <w:snapToGrid w:val="0"/>
        <w:jc w:val="both"/>
        <w:rPr>
          <w:b/>
          <w:noProof/>
          <w:sz w:val="20"/>
          <w:szCs w:val="20"/>
        </w:rPr>
        <w:sectPr w:rsidR="00E75D7F" w:rsidRPr="007D18E0" w:rsidSect="00E75D7F">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600"/>
          <w:docGrid w:linePitch="360"/>
        </w:sectPr>
      </w:pPr>
    </w:p>
    <w:p w:rsidR="007D18E0" w:rsidRDefault="007D18E0" w:rsidP="00E75D7F">
      <w:pPr>
        <w:snapToGrid w:val="0"/>
        <w:jc w:val="center"/>
        <w:rPr>
          <w:rFonts w:hint="eastAsia"/>
          <w:b/>
          <w:sz w:val="20"/>
          <w:szCs w:val="20"/>
          <w:lang w:eastAsia="zh-CN"/>
        </w:rPr>
      </w:pPr>
    </w:p>
    <w:p w:rsidR="00EF1B7D" w:rsidRPr="007D18E0" w:rsidRDefault="0098537A" w:rsidP="00E75D7F">
      <w:pPr>
        <w:snapToGrid w:val="0"/>
        <w:jc w:val="center"/>
        <w:rPr>
          <w:b/>
          <w:sz w:val="20"/>
          <w:szCs w:val="20"/>
        </w:rPr>
      </w:pPr>
      <w:r w:rsidRPr="007D18E0">
        <w:rPr>
          <w:b/>
          <w:noProof/>
          <w:sz w:val="20"/>
          <w:szCs w:val="20"/>
          <w:lang w:eastAsia="zh-CN"/>
        </w:rPr>
        <w:drawing>
          <wp:inline distT="0" distB="0" distL="0" distR="0">
            <wp:extent cx="5263515" cy="6742430"/>
            <wp:effectExtent l="19050" t="0" r="0" b="0"/>
            <wp:docPr id="2" name="Picture 1" descr="C:\Users\Abioye\Downloads\ema-dam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oye\Downloads\ema-dam2333.jpg"/>
                    <pic:cNvPicPr>
                      <a:picLocks noChangeAspect="1" noChangeArrowheads="1"/>
                    </pic:cNvPicPr>
                  </pic:nvPicPr>
                  <pic:blipFill>
                    <a:blip r:embed="rId24" cstate="print"/>
                    <a:srcRect/>
                    <a:stretch>
                      <a:fillRect/>
                    </a:stretch>
                  </pic:blipFill>
                  <pic:spPr bwMode="auto">
                    <a:xfrm>
                      <a:off x="0" y="0"/>
                      <a:ext cx="5263515" cy="6742430"/>
                    </a:xfrm>
                    <a:prstGeom prst="rect">
                      <a:avLst/>
                    </a:prstGeom>
                    <a:noFill/>
                    <a:ln w="9525">
                      <a:noFill/>
                      <a:miter lim="800000"/>
                      <a:headEnd/>
                      <a:tailEnd/>
                    </a:ln>
                  </pic:spPr>
                </pic:pic>
              </a:graphicData>
            </a:graphic>
          </wp:inline>
        </w:drawing>
      </w:r>
    </w:p>
    <w:p w:rsidR="009A534F" w:rsidRPr="007D18E0" w:rsidRDefault="00EF1B7D" w:rsidP="00E75D7F">
      <w:pPr>
        <w:snapToGrid w:val="0"/>
        <w:jc w:val="center"/>
        <w:rPr>
          <w:b/>
          <w:sz w:val="20"/>
          <w:szCs w:val="20"/>
        </w:rPr>
      </w:pPr>
      <w:r w:rsidRPr="007D18E0">
        <w:rPr>
          <w:b/>
          <w:sz w:val="20"/>
          <w:szCs w:val="20"/>
        </w:rPr>
        <w:t>Figure 2: Map of Owalla Resevoir showing the investigated Sampling Station (Ikpe, 2012)</w:t>
      </w:r>
    </w:p>
    <w:p w:rsidR="00E75D7F" w:rsidRPr="007D18E0" w:rsidRDefault="00E75D7F" w:rsidP="007D18E0">
      <w:pPr>
        <w:snapToGrid w:val="0"/>
        <w:jc w:val="both"/>
        <w:rPr>
          <w:color w:val="FF0000"/>
          <w:sz w:val="20"/>
          <w:szCs w:val="20"/>
          <w:lang w:eastAsia="zh-CN"/>
        </w:rPr>
      </w:pPr>
    </w:p>
    <w:p w:rsidR="00E75D7F" w:rsidRPr="007D18E0" w:rsidRDefault="00E75D7F" w:rsidP="00E75D7F">
      <w:pPr>
        <w:snapToGrid w:val="0"/>
        <w:ind w:firstLine="425"/>
        <w:jc w:val="both"/>
        <w:rPr>
          <w:color w:val="FF0000"/>
          <w:sz w:val="20"/>
          <w:szCs w:val="20"/>
          <w:lang w:eastAsia="zh-CN"/>
        </w:rPr>
        <w:sectPr w:rsidR="00E75D7F" w:rsidRPr="007D18E0" w:rsidSect="0034636B">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576"/>
          <w:docGrid w:linePitch="360"/>
        </w:sectPr>
      </w:pPr>
    </w:p>
    <w:p w:rsidR="00A43719" w:rsidRPr="007D18E0" w:rsidRDefault="00A43719" w:rsidP="00E75D7F">
      <w:pPr>
        <w:snapToGrid w:val="0"/>
        <w:jc w:val="both"/>
        <w:rPr>
          <w:b/>
          <w:sz w:val="20"/>
          <w:szCs w:val="20"/>
        </w:rPr>
      </w:pPr>
      <w:r w:rsidRPr="007D18E0">
        <w:rPr>
          <w:b/>
          <w:sz w:val="20"/>
          <w:szCs w:val="20"/>
        </w:rPr>
        <w:lastRenderedPageBreak/>
        <w:t>2.3. Sampling Programme and Field Determination</w:t>
      </w:r>
    </w:p>
    <w:p w:rsidR="00A43719" w:rsidRPr="007D18E0" w:rsidRDefault="00A43719" w:rsidP="00E75D7F">
      <w:pPr>
        <w:snapToGrid w:val="0"/>
        <w:ind w:firstLine="425"/>
        <w:jc w:val="both"/>
        <w:rPr>
          <w:sz w:val="20"/>
          <w:szCs w:val="20"/>
        </w:rPr>
      </w:pPr>
      <w:r w:rsidRPr="007D18E0">
        <w:rPr>
          <w:sz w:val="20"/>
          <w:szCs w:val="20"/>
        </w:rPr>
        <w:t>At Stations 1 and 3, only surface water sample were collected. Samples were collected from three levels through the water column (surface, mid-depth and close to the bottom) of the reservoir at other stations (Stations 2, 4, 5, 6, and 7). An improvised water sampler (2.5 L Capacity) was used for water sampling at sub-surface depths of the reservoir.</w:t>
      </w:r>
    </w:p>
    <w:p w:rsidR="00A43719" w:rsidRPr="007D18E0" w:rsidRDefault="00A43719" w:rsidP="00E75D7F">
      <w:pPr>
        <w:snapToGrid w:val="0"/>
        <w:jc w:val="both"/>
        <w:rPr>
          <w:sz w:val="20"/>
          <w:szCs w:val="20"/>
        </w:rPr>
      </w:pPr>
      <w:r w:rsidRPr="007D18E0">
        <w:rPr>
          <w:b/>
          <w:sz w:val="20"/>
          <w:szCs w:val="20"/>
        </w:rPr>
        <w:t>2.4. Primary Productivity Determination</w:t>
      </w:r>
    </w:p>
    <w:p w:rsidR="009A534F" w:rsidRPr="007D18E0" w:rsidRDefault="00A43719" w:rsidP="00E75D7F">
      <w:pPr>
        <w:snapToGrid w:val="0"/>
        <w:ind w:firstLine="425"/>
        <w:jc w:val="both"/>
        <w:rPr>
          <w:sz w:val="20"/>
          <w:szCs w:val="20"/>
          <w:lang w:eastAsia="zh-CN"/>
        </w:rPr>
      </w:pPr>
      <w:r w:rsidRPr="007D18E0">
        <w:rPr>
          <w:sz w:val="20"/>
          <w:szCs w:val="20"/>
        </w:rPr>
        <w:t xml:space="preserve">The primary productivity was determined using the oxygen dark and white bottle method (APHA, 1992). Water samples were collected from the reservoir through the vertical profile (surface, mid-depth and bottom) at each sampling station. At each station three water samples were collected into three oxygen bottles (two light bottles, one dark bottle). The first or initial bottle (IB) was used for the determination of initial dissolved oxygen concentration in the reservoir, the second light bottle (WB) was used to collect sample for the oxygen produced during photosynthesis over a period of time under incubation while the third dark bottle (BB) was used to determine the oxygen used up in respiration </w:t>
      </w:r>
      <w:r w:rsidRPr="007D18E0">
        <w:rPr>
          <w:sz w:val="20"/>
          <w:szCs w:val="20"/>
        </w:rPr>
        <w:lastRenderedPageBreak/>
        <w:t>over the same period of illumination. The samples were transported to the laboratory. The white bottles for photosynthesis were made water-tight, ensuring the water inside could not pour out and that extra water could not enter using paper tape to bind the cork very well. The bottles were then placed in a transparent bowl containing water that was enough to cover the bottles in a slant position. The bottles for respiration determination were wrapped with black nylon and were placed in a dark cupboard over the period of the experiment. The two processes (photosynthesis and respiration) were carried out simultaneously while the initial oxygen concentration was fixed at the onset of the experiment. After six hours of the experiment, the white bottle and black bottles were harvested fixed with Winkler’s reagents and titrated for DO as was done for initial oxygen bottles (Odum, 1956). The productivity and respiration was calculated as follows:</w:t>
      </w:r>
    </w:p>
    <w:p w:rsidR="00E75D7F" w:rsidRPr="007D18E0" w:rsidRDefault="00E75D7F" w:rsidP="00E75D7F">
      <w:pPr>
        <w:snapToGrid w:val="0"/>
        <w:ind w:firstLine="425"/>
        <w:jc w:val="both"/>
        <w:rPr>
          <w:color w:val="FF0000"/>
          <w:sz w:val="20"/>
          <w:szCs w:val="20"/>
          <w:lang w:eastAsia="zh-CN"/>
        </w:rPr>
      </w:pPr>
    </w:p>
    <w:p w:rsidR="00E75D7F" w:rsidRPr="007D18E0" w:rsidRDefault="00E75D7F" w:rsidP="00E75D7F">
      <w:pPr>
        <w:snapToGrid w:val="0"/>
        <w:jc w:val="center"/>
        <w:rPr>
          <w:sz w:val="20"/>
          <w:szCs w:val="20"/>
          <w:lang w:eastAsia="zh-CN"/>
        </w:rPr>
      </w:pPr>
      <w:r w:rsidRPr="007D18E0">
        <w:rPr>
          <w:sz w:val="20"/>
          <w:szCs w:val="20"/>
        </w:rPr>
        <w:t xml:space="preserve">Dissolved Oxygen (DO) in mg/L = </w:t>
      </w:r>
      <m:oMath>
        <m:f>
          <m:fPr>
            <m:ctrlPr>
              <w:rPr>
                <w:rFonts w:ascii="Cambria Math" w:hAnsi="Cambria Math"/>
                <w:sz w:val="20"/>
                <w:szCs w:val="20"/>
                <w:lang w:eastAsia="zh-CN"/>
              </w:rPr>
            </m:ctrlPr>
          </m:fPr>
          <m:num>
            <m:r>
              <m:rPr>
                <m:sty m:val="p"/>
              </m:rPr>
              <w:rPr>
                <w:sz w:val="20"/>
                <w:szCs w:val="20"/>
              </w:rPr>
              <m:t>N x t/v x 800</m:t>
            </m:r>
          </m:num>
          <m:den>
            <m:r>
              <m:rPr>
                <m:sty m:val="p"/>
              </m:rPr>
              <w:rPr>
                <w:sz w:val="20"/>
                <w:szCs w:val="20"/>
              </w:rPr>
              <m:t xml:space="preserve"> Volume of Sample</m:t>
            </m:r>
          </m:den>
        </m:f>
      </m:oMath>
    </w:p>
    <w:p w:rsidR="00E75D7F" w:rsidRPr="007D18E0" w:rsidRDefault="005C6129" w:rsidP="00E75D7F">
      <w:pPr>
        <w:tabs>
          <w:tab w:val="left" w:pos="3831"/>
        </w:tabs>
        <w:snapToGrid w:val="0"/>
        <w:jc w:val="center"/>
        <w:rPr>
          <w:sz w:val="20"/>
          <w:szCs w:val="20"/>
          <w:lang w:eastAsia="zh-CN"/>
        </w:rPr>
      </w:pPr>
      <m:oMath>
        <m:f>
          <m:fPr>
            <m:ctrlPr>
              <w:rPr>
                <w:rFonts w:ascii="Cambria Math" w:hAnsi="Cambria Math"/>
                <w:sz w:val="20"/>
                <w:szCs w:val="20"/>
                <w:lang w:eastAsia="zh-CN"/>
              </w:rPr>
            </m:ctrlPr>
          </m:fPr>
          <m:num>
            <m:r>
              <m:rPr>
                <m:sty m:val="p"/>
              </m:rPr>
              <w:rPr>
                <w:sz w:val="20"/>
                <w:szCs w:val="20"/>
              </w:rPr>
              <m:t>N/40 x t/v x 8000</m:t>
            </m:r>
          </m:num>
          <m:den>
            <m:r>
              <m:rPr>
                <m:sty m:val="p"/>
              </m:rPr>
              <w:rPr>
                <w:sz w:val="20"/>
                <w:szCs w:val="20"/>
              </w:rPr>
              <m:t>50</m:t>
            </m:r>
          </m:den>
        </m:f>
      </m:oMath>
      <w:r w:rsidR="00E75D7F" w:rsidRPr="007D18E0">
        <w:rPr>
          <w:rFonts w:hint="eastAsia"/>
          <w:sz w:val="20"/>
          <w:szCs w:val="20"/>
          <w:lang w:eastAsia="zh-CN"/>
        </w:rPr>
        <w:t>=</w:t>
      </w:r>
      <w:r w:rsidR="00E75D7F" w:rsidRPr="007D18E0">
        <w:rPr>
          <w:sz w:val="20"/>
          <w:szCs w:val="20"/>
        </w:rPr>
        <w:t xml:space="preserve"> t/v x 4</w:t>
      </w:r>
    </w:p>
    <w:p w:rsidR="00E75D7F" w:rsidRPr="007D18E0" w:rsidRDefault="00E75D7F" w:rsidP="00E75D7F">
      <w:pPr>
        <w:snapToGrid w:val="0"/>
        <w:ind w:firstLine="425"/>
        <w:jc w:val="both"/>
        <w:rPr>
          <w:sz w:val="20"/>
          <w:szCs w:val="20"/>
          <w:lang w:eastAsia="zh-CN"/>
        </w:rPr>
        <w:sectPr w:rsidR="00E75D7F" w:rsidRPr="007D18E0" w:rsidSect="00E75D7F">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num="2" w:space="600"/>
          <w:docGrid w:linePitch="360"/>
        </w:sectPr>
      </w:pPr>
    </w:p>
    <w:p w:rsidR="00E75D7F" w:rsidRPr="007D18E0" w:rsidRDefault="00E75D7F" w:rsidP="00E75D7F">
      <w:pPr>
        <w:tabs>
          <w:tab w:val="left" w:pos="3831"/>
        </w:tabs>
        <w:snapToGrid w:val="0"/>
        <w:jc w:val="center"/>
        <w:rPr>
          <w:sz w:val="20"/>
          <w:szCs w:val="20"/>
          <w:lang w:eastAsia="zh-CN"/>
        </w:rPr>
      </w:pPr>
    </w:p>
    <w:p w:rsidR="00A43719" w:rsidRPr="007D18E0" w:rsidRDefault="00A43719" w:rsidP="00E75D7F">
      <w:pPr>
        <w:tabs>
          <w:tab w:val="left" w:pos="3831"/>
        </w:tabs>
        <w:snapToGrid w:val="0"/>
        <w:jc w:val="center"/>
        <w:rPr>
          <w:sz w:val="20"/>
          <w:szCs w:val="20"/>
        </w:rPr>
      </w:pPr>
      <w:r w:rsidRPr="007D18E0">
        <w:rPr>
          <w:sz w:val="20"/>
          <w:szCs w:val="20"/>
        </w:rPr>
        <w:t>Net Productivity (Kcal/M</w:t>
      </w:r>
      <w:r w:rsidRPr="007D18E0">
        <w:rPr>
          <w:sz w:val="20"/>
          <w:szCs w:val="20"/>
          <w:vertAlign w:val="superscript"/>
        </w:rPr>
        <w:t>3</w:t>
      </w:r>
      <w:r w:rsidRPr="007D18E0">
        <w:rPr>
          <w:sz w:val="20"/>
          <w:szCs w:val="20"/>
        </w:rPr>
        <w:t>/day) = DO (WB - IB) (mg/L) x 2 (12 hours ÷ 6) x 3.6</w:t>
      </w:r>
    </w:p>
    <w:p w:rsidR="00A43719" w:rsidRPr="007D18E0" w:rsidRDefault="00A43719" w:rsidP="00E75D7F">
      <w:pPr>
        <w:tabs>
          <w:tab w:val="left" w:pos="3831"/>
        </w:tabs>
        <w:snapToGrid w:val="0"/>
        <w:jc w:val="center"/>
        <w:rPr>
          <w:sz w:val="20"/>
          <w:szCs w:val="20"/>
        </w:rPr>
      </w:pPr>
      <w:r w:rsidRPr="007D18E0">
        <w:rPr>
          <w:sz w:val="20"/>
          <w:szCs w:val="20"/>
        </w:rPr>
        <w:t>Respiration (Kcal/M</w:t>
      </w:r>
      <w:r w:rsidRPr="007D18E0">
        <w:rPr>
          <w:sz w:val="20"/>
          <w:szCs w:val="20"/>
          <w:vertAlign w:val="superscript"/>
        </w:rPr>
        <w:t>3</w:t>
      </w:r>
      <w:r w:rsidRPr="007D18E0">
        <w:rPr>
          <w:sz w:val="20"/>
          <w:szCs w:val="20"/>
        </w:rPr>
        <w:t>/day) = DO (IB - BB) (mg/L) x 4 (24 hours ÷ 6) x 3.6</w:t>
      </w:r>
    </w:p>
    <w:p w:rsidR="00A43719" w:rsidRPr="007D18E0" w:rsidRDefault="00A43719" w:rsidP="00E75D7F">
      <w:pPr>
        <w:tabs>
          <w:tab w:val="left" w:pos="3831"/>
        </w:tabs>
        <w:snapToGrid w:val="0"/>
        <w:jc w:val="center"/>
        <w:rPr>
          <w:sz w:val="20"/>
          <w:szCs w:val="20"/>
        </w:rPr>
      </w:pPr>
      <w:r w:rsidRPr="007D18E0">
        <w:rPr>
          <w:sz w:val="20"/>
          <w:szCs w:val="20"/>
        </w:rPr>
        <w:t>Gross Productivity (Kcal/M</w:t>
      </w:r>
      <w:r w:rsidRPr="007D18E0">
        <w:rPr>
          <w:sz w:val="20"/>
          <w:szCs w:val="20"/>
          <w:vertAlign w:val="superscript"/>
        </w:rPr>
        <w:t>3</w:t>
      </w:r>
      <w:r w:rsidRPr="007D18E0">
        <w:rPr>
          <w:sz w:val="20"/>
          <w:szCs w:val="20"/>
        </w:rPr>
        <w:t>/day) = Net Productivity + Respiration</w:t>
      </w:r>
    </w:p>
    <w:p w:rsidR="00A43719" w:rsidRPr="007D18E0" w:rsidRDefault="00A43719" w:rsidP="00E75D7F">
      <w:pPr>
        <w:tabs>
          <w:tab w:val="left" w:pos="3831"/>
        </w:tabs>
        <w:snapToGrid w:val="0"/>
        <w:jc w:val="center"/>
        <w:rPr>
          <w:sz w:val="20"/>
          <w:szCs w:val="20"/>
        </w:rPr>
      </w:pPr>
      <w:r w:rsidRPr="007D18E0">
        <w:rPr>
          <w:sz w:val="20"/>
          <w:szCs w:val="20"/>
        </w:rPr>
        <w:t>Where, t/v = Titre value, N= Normalty of Sodium Thiosulphate (Na</w:t>
      </w:r>
      <w:r w:rsidRPr="007D18E0">
        <w:rPr>
          <w:sz w:val="20"/>
          <w:szCs w:val="20"/>
          <w:vertAlign w:val="subscript"/>
        </w:rPr>
        <w:t>2</w:t>
      </w:r>
      <w:r w:rsidRPr="007D18E0">
        <w:rPr>
          <w:sz w:val="20"/>
          <w:szCs w:val="20"/>
        </w:rPr>
        <w:t>S</w:t>
      </w:r>
      <w:r w:rsidRPr="007D18E0">
        <w:rPr>
          <w:sz w:val="20"/>
          <w:szCs w:val="20"/>
          <w:vertAlign w:val="subscript"/>
        </w:rPr>
        <w:t>2</w:t>
      </w:r>
      <w:r w:rsidRPr="007D18E0">
        <w:rPr>
          <w:sz w:val="20"/>
          <w:szCs w:val="20"/>
        </w:rPr>
        <w:t>O</w:t>
      </w:r>
      <w:r w:rsidRPr="007D18E0">
        <w:rPr>
          <w:sz w:val="20"/>
          <w:szCs w:val="20"/>
          <w:vertAlign w:val="subscript"/>
        </w:rPr>
        <w:t>3</w:t>
      </w:r>
      <w:r w:rsidRPr="007D18E0">
        <w:rPr>
          <w:sz w:val="20"/>
          <w:szCs w:val="20"/>
        </w:rPr>
        <w:t>).</w:t>
      </w:r>
    </w:p>
    <w:p w:rsidR="00E75D7F" w:rsidRPr="007D18E0" w:rsidRDefault="00E75D7F" w:rsidP="00E75D7F">
      <w:pPr>
        <w:snapToGrid w:val="0"/>
        <w:jc w:val="both"/>
        <w:rPr>
          <w:b/>
          <w:color w:val="FF0000"/>
          <w:sz w:val="20"/>
          <w:szCs w:val="20"/>
        </w:rPr>
      </w:pPr>
    </w:p>
    <w:p w:rsidR="00E75D7F" w:rsidRPr="007D18E0" w:rsidRDefault="00E75D7F" w:rsidP="00E75D7F">
      <w:pPr>
        <w:snapToGrid w:val="0"/>
        <w:jc w:val="both"/>
        <w:rPr>
          <w:b/>
          <w:color w:val="FF0000"/>
          <w:sz w:val="20"/>
          <w:szCs w:val="20"/>
        </w:rPr>
        <w:sectPr w:rsidR="00E75D7F" w:rsidRPr="007D18E0" w:rsidSect="0034636B">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space="576"/>
          <w:docGrid w:linePitch="360"/>
        </w:sectPr>
      </w:pPr>
    </w:p>
    <w:p w:rsidR="00A43719" w:rsidRPr="007D18E0" w:rsidRDefault="00A43719" w:rsidP="00E75D7F">
      <w:pPr>
        <w:snapToGrid w:val="0"/>
        <w:jc w:val="both"/>
        <w:rPr>
          <w:b/>
          <w:sz w:val="20"/>
          <w:szCs w:val="20"/>
        </w:rPr>
      </w:pPr>
      <w:r w:rsidRPr="007D18E0">
        <w:rPr>
          <w:b/>
          <w:sz w:val="20"/>
          <w:szCs w:val="20"/>
        </w:rPr>
        <w:lastRenderedPageBreak/>
        <w:t>3.0 Results</w:t>
      </w:r>
    </w:p>
    <w:p w:rsidR="00877649" w:rsidRPr="007D18E0" w:rsidRDefault="00A43719" w:rsidP="00E75D7F">
      <w:pPr>
        <w:snapToGrid w:val="0"/>
        <w:ind w:firstLine="425"/>
        <w:jc w:val="both"/>
        <w:rPr>
          <w:b/>
          <w:color w:val="FF0000"/>
          <w:sz w:val="20"/>
          <w:szCs w:val="20"/>
        </w:rPr>
      </w:pPr>
      <w:r w:rsidRPr="007D18E0">
        <w:rPr>
          <w:sz w:val="20"/>
          <w:szCs w:val="20"/>
        </w:rPr>
        <w:t>The mean value of the net productivity of the reservoir decreased vertically from surface to the bottom (Table 2). There was a very highly significant (P=0.001) difference in the mean value of the net productivity along the three depth profile. The</w:t>
      </w:r>
      <w:r w:rsidRPr="007D18E0">
        <w:rPr>
          <w:color w:val="FF0000"/>
          <w:sz w:val="20"/>
          <w:szCs w:val="20"/>
        </w:rPr>
        <w:t xml:space="preserve"> </w:t>
      </w:r>
      <w:r w:rsidRPr="007D18E0">
        <w:rPr>
          <w:sz w:val="20"/>
          <w:szCs w:val="20"/>
        </w:rPr>
        <w:t>net productivity of Owalla Reservoir was higher at the upper basin than at the lower basin but there was no significant</w:t>
      </w:r>
      <w:r w:rsidRPr="007D18E0">
        <w:rPr>
          <w:color w:val="FF0000"/>
          <w:sz w:val="20"/>
          <w:szCs w:val="20"/>
        </w:rPr>
        <w:t xml:space="preserve"> </w:t>
      </w:r>
      <w:r w:rsidRPr="007D18E0">
        <w:rPr>
          <w:sz w:val="20"/>
          <w:szCs w:val="20"/>
        </w:rPr>
        <w:t>difference (P=0.05) among stations along the horizontal axis</w:t>
      </w:r>
      <w:r w:rsidRPr="007D18E0">
        <w:rPr>
          <w:color w:val="FF0000"/>
          <w:sz w:val="20"/>
          <w:szCs w:val="20"/>
        </w:rPr>
        <w:t xml:space="preserve"> </w:t>
      </w:r>
      <w:r w:rsidRPr="007D18E0">
        <w:rPr>
          <w:sz w:val="20"/>
          <w:szCs w:val="20"/>
        </w:rPr>
        <w:t>(Table 1).</w:t>
      </w:r>
      <w:r w:rsidRPr="007D18E0">
        <w:rPr>
          <w:color w:val="FF0000"/>
          <w:sz w:val="20"/>
          <w:szCs w:val="20"/>
        </w:rPr>
        <w:t xml:space="preserve"> </w:t>
      </w:r>
      <w:r w:rsidRPr="007D18E0">
        <w:rPr>
          <w:sz w:val="20"/>
          <w:szCs w:val="20"/>
        </w:rPr>
        <w:t>On the other hand, the mean</w:t>
      </w:r>
      <w:r w:rsidRPr="007D18E0">
        <w:rPr>
          <w:color w:val="FF0000"/>
          <w:sz w:val="20"/>
          <w:szCs w:val="20"/>
        </w:rPr>
        <w:t xml:space="preserve"> </w:t>
      </w:r>
      <w:r w:rsidRPr="007D18E0">
        <w:rPr>
          <w:sz w:val="20"/>
          <w:szCs w:val="20"/>
        </w:rPr>
        <w:t>value of net productivity was higher (19.8±1.6</w:t>
      </w:r>
      <w:r w:rsidRPr="007D18E0">
        <w:rPr>
          <w:sz w:val="20"/>
          <w:szCs w:val="20"/>
          <w:lang w:val="af-ZA"/>
        </w:rPr>
        <w:t xml:space="preserve"> KCal</w:t>
      </w:r>
      <w:r w:rsidRPr="007D18E0">
        <w:rPr>
          <w:sz w:val="20"/>
          <w:szCs w:val="20"/>
        </w:rPr>
        <w:t>/M</w:t>
      </w:r>
      <w:r w:rsidRPr="007D18E0">
        <w:rPr>
          <w:sz w:val="20"/>
          <w:szCs w:val="20"/>
          <w:vertAlign w:val="superscript"/>
        </w:rPr>
        <w:t>3</w:t>
      </w:r>
      <w:r w:rsidRPr="007D18E0">
        <w:rPr>
          <w:sz w:val="20"/>
          <w:szCs w:val="20"/>
        </w:rPr>
        <w:t>/day) in dry season than in the rainy season (19.7± 1.7</w:t>
      </w:r>
      <w:r w:rsidRPr="007D18E0">
        <w:rPr>
          <w:sz w:val="20"/>
          <w:szCs w:val="20"/>
          <w:lang w:val="af-ZA"/>
        </w:rPr>
        <w:t xml:space="preserve"> KCal</w:t>
      </w:r>
      <w:r w:rsidRPr="007D18E0">
        <w:rPr>
          <w:sz w:val="20"/>
          <w:szCs w:val="20"/>
        </w:rPr>
        <w:t>/M</w:t>
      </w:r>
      <w:r w:rsidRPr="007D18E0">
        <w:rPr>
          <w:sz w:val="20"/>
          <w:szCs w:val="20"/>
          <w:vertAlign w:val="superscript"/>
        </w:rPr>
        <w:t>3</w:t>
      </w:r>
      <w:r w:rsidRPr="007D18E0">
        <w:rPr>
          <w:sz w:val="20"/>
          <w:szCs w:val="20"/>
        </w:rPr>
        <w:t>/day) but the difference was not statistically significant (P≤0.05) as shown in Table 3. Net productivity accounted for 34.7% of the Gross Productivity.</w:t>
      </w:r>
      <w:r w:rsidRPr="007D18E0">
        <w:rPr>
          <w:color w:val="C00000"/>
          <w:sz w:val="20"/>
          <w:szCs w:val="20"/>
        </w:rPr>
        <w:t xml:space="preserve"> </w:t>
      </w:r>
      <w:r w:rsidRPr="007D18E0">
        <w:rPr>
          <w:sz w:val="20"/>
          <w:szCs w:val="20"/>
        </w:rPr>
        <w:t xml:space="preserve">Respiration decreased towards the dam site while the vertical variation generally showed decrease vertically from the surface level to the bottom of the reservoir (P=0.05) (Table 2). On the other hand, there was no significant difference in the horizontal variation of mean value ± sem of respiration along the main axis of the reservoir (Table 1). Also, in dry season, the mean respiration (36.9±2.9 </w:t>
      </w:r>
      <w:r w:rsidRPr="007D18E0">
        <w:rPr>
          <w:sz w:val="20"/>
          <w:szCs w:val="20"/>
          <w:lang w:val="af-ZA"/>
        </w:rPr>
        <w:t>KCal</w:t>
      </w:r>
      <w:r w:rsidRPr="007D18E0">
        <w:rPr>
          <w:sz w:val="20"/>
          <w:szCs w:val="20"/>
        </w:rPr>
        <w:t>/M</w:t>
      </w:r>
      <w:r w:rsidRPr="007D18E0">
        <w:rPr>
          <w:sz w:val="20"/>
          <w:szCs w:val="20"/>
          <w:vertAlign w:val="superscript"/>
        </w:rPr>
        <w:t>3</w:t>
      </w:r>
      <w:r w:rsidRPr="007D18E0">
        <w:rPr>
          <w:sz w:val="20"/>
          <w:szCs w:val="20"/>
        </w:rPr>
        <w:t xml:space="preserve">/day) of Owalla Reservoir was higher compared to that of the rainy season (33.1±4.2 </w:t>
      </w:r>
      <w:r w:rsidRPr="007D18E0">
        <w:rPr>
          <w:sz w:val="20"/>
          <w:szCs w:val="20"/>
          <w:lang w:val="af-ZA"/>
        </w:rPr>
        <w:lastRenderedPageBreak/>
        <w:t>KCal</w:t>
      </w:r>
      <w:r w:rsidRPr="007D18E0">
        <w:rPr>
          <w:sz w:val="20"/>
          <w:szCs w:val="20"/>
        </w:rPr>
        <w:t>/M</w:t>
      </w:r>
      <w:r w:rsidRPr="007D18E0">
        <w:rPr>
          <w:sz w:val="20"/>
          <w:szCs w:val="20"/>
          <w:vertAlign w:val="superscript"/>
        </w:rPr>
        <w:t>3</w:t>
      </w:r>
      <w:r w:rsidRPr="007D18E0">
        <w:rPr>
          <w:sz w:val="20"/>
          <w:szCs w:val="20"/>
        </w:rPr>
        <w:t xml:space="preserve">/day) but there was no significant difference (P&gt;0.05) in these seasonal mean values as shown in Table 3. Respiration accounted for 65.3% of the Gross Productivity. The regression of Net Productivity (y axis) on Respiration (x axis) during both seasons (Figure 4) showed a low positive correlation (a = 11.54, b = 0.37, r = 0.46). The mean value ± sem of gross productivity at the upper basin was the highest (63.0±7.5 </w:t>
      </w:r>
      <w:r w:rsidRPr="007D18E0">
        <w:rPr>
          <w:sz w:val="20"/>
          <w:szCs w:val="20"/>
          <w:lang w:val="af-ZA"/>
        </w:rPr>
        <w:t>KCal</w:t>
      </w:r>
      <w:r w:rsidRPr="007D18E0">
        <w:rPr>
          <w:sz w:val="20"/>
          <w:szCs w:val="20"/>
        </w:rPr>
        <w:t>/M</w:t>
      </w:r>
      <w:r w:rsidRPr="007D18E0">
        <w:rPr>
          <w:sz w:val="20"/>
          <w:szCs w:val="20"/>
          <w:vertAlign w:val="superscript"/>
        </w:rPr>
        <w:t>3</w:t>
      </w:r>
      <w:r w:rsidRPr="007D18E0">
        <w:rPr>
          <w:sz w:val="20"/>
          <w:szCs w:val="20"/>
        </w:rPr>
        <w:t xml:space="preserve">/day) and that of the mid basin was the lowest (53.0±3.6 </w:t>
      </w:r>
      <w:r w:rsidRPr="007D18E0">
        <w:rPr>
          <w:sz w:val="20"/>
          <w:szCs w:val="20"/>
          <w:lang w:val="af-ZA"/>
        </w:rPr>
        <w:t>KCal</w:t>
      </w:r>
      <w:r w:rsidRPr="007D18E0">
        <w:rPr>
          <w:sz w:val="20"/>
          <w:szCs w:val="20"/>
        </w:rPr>
        <w:t>/M</w:t>
      </w:r>
      <w:r w:rsidRPr="007D18E0">
        <w:rPr>
          <w:sz w:val="20"/>
          <w:szCs w:val="20"/>
          <w:vertAlign w:val="superscript"/>
        </w:rPr>
        <w:t>3</w:t>
      </w:r>
      <w:r w:rsidRPr="007D18E0">
        <w:rPr>
          <w:sz w:val="20"/>
          <w:szCs w:val="20"/>
        </w:rPr>
        <w:t>/day) but there was no significant statistical difference (P&gt;0.05) in horizontal variation (Table 1).</w:t>
      </w:r>
      <w:r w:rsidRPr="007D18E0">
        <w:rPr>
          <w:color w:val="C00000"/>
          <w:sz w:val="20"/>
          <w:szCs w:val="20"/>
        </w:rPr>
        <w:t xml:space="preserve"> </w:t>
      </w:r>
      <w:r w:rsidRPr="007D18E0">
        <w:rPr>
          <w:sz w:val="20"/>
          <w:szCs w:val="20"/>
        </w:rPr>
        <w:t xml:space="preserve">Gross primary productivity decreased down the reservoir column from the surface to the bottom and there was very highly significant difference (P≤0.001) in mean value at the three vertical depths (Table 2). However, the mean value ±sem of gross primary productivity was slightly greater (P&gt;0.05) in the dry season (57.8± 4.9 </w:t>
      </w:r>
      <w:r w:rsidRPr="007D18E0">
        <w:rPr>
          <w:sz w:val="20"/>
          <w:szCs w:val="20"/>
          <w:lang w:val="af-ZA"/>
        </w:rPr>
        <w:t>KCal</w:t>
      </w:r>
      <w:r w:rsidRPr="007D18E0">
        <w:rPr>
          <w:sz w:val="20"/>
          <w:szCs w:val="20"/>
        </w:rPr>
        <w:t>/M</w:t>
      </w:r>
      <w:r w:rsidRPr="007D18E0">
        <w:rPr>
          <w:sz w:val="20"/>
          <w:szCs w:val="20"/>
          <w:vertAlign w:val="superscript"/>
        </w:rPr>
        <w:t>3</w:t>
      </w:r>
      <w:r w:rsidRPr="007D18E0">
        <w:rPr>
          <w:sz w:val="20"/>
          <w:szCs w:val="20"/>
        </w:rPr>
        <w:t xml:space="preserve">/day) than that of the dry season (55.2 ± 4.2 </w:t>
      </w:r>
      <w:r w:rsidRPr="007D18E0">
        <w:rPr>
          <w:sz w:val="20"/>
          <w:szCs w:val="20"/>
          <w:lang w:val="af-ZA"/>
        </w:rPr>
        <w:t>KCal</w:t>
      </w:r>
      <w:r w:rsidRPr="007D18E0">
        <w:rPr>
          <w:sz w:val="20"/>
          <w:szCs w:val="20"/>
        </w:rPr>
        <w:t>/M</w:t>
      </w:r>
      <w:r w:rsidRPr="007D18E0">
        <w:rPr>
          <w:sz w:val="20"/>
          <w:szCs w:val="20"/>
          <w:vertAlign w:val="superscript"/>
        </w:rPr>
        <w:t>3</w:t>
      </w:r>
      <w:r w:rsidRPr="007D18E0">
        <w:rPr>
          <w:sz w:val="20"/>
          <w:szCs w:val="20"/>
        </w:rPr>
        <w:t>/day) (Table 3). The regression of Net Productivity and Respiration (y axis) on Gross Productivity (x axis) during both seasons (Figure 3) showed a high positive correlation (a = -10.2, b = 0.433, r = 0.796).</w:t>
      </w:r>
    </w:p>
    <w:p w:rsidR="00E75D7F" w:rsidRPr="007D18E0" w:rsidRDefault="00E75D7F" w:rsidP="00E75D7F">
      <w:pPr>
        <w:snapToGrid w:val="0"/>
        <w:jc w:val="both"/>
        <w:rPr>
          <w:b/>
          <w:noProof/>
          <w:color w:val="000000"/>
          <w:sz w:val="20"/>
          <w:szCs w:val="20"/>
        </w:rPr>
        <w:sectPr w:rsidR="00E75D7F" w:rsidRPr="007D18E0" w:rsidSect="00E75D7F">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num="2" w:space="600"/>
          <w:docGrid w:linePitch="360"/>
        </w:sectPr>
      </w:pPr>
    </w:p>
    <w:p w:rsidR="00A43719" w:rsidRPr="007D18E0" w:rsidRDefault="0098537A" w:rsidP="00E75D7F">
      <w:pPr>
        <w:snapToGrid w:val="0"/>
        <w:jc w:val="center"/>
        <w:rPr>
          <w:b/>
          <w:noProof/>
          <w:color w:val="000000"/>
          <w:sz w:val="20"/>
          <w:szCs w:val="20"/>
        </w:rPr>
      </w:pPr>
      <w:r w:rsidRPr="007D18E0">
        <w:rPr>
          <w:b/>
          <w:noProof/>
          <w:color w:val="000000"/>
          <w:sz w:val="20"/>
          <w:szCs w:val="20"/>
          <w:lang w:eastAsia="zh-CN"/>
        </w:rPr>
        <w:lastRenderedPageBreak/>
        <w:drawing>
          <wp:inline distT="0" distB="0" distL="0" distR="0">
            <wp:extent cx="4667416" cy="3332373"/>
            <wp:effectExtent l="0" t="0" r="0" b="0"/>
            <wp:docPr id="3"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37" cstate="print"/>
                    <a:srcRect l="-1172" t="-2118" r="-2333" b="-3587"/>
                    <a:stretch>
                      <a:fillRect/>
                    </a:stretch>
                  </pic:blipFill>
                  <pic:spPr bwMode="auto">
                    <a:xfrm>
                      <a:off x="0" y="0"/>
                      <a:ext cx="4667689" cy="3332568"/>
                    </a:xfrm>
                    <a:prstGeom prst="rect">
                      <a:avLst/>
                    </a:prstGeom>
                    <a:noFill/>
                    <a:ln w="9525">
                      <a:noFill/>
                      <a:miter lim="800000"/>
                      <a:headEnd/>
                      <a:tailEnd/>
                    </a:ln>
                  </pic:spPr>
                </pic:pic>
              </a:graphicData>
            </a:graphic>
          </wp:inline>
        </w:drawing>
      </w:r>
    </w:p>
    <w:p w:rsidR="00A43719" w:rsidRPr="007D18E0" w:rsidRDefault="00A43719" w:rsidP="001C22AB">
      <w:pPr>
        <w:snapToGrid w:val="0"/>
        <w:jc w:val="center"/>
        <w:rPr>
          <w:sz w:val="20"/>
          <w:szCs w:val="20"/>
        </w:rPr>
      </w:pPr>
      <w:r w:rsidRPr="007D18E0">
        <w:rPr>
          <w:sz w:val="20"/>
          <w:szCs w:val="20"/>
        </w:rPr>
        <w:t>Figure 3: Regression of Net Productivity and Respiration on Gross Productivity in Owalla reservoir</w:t>
      </w:r>
    </w:p>
    <w:p w:rsidR="00A43719" w:rsidRPr="007D18E0" w:rsidRDefault="00A43719" w:rsidP="00E75D7F">
      <w:pPr>
        <w:snapToGrid w:val="0"/>
        <w:jc w:val="both"/>
        <w:rPr>
          <w:b/>
          <w:bCs/>
          <w:color w:val="000000"/>
          <w:sz w:val="20"/>
          <w:szCs w:val="20"/>
          <w:lang w:eastAsia="en-GB"/>
        </w:rPr>
      </w:pPr>
    </w:p>
    <w:p w:rsidR="00A43719" w:rsidRPr="007D18E0" w:rsidRDefault="0098537A" w:rsidP="00E75D7F">
      <w:pPr>
        <w:snapToGrid w:val="0"/>
        <w:jc w:val="center"/>
        <w:rPr>
          <w:b/>
          <w:bCs/>
          <w:color w:val="000000"/>
          <w:sz w:val="20"/>
          <w:szCs w:val="20"/>
          <w:lang w:eastAsia="en-GB"/>
        </w:rPr>
      </w:pPr>
      <w:r w:rsidRPr="007D18E0">
        <w:rPr>
          <w:b/>
          <w:noProof/>
          <w:color w:val="000000"/>
          <w:sz w:val="20"/>
          <w:szCs w:val="20"/>
          <w:lang w:eastAsia="zh-CN"/>
        </w:rPr>
        <w:drawing>
          <wp:inline distT="0" distB="0" distL="0" distR="0">
            <wp:extent cx="4547126" cy="2703443"/>
            <wp:effectExtent l="19050" t="0" r="5824" b="0"/>
            <wp:docPr id="4"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38" cstate="print"/>
                    <a:srcRect/>
                    <a:stretch>
                      <a:fillRect/>
                    </a:stretch>
                  </pic:blipFill>
                  <pic:spPr bwMode="auto">
                    <a:xfrm>
                      <a:off x="0" y="0"/>
                      <a:ext cx="4547087" cy="2703420"/>
                    </a:xfrm>
                    <a:prstGeom prst="rect">
                      <a:avLst/>
                    </a:prstGeom>
                    <a:noFill/>
                    <a:ln w="9525">
                      <a:noFill/>
                      <a:miter lim="800000"/>
                      <a:headEnd/>
                      <a:tailEnd/>
                    </a:ln>
                  </pic:spPr>
                </pic:pic>
              </a:graphicData>
            </a:graphic>
          </wp:inline>
        </w:drawing>
      </w:r>
    </w:p>
    <w:p w:rsidR="00A43719" w:rsidRPr="007D18E0" w:rsidRDefault="00A43719" w:rsidP="00E75D7F">
      <w:pPr>
        <w:snapToGrid w:val="0"/>
        <w:jc w:val="center"/>
        <w:rPr>
          <w:sz w:val="20"/>
          <w:szCs w:val="20"/>
        </w:rPr>
      </w:pPr>
      <w:r w:rsidRPr="007D18E0">
        <w:rPr>
          <w:sz w:val="20"/>
          <w:szCs w:val="20"/>
        </w:rPr>
        <w:t>Figure 4: Regression of Net Productivity on Respiration in Owalla Reservoir</w:t>
      </w:r>
    </w:p>
    <w:p w:rsidR="00A43719" w:rsidRPr="007D18E0" w:rsidRDefault="00A43719" w:rsidP="00E75D7F">
      <w:pPr>
        <w:snapToGrid w:val="0"/>
        <w:jc w:val="center"/>
        <w:rPr>
          <w:b/>
          <w:bCs/>
          <w:color w:val="000000"/>
          <w:sz w:val="20"/>
          <w:szCs w:val="20"/>
          <w:lang w:eastAsia="en-GB"/>
        </w:rPr>
      </w:pPr>
    </w:p>
    <w:p w:rsidR="00A43719" w:rsidRPr="007D18E0" w:rsidRDefault="00A43719" w:rsidP="00E75D7F">
      <w:pPr>
        <w:snapToGrid w:val="0"/>
        <w:jc w:val="both"/>
        <w:rPr>
          <w:sz w:val="20"/>
          <w:szCs w:val="20"/>
        </w:rPr>
      </w:pPr>
      <w:r w:rsidRPr="007D18E0">
        <w:rPr>
          <w:b/>
          <w:bCs/>
          <w:color w:val="000000"/>
          <w:sz w:val="20"/>
          <w:szCs w:val="20"/>
          <w:lang w:eastAsia="en-GB"/>
        </w:rPr>
        <w:t xml:space="preserve">Table 1: </w:t>
      </w:r>
      <w:r w:rsidRPr="007D18E0">
        <w:rPr>
          <w:b/>
          <w:sz w:val="20"/>
          <w:szCs w:val="20"/>
        </w:rPr>
        <w:t xml:space="preserve">ANOVA statistics of the horizontal variation of the mean productivity </w:t>
      </w:r>
      <w:r w:rsidRPr="007D18E0">
        <w:rPr>
          <w:b/>
          <w:sz w:val="20"/>
          <w:szCs w:val="20"/>
          <w:lang w:val="af-ZA"/>
        </w:rPr>
        <w:t>(KCal/M</w:t>
      </w:r>
      <w:r w:rsidRPr="007D18E0">
        <w:rPr>
          <w:b/>
          <w:sz w:val="20"/>
          <w:szCs w:val="20"/>
          <w:vertAlign w:val="superscript"/>
          <w:lang w:val="af-ZA"/>
        </w:rPr>
        <w:t>3</w:t>
      </w:r>
      <w:r w:rsidRPr="007D18E0">
        <w:rPr>
          <w:b/>
          <w:sz w:val="20"/>
          <w:szCs w:val="20"/>
          <w:lang w:val="af-ZA"/>
        </w:rPr>
        <w:t>/day)</w:t>
      </w:r>
      <w:r w:rsidRPr="007D18E0">
        <w:rPr>
          <w:b/>
          <w:sz w:val="20"/>
          <w:szCs w:val="20"/>
        </w:rPr>
        <w:t xml:space="preserve"> of Owalla Reservoir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528"/>
        <w:gridCol w:w="1816"/>
        <w:gridCol w:w="1816"/>
        <w:gridCol w:w="1339"/>
        <w:gridCol w:w="1243"/>
      </w:tblGrid>
      <w:tr w:rsidR="00A43719" w:rsidRPr="007D18E0" w:rsidTr="007D18E0">
        <w:trPr>
          <w:jc w:val="center"/>
        </w:trPr>
        <w:tc>
          <w:tcPr>
            <w:tcW w:w="958" w:type="pct"/>
            <w:vMerge w:val="restart"/>
          </w:tcPr>
          <w:p w:rsidR="00A43719" w:rsidRPr="007D18E0" w:rsidRDefault="00A43719" w:rsidP="00E75D7F">
            <w:pPr>
              <w:snapToGrid w:val="0"/>
              <w:contextualSpacing/>
              <w:jc w:val="both"/>
              <w:rPr>
                <w:color w:val="000000"/>
                <w:sz w:val="20"/>
                <w:szCs w:val="20"/>
              </w:rPr>
            </w:pPr>
            <w:r w:rsidRPr="007D18E0">
              <w:rPr>
                <w:color w:val="000000"/>
                <w:sz w:val="20"/>
                <w:szCs w:val="20"/>
              </w:rPr>
              <w:t>Parameter</w:t>
            </w:r>
          </w:p>
        </w:tc>
        <w:tc>
          <w:tcPr>
            <w:tcW w:w="798" w:type="pct"/>
          </w:tcPr>
          <w:p w:rsidR="00A43719" w:rsidRPr="007D18E0" w:rsidRDefault="00A43719" w:rsidP="00E75D7F">
            <w:pPr>
              <w:snapToGrid w:val="0"/>
              <w:contextualSpacing/>
              <w:jc w:val="both"/>
              <w:rPr>
                <w:color w:val="000000"/>
                <w:sz w:val="20"/>
                <w:szCs w:val="20"/>
              </w:rPr>
            </w:pPr>
            <w:r w:rsidRPr="007D18E0">
              <w:rPr>
                <w:color w:val="000000"/>
                <w:sz w:val="20"/>
                <w:szCs w:val="20"/>
              </w:rPr>
              <w:t>Upper Basin</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Mid-Basin</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Lower Basin</w:t>
            </w:r>
          </w:p>
        </w:tc>
        <w:tc>
          <w:tcPr>
            <w:tcW w:w="1347" w:type="pct"/>
            <w:gridSpan w:val="2"/>
          </w:tcPr>
          <w:p w:rsidR="00A43719" w:rsidRPr="007D18E0" w:rsidRDefault="00A43719" w:rsidP="00E75D7F">
            <w:pPr>
              <w:snapToGrid w:val="0"/>
              <w:contextualSpacing/>
              <w:jc w:val="both"/>
              <w:rPr>
                <w:color w:val="000000"/>
                <w:sz w:val="20"/>
                <w:szCs w:val="20"/>
              </w:rPr>
            </w:pPr>
            <w:r w:rsidRPr="007D18E0">
              <w:rPr>
                <w:color w:val="000000"/>
                <w:sz w:val="20"/>
                <w:szCs w:val="20"/>
              </w:rPr>
              <w:t>ANOVA</w:t>
            </w:r>
          </w:p>
        </w:tc>
      </w:tr>
      <w:tr w:rsidR="00A43719" w:rsidRPr="007D18E0" w:rsidTr="007D18E0">
        <w:trPr>
          <w:jc w:val="center"/>
        </w:trPr>
        <w:tc>
          <w:tcPr>
            <w:tcW w:w="958" w:type="pct"/>
            <w:vMerge/>
          </w:tcPr>
          <w:p w:rsidR="00A43719" w:rsidRPr="007D18E0" w:rsidRDefault="00A43719" w:rsidP="00E75D7F">
            <w:pPr>
              <w:snapToGrid w:val="0"/>
              <w:contextualSpacing/>
              <w:jc w:val="both"/>
              <w:rPr>
                <w:b/>
                <w:color w:val="000000"/>
                <w:sz w:val="20"/>
                <w:szCs w:val="20"/>
              </w:rPr>
            </w:pPr>
          </w:p>
        </w:tc>
        <w:tc>
          <w:tcPr>
            <w:tcW w:w="798" w:type="pct"/>
          </w:tcPr>
          <w:p w:rsidR="00A43719" w:rsidRPr="007D18E0" w:rsidRDefault="00A43719" w:rsidP="00E75D7F">
            <w:pPr>
              <w:snapToGrid w:val="0"/>
              <w:contextualSpacing/>
              <w:jc w:val="both"/>
              <w:rPr>
                <w:color w:val="000000"/>
                <w:sz w:val="20"/>
                <w:szCs w:val="20"/>
              </w:rPr>
            </w:pPr>
            <w:r w:rsidRPr="007D18E0">
              <w:rPr>
                <w:color w:val="000000"/>
                <w:sz w:val="20"/>
                <w:szCs w:val="20"/>
              </w:rPr>
              <w:t>Mean±SE</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Mean±SE</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Mean±SE</w:t>
            </w:r>
          </w:p>
        </w:tc>
        <w:tc>
          <w:tcPr>
            <w:tcW w:w="699" w:type="pct"/>
          </w:tcPr>
          <w:p w:rsidR="00A43719" w:rsidRPr="007D18E0" w:rsidRDefault="00A43719" w:rsidP="00E75D7F">
            <w:pPr>
              <w:snapToGrid w:val="0"/>
              <w:contextualSpacing/>
              <w:jc w:val="both"/>
              <w:rPr>
                <w:color w:val="000000"/>
                <w:sz w:val="20"/>
                <w:szCs w:val="20"/>
              </w:rPr>
            </w:pPr>
            <w:r w:rsidRPr="007D18E0">
              <w:rPr>
                <w:color w:val="000000"/>
                <w:sz w:val="20"/>
                <w:szCs w:val="20"/>
              </w:rPr>
              <w:t>F</w:t>
            </w:r>
          </w:p>
        </w:tc>
        <w:tc>
          <w:tcPr>
            <w:tcW w:w="649" w:type="pct"/>
          </w:tcPr>
          <w:p w:rsidR="00A43719" w:rsidRPr="007D18E0" w:rsidRDefault="00A43719" w:rsidP="00E75D7F">
            <w:pPr>
              <w:snapToGrid w:val="0"/>
              <w:contextualSpacing/>
              <w:jc w:val="both"/>
              <w:rPr>
                <w:color w:val="000000"/>
                <w:sz w:val="20"/>
                <w:szCs w:val="20"/>
              </w:rPr>
            </w:pPr>
            <w:r w:rsidRPr="007D18E0">
              <w:rPr>
                <w:color w:val="000000"/>
                <w:sz w:val="20"/>
                <w:szCs w:val="20"/>
              </w:rPr>
              <w:t>P</w:t>
            </w:r>
          </w:p>
        </w:tc>
      </w:tr>
      <w:tr w:rsidR="00A43719" w:rsidRPr="007D18E0" w:rsidTr="007D18E0">
        <w:trPr>
          <w:jc w:val="center"/>
        </w:trPr>
        <w:tc>
          <w:tcPr>
            <w:tcW w:w="958" w:type="pct"/>
            <w:vMerge/>
          </w:tcPr>
          <w:p w:rsidR="00A43719" w:rsidRPr="007D18E0" w:rsidRDefault="00A43719" w:rsidP="00E75D7F">
            <w:pPr>
              <w:snapToGrid w:val="0"/>
              <w:contextualSpacing/>
              <w:jc w:val="both"/>
              <w:rPr>
                <w:color w:val="000000"/>
                <w:sz w:val="20"/>
                <w:szCs w:val="20"/>
              </w:rPr>
            </w:pPr>
          </w:p>
        </w:tc>
        <w:tc>
          <w:tcPr>
            <w:tcW w:w="798" w:type="pct"/>
          </w:tcPr>
          <w:p w:rsidR="00A43719" w:rsidRPr="007D18E0" w:rsidRDefault="00A43719" w:rsidP="00E75D7F">
            <w:pPr>
              <w:snapToGrid w:val="0"/>
              <w:contextualSpacing/>
              <w:jc w:val="both"/>
              <w:rPr>
                <w:color w:val="000000"/>
                <w:sz w:val="20"/>
                <w:szCs w:val="20"/>
              </w:rPr>
            </w:pPr>
            <w:r w:rsidRPr="007D18E0">
              <w:rPr>
                <w:color w:val="000000"/>
                <w:sz w:val="20"/>
                <w:szCs w:val="20"/>
              </w:rPr>
              <w:t>n=16</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n=28</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n=24</w:t>
            </w:r>
          </w:p>
        </w:tc>
        <w:tc>
          <w:tcPr>
            <w:tcW w:w="699" w:type="pct"/>
          </w:tcPr>
          <w:p w:rsidR="00A43719" w:rsidRPr="007D18E0" w:rsidRDefault="00A43719" w:rsidP="00E75D7F">
            <w:pPr>
              <w:snapToGrid w:val="0"/>
              <w:contextualSpacing/>
              <w:jc w:val="both"/>
              <w:rPr>
                <w:color w:val="000000"/>
                <w:sz w:val="20"/>
                <w:szCs w:val="20"/>
              </w:rPr>
            </w:pPr>
          </w:p>
        </w:tc>
        <w:tc>
          <w:tcPr>
            <w:tcW w:w="649" w:type="pct"/>
          </w:tcPr>
          <w:p w:rsidR="00A43719" w:rsidRPr="007D18E0" w:rsidRDefault="00A43719" w:rsidP="00E75D7F">
            <w:pPr>
              <w:snapToGrid w:val="0"/>
              <w:contextualSpacing/>
              <w:jc w:val="both"/>
              <w:rPr>
                <w:color w:val="000000"/>
                <w:sz w:val="20"/>
                <w:szCs w:val="20"/>
              </w:rPr>
            </w:pPr>
          </w:p>
        </w:tc>
      </w:tr>
      <w:tr w:rsidR="00A43719" w:rsidRPr="007D18E0" w:rsidTr="007D18E0">
        <w:trPr>
          <w:trHeight w:val="92"/>
          <w:jc w:val="center"/>
        </w:trPr>
        <w:tc>
          <w:tcPr>
            <w:tcW w:w="958" w:type="pct"/>
          </w:tcPr>
          <w:p w:rsidR="00A43719" w:rsidRPr="007D18E0" w:rsidRDefault="00A43719" w:rsidP="00E75D7F">
            <w:pPr>
              <w:snapToGrid w:val="0"/>
              <w:contextualSpacing/>
              <w:jc w:val="both"/>
              <w:rPr>
                <w:color w:val="000000"/>
                <w:sz w:val="20"/>
                <w:szCs w:val="20"/>
              </w:rPr>
            </w:pPr>
            <w:r w:rsidRPr="007D18E0">
              <w:rPr>
                <w:color w:val="000000"/>
                <w:sz w:val="20"/>
                <w:szCs w:val="20"/>
              </w:rPr>
              <w:t>Net Productivity</w:t>
            </w:r>
          </w:p>
        </w:tc>
        <w:tc>
          <w:tcPr>
            <w:tcW w:w="798" w:type="pct"/>
          </w:tcPr>
          <w:p w:rsidR="00A43719" w:rsidRPr="007D18E0" w:rsidRDefault="00A43719" w:rsidP="00E75D7F">
            <w:pPr>
              <w:snapToGrid w:val="0"/>
              <w:contextualSpacing/>
              <w:jc w:val="both"/>
              <w:rPr>
                <w:color w:val="000000"/>
                <w:sz w:val="20"/>
                <w:szCs w:val="20"/>
              </w:rPr>
            </w:pPr>
            <w:r w:rsidRPr="007D18E0">
              <w:rPr>
                <w:color w:val="000000"/>
                <w:sz w:val="20"/>
                <w:szCs w:val="20"/>
              </w:rPr>
              <w:t>42.7±6.3</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34.4±2.6</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35.6±4.1</w:t>
            </w:r>
          </w:p>
        </w:tc>
        <w:tc>
          <w:tcPr>
            <w:tcW w:w="699"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1.031</w:t>
            </w:r>
          </w:p>
        </w:tc>
        <w:tc>
          <w:tcPr>
            <w:tcW w:w="649"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0.362</w:t>
            </w:r>
          </w:p>
        </w:tc>
      </w:tr>
      <w:tr w:rsidR="00A43719" w:rsidRPr="007D18E0" w:rsidTr="007D18E0">
        <w:trPr>
          <w:jc w:val="center"/>
        </w:trPr>
        <w:tc>
          <w:tcPr>
            <w:tcW w:w="958" w:type="pct"/>
          </w:tcPr>
          <w:p w:rsidR="00A43719" w:rsidRPr="007D18E0" w:rsidRDefault="00A43719" w:rsidP="00E75D7F">
            <w:pPr>
              <w:snapToGrid w:val="0"/>
              <w:contextualSpacing/>
              <w:jc w:val="both"/>
              <w:rPr>
                <w:color w:val="000000"/>
                <w:sz w:val="20"/>
                <w:szCs w:val="20"/>
              </w:rPr>
            </w:pPr>
            <w:r w:rsidRPr="007D18E0">
              <w:rPr>
                <w:color w:val="000000"/>
                <w:sz w:val="20"/>
                <w:szCs w:val="20"/>
              </w:rPr>
              <w:t>Respiration</w:t>
            </w:r>
          </w:p>
        </w:tc>
        <w:tc>
          <w:tcPr>
            <w:tcW w:w="798" w:type="pct"/>
          </w:tcPr>
          <w:p w:rsidR="00A43719" w:rsidRPr="007D18E0" w:rsidRDefault="00A43719" w:rsidP="00E75D7F">
            <w:pPr>
              <w:snapToGrid w:val="0"/>
              <w:contextualSpacing/>
              <w:jc w:val="both"/>
              <w:rPr>
                <w:color w:val="000000"/>
                <w:sz w:val="20"/>
                <w:szCs w:val="20"/>
              </w:rPr>
            </w:pPr>
            <w:r w:rsidRPr="007D18E0">
              <w:rPr>
                <w:color w:val="000000"/>
                <w:sz w:val="20"/>
                <w:szCs w:val="20"/>
              </w:rPr>
              <w:t>32.3±6.4</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26.3±2.6</w:t>
            </w:r>
          </w:p>
        </w:tc>
        <w:tc>
          <w:tcPr>
            <w:tcW w:w="948" w:type="pct"/>
          </w:tcPr>
          <w:p w:rsidR="00A43719" w:rsidRPr="007D18E0" w:rsidRDefault="00A43719" w:rsidP="00E75D7F">
            <w:pPr>
              <w:snapToGrid w:val="0"/>
              <w:contextualSpacing/>
              <w:jc w:val="both"/>
              <w:rPr>
                <w:color w:val="000000"/>
                <w:sz w:val="20"/>
                <w:szCs w:val="20"/>
              </w:rPr>
            </w:pPr>
            <w:r w:rsidRPr="007D18E0">
              <w:rPr>
                <w:color w:val="000000"/>
                <w:sz w:val="20"/>
                <w:szCs w:val="20"/>
              </w:rPr>
              <w:t>23.8±3.2</w:t>
            </w:r>
          </w:p>
        </w:tc>
        <w:tc>
          <w:tcPr>
            <w:tcW w:w="699"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1.134</w:t>
            </w:r>
          </w:p>
        </w:tc>
        <w:tc>
          <w:tcPr>
            <w:tcW w:w="649"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0.328</w:t>
            </w:r>
          </w:p>
        </w:tc>
      </w:tr>
      <w:tr w:rsidR="00A43719" w:rsidRPr="007D18E0" w:rsidTr="007D18E0">
        <w:trPr>
          <w:jc w:val="center"/>
        </w:trPr>
        <w:tc>
          <w:tcPr>
            <w:tcW w:w="958" w:type="pct"/>
          </w:tcPr>
          <w:p w:rsidR="00A43719" w:rsidRPr="007D18E0" w:rsidRDefault="00A43719" w:rsidP="00E75D7F">
            <w:pPr>
              <w:snapToGrid w:val="0"/>
              <w:contextualSpacing/>
              <w:jc w:val="both"/>
              <w:rPr>
                <w:color w:val="000000"/>
                <w:sz w:val="20"/>
                <w:szCs w:val="20"/>
              </w:rPr>
            </w:pPr>
            <w:r w:rsidRPr="007D18E0">
              <w:rPr>
                <w:color w:val="000000"/>
                <w:sz w:val="20"/>
                <w:szCs w:val="20"/>
              </w:rPr>
              <w:t>Gross Productivity</w:t>
            </w:r>
          </w:p>
        </w:tc>
        <w:tc>
          <w:tcPr>
            <w:tcW w:w="798"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73.9±7.5</w:t>
            </w:r>
          </w:p>
        </w:tc>
        <w:tc>
          <w:tcPr>
            <w:tcW w:w="948"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61.2±3.6</w:t>
            </w:r>
          </w:p>
        </w:tc>
        <w:tc>
          <w:tcPr>
            <w:tcW w:w="948"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57.9±4.6</w:t>
            </w:r>
          </w:p>
        </w:tc>
        <w:tc>
          <w:tcPr>
            <w:tcW w:w="699"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0.936</w:t>
            </w:r>
          </w:p>
        </w:tc>
        <w:tc>
          <w:tcPr>
            <w:tcW w:w="649"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0.398</w:t>
            </w:r>
          </w:p>
        </w:tc>
      </w:tr>
    </w:tbl>
    <w:p w:rsidR="00A43719" w:rsidRPr="007D18E0" w:rsidRDefault="00A43719" w:rsidP="00E75D7F">
      <w:pPr>
        <w:snapToGrid w:val="0"/>
        <w:jc w:val="center"/>
        <w:rPr>
          <w:b/>
          <w:bCs/>
          <w:color w:val="000000"/>
          <w:sz w:val="20"/>
          <w:szCs w:val="20"/>
          <w:lang w:eastAsia="en-GB"/>
        </w:rPr>
      </w:pPr>
    </w:p>
    <w:p w:rsidR="00A43719" w:rsidRPr="007D18E0" w:rsidRDefault="00A43719" w:rsidP="00E75D7F">
      <w:pPr>
        <w:snapToGrid w:val="0"/>
        <w:jc w:val="both"/>
        <w:rPr>
          <w:b/>
          <w:sz w:val="20"/>
          <w:szCs w:val="20"/>
        </w:rPr>
      </w:pPr>
      <w:r w:rsidRPr="007D18E0">
        <w:rPr>
          <w:b/>
          <w:bCs/>
          <w:color w:val="000000"/>
          <w:sz w:val="20"/>
          <w:szCs w:val="20"/>
          <w:lang w:eastAsia="en-GB"/>
        </w:rPr>
        <w:lastRenderedPageBreak/>
        <w:t xml:space="preserve">Table 2: </w:t>
      </w:r>
      <w:r w:rsidRPr="007D18E0">
        <w:rPr>
          <w:b/>
          <w:sz w:val="20"/>
          <w:szCs w:val="20"/>
        </w:rPr>
        <w:t xml:space="preserve">ANOVA statistics of the vertical variation of the mean productivity </w:t>
      </w:r>
      <w:r w:rsidRPr="007D18E0">
        <w:rPr>
          <w:b/>
          <w:sz w:val="20"/>
          <w:szCs w:val="20"/>
          <w:lang w:val="af-ZA"/>
        </w:rPr>
        <w:t>(KCal/M</w:t>
      </w:r>
      <w:r w:rsidRPr="007D18E0">
        <w:rPr>
          <w:b/>
          <w:sz w:val="20"/>
          <w:szCs w:val="20"/>
          <w:vertAlign w:val="superscript"/>
          <w:lang w:val="af-ZA"/>
        </w:rPr>
        <w:t>3</w:t>
      </w:r>
      <w:r w:rsidRPr="007D18E0">
        <w:rPr>
          <w:b/>
          <w:sz w:val="20"/>
          <w:szCs w:val="20"/>
          <w:lang w:val="af-ZA"/>
        </w:rPr>
        <w:t xml:space="preserve">/day) </w:t>
      </w:r>
      <w:r w:rsidRPr="007D18E0">
        <w:rPr>
          <w:b/>
          <w:sz w:val="20"/>
          <w:szCs w:val="20"/>
        </w:rPr>
        <w:t>of Owalla Reservoir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7"/>
        <w:gridCol w:w="1636"/>
        <w:gridCol w:w="1473"/>
        <w:gridCol w:w="1356"/>
        <w:gridCol w:w="1145"/>
        <w:gridCol w:w="1879"/>
      </w:tblGrid>
      <w:tr w:rsidR="00A43719" w:rsidRPr="007D18E0" w:rsidTr="007D18E0">
        <w:trPr>
          <w:jc w:val="center"/>
        </w:trPr>
        <w:tc>
          <w:tcPr>
            <w:tcW w:w="1090" w:type="pct"/>
            <w:vMerge w:val="restart"/>
          </w:tcPr>
          <w:p w:rsidR="00A43719" w:rsidRPr="007D18E0" w:rsidRDefault="00A43719" w:rsidP="00E75D7F">
            <w:pPr>
              <w:snapToGrid w:val="0"/>
              <w:contextualSpacing/>
              <w:jc w:val="both"/>
              <w:rPr>
                <w:color w:val="000000"/>
                <w:sz w:val="20"/>
                <w:szCs w:val="20"/>
              </w:rPr>
            </w:pPr>
            <w:r w:rsidRPr="007D18E0">
              <w:rPr>
                <w:color w:val="000000"/>
                <w:sz w:val="20"/>
                <w:szCs w:val="20"/>
              </w:rPr>
              <w:t>Parameter</w:t>
            </w:r>
          </w:p>
        </w:tc>
        <w:tc>
          <w:tcPr>
            <w:tcW w:w="854" w:type="pct"/>
            <w:tcBorders>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Surface</w:t>
            </w:r>
          </w:p>
        </w:tc>
        <w:tc>
          <w:tcPr>
            <w:tcW w:w="769" w:type="pct"/>
            <w:tcBorders>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Mid-Depth</w:t>
            </w:r>
          </w:p>
        </w:tc>
        <w:tc>
          <w:tcPr>
            <w:tcW w:w="708" w:type="pct"/>
            <w:tcBorders>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Bottom</w:t>
            </w:r>
          </w:p>
        </w:tc>
        <w:tc>
          <w:tcPr>
            <w:tcW w:w="1579" w:type="pct"/>
            <w:gridSpan w:val="2"/>
            <w:tcBorders>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ANOVA</w:t>
            </w:r>
          </w:p>
        </w:tc>
      </w:tr>
      <w:tr w:rsidR="00A43719" w:rsidRPr="007D18E0" w:rsidTr="007D18E0">
        <w:trPr>
          <w:jc w:val="center"/>
        </w:trPr>
        <w:tc>
          <w:tcPr>
            <w:tcW w:w="1090" w:type="pct"/>
            <w:vMerge/>
          </w:tcPr>
          <w:p w:rsidR="00A43719" w:rsidRPr="007D18E0" w:rsidRDefault="00A43719" w:rsidP="00E75D7F">
            <w:pPr>
              <w:snapToGrid w:val="0"/>
              <w:contextualSpacing/>
              <w:jc w:val="both"/>
              <w:rPr>
                <w:color w:val="000000"/>
                <w:sz w:val="20"/>
                <w:szCs w:val="20"/>
              </w:rPr>
            </w:pPr>
          </w:p>
        </w:tc>
        <w:tc>
          <w:tcPr>
            <w:tcW w:w="854" w:type="pct"/>
            <w:tcBorders>
              <w:top w:val="single" w:sz="4" w:space="0" w:color="auto"/>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Mean±SE</w:t>
            </w:r>
          </w:p>
        </w:tc>
        <w:tc>
          <w:tcPr>
            <w:tcW w:w="769" w:type="pct"/>
            <w:tcBorders>
              <w:top w:val="single" w:sz="4" w:space="0" w:color="auto"/>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Mean±SE</w:t>
            </w:r>
          </w:p>
        </w:tc>
        <w:tc>
          <w:tcPr>
            <w:tcW w:w="708" w:type="pct"/>
            <w:tcBorders>
              <w:top w:val="single" w:sz="4" w:space="0" w:color="auto"/>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Mean±SE</w:t>
            </w:r>
          </w:p>
        </w:tc>
        <w:tc>
          <w:tcPr>
            <w:tcW w:w="598" w:type="pct"/>
            <w:tcBorders>
              <w:top w:val="single" w:sz="4" w:space="0" w:color="auto"/>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F</w:t>
            </w:r>
          </w:p>
        </w:tc>
        <w:tc>
          <w:tcPr>
            <w:tcW w:w="981" w:type="pct"/>
            <w:tcBorders>
              <w:top w:val="single" w:sz="4" w:space="0" w:color="auto"/>
              <w:bottom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P</w:t>
            </w:r>
          </w:p>
        </w:tc>
      </w:tr>
      <w:tr w:rsidR="00A43719" w:rsidRPr="007D18E0" w:rsidTr="007D18E0">
        <w:trPr>
          <w:jc w:val="center"/>
        </w:trPr>
        <w:tc>
          <w:tcPr>
            <w:tcW w:w="1090" w:type="pct"/>
            <w:vMerge/>
          </w:tcPr>
          <w:p w:rsidR="00A43719" w:rsidRPr="007D18E0" w:rsidRDefault="00A43719" w:rsidP="00E75D7F">
            <w:pPr>
              <w:snapToGrid w:val="0"/>
              <w:contextualSpacing/>
              <w:jc w:val="both"/>
              <w:rPr>
                <w:color w:val="000000"/>
                <w:sz w:val="20"/>
                <w:szCs w:val="20"/>
              </w:rPr>
            </w:pPr>
          </w:p>
        </w:tc>
        <w:tc>
          <w:tcPr>
            <w:tcW w:w="854" w:type="pct"/>
            <w:tcBorders>
              <w:top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n=28</w:t>
            </w:r>
          </w:p>
        </w:tc>
        <w:tc>
          <w:tcPr>
            <w:tcW w:w="769" w:type="pct"/>
            <w:tcBorders>
              <w:top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n=20</w:t>
            </w:r>
          </w:p>
        </w:tc>
        <w:tc>
          <w:tcPr>
            <w:tcW w:w="708" w:type="pct"/>
            <w:tcBorders>
              <w:top w:val="single" w:sz="4" w:space="0" w:color="auto"/>
            </w:tcBorders>
          </w:tcPr>
          <w:p w:rsidR="00A43719" w:rsidRPr="007D18E0" w:rsidRDefault="00A43719" w:rsidP="00E75D7F">
            <w:pPr>
              <w:snapToGrid w:val="0"/>
              <w:contextualSpacing/>
              <w:jc w:val="both"/>
              <w:rPr>
                <w:color w:val="000000"/>
                <w:sz w:val="20"/>
                <w:szCs w:val="20"/>
              </w:rPr>
            </w:pPr>
            <w:r w:rsidRPr="007D18E0">
              <w:rPr>
                <w:color w:val="000000"/>
                <w:sz w:val="20"/>
                <w:szCs w:val="20"/>
              </w:rPr>
              <w:t>n=20</w:t>
            </w:r>
          </w:p>
        </w:tc>
        <w:tc>
          <w:tcPr>
            <w:tcW w:w="598" w:type="pct"/>
            <w:tcBorders>
              <w:top w:val="single" w:sz="4" w:space="0" w:color="auto"/>
            </w:tcBorders>
          </w:tcPr>
          <w:p w:rsidR="00A43719" w:rsidRPr="007D18E0" w:rsidRDefault="00A43719" w:rsidP="00E75D7F">
            <w:pPr>
              <w:snapToGrid w:val="0"/>
              <w:contextualSpacing/>
              <w:jc w:val="both"/>
              <w:rPr>
                <w:color w:val="000000"/>
                <w:sz w:val="20"/>
                <w:szCs w:val="20"/>
              </w:rPr>
            </w:pPr>
          </w:p>
        </w:tc>
        <w:tc>
          <w:tcPr>
            <w:tcW w:w="981" w:type="pct"/>
            <w:tcBorders>
              <w:top w:val="single" w:sz="4" w:space="0" w:color="auto"/>
            </w:tcBorders>
          </w:tcPr>
          <w:p w:rsidR="00A43719" w:rsidRPr="007D18E0" w:rsidRDefault="00A43719" w:rsidP="00E75D7F">
            <w:pPr>
              <w:snapToGrid w:val="0"/>
              <w:contextualSpacing/>
              <w:jc w:val="both"/>
              <w:rPr>
                <w:color w:val="000000"/>
                <w:sz w:val="20"/>
                <w:szCs w:val="20"/>
              </w:rPr>
            </w:pPr>
          </w:p>
        </w:tc>
      </w:tr>
      <w:tr w:rsidR="00A43719" w:rsidRPr="007D18E0" w:rsidTr="007D18E0">
        <w:trPr>
          <w:jc w:val="center"/>
        </w:trPr>
        <w:tc>
          <w:tcPr>
            <w:tcW w:w="1090" w:type="pct"/>
          </w:tcPr>
          <w:p w:rsidR="00A43719" w:rsidRPr="007D18E0" w:rsidRDefault="00A43719" w:rsidP="00E75D7F">
            <w:pPr>
              <w:snapToGrid w:val="0"/>
              <w:contextualSpacing/>
              <w:jc w:val="both"/>
              <w:rPr>
                <w:color w:val="000000"/>
                <w:sz w:val="20"/>
                <w:szCs w:val="20"/>
              </w:rPr>
            </w:pPr>
            <w:r w:rsidRPr="007D18E0">
              <w:rPr>
                <w:color w:val="000000"/>
                <w:sz w:val="20"/>
                <w:szCs w:val="20"/>
              </w:rPr>
              <w:t>Net Productivity</w:t>
            </w:r>
          </w:p>
        </w:tc>
        <w:tc>
          <w:tcPr>
            <w:tcW w:w="854" w:type="pct"/>
          </w:tcPr>
          <w:p w:rsidR="00A43719" w:rsidRPr="007D18E0" w:rsidRDefault="00A43719" w:rsidP="00E75D7F">
            <w:pPr>
              <w:snapToGrid w:val="0"/>
              <w:contextualSpacing/>
              <w:jc w:val="both"/>
              <w:rPr>
                <w:color w:val="000000"/>
                <w:sz w:val="20"/>
                <w:szCs w:val="20"/>
              </w:rPr>
            </w:pPr>
            <w:r w:rsidRPr="007D18E0">
              <w:rPr>
                <w:color w:val="000000"/>
                <w:sz w:val="20"/>
                <w:szCs w:val="20"/>
              </w:rPr>
              <w:t>25.4±1.1</w:t>
            </w:r>
          </w:p>
        </w:tc>
        <w:tc>
          <w:tcPr>
            <w:tcW w:w="769" w:type="pct"/>
          </w:tcPr>
          <w:p w:rsidR="00A43719" w:rsidRPr="007D18E0" w:rsidRDefault="00A43719" w:rsidP="00E75D7F">
            <w:pPr>
              <w:snapToGrid w:val="0"/>
              <w:contextualSpacing/>
              <w:jc w:val="both"/>
              <w:rPr>
                <w:color w:val="000000"/>
                <w:sz w:val="20"/>
                <w:szCs w:val="20"/>
              </w:rPr>
            </w:pPr>
            <w:r w:rsidRPr="007D18E0">
              <w:rPr>
                <w:color w:val="000000"/>
                <w:sz w:val="20"/>
                <w:szCs w:val="20"/>
              </w:rPr>
              <w:t>21.8±2.3</w:t>
            </w:r>
          </w:p>
        </w:tc>
        <w:tc>
          <w:tcPr>
            <w:tcW w:w="708" w:type="pct"/>
          </w:tcPr>
          <w:p w:rsidR="00A43719" w:rsidRPr="007D18E0" w:rsidRDefault="00A43719" w:rsidP="00E75D7F">
            <w:pPr>
              <w:snapToGrid w:val="0"/>
              <w:contextualSpacing/>
              <w:jc w:val="both"/>
              <w:rPr>
                <w:color w:val="000000"/>
                <w:sz w:val="20"/>
                <w:szCs w:val="20"/>
              </w:rPr>
            </w:pPr>
            <w:r w:rsidRPr="007D18E0">
              <w:rPr>
                <w:color w:val="000000"/>
                <w:sz w:val="20"/>
                <w:szCs w:val="20"/>
              </w:rPr>
              <w:t>9.8±1.0</w:t>
            </w:r>
          </w:p>
        </w:tc>
        <w:tc>
          <w:tcPr>
            <w:tcW w:w="598"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28.63</w:t>
            </w:r>
          </w:p>
        </w:tc>
        <w:tc>
          <w:tcPr>
            <w:tcW w:w="981"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1.21E-09***</w:t>
            </w:r>
          </w:p>
        </w:tc>
      </w:tr>
      <w:tr w:rsidR="00A43719" w:rsidRPr="007D18E0" w:rsidTr="007D18E0">
        <w:trPr>
          <w:jc w:val="center"/>
        </w:trPr>
        <w:tc>
          <w:tcPr>
            <w:tcW w:w="1090" w:type="pct"/>
          </w:tcPr>
          <w:p w:rsidR="00A43719" w:rsidRPr="007D18E0" w:rsidRDefault="00A43719" w:rsidP="00E75D7F">
            <w:pPr>
              <w:snapToGrid w:val="0"/>
              <w:contextualSpacing/>
              <w:jc w:val="both"/>
              <w:rPr>
                <w:color w:val="000000"/>
                <w:sz w:val="20"/>
                <w:szCs w:val="20"/>
              </w:rPr>
            </w:pPr>
            <w:r w:rsidRPr="007D18E0">
              <w:rPr>
                <w:color w:val="000000"/>
                <w:sz w:val="20"/>
                <w:szCs w:val="20"/>
              </w:rPr>
              <w:t>Respiration</w:t>
            </w:r>
          </w:p>
        </w:tc>
        <w:tc>
          <w:tcPr>
            <w:tcW w:w="854" w:type="pct"/>
          </w:tcPr>
          <w:p w:rsidR="00A43719" w:rsidRPr="007D18E0" w:rsidRDefault="00A43719" w:rsidP="00E75D7F">
            <w:pPr>
              <w:snapToGrid w:val="0"/>
              <w:contextualSpacing/>
              <w:jc w:val="both"/>
              <w:rPr>
                <w:color w:val="000000"/>
                <w:sz w:val="20"/>
                <w:szCs w:val="20"/>
              </w:rPr>
            </w:pPr>
            <w:r w:rsidRPr="007D18E0">
              <w:rPr>
                <w:color w:val="000000"/>
                <w:sz w:val="20"/>
                <w:szCs w:val="20"/>
              </w:rPr>
              <w:t>42.0±3.6</w:t>
            </w:r>
          </w:p>
        </w:tc>
        <w:tc>
          <w:tcPr>
            <w:tcW w:w="769" w:type="pct"/>
          </w:tcPr>
          <w:p w:rsidR="00A43719" w:rsidRPr="007D18E0" w:rsidRDefault="00A43719" w:rsidP="00E75D7F">
            <w:pPr>
              <w:snapToGrid w:val="0"/>
              <w:contextualSpacing/>
              <w:jc w:val="both"/>
              <w:rPr>
                <w:color w:val="000000"/>
                <w:sz w:val="20"/>
                <w:szCs w:val="20"/>
              </w:rPr>
            </w:pPr>
            <w:r w:rsidRPr="007D18E0">
              <w:rPr>
                <w:color w:val="000000"/>
                <w:sz w:val="20"/>
                <w:szCs w:val="20"/>
              </w:rPr>
              <w:t>38.0±4.3</w:t>
            </w:r>
          </w:p>
        </w:tc>
        <w:tc>
          <w:tcPr>
            <w:tcW w:w="708" w:type="pct"/>
          </w:tcPr>
          <w:p w:rsidR="00A43719" w:rsidRPr="007D18E0" w:rsidRDefault="00A43719" w:rsidP="00E75D7F">
            <w:pPr>
              <w:snapToGrid w:val="0"/>
              <w:contextualSpacing/>
              <w:jc w:val="both"/>
              <w:rPr>
                <w:color w:val="000000"/>
                <w:sz w:val="20"/>
                <w:szCs w:val="20"/>
              </w:rPr>
            </w:pPr>
            <w:r w:rsidRPr="007D18E0">
              <w:rPr>
                <w:color w:val="000000"/>
                <w:sz w:val="20"/>
                <w:szCs w:val="20"/>
              </w:rPr>
              <w:t>28.5±3.8</w:t>
            </w:r>
          </w:p>
        </w:tc>
        <w:tc>
          <w:tcPr>
            <w:tcW w:w="598"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3.137</w:t>
            </w:r>
          </w:p>
        </w:tc>
        <w:tc>
          <w:tcPr>
            <w:tcW w:w="981"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0.05*</w:t>
            </w:r>
          </w:p>
        </w:tc>
      </w:tr>
      <w:tr w:rsidR="00A43719" w:rsidRPr="007D18E0" w:rsidTr="007D18E0">
        <w:trPr>
          <w:jc w:val="center"/>
        </w:trPr>
        <w:tc>
          <w:tcPr>
            <w:tcW w:w="1090" w:type="pct"/>
          </w:tcPr>
          <w:p w:rsidR="00A43719" w:rsidRPr="007D18E0" w:rsidRDefault="00A43719" w:rsidP="00E75D7F">
            <w:pPr>
              <w:snapToGrid w:val="0"/>
              <w:contextualSpacing/>
              <w:jc w:val="both"/>
              <w:rPr>
                <w:color w:val="000000"/>
                <w:sz w:val="20"/>
                <w:szCs w:val="20"/>
              </w:rPr>
            </w:pPr>
            <w:r w:rsidRPr="007D18E0">
              <w:rPr>
                <w:color w:val="000000"/>
                <w:sz w:val="20"/>
                <w:szCs w:val="20"/>
              </w:rPr>
              <w:t>Gross Productivity</w:t>
            </w:r>
          </w:p>
        </w:tc>
        <w:tc>
          <w:tcPr>
            <w:tcW w:w="854" w:type="pct"/>
          </w:tcPr>
          <w:p w:rsidR="00A43719" w:rsidRPr="007D18E0" w:rsidRDefault="00A43719" w:rsidP="00E75D7F">
            <w:pPr>
              <w:snapToGrid w:val="0"/>
              <w:contextualSpacing/>
              <w:jc w:val="both"/>
              <w:rPr>
                <w:color w:val="000000"/>
                <w:sz w:val="20"/>
                <w:szCs w:val="20"/>
              </w:rPr>
            </w:pPr>
            <w:r w:rsidRPr="007D18E0">
              <w:rPr>
                <w:color w:val="000000"/>
                <w:sz w:val="20"/>
                <w:szCs w:val="20"/>
              </w:rPr>
              <w:t>67.4±3.9</w:t>
            </w:r>
          </w:p>
        </w:tc>
        <w:tc>
          <w:tcPr>
            <w:tcW w:w="769" w:type="pct"/>
          </w:tcPr>
          <w:p w:rsidR="00A43719" w:rsidRPr="007D18E0" w:rsidRDefault="00A43719" w:rsidP="00E75D7F">
            <w:pPr>
              <w:snapToGrid w:val="0"/>
              <w:contextualSpacing/>
              <w:jc w:val="both"/>
              <w:rPr>
                <w:color w:val="000000"/>
                <w:sz w:val="20"/>
                <w:szCs w:val="20"/>
              </w:rPr>
            </w:pPr>
            <w:r w:rsidRPr="007D18E0">
              <w:rPr>
                <w:color w:val="000000"/>
                <w:sz w:val="20"/>
                <w:szCs w:val="20"/>
              </w:rPr>
              <w:t>59.7±4.8</w:t>
            </w:r>
          </w:p>
        </w:tc>
        <w:tc>
          <w:tcPr>
            <w:tcW w:w="708" w:type="pct"/>
          </w:tcPr>
          <w:p w:rsidR="00A43719" w:rsidRPr="007D18E0" w:rsidRDefault="00A43719" w:rsidP="00E75D7F">
            <w:pPr>
              <w:snapToGrid w:val="0"/>
              <w:contextualSpacing/>
              <w:jc w:val="both"/>
              <w:rPr>
                <w:color w:val="000000"/>
                <w:sz w:val="20"/>
                <w:szCs w:val="20"/>
              </w:rPr>
            </w:pPr>
            <w:r w:rsidRPr="007D18E0">
              <w:rPr>
                <w:color w:val="000000"/>
                <w:sz w:val="20"/>
                <w:szCs w:val="20"/>
              </w:rPr>
              <w:t>39.2±4.2</w:t>
            </w:r>
          </w:p>
        </w:tc>
        <w:tc>
          <w:tcPr>
            <w:tcW w:w="598"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11.6</w:t>
            </w:r>
          </w:p>
        </w:tc>
        <w:tc>
          <w:tcPr>
            <w:tcW w:w="981" w:type="pct"/>
            <w:vAlign w:val="bottom"/>
          </w:tcPr>
          <w:p w:rsidR="00A43719" w:rsidRPr="007D18E0" w:rsidRDefault="00A43719" w:rsidP="00E75D7F">
            <w:pPr>
              <w:snapToGrid w:val="0"/>
              <w:contextualSpacing/>
              <w:jc w:val="both"/>
              <w:rPr>
                <w:color w:val="000000"/>
                <w:sz w:val="20"/>
                <w:szCs w:val="20"/>
              </w:rPr>
            </w:pPr>
            <w:r w:rsidRPr="007D18E0">
              <w:rPr>
                <w:color w:val="000000"/>
                <w:sz w:val="20"/>
                <w:szCs w:val="20"/>
              </w:rPr>
              <w:t>0.00049***</w:t>
            </w:r>
          </w:p>
        </w:tc>
      </w:tr>
    </w:tbl>
    <w:p w:rsidR="00A43719" w:rsidRPr="007D18E0" w:rsidRDefault="00A43719" w:rsidP="00E75D7F">
      <w:pPr>
        <w:snapToGrid w:val="0"/>
        <w:jc w:val="both"/>
        <w:rPr>
          <w:sz w:val="20"/>
          <w:szCs w:val="20"/>
        </w:rPr>
      </w:pPr>
      <w:r w:rsidRPr="007D18E0">
        <w:rPr>
          <w:b/>
          <w:sz w:val="20"/>
          <w:szCs w:val="20"/>
        </w:rPr>
        <w:t xml:space="preserve">* </w:t>
      </w:r>
      <w:r w:rsidRPr="007D18E0">
        <w:rPr>
          <w:sz w:val="20"/>
          <w:szCs w:val="20"/>
        </w:rPr>
        <w:t>Significant (P≤0.05)</w:t>
      </w:r>
    </w:p>
    <w:p w:rsidR="00A43719" w:rsidRPr="007D18E0" w:rsidRDefault="00A43719" w:rsidP="00E75D7F">
      <w:pPr>
        <w:snapToGrid w:val="0"/>
        <w:jc w:val="both"/>
        <w:rPr>
          <w:bCs/>
          <w:color w:val="000000"/>
          <w:sz w:val="20"/>
          <w:szCs w:val="20"/>
          <w:lang w:eastAsia="en-GB"/>
        </w:rPr>
      </w:pPr>
      <w:r w:rsidRPr="007D18E0">
        <w:rPr>
          <w:b/>
          <w:bCs/>
          <w:color w:val="000000"/>
          <w:sz w:val="20"/>
          <w:szCs w:val="20"/>
          <w:lang w:eastAsia="en-GB"/>
        </w:rPr>
        <w:t>**</w:t>
      </w:r>
      <w:r w:rsidRPr="007D18E0">
        <w:rPr>
          <w:bCs/>
          <w:color w:val="000000"/>
          <w:sz w:val="20"/>
          <w:szCs w:val="20"/>
          <w:lang w:eastAsia="en-GB"/>
        </w:rPr>
        <w:t xml:space="preserve">Very highly Significant </w:t>
      </w:r>
      <w:r w:rsidRPr="007D18E0">
        <w:rPr>
          <w:sz w:val="20"/>
          <w:szCs w:val="20"/>
        </w:rPr>
        <w:t>(P≤0.001)</w:t>
      </w:r>
    </w:p>
    <w:p w:rsidR="00E75D7F" w:rsidRPr="007D18E0" w:rsidRDefault="00E75D7F" w:rsidP="00E75D7F">
      <w:pPr>
        <w:snapToGrid w:val="0"/>
        <w:jc w:val="center"/>
        <w:rPr>
          <w:b/>
          <w:bCs/>
          <w:color w:val="000000"/>
          <w:sz w:val="20"/>
          <w:szCs w:val="20"/>
          <w:lang w:eastAsia="zh-CN"/>
        </w:rPr>
      </w:pPr>
    </w:p>
    <w:p w:rsidR="00A43719" w:rsidRPr="007D18E0" w:rsidRDefault="00A43719" w:rsidP="00E75D7F">
      <w:pPr>
        <w:snapToGrid w:val="0"/>
        <w:jc w:val="center"/>
        <w:rPr>
          <w:b/>
          <w:sz w:val="20"/>
          <w:szCs w:val="20"/>
        </w:rPr>
      </w:pPr>
      <w:r w:rsidRPr="007D18E0">
        <w:rPr>
          <w:b/>
          <w:bCs/>
          <w:color w:val="000000"/>
          <w:sz w:val="20"/>
          <w:szCs w:val="20"/>
          <w:lang w:eastAsia="en-GB"/>
        </w:rPr>
        <w:t xml:space="preserve">Table 3: </w:t>
      </w:r>
      <w:r w:rsidRPr="007D18E0">
        <w:rPr>
          <w:b/>
          <w:sz w:val="20"/>
          <w:szCs w:val="20"/>
        </w:rPr>
        <w:t xml:space="preserve">ANOVA statistics of the mean seasonal productivity </w:t>
      </w:r>
      <w:r w:rsidRPr="007D18E0">
        <w:rPr>
          <w:b/>
          <w:sz w:val="20"/>
          <w:szCs w:val="20"/>
          <w:lang w:val="af-ZA"/>
        </w:rPr>
        <w:t>(KCal/M</w:t>
      </w:r>
      <w:r w:rsidRPr="007D18E0">
        <w:rPr>
          <w:b/>
          <w:sz w:val="20"/>
          <w:szCs w:val="20"/>
          <w:vertAlign w:val="superscript"/>
          <w:lang w:val="af-ZA"/>
        </w:rPr>
        <w:t>3</w:t>
      </w:r>
      <w:r w:rsidRPr="007D18E0">
        <w:rPr>
          <w:b/>
          <w:sz w:val="20"/>
          <w:szCs w:val="20"/>
          <w:lang w:val="af-ZA"/>
        </w:rPr>
        <w:t xml:space="preserve">/day) </w:t>
      </w:r>
      <w:r w:rsidRPr="007D18E0">
        <w:rPr>
          <w:b/>
          <w:sz w:val="20"/>
          <w:szCs w:val="20"/>
        </w:rPr>
        <w:t>of Owalla Reservoir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3"/>
        <w:gridCol w:w="1988"/>
        <w:gridCol w:w="2279"/>
        <w:gridCol w:w="1157"/>
        <w:gridCol w:w="1159"/>
      </w:tblGrid>
      <w:tr w:rsidR="00A43719" w:rsidRPr="007D18E0" w:rsidTr="007D18E0">
        <w:trPr>
          <w:jc w:val="center"/>
        </w:trPr>
        <w:tc>
          <w:tcPr>
            <w:tcW w:w="1563" w:type="pct"/>
            <w:vMerge w:val="restar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Parameter</w:t>
            </w:r>
          </w:p>
        </w:tc>
        <w:tc>
          <w:tcPr>
            <w:tcW w:w="1038"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Dry Season</w:t>
            </w:r>
          </w:p>
        </w:tc>
        <w:tc>
          <w:tcPr>
            <w:tcW w:w="1190"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Rainy Season</w:t>
            </w:r>
          </w:p>
        </w:tc>
        <w:tc>
          <w:tcPr>
            <w:tcW w:w="1209" w:type="pct"/>
            <w:gridSpan w:val="2"/>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ANOVA</w:t>
            </w:r>
          </w:p>
        </w:tc>
      </w:tr>
      <w:tr w:rsidR="00A43719" w:rsidRPr="007D18E0" w:rsidTr="007D18E0">
        <w:trPr>
          <w:jc w:val="center"/>
        </w:trPr>
        <w:tc>
          <w:tcPr>
            <w:tcW w:w="1563" w:type="pct"/>
            <w:vMerge/>
            <w:vAlign w:val="center"/>
          </w:tcPr>
          <w:p w:rsidR="00A43719" w:rsidRPr="007D18E0" w:rsidRDefault="00A43719" w:rsidP="00E75D7F">
            <w:pPr>
              <w:snapToGrid w:val="0"/>
              <w:contextualSpacing/>
              <w:jc w:val="both"/>
              <w:rPr>
                <w:b/>
                <w:color w:val="000000"/>
                <w:sz w:val="20"/>
                <w:szCs w:val="20"/>
              </w:rPr>
            </w:pPr>
          </w:p>
        </w:tc>
        <w:tc>
          <w:tcPr>
            <w:tcW w:w="1038"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Mean±SE</w:t>
            </w:r>
          </w:p>
        </w:tc>
        <w:tc>
          <w:tcPr>
            <w:tcW w:w="1190"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Mean±SE</w:t>
            </w:r>
          </w:p>
        </w:tc>
        <w:tc>
          <w:tcPr>
            <w:tcW w:w="604"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F</w:t>
            </w:r>
          </w:p>
        </w:tc>
        <w:tc>
          <w:tcPr>
            <w:tcW w:w="604"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P</w:t>
            </w:r>
          </w:p>
        </w:tc>
      </w:tr>
      <w:tr w:rsidR="00A43719" w:rsidRPr="007D18E0" w:rsidTr="007D18E0">
        <w:trPr>
          <w:jc w:val="center"/>
        </w:trPr>
        <w:tc>
          <w:tcPr>
            <w:tcW w:w="1563" w:type="pct"/>
            <w:vMerge/>
            <w:vAlign w:val="center"/>
          </w:tcPr>
          <w:p w:rsidR="00A43719" w:rsidRPr="007D18E0" w:rsidRDefault="00A43719" w:rsidP="00E75D7F">
            <w:pPr>
              <w:snapToGrid w:val="0"/>
              <w:contextualSpacing/>
              <w:jc w:val="both"/>
              <w:rPr>
                <w:color w:val="000000"/>
                <w:sz w:val="20"/>
                <w:szCs w:val="20"/>
              </w:rPr>
            </w:pPr>
          </w:p>
        </w:tc>
        <w:tc>
          <w:tcPr>
            <w:tcW w:w="1038"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n=34</w:t>
            </w:r>
          </w:p>
        </w:tc>
        <w:tc>
          <w:tcPr>
            <w:tcW w:w="1190"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n=34</w:t>
            </w:r>
          </w:p>
        </w:tc>
        <w:tc>
          <w:tcPr>
            <w:tcW w:w="604" w:type="pct"/>
            <w:vAlign w:val="center"/>
          </w:tcPr>
          <w:p w:rsidR="00A43719" w:rsidRPr="007D18E0" w:rsidRDefault="00A43719" w:rsidP="00E75D7F">
            <w:pPr>
              <w:snapToGrid w:val="0"/>
              <w:contextualSpacing/>
              <w:jc w:val="both"/>
              <w:rPr>
                <w:color w:val="000000"/>
                <w:sz w:val="20"/>
                <w:szCs w:val="20"/>
              </w:rPr>
            </w:pPr>
          </w:p>
        </w:tc>
        <w:tc>
          <w:tcPr>
            <w:tcW w:w="604" w:type="pct"/>
            <w:vAlign w:val="center"/>
          </w:tcPr>
          <w:p w:rsidR="00A43719" w:rsidRPr="007D18E0" w:rsidRDefault="00A43719" w:rsidP="00E75D7F">
            <w:pPr>
              <w:snapToGrid w:val="0"/>
              <w:contextualSpacing/>
              <w:jc w:val="both"/>
              <w:rPr>
                <w:color w:val="000000"/>
                <w:sz w:val="20"/>
                <w:szCs w:val="20"/>
              </w:rPr>
            </w:pPr>
          </w:p>
        </w:tc>
      </w:tr>
      <w:tr w:rsidR="00A43719" w:rsidRPr="007D18E0" w:rsidTr="007D18E0">
        <w:trPr>
          <w:jc w:val="center"/>
        </w:trPr>
        <w:tc>
          <w:tcPr>
            <w:tcW w:w="1563"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Net Productivity</w:t>
            </w:r>
          </w:p>
        </w:tc>
        <w:tc>
          <w:tcPr>
            <w:tcW w:w="1038"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19.8± 1.6</w:t>
            </w:r>
          </w:p>
        </w:tc>
        <w:tc>
          <w:tcPr>
            <w:tcW w:w="1190"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19.7 ±1.7</w:t>
            </w:r>
          </w:p>
        </w:tc>
        <w:tc>
          <w:tcPr>
            <w:tcW w:w="604"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0.304</w:t>
            </w:r>
          </w:p>
        </w:tc>
        <w:tc>
          <w:tcPr>
            <w:tcW w:w="604"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0.583</w:t>
            </w:r>
          </w:p>
        </w:tc>
      </w:tr>
      <w:tr w:rsidR="00A43719" w:rsidRPr="007D18E0" w:rsidTr="007D18E0">
        <w:trPr>
          <w:jc w:val="center"/>
        </w:trPr>
        <w:tc>
          <w:tcPr>
            <w:tcW w:w="1563"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Respiration</w:t>
            </w:r>
          </w:p>
        </w:tc>
        <w:tc>
          <w:tcPr>
            <w:tcW w:w="1038"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36.9± 2.9</w:t>
            </w:r>
          </w:p>
        </w:tc>
        <w:tc>
          <w:tcPr>
            <w:tcW w:w="1190"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33.1± 4.2</w:t>
            </w:r>
          </w:p>
        </w:tc>
        <w:tc>
          <w:tcPr>
            <w:tcW w:w="604"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0.596</w:t>
            </w:r>
          </w:p>
        </w:tc>
        <w:tc>
          <w:tcPr>
            <w:tcW w:w="604"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0.443</w:t>
            </w:r>
          </w:p>
        </w:tc>
      </w:tr>
      <w:tr w:rsidR="00A43719" w:rsidRPr="007D18E0" w:rsidTr="007D18E0">
        <w:trPr>
          <w:jc w:val="center"/>
        </w:trPr>
        <w:tc>
          <w:tcPr>
            <w:tcW w:w="1563"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Gross Productivity</w:t>
            </w:r>
          </w:p>
        </w:tc>
        <w:tc>
          <w:tcPr>
            <w:tcW w:w="1038"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57.8± 4.9</w:t>
            </w:r>
          </w:p>
        </w:tc>
        <w:tc>
          <w:tcPr>
            <w:tcW w:w="1190"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55.2± 4.2</w:t>
            </w:r>
          </w:p>
        </w:tc>
        <w:tc>
          <w:tcPr>
            <w:tcW w:w="604"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0.001</w:t>
            </w:r>
          </w:p>
        </w:tc>
        <w:tc>
          <w:tcPr>
            <w:tcW w:w="604" w:type="pct"/>
            <w:vAlign w:val="center"/>
          </w:tcPr>
          <w:p w:rsidR="00A43719" w:rsidRPr="007D18E0" w:rsidRDefault="00A43719" w:rsidP="00E75D7F">
            <w:pPr>
              <w:snapToGrid w:val="0"/>
              <w:contextualSpacing/>
              <w:jc w:val="both"/>
              <w:rPr>
                <w:color w:val="000000"/>
                <w:sz w:val="20"/>
                <w:szCs w:val="20"/>
              </w:rPr>
            </w:pPr>
            <w:r w:rsidRPr="007D18E0">
              <w:rPr>
                <w:color w:val="000000"/>
                <w:sz w:val="20"/>
                <w:szCs w:val="20"/>
              </w:rPr>
              <w:t>0.973</w:t>
            </w:r>
          </w:p>
        </w:tc>
      </w:tr>
    </w:tbl>
    <w:p w:rsidR="00E75D7F" w:rsidRPr="007D18E0" w:rsidRDefault="00E75D7F" w:rsidP="00E75D7F">
      <w:pPr>
        <w:snapToGrid w:val="0"/>
        <w:jc w:val="both"/>
        <w:rPr>
          <w:b/>
          <w:color w:val="FF0000"/>
          <w:sz w:val="20"/>
          <w:szCs w:val="20"/>
        </w:rPr>
      </w:pPr>
    </w:p>
    <w:p w:rsidR="00E75D7F" w:rsidRPr="007D18E0" w:rsidRDefault="00E75D7F" w:rsidP="00E75D7F">
      <w:pPr>
        <w:snapToGrid w:val="0"/>
        <w:jc w:val="both"/>
        <w:rPr>
          <w:b/>
          <w:color w:val="FF0000"/>
          <w:sz w:val="20"/>
          <w:szCs w:val="20"/>
        </w:rPr>
        <w:sectPr w:rsidR="00E75D7F" w:rsidRPr="007D18E0" w:rsidSect="0034636B">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space="576"/>
          <w:docGrid w:linePitch="360"/>
        </w:sectPr>
      </w:pPr>
    </w:p>
    <w:p w:rsidR="007E5A01" w:rsidRPr="007D18E0" w:rsidRDefault="007E5A01" w:rsidP="00E75D7F">
      <w:pPr>
        <w:snapToGrid w:val="0"/>
        <w:jc w:val="both"/>
        <w:rPr>
          <w:b/>
          <w:sz w:val="20"/>
          <w:szCs w:val="20"/>
        </w:rPr>
      </w:pPr>
      <w:r w:rsidRPr="007D18E0">
        <w:rPr>
          <w:b/>
          <w:sz w:val="20"/>
          <w:szCs w:val="20"/>
        </w:rPr>
        <w:lastRenderedPageBreak/>
        <w:t>4.0. Discussion</w:t>
      </w:r>
    </w:p>
    <w:p w:rsidR="007E5A01" w:rsidRPr="007D18E0" w:rsidRDefault="007E5A01" w:rsidP="00E75D7F">
      <w:pPr>
        <w:snapToGrid w:val="0"/>
        <w:ind w:firstLine="425"/>
        <w:jc w:val="both"/>
        <w:rPr>
          <w:sz w:val="20"/>
          <w:szCs w:val="20"/>
        </w:rPr>
      </w:pPr>
      <w:r w:rsidRPr="007D18E0">
        <w:rPr>
          <w:sz w:val="20"/>
          <w:szCs w:val="20"/>
        </w:rPr>
        <w:t>Primary productivity through the water column was higher at the surface than at other levels. The higher primary productivity at the surface followed the pattern of</w:t>
      </w:r>
      <w:r w:rsidR="001C22AB" w:rsidRPr="007D18E0">
        <w:rPr>
          <w:sz w:val="20"/>
          <w:szCs w:val="20"/>
        </w:rPr>
        <w:t xml:space="preserve"> </w:t>
      </w:r>
      <w:r w:rsidRPr="007D18E0">
        <w:rPr>
          <w:sz w:val="20"/>
          <w:szCs w:val="20"/>
        </w:rPr>
        <w:t>underwater light penetration in a typical reservoir which decreases with increase in depth and turbidity, This</w:t>
      </w:r>
      <w:r w:rsidR="001C22AB" w:rsidRPr="007D18E0">
        <w:rPr>
          <w:sz w:val="20"/>
          <w:szCs w:val="20"/>
        </w:rPr>
        <w:t xml:space="preserve"> </w:t>
      </w:r>
      <w:r w:rsidRPr="007D18E0">
        <w:rPr>
          <w:sz w:val="20"/>
          <w:szCs w:val="20"/>
        </w:rPr>
        <w:t>may also be the</w:t>
      </w:r>
      <w:r w:rsidR="001C22AB" w:rsidRPr="007D18E0">
        <w:rPr>
          <w:sz w:val="20"/>
          <w:szCs w:val="20"/>
        </w:rPr>
        <w:t xml:space="preserve"> </w:t>
      </w:r>
      <w:r w:rsidRPr="007D18E0">
        <w:rPr>
          <w:sz w:val="20"/>
          <w:szCs w:val="20"/>
        </w:rPr>
        <w:t>reason</w:t>
      </w:r>
      <w:r w:rsidR="001C22AB" w:rsidRPr="007D18E0">
        <w:rPr>
          <w:sz w:val="20"/>
          <w:szCs w:val="20"/>
        </w:rPr>
        <w:t xml:space="preserve"> </w:t>
      </w:r>
      <w:r w:rsidRPr="007D18E0">
        <w:rPr>
          <w:sz w:val="20"/>
          <w:szCs w:val="20"/>
        </w:rPr>
        <w:t>for</w:t>
      </w:r>
      <w:r w:rsidR="001C22AB" w:rsidRPr="007D18E0">
        <w:rPr>
          <w:sz w:val="20"/>
          <w:szCs w:val="20"/>
        </w:rPr>
        <w:t xml:space="preserve"> </w:t>
      </w:r>
      <w:r w:rsidRPr="007D18E0">
        <w:rPr>
          <w:sz w:val="20"/>
          <w:szCs w:val="20"/>
        </w:rPr>
        <w:t>decrease in gross</w:t>
      </w:r>
      <w:r w:rsidR="001C22AB" w:rsidRPr="007D18E0">
        <w:rPr>
          <w:sz w:val="20"/>
          <w:szCs w:val="20"/>
        </w:rPr>
        <w:t xml:space="preserve"> </w:t>
      </w:r>
      <w:r w:rsidRPr="007D18E0">
        <w:rPr>
          <w:sz w:val="20"/>
          <w:szCs w:val="20"/>
        </w:rPr>
        <w:t>primary</w:t>
      </w:r>
      <w:r w:rsidR="001C22AB" w:rsidRPr="007D18E0">
        <w:rPr>
          <w:sz w:val="20"/>
          <w:szCs w:val="20"/>
        </w:rPr>
        <w:t xml:space="preserve"> </w:t>
      </w:r>
      <w:r w:rsidRPr="007D18E0">
        <w:rPr>
          <w:sz w:val="20"/>
          <w:szCs w:val="20"/>
        </w:rPr>
        <w:t>productivity</w:t>
      </w:r>
      <w:r w:rsidR="001C22AB" w:rsidRPr="007D18E0">
        <w:rPr>
          <w:sz w:val="20"/>
          <w:szCs w:val="20"/>
        </w:rPr>
        <w:t xml:space="preserve"> </w:t>
      </w:r>
      <w:r w:rsidRPr="007D18E0">
        <w:rPr>
          <w:sz w:val="20"/>
          <w:szCs w:val="20"/>
        </w:rPr>
        <w:t>in the rainy season and increased gross productivity during the dry season as also reported by other researchers such as Egborge (1970); Gupta and Gupta (2006);</w:t>
      </w:r>
      <w:r w:rsidR="001C22AB" w:rsidRPr="007D18E0">
        <w:rPr>
          <w:sz w:val="20"/>
          <w:szCs w:val="20"/>
        </w:rPr>
        <w:t xml:space="preserve"> </w:t>
      </w:r>
      <w:r w:rsidRPr="007D18E0">
        <w:rPr>
          <w:sz w:val="20"/>
          <w:szCs w:val="20"/>
        </w:rPr>
        <w:t>Akinyemi and Nwakwo (2006);</w:t>
      </w:r>
      <w:r w:rsidR="001C22AB" w:rsidRPr="007D18E0">
        <w:rPr>
          <w:sz w:val="20"/>
          <w:szCs w:val="20"/>
        </w:rPr>
        <w:t xml:space="preserve"> </w:t>
      </w:r>
      <w:r w:rsidRPr="007D18E0">
        <w:rPr>
          <w:sz w:val="20"/>
          <w:szCs w:val="20"/>
        </w:rPr>
        <w:t xml:space="preserve">Atobatele and Ugumba (2008). Also, the decrease in gross primary productivity in the rainy season may be attributed to the light inhibition due to cloud cover as well as high water current during the season as posited by Madhupratap </w:t>
      </w:r>
      <w:r w:rsidRPr="007D18E0">
        <w:rPr>
          <w:i/>
          <w:sz w:val="20"/>
          <w:szCs w:val="20"/>
        </w:rPr>
        <w:t>et al</w:t>
      </w:r>
      <w:r w:rsidRPr="007D18E0">
        <w:rPr>
          <w:sz w:val="20"/>
          <w:szCs w:val="20"/>
        </w:rPr>
        <w:t>. (2001).</w:t>
      </w:r>
    </w:p>
    <w:p w:rsidR="007E5A01" w:rsidRPr="007D18E0" w:rsidRDefault="007E5A01" w:rsidP="00E75D7F">
      <w:pPr>
        <w:snapToGrid w:val="0"/>
        <w:ind w:firstLine="425"/>
        <w:jc w:val="both"/>
        <w:rPr>
          <w:sz w:val="20"/>
          <w:szCs w:val="20"/>
        </w:rPr>
      </w:pPr>
      <w:r w:rsidRPr="007D18E0">
        <w:rPr>
          <w:color w:val="000000"/>
          <w:sz w:val="20"/>
          <w:szCs w:val="20"/>
        </w:rPr>
        <w:t xml:space="preserve">As noted by </w:t>
      </w:r>
      <w:r w:rsidRPr="007D18E0">
        <w:rPr>
          <w:bCs/>
          <w:color w:val="000000"/>
          <w:sz w:val="20"/>
          <w:szCs w:val="20"/>
        </w:rPr>
        <w:t xml:space="preserve">Mohanty </w:t>
      </w:r>
      <w:r w:rsidRPr="007D18E0">
        <w:rPr>
          <w:bCs/>
          <w:i/>
          <w:color w:val="000000"/>
          <w:sz w:val="20"/>
          <w:szCs w:val="20"/>
        </w:rPr>
        <w:t>et al.</w:t>
      </w:r>
      <w:r w:rsidRPr="007D18E0">
        <w:rPr>
          <w:bCs/>
          <w:color w:val="000000"/>
          <w:sz w:val="20"/>
          <w:szCs w:val="20"/>
        </w:rPr>
        <w:t xml:space="preserve"> (2014</w:t>
      </w:r>
      <w:r w:rsidRPr="007D18E0">
        <w:rPr>
          <w:sz w:val="20"/>
          <w:szCs w:val="20"/>
        </w:rPr>
        <w:t xml:space="preserve">), </w:t>
      </w:r>
      <w:r w:rsidRPr="007D18E0">
        <w:rPr>
          <w:color w:val="000000"/>
          <w:sz w:val="20"/>
          <w:szCs w:val="20"/>
        </w:rPr>
        <w:t>the net productivity, gross productivity and respiration of Owalla Reservoir were higher at the upper basin than at the lower basin.</w:t>
      </w:r>
      <w:r w:rsidRPr="007D18E0">
        <w:rPr>
          <w:color w:val="FF0000"/>
          <w:sz w:val="20"/>
          <w:szCs w:val="20"/>
        </w:rPr>
        <w:t xml:space="preserve"> </w:t>
      </w:r>
      <w:r w:rsidRPr="007D18E0">
        <w:rPr>
          <w:sz w:val="20"/>
          <w:szCs w:val="20"/>
        </w:rPr>
        <w:t>The organic matter entering the system, through flooded riverine system may cause increase in oxygen through increased phytoplankton photosynthetic activities with increased demand of dissolved oxygen for the oxidation of allochthonous organic matter.</w:t>
      </w:r>
    </w:p>
    <w:p w:rsidR="007E5A01" w:rsidRPr="007D18E0" w:rsidRDefault="007E5A01" w:rsidP="00E75D7F">
      <w:pPr>
        <w:snapToGrid w:val="0"/>
        <w:ind w:firstLine="425"/>
        <w:jc w:val="both"/>
        <w:rPr>
          <w:sz w:val="20"/>
          <w:szCs w:val="20"/>
        </w:rPr>
      </w:pPr>
      <w:r w:rsidRPr="007D18E0">
        <w:rPr>
          <w:sz w:val="20"/>
          <w:szCs w:val="20"/>
        </w:rPr>
        <w:t xml:space="preserve">The ratio of net primary production to gross primary production is essential for the evaluation of the amount of net production available to the consumers (Singh and Singh, 1999). The ratio of net primary production to gross primary production as well as net primary production to respiration was 0.36 and 0.60 respectively during rainy season and 0.34 and 0.54 during dry season while horizontally it was 0.68 and 1.32 at the upper basin and 0.62 and 1.50 at the down basin. The ratio of net primary productivity to respiration value was less than 1 for both rainy </w:t>
      </w:r>
      <w:r w:rsidRPr="007D18E0">
        <w:rPr>
          <w:sz w:val="20"/>
          <w:szCs w:val="20"/>
        </w:rPr>
        <w:lastRenderedPageBreak/>
        <w:t xml:space="preserve">season and dry season (0.60, 0.54) but higher than one (1) at the upstream stations and downstream stations (1.32, 1.50). This may be attributed to reduced penetration of light into water due to suspended particulate matter leading to reduced photosynthetic activities and in turn a decrease in productivity during rainy season. The increase in water temperature which was likely to stimulate the growth of microbial population and in turn the utilization of more oxygen for their metabolic activities (Moharana and Patra, 2013; Ahmld and Singh, 1987; and Dash </w:t>
      </w:r>
      <w:r w:rsidRPr="007D18E0">
        <w:rPr>
          <w:i/>
          <w:sz w:val="20"/>
          <w:szCs w:val="20"/>
        </w:rPr>
        <w:t>et al</w:t>
      </w:r>
      <w:r w:rsidRPr="007D18E0">
        <w:rPr>
          <w:sz w:val="20"/>
          <w:szCs w:val="20"/>
        </w:rPr>
        <w:t>., 2011) during the dry season may also account for the less than one ratio during the dry season.</w:t>
      </w:r>
    </w:p>
    <w:p w:rsidR="007E5A01" w:rsidRPr="007D18E0" w:rsidRDefault="007E5A01" w:rsidP="00E75D7F">
      <w:pPr>
        <w:snapToGrid w:val="0"/>
        <w:ind w:firstLine="425"/>
        <w:jc w:val="both"/>
        <w:rPr>
          <w:sz w:val="20"/>
          <w:szCs w:val="20"/>
        </w:rPr>
      </w:pPr>
      <w:r w:rsidRPr="007D18E0">
        <w:rPr>
          <w:sz w:val="20"/>
          <w:szCs w:val="20"/>
        </w:rPr>
        <w:t>In conclusion, Owalla Reservoir is productive with great potential to support rich aquatic community and fishery production.</w:t>
      </w:r>
      <w:r w:rsidR="001C22AB" w:rsidRPr="007D18E0">
        <w:rPr>
          <w:sz w:val="20"/>
          <w:szCs w:val="20"/>
        </w:rPr>
        <w:t xml:space="preserve"> </w:t>
      </w:r>
      <w:r w:rsidRPr="007D18E0">
        <w:rPr>
          <w:sz w:val="20"/>
          <w:szCs w:val="20"/>
        </w:rPr>
        <w:t>The reservoir can be classified as oligotrophic based on primary productivity level. However, the lake should be subjected to regular proper monitoring because of the likely effect of some human activities (like open space defaecation, washing and bathing with detergents and soaps and grazing of cows around the water shed) observed during the study. Such activities may add nutrient to the water body leading to algal bloom which in turn will cause deterioration in water quality resulting in the loss of aquatic organisms.</w:t>
      </w:r>
    </w:p>
    <w:p w:rsidR="007E5A01" w:rsidRPr="007D18E0" w:rsidRDefault="007E5A01" w:rsidP="00E75D7F">
      <w:pPr>
        <w:snapToGrid w:val="0"/>
        <w:jc w:val="both"/>
        <w:rPr>
          <w:b/>
          <w:color w:val="FF0000"/>
          <w:sz w:val="20"/>
          <w:szCs w:val="20"/>
        </w:rPr>
      </w:pPr>
    </w:p>
    <w:p w:rsidR="007E5A01" w:rsidRPr="007D18E0" w:rsidRDefault="007E5A01" w:rsidP="00E75D7F">
      <w:pPr>
        <w:snapToGrid w:val="0"/>
        <w:jc w:val="both"/>
        <w:rPr>
          <w:b/>
          <w:sz w:val="20"/>
          <w:szCs w:val="20"/>
        </w:rPr>
      </w:pPr>
      <w:r w:rsidRPr="007D18E0">
        <w:rPr>
          <w:b/>
          <w:sz w:val="20"/>
          <w:szCs w:val="20"/>
        </w:rPr>
        <w:t>Acknowledgements:</w:t>
      </w:r>
    </w:p>
    <w:p w:rsidR="007E5A01" w:rsidRPr="007D18E0" w:rsidRDefault="007E5A01" w:rsidP="00E75D7F">
      <w:pPr>
        <w:snapToGrid w:val="0"/>
        <w:ind w:firstLine="425"/>
        <w:jc w:val="both"/>
        <w:rPr>
          <w:sz w:val="20"/>
          <w:szCs w:val="20"/>
        </w:rPr>
      </w:pPr>
      <w:r w:rsidRPr="007D18E0">
        <w:rPr>
          <w:sz w:val="20"/>
          <w:szCs w:val="20"/>
        </w:rPr>
        <w:t>The Authors are grateful to the Department of Zoology, Faculty of Science, Obafemi Awolowo University, Ile-Ife, Osun State, Nigeria.</w:t>
      </w:r>
    </w:p>
    <w:p w:rsidR="007E5A01" w:rsidRPr="007D18E0" w:rsidRDefault="007E5A01" w:rsidP="00E75D7F">
      <w:pPr>
        <w:snapToGrid w:val="0"/>
        <w:jc w:val="both"/>
        <w:rPr>
          <w:sz w:val="20"/>
          <w:szCs w:val="20"/>
        </w:rPr>
      </w:pPr>
    </w:p>
    <w:p w:rsidR="007E5A01" w:rsidRPr="007D18E0" w:rsidRDefault="007E5A01" w:rsidP="00E75D7F">
      <w:pPr>
        <w:snapToGrid w:val="0"/>
        <w:jc w:val="both"/>
        <w:rPr>
          <w:b/>
          <w:sz w:val="20"/>
          <w:szCs w:val="20"/>
        </w:rPr>
      </w:pPr>
      <w:r w:rsidRPr="007D18E0">
        <w:rPr>
          <w:b/>
          <w:sz w:val="20"/>
          <w:szCs w:val="20"/>
        </w:rPr>
        <w:t>Corresponding Author:</w:t>
      </w:r>
    </w:p>
    <w:p w:rsidR="007E5A01" w:rsidRPr="007D18E0" w:rsidRDefault="007E5A01" w:rsidP="00E75D7F">
      <w:pPr>
        <w:snapToGrid w:val="0"/>
        <w:jc w:val="both"/>
        <w:rPr>
          <w:sz w:val="20"/>
          <w:szCs w:val="20"/>
        </w:rPr>
      </w:pPr>
      <w:r w:rsidRPr="007D18E0">
        <w:rPr>
          <w:sz w:val="20"/>
          <w:szCs w:val="20"/>
        </w:rPr>
        <w:t>Mrs. Helen Yetunde Omoboye</w:t>
      </w:r>
    </w:p>
    <w:p w:rsidR="004A5633" w:rsidRPr="007D18E0" w:rsidRDefault="004A5633" w:rsidP="00E75D7F">
      <w:pPr>
        <w:snapToGrid w:val="0"/>
        <w:jc w:val="both"/>
        <w:rPr>
          <w:sz w:val="20"/>
          <w:szCs w:val="20"/>
          <w:lang w:eastAsia="zh-CN"/>
        </w:rPr>
      </w:pPr>
      <w:r w:rsidRPr="007D18E0">
        <w:rPr>
          <w:sz w:val="20"/>
          <w:szCs w:val="20"/>
        </w:rPr>
        <w:t>Department of Zoology</w:t>
      </w:r>
      <w:r w:rsidR="007E5A01" w:rsidRPr="007D18E0">
        <w:rPr>
          <w:sz w:val="20"/>
          <w:szCs w:val="20"/>
        </w:rPr>
        <w:t xml:space="preserve"> </w:t>
      </w:r>
      <w:r w:rsidRPr="007D18E0">
        <w:rPr>
          <w:sz w:val="20"/>
          <w:szCs w:val="20"/>
        </w:rPr>
        <w:t>Obafemi Awolowo</w:t>
      </w:r>
      <w:r w:rsidR="007E5A01" w:rsidRPr="007D18E0">
        <w:rPr>
          <w:sz w:val="20"/>
          <w:szCs w:val="20"/>
        </w:rPr>
        <w:t xml:space="preserve"> University</w:t>
      </w:r>
      <w:r w:rsidR="00D86AC0" w:rsidRPr="007D18E0">
        <w:rPr>
          <w:rFonts w:hint="eastAsia"/>
          <w:sz w:val="20"/>
          <w:szCs w:val="20"/>
          <w:lang w:eastAsia="zh-CN"/>
        </w:rPr>
        <w:t xml:space="preserve"> </w:t>
      </w:r>
      <w:r w:rsidRPr="007D18E0">
        <w:rPr>
          <w:sz w:val="20"/>
          <w:szCs w:val="20"/>
        </w:rPr>
        <w:t>Ile-Ife, Osun State, Nigeria.</w:t>
      </w:r>
    </w:p>
    <w:p w:rsidR="007E5A01" w:rsidRPr="007D18E0" w:rsidRDefault="007E5A01" w:rsidP="00E75D7F">
      <w:pPr>
        <w:snapToGrid w:val="0"/>
        <w:jc w:val="both"/>
        <w:rPr>
          <w:sz w:val="20"/>
          <w:szCs w:val="20"/>
          <w:lang w:eastAsia="zh-CN"/>
        </w:rPr>
      </w:pPr>
      <w:r w:rsidRPr="007D18E0">
        <w:rPr>
          <w:sz w:val="20"/>
          <w:szCs w:val="20"/>
          <w:lang w:eastAsia="zh-CN"/>
        </w:rPr>
        <w:lastRenderedPageBreak/>
        <w:t xml:space="preserve">Telephone: </w:t>
      </w:r>
      <w:r w:rsidR="004A5633" w:rsidRPr="007D18E0">
        <w:rPr>
          <w:sz w:val="20"/>
          <w:szCs w:val="20"/>
          <w:lang w:eastAsia="zh-CN"/>
        </w:rPr>
        <w:t>+2348066141057</w:t>
      </w:r>
    </w:p>
    <w:p w:rsidR="00E75D7F" w:rsidRPr="007D18E0" w:rsidRDefault="007E5A01" w:rsidP="00E75D7F">
      <w:pPr>
        <w:snapToGrid w:val="0"/>
        <w:jc w:val="both"/>
        <w:rPr>
          <w:sz w:val="20"/>
          <w:szCs w:val="20"/>
          <w:lang w:eastAsia="zh-CN"/>
        </w:rPr>
      </w:pPr>
      <w:r w:rsidRPr="007D18E0">
        <w:rPr>
          <w:sz w:val="20"/>
          <w:szCs w:val="20"/>
        </w:rPr>
        <w:t>E-mail:</w:t>
      </w:r>
      <w:r w:rsidR="00E75D7F" w:rsidRPr="007D18E0">
        <w:rPr>
          <w:rFonts w:hint="eastAsia"/>
          <w:sz w:val="20"/>
          <w:szCs w:val="20"/>
          <w:lang w:eastAsia="zh-CN"/>
        </w:rPr>
        <w:t xml:space="preserve"> </w:t>
      </w:r>
      <w:hyperlink r:id="rId42" w:history="1">
        <w:r w:rsidR="004A5633" w:rsidRPr="007D18E0">
          <w:rPr>
            <w:rStyle w:val="Hyperlink"/>
            <w:color w:val="auto"/>
            <w:sz w:val="20"/>
            <w:szCs w:val="20"/>
            <w:u w:val="none"/>
          </w:rPr>
          <w:t>yettyabioye@yahoo.com</w:t>
        </w:r>
      </w:hyperlink>
      <w:r w:rsidR="00E75D7F" w:rsidRPr="007D18E0">
        <w:rPr>
          <w:rFonts w:hint="eastAsia"/>
          <w:sz w:val="20"/>
          <w:szCs w:val="20"/>
          <w:lang w:eastAsia="zh-CN"/>
        </w:rPr>
        <w:t>,</w:t>
      </w:r>
      <w:r w:rsidR="004A5633" w:rsidRPr="007D18E0">
        <w:rPr>
          <w:sz w:val="20"/>
          <w:szCs w:val="20"/>
        </w:rPr>
        <w:t xml:space="preserve"> </w:t>
      </w:r>
    </w:p>
    <w:p w:rsidR="007E5A01" w:rsidRPr="007D18E0" w:rsidRDefault="007D18E0" w:rsidP="00E75D7F">
      <w:pPr>
        <w:snapToGrid w:val="0"/>
        <w:jc w:val="both"/>
        <w:rPr>
          <w:rFonts w:hint="eastAsia"/>
          <w:sz w:val="20"/>
          <w:szCs w:val="20"/>
          <w:lang w:eastAsia="zh-CN"/>
        </w:rPr>
      </w:pPr>
      <w:hyperlink r:id="rId43" w:history="1">
        <w:r w:rsidRPr="00DC3040">
          <w:rPr>
            <w:rStyle w:val="Hyperlink"/>
            <w:sz w:val="20"/>
            <w:szCs w:val="20"/>
          </w:rPr>
          <w:t>helenabioye@gmail.com</w:t>
        </w:r>
      </w:hyperlink>
      <w:r>
        <w:rPr>
          <w:rFonts w:hint="eastAsia"/>
          <w:sz w:val="20"/>
          <w:szCs w:val="20"/>
          <w:lang w:eastAsia="zh-CN"/>
        </w:rPr>
        <w:t xml:space="preserve"> </w:t>
      </w:r>
    </w:p>
    <w:p w:rsidR="007E5A01" w:rsidRPr="007D18E0" w:rsidRDefault="007E5A01" w:rsidP="00E75D7F">
      <w:pPr>
        <w:snapToGrid w:val="0"/>
        <w:jc w:val="both"/>
        <w:rPr>
          <w:sz w:val="20"/>
          <w:szCs w:val="20"/>
        </w:rPr>
      </w:pPr>
    </w:p>
    <w:p w:rsidR="007E5A01" w:rsidRPr="007D18E0" w:rsidRDefault="007E5A01" w:rsidP="00E75D7F">
      <w:pPr>
        <w:snapToGrid w:val="0"/>
        <w:jc w:val="both"/>
        <w:rPr>
          <w:b/>
          <w:sz w:val="20"/>
          <w:szCs w:val="20"/>
        </w:rPr>
      </w:pPr>
      <w:r w:rsidRPr="007D18E0">
        <w:rPr>
          <w:b/>
          <w:sz w:val="20"/>
          <w:szCs w:val="20"/>
        </w:rPr>
        <w:t>References</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Adediji, A. and Ajibade, L. T. (2008). The change detection of major dams in Osun State, Nigeria using remote sensing (RS) and GIS techniques. </w:t>
      </w:r>
      <w:r w:rsidRPr="007D18E0">
        <w:rPr>
          <w:i/>
          <w:sz w:val="20"/>
          <w:szCs w:val="20"/>
        </w:rPr>
        <w:t>Journal of Geography and Regional Planning</w:t>
      </w:r>
      <w:r w:rsidRPr="007D18E0">
        <w:rPr>
          <w:sz w:val="20"/>
          <w:szCs w:val="20"/>
        </w:rPr>
        <w:t>, 1 (6): 110 -115.</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Ahmd, S. H. and Singh A. K. (1987). Seasonal; fluctuations of primary production and fish</w:t>
      </w:r>
      <w:r w:rsidR="001C22AB" w:rsidRPr="007D18E0">
        <w:rPr>
          <w:rFonts w:hint="eastAsia"/>
          <w:sz w:val="20"/>
          <w:szCs w:val="20"/>
          <w:lang w:eastAsia="zh-CN"/>
        </w:rPr>
        <w:t xml:space="preserve"> </w:t>
      </w:r>
      <w:r w:rsidRPr="007D18E0">
        <w:rPr>
          <w:sz w:val="20"/>
          <w:szCs w:val="20"/>
        </w:rPr>
        <w:t xml:space="preserve">yields in mangle's tank, Patna City (Bihar). </w:t>
      </w:r>
      <w:r w:rsidRPr="007D18E0">
        <w:rPr>
          <w:i/>
          <w:sz w:val="20"/>
          <w:szCs w:val="20"/>
        </w:rPr>
        <w:t>Geobios</w:t>
      </w:r>
      <w:r w:rsidRPr="007D18E0">
        <w:rPr>
          <w:sz w:val="20"/>
          <w:szCs w:val="20"/>
        </w:rPr>
        <w:t>, 14: 62-66.</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Akinyemi, S. A. and Nwankwo, D. I. (2006). Biological productivity of two reservoirs in Osun State, Nigeria. </w:t>
      </w:r>
      <w:r w:rsidRPr="007D18E0">
        <w:rPr>
          <w:i/>
          <w:sz w:val="20"/>
          <w:szCs w:val="20"/>
        </w:rPr>
        <w:t>International</w:t>
      </w:r>
      <w:r w:rsidRPr="007D18E0">
        <w:rPr>
          <w:sz w:val="20"/>
          <w:szCs w:val="20"/>
        </w:rPr>
        <w:t xml:space="preserve"> </w:t>
      </w:r>
      <w:r w:rsidRPr="007D18E0">
        <w:rPr>
          <w:i/>
          <w:sz w:val="20"/>
          <w:szCs w:val="20"/>
        </w:rPr>
        <w:t xml:space="preserve">Journal of Science Technology Research, </w:t>
      </w:r>
      <w:r w:rsidRPr="007D18E0">
        <w:rPr>
          <w:sz w:val="20"/>
          <w:szCs w:val="20"/>
        </w:rPr>
        <w:t>3(2): 16 - 22.</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APHA, (1992). American Public Health Association, </w:t>
      </w:r>
      <w:r w:rsidRPr="007D18E0">
        <w:rPr>
          <w:i/>
          <w:sz w:val="20"/>
          <w:szCs w:val="20"/>
        </w:rPr>
        <w:t xml:space="preserve">Standard Methods for the Examination of Water and Wastewater, </w:t>
      </w:r>
      <w:r w:rsidRPr="007D18E0">
        <w:rPr>
          <w:sz w:val="20"/>
          <w:szCs w:val="20"/>
        </w:rPr>
        <w:t>18th edition APHA, Washington, D.C.</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Atobatele, O. E. and Ugwumba, O. A. (2008). Seasonal variation in the physico-chemical parameters of a small tropical reservoir (Aiba Reservoir, Iwo, Osun State, Nigeria). </w:t>
      </w:r>
      <w:r w:rsidRPr="007D18E0">
        <w:rPr>
          <w:i/>
          <w:sz w:val="20"/>
          <w:szCs w:val="20"/>
        </w:rPr>
        <w:t xml:space="preserve">African Journal of Biotechnology, </w:t>
      </w:r>
      <w:r w:rsidRPr="007D18E0">
        <w:rPr>
          <w:sz w:val="20"/>
          <w:szCs w:val="20"/>
        </w:rPr>
        <w:t>7(12): 1962-1971.</w:t>
      </w:r>
    </w:p>
    <w:p w:rsidR="007E5A01" w:rsidRPr="007D18E0" w:rsidRDefault="007E5A01" w:rsidP="00E75D7F">
      <w:pPr>
        <w:pStyle w:val="ListParagraph"/>
        <w:numPr>
          <w:ilvl w:val="0"/>
          <w:numId w:val="5"/>
        </w:numPr>
        <w:snapToGrid w:val="0"/>
        <w:ind w:left="425" w:firstLineChars="0" w:hanging="425"/>
        <w:jc w:val="both"/>
        <w:rPr>
          <w:i/>
          <w:sz w:val="20"/>
          <w:szCs w:val="20"/>
        </w:rPr>
      </w:pPr>
      <w:r w:rsidRPr="007D18E0">
        <w:rPr>
          <w:sz w:val="20"/>
          <w:szCs w:val="20"/>
        </w:rPr>
        <w:t>Citadel Consult, (1994).</w:t>
      </w:r>
      <w:r w:rsidRPr="007D18E0">
        <w:rPr>
          <w:i/>
          <w:sz w:val="20"/>
          <w:szCs w:val="20"/>
        </w:rPr>
        <w:t xml:space="preserve"> “Osun State Water Corporation Feasibity Study Report on the design of Eko-Ende Water Supply Scheme”.</w:t>
      </w:r>
    </w:p>
    <w:p w:rsidR="001C22AB"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Dash, S., Patra, A. K. and Adhikarim, S. (2011). Primary Productivity of Kharasrota river</w:t>
      </w:r>
      <w:r w:rsidR="001C22AB" w:rsidRPr="007D18E0">
        <w:rPr>
          <w:rFonts w:hint="eastAsia"/>
          <w:sz w:val="20"/>
          <w:szCs w:val="20"/>
          <w:lang w:eastAsia="zh-CN"/>
        </w:rPr>
        <w:t xml:space="preserve"> </w:t>
      </w:r>
      <w:r w:rsidRPr="007D18E0">
        <w:rPr>
          <w:sz w:val="20"/>
          <w:szCs w:val="20"/>
        </w:rPr>
        <w:t xml:space="preserve">(India). </w:t>
      </w:r>
      <w:r w:rsidRPr="007D18E0">
        <w:rPr>
          <w:i/>
          <w:sz w:val="20"/>
          <w:szCs w:val="20"/>
        </w:rPr>
        <w:t>J. Ecophysiol. Occup.</w:t>
      </w:r>
      <w:r w:rsidRPr="007D18E0">
        <w:rPr>
          <w:sz w:val="20"/>
          <w:szCs w:val="20"/>
        </w:rPr>
        <w:t>, 219-22</w:t>
      </w:r>
      <w:r w:rsidR="001C22AB" w:rsidRPr="007D18E0">
        <w:rPr>
          <w:sz w:val="20"/>
          <w:szCs w:val="20"/>
        </w:rPr>
        <w:t>5.</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Egborge, A. B. M. (1970). The hydrology and plankton of the River Oshun, Western State, Nigeria. </w:t>
      </w:r>
      <w:r w:rsidRPr="007D18E0">
        <w:rPr>
          <w:i/>
          <w:sz w:val="20"/>
          <w:szCs w:val="20"/>
        </w:rPr>
        <w:t>M. Sc. Thesis</w:t>
      </w:r>
      <w:r w:rsidRPr="007D18E0">
        <w:rPr>
          <w:sz w:val="20"/>
          <w:szCs w:val="20"/>
        </w:rPr>
        <w:t>, University of Ibadan, 126 pp.</w:t>
      </w:r>
    </w:p>
    <w:p w:rsidR="000C1978" w:rsidRPr="007D18E0" w:rsidRDefault="007E5A01" w:rsidP="00E75D7F">
      <w:pPr>
        <w:pStyle w:val="ListParagraph"/>
        <w:numPr>
          <w:ilvl w:val="0"/>
          <w:numId w:val="5"/>
        </w:numPr>
        <w:snapToGrid w:val="0"/>
        <w:ind w:left="425" w:firstLineChars="0" w:hanging="425"/>
        <w:jc w:val="both"/>
        <w:rPr>
          <w:sz w:val="20"/>
          <w:szCs w:val="20"/>
          <w:lang w:eastAsia="en-GB"/>
        </w:rPr>
      </w:pPr>
      <w:r w:rsidRPr="007D18E0">
        <w:rPr>
          <w:sz w:val="20"/>
          <w:szCs w:val="20"/>
          <w:lang w:eastAsia="en-GB"/>
        </w:rPr>
        <w:t>Global Change (2008). The flow of energy: primary production to higher trophic levels. The Reagents of the University of Michigan.</w:t>
      </w:r>
      <w:r w:rsidR="007D18E0" w:rsidRPr="007D18E0">
        <w:rPr>
          <w:rFonts w:hint="eastAsia"/>
          <w:sz w:val="20"/>
          <w:szCs w:val="20"/>
          <w:lang w:eastAsia="zh-CN"/>
        </w:rPr>
        <w:t xml:space="preserve"> </w:t>
      </w:r>
      <w:r w:rsidRPr="007D18E0">
        <w:rPr>
          <w:sz w:val="20"/>
          <w:szCs w:val="20"/>
          <w:lang w:eastAsia="en-GB"/>
        </w:rPr>
        <w:t>Retrieved Dec. 07, 2010 from</w:t>
      </w:r>
      <w:r w:rsidR="001C22AB" w:rsidRPr="007D18E0">
        <w:rPr>
          <w:sz w:val="20"/>
          <w:szCs w:val="20"/>
          <w:lang w:eastAsia="en-GB"/>
        </w:rPr>
        <w:t xml:space="preserve"> </w:t>
      </w:r>
      <w:hyperlink r:id="rId44" w:history="1">
        <w:r w:rsidR="000C1978" w:rsidRPr="007D18E0">
          <w:rPr>
            <w:rStyle w:val="Hyperlink"/>
            <w:sz w:val="20"/>
            <w:szCs w:val="20"/>
            <w:lang w:eastAsia="en-GB"/>
          </w:rPr>
          <w:t>http://www.globalchange.umich.edu</w:t>
        </w:r>
      </w:hyperlink>
      <w:r w:rsidRPr="007D18E0">
        <w:rPr>
          <w:sz w:val="20"/>
          <w:szCs w:val="20"/>
          <w:lang w:eastAsia="en-GB"/>
        </w:rPr>
        <w:t>.</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Graneli, E., and C. Haraldson. 1993. Can increased leaching of trace metals from acidified areas influence phytoplankton growth in coastal waters? </w:t>
      </w:r>
      <w:r w:rsidRPr="007D18E0">
        <w:rPr>
          <w:i/>
          <w:sz w:val="20"/>
          <w:szCs w:val="20"/>
        </w:rPr>
        <w:t>Ambio,</w:t>
      </w:r>
      <w:r w:rsidRPr="007D18E0">
        <w:rPr>
          <w:sz w:val="20"/>
          <w:szCs w:val="20"/>
        </w:rPr>
        <w:t xml:space="preserve"> 22: 308–311.</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lastRenderedPageBreak/>
        <w:t xml:space="preserve">Gupta, S. K. and Gupta, R. C. (2006). </w:t>
      </w:r>
      <w:r w:rsidRPr="007D18E0">
        <w:rPr>
          <w:i/>
          <w:sz w:val="20"/>
          <w:szCs w:val="20"/>
        </w:rPr>
        <w:t>General and Applied Ichthyology (Fish and Fisheries),</w:t>
      </w:r>
      <w:r w:rsidRPr="007D18E0">
        <w:rPr>
          <w:sz w:val="20"/>
          <w:szCs w:val="20"/>
        </w:rPr>
        <w:t xml:space="preserve"> Chand and Company Ltd. Ram Nagar, New Delhi, 130 pp.</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Hall, C. A. S. (1972). Migration and metabolism in a temperate stream ecosystem. </w:t>
      </w:r>
      <w:r w:rsidRPr="007D18E0">
        <w:rPr>
          <w:i/>
          <w:sz w:val="20"/>
          <w:szCs w:val="20"/>
        </w:rPr>
        <w:t>Ecology,</w:t>
      </w:r>
      <w:r w:rsidRPr="007D18E0">
        <w:rPr>
          <w:sz w:val="20"/>
          <w:szCs w:val="20"/>
        </w:rPr>
        <w:t xml:space="preserve"> 53:</w:t>
      </w:r>
      <w:r w:rsidR="000C1978" w:rsidRPr="007D18E0">
        <w:rPr>
          <w:sz w:val="20"/>
          <w:szCs w:val="20"/>
        </w:rPr>
        <w:t xml:space="preserve"> </w:t>
      </w:r>
      <w:r w:rsidRPr="007D18E0">
        <w:rPr>
          <w:sz w:val="20"/>
          <w:szCs w:val="20"/>
        </w:rPr>
        <w:t>585-604.</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Madhupratap, M., Nair, K. N. V., Gopalakrishnan, T. C., Haridas, P., Nair, K. K. C., Venugopal, P. and Gauns, M. (2001). Arabian Sea oceanography and fisheries of the west coast of India. </w:t>
      </w:r>
      <w:r w:rsidRPr="007D18E0">
        <w:rPr>
          <w:i/>
          <w:sz w:val="20"/>
          <w:szCs w:val="20"/>
        </w:rPr>
        <w:t>Current</w:t>
      </w:r>
      <w:r w:rsidR="001C22AB" w:rsidRPr="007D18E0">
        <w:rPr>
          <w:i/>
          <w:sz w:val="20"/>
          <w:szCs w:val="20"/>
        </w:rPr>
        <w:t xml:space="preserve"> </w:t>
      </w:r>
      <w:r w:rsidRPr="007D18E0">
        <w:rPr>
          <w:i/>
          <w:sz w:val="20"/>
          <w:szCs w:val="20"/>
        </w:rPr>
        <w:t>Science</w:t>
      </w:r>
      <w:r w:rsidRPr="007D18E0">
        <w:rPr>
          <w:sz w:val="20"/>
          <w:szCs w:val="20"/>
        </w:rPr>
        <w:t>, 81:</w:t>
      </w:r>
      <w:r w:rsidR="001C22AB" w:rsidRPr="007D18E0">
        <w:rPr>
          <w:sz w:val="20"/>
          <w:szCs w:val="20"/>
        </w:rPr>
        <w:t xml:space="preserve"> </w:t>
      </w:r>
      <w:r w:rsidRPr="007D18E0">
        <w:rPr>
          <w:sz w:val="20"/>
          <w:szCs w:val="20"/>
        </w:rPr>
        <w:t>355-361.</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bCs/>
          <w:sz w:val="20"/>
          <w:szCs w:val="20"/>
        </w:rPr>
        <w:t>Mohanty, S. S., Pramanik, D. S. and Dash, B. P. (2014). Primary Productivity of Bay of Bengal at Chandipur in</w:t>
      </w:r>
      <w:r w:rsidRPr="007D18E0">
        <w:rPr>
          <w:sz w:val="20"/>
          <w:szCs w:val="20"/>
        </w:rPr>
        <w:t xml:space="preserve"> </w:t>
      </w:r>
      <w:r w:rsidRPr="007D18E0">
        <w:rPr>
          <w:bCs/>
          <w:sz w:val="20"/>
          <w:szCs w:val="20"/>
        </w:rPr>
        <w:t>Odisha, India.</w:t>
      </w:r>
      <w:r w:rsidRPr="007D18E0">
        <w:rPr>
          <w:sz w:val="20"/>
          <w:szCs w:val="20"/>
        </w:rPr>
        <w:t xml:space="preserve"> </w:t>
      </w:r>
      <w:r w:rsidRPr="007D18E0">
        <w:rPr>
          <w:i/>
          <w:sz w:val="20"/>
          <w:szCs w:val="20"/>
        </w:rPr>
        <w:t>International Journal of Scientific and Research Publications</w:t>
      </w:r>
      <w:r w:rsidRPr="007D18E0">
        <w:rPr>
          <w:sz w:val="20"/>
          <w:szCs w:val="20"/>
        </w:rPr>
        <w:t>, 4(10): 2250-3153.</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Moharana, P. and Patra, A. K. (2013). Primary productivity of Bay of Bengal at Digha</w:t>
      </w:r>
      <w:r w:rsidR="001C22AB" w:rsidRPr="007D18E0">
        <w:rPr>
          <w:rFonts w:hint="eastAsia"/>
          <w:sz w:val="20"/>
          <w:szCs w:val="20"/>
          <w:lang w:eastAsia="zh-CN"/>
        </w:rPr>
        <w:t xml:space="preserve"> </w:t>
      </w:r>
      <w:r w:rsidRPr="007D18E0">
        <w:rPr>
          <w:sz w:val="20"/>
          <w:szCs w:val="20"/>
        </w:rPr>
        <w:t xml:space="preserve">in West Bengal, India. </w:t>
      </w:r>
      <w:r w:rsidRPr="007D18E0">
        <w:rPr>
          <w:i/>
          <w:sz w:val="20"/>
          <w:szCs w:val="20"/>
        </w:rPr>
        <w:t>Indian Journal of Life Science</w:t>
      </w:r>
      <w:r w:rsidRPr="007D18E0">
        <w:rPr>
          <w:sz w:val="20"/>
          <w:szCs w:val="20"/>
        </w:rPr>
        <w:t>, 3(1): 129-132.</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Moshood, N. T. and Shinichi, O. (2009). Hydrogoechemical Assessment of Metals Contamination in an Urban Drainage System: A Case Study of Osogbo Township, SW Nigeria. </w:t>
      </w:r>
      <w:r w:rsidRPr="007D18E0">
        <w:rPr>
          <w:i/>
          <w:sz w:val="20"/>
          <w:szCs w:val="20"/>
        </w:rPr>
        <w:t>Journal of Water Resources and Protection</w:t>
      </w:r>
      <w:r w:rsidRPr="007D18E0">
        <w:rPr>
          <w:sz w:val="20"/>
          <w:szCs w:val="20"/>
        </w:rPr>
        <w:t>, 3: 164 – 173.</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Nixon, S. W. (1974). Salina Systems. </w:t>
      </w:r>
      <w:r w:rsidRPr="007D18E0">
        <w:rPr>
          <w:i/>
          <w:sz w:val="20"/>
          <w:szCs w:val="20"/>
        </w:rPr>
        <w:t>In</w:t>
      </w:r>
      <w:r w:rsidRPr="007D18E0">
        <w:rPr>
          <w:sz w:val="20"/>
          <w:szCs w:val="20"/>
        </w:rPr>
        <w:t xml:space="preserve">: Odum, H.T., Copeland, B. J., &amp; McMahan, E.A. (eds), </w:t>
      </w:r>
      <w:r w:rsidRPr="007D18E0">
        <w:rPr>
          <w:i/>
          <w:sz w:val="20"/>
          <w:szCs w:val="20"/>
        </w:rPr>
        <w:t>Coastal ecological system of United States</w:t>
      </w:r>
      <w:r w:rsidRPr="007D18E0">
        <w:rPr>
          <w:sz w:val="20"/>
          <w:szCs w:val="20"/>
        </w:rPr>
        <w:t>, vol 3. The</w:t>
      </w:r>
      <w:r w:rsidR="001C22AB" w:rsidRPr="007D18E0">
        <w:rPr>
          <w:sz w:val="20"/>
          <w:szCs w:val="20"/>
        </w:rPr>
        <w:t xml:space="preserve"> </w:t>
      </w:r>
      <w:r w:rsidRPr="007D18E0">
        <w:rPr>
          <w:sz w:val="20"/>
          <w:szCs w:val="20"/>
        </w:rPr>
        <w:t>conservation foundation, Washington D. C., pp. 318-341.</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 xml:space="preserve">Odum, H. T. (1956). Primary Productivity in flowing waters. </w:t>
      </w:r>
      <w:r w:rsidRPr="007D18E0">
        <w:rPr>
          <w:i/>
          <w:sz w:val="20"/>
          <w:szCs w:val="20"/>
        </w:rPr>
        <w:t>Limnol. Oceanogr.,</w:t>
      </w:r>
      <w:r w:rsidRPr="007D18E0">
        <w:rPr>
          <w:sz w:val="20"/>
          <w:szCs w:val="20"/>
        </w:rPr>
        <w:t xml:space="preserve"> 1: 120.</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Patra, A. K. (1985). Proceedings of National Academy of Science, India. (B) IV: 290 – 295.</w:t>
      </w:r>
    </w:p>
    <w:p w:rsidR="007E5A01" w:rsidRPr="007D18E0" w:rsidRDefault="007E5A01" w:rsidP="00E75D7F">
      <w:pPr>
        <w:pStyle w:val="ListParagraph"/>
        <w:numPr>
          <w:ilvl w:val="0"/>
          <w:numId w:val="5"/>
        </w:numPr>
        <w:snapToGrid w:val="0"/>
        <w:ind w:left="425" w:firstLineChars="0" w:hanging="425"/>
        <w:jc w:val="both"/>
        <w:rPr>
          <w:sz w:val="20"/>
          <w:szCs w:val="20"/>
        </w:rPr>
      </w:pPr>
      <w:r w:rsidRPr="007D18E0">
        <w:rPr>
          <w:sz w:val="20"/>
          <w:szCs w:val="20"/>
        </w:rPr>
        <w:t>Singh, A. K. and Singh, D. K. (1999): A comparative study of the phytoplanktonic primary</w:t>
      </w:r>
      <w:r w:rsidR="001C22AB" w:rsidRPr="007D18E0">
        <w:rPr>
          <w:rFonts w:hint="eastAsia"/>
          <w:sz w:val="20"/>
          <w:szCs w:val="20"/>
          <w:lang w:eastAsia="zh-CN"/>
        </w:rPr>
        <w:t xml:space="preserve"> </w:t>
      </w:r>
      <w:r w:rsidRPr="007D18E0">
        <w:rPr>
          <w:sz w:val="20"/>
          <w:szCs w:val="20"/>
        </w:rPr>
        <w:t xml:space="preserve">production of River Ganga and Pond of Patna (Bihar). India. </w:t>
      </w:r>
      <w:r w:rsidRPr="007D18E0">
        <w:rPr>
          <w:i/>
          <w:sz w:val="20"/>
          <w:szCs w:val="20"/>
        </w:rPr>
        <w:t>Journal of Environmental Biology</w:t>
      </w:r>
      <w:r w:rsidRPr="007D18E0">
        <w:rPr>
          <w:sz w:val="20"/>
          <w:szCs w:val="20"/>
        </w:rPr>
        <w:t>, 20: 263-270.</w:t>
      </w:r>
    </w:p>
    <w:p w:rsidR="001C22AB" w:rsidRPr="007D18E0" w:rsidRDefault="007E5A01" w:rsidP="00E75D7F">
      <w:pPr>
        <w:pStyle w:val="ListParagraph"/>
        <w:numPr>
          <w:ilvl w:val="0"/>
          <w:numId w:val="5"/>
        </w:numPr>
        <w:snapToGrid w:val="0"/>
        <w:ind w:left="425" w:firstLineChars="0" w:hanging="425"/>
        <w:jc w:val="both"/>
        <w:rPr>
          <w:color w:val="FF0000"/>
          <w:sz w:val="20"/>
          <w:szCs w:val="20"/>
          <w:lang w:eastAsia="zh-CN"/>
        </w:rPr>
      </w:pPr>
      <w:bookmarkStart w:id="0" w:name="81"/>
      <w:bookmarkStart w:id="1" w:name="83"/>
      <w:bookmarkEnd w:id="0"/>
      <w:bookmarkEnd w:id="1"/>
      <w:r w:rsidRPr="007D18E0">
        <w:rPr>
          <w:sz w:val="20"/>
          <w:szCs w:val="20"/>
        </w:rPr>
        <w:t xml:space="preserve">Smith, A. J. and Montgomery, F. R. (1962). </w:t>
      </w:r>
      <w:r w:rsidRPr="007D18E0">
        <w:rPr>
          <w:i/>
          <w:sz w:val="20"/>
          <w:szCs w:val="20"/>
        </w:rPr>
        <w:t>Soil and Land Use in central Western Nigeria.</w:t>
      </w:r>
      <w:r w:rsidRPr="007D18E0">
        <w:rPr>
          <w:sz w:val="20"/>
          <w:szCs w:val="20"/>
        </w:rPr>
        <w:t xml:space="preserve"> The Government Printer, Ibadan. 265 pp.</w:t>
      </w:r>
      <w:r w:rsidR="007D18E0" w:rsidRPr="007D18E0">
        <w:rPr>
          <w:rFonts w:hint="eastAsia"/>
          <w:sz w:val="20"/>
          <w:szCs w:val="20"/>
          <w:lang w:eastAsia="zh-CN"/>
        </w:rPr>
        <w:t xml:space="preserve"> </w:t>
      </w:r>
    </w:p>
    <w:p w:rsidR="00E75D7F" w:rsidRPr="007D18E0" w:rsidRDefault="00E75D7F" w:rsidP="00E75D7F">
      <w:pPr>
        <w:snapToGrid w:val="0"/>
        <w:ind w:left="425" w:hanging="425"/>
        <w:jc w:val="both"/>
        <w:rPr>
          <w:color w:val="FF0000"/>
          <w:sz w:val="20"/>
          <w:szCs w:val="20"/>
        </w:rPr>
        <w:sectPr w:rsidR="00E75D7F" w:rsidRPr="007D18E0" w:rsidSect="00E75D7F">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num="2" w:space="600"/>
          <w:docGrid w:linePitch="360"/>
        </w:sectPr>
      </w:pPr>
    </w:p>
    <w:p w:rsidR="007D18E0" w:rsidRDefault="007D18E0" w:rsidP="00E75D7F">
      <w:pPr>
        <w:snapToGrid w:val="0"/>
        <w:ind w:left="425" w:hanging="425"/>
        <w:jc w:val="both"/>
        <w:rPr>
          <w:rFonts w:hint="eastAsia"/>
          <w:sz w:val="20"/>
          <w:szCs w:val="20"/>
          <w:lang w:eastAsia="zh-CN"/>
        </w:rPr>
      </w:pPr>
    </w:p>
    <w:p w:rsidR="007D18E0" w:rsidRDefault="007D18E0" w:rsidP="00E75D7F">
      <w:pPr>
        <w:snapToGrid w:val="0"/>
        <w:ind w:left="425" w:hanging="425"/>
        <w:jc w:val="both"/>
        <w:rPr>
          <w:rFonts w:hint="eastAsia"/>
          <w:sz w:val="20"/>
          <w:szCs w:val="20"/>
          <w:lang w:eastAsia="zh-CN"/>
        </w:rPr>
      </w:pPr>
    </w:p>
    <w:p w:rsidR="004D0467" w:rsidRPr="007D18E0" w:rsidRDefault="00B53D20" w:rsidP="00E75D7F">
      <w:pPr>
        <w:snapToGrid w:val="0"/>
        <w:ind w:left="425" w:hanging="425"/>
        <w:jc w:val="both"/>
        <w:rPr>
          <w:sz w:val="20"/>
          <w:szCs w:val="20"/>
        </w:rPr>
      </w:pPr>
      <w:r w:rsidRPr="007D18E0">
        <w:rPr>
          <w:rFonts w:hint="eastAsia"/>
          <w:sz w:val="20"/>
          <w:szCs w:val="20"/>
          <w:lang w:eastAsia="zh-CN"/>
        </w:rPr>
        <w:t>4</w:t>
      </w:r>
      <w:r w:rsidR="00F96D8C" w:rsidRPr="007D18E0">
        <w:rPr>
          <w:sz w:val="20"/>
          <w:szCs w:val="20"/>
        </w:rPr>
        <w:t>/</w:t>
      </w:r>
      <w:r w:rsidRPr="007D18E0">
        <w:rPr>
          <w:rFonts w:hint="eastAsia"/>
          <w:sz w:val="20"/>
          <w:szCs w:val="20"/>
          <w:lang w:eastAsia="zh-CN"/>
        </w:rPr>
        <w:t>2</w:t>
      </w:r>
      <w:r w:rsidR="00F96D8C" w:rsidRPr="007D18E0">
        <w:rPr>
          <w:sz w:val="20"/>
          <w:szCs w:val="20"/>
        </w:rPr>
        <w:t>/2017</w:t>
      </w:r>
    </w:p>
    <w:sectPr w:rsidR="004D0467" w:rsidRPr="007D18E0" w:rsidSect="0034636B">
      <w:headerReference w:type="default" r:id="rId48"/>
      <w:footerReference w:type="even" r:id="rId49"/>
      <w:footerReference w:type="default" r:id="rId5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8B" w:rsidRDefault="0019548B">
      <w:r>
        <w:separator/>
      </w:r>
    </w:p>
  </w:endnote>
  <w:endnote w:type="continuationSeparator" w:id="0">
    <w:p w:rsidR="0019548B" w:rsidRDefault="00195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E75D7F">
      <w:rPr>
        <w:noProof/>
        <w:sz w:val="20"/>
      </w:rPr>
      <w:t>4</w:t>
    </w:r>
    <w:r w:rsidRPr="00F96D8C">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7D18E0">
      <w:rPr>
        <w:noProof/>
        <w:sz w:val="20"/>
      </w:rPr>
      <w:t>90</w:t>
    </w:r>
    <w:r w:rsidRPr="00F96D8C">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E75D7F">
      <w:rPr>
        <w:noProof/>
        <w:sz w:val="20"/>
      </w:rPr>
      <w:t>1</w:t>
    </w:r>
    <w:r w:rsidRPr="00F96D8C">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E75D7F">
      <w:rPr>
        <w:noProof/>
        <w:sz w:val="20"/>
      </w:rPr>
      <w:t>5</w:t>
    </w:r>
    <w:r w:rsidRPr="00F96D8C">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7D18E0">
      <w:rPr>
        <w:noProof/>
        <w:sz w:val="20"/>
      </w:rPr>
      <w:t>92</w:t>
    </w:r>
    <w:r w:rsidRPr="00F96D8C">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7D18E0">
      <w:rPr>
        <w:noProof/>
        <w:sz w:val="20"/>
      </w:rPr>
      <w:t>87</w:t>
    </w:r>
    <w:r w:rsidRPr="00F96D8C">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7D18E0">
      <w:rPr>
        <w:noProof/>
        <w:sz w:val="20"/>
      </w:rPr>
      <w:t>93</w:t>
    </w:r>
    <w:r w:rsidRPr="00F96D8C">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C612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96D8C" w:rsidRDefault="005C6129" w:rsidP="00F96D8C">
    <w:pPr>
      <w:jc w:val="center"/>
      <w:rPr>
        <w:sz w:val="20"/>
      </w:rPr>
    </w:pPr>
    <w:r w:rsidRPr="00F96D8C">
      <w:rPr>
        <w:sz w:val="20"/>
      </w:rPr>
      <w:fldChar w:fldCharType="begin"/>
    </w:r>
    <w:r w:rsidR="00F96D8C" w:rsidRPr="00F96D8C">
      <w:rPr>
        <w:sz w:val="20"/>
      </w:rPr>
      <w:instrText xml:space="preserve"> page </w:instrText>
    </w:r>
    <w:r w:rsidRPr="00F96D8C">
      <w:rPr>
        <w:sz w:val="20"/>
      </w:rPr>
      <w:fldChar w:fldCharType="separate"/>
    </w:r>
    <w:r w:rsidR="00E75D7F">
      <w:rPr>
        <w:noProof/>
        <w:sz w:val="20"/>
      </w:rPr>
      <w:t>8</w:t>
    </w:r>
    <w:r w:rsidRPr="00F96D8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7D18E0">
      <w:rPr>
        <w:noProof/>
        <w:sz w:val="20"/>
      </w:rPr>
      <w:t>88</w:t>
    </w:r>
    <w:r w:rsidRPr="00F96D8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E75D7F">
      <w:rPr>
        <w:noProof/>
        <w:sz w:val="20"/>
      </w:rPr>
      <w:t>1</w:t>
    </w:r>
    <w:r w:rsidRPr="00F96D8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5C6129" w:rsidP="00F96D8C">
    <w:pPr>
      <w:jc w:val="center"/>
      <w:rPr>
        <w:sz w:val="20"/>
      </w:rPr>
    </w:pPr>
    <w:r w:rsidRPr="00F96D8C">
      <w:rPr>
        <w:sz w:val="20"/>
      </w:rPr>
      <w:fldChar w:fldCharType="begin"/>
    </w:r>
    <w:r w:rsidR="00E75D7F" w:rsidRPr="00F96D8C">
      <w:rPr>
        <w:sz w:val="20"/>
      </w:rPr>
      <w:instrText xml:space="preserve"> page </w:instrText>
    </w:r>
    <w:r w:rsidRPr="00F96D8C">
      <w:rPr>
        <w:sz w:val="20"/>
      </w:rPr>
      <w:fldChar w:fldCharType="separate"/>
    </w:r>
    <w:r w:rsidR="007D18E0">
      <w:rPr>
        <w:noProof/>
        <w:sz w:val="20"/>
      </w:rPr>
      <w:t>89</w:t>
    </w:r>
    <w:r w:rsidRPr="00F96D8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Default="005C6129" w:rsidP="00B3167C">
    <w:pPr>
      <w:pStyle w:val="Footer"/>
      <w:framePr w:wrap="around" w:vAnchor="text" w:hAnchor="margin" w:xAlign="center" w:y="1"/>
      <w:rPr>
        <w:rStyle w:val="PageNumber"/>
      </w:rPr>
    </w:pPr>
    <w:r>
      <w:rPr>
        <w:rStyle w:val="PageNumber"/>
      </w:rPr>
      <w:fldChar w:fldCharType="begin"/>
    </w:r>
    <w:r w:rsidR="00E75D7F">
      <w:rPr>
        <w:rStyle w:val="PageNumber"/>
      </w:rPr>
      <w:instrText xml:space="preserve">PAGE  </w:instrText>
    </w:r>
    <w:r>
      <w:rPr>
        <w:rStyle w:val="PageNumber"/>
      </w:rPr>
      <w:fldChar w:fldCharType="end"/>
    </w:r>
  </w:p>
  <w:p w:rsidR="00E75D7F" w:rsidRDefault="00E75D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8B" w:rsidRDefault="0019548B">
      <w:r>
        <w:separator/>
      </w:r>
    </w:p>
  </w:footnote>
  <w:footnote w:type="continuationSeparator" w:id="0">
    <w:p w:rsidR="0019548B" w:rsidRDefault="0019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8C" w:rsidRPr="00F96D8C" w:rsidRDefault="00F96D8C"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F96D8C" w:rsidRPr="00F96D8C" w:rsidRDefault="00F96D8C" w:rsidP="00F96D8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7F" w:rsidRPr="00F96D8C" w:rsidRDefault="00E75D7F" w:rsidP="00F96D8C">
    <w:pPr>
      <w:pBdr>
        <w:bottom w:val="thinThickMediumGap" w:sz="12" w:space="1" w:color="auto"/>
      </w:pBdr>
      <w:tabs>
        <w:tab w:val="left" w:pos="851"/>
        <w:tab w:val="right" w:pos="8364"/>
      </w:tabs>
      <w:adjustRightInd w:val="0"/>
      <w:snapToGrid w:val="0"/>
      <w:jc w:val="both"/>
      <w:rPr>
        <w:iCs/>
        <w:sz w:val="20"/>
        <w:szCs w:val="20"/>
      </w:rPr>
    </w:pPr>
    <w:r w:rsidRPr="00F96D8C">
      <w:rPr>
        <w:rFonts w:hint="eastAsia"/>
        <w:sz w:val="20"/>
        <w:szCs w:val="20"/>
      </w:rPr>
      <w:tab/>
    </w:r>
    <w:r w:rsidRPr="00F96D8C">
      <w:rPr>
        <w:sz w:val="20"/>
        <w:szCs w:val="20"/>
      </w:rPr>
      <w:t>New York Science Journal 201</w:t>
    </w:r>
    <w:r w:rsidRPr="00F96D8C">
      <w:rPr>
        <w:rFonts w:hint="eastAsia"/>
        <w:sz w:val="20"/>
        <w:szCs w:val="20"/>
      </w:rPr>
      <w:t>7</w:t>
    </w:r>
    <w:r w:rsidRPr="00F96D8C">
      <w:rPr>
        <w:sz w:val="20"/>
        <w:szCs w:val="20"/>
      </w:rPr>
      <w:t>;</w:t>
    </w:r>
    <w:r w:rsidRPr="00F96D8C">
      <w:rPr>
        <w:rFonts w:hint="eastAsia"/>
        <w:sz w:val="20"/>
        <w:szCs w:val="20"/>
      </w:rPr>
      <w:t>10</w:t>
    </w:r>
    <w:r w:rsidRPr="00F96D8C">
      <w:rPr>
        <w:sz w:val="20"/>
        <w:szCs w:val="20"/>
      </w:rPr>
      <w:t>(</w:t>
    </w:r>
    <w:r w:rsidRPr="00F96D8C">
      <w:rPr>
        <w:rFonts w:hint="eastAsia"/>
        <w:sz w:val="20"/>
        <w:szCs w:val="20"/>
      </w:rPr>
      <w:t>4</w:t>
    </w:r>
    <w:r w:rsidRPr="00F96D8C">
      <w:rPr>
        <w:sz w:val="20"/>
        <w:szCs w:val="20"/>
      </w:rPr>
      <w:t>)</w:t>
    </w:r>
    <w:r w:rsidRPr="00F96D8C">
      <w:rPr>
        <w:iCs/>
        <w:sz w:val="20"/>
        <w:szCs w:val="20"/>
      </w:rPr>
      <w:t xml:space="preserve">     </w:t>
    </w:r>
    <w:r w:rsidRPr="00F96D8C">
      <w:rPr>
        <w:rFonts w:hint="eastAsia"/>
        <w:iCs/>
        <w:sz w:val="20"/>
        <w:szCs w:val="20"/>
      </w:rPr>
      <w:tab/>
    </w:r>
    <w:r w:rsidRPr="00F96D8C">
      <w:rPr>
        <w:iCs/>
        <w:sz w:val="20"/>
        <w:szCs w:val="20"/>
      </w:rPr>
      <w:t xml:space="preserve"> </w:t>
    </w:r>
    <w:r w:rsidRPr="00F96D8C">
      <w:rPr>
        <w:rFonts w:hint="eastAsia"/>
        <w:iCs/>
        <w:sz w:val="20"/>
        <w:szCs w:val="20"/>
      </w:rPr>
      <w:t xml:space="preserve"> </w:t>
    </w:r>
    <w:r w:rsidRPr="00F96D8C">
      <w:rPr>
        <w:iCs/>
        <w:sz w:val="20"/>
        <w:szCs w:val="20"/>
      </w:rPr>
      <w:t xml:space="preserve">   </w:t>
    </w:r>
    <w:hyperlink r:id="rId1" w:history="1">
      <w:r w:rsidRPr="00F96D8C">
        <w:rPr>
          <w:rStyle w:val="Hyperlink"/>
          <w:sz w:val="20"/>
          <w:szCs w:val="20"/>
        </w:rPr>
        <w:t>http://www.sciencepub.net/newyork</w:t>
      </w:r>
    </w:hyperlink>
  </w:p>
  <w:p w:rsidR="00E75D7F" w:rsidRPr="00F96D8C" w:rsidRDefault="00E75D7F" w:rsidP="00F96D8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CE7527"/>
    <w:multiLevelType w:val="hybridMultilevel"/>
    <w:tmpl w:val="65B663EE"/>
    <w:lvl w:ilvl="0" w:tplc="27A097F2">
      <w:start w:val="1"/>
      <w:numFmt w:val="decimal"/>
      <w:lvlText w:val="%1."/>
      <w:lvlJc w:val="left"/>
      <w:pPr>
        <w:ind w:left="420" w:hanging="420"/>
      </w:pPr>
      <w:rPr>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545AE"/>
    <w:rsid w:val="0006091F"/>
    <w:rsid w:val="00080CE9"/>
    <w:rsid w:val="000827B7"/>
    <w:rsid w:val="000844D7"/>
    <w:rsid w:val="00086790"/>
    <w:rsid w:val="00090A06"/>
    <w:rsid w:val="000A0250"/>
    <w:rsid w:val="000A3F90"/>
    <w:rsid w:val="000B0C68"/>
    <w:rsid w:val="000C1978"/>
    <w:rsid w:val="001817C7"/>
    <w:rsid w:val="00183764"/>
    <w:rsid w:val="0019548B"/>
    <w:rsid w:val="001964D0"/>
    <w:rsid w:val="001B41B8"/>
    <w:rsid w:val="001B650D"/>
    <w:rsid w:val="001C22AB"/>
    <w:rsid w:val="001C3D42"/>
    <w:rsid w:val="00205E97"/>
    <w:rsid w:val="00244F18"/>
    <w:rsid w:val="00245C21"/>
    <w:rsid w:val="002721F1"/>
    <w:rsid w:val="00282FA1"/>
    <w:rsid w:val="002B5613"/>
    <w:rsid w:val="002D3558"/>
    <w:rsid w:val="002D589A"/>
    <w:rsid w:val="002F20CD"/>
    <w:rsid w:val="002F49EF"/>
    <w:rsid w:val="00301F95"/>
    <w:rsid w:val="00314F95"/>
    <w:rsid w:val="00316F3C"/>
    <w:rsid w:val="00322FAB"/>
    <w:rsid w:val="003246A8"/>
    <w:rsid w:val="00345581"/>
    <w:rsid w:val="0034636B"/>
    <w:rsid w:val="0034702D"/>
    <w:rsid w:val="003679A0"/>
    <w:rsid w:val="00381FDA"/>
    <w:rsid w:val="00394B65"/>
    <w:rsid w:val="003A785E"/>
    <w:rsid w:val="003B55FF"/>
    <w:rsid w:val="003B651F"/>
    <w:rsid w:val="003C0116"/>
    <w:rsid w:val="003C4C28"/>
    <w:rsid w:val="0043645D"/>
    <w:rsid w:val="00454A59"/>
    <w:rsid w:val="00456753"/>
    <w:rsid w:val="00471E57"/>
    <w:rsid w:val="00480715"/>
    <w:rsid w:val="0049143E"/>
    <w:rsid w:val="004A5633"/>
    <w:rsid w:val="004C7E2A"/>
    <w:rsid w:val="004D01D3"/>
    <w:rsid w:val="004D0467"/>
    <w:rsid w:val="004F4AFB"/>
    <w:rsid w:val="00520D1A"/>
    <w:rsid w:val="0052512B"/>
    <w:rsid w:val="00542FF0"/>
    <w:rsid w:val="00553F9B"/>
    <w:rsid w:val="00566DAB"/>
    <w:rsid w:val="00593132"/>
    <w:rsid w:val="005A21B0"/>
    <w:rsid w:val="005A5E42"/>
    <w:rsid w:val="005C2F35"/>
    <w:rsid w:val="005C6129"/>
    <w:rsid w:val="005D1DA6"/>
    <w:rsid w:val="005F5E04"/>
    <w:rsid w:val="0065209A"/>
    <w:rsid w:val="00657995"/>
    <w:rsid w:val="006B5399"/>
    <w:rsid w:val="006D5C2E"/>
    <w:rsid w:val="006E6ACB"/>
    <w:rsid w:val="006E7156"/>
    <w:rsid w:val="006F1706"/>
    <w:rsid w:val="00744442"/>
    <w:rsid w:val="007725E7"/>
    <w:rsid w:val="0078507E"/>
    <w:rsid w:val="007D18E0"/>
    <w:rsid w:val="007D3D09"/>
    <w:rsid w:val="007D746F"/>
    <w:rsid w:val="007E5A01"/>
    <w:rsid w:val="007F763B"/>
    <w:rsid w:val="008131CF"/>
    <w:rsid w:val="00814FA7"/>
    <w:rsid w:val="008233D0"/>
    <w:rsid w:val="00845292"/>
    <w:rsid w:val="0085007D"/>
    <w:rsid w:val="00875C08"/>
    <w:rsid w:val="00877649"/>
    <w:rsid w:val="008A20AC"/>
    <w:rsid w:val="008A67B6"/>
    <w:rsid w:val="0091208A"/>
    <w:rsid w:val="00914558"/>
    <w:rsid w:val="00935CF7"/>
    <w:rsid w:val="0094140D"/>
    <w:rsid w:val="009459B3"/>
    <w:rsid w:val="00952EB8"/>
    <w:rsid w:val="00977A92"/>
    <w:rsid w:val="0098537A"/>
    <w:rsid w:val="00997A8E"/>
    <w:rsid w:val="009A3681"/>
    <w:rsid w:val="009A534F"/>
    <w:rsid w:val="009E09CF"/>
    <w:rsid w:val="00A1557F"/>
    <w:rsid w:val="00A3476D"/>
    <w:rsid w:val="00A43719"/>
    <w:rsid w:val="00AA17DD"/>
    <w:rsid w:val="00B3167C"/>
    <w:rsid w:val="00B36B45"/>
    <w:rsid w:val="00B53D20"/>
    <w:rsid w:val="00B60543"/>
    <w:rsid w:val="00B60E8D"/>
    <w:rsid w:val="00B80C0E"/>
    <w:rsid w:val="00B918AE"/>
    <w:rsid w:val="00B94E19"/>
    <w:rsid w:val="00BD2A8D"/>
    <w:rsid w:val="00BD4FCC"/>
    <w:rsid w:val="00BF6579"/>
    <w:rsid w:val="00C007AE"/>
    <w:rsid w:val="00C0761F"/>
    <w:rsid w:val="00C101C9"/>
    <w:rsid w:val="00C44596"/>
    <w:rsid w:val="00C60D61"/>
    <w:rsid w:val="00C92003"/>
    <w:rsid w:val="00CC4387"/>
    <w:rsid w:val="00CE7B2F"/>
    <w:rsid w:val="00CF24FB"/>
    <w:rsid w:val="00CF6616"/>
    <w:rsid w:val="00CF6890"/>
    <w:rsid w:val="00D04C27"/>
    <w:rsid w:val="00D13147"/>
    <w:rsid w:val="00D26F2E"/>
    <w:rsid w:val="00D3777A"/>
    <w:rsid w:val="00D56002"/>
    <w:rsid w:val="00D778C9"/>
    <w:rsid w:val="00D86AC0"/>
    <w:rsid w:val="00DF6507"/>
    <w:rsid w:val="00DF7353"/>
    <w:rsid w:val="00E015B9"/>
    <w:rsid w:val="00E34501"/>
    <w:rsid w:val="00E34DBD"/>
    <w:rsid w:val="00E52EA0"/>
    <w:rsid w:val="00E57761"/>
    <w:rsid w:val="00E617EB"/>
    <w:rsid w:val="00E73E1D"/>
    <w:rsid w:val="00E75D7F"/>
    <w:rsid w:val="00EB51F4"/>
    <w:rsid w:val="00EC565A"/>
    <w:rsid w:val="00EC5C53"/>
    <w:rsid w:val="00ED4441"/>
    <w:rsid w:val="00ED4A29"/>
    <w:rsid w:val="00ED4ED9"/>
    <w:rsid w:val="00EE1CEE"/>
    <w:rsid w:val="00EE1F4B"/>
    <w:rsid w:val="00EF1B7D"/>
    <w:rsid w:val="00F03305"/>
    <w:rsid w:val="00F2228B"/>
    <w:rsid w:val="00F62573"/>
    <w:rsid w:val="00F72B12"/>
    <w:rsid w:val="00F83A62"/>
    <w:rsid w:val="00F96D8C"/>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B0C68"/>
    <w:pPr>
      <w:keepNext/>
      <w:tabs>
        <w:tab w:val="num" w:pos="0"/>
      </w:tabs>
      <w:outlineLvl w:val="0"/>
    </w:pPr>
    <w:rPr>
      <w:b/>
      <w:bCs/>
      <w:sz w:val="32"/>
    </w:rPr>
  </w:style>
  <w:style w:type="paragraph" w:styleId="Heading2">
    <w:name w:val="heading 2"/>
    <w:basedOn w:val="Normal"/>
    <w:next w:val="Normal"/>
    <w:qFormat/>
    <w:rsid w:val="000B0C68"/>
    <w:pPr>
      <w:keepNext/>
      <w:tabs>
        <w:tab w:val="num" w:pos="0"/>
      </w:tabs>
      <w:jc w:val="both"/>
      <w:outlineLvl w:val="1"/>
    </w:pPr>
    <w:rPr>
      <w:b/>
      <w:sz w:val="28"/>
    </w:rPr>
  </w:style>
  <w:style w:type="paragraph" w:styleId="Heading3">
    <w:name w:val="heading 3"/>
    <w:basedOn w:val="Normal"/>
    <w:next w:val="Normal"/>
    <w:qFormat/>
    <w:rsid w:val="000B0C68"/>
    <w:pPr>
      <w:keepNext/>
      <w:tabs>
        <w:tab w:val="num" w:pos="0"/>
      </w:tabs>
      <w:spacing w:line="360" w:lineRule="auto"/>
      <w:jc w:val="both"/>
      <w:outlineLvl w:val="2"/>
    </w:pPr>
    <w:rPr>
      <w:b/>
      <w:bCs/>
    </w:rPr>
  </w:style>
  <w:style w:type="paragraph" w:styleId="Heading6">
    <w:name w:val="heading 6"/>
    <w:basedOn w:val="Normal"/>
    <w:next w:val="Normal"/>
    <w:qFormat/>
    <w:rsid w:val="000B0C6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B0C68"/>
  </w:style>
  <w:style w:type="character" w:customStyle="1" w:styleId="WW-Absatz-Standardschriftart">
    <w:name w:val="WW-Absatz-Standardschriftart"/>
    <w:rsid w:val="000B0C68"/>
  </w:style>
  <w:style w:type="character" w:customStyle="1" w:styleId="WW-Absatz-Standardschriftart1">
    <w:name w:val="WW-Absatz-Standardschriftart1"/>
    <w:rsid w:val="000B0C68"/>
  </w:style>
  <w:style w:type="character" w:customStyle="1" w:styleId="WW-Absatz-Standardschriftart11">
    <w:name w:val="WW-Absatz-Standardschriftart11"/>
    <w:rsid w:val="000B0C68"/>
  </w:style>
  <w:style w:type="character" w:customStyle="1" w:styleId="WW-Absatz-Standardschriftart111">
    <w:name w:val="WW-Absatz-Standardschriftart111"/>
    <w:rsid w:val="000B0C68"/>
  </w:style>
  <w:style w:type="character" w:customStyle="1" w:styleId="WW-Absatz-Standardschriftart1111">
    <w:name w:val="WW-Absatz-Standardschriftart1111"/>
    <w:rsid w:val="000B0C68"/>
  </w:style>
  <w:style w:type="character" w:customStyle="1" w:styleId="WW-Absatz-Standardschriftart11111">
    <w:name w:val="WW-Absatz-Standardschriftart11111"/>
    <w:rsid w:val="000B0C68"/>
  </w:style>
  <w:style w:type="character" w:customStyle="1" w:styleId="WW-Absatz-Standardschriftart111111">
    <w:name w:val="WW-Absatz-Standardschriftart111111"/>
    <w:rsid w:val="000B0C68"/>
  </w:style>
  <w:style w:type="character" w:customStyle="1" w:styleId="WW-Absatz-Standardschriftart1111111">
    <w:name w:val="WW-Absatz-Standardschriftart1111111"/>
    <w:rsid w:val="000B0C68"/>
  </w:style>
  <w:style w:type="character" w:customStyle="1" w:styleId="WW-Absatz-Standardschriftart11111111">
    <w:name w:val="WW-Absatz-Standardschriftart11111111"/>
    <w:rsid w:val="000B0C68"/>
  </w:style>
  <w:style w:type="character" w:customStyle="1" w:styleId="WW-Absatz-Standardschriftart111111111">
    <w:name w:val="WW-Absatz-Standardschriftart111111111"/>
    <w:rsid w:val="000B0C68"/>
  </w:style>
  <w:style w:type="character" w:customStyle="1" w:styleId="WW-Absatz-Standardschriftart1111111111">
    <w:name w:val="WW-Absatz-Standardschriftart1111111111"/>
    <w:rsid w:val="000B0C68"/>
  </w:style>
  <w:style w:type="character" w:customStyle="1" w:styleId="WW-Absatz-Standardschriftart11111111111">
    <w:name w:val="WW-Absatz-Standardschriftart11111111111"/>
    <w:rsid w:val="000B0C68"/>
  </w:style>
  <w:style w:type="character" w:customStyle="1" w:styleId="WW-Absatz-Standardschriftart111111111111">
    <w:name w:val="WW-Absatz-Standardschriftart111111111111"/>
    <w:rsid w:val="000B0C68"/>
  </w:style>
  <w:style w:type="character" w:customStyle="1" w:styleId="WW-Absatz-Standardschriftart1111111111111">
    <w:name w:val="WW-Absatz-Standardschriftart1111111111111"/>
    <w:rsid w:val="000B0C68"/>
  </w:style>
  <w:style w:type="character" w:customStyle="1" w:styleId="WW-Absatz-Standardschriftart11111111111111">
    <w:name w:val="WW-Absatz-Standardschriftart11111111111111"/>
    <w:rsid w:val="000B0C68"/>
  </w:style>
  <w:style w:type="character" w:customStyle="1" w:styleId="WW-Absatz-Standardschriftart111111111111111">
    <w:name w:val="WW-Absatz-Standardschriftart111111111111111"/>
    <w:rsid w:val="000B0C68"/>
  </w:style>
  <w:style w:type="character" w:customStyle="1" w:styleId="WW-Absatz-Standardschriftart1111111111111111">
    <w:name w:val="WW-Absatz-Standardschriftart1111111111111111"/>
    <w:rsid w:val="000B0C68"/>
  </w:style>
  <w:style w:type="character" w:customStyle="1" w:styleId="WW8Num1z0">
    <w:name w:val="WW8Num1z0"/>
    <w:rsid w:val="000B0C68"/>
    <w:rPr>
      <w:rFonts w:ascii="Symbol" w:eastAsia="Times New Roman" w:hAnsi="Symbol" w:cs="Times New Roman"/>
    </w:rPr>
  </w:style>
  <w:style w:type="character" w:customStyle="1" w:styleId="WW8Num1z1">
    <w:name w:val="WW8Num1z1"/>
    <w:rsid w:val="000B0C68"/>
    <w:rPr>
      <w:rFonts w:ascii="Courier New" w:hAnsi="Courier New" w:cs="Courier New"/>
    </w:rPr>
  </w:style>
  <w:style w:type="character" w:customStyle="1" w:styleId="WW8Num1z2">
    <w:name w:val="WW8Num1z2"/>
    <w:rsid w:val="000B0C68"/>
    <w:rPr>
      <w:rFonts w:ascii="Wingdings" w:hAnsi="Wingdings"/>
    </w:rPr>
  </w:style>
  <w:style w:type="character" w:customStyle="1" w:styleId="WW8Num1z3">
    <w:name w:val="WW8Num1z3"/>
    <w:rsid w:val="000B0C68"/>
    <w:rPr>
      <w:rFonts w:ascii="Symbol" w:hAnsi="Symbol"/>
    </w:rPr>
  </w:style>
  <w:style w:type="character" w:styleId="PageNumber">
    <w:name w:val="page number"/>
    <w:basedOn w:val="DefaultParagraphFont"/>
    <w:rsid w:val="000B0C68"/>
  </w:style>
  <w:style w:type="character" w:styleId="Hyperlink">
    <w:name w:val="Hyperlink"/>
    <w:basedOn w:val="DefaultParagraphFont"/>
    <w:uiPriority w:val="99"/>
    <w:rsid w:val="000B0C68"/>
    <w:rPr>
      <w:color w:val="0000FF"/>
      <w:u w:val="single"/>
    </w:rPr>
  </w:style>
  <w:style w:type="character" w:styleId="FollowedHyperlink">
    <w:name w:val="FollowedHyperlink"/>
    <w:basedOn w:val="DefaultParagraphFont"/>
    <w:rsid w:val="000B0C68"/>
    <w:rPr>
      <w:color w:val="800080"/>
      <w:u w:val="single"/>
    </w:rPr>
  </w:style>
  <w:style w:type="character" w:customStyle="1" w:styleId="NumberingSymbols">
    <w:name w:val="Numbering Symbols"/>
    <w:rsid w:val="000B0C68"/>
  </w:style>
  <w:style w:type="paragraph" w:customStyle="1" w:styleId="Heading">
    <w:name w:val="Heading"/>
    <w:basedOn w:val="Normal"/>
    <w:next w:val="BodyText"/>
    <w:rsid w:val="000B0C68"/>
    <w:pPr>
      <w:keepNext/>
      <w:spacing w:before="240" w:after="120"/>
    </w:pPr>
    <w:rPr>
      <w:rFonts w:ascii="Nimbus Sans L" w:eastAsia="DejaVu Sans" w:hAnsi="Nimbus Sans L" w:cs="DejaVu Sans"/>
      <w:sz w:val="28"/>
      <w:szCs w:val="28"/>
    </w:rPr>
  </w:style>
  <w:style w:type="paragraph" w:styleId="BodyText">
    <w:name w:val="Body Text"/>
    <w:basedOn w:val="Normal"/>
    <w:rsid w:val="000B0C68"/>
    <w:pPr>
      <w:spacing w:line="360" w:lineRule="auto"/>
    </w:pPr>
  </w:style>
  <w:style w:type="paragraph" w:styleId="List">
    <w:name w:val="List"/>
    <w:basedOn w:val="BodyText"/>
    <w:rsid w:val="000B0C68"/>
  </w:style>
  <w:style w:type="paragraph" w:styleId="Caption">
    <w:name w:val="caption"/>
    <w:basedOn w:val="Normal"/>
    <w:qFormat/>
    <w:rsid w:val="000B0C68"/>
    <w:pPr>
      <w:suppressLineNumbers/>
      <w:spacing w:before="120" w:after="120"/>
    </w:pPr>
    <w:rPr>
      <w:i/>
      <w:iCs/>
    </w:rPr>
  </w:style>
  <w:style w:type="paragraph" w:customStyle="1" w:styleId="Index">
    <w:name w:val="Index"/>
    <w:basedOn w:val="Normal"/>
    <w:rsid w:val="000B0C68"/>
    <w:pPr>
      <w:suppressLineNumbers/>
    </w:pPr>
  </w:style>
  <w:style w:type="paragraph" w:styleId="Header">
    <w:name w:val="header"/>
    <w:basedOn w:val="Normal"/>
    <w:next w:val="Heading1"/>
    <w:link w:val="HeaderChar"/>
    <w:rsid w:val="000B0C68"/>
    <w:pPr>
      <w:tabs>
        <w:tab w:val="center" w:pos="4320"/>
        <w:tab w:val="right" w:pos="8640"/>
      </w:tabs>
    </w:pPr>
  </w:style>
  <w:style w:type="paragraph" w:styleId="BodyTextIndent3">
    <w:name w:val="Body Text Indent 3"/>
    <w:basedOn w:val="Normal"/>
    <w:rsid w:val="000B0C68"/>
    <w:pPr>
      <w:spacing w:line="360" w:lineRule="auto"/>
      <w:ind w:firstLine="720"/>
      <w:jc w:val="both"/>
    </w:pPr>
    <w:rPr>
      <w:b/>
      <w:bCs/>
    </w:rPr>
  </w:style>
  <w:style w:type="paragraph" w:styleId="BodyTextIndent">
    <w:name w:val="Body Text Indent"/>
    <w:basedOn w:val="Normal"/>
    <w:rsid w:val="000B0C68"/>
    <w:pPr>
      <w:ind w:left="540" w:hanging="720"/>
      <w:jc w:val="both"/>
    </w:pPr>
  </w:style>
  <w:style w:type="paragraph" w:styleId="BodyTextIndent2">
    <w:name w:val="Body Text Indent 2"/>
    <w:basedOn w:val="Normal"/>
    <w:rsid w:val="000B0C68"/>
    <w:pPr>
      <w:spacing w:line="360" w:lineRule="auto"/>
      <w:ind w:firstLine="720"/>
      <w:jc w:val="both"/>
    </w:pPr>
  </w:style>
  <w:style w:type="paragraph" w:styleId="BodyText2">
    <w:name w:val="Body Text 2"/>
    <w:basedOn w:val="Normal"/>
    <w:rsid w:val="000B0C68"/>
    <w:pPr>
      <w:spacing w:line="360" w:lineRule="auto"/>
      <w:jc w:val="both"/>
    </w:pPr>
  </w:style>
  <w:style w:type="paragraph" w:styleId="Footer">
    <w:name w:val="footer"/>
    <w:basedOn w:val="Normal"/>
    <w:rsid w:val="000B0C68"/>
    <w:pPr>
      <w:tabs>
        <w:tab w:val="center" w:pos="4320"/>
        <w:tab w:val="right" w:pos="8640"/>
      </w:tabs>
    </w:pPr>
    <w:rPr>
      <w:sz w:val="32"/>
    </w:rPr>
  </w:style>
  <w:style w:type="paragraph" w:customStyle="1" w:styleId="TableContents">
    <w:name w:val="Table Contents"/>
    <w:basedOn w:val="Normal"/>
    <w:rsid w:val="000B0C68"/>
    <w:pPr>
      <w:suppressLineNumbers/>
    </w:pPr>
  </w:style>
  <w:style w:type="paragraph" w:customStyle="1" w:styleId="TableHeading">
    <w:name w:val="Table Heading"/>
    <w:basedOn w:val="TableContents"/>
    <w:rsid w:val="000B0C68"/>
    <w:pPr>
      <w:jc w:val="center"/>
    </w:pPr>
    <w:rPr>
      <w:b/>
      <w:bCs/>
    </w:rPr>
  </w:style>
  <w:style w:type="paragraph" w:customStyle="1" w:styleId="Framecontents">
    <w:name w:val="Frame contents"/>
    <w:basedOn w:val="BodyText"/>
    <w:rsid w:val="000B0C68"/>
  </w:style>
  <w:style w:type="paragraph" w:customStyle="1" w:styleId="Text">
    <w:name w:val="Text"/>
    <w:basedOn w:val="Normal"/>
    <w:rsid w:val="000B0C68"/>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E75D7F"/>
    <w:rPr>
      <w:sz w:val="18"/>
      <w:szCs w:val="18"/>
    </w:rPr>
  </w:style>
  <w:style w:type="character" w:customStyle="1" w:styleId="BalloonTextChar">
    <w:name w:val="Balloon Text Char"/>
    <w:basedOn w:val="DefaultParagraphFont"/>
    <w:link w:val="BalloonText"/>
    <w:uiPriority w:val="99"/>
    <w:semiHidden/>
    <w:rsid w:val="00E75D7F"/>
    <w:rPr>
      <w:sz w:val="18"/>
      <w:szCs w:val="18"/>
      <w:lang w:eastAsia="ar-SA"/>
    </w:rPr>
  </w:style>
  <w:style w:type="paragraph" w:styleId="ListParagraph">
    <w:name w:val="List Paragraph"/>
    <w:basedOn w:val="Normal"/>
    <w:uiPriority w:val="34"/>
    <w:qFormat/>
    <w:rsid w:val="00E75D7F"/>
    <w:pPr>
      <w:ind w:firstLineChars="200" w:firstLine="420"/>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yperlink" Target="mailto:yettyabioye@yahoo.com" TargetMode="Externa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hyperlink" Target="mailto:yettyabioye@yahoo.com" TargetMode="Externa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image" Target="media/image4.png"/><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jpeg"/><Relationship Id="rId32" Type="http://schemas.openxmlformats.org/officeDocument/2006/relationships/footer" Target="footer13.xml"/><Relationship Id="rId37" Type="http://schemas.openxmlformats.org/officeDocument/2006/relationships/image" Target="media/image3.png"/><Relationship Id="rId40" Type="http://schemas.openxmlformats.org/officeDocument/2006/relationships/footer" Target="footer17.xml"/><Relationship Id="rId45"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6.xml"/><Relationship Id="rId36" Type="http://schemas.openxmlformats.org/officeDocument/2006/relationships/footer" Target="footer16.xml"/><Relationship Id="rId49" Type="http://schemas.openxmlformats.org/officeDocument/2006/relationships/footer" Target="footer21.xml"/><Relationship Id="rId10" Type="http://schemas.openxmlformats.org/officeDocument/2006/relationships/hyperlink" Target="http://www.dx.doi.org/10.7537/marsnys100417.12" TargetMode="Externa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yperlink" Target="http://www.globalchange.umich.ed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yperlink" Target="mailto:helenabioye@gmail.com" TargetMode="External"/><Relationship Id="rId48" Type="http://schemas.openxmlformats.org/officeDocument/2006/relationships/header" Target="header11.xml"/><Relationship Id="rId8" Type="http://schemas.openxmlformats.org/officeDocument/2006/relationships/hyperlink" Target="mailto:helenabioye@gmail.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21543</CharactersWithSpaces>
  <SharedDoc>false</SharedDoc>
  <HLinks>
    <vt:vector size="36" baseType="variant">
      <vt:variant>
        <vt:i4>6422581</vt:i4>
      </vt:variant>
      <vt:variant>
        <vt:i4>6</vt:i4>
      </vt:variant>
      <vt:variant>
        <vt:i4>0</vt:i4>
      </vt:variant>
      <vt:variant>
        <vt:i4>5</vt:i4>
      </vt:variant>
      <vt:variant>
        <vt:lpwstr>http://www.globalchange.umich.edu/</vt:lpwstr>
      </vt:variant>
      <vt:variant>
        <vt:lpwstr/>
      </vt:variant>
      <vt:variant>
        <vt:i4>917541</vt:i4>
      </vt:variant>
      <vt:variant>
        <vt:i4>3</vt:i4>
      </vt:variant>
      <vt:variant>
        <vt:i4>0</vt:i4>
      </vt:variant>
      <vt:variant>
        <vt:i4>5</vt:i4>
      </vt:variant>
      <vt:variant>
        <vt:lpwstr>mailto:yettyabioye@yahoo.com</vt:lpwstr>
      </vt:variant>
      <vt:variant>
        <vt:lpwstr/>
      </vt:variant>
      <vt:variant>
        <vt:i4>917541</vt:i4>
      </vt:variant>
      <vt:variant>
        <vt:i4>0</vt:i4>
      </vt:variant>
      <vt:variant>
        <vt:i4>0</vt:i4>
      </vt:variant>
      <vt:variant>
        <vt:i4>5</vt:i4>
      </vt:variant>
      <vt:variant>
        <vt:lpwstr>mailto:yettyabioye@yahoo.com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2008-06-24T20:46:00Z</cp:lastPrinted>
  <dcterms:created xsi:type="dcterms:W3CDTF">2017-04-04T11:39:00Z</dcterms:created>
  <dcterms:modified xsi:type="dcterms:W3CDTF">2017-04-03T00:07:00Z</dcterms:modified>
</cp:coreProperties>
</file>