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44" w:rsidRPr="007D4C44" w:rsidRDefault="007D4C44" w:rsidP="007D4C44">
      <w:pPr>
        <w:jc w:val="center"/>
        <w:rPr>
          <w:b/>
          <w:sz w:val="32"/>
          <w:szCs w:val="32"/>
        </w:rPr>
      </w:pPr>
      <w:r w:rsidRPr="007D4C44">
        <w:rPr>
          <w:b/>
          <w:sz w:val="32"/>
          <w:szCs w:val="32"/>
        </w:rPr>
        <w:t xml:space="preserve">An Investigation </w:t>
      </w:r>
      <w:r>
        <w:rPr>
          <w:b/>
          <w:sz w:val="32"/>
          <w:szCs w:val="32"/>
        </w:rPr>
        <w:t>o</w:t>
      </w:r>
      <w:r w:rsidRPr="007D4C44">
        <w:rPr>
          <w:b/>
          <w:sz w:val="32"/>
          <w:szCs w:val="32"/>
        </w:rPr>
        <w:t>n Supplier Delivery Performance by using SPC Techniques for Automotive Industry</w:t>
      </w:r>
    </w:p>
    <w:p w:rsidR="007D4C44" w:rsidRPr="00593132" w:rsidRDefault="007D4C44" w:rsidP="00593132">
      <w:pPr>
        <w:jc w:val="center"/>
        <w:rPr>
          <w:b/>
          <w:sz w:val="32"/>
          <w:szCs w:val="32"/>
        </w:rPr>
      </w:pPr>
    </w:p>
    <w:p w:rsidR="00471E57" w:rsidRPr="00593132" w:rsidRDefault="00471E57" w:rsidP="00593132">
      <w:pPr>
        <w:jc w:val="center"/>
        <w:rPr>
          <w:sz w:val="20"/>
          <w:szCs w:val="20"/>
        </w:rPr>
      </w:pPr>
    </w:p>
    <w:p w:rsidR="00471E57" w:rsidRPr="007D4C44" w:rsidRDefault="007D4C44" w:rsidP="007D4C44">
      <w:pPr>
        <w:jc w:val="center"/>
        <w:rPr>
          <w:sz w:val="20"/>
          <w:szCs w:val="20"/>
          <w:vertAlign w:val="superscript"/>
        </w:rPr>
      </w:pPr>
      <w:r>
        <w:rPr>
          <w:sz w:val="20"/>
          <w:szCs w:val="20"/>
        </w:rPr>
        <w:t>Soroush Avakh Darestani</w:t>
      </w:r>
      <w:r w:rsidR="006E6ACB" w:rsidRPr="00593132">
        <w:rPr>
          <w:sz w:val="20"/>
          <w:szCs w:val="20"/>
        </w:rPr>
        <w:t xml:space="preserve"> </w:t>
      </w:r>
      <w:r w:rsidR="00471E57" w:rsidRPr="00593132">
        <w:rPr>
          <w:sz w:val="20"/>
          <w:szCs w:val="20"/>
          <w:vertAlign w:val="superscript"/>
        </w:rPr>
        <w:t>1</w:t>
      </w:r>
      <w:r w:rsidR="00471E57" w:rsidRPr="00593132">
        <w:rPr>
          <w:sz w:val="20"/>
          <w:szCs w:val="20"/>
        </w:rPr>
        <w:t xml:space="preserve">, </w:t>
      </w:r>
      <w:r>
        <w:rPr>
          <w:sz w:val="20"/>
          <w:szCs w:val="20"/>
        </w:rPr>
        <w:t>Md Yusof Ismail</w:t>
      </w:r>
      <w:r w:rsidR="00471E57" w:rsidRPr="00593132">
        <w:rPr>
          <w:sz w:val="20"/>
          <w:szCs w:val="20"/>
        </w:rPr>
        <w:t xml:space="preserve"> </w:t>
      </w:r>
      <w:r w:rsidR="00593132">
        <w:rPr>
          <w:sz w:val="20"/>
          <w:szCs w:val="20"/>
          <w:vertAlign w:val="superscript"/>
        </w:rPr>
        <w:t>2</w:t>
      </w:r>
      <w:r w:rsidR="00456753" w:rsidRPr="00593132">
        <w:rPr>
          <w:sz w:val="20"/>
          <w:szCs w:val="20"/>
        </w:rPr>
        <w:t>,</w:t>
      </w:r>
      <w:r w:rsidR="006E6ACB" w:rsidRPr="00593132">
        <w:rPr>
          <w:sz w:val="20"/>
          <w:szCs w:val="20"/>
        </w:rPr>
        <w:t xml:space="preserve"> </w:t>
      </w:r>
      <w:r>
        <w:rPr>
          <w:sz w:val="20"/>
          <w:szCs w:val="20"/>
        </w:rPr>
        <w:t>Napsiah bt Ismail</w:t>
      </w:r>
      <w:r w:rsidR="006E6ACB" w:rsidRPr="00593132">
        <w:rPr>
          <w:sz w:val="20"/>
          <w:szCs w:val="20"/>
        </w:rPr>
        <w:t xml:space="preserve"> </w:t>
      </w:r>
      <w:r>
        <w:rPr>
          <w:sz w:val="20"/>
          <w:szCs w:val="20"/>
          <w:vertAlign w:val="superscript"/>
        </w:rPr>
        <w:t>3</w:t>
      </w:r>
      <w:r w:rsidR="00D73648">
        <w:rPr>
          <w:sz w:val="20"/>
          <w:szCs w:val="20"/>
        </w:rPr>
        <w:t>,</w:t>
      </w:r>
      <w:r w:rsidR="00D73648">
        <w:rPr>
          <w:sz w:val="20"/>
          <w:szCs w:val="20"/>
          <w:vertAlign w:val="superscript"/>
        </w:rPr>
        <w:t xml:space="preserve"> </w:t>
      </w:r>
      <w:r>
        <w:rPr>
          <w:sz w:val="20"/>
          <w:szCs w:val="20"/>
          <w:vertAlign w:val="superscript"/>
        </w:rPr>
        <w:t xml:space="preserve"> </w:t>
      </w:r>
      <w:r w:rsidR="00DC04A7">
        <w:rPr>
          <w:sz w:val="20"/>
          <w:szCs w:val="20"/>
        </w:rPr>
        <w:t>Rosnah bt. Mohd. Yusu</w:t>
      </w:r>
      <w:r>
        <w:rPr>
          <w:sz w:val="20"/>
          <w:szCs w:val="20"/>
        </w:rPr>
        <w:t xml:space="preserve">ff </w:t>
      </w:r>
      <w:r>
        <w:rPr>
          <w:sz w:val="20"/>
          <w:szCs w:val="20"/>
          <w:vertAlign w:val="superscript"/>
        </w:rPr>
        <w:t>4</w:t>
      </w:r>
    </w:p>
    <w:p w:rsidR="00471E57" w:rsidRPr="00593132" w:rsidRDefault="00471E57" w:rsidP="00593132">
      <w:pPr>
        <w:jc w:val="center"/>
        <w:rPr>
          <w:sz w:val="20"/>
          <w:szCs w:val="20"/>
        </w:rPr>
      </w:pPr>
    </w:p>
    <w:p w:rsidR="00471E57" w:rsidRPr="00593132" w:rsidRDefault="00593132" w:rsidP="00593132">
      <w:pPr>
        <w:jc w:val="center"/>
        <w:rPr>
          <w:sz w:val="20"/>
          <w:szCs w:val="20"/>
        </w:rPr>
      </w:pPr>
      <w:r w:rsidRPr="00593132">
        <w:rPr>
          <w:sz w:val="20"/>
          <w:szCs w:val="20"/>
          <w:vertAlign w:val="superscript"/>
        </w:rPr>
        <w:t>1</w:t>
      </w:r>
      <w:r>
        <w:rPr>
          <w:sz w:val="20"/>
          <w:szCs w:val="20"/>
          <w:vertAlign w:val="superscript"/>
        </w:rPr>
        <w:t>.</w:t>
      </w:r>
      <w:r w:rsidR="00471E57" w:rsidRPr="00593132">
        <w:rPr>
          <w:sz w:val="20"/>
          <w:szCs w:val="20"/>
        </w:rPr>
        <w:t xml:space="preserve"> </w:t>
      </w:r>
      <w:r w:rsidR="007D4C44">
        <w:rPr>
          <w:sz w:val="20"/>
          <w:szCs w:val="20"/>
        </w:rPr>
        <w:t>Department of Mechanical and manufacturing engineering, Universiti Putra Malaysia</w:t>
      </w:r>
      <w:r w:rsidR="00CE7B2F" w:rsidRPr="00593132">
        <w:rPr>
          <w:sz w:val="20"/>
          <w:szCs w:val="20"/>
        </w:rPr>
        <w:t xml:space="preserve">, </w:t>
      </w:r>
      <w:r w:rsidR="007D4C44">
        <w:rPr>
          <w:sz w:val="20"/>
          <w:szCs w:val="20"/>
        </w:rPr>
        <w:t xml:space="preserve">43400, Malaysia, </w:t>
      </w:r>
      <w:hyperlink r:id="rId8" w:history="1">
        <w:r w:rsidR="007D4C44" w:rsidRPr="00CA7E07">
          <w:rPr>
            <w:rStyle w:val="Hyperlink"/>
            <w:sz w:val="20"/>
            <w:szCs w:val="20"/>
          </w:rPr>
          <w:t>soroushavakh@yahoo.com</w:t>
        </w:r>
      </w:hyperlink>
      <w:r w:rsidR="008A1858">
        <w:rPr>
          <w:sz w:val="20"/>
          <w:szCs w:val="20"/>
        </w:rPr>
        <w:t>,Tel: +60172986210</w:t>
      </w:r>
    </w:p>
    <w:p w:rsidR="00471E57" w:rsidRDefault="007D4C44" w:rsidP="00593132">
      <w:pPr>
        <w:jc w:val="center"/>
        <w:rPr>
          <w:sz w:val="20"/>
          <w:szCs w:val="20"/>
        </w:rPr>
      </w:pPr>
      <w:r>
        <w:rPr>
          <w:sz w:val="20"/>
          <w:szCs w:val="20"/>
          <w:vertAlign w:val="superscript"/>
        </w:rPr>
        <w:t>2</w:t>
      </w:r>
      <w:r w:rsidR="00593132">
        <w:rPr>
          <w:sz w:val="20"/>
          <w:szCs w:val="20"/>
          <w:vertAlign w:val="superscript"/>
        </w:rPr>
        <w:t>.</w:t>
      </w:r>
      <w:r w:rsidR="006E6ACB" w:rsidRPr="00593132">
        <w:rPr>
          <w:sz w:val="20"/>
          <w:szCs w:val="20"/>
        </w:rPr>
        <w:t xml:space="preserve"> </w:t>
      </w:r>
      <w:r>
        <w:rPr>
          <w:sz w:val="20"/>
          <w:szCs w:val="20"/>
        </w:rPr>
        <w:t>Department of Manufacturing engineering</w:t>
      </w:r>
      <w:r w:rsidR="00471E57" w:rsidRPr="00593132">
        <w:rPr>
          <w:sz w:val="20"/>
          <w:szCs w:val="20"/>
        </w:rPr>
        <w:t xml:space="preserve">, </w:t>
      </w:r>
      <w:r>
        <w:rPr>
          <w:sz w:val="20"/>
          <w:szCs w:val="20"/>
        </w:rPr>
        <w:t>Universiti Malaysia Pahang, 26300</w:t>
      </w:r>
      <w:r w:rsidR="00BC3E00">
        <w:rPr>
          <w:sz w:val="20"/>
          <w:szCs w:val="20"/>
        </w:rPr>
        <w:t>, Malaysia</w:t>
      </w:r>
    </w:p>
    <w:p w:rsidR="007D4C44" w:rsidRDefault="007D4C44" w:rsidP="00593132">
      <w:pPr>
        <w:jc w:val="center"/>
        <w:rPr>
          <w:sz w:val="20"/>
          <w:szCs w:val="20"/>
        </w:rPr>
      </w:pPr>
      <w:r>
        <w:rPr>
          <w:sz w:val="20"/>
          <w:szCs w:val="20"/>
          <w:vertAlign w:val="superscript"/>
        </w:rPr>
        <w:t>3</w:t>
      </w:r>
      <w:r>
        <w:rPr>
          <w:sz w:val="20"/>
          <w:szCs w:val="20"/>
        </w:rPr>
        <w:t xml:space="preserve"> </w:t>
      </w:r>
      <w:r w:rsidR="00BC3E00">
        <w:rPr>
          <w:sz w:val="20"/>
          <w:szCs w:val="20"/>
        </w:rPr>
        <w:t xml:space="preserve">Department </w:t>
      </w:r>
      <w:r>
        <w:rPr>
          <w:sz w:val="20"/>
          <w:szCs w:val="20"/>
        </w:rPr>
        <w:t>of Mechanical and manufacturing engineering, Universiti Putra Malaysia</w:t>
      </w:r>
      <w:r w:rsidRPr="00593132">
        <w:rPr>
          <w:sz w:val="20"/>
          <w:szCs w:val="20"/>
        </w:rPr>
        <w:t xml:space="preserve">, </w:t>
      </w:r>
      <w:r>
        <w:rPr>
          <w:sz w:val="20"/>
          <w:szCs w:val="20"/>
        </w:rPr>
        <w:t>43400, Malaysia</w:t>
      </w:r>
    </w:p>
    <w:p w:rsidR="007D4C44" w:rsidRPr="007D4C44" w:rsidRDefault="007D4C44" w:rsidP="00593132">
      <w:pPr>
        <w:jc w:val="center"/>
        <w:rPr>
          <w:sz w:val="20"/>
          <w:szCs w:val="20"/>
        </w:rPr>
      </w:pPr>
      <w:r w:rsidRPr="00BC3E00">
        <w:rPr>
          <w:sz w:val="20"/>
          <w:szCs w:val="20"/>
          <w:vertAlign w:val="superscript"/>
        </w:rPr>
        <w:t>4</w:t>
      </w:r>
      <w:r w:rsidR="00BC3E00">
        <w:rPr>
          <w:sz w:val="20"/>
          <w:szCs w:val="20"/>
          <w:vertAlign w:val="superscript"/>
        </w:rPr>
        <w:t xml:space="preserve"> </w:t>
      </w:r>
      <w:r w:rsidR="00BC3E00">
        <w:rPr>
          <w:sz w:val="20"/>
          <w:szCs w:val="20"/>
        </w:rPr>
        <w:t xml:space="preserve">Department </w:t>
      </w:r>
      <w:r w:rsidRPr="00BC3E00">
        <w:rPr>
          <w:sz w:val="20"/>
          <w:szCs w:val="20"/>
        </w:rPr>
        <w:t>of</w:t>
      </w:r>
      <w:r>
        <w:rPr>
          <w:sz w:val="20"/>
          <w:szCs w:val="20"/>
        </w:rPr>
        <w:t xml:space="preserve"> Mechanical and manufacturing engineering, Universiti Putra Malaysia</w:t>
      </w:r>
      <w:r w:rsidRPr="00593132">
        <w:rPr>
          <w:sz w:val="20"/>
          <w:szCs w:val="20"/>
        </w:rPr>
        <w:t xml:space="preserve">, </w:t>
      </w:r>
      <w:r>
        <w:rPr>
          <w:sz w:val="20"/>
          <w:szCs w:val="20"/>
        </w:rPr>
        <w:t>43400, Malaysia</w:t>
      </w:r>
    </w:p>
    <w:p w:rsidR="001817C7" w:rsidRPr="00593132" w:rsidRDefault="001817C7" w:rsidP="00593132">
      <w:pPr>
        <w:jc w:val="both"/>
        <w:rPr>
          <w:sz w:val="20"/>
          <w:szCs w:val="20"/>
        </w:rPr>
      </w:pPr>
    </w:p>
    <w:p w:rsidR="007D4C44" w:rsidRPr="007D4C44" w:rsidRDefault="007D4C44" w:rsidP="00593132">
      <w:pPr>
        <w:jc w:val="both"/>
        <w:rPr>
          <w:sz w:val="20"/>
          <w:szCs w:val="20"/>
        </w:rPr>
      </w:pPr>
    </w:p>
    <w:p w:rsidR="007D4C44" w:rsidRDefault="007D4C44" w:rsidP="00593132">
      <w:pPr>
        <w:jc w:val="both"/>
        <w:rPr>
          <w:sz w:val="20"/>
          <w:szCs w:val="20"/>
        </w:rPr>
      </w:pPr>
      <w:r w:rsidRPr="007D4C44">
        <w:rPr>
          <w:b/>
          <w:bCs/>
          <w:sz w:val="20"/>
          <w:szCs w:val="20"/>
        </w:rPr>
        <w:t>Abstract:</w:t>
      </w:r>
      <w:r>
        <w:rPr>
          <w:b/>
          <w:bCs/>
          <w:sz w:val="20"/>
          <w:szCs w:val="20"/>
        </w:rPr>
        <w:t xml:space="preserve"> </w:t>
      </w:r>
      <w:r w:rsidRPr="007D4C44">
        <w:rPr>
          <w:sz w:val="20"/>
          <w:szCs w:val="20"/>
        </w:rPr>
        <w:t>As about 60% of finished price of goods are allocated to raw material and purchased parts by suppliers in the chain of automotive industry, the importance of supplier management and its performance is an ongoing problem. Moreover the need of monitoring of supplier performance has been emphasized in Quality Management System of automotive industry ISO/TS16949.</w:t>
      </w:r>
      <w:r>
        <w:rPr>
          <w:sz w:val="20"/>
          <w:szCs w:val="20"/>
        </w:rPr>
        <w:t xml:space="preserve"> </w:t>
      </w:r>
      <w:r w:rsidRPr="007D4C44">
        <w:rPr>
          <w:sz w:val="20"/>
          <w:szCs w:val="20"/>
        </w:rPr>
        <w:t>To meet standard requirement and also continuous improvement in business, companies need to monitor their supplier performance. Delivery and quality are two of the most important indicators of supplier evaluation. This paper introduces a statistical approach to monitor supplier performance over time by using control charts. To monitor supplier delivery performance, a statistical control chart is developed based on conceptual model of how to implement in industry. Normality test is done on data and upper and lower control limits are calculated. Data gathered from supplier of a tier 1 company and out of control signals are recognized on chart. All out of control signals are removed from control chart and updated “In control” is obtained with improved mean and standard deviation. It can be employed in the industry and should result in improvement in supplier performance over time.</w:t>
      </w:r>
    </w:p>
    <w:p w:rsidR="007D4C44" w:rsidRDefault="007D4C44" w:rsidP="00593132">
      <w:pPr>
        <w:jc w:val="both"/>
        <w:rPr>
          <w:sz w:val="20"/>
          <w:szCs w:val="20"/>
        </w:rPr>
      </w:pPr>
    </w:p>
    <w:p w:rsidR="001817C7" w:rsidRPr="00593132" w:rsidRDefault="00471E57" w:rsidP="00593132">
      <w:pPr>
        <w:jc w:val="both"/>
        <w:rPr>
          <w:sz w:val="20"/>
          <w:szCs w:val="20"/>
        </w:rPr>
      </w:pPr>
      <w:r w:rsidRPr="00593132">
        <w:rPr>
          <w:sz w:val="20"/>
          <w:szCs w:val="20"/>
        </w:rPr>
        <w:t>[Journal of American Science 20</w:t>
      </w:r>
      <w:r w:rsidR="00CB5A47">
        <w:rPr>
          <w:sz w:val="20"/>
          <w:szCs w:val="20"/>
        </w:rPr>
        <w:t>09</w:t>
      </w:r>
      <w:r w:rsidRPr="00593132">
        <w:rPr>
          <w:sz w:val="20"/>
          <w:szCs w:val="20"/>
        </w:rPr>
        <w:t>;</w:t>
      </w:r>
      <w:r w:rsidR="00CB5A47">
        <w:rPr>
          <w:sz w:val="20"/>
          <w:szCs w:val="20"/>
        </w:rPr>
        <w:t>5</w:t>
      </w:r>
      <w:r w:rsidRPr="00593132">
        <w:rPr>
          <w:sz w:val="20"/>
          <w:szCs w:val="20"/>
        </w:rPr>
        <w:t>(</w:t>
      </w:r>
      <w:r w:rsidR="00CB5A47">
        <w:rPr>
          <w:sz w:val="20"/>
          <w:szCs w:val="20"/>
        </w:rPr>
        <w:t>7</w:t>
      </w:r>
      <w:r w:rsidRPr="00593132">
        <w:rPr>
          <w:sz w:val="20"/>
          <w:szCs w:val="20"/>
        </w:rPr>
        <w:t>):</w:t>
      </w:r>
      <w:r w:rsidR="008A20AC" w:rsidRPr="00593132">
        <w:rPr>
          <w:sz w:val="20"/>
          <w:szCs w:val="20"/>
        </w:rPr>
        <w:t>xx</w:t>
      </w:r>
      <w:r w:rsidR="009459B3" w:rsidRPr="00593132">
        <w:rPr>
          <w:sz w:val="20"/>
          <w:szCs w:val="20"/>
        </w:rPr>
        <w:t>-</w:t>
      </w:r>
      <w:r w:rsidR="008A20AC" w:rsidRPr="00593132">
        <w:rPr>
          <w:sz w:val="20"/>
          <w:szCs w:val="20"/>
        </w:rPr>
        <w:t>xx</w:t>
      </w:r>
      <w:r w:rsidRPr="00593132">
        <w:rPr>
          <w:sz w:val="20"/>
          <w:szCs w:val="20"/>
        </w:rPr>
        <w:t xml:space="preserve">]. (ISSN: 1545-1003). </w:t>
      </w:r>
    </w:p>
    <w:p w:rsidR="001817C7" w:rsidRPr="00593132" w:rsidRDefault="001817C7" w:rsidP="00593132">
      <w:pPr>
        <w:jc w:val="both"/>
        <w:rPr>
          <w:sz w:val="20"/>
          <w:szCs w:val="20"/>
        </w:rPr>
      </w:pPr>
    </w:p>
    <w:p w:rsidR="007E10DF" w:rsidRPr="007E10DF" w:rsidRDefault="007E10DF" w:rsidP="007E10DF">
      <w:pPr>
        <w:rPr>
          <w:iCs/>
          <w:sz w:val="20"/>
          <w:szCs w:val="20"/>
        </w:rPr>
      </w:pPr>
      <w:r w:rsidRPr="007E10DF">
        <w:rPr>
          <w:b/>
          <w:iCs/>
          <w:sz w:val="20"/>
          <w:szCs w:val="20"/>
        </w:rPr>
        <w:t>Key words</w:t>
      </w:r>
      <w:r w:rsidRPr="007E10DF">
        <w:rPr>
          <w:iCs/>
          <w:sz w:val="20"/>
          <w:szCs w:val="20"/>
        </w:rPr>
        <w:t>: Delivery Performance, Statistical Monitoring, Quality Management System (QMS),</w:t>
      </w:r>
    </w:p>
    <w:p w:rsidR="007E10DF" w:rsidRDefault="007E10DF" w:rsidP="00593132">
      <w:pPr>
        <w:jc w:val="both"/>
        <w:rPr>
          <w:sz w:val="20"/>
          <w:szCs w:val="20"/>
        </w:rPr>
      </w:pPr>
    </w:p>
    <w:p w:rsidR="007E10DF" w:rsidRPr="007E10DF" w:rsidRDefault="007E10DF" w:rsidP="00593132">
      <w:pPr>
        <w:jc w:val="both"/>
        <w:rPr>
          <w:sz w:val="20"/>
          <w:szCs w:val="20"/>
        </w:rPr>
      </w:pPr>
    </w:p>
    <w:p w:rsidR="007E10DF" w:rsidRDefault="007E10DF" w:rsidP="007E10DF">
      <w:pPr>
        <w:rPr>
          <w:b/>
          <w:bCs/>
          <w:sz w:val="20"/>
          <w:szCs w:val="20"/>
        </w:rPr>
        <w:sectPr w:rsidR="007E10DF" w:rsidSect="00B3167C">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
          <w:cols w:space="720"/>
          <w:docGrid w:linePitch="360"/>
        </w:sectPr>
      </w:pPr>
    </w:p>
    <w:p w:rsidR="007E10DF" w:rsidRPr="007E10DF" w:rsidRDefault="007E10DF" w:rsidP="007E10DF">
      <w:pPr>
        <w:rPr>
          <w:b/>
          <w:bCs/>
          <w:sz w:val="20"/>
          <w:szCs w:val="20"/>
        </w:rPr>
      </w:pPr>
      <w:r>
        <w:rPr>
          <w:b/>
          <w:bCs/>
          <w:sz w:val="20"/>
          <w:szCs w:val="20"/>
        </w:rPr>
        <w:lastRenderedPageBreak/>
        <w:t>1-</w:t>
      </w:r>
      <w:r w:rsidRPr="007E10DF">
        <w:rPr>
          <w:b/>
          <w:bCs/>
          <w:sz w:val="20"/>
          <w:szCs w:val="20"/>
        </w:rPr>
        <w:t>Introduction:</w:t>
      </w:r>
    </w:p>
    <w:p w:rsidR="007E10DF" w:rsidRPr="007E10DF" w:rsidRDefault="00E64613" w:rsidP="007E10DF">
      <w:pPr>
        <w:jc w:val="both"/>
        <w:rPr>
          <w:sz w:val="20"/>
          <w:szCs w:val="20"/>
        </w:rPr>
      </w:pPr>
      <w:r>
        <w:rPr>
          <w:sz w:val="20"/>
          <w:szCs w:val="20"/>
        </w:rPr>
        <w:t xml:space="preserve">        </w:t>
      </w:r>
      <w:r w:rsidR="007E10DF" w:rsidRPr="007E10DF">
        <w:rPr>
          <w:sz w:val="20"/>
          <w:szCs w:val="20"/>
        </w:rPr>
        <w:t xml:space="preserve">SPC has its origins in the 1920s. Dr Walter A. Shewhart of the bell Telephone laboratories was one of the early pioneers of the field. SPC is a set of problem-solving tools may be applied to any process. The control chart is the most powerful of the SPC tools </w:t>
      </w:r>
      <w:r w:rsidR="00BE6765" w:rsidRPr="007E10DF">
        <w:rPr>
          <w:sz w:val="20"/>
          <w:szCs w:val="20"/>
        </w:rPr>
        <w:fldChar w:fldCharType="begin"/>
      </w:r>
      <w:r w:rsidR="007E10DF" w:rsidRPr="007E10DF">
        <w:rPr>
          <w:sz w:val="20"/>
          <w:szCs w:val="20"/>
        </w:rPr>
        <w:instrText xml:space="preserve"> ADDIN EN.CITE &lt;EndNote&gt;&lt;Cite&gt;&lt;Author&gt;Montgomery&lt;/Author&gt;&lt;Year&gt;2007&lt;/Year&gt;&lt;RecNum&gt;6&lt;/RecNum&gt;&lt;record&gt;&lt;rec-number&gt;6&lt;/rec-number&gt;&lt;ref-type name="Book"&gt;6&lt;/ref-type&gt;&lt;contributors&gt;&lt;authors&gt;&lt;author&gt;Montgomery, Douglas C.&lt;/author&gt;&lt;author&gt;Runger, George C.&lt;/author&gt;&lt;author&gt;Hubele, Norma Faris.&lt;/author&gt;&lt;/authors&gt;&lt;/contributors&gt;&lt;titles&gt;&lt;title&gt;Engineering Statistics&lt;/title&gt;&lt;/titles&gt;&lt;pages&gt;487&lt;/pages&gt;&lt;edition&gt;4&lt;/edition&gt;&lt;dates&gt;&lt;year&gt;2007&lt;/year&gt;&lt;/dates&gt;&lt;publisher&gt;John Wiley &amp;amp; Sons, Inc.&lt;/publisher&gt;&lt;urls&gt;&lt;/urls&gt;&lt;/record&gt;&lt;/Cite&gt;&lt;/EndNote&gt;</w:instrText>
      </w:r>
      <w:r w:rsidR="00BE6765" w:rsidRPr="007E10DF">
        <w:rPr>
          <w:sz w:val="20"/>
          <w:szCs w:val="20"/>
        </w:rPr>
        <w:fldChar w:fldCharType="separate"/>
      </w:r>
      <w:r w:rsidR="007E10DF" w:rsidRPr="007E10DF">
        <w:rPr>
          <w:sz w:val="20"/>
          <w:szCs w:val="20"/>
        </w:rPr>
        <w:t>(Montgomery et al., 2007)</w:t>
      </w:r>
      <w:r w:rsidR="00BE6765" w:rsidRPr="007E10DF">
        <w:rPr>
          <w:sz w:val="20"/>
          <w:szCs w:val="20"/>
        </w:rPr>
        <w:fldChar w:fldCharType="end"/>
      </w:r>
      <w:r w:rsidR="007E10DF" w:rsidRPr="007E10DF">
        <w:rPr>
          <w:sz w:val="20"/>
          <w:szCs w:val="20"/>
        </w:rPr>
        <w:t xml:space="preserve">. SCM performance, supplier selection, SCM quality, Customer satisfaction and so on are the most researched area in the scope of supply chain management since 1980. Many studies have been done in the scope of supplier selection and evaluation. Nowadays, automotive industries are one of the industries which have implemented On time delivery system for their suppliers. Just in Time is a production system in which the movement of goods during production and deliveries from suppliers are carefully timed so that the right parts, in the right quantities are provided at the right time. The success of JIT approach depends on the capability of the company’s suppliers to meet several criteria on quality quantity and delivery performance </w:t>
      </w:r>
      <w:r w:rsidR="00BE6765" w:rsidRPr="007E10DF">
        <w:rPr>
          <w:sz w:val="20"/>
          <w:szCs w:val="20"/>
        </w:rPr>
        <w:fldChar w:fldCharType="begin"/>
      </w:r>
      <w:r w:rsidR="007E10DF" w:rsidRPr="007E10DF">
        <w:rPr>
          <w:sz w:val="20"/>
          <w:szCs w:val="20"/>
        </w:rPr>
        <w:instrText xml:space="preserve"> ADDIN EN.CITE &lt;EndNote&gt;&lt;Cite&gt;&lt;Author&gt;Alwan&lt;/Author&gt;&lt;Year&gt;2000&lt;/Year&gt;&lt;RecNum&gt;7&lt;/RecNum&gt;&lt;record&gt;&lt;rec-number&gt;7&lt;/rec-number&gt;&lt;ref-type name="Book"&gt;6&lt;/ref-type&gt;&lt;contributors&gt;&lt;authors&gt;&lt;author&gt;Alwan, Layth C.&lt;/author&gt;&lt;/authors&gt;&lt;/contributors&gt;&lt;titles&gt;&lt;title&gt;Statistical Process Analysis&lt;/title&gt;&lt;/titles&gt;&lt;pages&gt;751&lt;/pages&gt;&lt;edition&gt;first&lt;/edition&gt;&lt;dates&gt;&lt;year&gt;2000&lt;/year&gt;&lt;/dates&gt;&lt;publisher&gt;McGraw-Hill&lt;/publisher&gt;&lt;urls&gt;&lt;/urls&gt;&lt;/record&gt;&lt;/Cite&gt;&lt;/EndNote&gt;</w:instrText>
      </w:r>
      <w:r w:rsidR="00BE6765" w:rsidRPr="007E10DF">
        <w:rPr>
          <w:sz w:val="20"/>
          <w:szCs w:val="20"/>
        </w:rPr>
        <w:fldChar w:fldCharType="separate"/>
      </w:r>
      <w:r w:rsidR="007E10DF" w:rsidRPr="007E10DF">
        <w:rPr>
          <w:sz w:val="20"/>
          <w:szCs w:val="20"/>
        </w:rPr>
        <w:t>(Alwan, 2000)</w:t>
      </w:r>
      <w:r w:rsidR="00BE6765" w:rsidRPr="007E10DF">
        <w:rPr>
          <w:sz w:val="20"/>
          <w:szCs w:val="20"/>
        </w:rPr>
        <w:fldChar w:fldCharType="end"/>
      </w:r>
      <w:r w:rsidR="007E10DF" w:rsidRPr="007E10DF">
        <w:rPr>
          <w:sz w:val="20"/>
          <w:szCs w:val="20"/>
        </w:rPr>
        <w:t>.</w:t>
      </w:r>
    </w:p>
    <w:p w:rsidR="007E10DF" w:rsidRPr="007E10DF" w:rsidRDefault="007E10DF" w:rsidP="007E10DF">
      <w:pPr>
        <w:jc w:val="both"/>
        <w:rPr>
          <w:sz w:val="20"/>
          <w:szCs w:val="20"/>
        </w:rPr>
      </w:pPr>
      <w:r w:rsidRPr="007E10DF">
        <w:rPr>
          <w:sz w:val="20"/>
          <w:szCs w:val="20"/>
        </w:rPr>
        <w:lastRenderedPageBreak/>
        <w:t>From QMS approach in automotive industry, the ISO/TS 16949 was jointly developed by the IATF members and coupled with customer-specific requirements defines quality system requirements for use in the automotive supply chain</w:t>
      </w:r>
      <w:r w:rsidR="00BE6765" w:rsidRPr="007E10DF">
        <w:rPr>
          <w:sz w:val="20"/>
          <w:szCs w:val="20"/>
        </w:rPr>
        <w:fldChar w:fldCharType="begin"/>
      </w:r>
      <w:r w:rsidRPr="007E10DF">
        <w:rPr>
          <w:sz w:val="20"/>
          <w:szCs w:val="20"/>
        </w:rPr>
        <w:instrText xml:space="preserve"> ADDIN EN.CITE &lt;EndNote&gt;&lt;Cite&gt;&lt;Author&gt;IATF&lt;/Author&gt;&lt;Year&gt;2002&lt;/Year&gt;&lt;RecNum&gt;22&lt;/RecNum&gt;&lt;record&gt;&lt;rec-number&gt;22&lt;/rec-number&gt;&lt;ref-type name="Electronic Source"&gt;12&lt;/ref-type&gt;&lt;contributors&gt;&lt;authors&gt;&lt;author&gt;IATF&lt;/author&gt;&lt;/authors&gt;&lt;/contributors&gt;&lt;titles&gt;&lt;title&gt;ISO/TS16949:2002&lt;/title&gt;&lt;/titles&gt;&lt;volume&gt;2009&lt;/volume&gt;&lt;dates&gt;&lt;year&gt;2002&lt;/year&gt;&lt;/dates&gt;&lt;publisher&gt;IATF Global Overfight Offices &lt;/publisher&gt;&lt;urls&gt;&lt;related-urls&gt;&lt;url&gt;http://www.iatfglobaloversight.org/&lt;/url&gt;&lt;/related-urls&gt;&lt;/urls&gt;&lt;/record&gt;&lt;/Cite&gt;&lt;Cite&gt;&lt;Author&gt;IATF&lt;/Author&gt;&lt;Year&gt;2002&lt;/Year&gt;&lt;RecNum&gt;22&lt;/RecNum&gt;&lt;record&gt;&lt;rec-number&gt;22&lt;/rec-number&gt;&lt;ref-type name="Electronic Source"&gt;12&lt;/ref-type&gt;&lt;contributors&gt;&lt;authors&gt;&lt;author&gt;IATF&lt;/author&gt;&lt;/authors&gt;&lt;/contributors&gt;&lt;titles&gt;&lt;title&gt;ISO/TS16949:2002&lt;/title&gt;&lt;/titles&gt;&lt;volume&gt;2009&lt;/volume&gt;&lt;dates&gt;&lt;year&gt;2002&lt;/year&gt;&lt;/dates&gt;&lt;publisher&gt;IATF Global Overfight Offices &lt;/publisher&gt;&lt;urls&gt;&lt;related-urls&gt;&lt;url&gt;http://www.iatfglobaloversight.org/&lt;/url&gt;&lt;/related-urls&gt;&lt;/urls&gt;&lt;/record&gt;&lt;/Cite&gt;&lt;/EndNote&gt;</w:instrText>
      </w:r>
      <w:r w:rsidR="00BE6765" w:rsidRPr="007E10DF">
        <w:rPr>
          <w:sz w:val="20"/>
          <w:szCs w:val="20"/>
        </w:rPr>
        <w:fldChar w:fldCharType="separate"/>
      </w:r>
      <w:r w:rsidRPr="007E10DF">
        <w:rPr>
          <w:sz w:val="20"/>
          <w:szCs w:val="20"/>
        </w:rPr>
        <w:t>(IATF, 2002)</w:t>
      </w:r>
      <w:r w:rsidR="00BE6765" w:rsidRPr="007E10DF">
        <w:rPr>
          <w:sz w:val="20"/>
          <w:szCs w:val="20"/>
        </w:rPr>
        <w:fldChar w:fldCharType="end"/>
      </w:r>
      <w:r w:rsidRPr="007E10DF">
        <w:rPr>
          <w:sz w:val="20"/>
          <w:szCs w:val="20"/>
        </w:rPr>
        <w:t>. Based on QMS, the organization shall evaluate and select the suppliers based on their ability to supply products in accordance with the organization’s requirements.</w:t>
      </w:r>
    </w:p>
    <w:p w:rsidR="007E10DF" w:rsidRPr="007E10DF" w:rsidRDefault="007E10DF" w:rsidP="007E10DF">
      <w:pPr>
        <w:jc w:val="both"/>
        <w:rPr>
          <w:sz w:val="20"/>
          <w:szCs w:val="20"/>
        </w:rPr>
      </w:pPr>
    </w:p>
    <w:p w:rsidR="007E10DF" w:rsidRPr="007E10DF" w:rsidRDefault="007E10DF" w:rsidP="007E10DF">
      <w:pPr>
        <w:rPr>
          <w:b/>
          <w:bCs/>
          <w:sz w:val="20"/>
          <w:szCs w:val="20"/>
        </w:rPr>
      </w:pPr>
      <w:r>
        <w:rPr>
          <w:b/>
          <w:bCs/>
          <w:sz w:val="20"/>
          <w:szCs w:val="20"/>
        </w:rPr>
        <w:t xml:space="preserve">2- </w:t>
      </w:r>
      <w:r w:rsidRPr="007E10DF">
        <w:rPr>
          <w:b/>
          <w:bCs/>
          <w:sz w:val="20"/>
          <w:szCs w:val="20"/>
        </w:rPr>
        <w:t>Literature review:</w:t>
      </w:r>
    </w:p>
    <w:p w:rsidR="007E10DF" w:rsidRPr="007E10DF" w:rsidRDefault="00E64613" w:rsidP="007E10DF">
      <w:pPr>
        <w:jc w:val="lowKashida"/>
        <w:rPr>
          <w:sz w:val="20"/>
          <w:szCs w:val="20"/>
        </w:rPr>
      </w:pPr>
      <w:r>
        <w:rPr>
          <w:sz w:val="20"/>
          <w:szCs w:val="20"/>
        </w:rPr>
        <w:t xml:space="preserve">        </w:t>
      </w:r>
      <w:r w:rsidR="007E10DF" w:rsidRPr="007E10DF">
        <w:rPr>
          <w:sz w:val="20"/>
          <w:szCs w:val="20"/>
        </w:rPr>
        <w:t xml:space="preserve">Supply Chain Management can be seen as the process of strategically managing the procurement, movement and storage of materials, parts and finished inventory and also related information flows through the organization and its marketing channels in such a way that current and future profitability are maximized through the cost effective fulfillment of orders </w:t>
      </w:r>
      <w:r w:rsidR="00BE6765" w:rsidRPr="007E10DF">
        <w:rPr>
          <w:sz w:val="20"/>
          <w:szCs w:val="20"/>
        </w:rPr>
        <w:fldChar w:fldCharType="begin"/>
      </w:r>
      <w:r w:rsidR="007E10DF" w:rsidRPr="007E10DF">
        <w:rPr>
          <w:sz w:val="20"/>
          <w:szCs w:val="20"/>
        </w:rPr>
        <w:instrText xml:space="preserve"> ADDIN EN.CITE &lt;EndNote&gt;&lt;Cite&gt;&lt;Author&gt;Rahul&lt;/Author&gt;&lt;Year&gt;2005&lt;/Year&gt;&lt;RecNum&gt;44&lt;/RecNum&gt;&lt;record&gt;&lt;rec-number&gt;44&lt;/rec-number&gt;&lt;ref-type name="Book"&gt;6&lt;/ref-type&gt;&lt;contributors&gt;&lt;authors&gt;&lt;author&gt;Rahul, V&lt;/author&gt;&lt;author&gt;Altekar&lt;/author&gt;&lt;/authors&gt;&lt;/contributors&gt;&lt;titles&gt;&lt;title&gt;Supply chain management&lt;/title&gt;&lt;/titles&gt;&lt;dates&gt;&lt;year&gt;2005&lt;/year&gt;&lt;/dates&gt;&lt;publisher&gt;Printice Hall&lt;/publisher&gt;&lt;urls&gt;&lt;/urls&gt;&lt;/record&gt;&lt;/Cite&gt;&lt;/EndNote&gt;</w:instrText>
      </w:r>
      <w:r w:rsidR="00BE6765" w:rsidRPr="007E10DF">
        <w:rPr>
          <w:sz w:val="20"/>
          <w:szCs w:val="20"/>
        </w:rPr>
        <w:fldChar w:fldCharType="separate"/>
      </w:r>
      <w:r w:rsidR="007E10DF" w:rsidRPr="007E10DF">
        <w:rPr>
          <w:sz w:val="20"/>
          <w:szCs w:val="20"/>
        </w:rPr>
        <w:t>(Rahul andAltekar, 2005)</w:t>
      </w:r>
      <w:r w:rsidR="00BE6765" w:rsidRPr="007E10DF">
        <w:rPr>
          <w:sz w:val="20"/>
          <w:szCs w:val="20"/>
        </w:rPr>
        <w:fldChar w:fldCharType="end"/>
      </w:r>
      <w:r w:rsidR="007E10DF" w:rsidRPr="007E10DF">
        <w:rPr>
          <w:sz w:val="20"/>
          <w:szCs w:val="20"/>
        </w:rPr>
        <w:t xml:space="preserve">. As stated in BMW supplier Quality Management System </w:t>
      </w:r>
      <w:r w:rsidR="00BE6765" w:rsidRPr="007E10DF">
        <w:rPr>
          <w:sz w:val="20"/>
          <w:szCs w:val="20"/>
        </w:rPr>
        <w:fldChar w:fldCharType="begin"/>
      </w:r>
      <w:r w:rsidR="007E10DF" w:rsidRPr="007E10DF">
        <w:rPr>
          <w:sz w:val="20"/>
          <w:szCs w:val="20"/>
        </w:rPr>
        <w:instrText xml:space="preserve"> ADDIN EN.CITE &lt;EndNote&gt;&lt;Cite&gt;&lt;Author&gt;BMW&lt;/Author&gt;&lt;Year&gt;2008&lt;/Year&gt;&lt;RecNum&gt;20&lt;/RecNum&gt;&lt;record&gt;&lt;rec-number&gt;20&lt;/rec-number&gt;&lt;ref-type name="Electronic Source"&gt;12&lt;/ref-type&gt;&lt;contributors&gt;&lt;authors&gt;&lt;author&gt;BMW &lt;/author&gt;&lt;/authors&gt;&lt;/contributors&gt;&lt;titles&gt;&lt;title&gt;Supplied Part Quality management&lt;/title&gt;&lt;/titles&gt;&lt;dates&gt;&lt;year&gt;2008&lt;/year&gt;&lt;/dates&gt;&lt;publisher&gt;Purchasing and Supplier Network Division&lt;/publisher&gt;&lt;urls&gt;&lt;/urls&gt;&lt;/record&gt;&lt;/Cite&gt;&lt;/EndNote&gt;</w:instrText>
      </w:r>
      <w:r w:rsidR="00BE6765" w:rsidRPr="007E10DF">
        <w:rPr>
          <w:sz w:val="20"/>
          <w:szCs w:val="20"/>
        </w:rPr>
        <w:fldChar w:fldCharType="separate"/>
      </w:r>
      <w:r w:rsidR="007E10DF" w:rsidRPr="007E10DF">
        <w:rPr>
          <w:sz w:val="20"/>
          <w:szCs w:val="20"/>
        </w:rPr>
        <w:t>(BMW, 2008)</w:t>
      </w:r>
      <w:r w:rsidR="00BE6765" w:rsidRPr="007E10DF">
        <w:rPr>
          <w:sz w:val="20"/>
          <w:szCs w:val="20"/>
        </w:rPr>
        <w:fldChar w:fldCharType="end"/>
      </w:r>
      <w:r w:rsidR="007E10DF" w:rsidRPr="007E10DF">
        <w:rPr>
          <w:sz w:val="20"/>
          <w:szCs w:val="20"/>
        </w:rPr>
        <w:t>, they are looking for suppliers who are best in “Product Quality”, “Life Time Cost” and “Delivery Process Capability and On-time Delivery”.</w:t>
      </w:r>
    </w:p>
    <w:p w:rsidR="007E10DF" w:rsidRPr="007E10DF" w:rsidRDefault="007E10DF" w:rsidP="007E10DF">
      <w:pPr>
        <w:autoSpaceDE w:val="0"/>
        <w:autoSpaceDN w:val="0"/>
        <w:adjustRightInd w:val="0"/>
        <w:rPr>
          <w:sz w:val="20"/>
          <w:szCs w:val="20"/>
        </w:rPr>
      </w:pPr>
    </w:p>
    <w:p w:rsidR="007E10DF" w:rsidRPr="007E10DF" w:rsidRDefault="007E10DF" w:rsidP="007E10DF">
      <w:pPr>
        <w:autoSpaceDE w:val="0"/>
        <w:autoSpaceDN w:val="0"/>
        <w:adjustRightInd w:val="0"/>
        <w:jc w:val="lowKashida"/>
        <w:rPr>
          <w:sz w:val="20"/>
          <w:szCs w:val="20"/>
        </w:rPr>
      </w:pPr>
      <w:r w:rsidRPr="007E10DF">
        <w:rPr>
          <w:sz w:val="20"/>
          <w:szCs w:val="20"/>
        </w:rPr>
        <w:t>PSA PEUGEOT CITROËN stated in their supplier Quality Principles in 2006 that the quality of their vehicles depends directly on the quality of the external supplies that represent over 70% of the manufacturing cost of a vehicle</w:t>
      </w:r>
      <w:r w:rsidR="00BE6765" w:rsidRPr="007E10DF">
        <w:rPr>
          <w:sz w:val="20"/>
          <w:szCs w:val="20"/>
        </w:rPr>
        <w:fldChar w:fldCharType="begin"/>
      </w:r>
      <w:r w:rsidRPr="007E10DF">
        <w:rPr>
          <w:sz w:val="20"/>
          <w:szCs w:val="20"/>
        </w:rPr>
        <w:instrText xml:space="preserve"> ADDIN EN.CITE &lt;EndNote&gt;&lt;Cite&gt;&lt;Author&gt;PSA PEUGEOT CTROEN&lt;/Author&gt;&lt;Year&gt;2006&lt;/Year&gt;&lt;RecNum&gt;23&lt;/RecNum&gt;&lt;record&gt;&lt;rec-number&gt;23&lt;/rec-number&gt;&lt;ref-type name="Electronic Source"&gt;12&lt;/ref-type&gt;&lt;contributors&gt;&lt;authors&gt;&lt;author&gt;PSA PEUGEOT CTROEN,&lt;/author&gt;&lt;/authors&gt;&lt;/contributors&gt;&lt;titles&gt;&lt;title&gt;Supplier Quality Management Principles&lt;/title&gt;&lt;/titles&gt;&lt;volume&gt;2006&lt;/volume&gt;&lt;number&gt;Dec&lt;/number&gt;&lt;dates&gt;&lt;year&gt;2006&lt;/year&gt;&lt;/dates&gt;&lt;publisher&gt;Purchasing Division&lt;/publisher&gt;&lt;urls&gt;&lt;/urls&gt;&lt;/record&gt;&lt;/Cite&gt;&lt;/EndNote&gt;</w:instrText>
      </w:r>
      <w:r w:rsidR="00BE6765" w:rsidRPr="007E10DF">
        <w:rPr>
          <w:sz w:val="20"/>
          <w:szCs w:val="20"/>
        </w:rPr>
        <w:fldChar w:fldCharType="separate"/>
      </w:r>
      <w:r w:rsidRPr="007E10DF">
        <w:rPr>
          <w:sz w:val="20"/>
          <w:szCs w:val="20"/>
        </w:rPr>
        <w:t>(PSA PEUGEOT CTROEN, 2006)</w:t>
      </w:r>
      <w:r w:rsidR="00BE6765" w:rsidRPr="007E10DF">
        <w:rPr>
          <w:sz w:val="20"/>
          <w:szCs w:val="20"/>
        </w:rPr>
        <w:fldChar w:fldCharType="end"/>
      </w:r>
      <w:r w:rsidRPr="007E10DF">
        <w:rPr>
          <w:sz w:val="20"/>
          <w:szCs w:val="20"/>
        </w:rPr>
        <w:t>.</w:t>
      </w:r>
    </w:p>
    <w:p w:rsidR="007E10DF" w:rsidRPr="007E10DF" w:rsidRDefault="007E10DF" w:rsidP="007E10DF">
      <w:pPr>
        <w:autoSpaceDE w:val="0"/>
        <w:autoSpaceDN w:val="0"/>
        <w:adjustRightInd w:val="0"/>
        <w:jc w:val="lowKashida"/>
        <w:rPr>
          <w:color w:val="231F20"/>
          <w:sz w:val="20"/>
          <w:szCs w:val="20"/>
        </w:rPr>
      </w:pPr>
    </w:p>
    <w:p w:rsidR="007E10DF" w:rsidRPr="007E10DF" w:rsidRDefault="007E10DF" w:rsidP="007E10DF">
      <w:pPr>
        <w:autoSpaceDE w:val="0"/>
        <w:autoSpaceDN w:val="0"/>
        <w:adjustRightInd w:val="0"/>
        <w:jc w:val="lowKashida"/>
        <w:rPr>
          <w:color w:val="231F20"/>
          <w:sz w:val="20"/>
          <w:szCs w:val="20"/>
        </w:rPr>
      </w:pPr>
      <w:r w:rsidRPr="007E10DF">
        <w:rPr>
          <w:color w:val="231F20"/>
          <w:sz w:val="20"/>
          <w:szCs w:val="20"/>
        </w:rPr>
        <w:t>A study also has been conducted in PROTON on determining what supplier development programs are being undertaken by PROTON as Malaysian car-manufacturing firm. PROTON establishes supplier rating schemes which track supplier performances in terms of management, financial, technical capability, quality, delivery, services, price, etc</w:t>
      </w:r>
      <w:r w:rsidR="00BE6765" w:rsidRPr="007E10DF">
        <w:rPr>
          <w:sz w:val="20"/>
          <w:szCs w:val="20"/>
        </w:rPr>
        <w:fldChar w:fldCharType="begin"/>
      </w:r>
      <w:r w:rsidRPr="007E10DF">
        <w:rPr>
          <w:sz w:val="20"/>
          <w:szCs w:val="20"/>
        </w:rPr>
        <w:instrText xml:space="preserve"> ADDIN EN.CITE &lt;EndNote&gt;&lt;Cite&gt;&lt;Author&gt;Abdullah&lt;/Author&gt;&lt;Year&gt;2008&lt;/Year&gt;&lt;RecNum&gt;45&lt;/RecNum&gt;&lt;record&gt;&lt;rec-number&gt;45&lt;/rec-number&gt;&lt;ref-type name="Journal Article"&gt;17&lt;/ref-type&gt;&lt;contributors&gt;&lt;authors&gt;&lt;author&gt;Abdullah, Rashid&lt;/author&gt;&lt;author&gt;Lall, Keshav Lall&lt;/author&gt;&lt;author&gt;Tatsuo, Kimbara&lt;/author&gt;&lt;/authors&gt;&lt;/contributors&gt;&lt;titles&gt;&lt;title&gt;Supplier development framework in themalaysian automotive industry&lt;/title&gt;&lt;secondary-title&gt;International journal of economicsand management&lt;/secondary-title&gt;&lt;/titles&gt;&lt;periodical&gt;&lt;full-title&gt;International journal of economicsand management&lt;/full-title&gt;&lt;/periodical&gt;&lt;pages&gt;29--58&lt;/pages&gt;&lt;volume&gt;2&lt;/volume&gt;&lt;number&gt;1&lt;/number&gt;&lt;dates&gt;&lt;year&gt;2008&lt;/year&gt;&lt;/dates&gt;&lt;urls&gt;&lt;/urls&gt;&lt;/record&gt;&lt;/Cite&gt;&lt;/EndNote&gt;</w:instrText>
      </w:r>
      <w:r w:rsidR="00BE6765" w:rsidRPr="007E10DF">
        <w:rPr>
          <w:sz w:val="20"/>
          <w:szCs w:val="20"/>
        </w:rPr>
        <w:fldChar w:fldCharType="separate"/>
      </w:r>
      <w:r w:rsidRPr="007E10DF">
        <w:rPr>
          <w:sz w:val="20"/>
          <w:szCs w:val="20"/>
        </w:rPr>
        <w:t>(Abdullah et al., 2008)</w:t>
      </w:r>
      <w:r w:rsidR="00BE6765" w:rsidRPr="007E10DF">
        <w:rPr>
          <w:sz w:val="20"/>
          <w:szCs w:val="20"/>
        </w:rPr>
        <w:fldChar w:fldCharType="end"/>
      </w:r>
      <w:r w:rsidRPr="007E10DF">
        <w:rPr>
          <w:color w:val="231F20"/>
          <w:sz w:val="20"/>
          <w:szCs w:val="20"/>
        </w:rPr>
        <w:t>.</w:t>
      </w:r>
    </w:p>
    <w:p w:rsidR="007E10DF" w:rsidRPr="007E10DF" w:rsidRDefault="007E10DF" w:rsidP="007E10DF">
      <w:pPr>
        <w:autoSpaceDE w:val="0"/>
        <w:autoSpaceDN w:val="0"/>
        <w:adjustRightInd w:val="0"/>
        <w:rPr>
          <w:sz w:val="20"/>
          <w:szCs w:val="20"/>
        </w:rPr>
      </w:pPr>
    </w:p>
    <w:p w:rsidR="007E10DF" w:rsidRPr="007E10DF" w:rsidRDefault="007E10DF" w:rsidP="007E10DF">
      <w:pPr>
        <w:jc w:val="lowKashida"/>
        <w:rPr>
          <w:b/>
          <w:sz w:val="20"/>
          <w:szCs w:val="20"/>
        </w:rPr>
      </w:pPr>
      <w:r w:rsidRPr="007E10DF">
        <w:rPr>
          <w:sz w:val="20"/>
          <w:szCs w:val="20"/>
        </w:rPr>
        <w:t>Supplier linkage and internal departmental linkage have significant effect on overall SCM performance where the supplier linkage is the most important significant on SCM overall performance</w:t>
      </w:r>
      <w:r w:rsidR="00BE6765" w:rsidRPr="007E10DF">
        <w:rPr>
          <w:sz w:val="20"/>
          <w:szCs w:val="20"/>
        </w:rPr>
        <w:fldChar w:fldCharType="begin"/>
      </w:r>
      <w:r w:rsidRPr="007E10DF">
        <w:rPr>
          <w:sz w:val="20"/>
          <w:szCs w:val="20"/>
        </w:rPr>
        <w:instrText xml:space="preserve"> ADDIN EN.CITE &lt;EndNote&gt;&lt;Cite&gt;&lt;Author&gt;lee&lt;/Author&gt;&lt;Year&gt;2007&lt;/Year&gt;&lt;RecNum&gt;55&lt;/RecNum&gt;&lt;record&gt;&lt;rec-number&gt;55&lt;/rec-number&gt;&lt;ref-type name="Journal Article"&gt;17&lt;/ref-type&gt;&lt;contributors&gt;&lt;authors&gt;&lt;author&gt;lee, Chang Won&lt;/author&gt;&lt;author&gt;Kwon, Ik-whan G.&lt;/author&gt;&lt;author&gt;Severance, Dannis&lt;/author&gt;&lt;/authors&gt;&lt;/contributors&gt;&lt;titles&gt;&lt;title&gt;Relationship between supply chain performance and degree of linkage among supplier internal integration&lt;/title&gt;&lt;secondary-title&gt;Supply chain management: An international journal&lt;/secondary-title&gt;&lt;/titles&gt;&lt;periodical&gt;&lt;full-title&gt;Supply chain management: An international journal&lt;/full-title&gt;&lt;/periodical&gt;&lt;pages&gt;444-452&lt;/pages&gt;&lt;volume&gt;12&lt;/volume&gt;&lt;number&gt;6&lt;/number&gt;&lt;dates&gt;&lt;year&gt;2007&lt;/year&gt;&lt;/dates&gt;&lt;urls&gt;&lt;/urls&gt;&lt;/record&gt;&lt;/Cite&gt;&lt;/EndNote&gt;</w:instrText>
      </w:r>
      <w:r w:rsidR="00BE6765" w:rsidRPr="007E10DF">
        <w:rPr>
          <w:sz w:val="20"/>
          <w:szCs w:val="20"/>
        </w:rPr>
        <w:fldChar w:fldCharType="separate"/>
      </w:r>
      <w:r w:rsidRPr="007E10DF">
        <w:rPr>
          <w:sz w:val="20"/>
          <w:szCs w:val="20"/>
        </w:rPr>
        <w:t>(lee et al., 2007)</w:t>
      </w:r>
      <w:r w:rsidR="00BE6765" w:rsidRPr="007E10DF">
        <w:rPr>
          <w:sz w:val="20"/>
          <w:szCs w:val="20"/>
        </w:rPr>
        <w:fldChar w:fldCharType="end"/>
      </w:r>
      <w:r w:rsidRPr="007E10DF">
        <w:rPr>
          <w:sz w:val="20"/>
          <w:szCs w:val="20"/>
        </w:rPr>
        <w:t xml:space="preserve">. On time deliveries, reducing response time, determining customer future needs were also highly ranked on SCM performance </w:t>
      </w:r>
      <w:r w:rsidR="00BE6765" w:rsidRPr="007E10DF">
        <w:rPr>
          <w:sz w:val="20"/>
          <w:szCs w:val="20"/>
        </w:rPr>
        <w:fldChar w:fldCharType="begin"/>
      </w:r>
      <w:r w:rsidRPr="007E10DF">
        <w:rPr>
          <w:sz w:val="20"/>
          <w:szCs w:val="20"/>
        </w:rPr>
        <w:instrText xml:space="preserve"> ADDIN EN.CITE &lt;EndNote&gt;&lt;Cite&gt;&lt;Author&gt;Tan&lt;/Author&gt;&lt;Year&gt;2002&lt;/Year&gt;&lt;RecNum&gt;46&lt;/RecNum&gt;&lt;record&gt;&lt;rec-number&gt;46&lt;/rec-number&gt;&lt;ref-type name="Journal Article"&gt;17&lt;/ref-type&gt;&lt;contributors&gt;&lt;authors&gt;&lt;author&gt;Tan, keah Choon&lt;/author&gt;&lt;author&gt;Lyman, Steven B.&lt;/author&gt;&lt;author&gt;Wisner, Joel D.&lt;/author&gt;&lt;/authors&gt;&lt;/contributors&gt;&lt;titles&gt;&lt;title&gt;Supply chain management a strategic perspective&lt;/title&gt;&lt;secondary-title&gt;International journal of operation and production management&lt;/secondary-title&gt;&lt;/titles&gt;&lt;periodical&gt;&lt;full-title&gt;International journal of operation and production management&lt;/full-title&gt;&lt;/periodical&gt;&lt;pages&gt;614-631&lt;/pages&gt;&lt;volume&gt;22&lt;/volume&gt;&lt;number&gt;6&lt;/number&gt;&lt;dates&gt;&lt;year&gt;2002&lt;/year&gt;&lt;/dates&gt;&lt;urls&gt;&lt;/urls&gt;&lt;/record&gt;&lt;/Cite&gt;&lt;/EndNote&gt;</w:instrText>
      </w:r>
      <w:r w:rsidR="00BE6765" w:rsidRPr="007E10DF">
        <w:rPr>
          <w:sz w:val="20"/>
          <w:szCs w:val="20"/>
        </w:rPr>
        <w:fldChar w:fldCharType="separate"/>
      </w:r>
      <w:r w:rsidRPr="007E10DF">
        <w:rPr>
          <w:sz w:val="20"/>
          <w:szCs w:val="20"/>
        </w:rPr>
        <w:t>(Tan et al., 2002)</w:t>
      </w:r>
      <w:r w:rsidR="00BE6765" w:rsidRPr="007E10DF">
        <w:rPr>
          <w:sz w:val="20"/>
          <w:szCs w:val="20"/>
        </w:rPr>
        <w:fldChar w:fldCharType="end"/>
      </w:r>
      <w:r w:rsidRPr="007E10DF">
        <w:rPr>
          <w:sz w:val="20"/>
          <w:szCs w:val="20"/>
        </w:rPr>
        <w:t>. Process management has been about improving the linkages between internal processes and supply chain management has been about improving the linkages between firms</w:t>
      </w:r>
      <w:r w:rsidR="00BE6765" w:rsidRPr="007E10DF">
        <w:rPr>
          <w:sz w:val="20"/>
          <w:szCs w:val="20"/>
        </w:rPr>
        <w:fldChar w:fldCharType="begin"/>
      </w:r>
      <w:r w:rsidRPr="007E10DF">
        <w:rPr>
          <w:sz w:val="20"/>
          <w:szCs w:val="20"/>
        </w:rPr>
        <w:instrText xml:space="preserve"> ADDIN EN.CITE &lt;EndNote&gt;&lt;Cite&gt;&lt;Author&gt;McAdam&lt;/Author&gt;&lt;Year&gt;2001&lt;/Year&gt;&lt;RecNum&gt;31&lt;/RecNum&gt;&lt;record&gt;&lt;rec-number&gt;31&lt;/rec-number&gt;&lt;ref-type name="Journal Article"&gt;17&lt;/ref-type&gt;&lt;contributors&gt;&lt;authors&gt;&lt;author&gt;McAdam, Rodney.&lt;/author&gt;&lt;author&gt;McCormac, Daniel.&lt;/author&gt;&lt;/authors&gt;&lt;/contributors&gt;&lt;titles&gt;&lt;title&gt;International business processes for global and supply chain management&lt;/title&gt;&lt;secondary-title&gt;Business process management journal&lt;/secondary-title&gt;&lt;/titles&gt;&lt;periodical&gt;&lt;full-title&gt;Business process management journal&lt;/full-title&gt;&lt;/periodical&gt;&lt;pages&gt;114&lt;/pages&gt;&lt;volume&gt;7&lt;/volume&gt;&lt;number&gt;2&lt;/number&gt;&lt;dates&gt;&lt;year&gt;2001&lt;/year&gt;&lt;/dates&gt;&lt;urls&gt;&lt;/urls&gt;&lt;/record&gt;&lt;/Cite&gt;&lt;/EndNote&gt;</w:instrText>
      </w:r>
      <w:r w:rsidR="00BE6765" w:rsidRPr="007E10DF">
        <w:rPr>
          <w:sz w:val="20"/>
          <w:szCs w:val="20"/>
        </w:rPr>
        <w:fldChar w:fldCharType="separate"/>
      </w:r>
      <w:r w:rsidRPr="007E10DF">
        <w:rPr>
          <w:sz w:val="20"/>
          <w:szCs w:val="20"/>
        </w:rPr>
        <w:t>(McAdam and McCormac, 2001)</w:t>
      </w:r>
      <w:r w:rsidR="00BE6765" w:rsidRPr="007E10DF">
        <w:rPr>
          <w:sz w:val="20"/>
          <w:szCs w:val="20"/>
        </w:rPr>
        <w:fldChar w:fldCharType="end"/>
      </w:r>
      <w:r w:rsidRPr="007E10DF">
        <w:rPr>
          <w:sz w:val="20"/>
          <w:szCs w:val="20"/>
        </w:rPr>
        <w:t>. Supply chain performance is significantly affected by the strategic nature of the purchasing function</w:t>
      </w:r>
      <w:r w:rsidR="00BE6765" w:rsidRPr="007E10DF">
        <w:rPr>
          <w:sz w:val="20"/>
          <w:szCs w:val="20"/>
        </w:rPr>
        <w:fldChar w:fldCharType="begin"/>
      </w:r>
      <w:r w:rsidRPr="007E10DF">
        <w:rPr>
          <w:sz w:val="20"/>
          <w:szCs w:val="20"/>
        </w:rPr>
        <w:instrText xml:space="preserve"> ADDIN EN.CITE &lt;EndNote&gt;&lt;Cite&gt;&lt;Author&gt;Paulraj&lt;/Author&gt;&lt;Year&gt;2006&lt;/Year&gt;&lt;RecNum&gt;47&lt;/RecNum&gt;&lt;record&gt;&lt;rec-number&gt;47&lt;/rec-number&gt;&lt;ref-type name="Journal Article"&gt;17&lt;/ref-type&gt;&lt;contributors&gt;&lt;authors&gt;&lt;author&gt;Paulraj, Antony.&lt;/author&gt;&lt;author&gt;Chen, Injazz J.&lt;/author&gt;&lt;author&gt;Flynn, James.&lt;/author&gt;&lt;/authors&gt;&lt;/contributors&gt;&lt;titles&gt;&lt;title&gt;Level of strategic purchasing: Impact on supply chain integration and performance&lt;/title&gt;&lt;secondary-title&gt;Journal of purchasing and supply management&lt;/secondary-title&gt;&lt;/titles&gt;&lt;periodical&gt;&lt;full-title&gt;Journal of purchasing and supply management&lt;/full-title&gt;&lt;/periodical&gt;&lt;pages&gt;107-122&lt;/pages&gt;&lt;volume&gt;12&lt;/volume&gt;&lt;dates&gt;&lt;year&gt;2006&lt;/year&gt;&lt;/dates&gt;&lt;urls&gt;&lt;/urls&gt;&lt;/record&gt;&lt;/Cite&gt;&lt;/EndNote&gt;</w:instrText>
      </w:r>
      <w:r w:rsidR="00BE6765" w:rsidRPr="007E10DF">
        <w:rPr>
          <w:sz w:val="20"/>
          <w:szCs w:val="20"/>
        </w:rPr>
        <w:fldChar w:fldCharType="separate"/>
      </w:r>
      <w:r w:rsidRPr="007E10DF">
        <w:rPr>
          <w:sz w:val="20"/>
          <w:szCs w:val="20"/>
        </w:rPr>
        <w:t>(Paulraj et al., 2006)</w:t>
      </w:r>
      <w:r w:rsidR="00BE6765" w:rsidRPr="007E10DF">
        <w:rPr>
          <w:sz w:val="20"/>
          <w:szCs w:val="20"/>
        </w:rPr>
        <w:fldChar w:fldCharType="end"/>
      </w:r>
      <w:r w:rsidRPr="007E10DF">
        <w:rPr>
          <w:b/>
          <w:sz w:val="20"/>
          <w:szCs w:val="20"/>
        </w:rPr>
        <w:t xml:space="preserve"> </w:t>
      </w:r>
    </w:p>
    <w:p w:rsidR="007E10DF" w:rsidRPr="007E10DF" w:rsidRDefault="007E10DF" w:rsidP="007E10DF">
      <w:pPr>
        <w:jc w:val="lowKashida"/>
        <w:rPr>
          <w:sz w:val="20"/>
          <w:szCs w:val="20"/>
        </w:rPr>
      </w:pPr>
      <w:r w:rsidRPr="007E10DF">
        <w:rPr>
          <w:sz w:val="20"/>
          <w:szCs w:val="20"/>
        </w:rPr>
        <w:t xml:space="preserve">Traditionally, purchasing was considered as a clerical function, where the relationships between suppliers and buyers tended to be adversarial. However, many organizations are now moving towards a more collaborative approach </w:t>
      </w:r>
      <w:r w:rsidR="00BE6765" w:rsidRPr="007E10DF">
        <w:rPr>
          <w:sz w:val="20"/>
          <w:szCs w:val="20"/>
        </w:rPr>
        <w:fldChar w:fldCharType="begin"/>
      </w:r>
      <w:r w:rsidRPr="007E10DF">
        <w:rPr>
          <w:sz w:val="20"/>
          <w:szCs w:val="20"/>
        </w:rPr>
        <w:instrText xml:space="preserve"> ADDIN EN.CITE &lt;EndNote&gt;&lt;Cite&gt;&lt;Author&gt;Humphreys&lt;/Author&gt;&lt;Year&gt;2001&lt;/Year&gt;&lt;RecNum&gt;36&lt;/RecNum&gt;&lt;record&gt;&lt;rec-number&gt;36&lt;/rec-number&gt;&lt;ref-type name="Journal Article"&gt;17&lt;/ref-type&gt;&lt;contributors&gt;&lt;authors&gt;&lt;author&gt;Humphreys, P.K.&lt;/author&gt;&lt;author&gt;Shiu, W.K.&lt;/author&gt;&lt;author&gt;Chan,F.TS.&lt;/author&gt;&lt;/authors&gt;&lt;/contributors&gt;&lt;titles&gt;&lt;title&gt;Collabrotive buyer-supplier relationship Hong Kong manufacturing firms&lt;/title&gt;&lt;secondary-title&gt;Supply chain management journal&lt;/secondary-title&gt;&lt;/titles&gt;&lt;periodical&gt;&lt;full-title&gt;Supply chain management journal&lt;/full-title&gt;&lt;/periodical&gt;&lt;pages&gt;152&lt;/pages&gt;&lt;volume&gt;6&lt;/volume&gt;&lt;number&gt;4&lt;/number&gt;&lt;dates&gt;&lt;year&gt;2001&lt;/year&gt;&lt;/dates&gt;&lt;urls&gt;&lt;/urls&gt;&lt;/record&gt;&lt;/Cite&gt;&lt;/EndNote&gt;</w:instrText>
      </w:r>
      <w:r w:rsidR="00BE6765" w:rsidRPr="007E10DF">
        <w:rPr>
          <w:sz w:val="20"/>
          <w:szCs w:val="20"/>
        </w:rPr>
        <w:fldChar w:fldCharType="separate"/>
      </w:r>
      <w:r w:rsidRPr="007E10DF">
        <w:rPr>
          <w:sz w:val="20"/>
          <w:szCs w:val="20"/>
        </w:rPr>
        <w:t>(Humphreys et al., 2001)</w:t>
      </w:r>
      <w:r w:rsidR="00BE6765" w:rsidRPr="007E10DF">
        <w:rPr>
          <w:sz w:val="20"/>
          <w:szCs w:val="20"/>
        </w:rPr>
        <w:fldChar w:fldCharType="end"/>
      </w:r>
      <w:r w:rsidRPr="007E10DF">
        <w:rPr>
          <w:sz w:val="20"/>
          <w:szCs w:val="20"/>
        </w:rPr>
        <w:t xml:space="preserve">. Many manufacturers embraced the concept of supply chain management to improve product development, quality and delivery goals, and to eliminate waste. </w:t>
      </w:r>
    </w:p>
    <w:p w:rsidR="007E10DF" w:rsidRPr="007E10DF" w:rsidRDefault="007E10DF" w:rsidP="007E10DF">
      <w:pPr>
        <w:jc w:val="lowKashida"/>
        <w:rPr>
          <w:sz w:val="20"/>
          <w:szCs w:val="20"/>
        </w:rPr>
      </w:pPr>
      <w:r w:rsidRPr="007E10DF">
        <w:rPr>
          <w:sz w:val="20"/>
          <w:szCs w:val="20"/>
        </w:rPr>
        <w:t>An insufficient level of communication between internal customer and supplier could be among the reasons conceivable for the situation detected. Issues that give rise to criticism or dissatisfaction are either not articulated clearly enough to be understood or are not perceived, realized or accepted as a source of improvement</w:t>
      </w:r>
      <w:r w:rsidR="00BE6765" w:rsidRPr="007E10DF">
        <w:rPr>
          <w:sz w:val="20"/>
          <w:szCs w:val="20"/>
        </w:rPr>
        <w:fldChar w:fldCharType="begin"/>
      </w:r>
      <w:r w:rsidRPr="007E10DF">
        <w:rPr>
          <w:sz w:val="20"/>
          <w:szCs w:val="20"/>
        </w:rPr>
        <w:instrText xml:space="preserve"> ADDIN EN.CITE &lt;EndNote&gt;&lt;Cite&gt;&lt;Author&gt;Large&lt;/Author&gt;&lt;Year&gt;2009&lt;/Year&gt;&lt;RecNum&gt;38&lt;/RecNum&gt;&lt;record&gt;&lt;rec-number&gt;38&lt;/rec-number&gt;&lt;ref-type name="Journal Article"&gt;17&lt;/ref-type&gt;&lt;contributors&gt;&lt;authors&gt;&lt;author&gt;Large, Rudolf O.&lt;/author&gt;&lt;author&gt;Konig, Tatjana.&lt;/author&gt;&lt;/authors&gt;&lt;/contributors&gt;&lt;titles&gt;&lt;title&gt;A gap model of purchasing internal service quality: Concept Case and internal survey&lt;/title&gt;&lt;secondary-title&gt;Journal of purchasing and supply management&lt;/secondary-title&gt;&lt;/titles&gt;&lt;periodical&gt;&lt;full-title&gt;Journal of purchasing and supply management&lt;/full-title&gt;&lt;/periodical&gt;&lt;pages&gt;24-32&lt;/pages&gt;&lt;dates&gt;&lt;year&gt;2009&lt;/year&gt;&lt;/dates&gt;&lt;urls&gt;&lt;/urls&gt;&lt;/record&gt;&lt;/Cite&gt;&lt;/EndNote&gt;</w:instrText>
      </w:r>
      <w:r w:rsidR="00BE6765" w:rsidRPr="007E10DF">
        <w:rPr>
          <w:sz w:val="20"/>
          <w:szCs w:val="20"/>
        </w:rPr>
        <w:fldChar w:fldCharType="separate"/>
      </w:r>
      <w:r w:rsidRPr="007E10DF">
        <w:rPr>
          <w:sz w:val="20"/>
          <w:szCs w:val="20"/>
        </w:rPr>
        <w:t>(Large andKonig, 2009)</w:t>
      </w:r>
      <w:r w:rsidR="00BE6765" w:rsidRPr="007E10DF">
        <w:rPr>
          <w:sz w:val="20"/>
          <w:szCs w:val="20"/>
        </w:rPr>
        <w:fldChar w:fldCharType="end"/>
      </w:r>
      <w:r w:rsidRPr="007E10DF">
        <w:rPr>
          <w:sz w:val="20"/>
          <w:szCs w:val="20"/>
        </w:rPr>
        <w:t>.</w:t>
      </w:r>
    </w:p>
    <w:p w:rsidR="007E10DF" w:rsidRPr="007E10DF" w:rsidRDefault="007E10DF" w:rsidP="007E10DF">
      <w:pPr>
        <w:jc w:val="both"/>
        <w:rPr>
          <w:sz w:val="20"/>
          <w:szCs w:val="20"/>
        </w:rPr>
      </w:pPr>
      <w:r w:rsidRPr="007E10DF">
        <w:rPr>
          <w:sz w:val="20"/>
          <w:szCs w:val="20"/>
        </w:rPr>
        <w:t xml:space="preserve">There is always a need for a tool to select potential suppliers and continually monitoring and assessing the performance of the suppliers. What manufacturers are doing is to establish dynamic trading relationships. However, it needs a tool to select potential suppliers with the capability of continually monitoring and assessing the performance of their suppliers </w:t>
      </w:r>
      <w:r w:rsidR="00BE6765" w:rsidRPr="007E10DF">
        <w:rPr>
          <w:sz w:val="20"/>
          <w:szCs w:val="20"/>
        </w:rPr>
        <w:fldChar w:fldCharType="begin"/>
      </w:r>
      <w:r w:rsidRPr="007E10DF">
        <w:rPr>
          <w:sz w:val="20"/>
          <w:szCs w:val="20"/>
        </w:rPr>
        <w:instrText xml:space="preserve"> ADDIN EN.CITE &lt;EndNote&gt;&lt;Cite&gt;&lt;Author&gt;Liu&lt;/Author&gt;&lt;Year&gt;2000&lt;/Year&gt;&lt;RecNum&gt;40&lt;/RecNum&gt;&lt;record&gt;&lt;rec-number&gt;40&lt;/rec-number&gt;&lt;ref-type name="Journal Article"&gt;17&lt;/ref-type&gt;&lt;contributors&gt;&lt;authors&gt;&lt;author&gt;Liu, J.&lt;/author&gt;&lt;author&gt;Ding, F.Y.&lt;/author&gt;&lt;author&gt;Lall, V.&lt;/author&gt;&lt;/authors&gt;&lt;/contributors&gt;&lt;titles&gt;&lt;title&gt;Using data envolement analysis to compare suppliers for supplier selection and performance improvement&lt;/title&gt;&lt;secondary-title&gt;Supply chain management: An international journal&lt;/secondary-title&gt;&lt;/titles&gt;&lt;periodical&gt;&lt;full-title&gt;Supply chain management: An international journal&lt;/full-title&gt;&lt;/periodical&gt;&lt;pages&gt;143-150&lt;/pages&gt;&lt;volume&gt;5&lt;/volume&gt;&lt;number&gt;3&lt;/number&gt;&lt;dates&gt;&lt;year&gt;2000&lt;/year&gt;&lt;/dates&gt;&lt;urls&gt;&lt;/urls&gt;&lt;/record&gt;&lt;/Cite&gt;&lt;/EndNote&gt;</w:instrText>
      </w:r>
      <w:r w:rsidR="00BE6765" w:rsidRPr="007E10DF">
        <w:rPr>
          <w:sz w:val="20"/>
          <w:szCs w:val="20"/>
        </w:rPr>
        <w:fldChar w:fldCharType="separate"/>
      </w:r>
      <w:r w:rsidRPr="007E10DF">
        <w:rPr>
          <w:sz w:val="20"/>
          <w:szCs w:val="20"/>
        </w:rPr>
        <w:t>(Liu et al., 2000)</w:t>
      </w:r>
      <w:r w:rsidR="00BE6765" w:rsidRPr="007E10DF">
        <w:rPr>
          <w:sz w:val="20"/>
          <w:szCs w:val="20"/>
        </w:rPr>
        <w:fldChar w:fldCharType="end"/>
      </w:r>
      <w:r w:rsidRPr="007E10DF">
        <w:rPr>
          <w:sz w:val="20"/>
          <w:szCs w:val="20"/>
        </w:rPr>
        <w:t xml:space="preserve">. The prioritization of suppliers for development depends upon, for example, the supplier’s quality performance and the importance of the product supplied. Supplier performance shall be monitored through delivered product quality and delivery schedule performance. Moreover, the organization shall promote supplier monitoring of the performance of their manufacturing processes. The organization shall determine, collect and analyze appropriate data generated as a result of monitoring and managing from other relevant sources such as suppliers </w:t>
      </w:r>
      <w:r w:rsidR="00BE6765" w:rsidRPr="007E10DF">
        <w:rPr>
          <w:sz w:val="20"/>
          <w:szCs w:val="20"/>
        </w:rPr>
        <w:fldChar w:fldCharType="begin"/>
      </w:r>
      <w:r w:rsidRPr="007E10DF">
        <w:rPr>
          <w:sz w:val="20"/>
          <w:szCs w:val="20"/>
        </w:rPr>
        <w:instrText xml:space="preserve"> ADDIN EN.CITE &lt;EndNote&gt;&lt;Cite&gt;&lt;Author&gt;ISO&lt;/Author&gt;&lt;Year&gt;2002&lt;/Year&gt;&lt;RecNum&gt;29&lt;/RecNum&gt;&lt;record&gt;&lt;rec-number&gt;29&lt;/rec-number&gt;&lt;ref-type name="Legal Rule/Regulation"&gt;50&lt;/ref-type&gt;&lt;contributors&gt;&lt;authors&gt;&lt;author&gt;ISO&lt;/author&gt;&lt;/authors&gt;&lt;/contributors&gt;&lt;titles&gt;&lt;title&gt;Quality management system-Particular requirement for the application of ISO9001:2000 for automotive production and relevant service part organizations&lt;/title&gt;&lt;/titles&gt;&lt;edition&gt;2&lt;/edition&gt;&lt;keywords&gt;&lt;keyword&gt;ISO/TS16949:2002&lt;/keyword&gt;&lt;/keywords&gt;&lt;dates&gt;&lt;year&gt;2002&lt;/year&gt;&lt;/dates&gt;&lt;publisher&gt;ISO copyright office&lt;/publisher&gt;&lt;urls&gt;&lt;/urls&gt;&lt;/record&gt;&lt;/Cite&gt;&lt;/EndNote&gt;</w:instrText>
      </w:r>
      <w:r w:rsidR="00BE6765" w:rsidRPr="007E10DF">
        <w:rPr>
          <w:sz w:val="20"/>
          <w:szCs w:val="20"/>
        </w:rPr>
        <w:fldChar w:fldCharType="separate"/>
      </w:r>
      <w:r w:rsidRPr="007E10DF">
        <w:rPr>
          <w:sz w:val="20"/>
          <w:szCs w:val="20"/>
        </w:rPr>
        <w:t>(ISO, 2002)</w:t>
      </w:r>
      <w:r w:rsidR="00BE6765" w:rsidRPr="007E10DF">
        <w:rPr>
          <w:sz w:val="20"/>
          <w:szCs w:val="20"/>
        </w:rPr>
        <w:fldChar w:fldCharType="end"/>
      </w:r>
      <w:r w:rsidRPr="007E10DF">
        <w:rPr>
          <w:sz w:val="20"/>
          <w:szCs w:val="20"/>
        </w:rPr>
        <w:t xml:space="preserve">. Moreover, Performance measurement describes the feedback or information on activities with respect to meeting customer expectations and strategic objectives </w:t>
      </w:r>
      <w:r w:rsidR="00BE6765" w:rsidRPr="007E10DF">
        <w:rPr>
          <w:sz w:val="20"/>
          <w:szCs w:val="20"/>
        </w:rPr>
        <w:fldChar w:fldCharType="begin"/>
      </w:r>
      <w:r w:rsidRPr="007E10DF">
        <w:rPr>
          <w:sz w:val="20"/>
          <w:szCs w:val="20"/>
        </w:rPr>
        <w:instrText xml:space="preserve"> ADDIN EN.CITE &lt;EndNote&gt;&lt;Cite&gt;&lt;Author&gt;Lehtonen&lt;/Author&gt;&lt;Year&gt;2001&lt;/Year&gt;&lt;RecNum&gt;54&lt;/RecNum&gt;&lt;record&gt;&lt;rec-number&gt;54&lt;/rec-number&gt;&lt;ref-type name="Journal Article"&gt;17&lt;/ref-type&gt;&lt;contributors&gt;&lt;authors&gt;&lt;author&gt;Lehtonen, Tutu Wegelius&lt;/author&gt;&lt;/authors&gt;&lt;/contributors&gt;&lt;titles&gt;&lt;title&gt;Performance measurement in construction logistics&lt;/title&gt;&lt;secondary-title&gt;International journal of production economies&lt;/secondary-title&gt;&lt;/titles&gt;&lt;periodical&gt;&lt;full-title&gt;International journal of production economies&lt;/full-title&gt;&lt;/periodical&gt;&lt;pages&gt;107-116&lt;/pages&gt;&lt;volume&gt;69&lt;/volume&gt;&lt;dates&gt;&lt;year&gt;2001&lt;/year&gt;&lt;/dates&gt;&lt;urls&gt;&lt;/urls&gt;&lt;/record&gt;&lt;/Cite&gt;&lt;/EndNote&gt;</w:instrText>
      </w:r>
      <w:r w:rsidR="00BE6765" w:rsidRPr="007E10DF">
        <w:rPr>
          <w:sz w:val="20"/>
          <w:szCs w:val="20"/>
        </w:rPr>
        <w:fldChar w:fldCharType="separate"/>
      </w:r>
      <w:r w:rsidRPr="007E10DF">
        <w:rPr>
          <w:sz w:val="20"/>
          <w:szCs w:val="20"/>
        </w:rPr>
        <w:t>(Lehtonen, 2001)</w:t>
      </w:r>
      <w:r w:rsidR="00BE6765" w:rsidRPr="007E10DF">
        <w:rPr>
          <w:sz w:val="20"/>
          <w:szCs w:val="20"/>
        </w:rPr>
        <w:fldChar w:fldCharType="end"/>
      </w:r>
      <w:r w:rsidRPr="007E10DF">
        <w:rPr>
          <w:sz w:val="20"/>
          <w:szCs w:val="20"/>
        </w:rPr>
        <w:t>.</w:t>
      </w:r>
    </w:p>
    <w:p w:rsidR="007E10DF" w:rsidRPr="007E10DF" w:rsidRDefault="007E10DF" w:rsidP="007E10DF">
      <w:pPr>
        <w:jc w:val="lowKashida"/>
        <w:rPr>
          <w:sz w:val="20"/>
          <w:szCs w:val="20"/>
        </w:rPr>
      </w:pPr>
      <w:r w:rsidRPr="007E10DF">
        <w:rPr>
          <w:sz w:val="20"/>
          <w:szCs w:val="20"/>
        </w:rPr>
        <w:t>The aim of any type of data analysis is to gain understanding from data. When we collect process performance data we see that it varies. The information in this variation is important to the understanding of how the process is performing and statistical process control (SPC) is primarily the tool for understanding variation</w:t>
      </w:r>
      <w:r w:rsidR="00BE6765" w:rsidRPr="007E10DF">
        <w:rPr>
          <w:sz w:val="20"/>
          <w:szCs w:val="20"/>
        </w:rPr>
        <w:fldChar w:fldCharType="begin"/>
      </w:r>
      <w:r w:rsidRPr="007E10DF">
        <w:rPr>
          <w:sz w:val="20"/>
          <w:szCs w:val="20"/>
        </w:rPr>
        <w:instrText xml:space="preserve"> ADDIN EN.CITE &lt;EndNote&gt;&lt;Cite&gt;&lt;Author&gt;Stapenhurst&lt;/Author&gt;&lt;Year&gt;2005&lt;/Year&gt;&lt;RecNum&gt;14&lt;/RecNum&gt;&lt;record&gt;&lt;rec-number&gt;14&lt;/rec-number&gt;&lt;ref-type name="Book"&gt;6&lt;/ref-type&gt;&lt;contributors&gt;&lt;authors&gt;&lt;author&gt;Stapenhurst, Tim.&lt;/author&gt;&lt;/authors&gt;&lt;/contributors&gt;&lt;titles&gt;&lt;title&gt;Mastering Statistical Process Control&lt;/title&gt;&lt;/titles&gt;&lt;pages&gt;460&lt;/pages&gt;&lt;edition&gt;1&lt;/edition&gt;&lt;dates&gt;&lt;year&gt;2005&lt;/year&gt;&lt;/dates&gt;&lt;publisher&gt;ELSEVIER&lt;/publisher&gt;&lt;urls&gt;&lt;/urls&gt;&lt;/record&gt;&lt;/Cite&gt;&lt;/EndNote&gt;</w:instrText>
      </w:r>
      <w:r w:rsidR="00BE6765" w:rsidRPr="007E10DF">
        <w:rPr>
          <w:sz w:val="20"/>
          <w:szCs w:val="20"/>
        </w:rPr>
        <w:fldChar w:fldCharType="separate"/>
      </w:r>
      <w:r w:rsidRPr="007E10DF">
        <w:rPr>
          <w:sz w:val="20"/>
          <w:szCs w:val="20"/>
        </w:rPr>
        <w:t>(Stapenhurst, 2005)</w:t>
      </w:r>
      <w:r w:rsidR="00BE6765" w:rsidRPr="007E10DF">
        <w:rPr>
          <w:sz w:val="20"/>
          <w:szCs w:val="20"/>
        </w:rPr>
        <w:fldChar w:fldCharType="end"/>
      </w:r>
      <w:r w:rsidRPr="007E10DF">
        <w:rPr>
          <w:sz w:val="20"/>
          <w:szCs w:val="20"/>
        </w:rPr>
        <w:t>. A large number of statistical tools and methods are applied in manufacturing and service firms. Statistical process control (SPC) includes a number of them. Shewhart introduced control charts (CCs) in the beginning of the 1930s and currently it is one of the most widely discussed statistical techniques</w:t>
      </w:r>
      <w:r w:rsidR="00BE6765" w:rsidRPr="007E10DF">
        <w:rPr>
          <w:sz w:val="20"/>
          <w:szCs w:val="20"/>
        </w:rPr>
        <w:fldChar w:fldCharType="begin"/>
      </w:r>
      <w:r w:rsidRPr="007E10DF">
        <w:rPr>
          <w:sz w:val="20"/>
          <w:szCs w:val="20"/>
        </w:rPr>
        <w:instrText xml:space="preserve"> ADDIN EN.CITE &lt;EndNote&gt;&lt;Cite&gt;&lt;Author&gt;Xie&lt;/Author&gt;&lt;Year&gt;1999&lt;/Year&gt;&lt;RecNum&gt;49&lt;/RecNum&gt;&lt;record&gt;&lt;rec-number&gt;49&lt;/rec-number&gt;&lt;ref-type name="Magazine Article"&gt;19&lt;/ref-type&gt;&lt;contributors&gt;&lt;authors&gt;&lt;author&gt;Xie, M.&lt;/author&gt;&lt;author&gt;Goh, T.N.&lt;/author&gt;&lt;/authors&gt;&lt;/contributors&gt;&lt;titles&gt;&lt;title&gt;Statistical techniques for quality&lt;/title&gt;&lt;secondary-title&gt;The TQM magazine&lt;/secondary-title&gt;&lt;/titles&gt;&lt;pages&gt;238-242&lt;/pages&gt;&lt;volume&gt;11&lt;/volume&gt;&lt;number&gt;4&lt;/number&gt;&lt;dates&gt;&lt;year&gt;1999&lt;/year&gt;&lt;/dates&gt;&lt;urls&gt;&lt;/urls&gt;&lt;/record&gt;&lt;/Cite&gt;&lt;/EndNote&gt;</w:instrText>
      </w:r>
      <w:r w:rsidR="00BE6765" w:rsidRPr="007E10DF">
        <w:rPr>
          <w:sz w:val="20"/>
          <w:szCs w:val="20"/>
        </w:rPr>
        <w:fldChar w:fldCharType="separate"/>
      </w:r>
      <w:r w:rsidRPr="007E10DF">
        <w:rPr>
          <w:sz w:val="20"/>
          <w:szCs w:val="20"/>
        </w:rPr>
        <w:t>(Xie andGoh, 1999)</w:t>
      </w:r>
      <w:r w:rsidR="00BE6765" w:rsidRPr="007E10DF">
        <w:rPr>
          <w:sz w:val="20"/>
          <w:szCs w:val="20"/>
        </w:rPr>
        <w:fldChar w:fldCharType="end"/>
      </w:r>
      <w:r w:rsidRPr="007E10DF">
        <w:rPr>
          <w:sz w:val="20"/>
          <w:szCs w:val="20"/>
        </w:rPr>
        <w:t>.</w:t>
      </w:r>
    </w:p>
    <w:p w:rsidR="007E10DF" w:rsidRPr="007E10DF" w:rsidRDefault="007E10DF" w:rsidP="007E10DF">
      <w:pPr>
        <w:autoSpaceDE w:val="0"/>
        <w:autoSpaceDN w:val="0"/>
        <w:adjustRightInd w:val="0"/>
        <w:jc w:val="lowKashida"/>
        <w:rPr>
          <w:sz w:val="20"/>
          <w:szCs w:val="20"/>
        </w:rPr>
      </w:pPr>
    </w:p>
    <w:p w:rsidR="007E10DF" w:rsidRPr="007E10DF" w:rsidRDefault="007E10DF" w:rsidP="007E10DF">
      <w:pPr>
        <w:autoSpaceDE w:val="0"/>
        <w:autoSpaceDN w:val="0"/>
        <w:adjustRightInd w:val="0"/>
        <w:jc w:val="both"/>
        <w:rPr>
          <w:sz w:val="20"/>
          <w:szCs w:val="20"/>
        </w:rPr>
      </w:pPr>
      <w:r w:rsidRPr="007E10DF">
        <w:rPr>
          <w:color w:val="000000"/>
          <w:sz w:val="20"/>
          <w:szCs w:val="20"/>
        </w:rPr>
        <w:t>SPC is not really about statistics or control, it is about competitiveness. Organizations, whatever their nature, compete on three issues: quality, delivery and price if the quality is right, the chances are the delivery and price performance will be competitive too</w:t>
      </w:r>
      <w:r w:rsidR="00BE6765" w:rsidRPr="007E10DF">
        <w:rPr>
          <w:color w:val="000000"/>
          <w:sz w:val="20"/>
          <w:szCs w:val="20"/>
        </w:rPr>
        <w:fldChar w:fldCharType="begin"/>
      </w:r>
      <w:r w:rsidRPr="007E10DF">
        <w:rPr>
          <w:color w:val="000000"/>
          <w:sz w:val="20"/>
          <w:szCs w:val="20"/>
        </w:rPr>
        <w:instrText xml:space="preserve"> ADDIN EN.CITE &lt;EndNote&gt;&lt;Cite&gt;&lt;Author&gt;Oakland&lt;/Author&gt;&lt;Year&gt;1999&lt;/Year&gt;&lt;RecNum&gt;50&lt;/RecNum&gt;&lt;record&gt;&lt;rec-number&gt;50&lt;/rec-number&gt;&lt;ref-type name="Book"&gt;6&lt;/ref-type&gt;&lt;contributors&gt;&lt;authors&gt;&lt;author&gt;Oakland, J.&lt;/author&gt;&lt;/authors&gt;&lt;/contributors&gt;&lt;titles&gt;&lt;title&gt;Statistical process control&lt;/title&gt;&lt;/titles&gt;&lt;edition&gt;4&lt;/edition&gt;&lt;dates&gt;&lt;year&gt;1999&lt;/year&gt;&lt;/dates&gt;&lt;publisher&gt;Butterworth Heinemann Oxford&lt;/publisher&gt;&lt;urls&gt;&lt;/urls&gt;&lt;/record&gt;&lt;/Cite&gt;&lt;/EndNote&gt;</w:instrText>
      </w:r>
      <w:r w:rsidR="00BE6765" w:rsidRPr="007E10DF">
        <w:rPr>
          <w:color w:val="000000"/>
          <w:sz w:val="20"/>
          <w:szCs w:val="20"/>
        </w:rPr>
        <w:fldChar w:fldCharType="separate"/>
      </w:r>
      <w:r w:rsidRPr="007E10DF">
        <w:rPr>
          <w:color w:val="000000"/>
          <w:sz w:val="20"/>
          <w:szCs w:val="20"/>
        </w:rPr>
        <w:t>(Oakland, 1999)</w:t>
      </w:r>
      <w:r w:rsidR="00BE6765" w:rsidRPr="007E10DF">
        <w:rPr>
          <w:color w:val="000000"/>
          <w:sz w:val="20"/>
          <w:szCs w:val="20"/>
        </w:rPr>
        <w:fldChar w:fldCharType="end"/>
      </w:r>
      <w:r w:rsidRPr="007E10DF">
        <w:rPr>
          <w:color w:val="000000"/>
          <w:sz w:val="20"/>
          <w:szCs w:val="20"/>
        </w:rPr>
        <w:t xml:space="preserve">. </w:t>
      </w:r>
      <w:r w:rsidRPr="007E10DF">
        <w:rPr>
          <w:sz w:val="20"/>
          <w:szCs w:val="20"/>
        </w:rPr>
        <w:t>It was found that control charts could be adapted to monitor the supplier/retailer interface and that the results could potentially be used to monitor and manage the buyer/supplier relationship effectively. Moreover, SPC is one of the techniques used in quality assurance programs and/or Total Quality Management (TQM), for controlling, monitoring and managing a process either manufacturing or service through the use of statistical methods</w:t>
      </w:r>
      <w:r w:rsidR="00BE6765" w:rsidRPr="007E10DF">
        <w:rPr>
          <w:sz w:val="20"/>
          <w:szCs w:val="20"/>
        </w:rPr>
        <w:fldChar w:fldCharType="begin"/>
      </w:r>
      <w:r w:rsidRPr="007E10DF">
        <w:rPr>
          <w:sz w:val="20"/>
          <w:szCs w:val="20"/>
        </w:rPr>
        <w:instrText xml:space="preserve"> ADDIN EN.CITE &lt;EndNote&gt;&lt;Cite&gt;&lt;Author&gt;Anthony&lt;/Author&gt;&lt;Year&gt;2000&lt;/Year&gt;&lt;RecNum&gt;27&lt;/RecNum&gt;&lt;record&gt;&lt;rec-number&gt;27&lt;/rec-number&gt;&lt;ref-type name="Journal Article"&gt;17&lt;/ref-type&gt;&lt;contributors&gt;&lt;authors&gt;&lt;author&gt;Anthony, J.&lt;/author&gt;&lt;author&gt;Balbontil, A.&lt;/author&gt;&lt;author&gt;Taner, T.&lt;/author&gt;&lt;/authors&gt;&lt;/contributors&gt;&lt;titles&gt;&lt;title&gt;Key ingredients for the effective implementation of statistical process control&lt;/title&gt;&lt;secondary-title&gt;Integrated manufacturing system&lt;/secondary-title&gt;&lt;/titles&gt;&lt;periodical&gt;&lt;full-title&gt;Integrated manufacturing system&lt;/full-title&gt;&lt;/periodical&gt;&lt;pages&gt;242-247&lt;/pages&gt;&lt;volume&gt;49&lt;/volume&gt;&lt;dates&gt;&lt;year&gt;2000&lt;/year&gt;&lt;/dates&gt;&lt;urls&gt;&lt;/urls&gt;&lt;/record&gt;&lt;/Cite&gt;&lt;Cite&gt;&lt;Author&gt;Anthony&lt;/Author&gt;&lt;Year&gt;2000&lt;/Year&gt;&lt;RecNum&gt;27&lt;/RecNum&gt;&lt;record&gt;&lt;rec-number&gt;27&lt;/rec-number&gt;&lt;ref-type name="Journal Article"&gt;17&lt;/ref-type&gt;&lt;contributors&gt;&lt;authors&gt;&lt;author&gt;Anthony, J.&lt;/author&gt;&lt;author&gt;Balbontil, A.&lt;/author&gt;&lt;author&gt;Taner, T.&lt;/author&gt;&lt;/authors&gt;&lt;/contributors&gt;&lt;titles&gt;&lt;title&gt;Key ingredients for the effective implementation of statistical process control&lt;/title&gt;&lt;secondary-title&gt;Integrated manufacturing system&lt;/secondary-title&gt;&lt;/titles&gt;&lt;periodical&gt;&lt;full-title&gt;Integrated manufacturing system&lt;/full-title&gt;&lt;/periodical&gt;&lt;pages&gt;242-247&lt;/pages&gt;&lt;volume&gt;49&lt;/volume&gt;&lt;dates&gt;&lt;year&gt;2000&lt;/year&gt;&lt;/dates&gt;&lt;urls&gt;&lt;/urls&gt;&lt;/record&gt;&lt;/Cite&gt;&lt;Cite&gt;&lt;Author&gt;Anthony&lt;/Author&gt;&lt;Year&gt;2000&lt;/Year&gt;&lt;RecNum&gt;27&lt;/RecNum&gt;&lt;record&gt;&lt;rec-number&gt;27&lt;/rec-number&gt;&lt;ref-type name="Journal Article"&gt;17&lt;/ref-type&gt;&lt;contributors&gt;&lt;authors&gt;&lt;author&gt;Anthony, J.&lt;/author&gt;&lt;author&gt;Balbontil, A.&lt;/author&gt;&lt;author&gt;Taner, T.&lt;/author&gt;&lt;/authors&gt;&lt;/contributors&gt;&lt;titles&gt;&lt;title&gt;Key ingredients for the effective implementation of statistical process control&lt;/title&gt;&lt;secondary-title&gt;Integrated manufacturing system&lt;/secondary-title&gt;&lt;/titles&gt;&lt;periodical&gt;&lt;full-title&gt;Integrated manufacturing system&lt;/full-title&gt;&lt;/periodical&gt;&lt;pages&gt;242-247&lt;/pages&gt;&lt;volume&gt;49&lt;/volume&gt;&lt;dates&gt;&lt;year&gt;2000&lt;/year&gt;&lt;/dates&gt;&lt;urls&gt;&lt;/urls&gt;&lt;/record&gt;&lt;/Cite&gt;&lt;/EndNote&gt;</w:instrText>
      </w:r>
      <w:r w:rsidR="00BE6765" w:rsidRPr="007E10DF">
        <w:rPr>
          <w:sz w:val="20"/>
          <w:szCs w:val="20"/>
        </w:rPr>
        <w:fldChar w:fldCharType="separate"/>
      </w:r>
      <w:r w:rsidRPr="007E10DF">
        <w:rPr>
          <w:sz w:val="20"/>
          <w:szCs w:val="20"/>
        </w:rPr>
        <w:t>(Anthony et al., 2000)</w:t>
      </w:r>
      <w:r w:rsidR="00BE6765" w:rsidRPr="007E10DF">
        <w:rPr>
          <w:sz w:val="20"/>
          <w:szCs w:val="20"/>
        </w:rPr>
        <w:fldChar w:fldCharType="end"/>
      </w:r>
      <w:r w:rsidRPr="007E10DF">
        <w:rPr>
          <w:sz w:val="20"/>
          <w:szCs w:val="20"/>
        </w:rPr>
        <w:t>.</w:t>
      </w:r>
    </w:p>
    <w:p w:rsidR="007E10DF" w:rsidRPr="007E10DF" w:rsidRDefault="007E10DF" w:rsidP="007E10DF">
      <w:pPr>
        <w:autoSpaceDE w:val="0"/>
        <w:autoSpaceDN w:val="0"/>
        <w:adjustRightInd w:val="0"/>
        <w:jc w:val="lowKashida"/>
        <w:rPr>
          <w:sz w:val="20"/>
          <w:szCs w:val="20"/>
        </w:rPr>
      </w:pPr>
    </w:p>
    <w:p w:rsidR="007E10DF" w:rsidRDefault="007E10DF" w:rsidP="007E10DF">
      <w:pPr>
        <w:autoSpaceDE w:val="0"/>
        <w:autoSpaceDN w:val="0"/>
        <w:adjustRightInd w:val="0"/>
        <w:jc w:val="both"/>
        <w:rPr>
          <w:sz w:val="20"/>
          <w:szCs w:val="20"/>
        </w:rPr>
      </w:pPr>
      <w:r w:rsidRPr="007E10DF">
        <w:rPr>
          <w:sz w:val="20"/>
          <w:szCs w:val="20"/>
        </w:rPr>
        <w:t xml:space="preserve">SPC is a technique of investigating of the dynamics of failing supplier’s performance.  A good perspective can be obtained by </w:t>
      </w:r>
      <w:r w:rsidRPr="007E10DF">
        <w:rPr>
          <w:color w:val="000000"/>
          <w:sz w:val="20"/>
          <w:szCs w:val="20"/>
        </w:rPr>
        <w:t>considering three basic market perspectives</w:t>
      </w:r>
      <w:r w:rsidR="00BE6765" w:rsidRPr="007E10DF">
        <w:rPr>
          <w:color w:val="000000"/>
          <w:sz w:val="20"/>
          <w:szCs w:val="20"/>
        </w:rPr>
        <w:fldChar w:fldCharType="begin"/>
      </w:r>
      <w:r w:rsidRPr="007E10DF">
        <w:rPr>
          <w:color w:val="000000"/>
          <w:sz w:val="20"/>
          <w:szCs w:val="20"/>
        </w:rPr>
        <w:instrText xml:space="preserve"> ADDIN EN.CITE &lt;EndNote&gt;&lt;Cite&gt;&lt;Author&gt;Crichton&lt;/Author&gt;&lt;Year&gt;2003&lt;/Year&gt;&lt;RecNum&gt;51&lt;/RecNum&gt;&lt;record&gt;&lt;rec-number&gt;51&lt;/rec-number&gt;&lt;ref-type name="Report"&gt;27&lt;/ref-type&gt;&lt;contributors&gt;&lt;authors&gt;&lt;author&gt;Crichton, G.&lt;/author&gt;&lt;author&gt;Zammit, V.&lt;/author&gt;&lt;author&gt;Hughes, J.&lt;/author&gt;&lt;author&gt;Vammen, S.&lt;/author&gt;&lt;/authors&gt;&lt;/contributors&gt;&lt;titles&gt;&lt;title&gt;Connecting purchasing and supplier strategies to shareholder value: emerging trends for executive action, &lt;/title&gt;&lt;/titles&gt;&lt;pages&gt;3-4&lt;/pages&gt;&lt;dates&gt;&lt;year&gt;2003&lt;/year&gt;&lt;/dates&gt;&lt;publisher&gt;Charted inistitute of purchasing andsupply&amp;#xD;&lt;/publisher&gt;&lt;work-type&gt;Executive report of the future purchasing alliance&lt;/work-type&gt;&lt;urls&gt;&lt;/urls&gt;&lt;/record&gt;&lt;/Cite&gt;&lt;/EndNote&gt;</w:instrText>
      </w:r>
      <w:r w:rsidR="00BE6765" w:rsidRPr="007E10DF">
        <w:rPr>
          <w:color w:val="000000"/>
          <w:sz w:val="20"/>
          <w:szCs w:val="20"/>
        </w:rPr>
        <w:fldChar w:fldCharType="separate"/>
      </w:r>
      <w:r w:rsidRPr="007E10DF">
        <w:rPr>
          <w:color w:val="000000"/>
          <w:sz w:val="20"/>
          <w:szCs w:val="20"/>
        </w:rPr>
        <w:t>(Crichton et al., 2003)</w:t>
      </w:r>
      <w:r w:rsidR="00BE6765" w:rsidRPr="007E10DF">
        <w:rPr>
          <w:color w:val="000000"/>
          <w:sz w:val="20"/>
          <w:szCs w:val="20"/>
        </w:rPr>
        <w:fldChar w:fldCharType="end"/>
      </w:r>
      <w:r w:rsidRPr="007E10DF">
        <w:rPr>
          <w:color w:val="000000"/>
          <w:sz w:val="20"/>
          <w:szCs w:val="20"/>
        </w:rPr>
        <w:t>. A well established quality principle is that strategies that lead to improving supplier performance should be based by the first instance on improving supplier capability; and, in the second instance on moving the average performance towards the overall target performance required by the customer</w:t>
      </w:r>
      <w:r w:rsidR="00BE6765" w:rsidRPr="007E10DF">
        <w:rPr>
          <w:color w:val="000000"/>
          <w:sz w:val="20"/>
          <w:szCs w:val="20"/>
        </w:rPr>
        <w:fldChar w:fldCharType="begin"/>
      </w:r>
      <w:r w:rsidRPr="007E10DF">
        <w:rPr>
          <w:color w:val="000000"/>
          <w:sz w:val="20"/>
          <w:szCs w:val="20"/>
        </w:rPr>
        <w:instrText xml:space="preserve"> ADDIN EN.CITE &lt;EndNote&gt;&lt;Cite&gt;&lt;Author&gt;Besterfield&lt;/Author&gt;&lt;Year&gt;1994&lt;/Year&gt;&lt;RecNum&gt;52&lt;/RecNum&gt;&lt;record&gt;&lt;rec-number&gt;52&lt;/rec-number&gt;&lt;ref-type name="Book"&gt;6&lt;/ref-type&gt;&lt;contributors&gt;&lt;authors&gt;&lt;author&gt;Besterfield, Dale H.&lt;/author&gt;&lt;/authors&gt;&lt;/contributors&gt;&lt;titles&gt;&lt;title&gt;Quality controll&lt;/title&gt;&lt;/titles&gt;&lt;edition&gt;4&lt;/edition&gt;&lt;dates&gt;&lt;year&gt;1994&lt;/year&gt;&lt;/dates&gt;&lt;publisher&gt;Prentice Hall, Englewood&lt;/publisher&gt;&lt;urls&gt;&lt;/urls&gt;&lt;/record&gt;&lt;/Cite&gt;&lt;/EndNote&gt;</w:instrText>
      </w:r>
      <w:r w:rsidR="00BE6765" w:rsidRPr="007E10DF">
        <w:rPr>
          <w:color w:val="000000"/>
          <w:sz w:val="20"/>
          <w:szCs w:val="20"/>
        </w:rPr>
        <w:fldChar w:fldCharType="separate"/>
      </w:r>
      <w:r w:rsidRPr="007E10DF">
        <w:rPr>
          <w:color w:val="000000"/>
          <w:sz w:val="20"/>
          <w:szCs w:val="20"/>
        </w:rPr>
        <w:t>(Besterfield, 1994)</w:t>
      </w:r>
      <w:r w:rsidR="00BE6765" w:rsidRPr="007E10DF">
        <w:rPr>
          <w:color w:val="000000"/>
          <w:sz w:val="20"/>
          <w:szCs w:val="20"/>
        </w:rPr>
        <w:fldChar w:fldCharType="end"/>
      </w:r>
      <w:r w:rsidRPr="007E10DF">
        <w:rPr>
          <w:color w:val="000000"/>
          <w:sz w:val="20"/>
          <w:szCs w:val="20"/>
        </w:rPr>
        <w:t xml:space="preserve">. To achieve this, the use of SPC control charts seems to offer a simple solution to establishing problem-solving dialogues between buyers and suppliers. </w:t>
      </w:r>
      <w:r w:rsidRPr="007E10DF">
        <w:rPr>
          <w:sz w:val="20"/>
          <w:szCs w:val="20"/>
        </w:rPr>
        <w:t>An exploratory investigation done in food multiple retailers on their suppliers performance monitored using SPC techniques has demonstrated the value of SPC in consistently monitoring performance; of presenting this information in an understandable format; of using this information to stimulate buyer/supplier problem solving activities; of focusing on process consistency; and, of linking measurement protocols throughout the supply network. Both SPC and conventional statistical analysis can contribute to this paradigm. It was found that these control charts could be adapted to monitor the supplier/retailer interface and that the results could potentially be used to monitor and manage the buyer/supplier relationship effectively</w:t>
      </w:r>
      <w:r w:rsidR="00BE6765" w:rsidRPr="007E10DF">
        <w:rPr>
          <w:sz w:val="20"/>
          <w:szCs w:val="20"/>
        </w:rPr>
        <w:fldChar w:fldCharType="begin"/>
      </w:r>
      <w:r w:rsidRPr="007E10DF">
        <w:rPr>
          <w:sz w:val="20"/>
          <w:szCs w:val="20"/>
        </w:rPr>
        <w:instrText xml:space="preserve"> ADDIN EN.CITE &lt;EndNote&gt;&lt;Cite&gt;&lt;Author&gt;Morgan&lt;/Author&gt;&lt;Year&gt;2008&lt;/Year&gt;&lt;RecNum&gt;53&lt;/RecNum&gt;&lt;record&gt;&lt;rec-number&gt;53&lt;/rec-number&gt;&lt;ref-type name="Journal Article"&gt;17&lt;/ref-type&gt;&lt;contributors&gt;&lt;authors&gt;&lt;author&gt;Morgan, C.&lt;/author&gt;&lt;author&gt;Dewhurst, A&lt;/author&gt;&lt;/authors&gt;&lt;/contributors&gt;&lt;titles&gt;&lt;title&gt;Multiple retailer supplier performance: An exploratory into using SPC techniques&lt;/title&gt;&lt;secondary-title&gt;International journal of production economies&lt;/secondary-title&gt;&lt;/titles&gt;&lt;periodical&gt;&lt;full-title&gt;International journal of production economies&lt;/full-title&gt;&lt;/periodical&gt;&lt;pages&gt;13-26&lt;/pages&gt;&lt;volume&gt;111&lt;/volume&gt;&lt;dates&gt;&lt;year&gt;2008&lt;/year&gt;&lt;/dates&gt;&lt;urls&gt;&lt;/urls&gt;&lt;/record&gt;&lt;/Cite&gt;&lt;/EndNote&gt;</w:instrText>
      </w:r>
      <w:r w:rsidR="00BE6765" w:rsidRPr="007E10DF">
        <w:rPr>
          <w:sz w:val="20"/>
          <w:szCs w:val="20"/>
        </w:rPr>
        <w:fldChar w:fldCharType="separate"/>
      </w:r>
      <w:r w:rsidRPr="007E10DF">
        <w:rPr>
          <w:sz w:val="20"/>
          <w:szCs w:val="20"/>
        </w:rPr>
        <w:t>(Morgan and</w:t>
      </w:r>
      <w:r w:rsidR="00930C19">
        <w:rPr>
          <w:sz w:val="20"/>
          <w:szCs w:val="20"/>
        </w:rPr>
        <w:t xml:space="preserve"> </w:t>
      </w:r>
      <w:r w:rsidRPr="007E10DF">
        <w:rPr>
          <w:sz w:val="20"/>
          <w:szCs w:val="20"/>
        </w:rPr>
        <w:t>Dewhurst, 2008)</w:t>
      </w:r>
      <w:r w:rsidR="00BE6765" w:rsidRPr="007E10DF">
        <w:rPr>
          <w:sz w:val="20"/>
          <w:szCs w:val="20"/>
        </w:rPr>
        <w:fldChar w:fldCharType="end"/>
      </w:r>
      <w:r w:rsidRPr="007E10DF">
        <w:rPr>
          <w:sz w:val="20"/>
          <w:szCs w:val="20"/>
        </w:rPr>
        <w:t>.</w:t>
      </w:r>
    </w:p>
    <w:p w:rsidR="007E10DF" w:rsidRPr="007E10DF" w:rsidRDefault="007E10DF" w:rsidP="007E10DF">
      <w:pPr>
        <w:autoSpaceDE w:val="0"/>
        <w:autoSpaceDN w:val="0"/>
        <w:adjustRightInd w:val="0"/>
        <w:jc w:val="both"/>
        <w:rPr>
          <w:color w:val="000000"/>
          <w:sz w:val="20"/>
          <w:szCs w:val="20"/>
        </w:rPr>
      </w:pPr>
    </w:p>
    <w:p w:rsidR="007E10DF" w:rsidRPr="007E10DF" w:rsidRDefault="007E10DF" w:rsidP="007E10DF">
      <w:pPr>
        <w:autoSpaceDE w:val="0"/>
        <w:autoSpaceDN w:val="0"/>
        <w:adjustRightInd w:val="0"/>
        <w:jc w:val="lowKashida"/>
        <w:rPr>
          <w:sz w:val="20"/>
          <w:szCs w:val="20"/>
        </w:rPr>
      </w:pPr>
      <w:r w:rsidRPr="007E10DF">
        <w:rPr>
          <w:sz w:val="20"/>
          <w:szCs w:val="20"/>
        </w:rPr>
        <w:t xml:space="preserve">Most investigation and research have been done on method of supplier selection and performance evaluation and few researches have been done on supplier monitoring and tools of monitoring of suppliers. The performance monitoring is one of the important clauses in the standard. </w:t>
      </w:r>
    </w:p>
    <w:p w:rsidR="007E10DF" w:rsidRPr="007E10DF" w:rsidRDefault="007E10DF" w:rsidP="007E10DF">
      <w:pPr>
        <w:autoSpaceDE w:val="0"/>
        <w:autoSpaceDN w:val="0"/>
        <w:adjustRightInd w:val="0"/>
        <w:jc w:val="lowKashida"/>
        <w:rPr>
          <w:sz w:val="20"/>
          <w:szCs w:val="20"/>
        </w:rPr>
      </w:pPr>
    </w:p>
    <w:p w:rsidR="007E10DF" w:rsidRDefault="007E10DF" w:rsidP="007E10DF">
      <w:pPr>
        <w:autoSpaceDE w:val="0"/>
        <w:autoSpaceDN w:val="0"/>
        <w:adjustRightInd w:val="0"/>
        <w:jc w:val="lowKashida"/>
        <w:rPr>
          <w:sz w:val="20"/>
          <w:szCs w:val="20"/>
        </w:rPr>
      </w:pPr>
      <w:r w:rsidRPr="007E10DF">
        <w:rPr>
          <w:sz w:val="20"/>
          <w:szCs w:val="20"/>
        </w:rPr>
        <w:t xml:space="preserve">This paper employed SPC Control Charts for monitoring of supplier performance in the automotive industry in a Quality Management System environment. Based on the literature, Figure 1 is depicted to employ SPC as monitoring tool to cover the need of supplier monitoring in both ISO/TS and SCM environments. </w:t>
      </w:r>
    </w:p>
    <w:p w:rsidR="00D05910" w:rsidRDefault="00D05910" w:rsidP="00D05910">
      <w:pPr>
        <w:jc w:val="both"/>
        <w:rPr>
          <w:rFonts w:ascii="Arial" w:hAnsi="Arial"/>
        </w:rPr>
      </w:pPr>
    </w:p>
    <w:p w:rsidR="00D05910" w:rsidRDefault="00BE6765" w:rsidP="00D05910">
      <w:pPr>
        <w:jc w:val="both"/>
        <w:rPr>
          <w:rFonts w:ascii="Arial" w:hAnsi="Arial"/>
        </w:rPr>
      </w:pPr>
      <w:r w:rsidRPr="00BE6765">
        <w:rPr>
          <w:b/>
          <w:noProof/>
          <w:sz w:val="20"/>
          <w:szCs w:val="20"/>
          <w:lang w:eastAsia="en-US"/>
        </w:rPr>
        <w:pict>
          <v:group id="_x0000_s1065" style="position:absolute;left:0;text-align:left;margin-left:-12.75pt;margin-top:11.25pt;width:221.25pt;height:132pt;z-index:251664384" coordorigin="1185,9990" coordsize="4425,2640">
            <v:rect id="_x0000_s1029" style="position:absolute;left:1185;top:9990;width:4425;height:2640" o:regroupid="1" filled="f" fillcolor="white [3212]" strokecolor="#0d0d0d [3069]" strokeweight="1pt">
              <v:fill opacity="0" color2="#999"/>
              <v:shadow on="t" type="perspective" color="#7f7f7f" opacity=".5" offset="1pt" offset2="-3pt"/>
            </v:rect>
            <v:oval id="_x0000_s1030" style="position:absolute;left:4406;top:11460;width:1077;height:780" o:regroupid="1" fillcolor="white [3201]" strokecolor="black [3200]" strokeweight="1pt">
              <v:shadow color="#868686"/>
              <v:textbox style="mso-next-textbox:#_x0000_s1030">
                <w:txbxContent>
                  <w:p w:rsidR="005C668B" w:rsidRPr="005C668B" w:rsidRDefault="005C668B" w:rsidP="005C668B">
                    <w:pPr>
                      <w:jc w:val="center"/>
                      <w:rPr>
                        <w:bCs/>
                        <w:sz w:val="20"/>
                        <w:szCs w:val="20"/>
                      </w:rPr>
                    </w:pPr>
                    <w:r w:rsidRPr="005C668B">
                      <w:rPr>
                        <w:bCs/>
                        <w:sz w:val="20"/>
                        <w:szCs w:val="20"/>
                      </w:rPr>
                      <w:t xml:space="preserve">    SCM</w:t>
                    </w:r>
                  </w:p>
                </w:txbxContent>
              </v:textbox>
            </v:oval>
            <v:oval id="_x0000_s1032" style="position:absolute;left:1275;top:11354;width:1578;height:1037" o:regroupid="1" fillcolor="white [3201]" strokecolor="black [3200]" strokeweight="1pt">
              <v:shadow color="#868686"/>
              <v:textbox style="mso-next-textbox:#_x0000_s1032">
                <w:txbxContent>
                  <w:p w:rsidR="005C668B" w:rsidRPr="005C668B" w:rsidRDefault="005C668B" w:rsidP="005C668B">
                    <w:pPr>
                      <w:jc w:val="center"/>
                      <w:rPr>
                        <w:bCs/>
                        <w:sz w:val="16"/>
                        <w:szCs w:val="16"/>
                      </w:rPr>
                    </w:pPr>
                  </w:p>
                  <w:p w:rsidR="005C668B" w:rsidRDefault="005C668B" w:rsidP="005C668B">
                    <w:pPr>
                      <w:jc w:val="center"/>
                      <w:rPr>
                        <w:bCs/>
                        <w:sz w:val="16"/>
                        <w:szCs w:val="16"/>
                      </w:rPr>
                    </w:pPr>
                    <w:r>
                      <w:rPr>
                        <w:bCs/>
                        <w:sz w:val="16"/>
                        <w:szCs w:val="16"/>
                      </w:rPr>
                      <w:t>QMS</w:t>
                    </w:r>
                  </w:p>
                  <w:p w:rsidR="005C668B" w:rsidRPr="005C668B" w:rsidRDefault="005C668B" w:rsidP="005C668B">
                    <w:pPr>
                      <w:jc w:val="center"/>
                      <w:rPr>
                        <w:bCs/>
                        <w:sz w:val="16"/>
                        <w:szCs w:val="16"/>
                      </w:rPr>
                    </w:pPr>
                    <w:r>
                      <w:rPr>
                        <w:bCs/>
                        <w:sz w:val="16"/>
                        <w:szCs w:val="16"/>
                      </w:rPr>
                      <w:t xml:space="preserve">Requirement </w:t>
                    </w:r>
                  </w:p>
                </w:txbxContent>
              </v:textbox>
            </v:oval>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3" type="#_x0000_t182" style="position:absolute;left:2879;top:10920;width:1504;height:1323" o:regroupid="1" fillcolor="#666 [1936]" strokecolor="#666 [1936]" strokeweight="1pt">
              <v:fill color2="#ccc [656]" angle="-45" focus="-50%" type="gradient"/>
              <v:shadow on="t" type="perspective" color="#7f7f7f [1601]" opacity=".5" offset="1pt" offset2="-3pt"/>
            </v:shape>
            <v:oval id="_x0000_s1034" style="position:absolute;left:3074;top:10140;width:1077;height:780" fillcolor="white [3201]" strokecolor="black [3200]" strokeweight="1pt">
              <v:shadow color="#868686"/>
              <v:textbox style="mso-next-textbox:#_x0000_s1034">
                <w:txbxContent>
                  <w:p w:rsidR="005C668B" w:rsidRPr="005C668B" w:rsidRDefault="005C668B" w:rsidP="005C668B">
                    <w:pPr>
                      <w:jc w:val="center"/>
                      <w:rPr>
                        <w:bCs/>
                        <w:sz w:val="20"/>
                        <w:szCs w:val="20"/>
                      </w:rPr>
                    </w:pPr>
                    <w:r w:rsidRPr="005C668B">
                      <w:rPr>
                        <w:bCs/>
                        <w:sz w:val="20"/>
                        <w:szCs w:val="20"/>
                      </w:rPr>
                      <w:t xml:space="preserve">    </w:t>
                    </w:r>
                    <w:r>
                      <w:rPr>
                        <w:bCs/>
                        <w:sz w:val="20"/>
                        <w:szCs w:val="20"/>
                      </w:rPr>
                      <w:t>SPC</w:t>
                    </w:r>
                  </w:p>
                </w:txbxContent>
              </v:textbox>
            </v:oval>
          </v:group>
        </w:pict>
      </w: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Default="0009616C" w:rsidP="00D05910">
      <w:pPr>
        <w:jc w:val="both"/>
        <w:rPr>
          <w:rFonts w:ascii="Arial" w:hAnsi="Arial"/>
        </w:rPr>
      </w:pPr>
    </w:p>
    <w:p w:rsidR="0009616C" w:rsidRPr="005C668B" w:rsidRDefault="0009616C" w:rsidP="0009616C">
      <w:pPr>
        <w:pStyle w:val="Heading2"/>
        <w:jc w:val="left"/>
        <w:rPr>
          <w:b w:val="0"/>
          <w:bCs/>
          <w:sz w:val="20"/>
          <w:szCs w:val="20"/>
        </w:rPr>
      </w:pPr>
      <w:r w:rsidRPr="005C668B">
        <w:rPr>
          <w:b w:val="0"/>
          <w:sz w:val="20"/>
          <w:szCs w:val="20"/>
        </w:rPr>
        <w:t>Figure 1, Relation between three main scope of thesis</w:t>
      </w:r>
    </w:p>
    <w:p w:rsidR="0009616C" w:rsidRDefault="0009616C" w:rsidP="00D05910">
      <w:pPr>
        <w:jc w:val="both"/>
        <w:rPr>
          <w:rFonts w:ascii="Arial" w:hAnsi="Arial"/>
        </w:rPr>
      </w:pPr>
    </w:p>
    <w:p w:rsidR="00D05910" w:rsidRPr="00D05910" w:rsidRDefault="00D05910" w:rsidP="00D05910">
      <w:pPr>
        <w:jc w:val="both"/>
        <w:rPr>
          <w:sz w:val="20"/>
          <w:szCs w:val="20"/>
        </w:rPr>
      </w:pPr>
      <w:r w:rsidRPr="00D05910">
        <w:rPr>
          <w:b/>
          <w:sz w:val="20"/>
          <w:szCs w:val="20"/>
        </w:rPr>
        <w:t xml:space="preserve">3- Methodology </w:t>
      </w:r>
    </w:p>
    <w:p w:rsidR="00930C19" w:rsidRDefault="00E64613" w:rsidP="00D05910">
      <w:pPr>
        <w:jc w:val="both"/>
        <w:rPr>
          <w:sz w:val="20"/>
          <w:szCs w:val="20"/>
        </w:rPr>
      </w:pPr>
      <w:r>
        <w:rPr>
          <w:sz w:val="20"/>
          <w:szCs w:val="20"/>
        </w:rPr>
        <w:t xml:space="preserve">        </w:t>
      </w:r>
      <w:r w:rsidR="00D05910" w:rsidRPr="00D05910">
        <w:rPr>
          <w:sz w:val="20"/>
          <w:szCs w:val="20"/>
        </w:rPr>
        <w:t xml:space="preserve">From the literature, delivery is performance is selected through investigation by statistically controlling of supplier’s performance. </w:t>
      </w:r>
    </w:p>
    <w:p w:rsidR="00D05910" w:rsidRDefault="00D05910" w:rsidP="00D05910">
      <w:pPr>
        <w:jc w:val="both"/>
        <w:rPr>
          <w:sz w:val="20"/>
          <w:szCs w:val="20"/>
        </w:rPr>
      </w:pPr>
      <w:r w:rsidRPr="00D05910">
        <w:rPr>
          <w:sz w:val="20"/>
          <w:szCs w:val="20"/>
        </w:rPr>
        <w:t xml:space="preserve">Hereby, a conceptual model has been proposed (Figure 2) and it shows the consecutive steps to develop the statistical analysis. </w:t>
      </w:r>
    </w:p>
    <w:p w:rsidR="0009616C" w:rsidRDefault="0009616C" w:rsidP="0009616C">
      <w:pPr>
        <w:jc w:val="both"/>
        <w:rPr>
          <w:sz w:val="20"/>
          <w:szCs w:val="20"/>
        </w:rPr>
      </w:pPr>
      <w:r w:rsidRPr="0009616C">
        <w:rPr>
          <w:sz w:val="20"/>
          <w:szCs w:val="20"/>
        </w:rPr>
        <w:t xml:space="preserve">To develop the control chart, the first step is to post preliminary data to the chart along with the control limits and central lines. The next step is to adopt standard values with the available data. If an analysis of the preliminary data shows good control, then central lines can be considered as representative of the process and these become the standard values. Good control can be briefly described as that which has no out-of-control points, no long runs on either side of the control line, and no unusual patterns of variation </w:t>
      </w:r>
      <w:r w:rsidR="00BE6765" w:rsidRPr="0009616C">
        <w:rPr>
          <w:sz w:val="20"/>
          <w:szCs w:val="20"/>
        </w:rPr>
        <w:fldChar w:fldCharType="begin"/>
      </w:r>
      <w:r w:rsidRPr="0009616C">
        <w:rPr>
          <w:sz w:val="20"/>
          <w:szCs w:val="20"/>
        </w:rPr>
        <w:instrText xml:space="preserve"> ADDIN EN.CITE &lt;EndNote&gt;&lt;Cite&gt;&lt;Author&gt;Besterfield&lt;/Author&gt;&lt;Year&gt;2009&lt;/Year&gt;&lt;RecNum&gt;9&lt;/RecNum&gt;&lt;record&gt;&lt;rec-number&gt;9&lt;/rec-number&gt;&lt;ref-type name="Book"&gt;6&lt;/ref-type&gt;&lt;contributors&gt;&lt;authors&gt;&lt;author&gt;Besterfield, Dale H.&lt;/author&gt;&lt;/authors&gt;&lt;/contributors&gt;&lt;titles&gt;&lt;title&gt;Quality Control&lt;/title&gt;&lt;/titles&gt;&lt;pages&gt;540&lt;/pages&gt;&lt;edition&gt;8&lt;/edition&gt;&lt;dates&gt;&lt;year&gt;2009&lt;/year&gt;&lt;/dates&gt;&lt;publisher&gt;Prentic Hall&lt;/publisher&gt;&lt;urls&gt;&lt;/urls&gt;&lt;/record&gt;&lt;/Cite&gt;&lt;/EndNote&gt;</w:instrText>
      </w:r>
      <w:r w:rsidR="00BE6765" w:rsidRPr="0009616C">
        <w:rPr>
          <w:sz w:val="20"/>
          <w:szCs w:val="20"/>
        </w:rPr>
        <w:fldChar w:fldCharType="separate"/>
      </w:r>
      <w:r w:rsidRPr="0009616C">
        <w:rPr>
          <w:sz w:val="20"/>
          <w:szCs w:val="20"/>
        </w:rPr>
        <w:t>(Besterfield, 2009)</w:t>
      </w:r>
      <w:r w:rsidR="00BE6765" w:rsidRPr="0009616C">
        <w:rPr>
          <w:sz w:val="20"/>
          <w:szCs w:val="20"/>
        </w:rPr>
        <w:fldChar w:fldCharType="end"/>
      </w:r>
      <w:r w:rsidRPr="0009616C">
        <w:rPr>
          <w:sz w:val="20"/>
          <w:szCs w:val="20"/>
        </w:rPr>
        <w:t>.</w:t>
      </w:r>
    </w:p>
    <w:p w:rsidR="0009616C" w:rsidRPr="0009616C" w:rsidRDefault="0009616C" w:rsidP="0009616C">
      <w:pPr>
        <w:jc w:val="both"/>
        <w:rPr>
          <w:sz w:val="20"/>
          <w:szCs w:val="20"/>
        </w:rPr>
      </w:pPr>
      <w:r w:rsidRPr="0009616C">
        <w:rPr>
          <w:sz w:val="20"/>
          <w:szCs w:val="20"/>
        </w:rPr>
        <w:t>The delivery measures by On Time Delivery (OTD) indicator on a monthly basis has been defined by automotive supply chain according to below:</w:t>
      </w:r>
    </w:p>
    <w:p w:rsidR="00D05910" w:rsidRPr="0009616C" w:rsidRDefault="00D05910" w:rsidP="00D05910">
      <w:pPr>
        <w:jc w:val="both"/>
        <w:rPr>
          <w:sz w:val="20"/>
          <w:szCs w:val="20"/>
        </w:rPr>
      </w:pPr>
    </w:p>
    <w:p w:rsidR="00D05910" w:rsidRDefault="008861A8" w:rsidP="00D05910">
      <w:pPr>
        <w:jc w:val="both"/>
        <w:rPr>
          <w:sz w:val="18"/>
          <w:szCs w:val="18"/>
        </w:rPr>
      </w:pPr>
      <m:oMathPara>
        <m:oMath>
          <m:r>
            <m:rPr>
              <m:sty m:val="p"/>
            </m:rPr>
            <w:rPr>
              <w:rFonts w:ascii="Cambria Math" w:hAnsi="Cambria Math"/>
              <w:sz w:val="18"/>
              <w:szCs w:val="18"/>
            </w:rPr>
            <m:t>OTD</m:t>
          </m:r>
          <m:r>
            <m:rPr>
              <m:sty m:val="p"/>
            </m:rPr>
            <w:rPr>
              <w:rFonts w:ascii="Cambria Math"/>
              <w:sz w:val="18"/>
              <w:szCs w:val="18"/>
            </w:rPr>
            <m:t>=</m:t>
          </m:r>
          <m:f>
            <m:fPr>
              <m:ctrlPr>
                <w:rPr>
                  <w:rFonts w:ascii="Cambria Math" w:hAnsi="Cambria Math"/>
                  <w:sz w:val="18"/>
                  <w:szCs w:val="18"/>
                </w:rPr>
              </m:ctrlPr>
            </m:fPr>
            <m:num>
              <m:r>
                <m:rPr>
                  <m:sty m:val="p"/>
                </m:rPr>
                <w:rPr>
                  <w:rFonts w:ascii="Cambria Math" w:hAnsi="Cambria Math"/>
                  <w:sz w:val="18"/>
                  <w:szCs w:val="18"/>
                </w:rPr>
                <m:t>The</m:t>
              </m:r>
              <m:r>
                <m:rPr>
                  <m:sty m:val="p"/>
                </m:rPr>
                <w:rPr>
                  <w:rFonts w:ascii="Cambria Math"/>
                  <w:sz w:val="18"/>
                  <w:szCs w:val="18"/>
                </w:rPr>
                <m:t xml:space="preserve"> </m:t>
              </m:r>
              <m:r>
                <m:rPr>
                  <m:sty m:val="p"/>
                </m:rPr>
                <w:rPr>
                  <w:rFonts w:ascii="Cambria Math" w:hAnsi="Cambria Math"/>
                  <w:sz w:val="18"/>
                  <w:szCs w:val="18"/>
                </w:rPr>
                <m:t>number</m:t>
              </m:r>
              <m:r>
                <m:rPr>
                  <m:sty m:val="p"/>
                </m:rPr>
                <w:rPr>
                  <w:rFonts w:ascii="Cambria Math"/>
                  <w:sz w:val="18"/>
                  <w:szCs w:val="18"/>
                </w:rPr>
                <m:t xml:space="preserve"> </m:t>
              </m:r>
              <m:r>
                <m:rPr>
                  <m:sty m:val="p"/>
                </m:rPr>
                <w:rPr>
                  <w:rFonts w:ascii="Cambria Math" w:hAnsi="Cambria Math"/>
                  <w:sz w:val="18"/>
                  <w:szCs w:val="18"/>
                </w:rPr>
                <m:t>of</m:t>
              </m:r>
              <m:r>
                <m:rPr>
                  <m:sty m:val="p"/>
                </m:rPr>
                <w:rPr>
                  <w:rFonts w:ascii="Cambria Math"/>
                  <w:sz w:val="18"/>
                  <w:szCs w:val="18"/>
                </w:rPr>
                <m:t xml:space="preserve"> </m:t>
              </m:r>
              <m:r>
                <m:rPr>
                  <m:sty m:val="p"/>
                </m:rPr>
                <w:rPr>
                  <w:rFonts w:ascii="Cambria Math" w:hAnsi="Cambria Math"/>
                  <w:sz w:val="18"/>
                  <w:szCs w:val="18"/>
                </w:rPr>
                <m:t>on</m:t>
              </m:r>
              <m:r>
                <m:rPr>
                  <m:sty m:val="p"/>
                </m:rPr>
                <w:rPr>
                  <w:rFonts w:ascii="Cambria Math"/>
                  <w:sz w:val="18"/>
                  <w:szCs w:val="18"/>
                </w:rPr>
                <m:t xml:space="preserve"> </m:t>
              </m:r>
              <m:r>
                <m:rPr>
                  <m:sty m:val="p"/>
                </m:rPr>
                <w:rPr>
                  <w:rFonts w:ascii="Cambria Math" w:hAnsi="Cambria Math"/>
                  <w:sz w:val="18"/>
                  <w:szCs w:val="18"/>
                </w:rPr>
                <m:t>time</m:t>
              </m:r>
              <m:r>
                <m:rPr>
                  <m:sty m:val="p"/>
                </m:rPr>
                <w:rPr>
                  <w:rFonts w:ascii="Cambria Math"/>
                  <w:sz w:val="18"/>
                  <w:szCs w:val="18"/>
                </w:rPr>
                <m:t xml:space="preserve"> </m:t>
              </m:r>
              <m:r>
                <m:rPr>
                  <m:sty m:val="p"/>
                </m:rPr>
                <w:rPr>
                  <w:rFonts w:ascii="Cambria Math" w:hAnsi="Cambria Math"/>
                  <w:sz w:val="18"/>
                  <w:szCs w:val="18"/>
                </w:rPr>
                <m:t>delivered</m:t>
              </m:r>
              <m:r>
                <m:rPr>
                  <m:sty m:val="p"/>
                </m:rPr>
                <w:rPr>
                  <w:rFonts w:ascii="Cambria Math"/>
                  <w:sz w:val="18"/>
                  <w:szCs w:val="18"/>
                </w:rPr>
                <m:t xml:space="preserve"> </m:t>
              </m:r>
              <m:r>
                <m:rPr>
                  <m:sty m:val="p"/>
                </m:rPr>
                <w:rPr>
                  <w:rFonts w:ascii="Cambria Math" w:hAnsi="Cambria Math"/>
                  <w:sz w:val="18"/>
                  <w:szCs w:val="18"/>
                </w:rPr>
                <m:t>parts</m:t>
              </m:r>
            </m:num>
            <m:den>
              <m:r>
                <m:rPr>
                  <m:sty m:val="p"/>
                </m:rPr>
                <w:rPr>
                  <w:rFonts w:ascii="Cambria Math" w:hAnsi="Cambria Math"/>
                  <w:sz w:val="18"/>
                  <w:szCs w:val="18"/>
                </w:rPr>
                <m:t>The</m:t>
              </m:r>
              <m:r>
                <m:rPr>
                  <m:sty m:val="p"/>
                </m:rPr>
                <w:rPr>
                  <w:rFonts w:ascii="Cambria Math"/>
                  <w:sz w:val="18"/>
                  <w:szCs w:val="18"/>
                </w:rPr>
                <m:t xml:space="preserve"> </m:t>
              </m:r>
              <m:r>
                <m:rPr>
                  <m:sty m:val="p"/>
                </m:rPr>
                <w:rPr>
                  <w:rFonts w:ascii="Cambria Math" w:hAnsi="Cambria Math"/>
                  <w:sz w:val="18"/>
                  <w:szCs w:val="18"/>
                </w:rPr>
                <m:t>number</m:t>
              </m:r>
              <m:r>
                <m:rPr>
                  <m:sty m:val="p"/>
                </m:rPr>
                <w:rPr>
                  <w:rFonts w:ascii="Cambria Math"/>
                  <w:sz w:val="18"/>
                  <w:szCs w:val="18"/>
                </w:rPr>
                <m:t xml:space="preserve"> </m:t>
              </m:r>
              <m:r>
                <m:rPr>
                  <m:sty m:val="p"/>
                </m:rPr>
                <w:rPr>
                  <w:rFonts w:ascii="Cambria Math" w:hAnsi="Cambria Math"/>
                  <w:sz w:val="18"/>
                  <w:szCs w:val="18"/>
                </w:rPr>
                <m:t>of</m:t>
              </m:r>
              <m:r>
                <m:rPr>
                  <m:sty m:val="p"/>
                </m:rPr>
                <w:rPr>
                  <w:rFonts w:ascii="Cambria Math"/>
                  <w:sz w:val="18"/>
                  <w:szCs w:val="18"/>
                </w:rPr>
                <m:t xml:space="preserve"> </m:t>
              </m:r>
              <m:r>
                <m:rPr>
                  <m:sty m:val="p"/>
                </m:rPr>
                <w:rPr>
                  <w:rFonts w:ascii="Cambria Math" w:hAnsi="Cambria Math"/>
                  <w:sz w:val="18"/>
                  <w:szCs w:val="18"/>
                </w:rPr>
                <m:t>ordered</m:t>
              </m:r>
              <m:r>
                <m:rPr>
                  <m:sty m:val="p"/>
                </m:rPr>
                <w:rPr>
                  <w:rFonts w:ascii="Cambria Math"/>
                  <w:sz w:val="18"/>
                  <w:szCs w:val="18"/>
                </w:rPr>
                <m:t xml:space="preserve"> </m:t>
              </m:r>
              <m:r>
                <m:rPr>
                  <m:sty m:val="p"/>
                </m:rPr>
                <w:rPr>
                  <w:rFonts w:ascii="Cambria Math" w:hAnsi="Cambria Math"/>
                  <w:sz w:val="18"/>
                  <w:szCs w:val="18"/>
                </w:rPr>
                <m:t>parts</m:t>
              </m:r>
            </m:den>
          </m:f>
          <m:r>
            <m:rPr>
              <m:sty m:val="p"/>
            </m:rPr>
            <w:rPr>
              <w:rFonts w:ascii="Cambria Math" w:hAnsi="Cambria Math"/>
              <w:sz w:val="18"/>
              <w:szCs w:val="18"/>
            </w:rPr>
            <m:t>×</m:t>
          </m:r>
          <m:r>
            <m:rPr>
              <m:sty m:val="p"/>
            </m:rPr>
            <w:rPr>
              <w:rFonts w:ascii="Cambria Math"/>
              <w:sz w:val="18"/>
              <w:szCs w:val="18"/>
            </w:rPr>
            <m:t>100</m:t>
          </m:r>
        </m:oMath>
      </m:oMathPara>
    </w:p>
    <w:p w:rsidR="00930C19" w:rsidRPr="008861A8" w:rsidRDefault="00930C19" w:rsidP="00D05910">
      <w:pPr>
        <w:jc w:val="both"/>
        <w:rPr>
          <w:sz w:val="18"/>
          <w:szCs w:val="18"/>
        </w:rPr>
      </w:pPr>
    </w:p>
    <w:p w:rsidR="008861A8" w:rsidRPr="008861A8" w:rsidRDefault="008861A8" w:rsidP="008861A8">
      <w:pPr>
        <w:jc w:val="lowKashida"/>
        <w:rPr>
          <w:sz w:val="20"/>
          <w:szCs w:val="20"/>
        </w:rPr>
      </w:pPr>
      <w:r w:rsidRPr="008861A8">
        <w:rPr>
          <w:sz w:val="20"/>
          <w:szCs w:val="20"/>
        </w:rPr>
        <w:t xml:space="preserve">For employing mean and range chart, the OTD indicator should be defined according to the literature of statistical process control philosophy. Suppose the supplier supplies m lots in specific time (weekly, monthly, and quarterly). If the gathered data approximates normal distribution, individual mean OTD and moving range can be employed otherwise, to deal with normality assumption on data, Central limit theorem should be applied with </w:t>
      </w:r>
      <m:oMath>
        <m:r>
          <w:rPr>
            <w:rFonts w:ascii="Cambria Math" w:hAnsi="Cambria Math"/>
            <w:sz w:val="20"/>
            <w:szCs w:val="20"/>
          </w:rPr>
          <m:t>n</m:t>
        </m:r>
        <m:r>
          <w:rPr>
            <w:sz w:val="20"/>
            <w:szCs w:val="20"/>
          </w:rPr>
          <m:t>≥</m:t>
        </m:r>
        <m:r>
          <w:rPr>
            <w:rFonts w:ascii="Cambria Math"/>
            <w:sz w:val="20"/>
            <w:szCs w:val="20"/>
          </w:rPr>
          <m:t xml:space="preserve">4 </m:t>
        </m:r>
      </m:oMath>
      <w:r w:rsidRPr="008861A8">
        <w:rPr>
          <w:sz w:val="20"/>
          <w:szCs w:val="20"/>
        </w:rPr>
        <w:t>and the proposed control chart will be substitute with OTD mean and range according to:</w:t>
      </w:r>
    </w:p>
    <w:p w:rsidR="00D05910" w:rsidRPr="008861A8" w:rsidRDefault="00D05910" w:rsidP="00D05910">
      <w:pPr>
        <w:jc w:val="both"/>
        <w:rPr>
          <w:sz w:val="20"/>
          <w:szCs w:val="20"/>
        </w:rPr>
      </w:pPr>
    </w:p>
    <w:p w:rsidR="008861A8" w:rsidRPr="000A1BAC" w:rsidRDefault="008861A8" w:rsidP="000A1BAC">
      <w:pPr>
        <w:rPr>
          <w:sz w:val="20"/>
          <w:szCs w:val="20"/>
        </w:rPr>
      </w:pPr>
      <m:oMathPara>
        <m:oMathParaPr>
          <m:jc m:val="left"/>
        </m:oMathParaPr>
        <m:oMath>
          <m:r>
            <m:rPr>
              <m:sty m:val="p"/>
            </m:rPr>
            <w:rPr>
              <w:rFonts w:ascii="Cambria Math" w:hAnsi="Cambria Math"/>
              <w:sz w:val="20"/>
              <w:szCs w:val="20"/>
            </w:rPr>
            <m:t>i=1,2,……</m:t>
          </m:r>
          <m:r>
            <m:rPr>
              <m:sty m:val="p"/>
            </m:rPr>
            <w:rPr>
              <w:rFonts w:ascii="Cambria Math"/>
              <w:sz w:val="20"/>
              <w:szCs w:val="20"/>
            </w:rPr>
            <m:t>, n      and j=1,2,</m:t>
          </m:r>
          <m:r>
            <m:rPr>
              <m:sty m:val="p"/>
            </m:rPr>
            <w:rPr>
              <w:rFonts w:ascii="Cambria Math" w:hAnsi="Cambria Math"/>
              <w:sz w:val="20"/>
              <w:szCs w:val="20"/>
            </w:rPr>
            <m:t>……</m:t>
          </m:r>
          <m:r>
            <m:rPr>
              <m:sty m:val="p"/>
            </m:rPr>
            <w:rPr>
              <w:rFonts w:ascii="Cambria Math"/>
              <w:sz w:val="20"/>
              <w:szCs w:val="20"/>
            </w:rPr>
            <m:t xml:space="preserve">.,m </m:t>
          </m:r>
        </m:oMath>
      </m:oMathPara>
    </w:p>
    <w:p w:rsidR="008861A8" w:rsidRPr="000A1BAC" w:rsidRDefault="008861A8" w:rsidP="000A1BAC">
      <w:pPr>
        <w:tabs>
          <w:tab w:val="left" w:pos="2655"/>
        </w:tabs>
        <w:jc w:val="center"/>
        <w:rPr>
          <w:sz w:val="20"/>
          <w:szCs w:val="20"/>
        </w:rPr>
      </w:pPr>
      <m:oMathPara>
        <m:oMathParaPr>
          <m:jc m:val="left"/>
        </m:oMathParaPr>
        <m:oMath>
          <m:r>
            <m:rPr>
              <m:sty m:val="p"/>
            </m:rPr>
            <w:rPr>
              <w:rFonts w:ascii="Cambria Math" w:hAnsi="Cambria Math"/>
              <w:sz w:val="20"/>
              <w:szCs w:val="20"/>
            </w:rPr>
            <m:t>n=sample size of supplie</m:t>
          </m:r>
          <m:sSup>
            <m:sSupPr>
              <m:ctrlPr>
                <w:rPr>
                  <w:rFonts w:ascii="Cambria Math" w:hAnsi="Cambria Math"/>
                  <w:sz w:val="20"/>
                  <w:szCs w:val="20"/>
                </w:rPr>
              </m:ctrlPr>
            </m:sSupPr>
            <m:e>
              <m:r>
                <m:rPr>
                  <m:sty m:val="p"/>
                </m:rPr>
                <w:rPr>
                  <w:rFonts w:ascii="Cambria Math"/>
                  <w:sz w:val="20"/>
                  <w:szCs w:val="20"/>
                </w:rPr>
                <m:t>r</m:t>
              </m:r>
            </m:e>
            <m:sup>
              <m:r>
                <m:rPr>
                  <m:sty m:val="p"/>
                </m:rPr>
                <w:rPr>
                  <w:rFonts w:ascii="Cambria Math" w:hAnsi="Cambria Math"/>
                  <w:sz w:val="20"/>
                  <w:szCs w:val="20"/>
                </w:rPr>
                <m:t>'</m:t>
              </m:r>
            </m:sup>
          </m:sSup>
          <m:r>
            <m:rPr>
              <m:sty m:val="p"/>
            </m:rPr>
            <w:rPr>
              <w:rFonts w:ascii="Cambria Math"/>
              <w:sz w:val="20"/>
              <w:szCs w:val="20"/>
            </w:rPr>
            <m:t>s OTD</m:t>
          </m:r>
        </m:oMath>
      </m:oMathPara>
    </w:p>
    <w:p w:rsidR="008861A8" w:rsidRPr="000A1BAC" w:rsidRDefault="008861A8" w:rsidP="000A1BAC">
      <w:pPr>
        <w:tabs>
          <w:tab w:val="left" w:pos="2655"/>
        </w:tabs>
        <w:rPr>
          <w:sz w:val="20"/>
          <w:szCs w:val="20"/>
        </w:rPr>
      </w:pPr>
      <m:oMathPara>
        <m:oMathParaPr>
          <m:jc m:val="left"/>
        </m:oMathParaPr>
        <m:oMath>
          <m:r>
            <m:rPr>
              <m:sty m:val="p"/>
            </m:rPr>
            <w:rPr>
              <w:rFonts w:ascii="Cambria Math" w:hAnsi="Cambria Math"/>
              <w:sz w:val="20"/>
              <w:szCs w:val="20"/>
            </w:rPr>
            <m:t xml:space="preserve">m=the number of OTD samples for </m:t>
          </m:r>
        </m:oMath>
      </m:oMathPara>
    </w:p>
    <w:p w:rsidR="008861A8" w:rsidRDefault="008861A8" w:rsidP="008861A8">
      <w:pPr>
        <w:tabs>
          <w:tab w:val="left" w:pos="2655"/>
        </w:tabs>
        <w:rPr>
          <w:sz w:val="20"/>
          <w:szCs w:val="20"/>
        </w:rPr>
      </w:pPr>
      <m:oMath>
        <m:r>
          <m:rPr>
            <m:sty m:val="p"/>
          </m:rPr>
          <w:rPr>
            <w:rFonts w:ascii="Cambria Math"/>
            <w:sz w:val="20"/>
            <w:szCs w:val="20"/>
          </w:rPr>
          <m:t xml:space="preserve">establishing control chart    </m:t>
        </m:r>
      </m:oMath>
      <w:r w:rsidRPr="00F47DF0">
        <w:rPr>
          <w:sz w:val="20"/>
          <w:szCs w:val="20"/>
        </w:rPr>
        <w:tab/>
      </w:r>
    </w:p>
    <w:p w:rsidR="00930C19" w:rsidRPr="00F47DF0" w:rsidRDefault="00930C19" w:rsidP="008861A8">
      <w:pPr>
        <w:tabs>
          <w:tab w:val="left" w:pos="2655"/>
        </w:tabs>
        <w:rPr>
          <w:sz w:val="20"/>
          <w:szCs w:val="20"/>
        </w:rPr>
      </w:pPr>
    </w:p>
    <w:p w:rsidR="008861A8" w:rsidRPr="00F47DF0" w:rsidRDefault="008861A8" w:rsidP="008861A8">
      <w:pPr>
        <w:tabs>
          <w:tab w:val="left" w:pos="2655"/>
        </w:tabs>
        <w:rPr>
          <w:sz w:val="20"/>
          <w:szCs w:val="20"/>
        </w:rPr>
      </w:pPr>
      <m:oMathPara>
        <m:oMathParaPr>
          <m:jc m:val="left"/>
        </m:oMathParaPr>
        <m:oMath>
          <m:r>
            <m:rPr>
              <m:sty m:val="p"/>
            </m:rPr>
            <w:rPr>
              <w:rFonts w:ascii="Cambria Math"/>
              <w:sz w:val="20"/>
              <w:szCs w:val="20"/>
            </w:rPr>
            <m:t>OTD=the percentage of On</m:t>
          </m:r>
          <m:r>
            <m:rPr>
              <m:sty m:val="p"/>
            </m:rPr>
            <w:rPr>
              <w:rFonts w:ascii="Cambria Math"/>
              <w:sz w:val="20"/>
              <w:szCs w:val="20"/>
            </w:rPr>
            <m:t>-</m:t>
          </m:r>
          <m:r>
            <m:rPr>
              <m:sty m:val="p"/>
            </m:rPr>
            <w:rPr>
              <w:rFonts w:ascii="Cambria Math"/>
              <w:sz w:val="20"/>
              <w:szCs w:val="20"/>
            </w:rPr>
            <m:t>Time Delivery</m:t>
          </m:r>
        </m:oMath>
      </m:oMathPara>
    </w:p>
    <w:p w:rsidR="008861A8" w:rsidRPr="00F47DF0" w:rsidRDefault="00BE6765" w:rsidP="008861A8">
      <w:pPr>
        <w:tabs>
          <w:tab w:val="left" w:pos="2655"/>
        </w:tabs>
        <w:rPr>
          <w:sz w:val="20"/>
          <w:szCs w:val="20"/>
        </w:rPr>
      </w:pPr>
      <m:oMathPara>
        <m:oMathParaPr>
          <m:jc m:val="left"/>
        </m:oMathParaPr>
        <m:oMath>
          <m:sSub>
            <m:sSubPr>
              <m:ctrlPr>
                <w:rPr>
                  <w:rFonts w:ascii="Cambria Math" w:hAnsi="Cambria Math"/>
                  <w:sz w:val="20"/>
                  <w:szCs w:val="20"/>
                </w:rPr>
              </m:ctrlPr>
            </m:sSubPr>
            <m:e>
              <m:r>
                <m:rPr>
                  <m:sty m:val="p"/>
                </m:rPr>
                <w:rPr>
                  <w:rFonts w:ascii="Cambria Math"/>
                  <w:sz w:val="20"/>
                  <w:szCs w:val="20"/>
                </w:rPr>
                <m:t>R</m:t>
              </m:r>
            </m:e>
            <m:sub>
              <m:r>
                <m:rPr>
                  <m:sty m:val="p"/>
                </m:rPr>
                <w:rPr>
                  <w:rFonts w:ascii="Cambria Math"/>
                  <w:sz w:val="20"/>
                  <w:szCs w:val="20"/>
                </w:rPr>
                <m:t>i</m:t>
              </m:r>
            </m:sub>
          </m:sSub>
          <m:r>
            <m:rPr>
              <m:sty m:val="p"/>
            </m:rPr>
            <w:rPr>
              <w:rFonts w:ascii="Cambria Math"/>
              <w:sz w:val="20"/>
              <w:szCs w:val="20"/>
            </w:rPr>
            <m:t>=range of the i th OT</m:t>
          </m:r>
          <m:sSup>
            <m:sSupPr>
              <m:ctrlPr>
                <w:rPr>
                  <w:rFonts w:ascii="Cambria Math" w:hAnsi="Cambria Math"/>
                  <w:sz w:val="20"/>
                  <w:szCs w:val="20"/>
                </w:rPr>
              </m:ctrlPr>
            </m:sSupPr>
            <m:e>
              <m:r>
                <m:rPr>
                  <m:sty m:val="p"/>
                </m:rPr>
                <w:rPr>
                  <w:rFonts w:ascii="Cambria Math"/>
                  <w:sz w:val="20"/>
                  <w:szCs w:val="20"/>
                </w:rPr>
                <m:t>D</m:t>
              </m:r>
            </m:e>
            <m:sup>
              <m:r>
                <m:rPr>
                  <m:sty m:val="p"/>
                </m:rPr>
                <w:rPr>
                  <w:rFonts w:ascii="Cambria Math" w:hAnsi="Cambria Math"/>
                  <w:sz w:val="20"/>
                  <w:szCs w:val="20"/>
                </w:rPr>
                <m:t>'</m:t>
              </m:r>
            </m:sup>
          </m:sSup>
          <m:r>
            <m:rPr>
              <m:sty m:val="p"/>
            </m:rPr>
            <w:rPr>
              <w:rFonts w:ascii="Cambria Math"/>
              <w:sz w:val="20"/>
              <w:szCs w:val="20"/>
            </w:rPr>
            <m:t>s subgroup</m:t>
          </m:r>
        </m:oMath>
      </m:oMathPara>
    </w:p>
    <w:p w:rsidR="008861A8" w:rsidRDefault="00BE6765" w:rsidP="008861A8">
      <w:pPr>
        <w:tabs>
          <w:tab w:val="left" w:pos="2655"/>
        </w:tabs>
        <w:jc w:val="both"/>
        <w:rPr>
          <w:sz w:val="20"/>
          <w:szCs w:val="20"/>
        </w:rPr>
      </w:pPr>
      <m:oMathPara>
        <m:oMathParaPr>
          <m:jc m:val="left"/>
        </m:oMathParaPr>
        <m:oMath>
          <m:acc>
            <m:accPr>
              <m:chr m:val="̅"/>
              <m:ctrlPr>
                <w:rPr>
                  <w:rFonts w:ascii="Cambria Math" w:hAnsi="Cambria Math"/>
                  <w:sz w:val="20"/>
                  <w:szCs w:val="20"/>
                </w:rPr>
              </m:ctrlPr>
            </m:accPr>
            <m:e>
              <m:r>
                <m:rPr>
                  <m:sty m:val="p"/>
                </m:rPr>
                <w:rPr>
                  <w:rFonts w:ascii="Cambria Math"/>
                  <w:sz w:val="20"/>
                  <w:szCs w:val="20"/>
                </w:rPr>
                <m:t>R</m:t>
              </m:r>
            </m:e>
          </m:acc>
          <m:r>
            <m:rPr>
              <m:sty m:val="p"/>
            </m:rPr>
            <w:rPr>
              <w:rFonts w:ascii="Cambria Math"/>
              <w:sz w:val="20"/>
              <w:szCs w:val="20"/>
            </w:rPr>
            <m:t>=average of the OT</m:t>
          </m:r>
          <m:sSup>
            <m:sSupPr>
              <m:ctrlPr>
                <w:rPr>
                  <w:rFonts w:ascii="Cambria Math" w:hAnsi="Cambria Math"/>
                  <w:sz w:val="20"/>
                  <w:szCs w:val="20"/>
                </w:rPr>
              </m:ctrlPr>
            </m:sSupPr>
            <m:e>
              <m:r>
                <m:rPr>
                  <m:sty m:val="p"/>
                </m:rPr>
                <w:rPr>
                  <w:rFonts w:ascii="Cambria Math"/>
                  <w:sz w:val="20"/>
                  <w:szCs w:val="20"/>
                </w:rPr>
                <m:t>D</m:t>
              </m:r>
            </m:e>
            <m:sup>
              <m:r>
                <m:rPr>
                  <m:sty m:val="p"/>
                </m:rPr>
                <w:rPr>
                  <w:rFonts w:ascii="Cambria Math" w:hAnsi="Cambria Math"/>
                  <w:sz w:val="20"/>
                  <w:szCs w:val="20"/>
                </w:rPr>
                <m:t>'</m:t>
              </m:r>
            </m:sup>
          </m:sSup>
          <m:r>
            <m:rPr>
              <m:sty m:val="p"/>
            </m:rPr>
            <w:rPr>
              <w:rFonts w:ascii="Cambria Math"/>
              <w:sz w:val="20"/>
              <w:szCs w:val="20"/>
            </w:rPr>
            <m:t xml:space="preserve">s subgroup ranges      </m:t>
          </m:r>
        </m:oMath>
      </m:oMathPara>
    </w:p>
    <w:p w:rsidR="00930C19" w:rsidRPr="00F47DF0" w:rsidRDefault="00930C19" w:rsidP="008861A8">
      <w:pPr>
        <w:tabs>
          <w:tab w:val="left" w:pos="2655"/>
        </w:tabs>
        <w:jc w:val="both"/>
        <w:rPr>
          <w:sz w:val="20"/>
          <w:szCs w:val="20"/>
        </w:rPr>
      </w:pPr>
    </w:p>
    <w:p w:rsidR="008861A8" w:rsidRPr="008861A8" w:rsidRDefault="00BE6765" w:rsidP="008861A8">
      <w:pPr>
        <w:tabs>
          <w:tab w:val="left" w:pos="2655"/>
        </w:tabs>
        <w:jc w:val="both"/>
        <w:rPr>
          <w:sz w:val="20"/>
          <w:szCs w:val="20"/>
        </w:rPr>
      </w:pPr>
      <m:oMathPara>
        <m:oMathParaPr>
          <m:jc m:val="left"/>
        </m:oMathParaPr>
        <m:oMath>
          <m:sSub>
            <m:sSubPr>
              <m:ctrlPr>
                <w:rPr>
                  <w:rFonts w:ascii="Cambria Math" w:hAnsi="Cambria Math"/>
                  <w:sz w:val="20"/>
                  <w:szCs w:val="20"/>
                </w:rPr>
              </m:ctrlPr>
            </m:sSubPr>
            <m:e>
              <m:r>
                <m:rPr>
                  <m:sty m:val="p"/>
                </m:rPr>
                <w:rPr>
                  <w:rFonts w:ascii="Cambria Math"/>
                  <w:sz w:val="20"/>
                  <w:szCs w:val="20"/>
                </w:rPr>
                <m:t>A</m:t>
              </m:r>
            </m:e>
            <m:sub>
              <m:r>
                <m:rPr>
                  <m:sty m:val="p"/>
                </m:rPr>
                <w:rPr>
                  <w:rFonts w:ascii="Cambria Math"/>
                  <w:sz w:val="20"/>
                  <w:szCs w:val="20"/>
                </w:rPr>
                <m:t>2</m:t>
              </m:r>
            </m:sub>
          </m:sSub>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D</m:t>
              </m:r>
            </m:e>
            <m:sub>
              <m:r>
                <m:rPr>
                  <m:sty m:val="p"/>
                </m:rPr>
                <w:rPr>
                  <w:rFonts w:ascii="Cambria Math"/>
                  <w:sz w:val="20"/>
                  <w:szCs w:val="20"/>
                </w:rPr>
                <m:t>3</m:t>
              </m:r>
            </m:sub>
          </m:sSub>
          <m:r>
            <m:rPr>
              <m:sty m:val="p"/>
            </m:rPr>
            <w:rPr>
              <w:rFonts w:ascii="Cambria Math"/>
              <w:sz w:val="20"/>
              <w:szCs w:val="20"/>
            </w:rPr>
            <m:t xml:space="preserve"> and </m:t>
          </m:r>
          <m:sSub>
            <m:sSubPr>
              <m:ctrlPr>
                <w:rPr>
                  <w:rFonts w:ascii="Cambria Math" w:hAnsi="Cambria Math"/>
                  <w:sz w:val="20"/>
                  <w:szCs w:val="20"/>
                </w:rPr>
              </m:ctrlPr>
            </m:sSubPr>
            <m:e>
              <m:r>
                <m:rPr>
                  <m:sty m:val="p"/>
                </m:rPr>
                <w:rPr>
                  <w:rFonts w:ascii="Cambria Math"/>
                  <w:sz w:val="20"/>
                  <w:szCs w:val="20"/>
                </w:rPr>
                <m:t>D</m:t>
              </m:r>
            </m:e>
            <m:sub>
              <m:r>
                <m:rPr>
                  <m:sty m:val="p"/>
                </m:rPr>
                <w:rPr>
                  <w:rFonts w:ascii="Cambria Math"/>
                  <w:sz w:val="20"/>
                  <w:szCs w:val="20"/>
                </w:rPr>
                <m:t>4</m:t>
              </m:r>
            </m:sub>
          </m:sSub>
          <m:r>
            <m:rPr>
              <m:sty m:val="p"/>
            </m:rPr>
            <w:rPr>
              <w:rFonts w:ascii="Cambria Math"/>
              <w:sz w:val="20"/>
              <w:szCs w:val="20"/>
            </w:rPr>
            <m:t xml:space="preserve"> factors for computing central lines </m:t>
          </m:r>
        </m:oMath>
      </m:oMathPara>
    </w:p>
    <w:p w:rsidR="008861A8" w:rsidRDefault="008861A8" w:rsidP="008861A8">
      <w:pPr>
        <w:tabs>
          <w:tab w:val="left" w:pos="2655"/>
        </w:tabs>
        <w:jc w:val="both"/>
        <w:rPr>
          <w:sz w:val="20"/>
          <w:szCs w:val="20"/>
        </w:rPr>
      </w:pPr>
      <m:oMathPara>
        <m:oMathParaPr>
          <m:jc m:val="left"/>
        </m:oMathParaPr>
        <m:oMath>
          <m:r>
            <m:rPr>
              <m:sty m:val="p"/>
            </m:rPr>
            <w:rPr>
              <w:rFonts w:ascii="Cambria Math"/>
              <w:sz w:val="20"/>
              <w:szCs w:val="20"/>
            </w:rPr>
            <m:t>of X bar and R chart(Besterfield, 2009)</m:t>
          </m:r>
        </m:oMath>
      </m:oMathPara>
    </w:p>
    <w:p w:rsidR="005D022A" w:rsidRPr="00F47DF0" w:rsidRDefault="005D022A" w:rsidP="008861A8">
      <w:pPr>
        <w:tabs>
          <w:tab w:val="left" w:pos="2655"/>
        </w:tabs>
        <w:jc w:val="both"/>
        <w:rPr>
          <w:sz w:val="20"/>
          <w:szCs w:val="20"/>
        </w:rPr>
      </w:pPr>
    </w:p>
    <w:p w:rsidR="008861A8" w:rsidRDefault="008861A8" w:rsidP="008861A8">
      <w:pPr>
        <w:tabs>
          <w:tab w:val="left" w:pos="2655"/>
        </w:tabs>
        <w:jc w:val="both"/>
        <w:rPr>
          <w:sz w:val="20"/>
          <w:szCs w:val="20"/>
        </w:rPr>
      </w:pPr>
      <w:r w:rsidRPr="00F47DF0">
        <w:rPr>
          <w:sz w:val="20"/>
          <w:szCs w:val="20"/>
        </w:rPr>
        <w:t>Where:</w:t>
      </w:r>
    </w:p>
    <w:p w:rsidR="008861A8" w:rsidRPr="00F47DF0" w:rsidRDefault="008861A8" w:rsidP="008861A8">
      <w:pPr>
        <w:tabs>
          <w:tab w:val="left" w:pos="2655"/>
        </w:tabs>
        <w:jc w:val="both"/>
        <w:rPr>
          <w:sz w:val="20"/>
          <w:szCs w:val="20"/>
        </w:rPr>
      </w:pPr>
    </w:p>
    <w:p w:rsidR="008861A8" w:rsidRPr="00F454A0" w:rsidRDefault="00BE6765" w:rsidP="008861A8">
      <w:pPr>
        <w:pStyle w:val="Heading2"/>
        <w:rPr>
          <w:b w:val="0"/>
          <w:sz w:val="20"/>
          <w:szCs w:val="20"/>
        </w:rPr>
      </w:pPr>
      <m:oMath>
        <m:sSub>
          <m:sSubPr>
            <m:ctrlPr>
              <w:rPr>
                <w:rFonts w:ascii="Cambria Math" w:hAnsi="Cambria Math"/>
                <w:b w:val="0"/>
                <w:sz w:val="20"/>
                <w:szCs w:val="20"/>
              </w:rPr>
            </m:ctrlPr>
          </m:sSubPr>
          <m:e>
            <m:acc>
              <m:accPr>
                <m:chr m:val="̅"/>
                <m:ctrlPr>
                  <w:rPr>
                    <w:rFonts w:ascii="Cambria Math" w:hAnsi="Cambria Math"/>
                    <w:b w:val="0"/>
                    <w:sz w:val="20"/>
                    <w:szCs w:val="20"/>
                  </w:rPr>
                </m:ctrlPr>
              </m:accPr>
              <m:e>
                <m:r>
                  <m:rPr>
                    <m:sty m:val="p"/>
                  </m:rPr>
                  <w:rPr>
                    <w:rFonts w:ascii="Cambria Math" w:hAnsi="Cambria Math"/>
                    <w:sz w:val="20"/>
                    <w:szCs w:val="20"/>
                  </w:rPr>
                  <m:t>OTD</m:t>
                </m:r>
              </m:e>
            </m:acc>
          </m:e>
          <m:sub>
            <m:r>
              <m:rPr>
                <m:sty m:val="p"/>
              </m:rPr>
              <w:rPr>
                <w:rFonts w:ascii="Cambria Math" w:hAnsi="Cambria Math"/>
                <w:sz w:val="20"/>
                <w:szCs w:val="20"/>
              </w:rPr>
              <m:t>j</m:t>
            </m:r>
          </m:sub>
        </m:sSub>
        <m:r>
          <m:rPr>
            <m:sty m:val="p"/>
          </m:rPr>
          <w:rPr>
            <w:rFonts w:ascii="Cambria Math"/>
            <w:sz w:val="20"/>
            <w:szCs w:val="20"/>
          </w:rPr>
          <m:t>=</m:t>
        </m:r>
        <m:f>
          <m:fPr>
            <m:ctrlPr>
              <w:rPr>
                <w:rFonts w:ascii="Cambria Math" w:hAnsi="Cambria Math"/>
                <w:b w:val="0"/>
                <w:sz w:val="20"/>
                <w:szCs w:val="20"/>
              </w:rPr>
            </m:ctrlPr>
          </m:fPr>
          <m:num>
            <m:nary>
              <m:naryPr>
                <m:chr m:val="∑"/>
                <m:limLoc m:val="undOvr"/>
                <m:ctrlPr>
                  <w:rPr>
                    <w:rFonts w:ascii="Cambria Math" w:hAnsi="Cambria Math"/>
                    <w:b w:val="0"/>
                    <w:sz w:val="20"/>
                    <w:szCs w:val="20"/>
                  </w:rPr>
                </m:ctrlPr>
              </m:naryPr>
              <m:sub>
                <m:r>
                  <m:rPr>
                    <m:sty m:val="p"/>
                  </m:rPr>
                  <w:rPr>
                    <w:rFonts w:ascii="Cambria Math" w:hAnsi="Cambria Math"/>
                    <w:sz w:val="20"/>
                    <w:szCs w:val="20"/>
                  </w:rPr>
                  <m:t>j</m:t>
                </m:r>
                <m:r>
                  <m:rPr>
                    <m:sty m:val="p"/>
                  </m:rPr>
                  <w:rPr>
                    <w:rFonts w:ascii="Cambria Math"/>
                    <w:sz w:val="20"/>
                    <w:szCs w:val="20"/>
                  </w:rPr>
                  <m:t>=</m:t>
                </m:r>
                <m:r>
                  <m:rPr>
                    <m:sty m:val="p"/>
                  </m:rPr>
                  <w:rPr>
                    <w:rFonts w:ascii="Cambria Math" w:hAnsi="Cambria Math"/>
                    <w:sz w:val="20"/>
                    <w:szCs w:val="20"/>
                  </w:rPr>
                  <m:t>1</m:t>
                </m:r>
              </m:sub>
              <m:sup>
                <m:r>
                  <m:rPr>
                    <m:sty m:val="p"/>
                  </m:rPr>
                  <w:rPr>
                    <w:rFonts w:ascii="Cambria Math" w:hAnsi="Cambria Math"/>
                    <w:sz w:val="20"/>
                    <w:szCs w:val="20"/>
                  </w:rPr>
                  <m:t>m</m:t>
                </m:r>
              </m:sup>
              <m:e>
                <m:sSub>
                  <m:sSubPr>
                    <m:ctrlPr>
                      <w:rPr>
                        <w:rFonts w:ascii="Cambria Math" w:hAnsi="Cambria Math"/>
                        <w:b w:val="0"/>
                        <w:sz w:val="20"/>
                        <w:szCs w:val="20"/>
                      </w:rPr>
                    </m:ctrlPr>
                  </m:sSubPr>
                  <m:e>
                    <m:acc>
                      <m:accPr>
                        <m:chr m:val="̅"/>
                        <m:ctrlPr>
                          <w:rPr>
                            <w:rFonts w:ascii="Cambria Math" w:hAnsi="Cambria Math"/>
                            <w:b w:val="0"/>
                            <w:sz w:val="20"/>
                            <w:szCs w:val="20"/>
                          </w:rPr>
                        </m:ctrlPr>
                      </m:accPr>
                      <m:e>
                        <m:r>
                          <m:rPr>
                            <m:sty m:val="p"/>
                          </m:rPr>
                          <w:rPr>
                            <w:rFonts w:ascii="Cambria Math" w:hAnsi="Cambria Math"/>
                            <w:sz w:val="20"/>
                            <w:szCs w:val="20"/>
                          </w:rPr>
                          <m:t>OTD</m:t>
                        </m:r>
                      </m:e>
                    </m:acc>
                  </m:e>
                  <m:sub>
                    <m:r>
                      <m:rPr>
                        <m:sty m:val="p"/>
                      </m:rPr>
                      <w:rPr>
                        <w:rFonts w:ascii="Cambria Math" w:hAnsi="Cambria Math"/>
                        <w:sz w:val="20"/>
                        <w:szCs w:val="20"/>
                      </w:rPr>
                      <m:t>j</m:t>
                    </m:r>
                  </m:sub>
                </m:sSub>
              </m:e>
            </m:nary>
          </m:num>
          <m:den>
            <m:r>
              <m:rPr>
                <m:sty m:val="p"/>
              </m:rPr>
              <w:rPr>
                <w:rFonts w:ascii="Cambria Math" w:hAnsi="Cambria Math"/>
                <w:sz w:val="20"/>
                <w:szCs w:val="20"/>
              </w:rPr>
              <m:t>m</m:t>
            </m:r>
          </m:den>
        </m:f>
      </m:oMath>
      <w:r w:rsidR="00117F3A" w:rsidRPr="00F454A0">
        <w:rPr>
          <w:b w:val="0"/>
          <w:sz w:val="20"/>
          <w:szCs w:val="20"/>
        </w:rPr>
        <w:t xml:space="preserve">          ,     </w:t>
      </w:r>
      <w:r w:rsidR="008861A8" w:rsidRPr="00F454A0">
        <w:rPr>
          <w:b w:val="0"/>
          <w:sz w:val="20"/>
          <w:szCs w:val="20"/>
        </w:rPr>
        <w:t xml:space="preserve"> </w:t>
      </w:r>
      <m:oMath>
        <m:acc>
          <m:accPr>
            <m:chr m:val="̿"/>
            <m:ctrlPr>
              <w:rPr>
                <w:rFonts w:ascii="Cambria Math" w:hAnsi="Cambria Math"/>
                <w:b w:val="0"/>
                <w:sz w:val="20"/>
                <w:szCs w:val="20"/>
              </w:rPr>
            </m:ctrlPr>
          </m:accPr>
          <m:e>
            <m:r>
              <m:rPr>
                <m:sty m:val="p"/>
              </m:rPr>
              <w:rPr>
                <w:rFonts w:ascii="Cambria Math" w:hAnsi="Cambria Math"/>
                <w:sz w:val="20"/>
                <w:szCs w:val="20"/>
              </w:rPr>
              <m:t>OTD</m:t>
            </m:r>
          </m:e>
        </m:acc>
        <m:r>
          <m:rPr>
            <m:sty m:val="p"/>
          </m:rPr>
          <w:rPr>
            <w:rFonts w:ascii="Cambria Math"/>
            <w:sz w:val="20"/>
            <w:szCs w:val="20"/>
          </w:rPr>
          <m:t>=</m:t>
        </m:r>
        <m:f>
          <m:fPr>
            <m:ctrlPr>
              <w:rPr>
                <w:rFonts w:ascii="Cambria Math" w:hAnsi="Cambria Math"/>
                <w:b w:val="0"/>
                <w:sz w:val="20"/>
                <w:szCs w:val="20"/>
              </w:rPr>
            </m:ctrlPr>
          </m:fPr>
          <m:num>
            <m:nary>
              <m:naryPr>
                <m:chr m:val="∑"/>
                <m:limLoc m:val="subSup"/>
                <m:ctrlPr>
                  <w:rPr>
                    <w:rFonts w:ascii="Cambria Math" w:hAnsi="Cambria Math"/>
                    <w:b w:val="0"/>
                    <w:sz w:val="20"/>
                    <w:szCs w:val="20"/>
                  </w:rPr>
                </m:ctrlPr>
              </m:naryPr>
              <m:sub>
                <m:r>
                  <m:rPr>
                    <m:sty m:val="p"/>
                  </m:rPr>
                  <w:rPr>
                    <w:rFonts w:ascii="Cambria Math" w:hAnsi="Cambria Math"/>
                    <w:sz w:val="20"/>
                    <w:szCs w:val="20"/>
                  </w:rPr>
                  <m:t>i</m:t>
                </m:r>
                <m:r>
                  <m:rPr>
                    <m:sty m:val="p"/>
                  </m:rPr>
                  <w:rPr>
                    <w:rFonts w:ascii="Cambria Math"/>
                    <w:sz w:val="20"/>
                    <w:szCs w:val="20"/>
                  </w:rPr>
                  <m:t>=</m:t>
                </m:r>
                <m:r>
                  <m:rPr>
                    <m:sty m:val="p"/>
                  </m:rPr>
                  <w:rPr>
                    <w:rFonts w:ascii="Cambria Math" w:hAnsi="Cambria Math"/>
                    <w:sz w:val="20"/>
                    <w:szCs w:val="20"/>
                  </w:rPr>
                  <m:t>1</m:t>
                </m:r>
              </m:sub>
              <m:sup>
                <m:r>
                  <m:rPr>
                    <m:sty m:val="p"/>
                  </m:rPr>
                  <w:rPr>
                    <w:rFonts w:ascii="Cambria Math" w:hAnsi="Cambria Math"/>
                    <w:sz w:val="20"/>
                    <w:szCs w:val="20"/>
                  </w:rPr>
                  <m:t>n</m:t>
                </m:r>
              </m:sup>
              <m:e>
                <m:nary>
                  <m:naryPr>
                    <m:chr m:val="∑"/>
                    <m:limLoc m:val="undOvr"/>
                    <m:ctrlPr>
                      <w:rPr>
                        <w:rFonts w:ascii="Cambria Math" w:hAnsi="Cambria Math"/>
                        <w:b w:val="0"/>
                        <w:sz w:val="20"/>
                        <w:szCs w:val="20"/>
                      </w:rPr>
                    </m:ctrlPr>
                  </m:naryPr>
                  <m:sub>
                    <m:r>
                      <m:rPr>
                        <m:sty m:val="p"/>
                      </m:rPr>
                      <w:rPr>
                        <w:rFonts w:ascii="Cambria Math" w:hAnsi="Cambria Math"/>
                        <w:sz w:val="20"/>
                        <w:szCs w:val="20"/>
                      </w:rPr>
                      <m:t>j</m:t>
                    </m:r>
                    <m:r>
                      <m:rPr>
                        <m:sty m:val="p"/>
                      </m:rPr>
                      <w:rPr>
                        <w:rFonts w:ascii="Cambria Math"/>
                        <w:sz w:val="20"/>
                        <w:szCs w:val="20"/>
                      </w:rPr>
                      <m:t>=</m:t>
                    </m:r>
                    <m:r>
                      <m:rPr>
                        <m:sty m:val="p"/>
                      </m:rPr>
                      <w:rPr>
                        <w:rFonts w:ascii="Cambria Math" w:hAnsi="Cambria Math"/>
                        <w:sz w:val="20"/>
                        <w:szCs w:val="20"/>
                      </w:rPr>
                      <m:t>1</m:t>
                    </m:r>
                  </m:sub>
                  <m:sup>
                    <m:r>
                      <m:rPr>
                        <m:sty m:val="p"/>
                      </m:rPr>
                      <w:rPr>
                        <w:rFonts w:ascii="Cambria Math" w:hAnsi="Cambria Math"/>
                        <w:sz w:val="20"/>
                        <w:szCs w:val="20"/>
                      </w:rPr>
                      <m:t>m</m:t>
                    </m:r>
                  </m:sup>
                  <m:e>
                    <m:sSub>
                      <m:sSubPr>
                        <m:ctrlPr>
                          <w:rPr>
                            <w:rFonts w:ascii="Cambria Math" w:hAnsi="Cambria Math"/>
                            <w:b w:val="0"/>
                            <w:sz w:val="20"/>
                            <w:szCs w:val="20"/>
                          </w:rPr>
                        </m:ctrlPr>
                      </m:sSubPr>
                      <m:e>
                        <m:r>
                          <m:rPr>
                            <m:sty m:val="p"/>
                          </m:rPr>
                          <w:rPr>
                            <w:rFonts w:ascii="Cambria Math" w:hAnsi="Cambria Math"/>
                            <w:sz w:val="20"/>
                            <w:szCs w:val="20"/>
                          </w:rPr>
                          <m:t>OTD</m:t>
                        </m:r>
                      </m:e>
                      <m:sub>
                        <m:r>
                          <m:rPr>
                            <m:sty m:val="p"/>
                          </m:rPr>
                          <w:rPr>
                            <w:rFonts w:ascii="Cambria Math" w:hAnsi="Cambria Math"/>
                            <w:sz w:val="20"/>
                            <w:szCs w:val="20"/>
                          </w:rPr>
                          <m:t>ij</m:t>
                        </m:r>
                      </m:sub>
                    </m:sSub>
                  </m:e>
                </m:nary>
              </m:e>
            </m:nary>
          </m:num>
          <m:den>
            <m:r>
              <m:rPr>
                <m:sty m:val="p"/>
              </m:rPr>
              <w:rPr>
                <w:rFonts w:ascii="Cambria Math" w:hAnsi="Cambria Math"/>
                <w:sz w:val="20"/>
                <w:szCs w:val="20"/>
              </w:rPr>
              <m:t>n</m:t>
            </m:r>
            <m:r>
              <m:rPr>
                <m:sty m:val="p"/>
              </m:rPr>
              <w:rPr>
                <w:rFonts w:ascii="Cambria Math"/>
                <w:sz w:val="20"/>
                <w:szCs w:val="20"/>
              </w:rPr>
              <m:t>×</m:t>
            </m:r>
            <m:r>
              <m:rPr>
                <m:sty m:val="p"/>
              </m:rPr>
              <w:rPr>
                <w:rFonts w:ascii="Cambria Math" w:hAnsi="Cambria Math"/>
                <w:sz w:val="20"/>
                <w:szCs w:val="20"/>
              </w:rPr>
              <m:t>m</m:t>
            </m:r>
          </m:den>
        </m:f>
      </m:oMath>
      <w:r w:rsidR="008861A8" w:rsidRPr="00F454A0">
        <w:rPr>
          <w:b w:val="0"/>
          <w:sz w:val="20"/>
          <w:szCs w:val="20"/>
        </w:rPr>
        <w:t>,</w:t>
      </w:r>
    </w:p>
    <w:p w:rsidR="005D022A" w:rsidRPr="00F454A0" w:rsidRDefault="005D022A" w:rsidP="005D022A"/>
    <w:p w:rsidR="008861A8" w:rsidRPr="00F454A0" w:rsidRDefault="00BE6765" w:rsidP="008861A8">
      <w:pPr>
        <w:pStyle w:val="Heading2"/>
        <w:rPr>
          <w:b w:val="0"/>
          <w:sz w:val="20"/>
          <w:szCs w:val="20"/>
        </w:rPr>
      </w:pPr>
      <m:oMathPara>
        <m:oMathParaPr>
          <m:jc m:val="left"/>
        </m:oMathParaPr>
        <m:oMath>
          <m:sSub>
            <m:sSubPr>
              <m:ctrlPr>
                <w:rPr>
                  <w:rFonts w:ascii="Cambria Math" w:hAnsi="Cambria Math"/>
                  <w:b w:val="0"/>
                  <w:sz w:val="20"/>
                  <w:szCs w:val="20"/>
                </w:rPr>
              </m:ctrlPr>
            </m:sSubPr>
            <m:e>
              <m:r>
                <m:rPr>
                  <m:sty m:val="p"/>
                </m:rPr>
                <w:rPr>
                  <w:rFonts w:ascii="Cambria Math" w:hAnsi="Cambria Math"/>
                  <w:sz w:val="20"/>
                  <w:szCs w:val="20"/>
                </w:rPr>
                <m:t>UCL</m:t>
              </m:r>
            </m:e>
            <m:sub>
              <m:acc>
                <m:accPr>
                  <m:chr m:val="̅"/>
                  <m:ctrlPr>
                    <w:rPr>
                      <w:rFonts w:ascii="Cambria Math" w:hAnsi="Cambria Math"/>
                      <w:b w:val="0"/>
                      <w:sz w:val="20"/>
                      <w:szCs w:val="20"/>
                    </w:rPr>
                  </m:ctrlPr>
                </m:accPr>
                <m:e>
                  <m:r>
                    <m:rPr>
                      <m:sty m:val="p"/>
                    </m:rPr>
                    <w:rPr>
                      <w:rFonts w:ascii="Cambria Math" w:hAnsi="Cambria Math"/>
                      <w:sz w:val="20"/>
                      <w:szCs w:val="20"/>
                    </w:rPr>
                    <m:t>OTD</m:t>
                  </m:r>
                </m:e>
              </m:acc>
            </m:sub>
          </m:sSub>
          <m:r>
            <m:rPr>
              <m:sty m:val="p"/>
            </m:rPr>
            <w:rPr>
              <w:rFonts w:ascii="Cambria Math"/>
              <w:sz w:val="20"/>
              <w:szCs w:val="20"/>
            </w:rPr>
            <m:t>=</m:t>
          </m:r>
          <m:acc>
            <m:accPr>
              <m:chr m:val="̿"/>
              <m:ctrlPr>
                <w:rPr>
                  <w:rFonts w:ascii="Cambria Math" w:hAnsi="Cambria Math"/>
                  <w:b w:val="0"/>
                  <w:sz w:val="20"/>
                  <w:szCs w:val="20"/>
                </w:rPr>
              </m:ctrlPr>
            </m:accPr>
            <m:e>
              <m:r>
                <m:rPr>
                  <m:sty m:val="p"/>
                </m:rPr>
                <w:rPr>
                  <w:rFonts w:ascii="Cambria Math" w:hAnsi="Cambria Math"/>
                  <w:sz w:val="20"/>
                  <w:szCs w:val="20"/>
                </w:rPr>
                <m:t>OTD</m:t>
              </m:r>
            </m:e>
          </m:acc>
          <m:r>
            <m:rPr>
              <m:sty m:val="p"/>
            </m:rPr>
            <w:rPr>
              <w:rFonts w:ascii="Cambria Math"/>
              <w:sz w:val="20"/>
              <w:szCs w:val="20"/>
            </w:rPr>
            <m:t>+</m:t>
          </m:r>
          <m:sSub>
            <m:sSubPr>
              <m:ctrlPr>
                <w:rPr>
                  <w:rFonts w:ascii="Cambria Math" w:hAnsi="Cambria Math"/>
                  <w:b w:val="0"/>
                  <w:sz w:val="20"/>
                  <w:szCs w:val="20"/>
                </w:rPr>
              </m:ctrlPr>
            </m:sSubPr>
            <m:e>
              <m:r>
                <m:rPr>
                  <m:sty m:val="p"/>
                </m:rPr>
                <w:rPr>
                  <w:rFonts w:ascii="Cambria Math" w:hAnsi="Cambria Math"/>
                  <w:sz w:val="20"/>
                  <w:szCs w:val="20"/>
                </w:rPr>
                <m:t>A</m:t>
              </m:r>
            </m:e>
            <m:sub>
              <m:r>
                <m:rPr>
                  <m:sty m:val="p"/>
                </m:rPr>
                <w:rPr>
                  <w:rFonts w:ascii="Cambria Math" w:hAnsi="Cambria Math"/>
                  <w:sz w:val="20"/>
                  <w:szCs w:val="20"/>
                </w:rPr>
                <m:t>2</m:t>
              </m:r>
            </m:sub>
          </m:sSub>
          <m:acc>
            <m:accPr>
              <m:chr m:val="̅"/>
              <m:ctrlPr>
                <w:rPr>
                  <w:rFonts w:ascii="Cambria Math" w:hAnsi="Cambria Math"/>
                  <w:b w:val="0"/>
                  <w:sz w:val="20"/>
                  <w:szCs w:val="20"/>
                </w:rPr>
              </m:ctrlPr>
            </m:accPr>
            <m:e>
              <m:r>
                <m:rPr>
                  <m:sty m:val="p"/>
                </m:rPr>
                <w:rPr>
                  <w:rFonts w:ascii="Cambria Math" w:hAnsi="Cambria Math"/>
                  <w:sz w:val="20"/>
                  <w:szCs w:val="20"/>
                </w:rPr>
                <m:t>R</m:t>
              </m:r>
            </m:e>
          </m:acc>
          <m:r>
            <m:rPr>
              <m:sty m:val="p"/>
            </m:rPr>
            <w:rPr>
              <w:rFonts w:ascii="Cambria Math"/>
              <w:sz w:val="20"/>
              <w:szCs w:val="20"/>
            </w:rPr>
            <m:t xml:space="preserve"> </m:t>
          </m:r>
          <m:sSub>
            <m:sSubPr>
              <m:ctrlPr>
                <w:rPr>
                  <w:rFonts w:ascii="Cambria Math" w:hAnsi="Cambria Math"/>
                  <w:b w:val="0"/>
                  <w:sz w:val="20"/>
                  <w:szCs w:val="20"/>
                </w:rPr>
              </m:ctrlPr>
            </m:sSubPr>
            <m:e>
              <m:r>
                <m:rPr>
                  <m:sty m:val="p"/>
                </m:rPr>
                <w:rPr>
                  <w:rFonts w:ascii="Cambria Math"/>
                  <w:sz w:val="20"/>
                  <w:szCs w:val="20"/>
                </w:rPr>
                <m:t xml:space="preserve">, </m:t>
              </m:r>
              <m:r>
                <m:rPr>
                  <m:sty m:val="p"/>
                </m:rPr>
                <w:rPr>
                  <w:rFonts w:ascii="Cambria Math" w:hAnsi="Cambria Math"/>
                  <w:sz w:val="20"/>
                  <w:szCs w:val="20"/>
                </w:rPr>
                <m:t>LCL</m:t>
              </m:r>
            </m:e>
            <m:sub>
              <m:acc>
                <m:accPr>
                  <m:chr m:val="̅"/>
                  <m:ctrlPr>
                    <w:rPr>
                      <w:rFonts w:ascii="Cambria Math" w:hAnsi="Cambria Math"/>
                      <w:b w:val="0"/>
                      <w:sz w:val="20"/>
                      <w:szCs w:val="20"/>
                    </w:rPr>
                  </m:ctrlPr>
                </m:accPr>
                <m:e>
                  <m:r>
                    <m:rPr>
                      <m:sty m:val="p"/>
                    </m:rPr>
                    <w:rPr>
                      <w:rFonts w:ascii="Cambria Math" w:hAnsi="Cambria Math"/>
                      <w:sz w:val="20"/>
                      <w:szCs w:val="20"/>
                    </w:rPr>
                    <m:t>OTD</m:t>
                  </m:r>
                </m:e>
              </m:acc>
            </m:sub>
          </m:sSub>
          <m:r>
            <m:rPr>
              <m:sty m:val="p"/>
            </m:rPr>
            <w:rPr>
              <w:rFonts w:ascii="Cambria Math"/>
              <w:sz w:val="20"/>
              <w:szCs w:val="20"/>
            </w:rPr>
            <m:t>=</m:t>
          </m:r>
          <m:acc>
            <m:accPr>
              <m:chr m:val="̿"/>
              <m:ctrlPr>
                <w:rPr>
                  <w:rFonts w:ascii="Cambria Math" w:hAnsi="Cambria Math"/>
                  <w:b w:val="0"/>
                  <w:sz w:val="20"/>
                  <w:szCs w:val="20"/>
                </w:rPr>
              </m:ctrlPr>
            </m:accPr>
            <m:e>
              <m:r>
                <m:rPr>
                  <m:sty m:val="p"/>
                </m:rPr>
                <w:rPr>
                  <w:rFonts w:ascii="Cambria Math" w:hAnsi="Cambria Math"/>
                  <w:sz w:val="20"/>
                  <w:szCs w:val="20"/>
                </w:rPr>
                <m:t>OTD</m:t>
              </m:r>
            </m:e>
          </m:acc>
          <m:r>
            <m:rPr>
              <m:sty m:val="p"/>
            </m:rPr>
            <w:rPr>
              <w:rFonts w:ascii="Cambria Math"/>
              <w:sz w:val="20"/>
              <w:szCs w:val="20"/>
            </w:rPr>
            <m:t>-</m:t>
          </m:r>
          <m:sSub>
            <m:sSubPr>
              <m:ctrlPr>
                <w:rPr>
                  <w:rFonts w:ascii="Cambria Math" w:hAnsi="Cambria Math"/>
                  <w:b w:val="0"/>
                  <w:sz w:val="20"/>
                  <w:szCs w:val="20"/>
                </w:rPr>
              </m:ctrlPr>
            </m:sSubPr>
            <m:e>
              <m:r>
                <m:rPr>
                  <m:sty m:val="p"/>
                </m:rPr>
                <w:rPr>
                  <w:rFonts w:ascii="Cambria Math" w:hAnsi="Cambria Math"/>
                  <w:sz w:val="20"/>
                  <w:szCs w:val="20"/>
                </w:rPr>
                <m:t>A</m:t>
              </m:r>
            </m:e>
            <m:sub>
              <m:r>
                <m:rPr>
                  <m:sty m:val="p"/>
                </m:rPr>
                <w:rPr>
                  <w:rFonts w:ascii="Cambria Math" w:hAnsi="Cambria Math"/>
                  <w:sz w:val="20"/>
                  <w:szCs w:val="20"/>
                </w:rPr>
                <m:t>2</m:t>
              </m:r>
            </m:sub>
          </m:sSub>
          <m:acc>
            <m:accPr>
              <m:chr m:val="̅"/>
              <m:ctrlPr>
                <w:rPr>
                  <w:rFonts w:ascii="Cambria Math" w:hAnsi="Cambria Math"/>
                  <w:b w:val="0"/>
                  <w:sz w:val="20"/>
                  <w:szCs w:val="20"/>
                </w:rPr>
              </m:ctrlPr>
            </m:accPr>
            <m:e>
              <m:r>
                <m:rPr>
                  <m:sty m:val="p"/>
                </m:rPr>
                <w:rPr>
                  <w:rFonts w:ascii="Cambria Math" w:hAnsi="Cambria Math"/>
                  <w:sz w:val="20"/>
                  <w:szCs w:val="20"/>
                </w:rPr>
                <m:t>R</m:t>
              </m:r>
            </m:e>
          </m:acc>
        </m:oMath>
      </m:oMathPara>
    </w:p>
    <w:p w:rsidR="005D022A" w:rsidRPr="00F454A0" w:rsidRDefault="005D022A" w:rsidP="005D022A"/>
    <w:p w:rsidR="008861A8" w:rsidRPr="00F454A0" w:rsidRDefault="00BE6765" w:rsidP="008861A8">
      <w:pPr>
        <w:pStyle w:val="Heading2"/>
        <w:rPr>
          <w:b w:val="0"/>
          <w:sz w:val="20"/>
          <w:szCs w:val="20"/>
        </w:rPr>
      </w:pPr>
      <m:oMathPara>
        <m:oMathParaPr>
          <m:jc m:val="left"/>
        </m:oMathParaPr>
        <m:oMath>
          <m:sSub>
            <m:sSubPr>
              <m:ctrlPr>
                <w:rPr>
                  <w:rFonts w:ascii="Cambria Math" w:hAnsi="Cambria Math"/>
                  <w:b w:val="0"/>
                  <w:sz w:val="20"/>
                  <w:szCs w:val="20"/>
                </w:rPr>
              </m:ctrlPr>
            </m:sSubPr>
            <m:e>
              <m:r>
                <m:rPr>
                  <m:sty m:val="p"/>
                </m:rPr>
                <w:rPr>
                  <w:rFonts w:ascii="Cambria Math" w:hAnsi="Cambria Math"/>
                  <w:sz w:val="20"/>
                  <w:szCs w:val="20"/>
                </w:rPr>
                <m:t>UCL</m:t>
              </m:r>
            </m:e>
            <m:sub>
              <m:r>
                <m:rPr>
                  <m:sty m:val="p"/>
                </m:rPr>
                <w:rPr>
                  <w:rFonts w:ascii="Cambria Math" w:hAnsi="Cambria Math"/>
                  <w:sz w:val="20"/>
                  <w:szCs w:val="20"/>
                </w:rPr>
                <m:t>R</m:t>
              </m:r>
            </m:sub>
          </m:sSub>
          <m:r>
            <m:rPr>
              <m:sty m:val="p"/>
            </m:rPr>
            <w:rPr>
              <w:rFonts w:ascii="Cambria Math"/>
              <w:sz w:val="20"/>
              <w:szCs w:val="20"/>
            </w:rPr>
            <m:t>=</m:t>
          </m:r>
          <m:sSub>
            <m:sSubPr>
              <m:ctrlPr>
                <w:rPr>
                  <w:rFonts w:ascii="Cambria Math" w:hAnsi="Cambria Math"/>
                  <w:b w:val="0"/>
                  <w:sz w:val="20"/>
                  <w:szCs w:val="20"/>
                </w:rPr>
              </m:ctrlPr>
            </m:sSubPr>
            <m:e>
              <m:r>
                <m:rPr>
                  <m:sty m:val="p"/>
                </m:rPr>
                <w:rPr>
                  <w:rFonts w:ascii="Cambria Math" w:hAnsi="Cambria Math"/>
                  <w:sz w:val="20"/>
                  <w:szCs w:val="20"/>
                </w:rPr>
                <m:t>D</m:t>
              </m:r>
            </m:e>
            <m:sub>
              <m:r>
                <m:rPr>
                  <m:sty m:val="p"/>
                </m:rPr>
                <w:rPr>
                  <w:rFonts w:ascii="Cambria Math" w:hAnsi="Cambria Math"/>
                  <w:sz w:val="20"/>
                  <w:szCs w:val="20"/>
                </w:rPr>
                <m:t>4</m:t>
              </m:r>
            </m:sub>
          </m:sSub>
          <m:acc>
            <m:accPr>
              <m:chr m:val="̅"/>
              <m:ctrlPr>
                <w:rPr>
                  <w:rFonts w:ascii="Cambria Math" w:hAnsi="Cambria Math"/>
                  <w:b w:val="0"/>
                  <w:sz w:val="20"/>
                  <w:szCs w:val="20"/>
                </w:rPr>
              </m:ctrlPr>
            </m:accPr>
            <m:e>
              <m:r>
                <m:rPr>
                  <m:sty m:val="p"/>
                </m:rPr>
                <w:rPr>
                  <w:rFonts w:ascii="Cambria Math" w:hAnsi="Cambria Math"/>
                  <w:sz w:val="20"/>
                  <w:szCs w:val="20"/>
                </w:rPr>
                <m:t>R</m:t>
              </m:r>
              <m:r>
                <m:rPr>
                  <m:sty m:val="p"/>
                </m:rPr>
                <w:rPr>
                  <w:rFonts w:ascii="Cambria Math"/>
                  <w:sz w:val="20"/>
                  <w:szCs w:val="20"/>
                </w:rPr>
                <m:t xml:space="preserve"> </m:t>
              </m:r>
            </m:e>
          </m:acc>
          <m:sSub>
            <m:sSubPr>
              <m:ctrlPr>
                <w:rPr>
                  <w:rFonts w:ascii="Cambria Math" w:hAnsi="Cambria Math"/>
                  <w:b w:val="0"/>
                  <w:sz w:val="20"/>
                  <w:szCs w:val="20"/>
                </w:rPr>
              </m:ctrlPr>
            </m:sSubPr>
            <m:e>
              <m:r>
                <m:rPr>
                  <m:sty m:val="p"/>
                </m:rPr>
                <w:rPr>
                  <w:rFonts w:ascii="Cambria Math"/>
                  <w:sz w:val="20"/>
                  <w:szCs w:val="20"/>
                </w:rPr>
                <m:t xml:space="preserve">                  ,        </m:t>
              </m:r>
              <m:r>
                <m:rPr>
                  <m:sty m:val="p"/>
                </m:rPr>
                <w:rPr>
                  <w:rFonts w:ascii="Cambria Math" w:hAnsi="Cambria Math"/>
                  <w:sz w:val="20"/>
                  <w:szCs w:val="20"/>
                </w:rPr>
                <m:t>UCL</m:t>
              </m:r>
            </m:e>
            <m:sub>
              <m:r>
                <m:rPr>
                  <m:sty m:val="p"/>
                </m:rPr>
                <w:rPr>
                  <w:rFonts w:ascii="Cambria Math" w:hAnsi="Cambria Math"/>
                  <w:sz w:val="20"/>
                  <w:szCs w:val="20"/>
                </w:rPr>
                <m:t>R</m:t>
              </m:r>
            </m:sub>
          </m:sSub>
          <m:r>
            <m:rPr>
              <m:sty m:val="p"/>
            </m:rPr>
            <w:rPr>
              <w:rFonts w:ascii="Cambria Math"/>
              <w:sz w:val="20"/>
              <w:szCs w:val="20"/>
            </w:rPr>
            <m:t>=</m:t>
          </m:r>
          <m:sSub>
            <m:sSubPr>
              <m:ctrlPr>
                <w:rPr>
                  <w:rFonts w:ascii="Cambria Math" w:hAnsi="Cambria Math"/>
                  <w:b w:val="0"/>
                  <w:sz w:val="20"/>
                  <w:szCs w:val="20"/>
                </w:rPr>
              </m:ctrlPr>
            </m:sSubPr>
            <m:e>
              <m:r>
                <m:rPr>
                  <m:sty m:val="p"/>
                </m:rPr>
                <w:rPr>
                  <w:rFonts w:ascii="Cambria Math" w:hAnsi="Cambria Math"/>
                  <w:sz w:val="20"/>
                  <w:szCs w:val="20"/>
                </w:rPr>
                <m:t>D</m:t>
              </m:r>
            </m:e>
            <m:sub>
              <m:r>
                <m:rPr>
                  <m:sty m:val="p"/>
                </m:rPr>
                <w:rPr>
                  <w:rFonts w:ascii="Cambria Math" w:hAnsi="Cambria Math"/>
                  <w:sz w:val="20"/>
                  <w:szCs w:val="20"/>
                </w:rPr>
                <m:t>3</m:t>
              </m:r>
            </m:sub>
          </m:sSub>
          <m:acc>
            <m:accPr>
              <m:chr m:val="̅"/>
              <m:ctrlPr>
                <w:rPr>
                  <w:rFonts w:ascii="Cambria Math" w:hAnsi="Cambria Math"/>
                  <w:b w:val="0"/>
                  <w:sz w:val="20"/>
                  <w:szCs w:val="20"/>
                </w:rPr>
              </m:ctrlPr>
            </m:accPr>
            <m:e>
              <m:r>
                <m:rPr>
                  <m:sty m:val="p"/>
                </m:rPr>
                <w:rPr>
                  <w:rFonts w:ascii="Cambria Math" w:hAnsi="Cambria Math"/>
                  <w:sz w:val="20"/>
                  <w:szCs w:val="20"/>
                </w:rPr>
                <m:t>R</m:t>
              </m:r>
            </m:e>
          </m:acc>
        </m:oMath>
      </m:oMathPara>
    </w:p>
    <w:p w:rsidR="00930C19" w:rsidRPr="00930C19" w:rsidRDefault="00930C19" w:rsidP="00930C19"/>
    <w:p w:rsidR="009D0AE5" w:rsidRPr="009D0AE5" w:rsidRDefault="009D0AE5" w:rsidP="009D0AE5"/>
    <w:p w:rsidR="00D05910" w:rsidRPr="008861A8" w:rsidRDefault="00D05910" w:rsidP="00D05910">
      <w:pPr>
        <w:jc w:val="both"/>
        <w:rPr>
          <w:sz w:val="20"/>
          <w:szCs w:val="20"/>
        </w:rPr>
      </w:pPr>
    </w:p>
    <w:p w:rsidR="00AF40F0" w:rsidRDefault="00BE6765" w:rsidP="001A1267">
      <w:pPr>
        <w:rPr>
          <w:b/>
          <w:bCs/>
          <w:sz w:val="20"/>
          <w:szCs w:val="20"/>
        </w:rPr>
      </w:pPr>
      <w:r>
        <w:rPr>
          <w:b/>
          <w:bCs/>
          <w:noProof/>
          <w:sz w:val="20"/>
          <w:szCs w:val="20"/>
          <w:lang w:eastAsia="en-US"/>
        </w:rPr>
        <w:pict>
          <v:group id="_x0000_s1035" style="position:absolute;margin-left:6.75pt;margin-top:-8.25pt;width:450.75pt;height:207.35pt;z-index:251665408" coordorigin="1785,8700" coordsize="9015,4147">
            <v:shapetype id="_x0000_t32" coordsize="21600,21600" o:spt="32" o:oned="t" path="m,l21600,21600e" filled="f">
              <v:path arrowok="t" fillok="f" o:connecttype="none"/>
              <o:lock v:ext="edit" shapetype="t"/>
            </v:shapetype>
            <v:shape id="_x0000_s1036" type="#_x0000_t32" style="position:absolute;left:3165;top:9302;width:0;height:230" o:connectortype="straight" strokecolor="black [3200]" strokeweight="1pt">
              <v:stroke endarrow="block"/>
              <v:shadow color="#868686"/>
            </v:shape>
            <v:shape id="_x0000_s1037" type="#_x0000_t32" style="position:absolute;left:3181;top:10107;width:0;height:401" o:connectortype="straight" strokecolor="black [3200]" strokeweight="1pt">
              <v:stroke endarrow="block"/>
              <v:shadow color="#868686"/>
            </v:shape>
            <v:shape id="_x0000_s1038" type="#_x0000_t32" style="position:absolute;left:3195;top:11136;width:0;height:344" o:connectortype="straight" strokecolor="black [3200]" strokeweight="1pt">
              <v:stroke endarrow="block"/>
              <v:shadow color="#868686"/>
            </v:shape>
            <v:shape id="_x0000_s1039" type="#_x0000_t32" style="position:absolute;left:9420;top:9297;width:0;height:258" o:connectortype="straight" strokecolor="black [3200]" strokeweight="1pt">
              <v:stroke endarrow="block"/>
              <v:shadow color="#868686"/>
            </v:shape>
            <v:shape id="_x0000_s1040" type="#_x0000_t32" style="position:absolute;left:9420;top:10192;width:1;height:359" o:connectortype="straight" strokecolor="black [3200]" strokeweight="1pt">
              <v:stroke endarrow="block"/>
              <v:shadow color="#868686"/>
            </v:shape>
            <v:shape id="_x0000_s1041" type="#_x0000_t32" style="position:absolute;left:9435;top:11268;width:0;height:345" o:connectortype="straight" strokecolor="black [3200]" strokeweight="1pt">
              <v:stroke endarrow="block"/>
              <v:shadow color="#868686"/>
            </v:shape>
            <v:shape id="_x0000_s1042" type="#_x0000_t32" style="position:absolute;left:6390;top:9282;width:0;height:258" o:connectortype="straight" strokecolor="black [3200]" strokeweight="1pt">
              <v:stroke endarrow="block"/>
              <v:shadow color="#868686"/>
            </v:shape>
            <v:shape id="_x0000_s1043" type="#_x0000_t32" style="position:absolute;left:3195;top:12066;width:0;height:258" o:connectortype="straight" strokecolor="black [3200]" strokeweight="1pt">
              <v:stroke endarrow="block"/>
              <v:shadow color="#868686"/>
            </v:shape>
            <v:shape id="_x0000_s1044" type="#_x0000_t32" style="position:absolute;left:6375;top:12111;width:0;height:258" o:connectortype="straight" strokecolor="black [3200]" strokeweight="1pt">
              <v:stroke endarrow="block"/>
              <v:shadow color="#868686"/>
            </v:shape>
            <v:shape id="_x0000_s1045" type="#_x0000_t32" style="position:absolute;left:6390;top:10384;width:0;height:258" o:connectortype="straight" strokecolor="black [3200]" strokeweight="1pt">
              <v:stroke endarrow="block"/>
              <v:shadow color="#868686"/>
            </v:shape>
            <v:shape id="_x0000_s1046" type="#_x0000_t32" style="position:absolute;left:7725;top:10890;width:307;height:1" o:connectortype="straight">
              <v:stroke endarrow="block"/>
            </v:shape>
            <v:shape id="_x0000_s1047" type="#_x0000_t32" style="position:absolute;left:7710;top:10890;width:0;height:480;flip:y" o:connectortype="straight"/>
            <v:shape id="_x0000_s1048" type="#_x0000_t32" style="position:absolute;left:7530;top:11370;width:195;height:0" o:connectortype="straight"/>
            <v:group id="_x0000_s1049" style="position:absolute;left:1785;top:8700;width:9015;height:4147" coordorigin="1785,8700" coordsize="9015,4147">
              <v:rect id="_x0000_s1050" style="position:absolute;left:6720;top:12022;width:510;height:332" strokecolor="white [3212]">
                <v:textbox style="mso-next-textbox:#_x0000_s1050">
                  <w:txbxContent>
                    <w:p w:rsidR="00AF40F0" w:rsidRPr="009D0AE5" w:rsidRDefault="00AF40F0" w:rsidP="00AF40F0">
                      <w:pPr>
                        <w:rPr>
                          <w:sz w:val="16"/>
                          <w:szCs w:val="16"/>
                        </w:rPr>
                      </w:pPr>
                      <w:r w:rsidRPr="009D0AE5">
                        <w:rPr>
                          <w:sz w:val="16"/>
                          <w:szCs w:val="16"/>
                        </w:rPr>
                        <w:t>No</w:t>
                      </w:r>
                    </w:p>
                  </w:txbxContent>
                </v:textbox>
              </v:rect>
              <v:rect id="_x0000_s1051" style="position:absolute;left:1800;top:10507;width:2775;height:593" fillcolor="white [3201]" strokecolor="black [3200]" strokeweight="1pt">
                <v:shadow color="#868686"/>
                <v:textbox style="mso-next-textbox:#_x0000_s1051">
                  <w:txbxContent>
                    <w:p w:rsidR="00AF40F0" w:rsidRPr="007125C6" w:rsidRDefault="00AF40F0" w:rsidP="00AF40F0">
                      <w:pPr>
                        <w:jc w:val="center"/>
                        <w:rPr>
                          <w:sz w:val="18"/>
                          <w:szCs w:val="18"/>
                        </w:rPr>
                      </w:pPr>
                      <w:r>
                        <w:rPr>
                          <w:sz w:val="18"/>
                          <w:szCs w:val="18"/>
                        </w:rPr>
                        <w:t xml:space="preserve">2. Establishing the control chart </w:t>
                      </w:r>
                    </w:p>
                  </w:txbxContent>
                </v:textbox>
              </v:rect>
              <v:rect id="_x0000_s1052" style="position:absolute;left:1800;top:11505;width:2775;height:546" fillcolor="white [3201]" strokecolor="black [3200]" strokeweight="1pt">
                <v:shadow color="#868686"/>
                <v:textbox style="mso-next-textbox:#_x0000_s1052">
                  <w:txbxContent>
                    <w:p w:rsidR="00AF40F0" w:rsidRPr="007125C6" w:rsidRDefault="00AF40F0" w:rsidP="00AF40F0">
                      <w:pPr>
                        <w:jc w:val="center"/>
                        <w:rPr>
                          <w:sz w:val="18"/>
                          <w:szCs w:val="18"/>
                        </w:rPr>
                      </w:pPr>
                      <w:r>
                        <w:rPr>
                          <w:sz w:val="18"/>
                          <w:szCs w:val="18"/>
                        </w:rPr>
                        <w:t xml:space="preserve">3. Doing </w:t>
                      </w:r>
                      <w:r w:rsidRPr="007125C6">
                        <w:rPr>
                          <w:sz w:val="18"/>
                          <w:szCs w:val="18"/>
                        </w:rPr>
                        <w:t>Process capability study</w:t>
                      </w:r>
                    </w:p>
                  </w:txbxContent>
                </v:textbox>
              </v:rect>
              <v:rect id="_x0000_s1053" style="position:absolute;left:7995;top:10551;width:2805;height:731" fillcolor="white [3201]" strokecolor="black [3200]" strokeweight="1pt">
                <v:shadow color="#868686"/>
                <v:textbox style="mso-next-textbox:#_x0000_s1053">
                  <w:txbxContent>
                    <w:p w:rsidR="00AF40F0" w:rsidRPr="007125C6" w:rsidRDefault="00AF40F0" w:rsidP="00AF40F0">
                      <w:pPr>
                        <w:jc w:val="center"/>
                        <w:rPr>
                          <w:sz w:val="18"/>
                          <w:szCs w:val="18"/>
                        </w:rPr>
                      </w:pPr>
                      <w:r>
                        <w:rPr>
                          <w:sz w:val="18"/>
                          <w:szCs w:val="18"/>
                        </w:rPr>
                        <w:t>7. Implementation and p</w:t>
                      </w:r>
                      <w:r w:rsidRPr="007125C6">
                        <w:rPr>
                          <w:sz w:val="18"/>
                          <w:szCs w:val="18"/>
                        </w:rPr>
                        <w:t>eriodic evaluation for improvement</w:t>
                      </w:r>
                    </w:p>
                  </w:txbxContent>
                </v:textbox>
              </v:rect>
              <v:oval id="_x0000_s1054" style="position:absolute;left:8760;top:11627;width:1350;height:574" fillcolor="white [3201]" strokecolor="black [3200]" strokeweight="1pt">
                <v:shadow color="#868686"/>
                <v:textbox style="mso-next-textbox:#_x0000_s1054">
                  <w:txbxContent>
                    <w:p w:rsidR="00AF40F0" w:rsidRPr="007125C6" w:rsidRDefault="00AF40F0" w:rsidP="00AF40F0">
                      <w:pPr>
                        <w:jc w:val="center"/>
                        <w:rPr>
                          <w:sz w:val="18"/>
                          <w:szCs w:val="18"/>
                        </w:rPr>
                      </w:pPr>
                      <w:r w:rsidRPr="007125C6">
                        <w:rPr>
                          <w:sz w:val="18"/>
                          <w:szCs w:val="18"/>
                        </w:rPr>
                        <w:t>End</w:t>
                      </w:r>
                    </w:p>
                  </w:txbxContent>
                </v:textbox>
              </v:oval>
              <v:oval id="_x0000_s1055" style="position:absolute;left:2490;top:8700;width:1335;height:602" fillcolor="white [3201]" strokecolor="black [3200]" strokeweight="1pt">
                <v:shadow color="#868686"/>
                <v:textbox style="mso-next-textbox:#_x0000_s1055">
                  <w:txbxContent>
                    <w:p w:rsidR="00AF40F0" w:rsidRDefault="00AF40F0" w:rsidP="00AF40F0">
                      <w:pPr>
                        <w:jc w:val="center"/>
                      </w:pPr>
                      <w:r>
                        <w:t>Start</w:t>
                      </w:r>
                    </w:p>
                  </w:txbxContent>
                </v:textbox>
              </v:oval>
              <v:rect id="_x0000_s1056" style="position:absolute;left:7995;top:9555;width:2805;height:665" fillcolor="white [3201]" strokecolor="black [3200]" strokeweight="1pt">
                <v:shadow color="#868686"/>
                <v:textbox style="mso-next-textbox:#_x0000_s1056">
                  <w:txbxContent>
                    <w:p w:rsidR="00AF40F0" w:rsidRPr="007125C6" w:rsidRDefault="00AF40F0" w:rsidP="00AF40F0">
                      <w:pPr>
                        <w:jc w:val="center"/>
                        <w:rPr>
                          <w:sz w:val="18"/>
                          <w:szCs w:val="18"/>
                        </w:rPr>
                      </w:pPr>
                      <w:r>
                        <w:rPr>
                          <w:sz w:val="18"/>
                          <w:szCs w:val="18"/>
                        </w:rPr>
                        <w:t xml:space="preserve">6. </w:t>
                      </w:r>
                      <w:r w:rsidRPr="007125C6">
                        <w:rPr>
                          <w:sz w:val="18"/>
                          <w:szCs w:val="18"/>
                        </w:rPr>
                        <w:t>Defining corrective actions</w:t>
                      </w:r>
                      <w:r>
                        <w:rPr>
                          <w:sz w:val="18"/>
                          <w:szCs w:val="18"/>
                        </w:rPr>
                        <w:t xml:space="preserve"> and back to step 1</w:t>
                      </w:r>
                    </w:p>
                  </w:txbxContent>
                </v:textbox>
              </v:rect>
              <v:oval id="_x0000_s1057" style="position:absolute;left:2970;top:12344;width:450;height:474" fillcolor="white [3201]" strokecolor="black [3200]" strokeweight="1pt">
                <v:shadow color="#868686"/>
                <v:textbox style="mso-next-textbox:#_x0000_s1057">
                  <w:txbxContent>
                    <w:p w:rsidR="00AF40F0" w:rsidRDefault="00AF40F0" w:rsidP="00AF40F0">
                      <w:r>
                        <w:t>A</w:t>
                      </w:r>
                    </w:p>
                  </w:txbxContent>
                </v:textbox>
              </v:oval>
              <v:oval id="_x0000_s1058" style="position:absolute;left:9195;top:8832;width:450;height:474" fillcolor="white [3201]" strokecolor="black [3200]" strokeweight="1pt">
                <v:shadow color="#868686"/>
                <v:textbox style="mso-next-textbox:#_x0000_s1058">
                  <w:txbxContent>
                    <w:p w:rsidR="00AF40F0" w:rsidRDefault="00AF40F0" w:rsidP="00AF40F0">
                      <w:r>
                        <w:t>B</w:t>
                      </w:r>
                    </w:p>
                  </w:txbxContent>
                </v:textbox>
              </v:oval>
              <v:oval id="_x0000_s1059" style="position:absolute;left:6150;top:12373;width:450;height:474" fillcolor="white [3201]" strokecolor="black [3200]" strokeweight="1pt">
                <v:shadow color="#868686"/>
                <v:textbox style="mso-next-textbox:#_x0000_s1059">
                  <w:txbxContent>
                    <w:p w:rsidR="00AF40F0" w:rsidRDefault="00AF40F0" w:rsidP="00AF40F0">
                      <w:r>
                        <w:t>B</w:t>
                      </w:r>
                    </w:p>
                  </w:txbxContent>
                </v:textbox>
              </v:oval>
              <v:rect id="_x0000_s1060" style="position:absolute;left:1785;top:9532;width:2775;height:660" fillcolor="white [3201]" strokecolor="black [3200]" strokeweight="1pt">
                <v:shadow color="#868686"/>
                <v:textbox style="mso-next-textbox:#_x0000_s1060">
                  <w:txbxContent>
                    <w:p w:rsidR="00AF40F0" w:rsidRDefault="00AF40F0" w:rsidP="00AF40F0">
                      <w:pPr>
                        <w:jc w:val="center"/>
                      </w:pPr>
                      <w:r>
                        <w:rPr>
                          <w:sz w:val="18"/>
                          <w:szCs w:val="18"/>
                        </w:rPr>
                        <w:t>1. Gathering data &amp; r</w:t>
                      </w:r>
                      <w:r w:rsidRPr="007125C6">
                        <w:rPr>
                          <w:sz w:val="18"/>
                          <w:szCs w:val="18"/>
                        </w:rPr>
                        <w:t>ecognition of delivery performance distributio</w:t>
                      </w:r>
                      <w:r>
                        <w:t>n</w:t>
                      </w:r>
                    </w:p>
                  </w:txbxContent>
                </v:textbox>
              </v:rect>
              <v:rect id="_x0000_s1061" style="position:absolute;left:4995;top:9527;width:2805;height:870" fillcolor="white [3201]" strokecolor="black [3200]" strokeweight="1pt">
                <v:shadow color="#868686"/>
                <v:textbox style="mso-next-textbox:#_x0000_s1061">
                  <w:txbxContent>
                    <w:p w:rsidR="00AF40F0" w:rsidRPr="007125C6" w:rsidRDefault="00AF40F0" w:rsidP="00AF40F0">
                      <w:pPr>
                        <w:jc w:val="center"/>
                        <w:rPr>
                          <w:sz w:val="18"/>
                          <w:szCs w:val="18"/>
                        </w:rPr>
                      </w:pPr>
                      <w:r>
                        <w:rPr>
                          <w:sz w:val="18"/>
                          <w:szCs w:val="18"/>
                        </w:rPr>
                        <w:t xml:space="preserve">4. Investigation on “out of control signals” and capability process results  </w:t>
                      </w:r>
                    </w:p>
                  </w:txbxContent>
                </v:textbox>
              </v:rect>
              <v:oval id="_x0000_s1062" style="position:absolute;left:6165;top:8817;width:450;height:474" fillcolor="white [3201]" strokecolor="black [3200]" strokeweight="1pt">
                <v:shadow color="#868686"/>
                <v:textbox style="mso-next-textbox:#_x0000_s1062">
                  <w:txbxContent>
                    <w:p w:rsidR="00AF40F0" w:rsidRDefault="00AF40F0" w:rsidP="00AF40F0">
                      <w:r>
                        <w:t>A</w:t>
                      </w:r>
                    </w:p>
                  </w:txbxContent>
                </v:textbox>
              </v:oval>
              <v:shapetype id="_x0000_t4" coordsize="21600,21600" o:spt="4" path="m10800,l,10800,10800,21600,21600,10800xe">
                <v:stroke joinstyle="miter"/>
                <v:path gradientshapeok="t" o:connecttype="rect" textboxrect="5400,5400,16200,16200"/>
              </v:shapetype>
              <v:shape id="_x0000_s1063" type="#_x0000_t4" style="position:absolute;left:5235;top:10626;width:2295;height:1515">
                <v:textbox style="mso-next-textbox:#_x0000_s1063">
                  <w:txbxContent>
                    <w:p w:rsidR="00AF40F0" w:rsidRPr="009D0AE5" w:rsidRDefault="00AF40F0" w:rsidP="00AF40F0">
                      <w:pPr>
                        <w:jc w:val="center"/>
                        <w:rPr>
                          <w:sz w:val="16"/>
                          <w:szCs w:val="16"/>
                        </w:rPr>
                      </w:pPr>
                      <w:r w:rsidRPr="009D0AE5">
                        <w:rPr>
                          <w:sz w:val="16"/>
                          <w:szCs w:val="16"/>
                        </w:rPr>
                        <w:t>5. Do those meet customer requirement?</w:t>
                      </w:r>
                    </w:p>
                  </w:txbxContent>
                </v:textbox>
              </v:shape>
              <v:rect id="_x0000_s1064" style="position:absolute;left:7072;top:10611;width:600;height:369" strokecolor="white [3212]">
                <v:textbox style="mso-next-textbox:#_x0000_s1064">
                  <w:txbxContent>
                    <w:p w:rsidR="00AF40F0" w:rsidRPr="009D0AE5" w:rsidRDefault="00AF40F0" w:rsidP="00AF40F0">
                      <w:pPr>
                        <w:rPr>
                          <w:sz w:val="16"/>
                          <w:szCs w:val="16"/>
                        </w:rPr>
                      </w:pPr>
                      <w:r w:rsidRPr="009D0AE5">
                        <w:rPr>
                          <w:sz w:val="16"/>
                          <w:szCs w:val="16"/>
                        </w:rPr>
                        <w:t>Yes</w:t>
                      </w:r>
                    </w:p>
                  </w:txbxContent>
                </v:textbox>
              </v:rect>
            </v:group>
          </v:group>
        </w:pict>
      </w: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1A1267">
      <w:pPr>
        <w:rPr>
          <w:b/>
          <w:bCs/>
          <w:sz w:val="20"/>
          <w:szCs w:val="20"/>
        </w:rPr>
      </w:pPr>
    </w:p>
    <w:p w:rsidR="00AF40F0" w:rsidRDefault="00AF40F0" w:rsidP="00AF40F0">
      <w:pPr>
        <w:jc w:val="center"/>
        <w:rPr>
          <w:rFonts w:ascii="Arial" w:hAnsi="Arial"/>
        </w:rPr>
        <w:sectPr w:rsidR="00AF40F0" w:rsidSect="007E10DF">
          <w:footerReference w:type="default" r:id="rId12"/>
          <w:footnotePr>
            <w:pos w:val="beneathText"/>
          </w:footnotePr>
          <w:type w:val="continuous"/>
          <w:pgSz w:w="12240" w:h="15840" w:code="1"/>
          <w:pgMar w:top="1440" w:right="1440" w:bottom="1440" w:left="1440" w:header="720" w:footer="720" w:gutter="0"/>
          <w:pgNumType w:start="1"/>
          <w:cols w:num="2" w:space="720"/>
          <w:docGrid w:linePitch="360"/>
        </w:sectPr>
      </w:pPr>
    </w:p>
    <w:p w:rsidR="00AF40F0" w:rsidRDefault="00AF40F0" w:rsidP="00AF40F0">
      <w:pPr>
        <w:jc w:val="center"/>
        <w:rPr>
          <w:rFonts w:ascii="Arial" w:hAnsi="Arial"/>
        </w:rPr>
      </w:pPr>
    </w:p>
    <w:p w:rsidR="00AF40F0" w:rsidRDefault="00AF40F0" w:rsidP="00AF40F0">
      <w:pPr>
        <w:jc w:val="center"/>
        <w:rPr>
          <w:rFonts w:ascii="Arial" w:hAnsi="Arial"/>
        </w:rPr>
      </w:pPr>
    </w:p>
    <w:p w:rsidR="00AF40F0" w:rsidRDefault="00AF40F0" w:rsidP="00AF40F0">
      <w:pPr>
        <w:jc w:val="center"/>
        <w:rPr>
          <w:rFonts w:ascii="Arial" w:hAnsi="Arial"/>
        </w:rPr>
      </w:pPr>
    </w:p>
    <w:p w:rsidR="00AF40F0" w:rsidRDefault="00AF40F0" w:rsidP="00AF40F0">
      <w:pPr>
        <w:jc w:val="center"/>
        <w:rPr>
          <w:rFonts w:ascii="Arial" w:hAnsi="Arial"/>
        </w:rPr>
      </w:pPr>
    </w:p>
    <w:p w:rsidR="00AF40F0" w:rsidRDefault="00AF40F0" w:rsidP="00AF40F0">
      <w:pPr>
        <w:jc w:val="center"/>
        <w:rPr>
          <w:rFonts w:ascii="Arial" w:hAnsi="Arial"/>
        </w:rPr>
      </w:pPr>
    </w:p>
    <w:p w:rsidR="00AF40F0" w:rsidRDefault="00AF40F0" w:rsidP="00AF40F0">
      <w:pPr>
        <w:jc w:val="center"/>
        <w:rPr>
          <w:rFonts w:ascii="Arial" w:hAnsi="Arial"/>
        </w:rPr>
      </w:pPr>
    </w:p>
    <w:p w:rsidR="00AF40F0" w:rsidRDefault="00AF40F0" w:rsidP="00AF40F0">
      <w:pPr>
        <w:jc w:val="center"/>
        <w:rPr>
          <w:rFonts w:ascii="Arial" w:hAnsi="Arial"/>
        </w:rPr>
      </w:pPr>
    </w:p>
    <w:p w:rsidR="00AF40F0" w:rsidRDefault="00AF40F0" w:rsidP="00AF40F0">
      <w:pPr>
        <w:jc w:val="center"/>
        <w:rPr>
          <w:rFonts w:ascii="Arial" w:hAnsi="Arial"/>
        </w:rPr>
      </w:pPr>
    </w:p>
    <w:p w:rsidR="00AF40F0" w:rsidRPr="00AF40F0" w:rsidRDefault="00AF40F0" w:rsidP="00AF40F0">
      <w:pPr>
        <w:jc w:val="center"/>
        <w:rPr>
          <w:sz w:val="20"/>
          <w:szCs w:val="20"/>
        </w:rPr>
      </w:pPr>
      <w:r w:rsidRPr="00AF40F0">
        <w:rPr>
          <w:sz w:val="20"/>
          <w:szCs w:val="20"/>
        </w:rPr>
        <w:t>Figure 2, Conceptual model for monitoring of delivery Performance</w:t>
      </w:r>
    </w:p>
    <w:p w:rsidR="00AF40F0" w:rsidRDefault="00AF40F0" w:rsidP="001A1267">
      <w:pPr>
        <w:rPr>
          <w:b/>
          <w:bCs/>
          <w:sz w:val="20"/>
          <w:szCs w:val="20"/>
        </w:rPr>
      </w:pPr>
    </w:p>
    <w:p w:rsidR="00AF40F0" w:rsidRDefault="00AF40F0" w:rsidP="001A1267">
      <w:pPr>
        <w:rPr>
          <w:b/>
          <w:bCs/>
          <w:sz w:val="20"/>
          <w:szCs w:val="20"/>
        </w:rPr>
      </w:pPr>
    </w:p>
    <w:p w:rsidR="00AF40F0" w:rsidRDefault="00AF40F0" w:rsidP="00AF40F0">
      <w:pPr>
        <w:jc w:val="both"/>
        <w:rPr>
          <w:b/>
          <w:bCs/>
          <w:sz w:val="20"/>
          <w:szCs w:val="20"/>
        </w:rPr>
      </w:pPr>
    </w:p>
    <w:p w:rsidR="00AF40F0" w:rsidRDefault="00AF40F0" w:rsidP="00AF40F0">
      <w:pPr>
        <w:jc w:val="both"/>
        <w:rPr>
          <w:b/>
          <w:bCs/>
          <w:sz w:val="20"/>
          <w:szCs w:val="20"/>
        </w:rPr>
        <w:sectPr w:rsidR="00AF40F0" w:rsidSect="00AF40F0">
          <w:footnotePr>
            <w:pos w:val="beneathText"/>
          </w:footnotePr>
          <w:type w:val="continuous"/>
          <w:pgSz w:w="12240" w:h="15840" w:code="1"/>
          <w:pgMar w:top="1440" w:right="1440" w:bottom="1440" w:left="1440" w:header="720" w:footer="720" w:gutter="0"/>
          <w:pgNumType w:start="1"/>
          <w:cols w:space="720"/>
          <w:docGrid w:linePitch="360"/>
        </w:sectPr>
      </w:pPr>
    </w:p>
    <w:p w:rsidR="00E64613" w:rsidRDefault="001A1267" w:rsidP="00AF40F0">
      <w:pPr>
        <w:jc w:val="both"/>
        <w:rPr>
          <w:b/>
          <w:bCs/>
          <w:sz w:val="20"/>
          <w:szCs w:val="20"/>
        </w:rPr>
      </w:pPr>
      <w:r>
        <w:rPr>
          <w:b/>
          <w:bCs/>
          <w:sz w:val="20"/>
          <w:szCs w:val="20"/>
        </w:rPr>
        <w:t>4</w:t>
      </w:r>
      <w:r w:rsidRPr="001A1267">
        <w:rPr>
          <w:bCs/>
          <w:sz w:val="20"/>
          <w:szCs w:val="20"/>
        </w:rPr>
        <w:t>-</w:t>
      </w:r>
      <w:r w:rsidRPr="001A1267">
        <w:rPr>
          <w:b/>
          <w:bCs/>
          <w:sz w:val="20"/>
          <w:szCs w:val="20"/>
        </w:rPr>
        <w:t xml:space="preserve"> Case study:</w:t>
      </w:r>
      <w:r>
        <w:rPr>
          <w:b/>
          <w:bCs/>
          <w:sz w:val="20"/>
          <w:szCs w:val="20"/>
        </w:rPr>
        <w:t xml:space="preserve"> </w:t>
      </w:r>
    </w:p>
    <w:p w:rsidR="001A1267" w:rsidRDefault="00E64613" w:rsidP="00AF40F0">
      <w:pPr>
        <w:jc w:val="both"/>
        <w:rPr>
          <w:sz w:val="20"/>
          <w:szCs w:val="20"/>
        </w:rPr>
      </w:pPr>
      <w:r>
        <w:rPr>
          <w:b/>
          <w:bCs/>
          <w:sz w:val="20"/>
          <w:szCs w:val="20"/>
        </w:rPr>
        <w:t xml:space="preserve">        </w:t>
      </w:r>
      <w:r w:rsidR="001A1267" w:rsidRPr="001A1267">
        <w:rPr>
          <w:sz w:val="20"/>
          <w:szCs w:val="20"/>
        </w:rPr>
        <w:t>Based on the equations and according to the proposed conceptual model, an automotive vendor was selected as case study. This company is a Tier 1 for automotive industry. The OTD was measured for 88 arrival lots according to Table 1.</w:t>
      </w:r>
    </w:p>
    <w:p w:rsidR="001A1267" w:rsidRPr="001A1267" w:rsidRDefault="001A1267" w:rsidP="00AF40F0">
      <w:pPr>
        <w:jc w:val="both"/>
        <w:rPr>
          <w:sz w:val="20"/>
          <w:szCs w:val="20"/>
        </w:rPr>
      </w:pPr>
    </w:p>
    <w:p w:rsidR="001A1267" w:rsidRPr="001A1267" w:rsidRDefault="001A1267" w:rsidP="00AF40F0">
      <w:pPr>
        <w:jc w:val="both"/>
        <w:rPr>
          <w:bCs/>
          <w:sz w:val="20"/>
          <w:szCs w:val="20"/>
        </w:rPr>
      </w:pPr>
      <w:r w:rsidRPr="001A1267">
        <w:rPr>
          <w:sz w:val="20"/>
          <w:szCs w:val="20"/>
        </w:rPr>
        <w:t>According to the propose methodology, the distribution of data approximated to small extreme value in 1% significant level according to figure 3. To establish the control chart, the data should show normal distribution. In this situation, the research used central theorem limit to meet this assumption where</w:t>
      </w:r>
      <m:oMath>
        <m:r>
          <w:rPr>
            <w:rFonts w:ascii="Cambria Math"/>
            <w:sz w:val="20"/>
            <w:szCs w:val="20"/>
          </w:rPr>
          <m:t xml:space="preserve">  </m:t>
        </m:r>
        <m:r>
          <w:rPr>
            <w:rFonts w:ascii="Cambria Math" w:hAnsi="Cambria Math"/>
            <w:sz w:val="20"/>
            <w:szCs w:val="20"/>
          </w:rPr>
          <m:t>n</m:t>
        </m:r>
        <m:r>
          <w:rPr>
            <w:rFonts w:ascii="Cambria Math"/>
            <w:sz w:val="20"/>
            <w:szCs w:val="20"/>
          </w:rPr>
          <m:t>≥</m:t>
        </m:r>
        <m:r>
          <w:rPr>
            <w:rFonts w:ascii="Cambria Math" w:hAnsi="Cambria Math"/>
            <w:sz w:val="20"/>
            <w:szCs w:val="20"/>
          </w:rPr>
          <m:t>4</m:t>
        </m:r>
      </m:oMath>
      <w:r w:rsidRPr="001A1267">
        <w:rPr>
          <w:bCs/>
          <w:sz w:val="20"/>
          <w:szCs w:val="20"/>
        </w:rPr>
        <w:t xml:space="preserve">. </w:t>
      </w:r>
      <w:r w:rsidRPr="001A1267">
        <w:rPr>
          <w:sz w:val="20"/>
          <w:szCs w:val="20"/>
        </w:rPr>
        <w:t>All calculations and charts have been produced by using Minitab software version 15.1.0.0.</w:t>
      </w:r>
    </w:p>
    <w:p w:rsidR="00D05910" w:rsidRPr="001A1267" w:rsidRDefault="00D05910" w:rsidP="00AF40F0">
      <w:pPr>
        <w:jc w:val="both"/>
        <w:rPr>
          <w:sz w:val="20"/>
          <w:szCs w:val="20"/>
        </w:rPr>
      </w:pPr>
    </w:p>
    <w:p w:rsidR="001A1267" w:rsidRPr="001A1267" w:rsidRDefault="001A1267" w:rsidP="00AF40F0">
      <w:pPr>
        <w:jc w:val="both"/>
        <w:rPr>
          <w:sz w:val="20"/>
          <w:szCs w:val="20"/>
        </w:rPr>
      </w:pPr>
    </w:p>
    <w:p w:rsidR="00AF40F0" w:rsidRDefault="00AF40F0" w:rsidP="00AF40F0">
      <w:pPr>
        <w:jc w:val="both"/>
        <w:rPr>
          <w:sz w:val="20"/>
          <w:szCs w:val="20"/>
        </w:rPr>
        <w:sectPr w:rsidR="00AF40F0" w:rsidSect="00AF40F0">
          <w:footnotePr>
            <w:pos w:val="beneathText"/>
          </w:footnotePr>
          <w:type w:val="continuous"/>
          <w:pgSz w:w="12240" w:h="15840" w:code="1"/>
          <w:pgMar w:top="1440" w:right="1440" w:bottom="1440" w:left="1440" w:header="720" w:footer="720" w:gutter="0"/>
          <w:pgNumType w:start="1"/>
          <w:cols w:num="2" w:space="720"/>
          <w:docGrid w:linePitch="360"/>
        </w:sectPr>
      </w:pPr>
    </w:p>
    <w:p w:rsidR="001A1267" w:rsidRPr="001A1267" w:rsidRDefault="001A1267" w:rsidP="00AF40F0">
      <w:pPr>
        <w:jc w:val="both"/>
        <w:rPr>
          <w:sz w:val="20"/>
          <w:szCs w:val="20"/>
        </w:rPr>
      </w:pPr>
    </w:p>
    <w:p w:rsidR="001A1267" w:rsidRPr="001A1267" w:rsidRDefault="001A1267" w:rsidP="00D05910">
      <w:pPr>
        <w:jc w:val="both"/>
        <w:rPr>
          <w:sz w:val="20"/>
          <w:szCs w:val="20"/>
        </w:rPr>
      </w:pPr>
    </w:p>
    <w:p w:rsidR="001A1267" w:rsidRPr="001A1267" w:rsidRDefault="001A1267" w:rsidP="00D05910">
      <w:pPr>
        <w:jc w:val="both"/>
        <w:rPr>
          <w:sz w:val="20"/>
          <w:szCs w:val="20"/>
        </w:rPr>
      </w:pPr>
    </w:p>
    <w:p w:rsidR="00080515" w:rsidRPr="00080515" w:rsidRDefault="00080515" w:rsidP="00080515">
      <w:pPr>
        <w:jc w:val="center"/>
        <w:rPr>
          <w:sz w:val="20"/>
          <w:szCs w:val="20"/>
        </w:rPr>
      </w:pPr>
      <w:r w:rsidRPr="00080515">
        <w:rPr>
          <w:sz w:val="20"/>
          <w:szCs w:val="20"/>
        </w:rPr>
        <w:t>Table 1, Basic statistics of supplier delivery performance</w:t>
      </w:r>
    </w:p>
    <w:p w:rsidR="00D05910" w:rsidRPr="001A1267" w:rsidRDefault="00D05910" w:rsidP="00D05910">
      <w:pPr>
        <w:jc w:val="both"/>
        <w:rPr>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6A0"/>
      </w:tblPr>
      <w:tblGrid>
        <w:gridCol w:w="1008"/>
        <w:gridCol w:w="720"/>
        <w:gridCol w:w="720"/>
        <w:gridCol w:w="810"/>
        <w:gridCol w:w="1080"/>
        <w:gridCol w:w="1080"/>
        <w:gridCol w:w="1080"/>
        <w:gridCol w:w="1170"/>
        <w:gridCol w:w="1170"/>
      </w:tblGrid>
      <w:tr w:rsidR="00080515" w:rsidRPr="00080515" w:rsidTr="00080515">
        <w:tc>
          <w:tcPr>
            <w:tcW w:w="1008" w:type="dxa"/>
          </w:tcPr>
          <w:p w:rsidR="00080515" w:rsidRPr="00080515" w:rsidRDefault="00080515" w:rsidP="00C22BF5">
            <w:pPr>
              <w:jc w:val="center"/>
              <w:rPr>
                <w:sz w:val="20"/>
                <w:szCs w:val="20"/>
              </w:rPr>
            </w:pPr>
            <w:r w:rsidRPr="00080515">
              <w:rPr>
                <w:sz w:val="20"/>
                <w:szCs w:val="20"/>
              </w:rPr>
              <w:t>Variable</w:t>
            </w:r>
          </w:p>
        </w:tc>
        <w:tc>
          <w:tcPr>
            <w:tcW w:w="720" w:type="dxa"/>
          </w:tcPr>
          <w:p w:rsidR="00080515" w:rsidRPr="00080515" w:rsidRDefault="00080515" w:rsidP="00C22BF5">
            <w:pPr>
              <w:jc w:val="center"/>
              <w:rPr>
                <w:sz w:val="20"/>
                <w:szCs w:val="20"/>
              </w:rPr>
            </w:pPr>
            <w:r w:rsidRPr="00080515">
              <w:rPr>
                <w:sz w:val="20"/>
                <w:szCs w:val="20"/>
              </w:rPr>
              <w:t>count</w:t>
            </w:r>
          </w:p>
        </w:tc>
        <w:tc>
          <w:tcPr>
            <w:tcW w:w="720" w:type="dxa"/>
          </w:tcPr>
          <w:p w:rsidR="00080515" w:rsidRPr="00080515" w:rsidRDefault="00080515" w:rsidP="00C22BF5">
            <w:pPr>
              <w:jc w:val="center"/>
              <w:rPr>
                <w:sz w:val="20"/>
                <w:szCs w:val="20"/>
              </w:rPr>
            </w:pPr>
            <w:r w:rsidRPr="00080515">
              <w:rPr>
                <w:sz w:val="20"/>
                <w:szCs w:val="20"/>
              </w:rPr>
              <w:t>mean</w:t>
            </w:r>
          </w:p>
        </w:tc>
        <w:tc>
          <w:tcPr>
            <w:tcW w:w="810" w:type="dxa"/>
          </w:tcPr>
          <w:p w:rsidR="00080515" w:rsidRPr="00080515" w:rsidRDefault="00080515" w:rsidP="00C22BF5">
            <w:pPr>
              <w:jc w:val="center"/>
              <w:rPr>
                <w:sz w:val="20"/>
                <w:szCs w:val="20"/>
              </w:rPr>
            </w:pPr>
            <w:r w:rsidRPr="00080515">
              <w:rPr>
                <w:sz w:val="20"/>
                <w:szCs w:val="20"/>
              </w:rPr>
              <w:t>St. Dev</w:t>
            </w:r>
          </w:p>
        </w:tc>
        <w:tc>
          <w:tcPr>
            <w:tcW w:w="1080" w:type="dxa"/>
          </w:tcPr>
          <w:p w:rsidR="00080515" w:rsidRPr="00080515" w:rsidRDefault="00080515" w:rsidP="00C22BF5">
            <w:pPr>
              <w:jc w:val="center"/>
              <w:rPr>
                <w:sz w:val="20"/>
                <w:szCs w:val="20"/>
              </w:rPr>
            </w:pPr>
            <w:r w:rsidRPr="00080515">
              <w:rPr>
                <w:sz w:val="20"/>
                <w:szCs w:val="20"/>
              </w:rPr>
              <w:t>variance</w:t>
            </w:r>
          </w:p>
        </w:tc>
        <w:tc>
          <w:tcPr>
            <w:tcW w:w="1080" w:type="dxa"/>
          </w:tcPr>
          <w:p w:rsidR="00080515" w:rsidRPr="00080515" w:rsidRDefault="00080515" w:rsidP="00C22BF5">
            <w:pPr>
              <w:jc w:val="center"/>
              <w:rPr>
                <w:sz w:val="20"/>
                <w:szCs w:val="20"/>
              </w:rPr>
            </w:pPr>
            <w:r w:rsidRPr="00080515">
              <w:rPr>
                <w:sz w:val="20"/>
                <w:szCs w:val="20"/>
              </w:rPr>
              <w:t>minimum</w:t>
            </w:r>
          </w:p>
        </w:tc>
        <w:tc>
          <w:tcPr>
            <w:tcW w:w="1080" w:type="dxa"/>
          </w:tcPr>
          <w:p w:rsidR="00080515" w:rsidRPr="00080515" w:rsidRDefault="00080515" w:rsidP="00C22BF5">
            <w:pPr>
              <w:jc w:val="center"/>
              <w:rPr>
                <w:sz w:val="20"/>
                <w:szCs w:val="20"/>
              </w:rPr>
            </w:pPr>
            <w:r w:rsidRPr="00080515">
              <w:rPr>
                <w:sz w:val="20"/>
                <w:szCs w:val="20"/>
              </w:rPr>
              <w:t>maximum</w:t>
            </w:r>
          </w:p>
        </w:tc>
        <w:tc>
          <w:tcPr>
            <w:tcW w:w="1170" w:type="dxa"/>
          </w:tcPr>
          <w:p w:rsidR="00080515" w:rsidRPr="00080515" w:rsidRDefault="00080515" w:rsidP="00C22BF5">
            <w:pPr>
              <w:jc w:val="center"/>
              <w:rPr>
                <w:sz w:val="20"/>
                <w:szCs w:val="20"/>
              </w:rPr>
            </w:pPr>
            <w:r w:rsidRPr="00080515">
              <w:rPr>
                <w:sz w:val="20"/>
                <w:szCs w:val="20"/>
              </w:rPr>
              <w:t>skewness</w:t>
            </w:r>
          </w:p>
        </w:tc>
        <w:tc>
          <w:tcPr>
            <w:tcW w:w="1170" w:type="dxa"/>
          </w:tcPr>
          <w:p w:rsidR="00080515" w:rsidRPr="00080515" w:rsidRDefault="00080515" w:rsidP="00C22BF5">
            <w:pPr>
              <w:jc w:val="center"/>
              <w:rPr>
                <w:sz w:val="20"/>
                <w:szCs w:val="20"/>
              </w:rPr>
            </w:pPr>
            <w:r w:rsidRPr="00080515">
              <w:rPr>
                <w:sz w:val="20"/>
                <w:szCs w:val="20"/>
              </w:rPr>
              <w:t>kurtosis</w:t>
            </w:r>
          </w:p>
        </w:tc>
      </w:tr>
      <w:tr w:rsidR="00080515" w:rsidRPr="00080515" w:rsidTr="00080515">
        <w:tc>
          <w:tcPr>
            <w:tcW w:w="1008" w:type="dxa"/>
          </w:tcPr>
          <w:p w:rsidR="00080515" w:rsidRPr="00080515" w:rsidRDefault="00080515" w:rsidP="00C22BF5">
            <w:pPr>
              <w:jc w:val="center"/>
              <w:rPr>
                <w:sz w:val="20"/>
                <w:szCs w:val="20"/>
              </w:rPr>
            </w:pPr>
            <w:r w:rsidRPr="00080515">
              <w:rPr>
                <w:sz w:val="20"/>
                <w:szCs w:val="20"/>
              </w:rPr>
              <w:t>Supplier OTD</w:t>
            </w:r>
          </w:p>
        </w:tc>
        <w:tc>
          <w:tcPr>
            <w:tcW w:w="720" w:type="dxa"/>
          </w:tcPr>
          <w:p w:rsidR="00080515" w:rsidRPr="00080515" w:rsidRDefault="00080515" w:rsidP="00C22BF5">
            <w:pPr>
              <w:jc w:val="center"/>
              <w:rPr>
                <w:sz w:val="20"/>
                <w:szCs w:val="20"/>
              </w:rPr>
            </w:pPr>
            <w:r w:rsidRPr="00080515">
              <w:rPr>
                <w:sz w:val="20"/>
                <w:szCs w:val="20"/>
              </w:rPr>
              <w:t>88</w:t>
            </w:r>
          </w:p>
        </w:tc>
        <w:tc>
          <w:tcPr>
            <w:tcW w:w="720" w:type="dxa"/>
          </w:tcPr>
          <w:p w:rsidR="00080515" w:rsidRPr="00080515" w:rsidRDefault="00080515" w:rsidP="00C22BF5">
            <w:pPr>
              <w:jc w:val="center"/>
              <w:rPr>
                <w:sz w:val="20"/>
                <w:szCs w:val="20"/>
              </w:rPr>
            </w:pPr>
            <w:r w:rsidRPr="00080515">
              <w:rPr>
                <w:sz w:val="20"/>
                <w:szCs w:val="20"/>
              </w:rPr>
              <w:t>74.31</w:t>
            </w:r>
          </w:p>
        </w:tc>
        <w:tc>
          <w:tcPr>
            <w:tcW w:w="810" w:type="dxa"/>
          </w:tcPr>
          <w:p w:rsidR="00080515" w:rsidRPr="00080515" w:rsidRDefault="00080515" w:rsidP="00C22BF5">
            <w:pPr>
              <w:jc w:val="center"/>
              <w:rPr>
                <w:sz w:val="20"/>
                <w:szCs w:val="20"/>
              </w:rPr>
            </w:pPr>
            <w:r w:rsidRPr="00080515">
              <w:rPr>
                <w:sz w:val="20"/>
                <w:szCs w:val="20"/>
              </w:rPr>
              <w:t>17.81</w:t>
            </w:r>
          </w:p>
        </w:tc>
        <w:tc>
          <w:tcPr>
            <w:tcW w:w="1080" w:type="dxa"/>
          </w:tcPr>
          <w:p w:rsidR="00080515" w:rsidRPr="00080515" w:rsidRDefault="00080515" w:rsidP="00C22BF5">
            <w:pPr>
              <w:jc w:val="center"/>
              <w:rPr>
                <w:sz w:val="20"/>
                <w:szCs w:val="20"/>
              </w:rPr>
            </w:pPr>
            <w:r w:rsidRPr="00080515">
              <w:rPr>
                <w:sz w:val="20"/>
                <w:szCs w:val="20"/>
              </w:rPr>
              <w:t>317.11</w:t>
            </w:r>
          </w:p>
        </w:tc>
        <w:tc>
          <w:tcPr>
            <w:tcW w:w="1080" w:type="dxa"/>
          </w:tcPr>
          <w:p w:rsidR="00080515" w:rsidRPr="00080515" w:rsidRDefault="00080515" w:rsidP="00C22BF5">
            <w:pPr>
              <w:jc w:val="center"/>
              <w:rPr>
                <w:sz w:val="20"/>
                <w:szCs w:val="20"/>
              </w:rPr>
            </w:pPr>
            <w:r w:rsidRPr="00080515">
              <w:rPr>
                <w:sz w:val="20"/>
                <w:szCs w:val="20"/>
              </w:rPr>
              <w:t>9</w:t>
            </w:r>
          </w:p>
        </w:tc>
        <w:tc>
          <w:tcPr>
            <w:tcW w:w="1080" w:type="dxa"/>
          </w:tcPr>
          <w:p w:rsidR="00080515" w:rsidRPr="00080515" w:rsidRDefault="00080515" w:rsidP="00C22BF5">
            <w:pPr>
              <w:jc w:val="center"/>
              <w:rPr>
                <w:sz w:val="20"/>
                <w:szCs w:val="20"/>
              </w:rPr>
            </w:pPr>
            <w:r w:rsidRPr="00080515">
              <w:rPr>
                <w:sz w:val="20"/>
                <w:szCs w:val="20"/>
              </w:rPr>
              <w:t>97</w:t>
            </w:r>
          </w:p>
        </w:tc>
        <w:tc>
          <w:tcPr>
            <w:tcW w:w="1170" w:type="dxa"/>
          </w:tcPr>
          <w:p w:rsidR="00080515" w:rsidRPr="00080515" w:rsidRDefault="00080515" w:rsidP="00C22BF5">
            <w:pPr>
              <w:jc w:val="center"/>
              <w:rPr>
                <w:sz w:val="20"/>
                <w:szCs w:val="20"/>
              </w:rPr>
            </w:pPr>
            <w:r w:rsidRPr="00080515">
              <w:rPr>
                <w:sz w:val="20"/>
                <w:szCs w:val="20"/>
              </w:rPr>
              <w:t>-1.18</w:t>
            </w:r>
          </w:p>
        </w:tc>
        <w:tc>
          <w:tcPr>
            <w:tcW w:w="1170" w:type="dxa"/>
          </w:tcPr>
          <w:p w:rsidR="00080515" w:rsidRPr="00080515" w:rsidRDefault="00080515" w:rsidP="00C22BF5">
            <w:pPr>
              <w:jc w:val="center"/>
              <w:rPr>
                <w:sz w:val="20"/>
                <w:szCs w:val="20"/>
              </w:rPr>
            </w:pPr>
            <w:r w:rsidRPr="00080515">
              <w:rPr>
                <w:sz w:val="20"/>
                <w:szCs w:val="20"/>
              </w:rPr>
              <w:t>1.45</w:t>
            </w:r>
          </w:p>
        </w:tc>
      </w:tr>
    </w:tbl>
    <w:p w:rsidR="00D05910" w:rsidRPr="001A1267" w:rsidRDefault="00D05910" w:rsidP="00D05910">
      <w:pPr>
        <w:jc w:val="both"/>
        <w:rPr>
          <w:sz w:val="20"/>
          <w:szCs w:val="20"/>
        </w:rPr>
      </w:pPr>
    </w:p>
    <w:p w:rsidR="00D05910" w:rsidRPr="001A1267" w:rsidRDefault="00D05910" w:rsidP="00D05910">
      <w:pPr>
        <w:jc w:val="both"/>
        <w:rPr>
          <w:sz w:val="20"/>
          <w:szCs w:val="20"/>
        </w:rPr>
      </w:pPr>
    </w:p>
    <w:p w:rsidR="00D05910" w:rsidRPr="001A1267" w:rsidRDefault="00D05910" w:rsidP="00D05910">
      <w:pPr>
        <w:jc w:val="both"/>
        <w:rPr>
          <w:sz w:val="20"/>
          <w:szCs w:val="20"/>
        </w:rPr>
      </w:pPr>
    </w:p>
    <w:p w:rsidR="0065453C" w:rsidRDefault="0065453C" w:rsidP="0065453C">
      <w:pPr>
        <w:jc w:val="lowKashida"/>
        <w:rPr>
          <w:sz w:val="20"/>
          <w:szCs w:val="20"/>
        </w:rPr>
        <w:sectPr w:rsidR="0065453C" w:rsidSect="00AF40F0">
          <w:footnotePr>
            <w:pos w:val="beneathText"/>
          </w:footnotePr>
          <w:type w:val="continuous"/>
          <w:pgSz w:w="12240" w:h="15840" w:code="1"/>
          <w:pgMar w:top="1440" w:right="1440" w:bottom="1440" w:left="1440" w:header="720" w:footer="720" w:gutter="0"/>
          <w:pgNumType w:start="1"/>
          <w:cols w:space="720"/>
          <w:docGrid w:linePitch="360"/>
        </w:sectPr>
      </w:pPr>
    </w:p>
    <w:p w:rsidR="0065453C" w:rsidRPr="0065453C" w:rsidRDefault="0065453C" w:rsidP="0065453C">
      <w:pPr>
        <w:jc w:val="lowKashida"/>
        <w:rPr>
          <w:sz w:val="20"/>
          <w:szCs w:val="20"/>
        </w:rPr>
      </w:pPr>
      <w:r w:rsidRPr="0065453C">
        <w:rPr>
          <w:sz w:val="20"/>
          <w:szCs w:val="20"/>
        </w:rPr>
        <w:t xml:space="preserve">Delivery mean and range chart is depicted in Figure 4. According to gathered data 22 points were drawn on OTD mean and range chart and 13 points from mean chart and 5 points from range chart were out of control. </w:t>
      </w:r>
    </w:p>
    <w:p w:rsidR="0065453C" w:rsidRPr="0065453C" w:rsidRDefault="0065453C" w:rsidP="0065453C">
      <w:pPr>
        <w:jc w:val="lowKashida"/>
        <w:rPr>
          <w:sz w:val="20"/>
          <w:szCs w:val="20"/>
        </w:rPr>
      </w:pPr>
      <w:r w:rsidRPr="0065453C">
        <w:rPr>
          <w:sz w:val="20"/>
          <w:szCs w:val="20"/>
        </w:rPr>
        <w:t>It shows caused signal on data. The test on data also demonstrates that data have clustering caused signal as well. The upper control limit of OTD chart is obtained as 91.23 where it may be 100 in a perfect situation.</w:t>
      </w:r>
    </w:p>
    <w:p w:rsidR="0065453C" w:rsidRDefault="0065453C" w:rsidP="00D05910">
      <w:pPr>
        <w:jc w:val="both"/>
        <w:rPr>
          <w:sz w:val="20"/>
          <w:szCs w:val="20"/>
        </w:rPr>
        <w:sectPr w:rsidR="0065453C" w:rsidSect="0065453C">
          <w:footnotePr>
            <w:pos w:val="beneathText"/>
          </w:footnotePr>
          <w:type w:val="continuous"/>
          <w:pgSz w:w="12240" w:h="15840" w:code="1"/>
          <w:pgMar w:top="1440" w:right="1440" w:bottom="1440" w:left="1440" w:header="720" w:footer="720" w:gutter="0"/>
          <w:pgNumType w:start="1"/>
          <w:cols w:num="2" w:space="720"/>
          <w:docGrid w:linePitch="360"/>
        </w:sectPr>
      </w:pPr>
    </w:p>
    <w:p w:rsidR="00D05910" w:rsidRPr="001A1267" w:rsidRDefault="00D05910" w:rsidP="00D05910">
      <w:pPr>
        <w:jc w:val="both"/>
        <w:rPr>
          <w:sz w:val="20"/>
          <w:szCs w:val="20"/>
        </w:rPr>
      </w:pPr>
    </w:p>
    <w:p w:rsidR="00D05910" w:rsidRPr="001A1267" w:rsidRDefault="00D05910" w:rsidP="00D05910">
      <w:pPr>
        <w:jc w:val="both"/>
        <w:rPr>
          <w:sz w:val="20"/>
          <w:szCs w:val="20"/>
        </w:rPr>
      </w:pPr>
    </w:p>
    <w:p w:rsidR="005C668B" w:rsidRPr="001A1267" w:rsidRDefault="005C668B" w:rsidP="007E10DF">
      <w:pPr>
        <w:autoSpaceDE w:val="0"/>
        <w:autoSpaceDN w:val="0"/>
        <w:adjustRightInd w:val="0"/>
        <w:jc w:val="lowKashida"/>
        <w:rPr>
          <w:sz w:val="20"/>
          <w:szCs w:val="20"/>
        </w:rPr>
      </w:pPr>
    </w:p>
    <w:p w:rsidR="005C668B" w:rsidRPr="001A1267" w:rsidRDefault="005C668B" w:rsidP="007E10DF">
      <w:pPr>
        <w:autoSpaceDE w:val="0"/>
        <w:autoSpaceDN w:val="0"/>
        <w:adjustRightInd w:val="0"/>
        <w:jc w:val="lowKashida"/>
        <w:rPr>
          <w:sz w:val="20"/>
          <w:szCs w:val="20"/>
        </w:rPr>
      </w:pPr>
    </w:p>
    <w:p w:rsidR="005C668B" w:rsidRPr="001A1267" w:rsidRDefault="005C668B" w:rsidP="007E10DF">
      <w:pPr>
        <w:autoSpaceDE w:val="0"/>
        <w:autoSpaceDN w:val="0"/>
        <w:adjustRightInd w:val="0"/>
        <w:jc w:val="lowKashida"/>
        <w:rPr>
          <w:sz w:val="20"/>
          <w:szCs w:val="20"/>
        </w:rPr>
      </w:pPr>
    </w:p>
    <w:p w:rsidR="005C668B" w:rsidRDefault="005C668B" w:rsidP="007E10DF">
      <w:pPr>
        <w:autoSpaceDE w:val="0"/>
        <w:autoSpaceDN w:val="0"/>
        <w:adjustRightInd w:val="0"/>
        <w:jc w:val="lowKashida"/>
        <w:rPr>
          <w:sz w:val="20"/>
          <w:szCs w:val="20"/>
        </w:rPr>
      </w:pPr>
    </w:p>
    <w:p w:rsidR="00AF40F0" w:rsidRDefault="00AF40F0" w:rsidP="007E10DF">
      <w:pPr>
        <w:autoSpaceDE w:val="0"/>
        <w:autoSpaceDN w:val="0"/>
        <w:adjustRightInd w:val="0"/>
        <w:jc w:val="lowKashida"/>
        <w:rPr>
          <w:sz w:val="20"/>
          <w:szCs w:val="20"/>
        </w:rPr>
      </w:pPr>
    </w:p>
    <w:p w:rsidR="00AF40F0" w:rsidRDefault="00B6629C" w:rsidP="00960C5A">
      <w:pPr>
        <w:autoSpaceDE w:val="0"/>
        <w:autoSpaceDN w:val="0"/>
        <w:adjustRightInd w:val="0"/>
        <w:jc w:val="center"/>
        <w:rPr>
          <w:sz w:val="20"/>
          <w:szCs w:val="20"/>
        </w:rPr>
      </w:pPr>
      <w: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in" o:ole="">
            <v:imagedata r:id="rId13" o:title=""/>
          </v:shape>
          <o:OLEObject Type="Embed" ProgID="MtbGraph.Document.15" ShapeID="_x0000_i1025" DrawAspect="Content" ObjectID="_1320896282" r:id="rId14"/>
        </w:object>
      </w:r>
    </w:p>
    <w:p w:rsidR="00AF40F0" w:rsidRDefault="00AF40F0" w:rsidP="007E10DF">
      <w:pPr>
        <w:autoSpaceDE w:val="0"/>
        <w:autoSpaceDN w:val="0"/>
        <w:adjustRightInd w:val="0"/>
        <w:jc w:val="lowKashida"/>
        <w:rPr>
          <w:sz w:val="20"/>
          <w:szCs w:val="20"/>
        </w:rPr>
      </w:pPr>
    </w:p>
    <w:p w:rsidR="00960C5A" w:rsidRPr="00960C5A" w:rsidRDefault="00960C5A" w:rsidP="00960C5A">
      <w:pPr>
        <w:jc w:val="center"/>
        <w:rPr>
          <w:sz w:val="20"/>
          <w:szCs w:val="20"/>
        </w:rPr>
      </w:pPr>
      <w:r w:rsidRPr="00960C5A">
        <w:rPr>
          <w:sz w:val="20"/>
          <w:szCs w:val="20"/>
        </w:rPr>
        <w:t>Figure 3, Probability Plot for Delivery performance data</w:t>
      </w:r>
    </w:p>
    <w:p w:rsidR="00AF40F0" w:rsidRDefault="00AF40F0" w:rsidP="007E10DF">
      <w:pPr>
        <w:autoSpaceDE w:val="0"/>
        <w:autoSpaceDN w:val="0"/>
        <w:adjustRightInd w:val="0"/>
        <w:jc w:val="lowKashida"/>
        <w:rPr>
          <w:sz w:val="20"/>
          <w:szCs w:val="20"/>
        </w:rPr>
      </w:pPr>
    </w:p>
    <w:p w:rsidR="00AF40F0" w:rsidRDefault="00A53243" w:rsidP="00005605">
      <w:pPr>
        <w:autoSpaceDE w:val="0"/>
        <w:autoSpaceDN w:val="0"/>
        <w:adjustRightInd w:val="0"/>
        <w:jc w:val="center"/>
        <w:rPr>
          <w:sz w:val="20"/>
          <w:szCs w:val="20"/>
        </w:rPr>
      </w:pPr>
      <w:r>
        <w:object w:dxaOrig="8640" w:dyaOrig="5760">
          <v:shape id="_x0000_i1026" type="#_x0000_t75" style="width:6in;height:4in" o:ole="">
            <v:imagedata r:id="rId15" o:title=""/>
          </v:shape>
          <o:OLEObject Type="Embed" ProgID="MtbGraph.Document.15" ShapeID="_x0000_i1026" DrawAspect="Content" ObjectID="_1320896283" r:id="rId16"/>
        </w:object>
      </w:r>
    </w:p>
    <w:p w:rsidR="00AF40F0" w:rsidRDefault="00AF40F0" w:rsidP="007E10DF">
      <w:pPr>
        <w:autoSpaceDE w:val="0"/>
        <w:autoSpaceDN w:val="0"/>
        <w:adjustRightInd w:val="0"/>
        <w:jc w:val="lowKashida"/>
        <w:rPr>
          <w:sz w:val="20"/>
          <w:szCs w:val="20"/>
        </w:rPr>
      </w:pPr>
    </w:p>
    <w:p w:rsidR="00005605" w:rsidRPr="00005605" w:rsidRDefault="00005605" w:rsidP="00005605">
      <w:pPr>
        <w:jc w:val="center"/>
        <w:rPr>
          <w:sz w:val="20"/>
          <w:szCs w:val="20"/>
        </w:rPr>
      </w:pPr>
      <w:r w:rsidRPr="00005605">
        <w:rPr>
          <w:sz w:val="20"/>
          <w:szCs w:val="20"/>
        </w:rPr>
        <w:t>Figure 4, Deliver mean and range chart for n=4</w:t>
      </w:r>
    </w:p>
    <w:p w:rsidR="00854D9E" w:rsidRDefault="00854D9E" w:rsidP="00854D9E">
      <w:pPr>
        <w:jc w:val="lowKashida"/>
        <w:rPr>
          <w:sz w:val="20"/>
          <w:szCs w:val="20"/>
        </w:rPr>
        <w:sectPr w:rsidR="00854D9E" w:rsidSect="00AF40F0">
          <w:footnotePr>
            <w:pos w:val="beneathText"/>
          </w:footnotePr>
          <w:type w:val="continuous"/>
          <w:pgSz w:w="12240" w:h="15840" w:code="1"/>
          <w:pgMar w:top="1440" w:right="1440" w:bottom="1440" w:left="1440" w:header="720" w:footer="720" w:gutter="0"/>
          <w:pgNumType w:start="1"/>
          <w:cols w:space="720"/>
          <w:docGrid w:linePitch="360"/>
        </w:sectPr>
      </w:pPr>
    </w:p>
    <w:p w:rsidR="00854D9E" w:rsidRPr="00854D9E" w:rsidRDefault="00854D9E" w:rsidP="00854D9E">
      <w:pPr>
        <w:jc w:val="lowKashida"/>
        <w:rPr>
          <w:sz w:val="20"/>
          <w:szCs w:val="20"/>
        </w:rPr>
      </w:pPr>
      <w:r w:rsidRPr="00854D9E">
        <w:rPr>
          <w:sz w:val="20"/>
          <w:szCs w:val="20"/>
        </w:rPr>
        <w:t>To see whether the observed delivery performance meet customer expectation, the gathered data should be examined with upper and lower specification limit (USL and LSL of delivery by customer). It is required by customer that the lower limit is 75 and the upper limit should be 100. Capability study has been done based on approximated data to smallest extreme value distribution in 95% confidence interval.</w:t>
      </w:r>
    </w:p>
    <w:p w:rsidR="00854D9E" w:rsidRDefault="00854D9E" w:rsidP="00854D9E">
      <w:pPr>
        <w:jc w:val="lowKashida"/>
        <w:rPr>
          <w:sz w:val="20"/>
          <w:szCs w:val="20"/>
        </w:rPr>
      </w:pPr>
      <w:r w:rsidRPr="00854D9E">
        <w:rPr>
          <w:sz w:val="20"/>
          <w:szCs w:val="20"/>
        </w:rPr>
        <w:t>For OTD’s lower that 75, it can be stated that it does not meet customer expectation. Based on the capability study equation according to:</w:t>
      </w:r>
    </w:p>
    <w:p w:rsidR="00854D9E" w:rsidRPr="00854D9E" w:rsidRDefault="00854D9E" w:rsidP="00854D9E">
      <w:pPr>
        <w:jc w:val="lowKashida"/>
        <w:rPr>
          <w:sz w:val="20"/>
          <w:szCs w:val="20"/>
        </w:rPr>
      </w:pPr>
    </w:p>
    <w:p w:rsidR="00854D9E" w:rsidRPr="00854D9E" w:rsidRDefault="00BE6765" w:rsidP="00854D9E">
      <w:pPr>
        <w:jc w:val="lowKashida"/>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p</m:t>
              </m:r>
            </m:sub>
          </m:sSub>
          <m:r>
            <w:rPr>
              <w:rFonts w:ascii="Cambria Math"/>
              <w:sz w:val="20"/>
              <w:szCs w:val="20"/>
            </w:rPr>
            <m:t>=</m:t>
          </m:r>
          <m:f>
            <m:fPr>
              <m:ctrlPr>
                <w:rPr>
                  <w:rFonts w:ascii="Cambria Math" w:hAnsi="Cambria Math"/>
                  <w:i/>
                  <w:sz w:val="20"/>
                  <w:szCs w:val="20"/>
                </w:rPr>
              </m:ctrlPr>
            </m:fPr>
            <m:num>
              <m:r>
                <w:rPr>
                  <w:rFonts w:ascii="Cambria Math" w:hAnsi="Cambria Math"/>
                  <w:sz w:val="20"/>
                  <w:szCs w:val="20"/>
                </w:rPr>
                <m:t>Min</m:t>
              </m:r>
              <m:r>
                <w:rPr>
                  <w:rFonts w:ascii="Cambria Math"/>
                  <w:sz w:val="20"/>
                  <w:szCs w:val="20"/>
                </w:rPr>
                <m:t xml:space="preserve"> </m:t>
              </m:r>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USL-</m:t>
                      </m:r>
                      <m:acc>
                        <m:accPr>
                          <m:chr m:val="̿"/>
                          <m:ctrlPr>
                            <w:rPr>
                              <w:rFonts w:ascii="Cambria Math" w:hAnsi="Cambria Math"/>
                              <w:i/>
                              <w:sz w:val="20"/>
                              <w:szCs w:val="20"/>
                            </w:rPr>
                          </m:ctrlPr>
                        </m:accPr>
                        <m:e>
                          <m:r>
                            <w:rPr>
                              <w:rFonts w:ascii="Cambria Math" w:hAnsi="Cambria Math"/>
                              <w:sz w:val="20"/>
                              <w:szCs w:val="20"/>
                            </w:rPr>
                            <m:t>X</m:t>
                          </m:r>
                        </m:e>
                      </m:acc>
                    </m:e>
                  </m:d>
                  <m:r>
                    <w:rPr>
                      <w:rFonts w:ascii="Cambria Math"/>
                      <w:sz w:val="20"/>
                      <w:szCs w:val="20"/>
                    </w:rPr>
                    <m:t>,(</m:t>
                  </m:r>
                  <m:acc>
                    <m:accPr>
                      <m:chr m:val="̿"/>
                      <m:ctrlPr>
                        <w:rPr>
                          <w:rFonts w:ascii="Cambria Math" w:hAnsi="Cambria Math"/>
                          <w:i/>
                          <w:sz w:val="20"/>
                          <w:szCs w:val="20"/>
                        </w:rPr>
                      </m:ctrlPr>
                    </m:accPr>
                    <m:e>
                      <m:r>
                        <w:rPr>
                          <w:rFonts w:ascii="Cambria Math" w:hAnsi="Cambria Math"/>
                          <w:sz w:val="20"/>
                          <w:szCs w:val="20"/>
                        </w:rPr>
                        <m:t>X</m:t>
                      </m:r>
                    </m:e>
                  </m:acc>
                  <m:r>
                    <w:rPr>
                      <w:rFonts w:ascii="Cambria Math" w:hAnsi="Cambria Math"/>
                      <w:sz w:val="20"/>
                      <w:szCs w:val="20"/>
                    </w:rPr>
                    <m:t>-LSL</m:t>
                  </m:r>
                  <m:r>
                    <w:rPr>
                      <w:rFonts w:ascii="Cambria Math"/>
                      <w:sz w:val="20"/>
                      <w:szCs w:val="20"/>
                    </w:rPr>
                    <m:t>)</m:t>
                  </m:r>
                </m:e>
              </m:d>
            </m:num>
            <m:den>
              <m:r>
                <w:rPr>
                  <w:rFonts w:ascii="Cambria Math"/>
                  <w:sz w:val="20"/>
                  <w:szCs w:val="20"/>
                </w:rPr>
                <m:t>3</m:t>
              </m:r>
              <m:r>
                <w:rPr>
                  <w:rFonts w:ascii="Cambria Math" w:hAnsi="Cambria Math"/>
                  <w:sz w:val="20"/>
                  <w:szCs w:val="20"/>
                </w:rPr>
                <m:t>S</m:t>
              </m:r>
            </m:den>
          </m:f>
        </m:oMath>
      </m:oMathPara>
    </w:p>
    <w:p w:rsidR="00854D9E" w:rsidRPr="00854D9E" w:rsidRDefault="00854D9E" w:rsidP="00854D9E">
      <w:pPr>
        <w:jc w:val="lowKashida"/>
        <w:rPr>
          <w:sz w:val="20"/>
          <w:szCs w:val="20"/>
        </w:rPr>
      </w:pPr>
      <m:oMathPara>
        <m:oMathParaPr>
          <m:jc m:val="left"/>
        </m:oMathParaPr>
        <m:oMath>
          <m:r>
            <w:rPr>
              <w:rFonts w:ascii="Cambria Math" w:hAnsi="Cambria Math"/>
              <w:sz w:val="20"/>
              <w:szCs w:val="20"/>
            </w:rPr>
            <m:t>PPU</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USL-</m:t>
              </m:r>
              <m:acc>
                <m:accPr>
                  <m:chr m:val="̿"/>
                  <m:ctrlPr>
                    <w:rPr>
                      <w:rFonts w:ascii="Cambria Math" w:hAnsi="Cambria Math"/>
                      <w:i/>
                      <w:sz w:val="20"/>
                      <w:szCs w:val="20"/>
                    </w:rPr>
                  </m:ctrlPr>
                </m:accPr>
                <m:e>
                  <m:r>
                    <w:rPr>
                      <w:rFonts w:ascii="Cambria Math" w:hAnsi="Cambria Math"/>
                      <w:sz w:val="20"/>
                      <w:szCs w:val="20"/>
                    </w:rPr>
                    <m:t>X</m:t>
                  </m:r>
                </m:e>
              </m:acc>
            </m:num>
            <m:den>
              <m:r>
                <w:rPr>
                  <w:rFonts w:ascii="Cambria Math"/>
                  <w:sz w:val="20"/>
                  <w:szCs w:val="20"/>
                </w:rPr>
                <m:t>3</m:t>
              </m:r>
              <m:r>
                <w:rPr>
                  <w:rFonts w:ascii="Cambria Math" w:hAnsi="Cambria Math"/>
                  <w:sz w:val="20"/>
                  <w:szCs w:val="20"/>
                </w:rPr>
                <m:t>S</m:t>
              </m:r>
            </m:den>
          </m:f>
        </m:oMath>
      </m:oMathPara>
    </w:p>
    <w:p w:rsidR="00854D9E" w:rsidRPr="00854D9E" w:rsidRDefault="00854D9E" w:rsidP="00854D9E">
      <w:pPr>
        <w:jc w:val="lowKashida"/>
        <w:rPr>
          <w:sz w:val="20"/>
          <w:szCs w:val="20"/>
        </w:rPr>
      </w:pPr>
      <w:r w:rsidRPr="00854D9E">
        <w:rPr>
          <w:sz w:val="20"/>
          <w:szCs w:val="20"/>
        </w:rPr>
        <w:t xml:space="preserve">Hereby, a delivery capability study has been done and result depicted in figure 5. The Target defined 90 out of 100. As suppliers try to deliver the lots on time with same ordered quantity, it is obvious that the histogram has right skewness and majority of data has kurtosis to upper delivery limit. The minimum delivery capability is defined by customer 1 where the result shows that both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p</m:t>
            </m:r>
          </m:sub>
        </m:sSub>
        <m:r>
          <w:rPr>
            <w:rFonts w:ascii="Cambria Math"/>
            <w:sz w:val="20"/>
            <w:szCs w:val="20"/>
          </w:rPr>
          <m:t xml:space="preserve">=0.23 , </m:t>
        </m:r>
        <m:r>
          <w:rPr>
            <w:rFonts w:ascii="Cambria Math" w:hAnsi="Cambria Math"/>
            <w:sz w:val="20"/>
            <w:szCs w:val="20"/>
          </w:rPr>
          <m:t>PPU</m:t>
        </m:r>
        <m:r>
          <w:rPr>
            <w:rFonts w:ascii="Cambria Math"/>
            <w:sz w:val="20"/>
            <w:szCs w:val="20"/>
          </w:rPr>
          <m:t>=0.79</m:t>
        </m:r>
      </m:oMath>
      <w:r w:rsidRPr="00854D9E">
        <w:rPr>
          <w:sz w:val="20"/>
          <w:szCs w:val="20"/>
        </w:rPr>
        <w:t xml:space="preserve">  have not met minimum customer expectation and corrective actions are required to increase delivery performance.</w:t>
      </w:r>
    </w:p>
    <w:p w:rsidR="00854D9E" w:rsidRDefault="00854D9E" w:rsidP="007E10DF">
      <w:pPr>
        <w:autoSpaceDE w:val="0"/>
        <w:autoSpaceDN w:val="0"/>
        <w:adjustRightInd w:val="0"/>
        <w:jc w:val="lowKashida"/>
        <w:rPr>
          <w:sz w:val="20"/>
          <w:szCs w:val="20"/>
        </w:rPr>
        <w:sectPr w:rsidR="00854D9E" w:rsidSect="00854D9E">
          <w:footnotePr>
            <w:pos w:val="beneathText"/>
          </w:footnotePr>
          <w:type w:val="continuous"/>
          <w:pgSz w:w="12240" w:h="15840" w:code="1"/>
          <w:pgMar w:top="1440" w:right="1440" w:bottom="1440" w:left="1440" w:header="720" w:footer="720" w:gutter="0"/>
          <w:pgNumType w:start="1"/>
          <w:cols w:num="2" w:space="720"/>
          <w:docGrid w:linePitch="360"/>
        </w:sectPr>
      </w:pPr>
    </w:p>
    <w:p w:rsidR="00AF40F0" w:rsidRPr="001A1267" w:rsidRDefault="00AF40F0" w:rsidP="007E10DF">
      <w:pPr>
        <w:autoSpaceDE w:val="0"/>
        <w:autoSpaceDN w:val="0"/>
        <w:adjustRightInd w:val="0"/>
        <w:jc w:val="lowKashida"/>
        <w:rPr>
          <w:sz w:val="20"/>
          <w:szCs w:val="20"/>
        </w:rPr>
      </w:pPr>
    </w:p>
    <w:p w:rsidR="005C668B" w:rsidRPr="001A1267" w:rsidRDefault="00B6629C" w:rsidP="00854D9E">
      <w:pPr>
        <w:autoSpaceDE w:val="0"/>
        <w:autoSpaceDN w:val="0"/>
        <w:adjustRightInd w:val="0"/>
        <w:jc w:val="center"/>
        <w:rPr>
          <w:sz w:val="20"/>
          <w:szCs w:val="20"/>
        </w:rPr>
      </w:pPr>
      <w:r>
        <w:object w:dxaOrig="8640" w:dyaOrig="5760">
          <v:shape id="_x0000_i1027" type="#_x0000_t75" style="width:6in;height:4in" o:ole="">
            <v:imagedata r:id="rId17" o:title=""/>
          </v:shape>
          <o:OLEObject Type="Embed" ProgID="MtbGraph.Document.15" ShapeID="_x0000_i1027" DrawAspect="Content" ObjectID="_1320896284" r:id="rId18"/>
        </w:object>
      </w:r>
    </w:p>
    <w:p w:rsidR="005C668B" w:rsidRPr="001A1267" w:rsidRDefault="005C668B" w:rsidP="007E10DF">
      <w:pPr>
        <w:autoSpaceDE w:val="0"/>
        <w:autoSpaceDN w:val="0"/>
        <w:adjustRightInd w:val="0"/>
        <w:jc w:val="lowKashida"/>
        <w:rPr>
          <w:sz w:val="20"/>
          <w:szCs w:val="20"/>
        </w:rPr>
      </w:pPr>
    </w:p>
    <w:p w:rsidR="00854D9E" w:rsidRPr="00854D9E" w:rsidRDefault="00854D9E" w:rsidP="00854D9E">
      <w:pPr>
        <w:jc w:val="center"/>
        <w:rPr>
          <w:sz w:val="20"/>
          <w:szCs w:val="20"/>
        </w:rPr>
      </w:pPr>
      <w:r w:rsidRPr="00854D9E">
        <w:rPr>
          <w:sz w:val="20"/>
          <w:szCs w:val="20"/>
        </w:rPr>
        <w:t>Figure 5, Delivery capability study</w:t>
      </w:r>
    </w:p>
    <w:p w:rsidR="00854D9E" w:rsidRDefault="00854D9E" w:rsidP="007E10DF">
      <w:pPr>
        <w:autoSpaceDE w:val="0"/>
        <w:autoSpaceDN w:val="0"/>
        <w:adjustRightInd w:val="0"/>
        <w:jc w:val="lowKashida"/>
        <w:rPr>
          <w:sz w:val="20"/>
          <w:szCs w:val="20"/>
        </w:rPr>
        <w:sectPr w:rsidR="00854D9E" w:rsidSect="00AF40F0">
          <w:footnotePr>
            <w:pos w:val="beneathText"/>
          </w:footnotePr>
          <w:type w:val="continuous"/>
          <w:pgSz w:w="12240" w:h="15840" w:code="1"/>
          <w:pgMar w:top="1440" w:right="1440" w:bottom="1440" w:left="1440" w:header="720" w:footer="720" w:gutter="0"/>
          <w:pgNumType w:start="1"/>
          <w:cols w:space="720"/>
          <w:docGrid w:linePitch="360"/>
        </w:sectPr>
      </w:pPr>
    </w:p>
    <w:p w:rsidR="005C668B" w:rsidRPr="00854D9E" w:rsidRDefault="005C668B" w:rsidP="007E10DF">
      <w:pPr>
        <w:autoSpaceDE w:val="0"/>
        <w:autoSpaceDN w:val="0"/>
        <w:adjustRightInd w:val="0"/>
        <w:jc w:val="lowKashida"/>
        <w:rPr>
          <w:sz w:val="20"/>
          <w:szCs w:val="20"/>
        </w:rPr>
      </w:pPr>
    </w:p>
    <w:p w:rsidR="00E64613" w:rsidRDefault="0026433E" w:rsidP="0026433E">
      <w:pPr>
        <w:jc w:val="both"/>
        <w:rPr>
          <w:b/>
          <w:bCs/>
          <w:sz w:val="20"/>
          <w:szCs w:val="20"/>
        </w:rPr>
      </w:pPr>
      <w:r>
        <w:rPr>
          <w:b/>
          <w:bCs/>
          <w:sz w:val="20"/>
          <w:szCs w:val="20"/>
        </w:rPr>
        <w:t xml:space="preserve">5- </w:t>
      </w:r>
      <w:r w:rsidR="00854D9E" w:rsidRPr="00F31AA7">
        <w:rPr>
          <w:b/>
          <w:bCs/>
          <w:sz w:val="20"/>
          <w:szCs w:val="20"/>
        </w:rPr>
        <w:t>Result:</w:t>
      </w:r>
      <w:r w:rsidR="00F31AA7" w:rsidRPr="00F31AA7">
        <w:rPr>
          <w:b/>
          <w:bCs/>
          <w:sz w:val="20"/>
          <w:szCs w:val="20"/>
        </w:rPr>
        <w:t xml:space="preserve"> </w:t>
      </w:r>
    </w:p>
    <w:p w:rsidR="00854D9E" w:rsidRPr="00854D9E" w:rsidRDefault="00E64613" w:rsidP="0026433E">
      <w:pPr>
        <w:jc w:val="both"/>
        <w:rPr>
          <w:sz w:val="20"/>
          <w:szCs w:val="20"/>
        </w:rPr>
      </w:pPr>
      <w:r>
        <w:rPr>
          <w:b/>
          <w:bCs/>
          <w:sz w:val="20"/>
          <w:szCs w:val="20"/>
        </w:rPr>
        <w:t xml:space="preserve">        </w:t>
      </w:r>
      <w:r w:rsidR="00854D9E" w:rsidRPr="00854D9E">
        <w:rPr>
          <w:sz w:val="20"/>
          <w:szCs w:val="20"/>
        </w:rPr>
        <w:t xml:space="preserve">Investigation on delivery performance shows that it can be modeled for monitoring by control chart. Out of control and caused signals pattern may be recognized on supplier on time delivery data. It is important to identify the distribution of data before any action. It can work nicely when the numbers of arrival lots are in continuous supply.  </w:t>
      </w:r>
    </w:p>
    <w:p w:rsidR="00451593" w:rsidRDefault="00854D9E" w:rsidP="0026433E">
      <w:pPr>
        <w:jc w:val="both"/>
        <w:rPr>
          <w:sz w:val="20"/>
          <w:szCs w:val="20"/>
        </w:rPr>
      </w:pPr>
      <w:r w:rsidRPr="00854D9E">
        <w:rPr>
          <w:sz w:val="20"/>
          <w:szCs w:val="20"/>
        </w:rPr>
        <w:t xml:space="preserve">For the low rate of arrival, short run chart may be used in this respect. The result shows that OTD data </w:t>
      </w:r>
    </w:p>
    <w:p w:rsidR="00451593" w:rsidRDefault="00854D9E" w:rsidP="0026433E">
      <w:pPr>
        <w:jc w:val="both"/>
        <w:rPr>
          <w:sz w:val="20"/>
          <w:szCs w:val="20"/>
        </w:rPr>
      </w:pPr>
      <w:r w:rsidRPr="00854D9E">
        <w:rPr>
          <w:sz w:val="20"/>
          <w:szCs w:val="20"/>
        </w:rPr>
        <w:t xml:space="preserve">approximates to smallest extreme value distribution. It is because the data tend toward upper specification </w:t>
      </w:r>
    </w:p>
    <w:p w:rsidR="00451593" w:rsidRDefault="00451593" w:rsidP="00854D9E">
      <w:pPr>
        <w:jc w:val="both"/>
        <w:rPr>
          <w:sz w:val="20"/>
          <w:szCs w:val="20"/>
        </w:rPr>
      </w:pPr>
    </w:p>
    <w:p w:rsidR="00854D9E" w:rsidRPr="00854D9E" w:rsidRDefault="00854D9E" w:rsidP="00854D9E">
      <w:pPr>
        <w:jc w:val="both"/>
        <w:rPr>
          <w:sz w:val="20"/>
          <w:szCs w:val="20"/>
        </w:rPr>
      </w:pPr>
      <w:r w:rsidRPr="00854D9E">
        <w:rPr>
          <w:sz w:val="20"/>
          <w:szCs w:val="20"/>
        </w:rPr>
        <w:t xml:space="preserve">limit and supplier trying to deliver right quality with right ordered quantity “on time’ to customer. The low delivery capability was because of two major issues. </w:t>
      </w:r>
    </w:p>
    <w:p w:rsidR="00854D9E" w:rsidRDefault="00854D9E" w:rsidP="00854D9E">
      <w:pPr>
        <w:jc w:val="both"/>
        <w:rPr>
          <w:sz w:val="20"/>
          <w:szCs w:val="20"/>
        </w:rPr>
      </w:pPr>
      <w:r w:rsidRPr="00854D9E">
        <w:rPr>
          <w:sz w:val="20"/>
          <w:szCs w:val="20"/>
        </w:rPr>
        <w:t xml:space="preserve">Firstly, the target was appointed 90 out of 100 by customer where the mean of the OTD was 74.31 and it makes a bias from target and results in lower capability. Secondly, due to extensive standard deviation, as the overall process capability is based on overall standard deviation, a centralized standard deviation will achieve a higher delivery capability. </w:t>
      </w:r>
    </w:p>
    <w:p w:rsidR="00CF38AC" w:rsidRPr="00854D9E" w:rsidRDefault="00854D9E" w:rsidP="00854D9E">
      <w:pPr>
        <w:jc w:val="both"/>
        <w:rPr>
          <w:sz w:val="20"/>
          <w:szCs w:val="20"/>
        </w:rPr>
      </w:pPr>
      <w:r w:rsidRPr="00854D9E">
        <w:rPr>
          <w:sz w:val="20"/>
          <w:szCs w:val="20"/>
        </w:rPr>
        <w:t>The corrective action by supplier can lead to improvement on two phases. First, by reducing the deviation and range of deliveries and second by adjusting the mean with target and improve mean of delivery. According to SCM literature, for a long term partnership both supplier and customer effort is needed in this respect to obtain good result.</w:t>
      </w:r>
    </w:p>
    <w:p w:rsidR="00854D9E" w:rsidRPr="00CF38AC" w:rsidRDefault="00CF38AC" w:rsidP="00854D9E">
      <w:pPr>
        <w:rPr>
          <w:b/>
          <w:bCs/>
          <w:sz w:val="20"/>
          <w:szCs w:val="20"/>
        </w:rPr>
      </w:pPr>
      <w:r>
        <w:rPr>
          <w:b/>
          <w:bCs/>
          <w:sz w:val="20"/>
          <w:szCs w:val="20"/>
        </w:rPr>
        <w:t xml:space="preserve">6- </w:t>
      </w:r>
      <w:r w:rsidR="00854D9E" w:rsidRPr="00CF38AC">
        <w:rPr>
          <w:b/>
          <w:bCs/>
          <w:sz w:val="20"/>
          <w:szCs w:val="20"/>
        </w:rPr>
        <w:t xml:space="preserve">Conclusion </w:t>
      </w:r>
    </w:p>
    <w:p w:rsidR="008B33B3" w:rsidRPr="00854D9E" w:rsidRDefault="00854D9E" w:rsidP="00854D9E">
      <w:pPr>
        <w:autoSpaceDE w:val="0"/>
        <w:autoSpaceDN w:val="0"/>
        <w:adjustRightInd w:val="0"/>
        <w:jc w:val="lowKashida"/>
        <w:rPr>
          <w:sz w:val="20"/>
          <w:szCs w:val="20"/>
        </w:rPr>
      </w:pPr>
      <w:r w:rsidRPr="00854D9E">
        <w:rPr>
          <w:sz w:val="20"/>
          <w:szCs w:val="20"/>
        </w:rPr>
        <w:t>From the literature, delivery performance is one of the most important indicators of supplier performance. This paper intended a model “on time delivery” using control chat. It is shown that control charts can be used to monitor delivery performance. It also may help organizations to enhance their supplier performance monitoring via corrective actions and improvement on caused signals patterns. When the rate of lot arrival is low, standardized or individual chart also recommended.</w:t>
      </w:r>
    </w:p>
    <w:p w:rsidR="005602F3" w:rsidRPr="00854D9E" w:rsidRDefault="0026433E" w:rsidP="00CF38AC">
      <w:pPr>
        <w:rPr>
          <w:bCs/>
          <w:sz w:val="20"/>
          <w:szCs w:val="20"/>
        </w:rPr>
      </w:pPr>
      <w:r>
        <w:rPr>
          <w:b/>
          <w:bCs/>
          <w:sz w:val="20"/>
          <w:szCs w:val="20"/>
        </w:rPr>
        <w:t xml:space="preserve"> </w:t>
      </w:r>
      <w:r w:rsidR="00854D9E" w:rsidRPr="00451593">
        <w:rPr>
          <w:b/>
          <w:bCs/>
          <w:sz w:val="20"/>
          <w:szCs w:val="20"/>
        </w:rPr>
        <w:t>References</w:t>
      </w:r>
    </w:p>
    <w:p w:rsidR="005602F3" w:rsidRPr="005C3FE0" w:rsidRDefault="00BE6765" w:rsidP="000D6EB2">
      <w:pPr>
        <w:pStyle w:val="ListParagraph"/>
        <w:numPr>
          <w:ilvl w:val="0"/>
          <w:numId w:val="5"/>
        </w:numPr>
        <w:jc w:val="both"/>
        <w:rPr>
          <w:sz w:val="20"/>
          <w:szCs w:val="20"/>
        </w:rPr>
      </w:pPr>
      <w:r w:rsidRPr="005C3FE0">
        <w:rPr>
          <w:sz w:val="20"/>
          <w:szCs w:val="20"/>
        </w:rPr>
        <w:fldChar w:fldCharType="begin"/>
      </w:r>
      <w:r w:rsidR="00854D9E" w:rsidRPr="005C3FE0">
        <w:rPr>
          <w:sz w:val="20"/>
          <w:szCs w:val="20"/>
        </w:rPr>
        <w:instrText xml:space="preserve"> ADDIN EN.REFLIST </w:instrText>
      </w:r>
      <w:r w:rsidRPr="005C3FE0">
        <w:rPr>
          <w:sz w:val="20"/>
          <w:szCs w:val="20"/>
        </w:rPr>
        <w:fldChar w:fldCharType="separate"/>
      </w:r>
      <w:r w:rsidR="00854D9E" w:rsidRPr="005C3FE0">
        <w:rPr>
          <w:sz w:val="20"/>
          <w:szCs w:val="20"/>
        </w:rPr>
        <w:t>Abdullah, R., Lall, K. L., &amp; Tatsuo, K. (2008). Supplier development framework in themalaysian automotive industry. International journal of economicsand management, 2(1), 29--58.</w:t>
      </w:r>
    </w:p>
    <w:p w:rsidR="005602F3" w:rsidRPr="005C3FE0" w:rsidRDefault="00854D9E" w:rsidP="000D6EB2">
      <w:pPr>
        <w:pStyle w:val="ListParagraph"/>
        <w:numPr>
          <w:ilvl w:val="0"/>
          <w:numId w:val="5"/>
        </w:numPr>
        <w:jc w:val="both"/>
        <w:rPr>
          <w:sz w:val="20"/>
          <w:szCs w:val="20"/>
        </w:rPr>
      </w:pPr>
      <w:r w:rsidRPr="005C3FE0">
        <w:rPr>
          <w:sz w:val="20"/>
          <w:szCs w:val="20"/>
        </w:rPr>
        <w:t>Alwan, L. C. (2000). Statistical Process Analysis (first ed.): McGraw-Hill.</w:t>
      </w:r>
    </w:p>
    <w:p w:rsidR="005602F3" w:rsidRPr="005C3FE0" w:rsidRDefault="00854D9E" w:rsidP="00E64613">
      <w:pPr>
        <w:pStyle w:val="ListParagraph"/>
        <w:numPr>
          <w:ilvl w:val="0"/>
          <w:numId w:val="5"/>
        </w:numPr>
        <w:jc w:val="both"/>
        <w:rPr>
          <w:sz w:val="20"/>
          <w:szCs w:val="20"/>
        </w:rPr>
      </w:pPr>
      <w:r w:rsidRPr="005C3FE0">
        <w:rPr>
          <w:sz w:val="20"/>
          <w:szCs w:val="20"/>
        </w:rPr>
        <w:t>Anthony, J., Balbontil, A., &amp; Taner, T. (2000). Key ingredients for the effective implementation of statistical process control. Integrated manufacturing system, 49, 242-247.</w:t>
      </w:r>
    </w:p>
    <w:p w:rsidR="005602F3" w:rsidRPr="005C3FE0" w:rsidRDefault="00854D9E" w:rsidP="000D6EB2">
      <w:pPr>
        <w:pStyle w:val="ListParagraph"/>
        <w:numPr>
          <w:ilvl w:val="0"/>
          <w:numId w:val="5"/>
        </w:numPr>
        <w:jc w:val="both"/>
        <w:rPr>
          <w:sz w:val="20"/>
          <w:szCs w:val="20"/>
        </w:rPr>
      </w:pPr>
      <w:r w:rsidRPr="005C3FE0">
        <w:rPr>
          <w:sz w:val="20"/>
          <w:szCs w:val="20"/>
        </w:rPr>
        <w:t>Besterfield, D. H. (1994). Quality controll (4 ed.): Prentice Hall, Englewood.</w:t>
      </w:r>
    </w:p>
    <w:p w:rsidR="005602F3" w:rsidRPr="005C3FE0" w:rsidRDefault="00854D9E" w:rsidP="000D6EB2">
      <w:pPr>
        <w:pStyle w:val="ListParagraph"/>
        <w:numPr>
          <w:ilvl w:val="0"/>
          <w:numId w:val="5"/>
        </w:numPr>
        <w:jc w:val="both"/>
        <w:rPr>
          <w:sz w:val="20"/>
          <w:szCs w:val="20"/>
        </w:rPr>
      </w:pPr>
      <w:r w:rsidRPr="005C3FE0">
        <w:rPr>
          <w:sz w:val="20"/>
          <w:szCs w:val="20"/>
        </w:rPr>
        <w:t>Besterfield, D. H. (2009). Quality Control (8 ed.): Prentic Hall.</w:t>
      </w:r>
    </w:p>
    <w:p w:rsidR="005602F3" w:rsidRPr="005C3FE0" w:rsidRDefault="00854D9E" w:rsidP="000D6EB2">
      <w:pPr>
        <w:pStyle w:val="ListParagraph"/>
        <w:numPr>
          <w:ilvl w:val="0"/>
          <w:numId w:val="5"/>
        </w:numPr>
        <w:jc w:val="both"/>
        <w:rPr>
          <w:sz w:val="20"/>
          <w:szCs w:val="20"/>
        </w:rPr>
      </w:pPr>
      <w:r w:rsidRPr="005C3FE0">
        <w:rPr>
          <w:sz w:val="20"/>
          <w:szCs w:val="20"/>
        </w:rPr>
        <w:t>BMW. (2008). Supp</w:t>
      </w:r>
      <w:r w:rsidR="005602F3" w:rsidRPr="005C3FE0">
        <w:rPr>
          <w:sz w:val="20"/>
          <w:szCs w:val="20"/>
        </w:rPr>
        <w:t xml:space="preserve">lied Part Quality management.  </w:t>
      </w:r>
    </w:p>
    <w:p w:rsidR="00854D9E" w:rsidRPr="005C3FE0" w:rsidRDefault="00854D9E" w:rsidP="000D6EB2">
      <w:pPr>
        <w:pStyle w:val="ListParagraph"/>
        <w:numPr>
          <w:ilvl w:val="0"/>
          <w:numId w:val="5"/>
        </w:numPr>
        <w:jc w:val="both"/>
        <w:rPr>
          <w:sz w:val="20"/>
          <w:szCs w:val="20"/>
        </w:rPr>
      </w:pPr>
      <w:r w:rsidRPr="005C3FE0">
        <w:rPr>
          <w:sz w:val="20"/>
          <w:szCs w:val="20"/>
        </w:rPr>
        <w:t>Crichton, G., Zammit, V., Hughes, J., &amp; Vammen, S. (2003). Connecting purchasing and supplier strategies to shareholder value: emerging trends for executive action, (Executive report of the future purchasing alliance): Charted inistitute of purchasing andsupply</w:t>
      </w:r>
    </w:p>
    <w:p w:rsidR="00854D9E" w:rsidRPr="005C3FE0" w:rsidRDefault="00854D9E" w:rsidP="000D6EB2">
      <w:pPr>
        <w:pStyle w:val="ListParagraph"/>
        <w:numPr>
          <w:ilvl w:val="0"/>
          <w:numId w:val="5"/>
        </w:numPr>
        <w:jc w:val="both"/>
        <w:rPr>
          <w:sz w:val="20"/>
          <w:szCs w:val="20"/>
        </w:rPr>
      </w:pPr>
      <w:r w:rsidRPr="005C3FE0">
        <w:rPr>
          <w:sz w:val="20"/>
          <w:szCs w:val="20"/>
        </w:rPr>
        <w:t>Humphreys, P. K., Shiu, W. K., &amp; Chan, F. T. (2001). Collabrotive buyer-supplier relationship Hong Kong manufacturing firms. Supply chain management journal, 6(4), 152.</w:t>
      </w:r>
    </w:p>
    <w:p w:rsidR="005602F3" w:rsidRPr="005C3FE0" w:rsidRDefault="00854D9E" w:rsidP="000D6EB2">
      <w:pPr>
        <w:pStyle w:val="ListParagraph"/>
        <w:numPr>
          <w:ilvl w:val="0"/>
          <w:numId w:val="5"/>
        </w:numPr>
        <w:jc w:val="both"/>
        <w:rPr>
          <w:sz w:val="20"/>
          <w:szCs w:val="20"/>
        </w:rPr>
      </w:pPr>
      <w:r w:rsidRPr="005C3FE0">
        <w:rPr>
          <w:sz w:val="20"/>
          <w:szCs w:val="20"/>
        </w:rPr>
        <w:t xml:space="preserve">IATF. (2002). ISO/TS16949:2002. 2009, from </w:t>
      </w:r>
      <w:hyperlink r:id="rId19" w:history="1">
        <w:r w:rsidRPr="005C3FE0">
          <w:rPr>
            <w:rStyle w:val="Hyperlink"/>
            <w:sz w:val="20"/>
            <w:szCs w:val="20"/>
          </w:rPr>
          <w:t>http://www.iatfglobaloversight.org/</w:t>
        </w:r>
      </w:hyperlink>
    </w:p>
    <w:p w:rsidR="005602F3" w:rsidRPr="005C3FE0" w:rsidRDefault="00854D9E" w:rsidP="000D6EB2">
      <w:pPr>
        <w:pStyle w:val="ListParagraph"/>
        <w:numPr>
          <w:ilvl w:val="0"/>
          <w:numId w:val="5"/>
        </w:numPr>
        <w:jc w:val="both"/>
        <w:rPr>
          <w:sz w:val="20"/>
          <w:szCs w:val="20"/>
        </w:rPr>
      </w:pPr>
      <w:r w:rsidRPr="005C3FE0">
        <w:rPr>
          <w:sz w:val="20"/>
          <w:szCs w:val="20"/>
        </w:rPr>
        <w:t>ISO. (2002). Quality management system-Particular requirement for the application of ISO9001:2000 for automotive production and relevant service part organizations (2 ed.): ISO copyright office.</w:t>
      </w:r>
    </w:p>
    <w:p w:rsidR="005602F3" w:rsidRPr="005C3FE0" w:rsidRDefault="00854D9E" w:rsidP="000D6EB2">
      <w:pPr>
        <w:pStyle w:val="ListParagraph"/>
        <w:numPr>
          <w:ilvl w:val="0"/>
          <w:numId w:val="5"/>
        </w:numPr>
        <w:jc w:val="both"/>
        <w:rPr>
          <w:sz w:val="20"/>
          <w:szCs w:val="20"/>
        </w:rPr>
      </w:pPr>
      <w:r w:rsidRPr="005C3FE0">
        <w:rPr>
          <w:sz w:val="20"/>
          <w:szCs w:val="20"/>
        </w:rPr>
        <w:t>Large, R. O., &amp; Konig, T. (2009). A gap model of purchasing internal service quality: Concept Case and internal survey. Journal of purchasing and supply management, 24-32.</w:t>
      </w:r>
    </w:p>
    <w:p w:rsidR="005602F3" w:rsidRPr="005C3FE0" w:rsidRDefault="00854D9E" w:rsidP="000D6EB2">
      <w:pPr>
        <w:pStyle w:val="ListParagraph"/>
        <w:numPr>
          <w:ilvl w:val="0"/>
          <w:numId w:val="5"/>
        </w:numPr>
        <w:jc w:val="both"/>
        <w:rPr>
          <w:sz w:val="20"/>
          <w:szCs w:val="20"/>
        </w:rPr>
      </w:pPr>
      <w:r w:rsidRPr="005C3FE0">
        <w:rPr>
          <w:sz w:val="20"/>
          <w:szCs w:val="20"/>
        </w:rPr>
        <w:t>lee, C. W., Kwon, I.-w. G., &amp; Severance, D. (2007). Relationship between supply chain performance and degree of linkage among supplier internal integration. Supply chain management: An international journal, 12(6), 444-452.</w:t>
      </w:r>
    </w:p>
    <w:p w:rsidR="005602F3" w:rsidRPr="005C3FE0" w:rsidRDefault="00854D9E" w:rsidP="000D6EB2">
      <w:pPr>
        <w:pStyle w:val="ListParagraph"/>
        <w:numPr>
          <w:ilvl w:val="0"/>
          <w:numId w:val="5"/>
        </w:numPr>
        <w:jc w:val="both"/>
        <w:rPr>
          <w:sz w:val="20"/>
          <w:szCs w:val="20"/>
        </w:rPr>
      </w:pPr>
      <w:r w:rsidRPr="005C3FE0">
        <w:rPr>
          <w:sz w:val="20"/>
          <w:szCs w:val="20"/>
        </w:rPr>
        <w:t>Lehtonen, T. W. (2001). Performance measurement in construction logistics. International journal of production economies, 69, 107-116.</w:t>
      </w:r>
    </w:p>
    <w:p w:rsidR="005602F3" w:rsidRPr="005C3FE0" w:rsidRDefault="00854D9E" w:rsidP="000D6EB2">
      <w:pPr>
        <w:pStyle w:val="ListParagraph"/>
        <w:numPr>
          <w:ilvl w:val="0"/>
          <w:numId w:val="5"/>
        </w:numPr>
        <w:jc w:val="both"/>
        <w:rPr>
          <w:sz w:val="20"/>
          <w:szCs w:val="20"/>
        </w:rPr>
      </w:pPr>
      <w:r w:rsidRPr="005C3FE0">
        <w:rPr>
          <w:sz w:val="20"/>
          <w:szCs w:val="20"/>
        </w:rPr>
        <w:t>Liu, J., Ding, F. Y., &amp; Lall, V. (2000). Using data envolement analysis to compare suppliers for supplier selection and performance improvement. Supply chain management: An international journal, 5(3), 143-150.</w:t>
      </w:r>
    </w:p>
    <w:p w:rsidR="005602F3" w:rsidRPr="005C3FE0" w:rsidRDefault="00854D9E" w:rsidP="000D6EB2">
      <w:pPr>
        <w:pStyle w:val="ListParagraph"/>
        <w:numPr>
          <w:ilvl w:val="0"/>
          <w:numId w:val="5"/>
        </w:numPr>
        <w:jc w:val="both"/>
        <w:rPr>
          <w:sz w:val="20"/>
          <w:szCs w:val="20"/>
        </w:rPr>
      </w:pPr>
      <w:r w:rsidRPr="005C3FE0">
        <w:rPr>
          <w:sz w:val="20"/>
          <w:szCs w:val="20"/>
        </w:rPr>
        <w:t>McAdam, R., &amp; McCormac, D. (2001). International business processes for global and supply chain management. Business process management journal, 7(2), 114.</w:t>
      </w:r>
    </w:p>
    <w:p w:rsidR="005602F3" w:rsidRPr="005C3FE0" w:rsidRDefault="00854D9E" w:rsidP="000D6EB2">
      <w:pPr>
        <w:pStyle w:val="ListParagraph"/>
        <w:numPr>
          <w:ilvl w:val="0"/>
          <w:numId w:val="5"/>
        </w:numPr>
        <w:jc w:val="both"/>
        <w:rPr>
          <w:sz w:val="20"/>
          <w:szCs w:val="20"/>
        </w:rPr>
      </w:pPr>
      <w:r w:rsidRPr="005C3FE0">
        <w:rPr>
          <w:sz w:val="20"/>
          <w:szCs w:val="20"/>
        </w:rPr>
        <w:t>Montgomery, D. C., Runger, G. C., &amp; Hubele, N. F. (2007). Engineering Statistics (4 ed.): John Wiley &amp; Sons, Inc.</w:t>
      </w:r>
    </w:p>
    <w:p w:rsidR="005602F3" w:rsidRPr="005C3FE0" w:rsidRDefault="00854D9E" w:rsidP="000D6EB2">
      <w:pPr>
        <w:pStyle w:val="ListParagraph"/>
        <w:numPr>
          <w:ilvl w:val="0"/>
          <w:numId w:val="5"/>
        </w:numPr>
        <w:jc w:val="both"/>
        <w:rPr>
          <w:sz w:val="20"/>
          <w:szCs w:val="20"/>
        </w:rPr>
      </w:pPr>
      <w:r w:rsidRPr="005C3FE0">
        <w:rPr>
          <w:sz w:val="20"/>
          <w:szCs w:val="20"/>
        </w:rPr>
        <w:t>Morgan, C., &amp; Dewhurst, A. (2008). Multiple retailer supplier performance: An exploratory into using SPC techniques. International journal of production economies, 111, 13-26.</w:t>
      </w:r>
    </w:p>
    <w:p w:rsidR="005602F3" w:rsidRPr="005C3FE0" w:rsidRDefault="00854D9E" w:rsidP="000D6EB2">
      <w:pPr>
        <w:pStyle w:val="ListParagraph"/>
        <w:numPr>
          <w:ilvl w:val="0"/>
          <w:numId w:val="5"/>
        </w:numPr>
        <w:jc w:val="both"/>
        <w:rPr>
          <w:sz w:val="20"/>
          <w:szCs w:val="20"/>
        </w:rPr>
      </w:pPr>
      <w:r w:rsidRPr="005C3FE0">
        <w:rPr>
          <w:sz w:val="20"/>
          <w:szCs w:val="20"/>
        </w:rPr>
        <w:t>Oakland, J. (1999). Statistical process control (4 ed.): Butterworth Heinemann Oxford.</w:t>
      </w:r>
    </w:p>
    <w:p w:rsidR="005602F3" w:rsidRPr="005C3FE0" w:rsidRDefault="00854D9E" w:rsidP="000D6EB2">
      <w:pPr>
        <w:pStyle w:val="ListParagraph"/>
        <w:numPr>
          <w:ilvl w:val="0"/>
          <w:numId w:val="5"/>
        </w:numPr>
        <w:jc w:val="both"/>
        <w:rPr>
          <w:sz w:val="20"/>
          <w:szCs w:val="20"/>
        </w:rPr>
      </w:pPr>
      <w:r w:rsidRPr="005C3FE0">
        <w:rPr>
          <w:sz w:val="20"/>
          <w:szCs w:val="20"/>
        </w:rPr>
        <w:t>Paulraj, A., Chen, I. J., &amp; Flynn, J. (2006). Level of strategic purchasing: Impact on supply chain integration and performance. Journal of purchasing and supply management, 12, 107-122.</w:t>
      </w:r>
    </w:p>
    <w:p w:rsidR="005602F3" w:rsidRPr="005C3FE0" w:rsidRDefault="00854D9E" w:rsidP="000D6EB2">
      <w:pPr>
        <w:pStyle w:val="ListParagraph"/>
        <w:numPr>
          <w:ilvl w:val="0"/>
          <w:numId w:val="5"/>
        </w:numPr>
        <w:jc w:val="both"/>
        <w:rPr>
          <w:sz w:val="20"/>
          <w:szCs w:val="20"/>
        </w:rPr>
      </w:pPr>
      <w:r w:rsidRPr="005C3FE0">
        <w:rPr>
          <w:sz w:val="20"/>
          <w:szCs w:val="20"/>
        </w:rPr>
        <w:t>PSA PEUGEOT CTROEN. (2006). Supplier Quality Management Principles.   Retrieved Dec, 2006</w:t>
      </w:r>
    </w:p>
    <w:p w:rsidR="00854D9E" w:rsidRPr="005C3FE0" w:rsidRDefault="00854D9E" w:rsidP="000D6EB2">
      <w:pPr>
        <w:pStyle w:val="ListParagraph"/>
        <w:numPr>
          <w:ilvl w:val="0"/>
          <w:numId w:val="5"/>
        </w:numPr>
        <w:jc w:val="both"/>
        <w:rPr>
          <w:sz w:val="20"/>
          <w:szCs w:val="20"/>
        </w:rPr>
      </w:pPr>
      <w:r w:rsidRPr="005C3FE0">
        <w:rPr>
          <w:sz w:val="20"/>
          <w:szCs w:val="20"/>
        </w:rPr>
        <w:t>Rahul, V., &amp; Altekar. (2005). Supply chain management: Printice Hall.</w:t>
      </w:r>
    </w:p>
    <w:p w:rsidR="005602F3" w:rsidRPr="005C3FE0" w:rsidRDefault="00854D9E" w:rsidP="000D6EB2">
      <w:pPr>
        <w:pStyle w:val="ListParagraph"/>
        <w:numPr>
          <w:ilvl w:val="0"/>
          <w:numId w:val="5"/>
        </w:numPr>
        <w:jc w:val="both"/>
        <w:rPr>
          <w:sz w:val="20"/>
          <w:szCs w:val="20"/>
        </w:rPr>
      </w:pPr>
      <w:r w:rsidRPr="005C3FE0">
        <w:rPr>
          <w:sz w:val="20"/>
          <w:szCs w:val="20"/>
        </w:rPr>
        <w:t>Stapenhurst, T. (2005). Mastering Statistical Process Control (1 ed.): ELSEVIER.</w:t>
      </w:r>
    </w:p>
    <w:p w:rsidR="005602F3" w:rsidRPr="005C3FE0" w:rsidRDefault="00854D9E" w:rsidP="000D6EB2">
      <w:pPr>
        <w:pStyle w:val="ListParagraph"/>
        <w:numPr>
          <w:ilvl w:val="0"/>
          <w:numId w:val="5"/>
        </w:numPr>
        <w:jc w:val="both"/>
        <w:rPr>
          <w:sz w:val="20"/>
          <w:szCs w:val="20"/>
        </w:rPr>
      </w:pPr>
      <w:r w:rsidRPr="005C3FE0">
        <w:rPr>
          <w:sz w:val="20"/>
          <w:szCs w:val="20"/>
        </w:rPr>
        <w:t>Tan, k. C., Lyman, S. B., &amp; Wisner, J. D. (2002). Supply chain management a strategic perspective. International journal of operation and production management, 22(6), 614-631.</w:t>
      </w:r>
    </w:p>
    <w:p w:rsidR="008A1858" w:rsidRPr="005C3FE0" w:rsidRDefault="00854D9E" w:rsidP="007E10DF">
      <w:pPr>
        <w:pStyle w:val="ListParagraph"/>
        <w:numPr>
          <w:ilvl w:val="0"/>
          <w:numId w:val="5"/>
        </w:numPr>
        <w:autoSpaceDE w:val="0"/>
        <w:autoSpaceDN w:val="0"/>
        <w:adjustRightInd w:val="0"/>
        <w:jc w:val="lowKashida"/>
        <w:rPr>
          <w:sz w:val="20"/>
          <w:szCs w:val="20"/>
        </w:rPr>
      </w:pPr>
      <w:r w:rsidRPr="005C3FE0">
        <w:rPr>
          <w:sz w:val="20"/>
          <w:szCs w:val="20"/>
        </w:rPr>
        <w:t>Xie, M., &amp; Goh, T. N. (1999). Statistical techniques for quality. The TQM magazine, 11, 238-242.</w:t>
      </w:r>
      <w:r w:rsidR="00BE6765" w:rsidRPr="005C3FE0">
        <w:rPr>
          <w:sz w:val="20"/>
          <w:szCs w:val="20"/>
        </w:rPr>
        <w:fldChar w:fldCharType="end"/>
      </w:r>
    </w:p>
    <w:p w:rsidR="001C63E1" w:rsidRDefault="001C63E1" w:rsidP="001C63E1">
      <w:pPr>
        <w:pStyle w:val="ListParagraph"/>
        <w:autoSpaceDE w:val="0"/>
        <w:autoSpaceDN w:val="0"/>
        <w:adjustRightInd w:val="0"/>
        <w:jc w:val="lowKashida"/>
        <w:rPr>
          <w:sz w:val="20"/>
          <w:szCs w:val="20"/>
        </w:rPr>
      </w:pPr>
    </w:p>
    <w:p w:rsidR="001C63E1" w:rsidRPr="008A1858" w:rsidRDefault="001C63E1" w:rsidP="001C63E1">
      <w:pPr>
        <w:pStyle w:val="ListParagraph"/>
        <w:autoSpaceDE w:val="0"/>
        <w:autoSpaceDN w:val="0"/>
        <w:adjustRightInd w:val="0"/>
        <w:jc w:val="lowKashida"/>
        <w:rPr>
          <w:sz w:val="20"/>
          <w:szCs w:val="20"/>
        </w:rPr>
      </w:pPr>
      <w:r>
        <w:rPr>
          <w:sz w:val="20"/>
          <w:szCs w:val="20"/>
        </w:rPr>
        <w:t>Submission date: 28 November 2009</w:t>
      </w:r>
    </w:p>
    <w:sectPr w:rsidR="001C63E1" w:rsidRPr="008A1858" w:rsidSect="00805E2C">
      <w:footnotePr>
        <w:pos w:val="beneathText"/>
      </w:footnotePr>
      <w:type w:val="continuous"/>
      <w:pgSz w:w="12240" w:h="15840" w:code="1"/>
      <w:pgMar w:top="1440" w:right="1440" w:bottom="1440" w:left="1440"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3A7" w:rsidRDefault="003443A7">
      <w:r>
        <w:separator/>
      </w:r>
    </w:p>
  </w:endnote>
  <w:endnote w:type="continuationSeparator" w:id="1">
    <w:p w:rsidR="003443A7" w:rsidRDefault="00344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0DF" w:rsidRDefault="00BE6765" w:rsidP="00B3167C">
    <w:pPr>
      <w:pStyle w:val="Footer"/>
      <w:framePr w:wrap="around" w:vAnchor="text" w:hAnchor="margin" w:xAlign="center" w:y="1"/>
      <w:rPr>
        <w:rStyle w:val="PageNumber"/>
      </w:rPr>
    </w:pPr>
    <w:r>
      <w:rPr>
        <w:rStyle w:val="PageNumber"/>
      </w:rPr>
      <w:fldChar w:fldCharType="begin"/>
    </w:r>
    <w:r w:rsidR="007E10DF">
      <w:rPr>
        <w:rStyle w:val="PageNumber"/>
      </w:rPr>
      <w:instrText xml:space="preserve">PAGE  </w:instrText>
    </w:r>
    <w:r>
      <w:rPr>
        <w:rStyle w:val="PageNumber"/>
      </w:rPr>
      <w:fldChar w:fldCharType="end"/>
    </w:r>
  </w:p>
  <w:p w:rsidR="007E10DF" w:rsidRDefault="007E10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5526"/>
      <w:docPartObj>
        <w:docPartGallery w:val="Page Numbers (Bottom of Page)"/>
        <w:docPartUnique/>
      </w:docPartObj>
    </w:sdtPr>
    <w:sdtContent>
      <w:p w:rsidR="008A1858" w:rsidRDefault="00BE6765">
        <w:pPr>
          <w:pStyle w:val="Footer"/>
          <w:jc w:val="center"/>
        </w:pPr>
        <w:fldSimple w:instr=" PAGE   \* MERGEFORMAT ">
          <w:r w:rsidR="003443A7">
            <w:rPr>
              <w:noProof/>
            </w:rPr>
            <w:t>1</w:t>
          </w:r>
        </w:fldSimple>
      </w:p>
    </w:sdtContent>
  </w:sdt>
  <w:p w:rsidR="007E10DF" w:rsidRDefault="007E10DF" w:rsidP="006E6ACB">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58" w:rsidRDefault="008A1858" w:rsidP="006E6AC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3A7" w:rsidRDefault="003443A7">
      <w:r>
        <w:separator/>
      </w:r>
    </w:p>
  </w:footnote>
  <w:footnote w:type="continuationSeparator" w:id="1">
    <w:p w:rsidR="003443A7" w:rsidRDefault="00344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0DF" w:rsidRPr="00345581" w:rsidRDefault="007E10DF" w:rsidP="00DF7353">
    <w:pPr>
      <w:pBdr>
        <w:bottom w:val="thinThickMediumGap" w:sz="12" w:space="1" w:color="auto"/>
      </w:pBdr>
      <w:jc w:val="center"/>
      <w:rPr>
        <w:iCs/>
        <w:sz w:val="20"/>
        <w:szCs w:val="20"/>
      </w:rPr>
    </w:pPr>
    <w:r w:rsidRPr="00345581">
      <w:rPr>
        <w:iCs/>
        <w:color w:val="000000"/>
        <w:sz w:val="20"/>
        <w:szCs w:val="20"/>
      </w:rPr>
      <w:t>Journal of American Science</w:t>
    </w:r>
    <w:r>
      <w:rPr>
        <w:iCs/>
        <w:sz w:val="20"/>
        <w:szCs w:val="20"/>
      </w:rPr>
      <w:t xml:space="preserve">                                                                                                                 </w:t>
    </w:r>
    <w:r w:rsidRPr="00345581">
      <w:rPr>
        <w:iCs/>
        <w:sz w:val="20"/>
        <w:szCs w:val="20"/>
      </w:rPr>
      <w:t>20</w:t>
    </w:r>
    <w:r w:rsidR="00CB5A47">
      <w:rPr>
        <w:iCs/>
        <w:sz w:val="20"/>
        <w:szCs w:val="20"/>
      </w:rPr>
      <w:t>09;5(7</w:t>
    </w:r>
    <w:r>
      <w:rPr>
        <w:iCs/>
        <w:sz w:val="20"/>
        <w:szCs w:val="20"/>
      </w:rPr>
      <w:t xml:space="preserve">) </w:t>
    </w:r>
    <w:r>
      <w:rPr>
        <w:sz w:val="20"/>
        <w:szCs w:val="20"/>
      </w:rPr>
      <w:t xml:space="preserve"> </w:t>
    </w:r>
  </w:p>
  <w:p w:rsidR="007E10DF" w:rsidRDefault="007E10DF" w:rsidP="00B3167C">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AA84BD1"/>
    <w:multiLevelType w:val="hybridMultilevel"/>
    <w:tmpl w:val="D384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52313F"/>
    <w:multiLevelType w:val="hybridMultilevel"/>
    <w:tmpl w:val="1C6E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0"/>
    <w:footnote w:id="1"/>
  </w:footnotePr>
  <w:endnotePr>
    <w:endnote w:id="0"/>
    <w:endnote w:id="1"/>
  </w:endnotePr>
  <w:compat/>
  <w:rsids>
    <w:rsidRoot w:val="009459B3"/>
    <w:rsid w:val="00000358"/>
    <w:rsid w:val="00005605"/>
    <w:rsid w:val="00080515"/>
    <w:rsid w:val="00080CE9"/>
    <w:rsid w:val="00081FEB"/>
    <w:rsid w:val="000827B7"/>
    <w:rsid w:val="00090A06"/>
    <w:rsid w:val="0009616C"/>
    <w:rsid w:val="000A1BAC"/>
    <w:rsid w:val="000D6EB2"/>
    <w:rsid w:val="000D7617"/>
    <w:rsid w:val="00117F3A"/>
    <w:rsid w:val="0012291D"/>
    <w:rsid w:val="001817C7"/>
    <w:rsid w:val="001A1267"/>
    <w:rsid w:val="001A1BEC"/>
    <w:rsid w:val="001A2C2B"/>
    <w:rsid w:val="001B41B8"/>
    <w:rsid w:val="001C63E1"/>
    <w:rsid w:val="0026433E"/>
    <w:rsid w:val="002F20CD"/>
    <w:rsid w:val="00314F95"/>
    <w:rsid w:val="00322FAB"/>
    <w:rsid w:val="003443A7"/>
    <w:rsid w:val="00345581"/>
    <w:rsid w:val="003C4106"/>
    <w:rsid w:val="003E32DB"/>
    <w:rsid w:val="00451593"/>
    <w:rsid w:val="00456753"/>
    <w:rsid w:val="00471E57"/>
    <w:rsid w:val="0049143E"/>
    <w:rsid w:val="004A4A03"/>
    <w:rsid w:val="004D0467"/>
    <w:rsid w:val="00506BDC"/>
    <w:rsid w:val="005602F3"/>
    <w:rsid w:val="00593132"/>
    <w:rsid w:val="005C2F35"/>
    <w:rsid w:val="005C3FE0"/>
    <w:rsid w:val="005C668B"/>
    <w:rsid w:val="005C7D5A"/>
    <w:rsid w:val="005D022A"/>
    <w:rsid w:val="005F5E04"/>
    <w:rsid w:val="00627376"/>
    <w:rsid w:val="0065209A"/>
    <w:rsid w:val="0065453C"/>
    <w:rsid w:val="006C444F"/>
    <w:rsid w:val="006D5C2E"/>
    <w:rsid w:val="006E6ACB"/>
    <w:rsid w:val="006F1706"/>
    <w:rsid w:val="0078507E"/>
    <w:rsid w:val="00796EEA"/>
    <w:rsid w:val="007D4C44"/>
    <w:rsid w:val="007D746F"/>
    <w:rsid w:val="007E08BF"/>
    <w:rsid w:val="007E10DF"/>
    <w:rsid w:val="00805E2C"/>
    <w:rsid w:val="00814FA7"/>
    <w:rsid w:val="00854D9E"/>
    <w:rsid w:val="00885535"/>
    <w:rsid w:val="008861A8"/>
    <w:rsid w:val="00887F55"/>
    <w:rsid w:val="008A1858"/>
    <w:rsid w:val="008A20AC"/>
    <w:rsid w:val="008B33B3"/>
    <w:rsid w:val="0091208A"/>
    <w:rsid w:val="00914558"/>
    <w:rsid w:val="00930C19"/>
    <w:rsid w:val="009459B3"/>
    <w:rsid w:val="00952080"/>
    <w:rsid w:val="00952EB8"/>
    <w:rsid w:val="00956D80"/>
    <w:rsid w:val="00960C5A"/>
    <w:rsid w:val="009B04E1"/>
    <w:rsid w:val="009D0AE5"/>
    <w:rsid w:val="00A3476D"/>
    <w:rsid w:val="00A53243"/>
    <w:rsid w:val="00A6002C"/>
    <w:rsid w:val="00AF40F0"/>
    <w:rsid w:val="00B3167C"/>
    <w:rsid w:val="00B60E8D"/>
    <w:rsid w:val="00B6629C"/>
    <w:rsid w:val="00B80C0E"/>
    <w:rsid w:val="00B829C5"/>
    <w:rsid w:val="00BC3E00"/>
    <w:rsid w:val="00BD2A8D"/>
    <w:rsid w:val="00BE6765"/>
    <w:rsid w:val="00BF6579"/>
    <w:rsid w:val="00C07B45"/>
    <w:rsid w:val="00C14F30"/>
    <w:rsid w:val="00C90A55"/>
    <w:rsid w:val="00CB5A47"/>
    <w:rsid w:val="00CE003B"/>
    <w:rsid w:val="00CE7B2F"/>
    <w:rsid w:val="00CF0A88"/>
    <w:rsid w:val="00CF38AC"/>
    <w:rsid w:val="00D05910"/>
    <w:rsid w:val="00D26F2E"/>
    <w:rsid w:val="00D3777A"/>
    <w:rsid w:val="00D73648"/>
    <w:rsid w:val="00D85FE6"/>
    <w:rsid w:val="00DC04A7"/>
    <w:rsid w:val="00DF7353"/>
    <w:rsid w:val="00E64613"/>
    <w:rsid w:val="00EA6E38"/>
    <w:rsid w:val="00EC5C53"/>
    <w:rsid w:val="00ED4441"/>
    <w:rsid w:val="00F31AA7"/>
    <w:rsid w:val="00F454A0"/>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fillcolor="none [3212]" strokecolor="none [3213]">
      <v:fill color="none [3212]" color2="none [664]" angle="-45" focus="-50%" type="gradient"/>
      <v:stroke color="none [3213]" weight="1pt"/>
      <v:shadow on="t" type="perspective" color="none [1608]" opacity=".5" offset="1pt" offset2="-3pt"/>
    </o:shapedefaults>
    <o:shapelayout v:ext="edit">
      <o:idmap v:ext="edit" data="1"/>
      <o:rules v:ext="edit">
        <o:r id="V:Rule14" type="connector" idref="#_x0000_s1040"/>
        <o:r id="V:Rule15" type="connector" idref="#_x0000_s1042"/>
        <o:r id="V:Rule16" type="connector" idref="#_x0000_s1041"/>
        <o:r id="V:Rule17" type="connector" idref="#_x0000_s1044"/>
        <o:r id="V:Rule18" type="connector" idref="#_x0000_s1039"/>
        <o:r id="V:Rule19" type="connector" idref="#_x0000_s1047"/>
        <o:r id="V:Rule20" type="connector" idref="#_x0000_s1043"/>
        <o:r id="V:Rule21" type="connector" idref="#_x0000_s1048"/>
        <o:r id="V:Rule22" type="connector" idref="#_x0000_s1046"/>
        <o:r id="V:Rule23" type="connector" idref="#_x0000_s1037"/>
        <o:r id="V:Rule24" type="connector" idref="#_x0000_s1038"/>
        <o:r id="V:Rule25" type="connector" idref="#_x0000_s1036"/>
        <o:r id="V:Rule26" type="connector" idref="#_x0000_s104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85535"/>
    <w:pPr>
      <w:keepNext/>
      <w:tabs>
        <w:tab w:val="num" w:pos="0"/>
      </w:tabs>
      <w:outlineLvl w:val="0"/>
    </w:pPr>
    <w:rPr>
      <w:b/>
      <w:bCs/>
      <w:sz w:val="32"/>
    </w:rPr>
  </w:style>
  <w:style w:type="paragraph" w:styleId="Heading2">
    <w:name w:val="heading 2"/>
    <w:basedOn w:val="Normal"/>
    <w:next w:val="Normal"/>
    <w:qFormat/>
    <w:rsid w:val="00885535"/>
    <w:pPr>
      <w:keepNext/>
      <w:tabs>
        <w:tab w:val="num" w:pos="0"/>
      </w:tabs>
      <w:jc w:val="both"/>
      <w:outlineLvl w:val="1"/>
    </w:pPr>
    <w:rPr>
      <w:b/>
      <w:sz w:val="28"/>
    </w:rPr>
  </w:style>
  <w:style w:type="paragraph" w:styleId="Heading3">
    <w:name w:val="heading 3"/>
    <w:basedOn w:val="Normal"/>
    <w:next w:val="Normal"/>
    <w:qFormat/>
    <w:rsid w:val="00885535"/>
    <w:pPr>
      <w:keepNext/>
      <w:tabs>
        <w:tab w:val="num" w:pos="0"/>
      </w:tabs>
      <w:spacing w:line="360" w:lineRule="auto"/>
      <w:jc w:val="both"/>
      <w:outlineLvl w:val="2"/>
    </w:pPr>
    <w:rPr>
      <w:b/>
      <w:bCs/>
    </w:rPr>
  </w:style>
  <w:style w:type="paragraph" w:styleId="Heading6">
    <w:name w:val="heading 6"/>
    <w:basedOn w:val="Normal"/>
    <w:next w:val="Normal"/>
    <w:qFormat/>
    <w:rsid w:val="0088553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85535"/>
  </w:style>
  <w:style w:type="character" w:customStyle="1" w:styleId="WW-Absatz-Standardschriftart">
    <w:name w:val="WW-Absatz-Standardschriftart"/>
    <w:rsid w:val="00885535"/>
  </w:style>
  <w:style w:type="character" w:customStyle="1" w:styleId="WW-Absatz-Standardschriftart1">
    <w:name w:val="WW-Absatz-Standardschriftart1"/>
    <w:rsid w:val="00885535"/>
  </w:style>
  <w:style w:type="character" w:customStyle="1" w:styleId="WW-Absatz-Standardschriftart11">
    <w:name w:val="WW-Absatz-Standardschriftart11"/>
    <w:rsid w:val="00885535"/>
  </w:style>
  <w:style w:type="character" w:customStyle="1" w:styleId="WW-Absatz-Standardschriftart111">
    <w:name w:val="WW-Absatz-Standardschriftart111"/>
    <w:rsid w:val="00885535"/>
  </w:style>
  <w:style w:type="character" w:customStyle="1" w:styleId="WW-Absatz-Standardschriftart1111">
    <w:name w:val="WW-Absatz-Standardschriftart1111"/>
    <w:rsid w:val="00885535"/>
  </w:style>
  <w:style w:type="character" w:customStyle="1" w:styleId="WW-Absatz-Standardschriftart11111">
    <w:name w:val="WW-Absatz-Standardschriftart11111"/>
    <w:rsid w:val="00885535"/>
  </w:style>
  <w:style w:type="character" w:customStyle="1" w:styleId="WW-Absatz-Standardschriftart111111">
    <w:name w:val="WW-Absatz-Standardschriftart111111"/>
    <w:rsid w:val="00885535"/>
  </w:style>
  <w:style w:type="character" w:customStyle="1" w:styleId="WW-Absatz-Standardschriftart1111111">
    <w:name w:val="WW-Absatz-Standardschriftart1111111"/>
    <w:rsid w:val="00885535"/>
  </w:style>
  <w:style w:type="character" w:customStyle="1" w:styleId="WW-Absatz-Standardschriftart11111111">
    <w:name w:val="WW-Absatz-Standardschriftart11111111"/>
    <w:rsid w:val="00885535"/>
  </w:style>
  <w:style w:type="character" w:customStyle="1" w:styleId="WW-Absatz-Standardschriftart111111111">
    <w:name w:val="WW-Absatz-Standardschriftart111111111"/>
    <w:rsid w:val="00885535"/>
  </w:style>
  <w:style w:type="character" w:customStyle="1" w:styleId="WW-Absatz-Standardschriftart1111111111">
    <w:name w:val="WW-Absatz-Standardschriftart1111111111"/>
    <w:rsid w:val="00885535"/>
  </w:style>
  <w:style w:type="character" w:customStyle="1" w:styleId="WW-Absatz-Standardschriftart11111111111">
    <w:name w:val="WW-Absatz-Standardschriftart11111111111"/>
    <w:rsid w:val="00885535"/>
  </w:style>
  <w:style w:type="character" w:customStyle="1" w:styleId="WW-Absatz-Standardschriftart111111111111">
    <w:name w:val="WW-Absatz-Standardschriftart111111111111"/>
    <w:rsid w:val="00885535"/>
  </w:style>
  <w:style w:type="character" w:customStyle="1" w:styleId="WW-Absatz-Standardschriftart1111111111111">
    <w:name w:val="WW-Absatz-Standardschriftart1111111111111"/>
    <w:rsid w:val="00885535"/>
  </w:style>
  <w:style w:type="character" w:customStyle="1" w:styleId="WW-Absatz-Standardschriftart11111111111111">
    <w:name w:val="WW-Absatz-Standardschriftart11111111111111"/>
    <w:rsid w:val="00885535"/>
  </w:style>
  <w:style w:type="character" w:customStyle="1" w:styleId="WW-Absatz-Standardschriftart111111111111111">
    <w:name w:val="WW-Absatz-Standardschriftart111111111111111"/>
    <w:rsid w:val="00885535"/>
  </w:style>
  <w:style w:type="character" w:customStyle="1" w:styleId="WW-Absatz-Standardschriftart1111111111111111">
    <w:name w:val="WW-Absatz-Standardschriftart1111111111111111"/>
    <w:rsid w:val="00885535"/>
  </w:style>
  <w:style w:type="character" w:customStyle="1" w:styleId="WW8Num1z0">
    <w:name w:val="WW8Num1z0"/>
    <w:rsid w:val="00885535"/>
    <w:rPr>
      <w:rFonts w:ascii="Symbol" w:eastAsia="Times New Roman" w:hAnsi="Symbol" w:cs="Times New Roman"/>
    </w:rPr>
  </w:style>
  <w:style w:type="character" w:customStyle="1" w:styleId="WW8Num1z1">
    <w:name w:val="WW8Num1z1"/>
    <w:rsid w:val="00885535"/>
    <w:rPr>
      <w:rFonts w:ascii="Courier New" w:hAnsi="Courier New" w:cs="Courier New"/>
    </w:rPr>
  </w:style>
  <w:style w:type="character" w:customStyle="1" w:styleId="WW8Num1z2">
    <w:name w:val="WW8Num1z2"/>
    <w:rsid w:val="00885535"/>
    <w:rPr>
      <w:rFonts w:ascii="Wingdings" w:hAnsi="Wingdings"/>
    </w:rPr>
  </w:style>
  <w:style w:type="character" w:customStyle="1" w:styleId="WW8Num1z3">
    <w:name w:val="WW8Num1z3"/>
    <w:rsid w:val="00885535"/>
    <w:rPr>
      <w:rFonts w:ascii="Symbol" w:hAnsi="Symbol"/>
    </w:rPr>
  </w:style>
  <w:style w:type="character" w:styleId="PageNumber">
    <w:name w:val="page number"/>
    <w:basedOn w:val="DefaultParagraphFont"/>
    <w:rsid w:val="00885535"/>
  </w:style>
  <w:style w:type="character" w:styleId="Hyperlink">
    <w:name w:val="Hyperlink"/>
    <w:basedOn w:val="DefaultParagraphFont"/>
    <w:rsid w:val="00885535"/>
    <w:rPr>
      <w:color w:val="0000FF"/>
      <w:u w:val="single"/>
    </w:rPr>
  </w:style>
  <w:style w:type="character" w:styleId="FollowedHyperlink">
    <w:name w:val="FollowedHyperlink"/>
    <w:basedOn w:val="DefaultParagraphFont"/>
    <w:rsid w:val="00885535"/>
    <w:rPr>
      <w:color w:val="800080"/>
      <w:u w:val="single"/>
    </w:rPr>
  </w:style>
  <w:style w:type="character" w:customStyle="1" w:styleId="NumberingSymbols">
    <w:name w:val="Numbering Symbols"/>
    <w:rsid w:val="00885535"/>
  </w:style>
  <w:style w:type="paragraph" w:customStyle="1" w:styleId="Heading">
    <w:name w:val="Heading"/>
    <w:basedOn w:val="Normal"/>
    <w:next w:val="BodyText"/>
    <w:rsid w:val="00885535"/>
    <w:pPr>
      <w:keepNext/>
      <w:spacing w:before="240" w:after="120"/>
    </w:pPr>
    <w:rPr>
      <w:rFonts w:ascii="Nimbus Sans L" w:eastAsia="DejaVu Sans" w:hAnsi="Nimbus Sans L" w:cs="DejaVu Sans"/>
      <w:sz w:val="28"/>
      <w:szCs w:val="28"/>
    </w:rPr>
  </w:style>
  <w:style w:type="paragraph" w:styleId="BodyText">
    <w:name w:val="Body Text"/>
    <w:basedOn w:val="Normal"/>
    <w:rsid w:val="00885535"/>
    <w:pPr>
      <w:spacing w:line="360" w:lineRule="auto"/>
    </w:pPr>
  </w:style>
  <w:style w:type="paragraph" w:styleId="List">
    <w:name w:val="List"/>
    <w:basedOn w:val="BodyText"/>
    <w:rsid w:val="00885535"/>
  </w:style>
  <w:style w:type="paragraph" w:styleId="Caption">
    <w:name w:val="caption"/>
    <w:basedOn w:val="Normal"/>
    <w:qFormat/>
    <w:rsid w:val="00885535"/>
    <w:pPr>
      <w:suppressLineNumbers/>
      <w:spacing w:before="120" w:after="120"/>
    </w:pPr>
    <w:rPr>
      <w:i/>
      <w:iCs/>
    </w:rPr>
  </w:style>
  <w:style w:type="paragraph" w:customStyle="1" w:styleId="Index">
    <w:name w:val="Index"/>
    <w:basedOn w:val="Normal"/>
    <w:rsid w:val="00885535"/>
    <w:pPr>
      <w:suppressLineNumbers/>
    </w:pPr>
  </w:style>
  <w:style w:type="paragraph" w:styleId="Header">
    <w:name w:val="header"/>
    <w:basedOn w:val="Normal"/>
    <w:next w:val="Heading1"/>
    <w:rsid w:val="00885535"/>
    <w:pPr>
      <w:tabs>
        <w:tab w:val="center" w:pos="4320"/>
        <w:tab w:val="right" w:pos="8640"/>
      </w:tabs>
    </w:pPr>
  </w:style>
  <w:style w:type="paragraph" w:styleId="BodyTextIndent3">
    <w:name w:val="Body Text Indent 3"/>
    <w:basedOn w:val="Normal"/>
    <w:rsid w:val="00885535"/>
    <w:pPr>
      <w:spacing w:line="360" w:lineRule="auto"/>
      <w:ind w:firstLine="720"/>
      <w:jc w:val="both"/>
    </w:pPr>
    <w:rPr>
      <w:b/>
      <w:bCs/>
    </w:rPr>
  </w:style>
  <w:style w:type="paragraph" w:styleId="BodyTextIndent">
    <w:name w:val="Body Text Indent"/>
    <w:basedOn w:val="Normal"/>
    <w:rsid w:val="00885535"/>
    <w:pPr>
      <w:ind w:left="540" w:hanging="720"/>
      <w:jc w:val="both"/>
    </w:pPr>
  </w:style>
  <w:style w:type="paragraph" w:styleId="BodyTextIndent2">
    <w:name w:val="Body Text Indent 2"/>
    <w:basedOn w:val="Normal"/>
    <w:rsid w:val="00885535"/>
    <w:pPr>
      <w:spacing w:line="360" w:lineRule="auto"/>
      <w:ind w:firstLine="720"/>
      <w:jc w:val="both"/>
    </w:pPr>
  </w:style>
  <w:style w:type="paragraph" w:styleId="BodyText2">
    <w:name w:val="Body Text 2"/>
    <w:basedOn w:val="Normal"/>
    <w:rsid w:val="00885535"/>
    <w:pPr>
      <w:spacing w:line="360" w:lineRule="auto"/>
      <w:jc w:val="both"/>
    </w:pPr>
  </w:style>
  <w:style w:type="paragraph" w:styleId="Footer">
    <w:name w:val="footer"/>
    <w:basedOn w:val="Normal"/>
    <w:link w:val="FooterChar"/>
    <w:uiPriority w:val="99"/>
    <w:rsid w:val="00885535"/>
    <w:pPr>
      <w:tabs>
        <w:tab w:val="center" w:pos="4320"/>
        <w:tab w:val="right" w:pos="8640"/>
      </w:tabs>
    </w:pPr>
    <w:rPr>
      <w:sz w:val="32"/>
    </w:rPr>
  </w:style>
  <w:style w:type="paragraph" w:customStyle="1" w:styleId="TableContents">
    <w:name w:val="Table Contents"/>
    <w:basedOn w:val="Normal"/>
    <w:rsid w:val="00885535"/>
    <w:pPr>
      <w:suppressLineNumbers/>
    </w:pPr>
  </w:style>
  <w:style w:type="paragraph" w:customStyle="1" w:styleId="TableHeading">
    <w:name w:val="Table Heading"/>
    <w:basedOn w:val="TableContents"/>
    <w:rsid w:val="00885535"/>
    <w:pPr>
      <w:jc w:val="center"/>
    </w:pPr>
    <w:rPr>
      <w:b/>
      <w:bCs/>
    </w:rPr>
  </w:style>
  <w:style w:type="paragraph" w:customStyle="1" w:styleId="Framecontents">
    <w:name w:val="Frame contents"/>
    <w:basedOn w:val="BodyText"/>
    <w:rsid w:val="00885535"/>
  </w:style>
  <w:style w:type="paragraph" w:customStyle="1" w:styleId="Text">
    <w:name w:val="Text"/>
    <w:basedOn w:val="Normal"/>
    <w:rsid w:val="00885535"/>
    <w:pPr>
      <w:autoSpaceDE w:val="0"/>
      <w:spacing w:line="252" w:lineRule="auto"/>
      <w:ind w:firstLine="202"/>
    </w:pPr>
    <w:rPr>
      <w:rFonts w:eastAsia="PMingLiU"/>
      <w:kern w:val="1"/>
      <w:sz w:val="20"/>
      <w:szCs w:val="20"/>
    </w:rPr>
  </w:style>
  <w:style w:type="paragraph" w:styleId="BalloonText">
    <w:name w:val="Balloon Text"/>
    <w:basedOn w:val="Normal"/>
    <w:link w:val="BalloonTextChar"/>
    <w:uiPriority w:val="99"/>
    <w:semiHidden/>
    <w:unhideWhenUsed/>
    <w:rsid w:val="008861A8"/>
    <w:rPr>
      <w:rFonts w:ascii="Tahoma" w:hAnsi="Tahoma" w:cs="Tahoma"/>
      <w:sz w:val="16"/>
      <w:szCs w:val="16"/>
    </w:rPr>
  </w:style>
  <w:style w:type="character" w:customStyle="1" w:styleId="BalloonTextChar">
    <w:name w:val="Balloon Text Char"/>
    <w:basedOn w:val="DefaultParagraphFont"/>
    <w:link w:val="BalloonText"/>
    <w:uiPriority w:val="99"/>
    <w:semiHidden/>
    <w:rsid w:val="008861A8"/>
    <w:rPr>
      <w:rFonts w:ascii="Tahoma" w:hAnsi="Tahoma" w:cs="Tahoma"/>
      <w:sz w:val="16"/>
      <w:szCs w:val="16"/>
      <w:lang w:eastAsia="ar-SA"/>
    </w:rPr>
  </w:style>
  <w:style w:type="table" w:styleId="TableColumns5">
    <w:name w:val="Table Columns 5"/>
    <w:basedOn w:val="TableNormal"/>
    <w:rsid w:val="00080515"/>
    <w:pPr>
      <w:spacing w:after="200" w:line="276"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59"/>
    <w:rsid w:val="000805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602F3"/>
    <w:pPr>
      <w:ind w:left="720"/>
      <w:contextualSpacing/>
    </w:pPr>
  </w:style>
  <w:style w:type="character" w:customStyle="1" w:styleId="FooterChar">
    <w:name w:val="Footer Char"/>
    <w:basedOn w:val="DefaultParagraphFont"/>
    <w:link w:val="Footer"/>
    <w:uiPriority w:val="99"/>
    <w:rsid w:val="008A1858"/>
    <w:rPr>
      <w:sz w:val="32"/>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oushavakh@yahoo.com"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hyperlink" Target="http://www.iatfglobaloversight.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A720-03BB-4322-B5B3-B401E2B6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5531</Words>
  <Characters>31529</Characters>
  <Application>Microsoft Office Word</Application>
  <DocSecurity>0</DocSecurity>
  <Lines>262</Lines>
  <Paragraphs>73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Paper</vt:lpstr>
      <vt:lpstr>    Figure 1, Relation between three main scope of thesis</vt:lpstr>
      <vt:lpstr>    ,,OTD.-j.=,,j=1-m-,,OTD.-j..-m.          ,        ,OTD.=,,i=1-n-,j=1-m-,OTD-ij..</vt:lpstr>
      <vt:lpstr>    ,UCL-,OTD..=,OTD.+,A-2.,R. ,,  𝐋CL-,OTD..=,OTD.−,A-2.,R.</vt:lpstr>
      <vt:lpstr>    ,UCL-R.=,D-4.,R .,                  ,         UCL-R.=,D-3.,R.</vt:lpstr>
    </vt:vector>
  </TitlesOfParts>
  <Manager>Marsland</Manager>
  <Company>Marsland Press</Company>
  <LinksUpToDate>false</LinksUpToDate>
  <CharactersWithSpaces>36987</CharactersWithSpaces>
  <SharedDoc>false</SharedDoc>
  <HLinks>
    <vt:vector size="24" baseType="variant">
      <vt:variant>
        <vt:i4>852021</vt:i4>
      </vt:variant>
      <vt:variant>
        <vt:i4>9</vt:i4>
      </vt:variant>
      <vt:variant>
        <vt:i4>0</vt:i4>
      </vt:variant>
      <vt:variant>
        <vt:i4>5</vt:i4>
      </vt:variant>
      <vt:variant>
        <vt:lpwstr>mailto:geetakh@gmail.com</vt:lpwstr>
      </vt:variant>
      <vt:variant>
        <vt:lpwstr/>
      </vt:variant>
      <vt:variant>
        <vt:i4>852021</vt:i4>
      </vt:variant>
      <vt:variant>
        <vt:i4>0</vt:i4>
      </vt:variant>
      <vt:variant>
        <vt:i4>0</vt:i4>
      </vt:variant>
      <vt:variant>
        <vt:i4>5</vt:i4>
      </vt:variant>
      <vt:variant>
        <vt:lpwstr>mailto:geetakh@gmail.com</vt:lpwstr>
      </vt:variant>
      <vt:variant>
        <vt:lpwstr/>
      </vt:variant>
      <vt:variant>
        <vt:i4>6946906</vt:i4>
      </vt:variant>
      <vt:variant>
        <vt:i4>8</vt:i4>
      </vt:variant>
      <vt:variant>
        <vt:i4>0</vt:i4>
      </vt:variant>
      <vt:variant>
        <vt:i4>5</vt:i4>
      </vt:variant>
      <vt:variant>
        <vt:lpwstr>mailto:editor@americanscience.org</vt:lpwstr>
      </vt:variant>
      <vt:variant>
        <vt:lpwstr/>
      </vt:variant>
      <vt:variant>
        <vt:i4>4063355</vt:i4>
      </vt:variant>
      <vt:variant>
        <vt:i4>5</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
  <cp:lastModifiedBy>soroush</cp:lastModifiedBy>
  <cp:revision>45</cp:revision>
  <cp:lastPrinted>2008-06-25T12:46:00Z</cp:lastPrinted>
  <dcterms:created xsi:type="dcterms:W3CDTF">2009-11-28T05:17:00Z</dcterms:created>
  <dcterms:modified xsi:type="dcterms:W3CDTF">2009-11-28T14:51:00Z</dcterms:modified>
</cp:coreProperties>
</file>