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DC" w:rsidRPr="00E164B4" w:rsidRDefault="00470EDC" w:rsidP="001464C0">
      <w:pPr>
        <w:pStyle w:val="Heading1"/>
        <w:keepNext w:val="0"/>
        <w:widowControl/>
        <w:snapToGrid w:val="0"/>
        <w:spacing w:line="240" w:lineRule="auto"/>
        <w:ind w:left="0"/>
        <w:jc w:val="center"/>
        <w:rPr>
          <w:rFonts w:cs="Times New Roman"/>
          <w:color w:val="0D0D0D"/>
          <w:sz w:val="20"/>
          <w:szCs w:val="20"/>
        </w:rPr>
      </w:pPr>
      <w:bookmarkStart w:id="0" w:name="_GoBack"/>
      <w:bookmarkEnd w:id="0"/>
      <w:r w:rsidRPr="00E164B4">
        <w:rPr>
          <w:rFonts w:cs="Times New Roman"/>
          <w:color w:val="0D0D0D"/>
          <w:sz w:val="20"/>
          <w:szCs w:val="20"/>
        </w:rPr>
        <w:t>The role of boost dose of radiation after whole breast irradiati</w:t>
      </w:r>
      <w:r w:rsidR="00E02053" w:rsidRPr="00E164B4">
        <w:rPr>
          <w:rFonts w:cs="Times New Roman"/>
          <w:color w:val="0D0D0D"/>
          <w:sz w:val="20"/>
          <w:szCs w:val="20"/>
        </w:rPr>
        <w:t>on in decreasing local recurrence</w:t>
      </w:r>
      <w:r w:rsidRPr="00E164B4">
        <w:rPr>
          <w:rFonts w:cs="Times New Roman"/>
          <w:color w:val="0D0D0D"/>
          <w:sz w:val="20"/>
          <w:szCs w:val="20"/>
        </w:rPr>
        <w:t xml:space="preserve"> in breast conserving therapy of early stage breast carcinoma</w:t>
      </w:r>
    </w:p>
    <w:p w:rsidR="00470EDC" w:rsidRPr="00E164B4" w:rsidRDefault="00470EDC" w:rsidP="001464C0">
      <w:pPr>
        <w:pStyle w:val="Heading1"/>
        <w:keepNext w:val="0"/>
        <w:widowControl/>
        <w:snapToGrid w:val="0"/>
        <w:spacing w:line="240" w:lineRule="auto"/>
        <w:ind w:left="0"/>
        <w:jc w:val="center"/>
        <w:rPr>
          <w:rFonts w:cs="Times New Roman"/>
          <w:color w:val="0D0D0D"/>
          <w:sz w:val="20"/>
          <w:szCs w:val="20"/>
        </w:rPr>
      </w:pPr>
    </w:p>
    <w:p w:rsidR="00470EDC" w:rsidRPr="00E164B4" w:rsidRDefault="00E02053" w:rsidP="001464C0">
      <w:pPr>
        <w:pStyle w:val="Heading1"/>
        <w:keepNext w:val="0"/>
        <w:widowControl/>
        <w:snapToGrid w:val="0"/>
        <w:spacing w:line="240" w:lineRule="auto"/>
        <w:ind w:left="0"/>
        <w:jc w:val="center"/>
        <w:rPr>
          <w:rFonts w:cs="Times New Roman"/>
          <w:b w:val="0"/>
          <w:bCs w:val="0"/>
          <w:color w:val="0D0D0D"/>
          <w:sz w:val="20"/>
          <w:szCs w:val="20"/>
          <w:vertAlign w:val="superscript"/>
        </w:rPr>
      </w:pPr>
      <w:r w:rsidRPr="00E164B4">
        <w:rPr>
          <w:rFonts w:cs="Times New Roman"/>
          <w:b w:val="0"/>
          <w:bCs w:val="0"/>
          <w:color w:val="0D0D0D"/>
          <w:sz w:val="20"/>
          <w:szCs w:val="20"/>
        </w:rPr>
        <w:t>Ahmad</w:t>
      </w:r>
      <w:r w:rsidR="00CE46A7" w:rsidRPr="00E164B4">
        <w:rPr>
          <w:rFonts w:cs="Times New Roman"/>
          <w:b w:val="0"/>
          <w:bCs w:val="0"/>
          <w:color w:val="0D0D0D"/>
          <w:sz w:val="20"/>
          <w:szCs w:val="20"/>
        </w:rPr>
        <w:t xml:space="preserve"> M.</w:t>
      </w:r>
      <w:r w:rsidRPr="00E164B4">
        <w:rPr>
          <w:rFonts w:cs="Times New Roman"/>
          <w:b w:val="0"/>
          <w:bCs w:val="0"/>
          <w:color w:val="0D0D0D"/>
          <w:sz w:val="20"/>
          <w:szCs w:val="20"/>
        </w:rPr>
        <w:t xml:space="preserve"> Alhosainy</w:t>
      </w:r>
      <w:r w:rsidR="005C3368" w:rsidRPr="00E164B4">
        <w:rPr>
          <w:rFonts w:cs="Times New Roman"/>
          <w:b w:val="0"/>
          <w:bCs w:val="0"/>
          <w:color w:val="0D0D0D"/>
          <w:sz w:val="20"/>
          <w:szCs w:val="20"/>
          <w:vertAlign w:val="superscript"/>
        </w:rPr>
        <w:t>1</w:t>
      </w:r>
      <w:r w:rsidR="0061521B" w:rsidRPr="00E164B4">
        <w:rPr>
          <w:rFonts w:cs="Times New Roman"/>
          <w:b w:val="0"/>
          <w:bCs w:val="0"/>
          <w:color w:val="0D0D0D"/>
          <w:sz w:val="20"/>
          <w:szCs w:val="20"/>
        </w:rPr>
        <w:t xml:space="preserve"> and </w:t>
      </w:r>
      <w:r w:rsidR="00CE46A7" w:rsidRPr="00E164B4">
        <w:rPr>
          <w:rFonts w:cs="Times New Roman"/>
          <w:b w:val="0"/>
          <w:bCs w:val="0"/>
          <w:color w:val="0D0D0D"/>
          <w:sz w:val="20"/>
          <w:szCs w:val="20"/>
        </w:rPr>
        <w:t>Abd Elhafez M. Elshewael</w:t>
      </w:r>
      <w:r w:rsidR="000276ED" w:rsidRPr="00E164B4">
        <w:rPr>
          <w:rFonts w:cs="Times New Roman" w:hint="cs"/>
          <w:b w:val="0"/>
          <w:bCs w:val="0"/>
          <w:color w:val="0D0D0D"/>
          <w:sz w:val="20"/>
          <w:szCs w:val="20"/>
          <w:vertAlign w:val="superscript"/>
        </w:rPr>
        <w:t>2</w:t>
      </w:r>
    </w:p>
    <w:p w:rsidR="000276ED" w:rsidRPr="00E164B4" w:rsidRDefault="000276ED" w:rsidP="001464C0">
      <w:pPr>
        <w:snapToGrid w:val="0"/>
        <w:jc w:val="center"/>
        <w:rPr>
          <w:color w:val="0D0D0D"/>
          <w:lang w:eastAsia="en-US"/>
        </w:rPr>
      </w:pPr>
    </w:p>
    <w:p w:rsidR="0061521B" w:rsidRPr="00E164B4" w:rsidRDefault="000276ED" w:rsidP="001464C0">
      <w:pPr>
        <w:snapToGrid w:val="0"/>
        <w:jc w:val="center"/>
        <w:rPr>
          <w:color w:val="0D0D0D"/>
          <w:lang w:bidi="ar-EG"/>
        </w:rPr>
      </w:pPr>
      <w:r w:rsidRPr="00E164B4">
        <w:rPr>
          <w:color w:val="0D0D0D"/>
          <w:vertAlign w:val="superscript"/>
          <w:lang w:bidi="ar-EG"/>
        </w:rPr>
        <w:t>1</w:t>
      </w:r>
      <w:r w:rsidR="0061521B" w:rsidRPr="00E164B4">
        <w:rPr>
          <w:color w:val="0D0D0D"/>
          <w:lang w:bidi="ar-EG"/>
        </w:rPr>
        <w:t xml:space="preserve">Clinical Oncology </w:t>
      </w:r>
      <w:r w:rsidR="00B50905" w:rsidRPr="00E164B4">
        <w:rPr>
          <w:color w:val="0D0D0D"/>
          <w:lang w:bidi="ar-EG"/>
        </w:rPr>
        <w:t>and</w:t>
      </w:r>
      <w:r w:rsidR="0061521B" w:rsidRPr="00E164B4">
        <w:rPr>
          <w:color w:val="0D0D0D"/>
          <w:lang w:bidi="ar-EG"/>
        </w:rPr>
        <w:t xml:space="preserve"> Nuclear Medicine</w:t>
      </w:r>
      <w:r w:rsidRPr="00E164B4">
        <w:rPr>
          <w:color w:val="0D0D0D"/>
          <w:lang w:bidi="ar-EG"/>
        </w:rPr>
        <w:t>,</w:t>
      </w:r>
      <w:r w:rsidR="00B50905" w:rsidRPr="00E164B4">
        <w:rPr>
          <w:color w:val="0D0D0D"/>
          <w:lang w:bidi="ar-EG"/>
        </w:rPr>
        <w:t xml:space="preserve"> </w:t>
      </w:r>
      <w:r w:rsidR="00465EE1" w:rsidRPr="00E164B4">
        <w:rPr>
          <w:color w:val="0D0D0D"/>
          <w:lang w:bidi="ar-EG"/>
        </w:rPr>
        <w:t xml:space="preserve">and </w:t>
      </w:r>
      <w:r w:rsidRPr="00E164B4">
        <w:rPr>
          <w:color w:val="0D0D0D"/>
          <w:vertAlign w:val="superscript"/>
          <w:lang w:bidi="ar-EG"/>
        </w:rPr>
        <w:t>2</w:t>
      </w:r>
      <w:r w:rsidRPr="00E164B4">
        <w:rPr>
          <w:color w:val="0D0D0D"/>
          <w:lang w:bidi="ar-EG"/>
        </w:rPr>
        <w:t>General</w:t>
      </w:r>
      <w:r w:rsidRPr="00E164B4">
        <w:rPr>
          <w:color w:val="0D0D0D"/>
          <w:lang w:val="en-GB" w:bidi="ar-EG"/>
        </w:rPr>
        <w:t xml:space="preserve"> Surgery</w:t>
      </w:r>
      <w:r w:rsidR="0061521B" w:rsidRPr="00E164B4">
        <w:rPr>
          <w:color w:val="0D0D0D"/>
          <w:lang w:bidi="ar-EG"/>
        </w:rPr>
        <w:t xml:space="preserve"> Department</w:t>
      </w:r>
      <w:r w:rsidR="00465EE1" w:rsidRPr="00E164B4">
        <w:rPr>
          <w:color w:val="0D0D0D"/>
          <w:lang w:bidi="ar-EG"/>
        </w:rPr>
        <w:t>s</w:t>
      </w:r>
      <w:r w:rsidR="0061521B" w:rsidRPr="00E164B4">
        <w:rPr>
          <w:color w:val="0D0D0D"/>
          <w:lang w:bidi="ar-EG"/>
        </w:rPr>
        <w:t>, Faculty of Medicine, Zagazyg University, Egypt.</w:t>
      </w:r>
    </w:p>
    <w:p w:rsidR="005B380B" w:rsidRPr="00E164B4" w:rsidRDefault="00380AFC" w:rsidP="001464C0">
      <w:pPr>
        <w:snapToGrid w:val="0"/>
        <w:jc w:val="center"/>
        <w:rPr>
          <w:color w:val="0D0D0D"/>
        </w:rPr>
      </w:pPr>
      <w:hyperlink r:id="rId9" w:history="1">
        <w:r w:rsidR="005B380B" w:rsidRPr="00E164B4">
          <w:rPr>
            <w:color w:val="0D0D0D"/>
            <w:u w:val="single"/>
          </w:rPr>
          <w:t>ahosainy40@yahoo.com</w:t>
        </w:r>
      </w:hyperlink>
    </w:p>
    <w:p w:rsidR="0061521B" w:rsidRPr="00E164B4" w:rsidRDefault="0061521B" w:rsidP="001464C0">
      <w:pPr>
        <w:pStyle w:val="Heading1"/>
        <w:keepNext w:val="0"/>
        <w:widowControl/>
        <w:snapToGrid w:val="0"/>
        <w:spacing w:line="240" w:lineRule="auto"/>
        <w:ind w:left="0"/>
        <w:jc w:val="center"/>
        <w:rPr>
          <w:rFonts w:cs="Times New Roman"/>
          <w:b w:val="0"/>
          <w:bCs w:val="0"/>
          <w:color w:val="0D0D0D"/>
          <w:sz w:val="20"/>
          <w:szCs w:val="20"/>
        </w:rPr>
      </w:pPr>
    </w:p>
    <w:p w:rsidR="00470EDC" w:rsidRPr="00E164B4" w:rsidRDefault="0061521B" w:rsidP="001464C0">
      <w:pPr>
        <w:pStyle w:val="BodyText3"/>
        <w:widowControl/>
        <w:snapToGrid w:val="0"/>
        <w:spacing w:before="0" w:line="240" w:lineRule="auto"/>
        <w:jc w:val="both"/>
        <w:rPr>
          <w:color w:val="0D0D0D"/>
          <w:sz w:val="20"/>
        </w:rPr>
      </w:pPr>
      <w:r w:rsidRPr="00E164B4">
        <w:rPr>
          <w:b/>
          <w:bCs/>
          <w:color w:val="0D0D0D"/>
          <w:sz w:val="20"/>
        </w:rPr>
        <w:t>Abstract</w:t>
      </w:r>
      <w:r w:rsidR="00821865" w:rsidRPr="00E164B4">
        <w:rPr>
          <w:b/>
          <w:bCs/>
          <w:color w:val="0D0D0D"/>
          <w:sz w:val="20"/>
        </w:rPr>
        <w:t>:</w:t>
      </w:r>
      <w:r w:rsidR="00E164B4">
        <w:rPr>
          <w:b/>
          <w:bCs/>
          <w:color w:val="0D0D0D"/>
          <w:sz w:val="20"/>
        </w:rPr>
        <w:t xml:space="preserve"> </w:t>
      </w:r>
      <w:r w:rsidRPr="00E164B4">
        <w:rPr>
          <w:b/>
          <w:bCs/>
          <w:color w:val="0D0D0D"/>
          <w:sz w:val="20"/>
        </w:rPr>
        <w:t>Background:</w:t>
      </w:r>
      <w:r w:rsidR="004B0BFA" w:rsidRPr="00E164B4">
        <w:rPr>
          <w:b/>
          <w:bCs/>
          <w:color w:val="0D0D0D"/>
          <w:sz w:val="20"/>
        </w:rPr>
        <w:t xml:space="preserve"> </w:t>
      </w:r>
      <w:r w:rsidR="00A662B4" w:rsidRPr="00E164B4">
        <w:rPr>
          <w:color w:val="0D0D0D"/>
          <w:sz w:val="20"/>
        </w:rPr>
        <w:t>B</w:t>
      </w:r>
      <w:r w:rsidR="00470EDC" w:rsidRPr="00E164B4">
        <w:rPr>
          <w:color w:val="0D0D0D"/>
          <w:sz w:val="20"/>
        </w:rPr>
        <w:t>reast conserving therapy (BCT) was the recommended modality for treating early stage (I-IIB) br</w:t>
      </w:r>
      <w:r w:rsidR="00E02053" w:rsidRPr="00E164B4">
        <w:rPr>
          <w:color w:val="0D0D0D"/>
          <w:sz w:val="20"/>
        </w:rPr>
        <w:t>east carcinoma. So, decreasing late morbidi</w:t>
      </w:r>
      <w:r w:rsidR="00B50905" w:rsidRPr="00E164B4">
        <w:rPr>
          <w:color w:val="0D0D0D"/>
          <w:sz w:val="20"/>
        </w:rPr>
        <w:t xml:space="preserve">ty </w:t>
      </w:r>
      <w:r w:rsidR="00465EE1" w:rsidRPr="00E164B4">
        <w:rPr>
          <w:color w:val="0D0D0D"/>
          <w:sz w:val="20"/>
        </w:rPr>
        <w:t>o</w:t>
      </w:r>
      <w:r w:rsidR="00470EDC" w:rsidRPr="00E164B4">
        <w:rPr>
          <w:color w:val="0D0D0D"/>
          <w:sz w:val="20"/>
        </w:rPr>
        <w:t xml:space="preserve">f both chemotherapy and radiation therapy becomes one of our targets for the sake of expected long survival with good quality of life. </w:t>
      </w:r>
      <w:r w:rsidR="00470EDC" w:rsidRPr="00E164B4">
        <w:rPr>
          <w:b/>
          <w:bCs/>
          <w:color w:val="0D0D0D"/>
          <w:sz w:val="20"/>
        </w:rPr>
        <w:t>Aim of the study:</w:t>
      </w:r>
      <w:r w:rsidR="00470EDC" w:rsidRPr="00E164B4">
        <w:rPr>
          <w:color w:val="0D0D0D"/>
          <w:sz w:val="20"/>
        </w:rPr>
        <w:t xml:space="preserve"> The aim of this study is the evaluation of the effect of adding boost dose o</w:t>
      </w:r>
      <w:r w:rsidR="00E02053" w:rsidRPr="00E164B4">
        <w:rPr>
          <w:color w:val="0D0D0D"/>
          <w:sz w:val="20"/>
        </w:rPr>
        <w:t>f radiation therapy to the tumo</w:t>
      </w:r>
      <w:r w:rsidR="00470EDC" w:rsidRPr="00E164B4">
        <w:rPr>
          <w:color w:val="0D0D0D"/>
          <w:sz w:val="20"/>
        </w:rPr>
        <w:t>r bed in breast conserving therapy (BCT), significantly affect local recurrence &amp;</w:t>
      </w:r>
      <w:r w:rsidR="00E02053" w:rsidRPr="00E164B4">
        <w:rPr>
          <w:color w:val="0D0D0D"/>
          <w:sz w:val="20"/>
        </w:rPr>
        <w:t xml:space="preserve"> disease free survival (</w:t>
      </w:r>
      <w:r w:rsidR="00470EDC" w:rsidRPr="00E164B4">
        <w:rPr>
          <w:color w:val="0D0D0D"/>
          <w:sz w:val="20"/>
        </w:rPr>
        <w:t>DFS</w:t>
      </w:r>
      <w:r w:rsidR="00E02053" w:rsidRPr="00E164B4">
        <w:rPr>
          <w:color w:val="0D0D0D"/>
          <w:sz w:val="20"/>
        </w:rPr>
        <w:t>)</w:t>
      </w:r>
      <w:r w:rsidR="00470EDC" w:rsidRPr="00E164B4">
        <w:rPr>
          <w:color w:val="0D0D0D"/>
          <w:sz w:val="20"/>
        </w:rPr>
        <w:t xml:space="preserve">. </w:t>
      </w:r>
      <w:r w:rsidR="00465EE1" w:rsidRPr="00E164B4">
        <w:rPr>
          <w:b/>
          <w:bCs/>
          <w:color w:val="0D0D0D"/>
          <w:sz w:val="20"/>
        </w:rPr>
        <w:t>Patients and m</w:t>
      </w:r>
      <w:r w:rsidR="00470EDC" w:rsidRPr="00E164B4">
        <w:rPr>
          <w:b/>
          <w:bCs/>
          <w:color w:val="0D0D0D"/>
          <w:sz w:val="20"/>
        </w:rPr>
        <w:t>ethods</w:t>
      </w:r>
      <w:r w:rsidR="00470EDC" w:rsidRPr="00E164B4">
        <w:rPr>
          <w:color w:val="0D0D0D"/>
          <w:sz w:val="20"/>
        </w:rPr>
        <w:t>: Thirty seven patients</w:t>
      </w:r>
      <w:r w:rsidR="00924DC7" w:rsidRPr="00E164B4">
        <w:rPr>
          <w:color w:val="0D0D0D"/>
          <w:sz w:val="20"/>
        </w:rPr>
        <w:t xml:space="preserve"> were included in this study</w:t>
      </w:r>
      <w:r w:rsidR="00470EDC" w:rsidRPr="00E164B4">
        <w:rPr>
          <w:color w:val="0D0D0D"/>
          <w:sz w:val="20"/>
        </w:rPr>
        <w:t xml:space="preserve"> (age range</w:t>
      </w:r>
      <w:r w:rsidR="00E02053" w:rsidRPr="00E164B4">
        <w:rPr>
          <w:color w:val="0D0D0D"/>
          <w:sz w:val="20"/>
        </w:rPr>
        <w:t xml:space="preserve"> from</w:t>
      </w:r>
      <w:r w:rsidR="00470EDC" w:rsidRPr="00E164B4">
        <w:rPr>
          <w:color w:val="0D0D0D"/>
          <w:sz w:val="20"/>
        </w:rPr>
        <w:t xml:space="preserve"> 35 to 70 y</w:t>
      </w:r>
      <w:r w:rsidR="00E02053" w:rsidRPr="00E164B4">
        <w:rPr>
          <w:color w:val="0D0D0D"/>
          <w:sz w:val="20"/>
        </w:rPr>
        <w:t>ea</w:t>
      </w:r>
      <w:r w:rsidR="00470EDC" w:rsidRPr="00E164B4">
        <w:rPr>
          <w:color w:val="0D0D0D"/>
          <w:sz w:val="20"/>
        </w:rPr>
        <w:t xml:space="preserve">rs, mean age 53 </w:t>
      </w:r>
      <w:r w:rsidR="00470EDC" w:rsidRPr="00E164B4">
        <w:rPr>
          <w:color w:val="0D0D0D"/>
          <w:sz w:val="20"/>
        </w:rPr>
        <w:sym w:font="Symbol" w:char="F0B1"/>
      </w:r>
      <w:r w:rsidR="00465EE1" w:rsidRPr="00E164B4">
        <w:rPr>
          <w:color w:val="0D0D0D"/>
          <w:sz w:val="20"/>
        </w:rPr>
        <w:t xml:space="preserve"> 3.84), a</w:t>
      </w:r>
      <w:r w:rsidR="00470EDC" w:rsidRPr="00E164B4">
        <w:rPr>
          <w:color w:val="0D0D0D"/>
          <w:sz w:val="20"/>
        </w:rPr>
        <w:t>ll have an early stage breast carcinoma (stage I-II B) and treated surgically with breast conserving surgery (lumpectomy + axillary clearance level one and two lymphaden</w:t>
      </w:r>
      <w:r w:rsidR="00465EE1" w:rsidRPr="00E164B4">
        <w:rPr>
          <w:color w:val="0D0D0D"/>
          <w:sz w:val="20"/>
        </w:rPr>
        <w:t>e</w:t>
      </w:r>
      <w:r w:rsidR="00470EDC" w:rsidRPr="00E164B4">
        <w:rPr>
          <w:color w:val="0D0D0D"/>
          <w:sz w:val="20"/>
        </w:rPr>
        <w:t>ctomy), followed by adjuvant chemoradiothe</w:t>
      </w:r>
      <w:r w:rsidR="00E02053" w:rsidRPr="00E164B4">
        <w:rPr>
          <w:color w:val="0D0D0D"/>
          <w:sz w:val="20"/>
        </w:rPr>
        <w:t>rapy without boost dose to tumo</w:t>
      </w:r>
      <w:r w:rsidR="00470EDC" w:rsidRPr="00E164B4">
        <w:rPr>
          <w:color w:val="0D0D0D"/>
          <w:sz w:val="20"/>
        </w:rPr>
        <w:t>r bed, using 3-D conformal radiation therapy this group (A) w</w:t>
      </w:r>
      <w:r w:rsidR="00E02053" w:rsidRPr="00E164B4">
        <w:rPr>
          <w:color w:val="0D0D0D"/>
          <w:sz w:val="20"/>
        </w:rPr>
        <w:t>as, compared to a historical ret</w:t>
      </w:r>
      <w:r w:rsidR="00470EDC" w:rsidRPr="00E164B4">
        <w:rPr>
          <w:color w:val="0D0D0D"/>
          <w:sz w:val="20"/>
        </w:rPr>
        <w:t>rospective group (B), of 40 patients with the same crite</w:t>
      </w:r>
      <w:r w:rsidR="00E02053" w:rsidRPr="00E164B4">
        <w:rPr>
          <w:color w:val="0D0D0D"/>
          <w:sz w:val="20"/>
        </w:rPr>
        <w:t>ria but with boost dose to tumo</w:t>
      </w:r>
      <w:r w:rsidR="00470EDC" w:rsidRPr="00E164B4">
        <w:rPr>
          <w:color w:val="0D0D0D"/>
          <w:sz w:val="20"/>
        </w:rPr>
        <w:t>r bed.</w:t>
      </w:r>
      <w:r w:rsidR="00E164B4">
        <w:rPr>
          <w:color w:val="0D0D0D"/>
          <w:sz w:val="20"/>
        </w:rPr>
        <w:t xml:space="preserve"> </w:t>
      </w:r>
      <w:r w:rsidR="00470EDC" w:rsidRPr="00E164B4">
        <w:rPr>
          <w:b/>
          <w:bCs/>
          <w:color w:val="0D0D0D"/>
          <w:sz w:val="20"/>
        </w:rPr>
        <w:t>Results:</w:t>
      </w:r>
      <w:r w:rsidR="00470EDC" w:rsidRPr="00E164B4">
        <w:rPr>
          <w:color w:val="0D0D0D"/>
          <w:sz w:val="20"/>
        </w:rPr>
        <w:t xml:space="preserve"> The 3-year disease free survival (DFS) was 78% in grou</w:t>
      </w:r>
      <w:r w:rsidR="00E02053" w:rsidRPr="00E164B4">
        <w:rPr>
          <w:color w:val="0D0D0D"/>
          <w:sz w:val="20"/>
        </w:rPr>
        <w:t>p A compared to 83% in group B (P&gt; 0.</w:t>
      </w:r>
      <w:r w:rsidR="00470EDC" w:rsidRPr="00E164B4">
        <w:rPr>
          <w:color w:val="0D0D0D"/>
          <w:sz w:val="20"/>
        </w:rPr>
        <w:t>05</w:t>
      </w:r>
      <w:r w:rsidR="00E02053" w:rsidRPr="00E164B4">
        <w:rPr>
          <w:color w:val="0D0D0D"/>
          <w:sz w:val="20"/>
        </w:rPr>
        <w:t>)</w:t>
      </w:r>
      <w:r w:rsidR="00470EDC" w:rsidRPr="00E164B4">
        <w:rPr>
          <w:color w:val="0D0D0D"/>
          <w:sz w:val="20"/>
        </w:rPr>
        <w:t>. On the other hand, boost dose of radiation decrease</w:t>
      </w:r>
      <w:r w:rsidR="00E02053" w:rsidRPr="00E164B4">
        <w:rPr>
          <w:color w:val="0D0D0D"/>
          <w:sz w:val="20"/>
        </w:rPr>
        <w:t>s</w:t>
      </w:r>
      <w:r w:rsidR="00470EDC" w:rsidRPr="00E164B4">
        <w:rPr>
          <w:color w:val="0D0D0D"/>
          <w:sz w:val="20"/>
        </w:rPr>
        <w:t xml:space="preserve"> local recurrence </w:t>
      </w:r>
      <w:r w:rsidR="00525BB3" w:rsidRPr="00E164B4">
        <w:rPr>
          <w:color w:val="0D0D0D"/>
          <w:sz w:val="20"/>
        </w:rPr>
        <w:t>as a cause of failure by about 5% (22% versus 1</w:t>
      </w:r>
      <w:r w:rsidR="00470EDC" w:rsidRPr="00E164B4">
        <w:rPr>
          <w:color w:val="0D0D0D"/>
          <w:sz w:val="20"/>
        </w:rPr>
        <w:t>7% in group</w:t>
      </w:r>
      <w:r w:rsidR="00950691">
        <w:rPr>
          <w:color w:val="0D0D0D"/>
          <w:sz w:val="20"/>
        </w:rPr>
        <w:t>s</w:t>
      </w:r>
      <w:r w:rsidR="00470EDC" w:rsidRPr="00E164B4">
        <w:rPr>
          <w:color w:val="0D0D0D"/>
          <w:sz w:val="20"/>
        </w:rPr>
        <w:t xml:space="preserve"> A &amp; B respectively) </w:t>
      </w:r>
      <w:r w:rsidR="00470EDC" w:rsidRPr="00E164B4">
        <w:rPr>
          <w:i/>
          <w:iCs/>
          <w:color w:val="0D0D0D"/>
          <w:sz w:val="20"/>
        </w:rPr>
        <w:t>P</w:t>
      </w:r>
      <w:r w:rsidR="00470EDC" w:rsidRPr="00E164B4">
        <w:rPr>
          <w:color w:val="0D0D0D"/>
          <w:sz w:val="20"/>
        </w:rPr>
        <w:t xml:space="preserve"> &gt; 0.05. In group A most patients who achieved local failure were below the age of 45 years (82.6%) compared to 76.2% in group B, (</w:t>
      </w:r>
      <w:r w:rsidR="00470EDC" w:rsidRPr="00E164B4">
        <w:rPr>
          <w:i/>
          <w:iCs/>
          <w:color w:val="0D0D0D"/>
          <w:sz w:val="20"/>
        </w:rPr>
        <w:t>P</w:t>
      </w:r>
      <w:r w:rsidR="00693B69" w:rsidRPr="00E164B4">
        <w:rPr>
          <w:color w:val="0D0D0D"/>
          <w:sz w:val="20"/>
        </w:rPr>
        <w:t xml:space="preserve"> &gt; 0.05). In group B</w:t>
      </w:r>
      <w:r w:rsidR="00470EDC" w:rsidRPr="00E164B4">
        <w:rPr>
          <w:color w:val="0D0D0D"/>
          <w:sz w:val="20"/>
        </w:rPr>
        <w:t>, breast fibrosis as a late effect of radiation was 11% compared to 8.73% in group</w:t>
      </w:r>
      <w:r w:rsidR="00FC2955" w:rsidRPr="00E164B4">
        <w:rPr>
          <w:color w:val="0D0D0D"/>
          <w:sz w:val="20"/>
        </w:rPr>
        <w:t xml:space="preserve"> A</w:t>
      </w:r>
      <w:r w:rsidR="00470EDC" w:rsidRPr="00E164B4">
        <w:rPr>
          <w:color w:val="0D0D0D"/>
          <w:sz w:val="20"/>
        </w:rPr>
        <w:t xml:space="preserve"> (</w:t>
      </w:r>
      <w:r w:rsidR="00470EDC" w:rsidRPr="00E164B4">
        <w:rPr>
          <w:i/>
          <w:iCs/>
          <w:color w:val="0D0D0D"/>
          <w:sz w:val="20"/>
        </w:rPr>
        <w:t>P</w:t>
      </w:r>
      <w:r w:rsidR="00470EDC" w:rsidRPr="00E164B4">
        <w:rPr>
          <w:color w:val="0D0D0D"/>
          <w:sz w:val="20"/>
        </w:rPr>
        <w:t xml:space="preserve"> </w:t>
      </w:r>
      <w:r w:rsidR="00470EDC" w:rsidRPr="00E164B4">
        <w:rPr>
          <w:color w:val="0D0D0D"/>
          <w:sz w:val="20"/>
        </w:rPr>
        <w:sym w:font="Symbol" w:char="F0B3"/>
      </w:r>
      <w:r w:rsidR="00470EDC" w:rsidRPr="00E164B4">
        <w:rPr>
          <w:color w:val="0D0D0D"/>
          <w:sz w:val="20"/>
        </w:rPr>
        <w:t xml:space="preserve"> 0.05) without statistically significant difference. </w:t>
      </w:r>
      <w:r w:rsidR="00470EDC" w:rsidRPr="00E164B4">
        <w:rPr>
          <w:b/>
          <w:bCs/>
          <w:color w:val="0D0D0D"/>
          <w:sz w:val="20"/>
        </w:rPr>
        <w:t>Conclusion</w:t>
      </w:r>
      <w:r w:rsidR="00E164B4">
        <w:rPr>
          <w:b/>
          <w:bCs/>
          <w:color w:val="0D0D0D"/>
          <w:sz w:val="20"/>
        </w:rPr>
        <w:t>:</w:t>
      </w:r>
      <w:r w:rsidR="00470EDC" w:rsidRPr="00E164B4">
        <w:rPr>
          <w:color w:val="0D0D0D"/>
          <w:sz w:val="20"/>
        </w:rPr>
        <w:t xml:space="preserve"> In early stage breast cancer (I-IIB), giving a </w:t>
      </w:r>
      <w:r w:rsidR="00FC2955" w:rsidRPr="00E164B4">
        <w:rPr>
          <w:color w:val="0D0D0D"/>
          <w:sz w:val="20"/>
        </w:rPr>
        <w:t>boost dose of radiation to tumo</w:t>
      </w:r>
      <w:r w:rsidR="00470EDC" w:rsidRPr="00E164B4">
        <w:rPr>
          <w:color w:val="0D0D0D"/>
          <w:sz w:val="20"/>
        </w:rPr>
        <w:t>r bed (12 Gy) insignificantly decreases local failure with improvement of 3-years disease free survi</w:t>
      </w:r>
      <w:r w:rsidR="00FC2955" w:rsidRPr="00E164B4">
        <w:rPr>
          <w:color w:val="0D0D0D"/>
          <w:sz w:val="20"/>
        </w:rPr>
        <w:t>val on the sake</w:t>
      </w:r>
      <w:r w:rsidR="00924DC7" w:rsidRPr="00E164B4">
        <w:rPr>
          <w:color w:val="0D0D0D"/>
          <w:sz w:val="20"/>
        </w:rPr>
        <w:t xml:space="preserve"> of increasing grade III</w:t>
      </w:r>
      <w:r w:rsidR="00470EDC" w:rsidRPr="00E164B4">
        <w:rPr>
          <w:color w:val="0D0D0D"/>
          <w:sz w:val="20"/>
        </w:rPr>
        <w:t xml:space="preserve"> breast fibrosis as a late radiation toxicity.</w:t>
      </w:r>
    </w:p>
    <w:p w:rsidR="001464C0" w:rsidRPr="00E164B4" w:rsidRDefault="001464C0" w:rsidP="001464C0">
      <w:pPr>
        <w:pStyle w:val="NoSpacing"/>
        <w:bidi w:val="0"/>
        <w:snapToGrid w:val="0"/>
        <w:jc w:val="both"/>
        <w:rPr>
          <w:rFonts w:ascii="Times New Roman" w:hAnsi="Times New Roman" w:cs="Times New Roman"/>
          <w:sz w:val="20"/>
          <w:szCs w:val="20"/>
        </w:rPr>
      </w:pPr>
      <w:r w:rsidRPr="00E164B4">
        <w:rPr>
          <w:rFonts w:ascii="Times New Roman" w:eastAsiaTheme="minorEastAsia" w:hAnsi="Times New Roman" w:cs="Times New Roman" w:hint="eastAsia"/>
          <w:color w:val="0D0D0D"/>
          <w:sz w:val="20"/>
          <w:szCs w:val="20"/>
          <w:lang w:eastAsia="zh-CN"/>
        </w:rPr>
        <w:t>[</w:t>
      </w:r>
      <w:r w:rsidR="0061521B" w:rsidRPr="00E164B4">
        <w:rPr>
          <w:rFonts w:ascii="Times New Roman" w:hAnsi="Times New Roman" w:cs="Times New Roman"/>
          <w:color w:val="0D0D0D"/>
          <w:sz w:val="20"/>
          <w:szCs w:val="20"/>
        </w:rPr>
        <w:t>Ahmad M. Alhosainy and Abd Elhafez M. Elshewael</w:t>
      </w:r>
      <w:r w:rsidRPr="00E164B4">
        <w:rPr>
          <w:rFonts w:ascii="Times New Roman" w:eastAsiaTheme="minorEastAsia" w:hAnsi="Times New Roman" w:cs="Times New Roman" w:hint="eastAsia"/>
          <w:color w:val="0D0D0D"/>
          <w:sz w:val="20"/>
          <w:szCs w:val="20"/>
          <w:lang w:eastAsia="zh-CN"/>
        </w:rPr>
        <w:t>.</w:t>
      </w:r>
      <w:r w:rsidR="0061521B" w:rsidRPr="00E164B4">
        <w:rPr>
          <w:rFonts w:ascii="Times New Roman" w:hAnsi="Times New Roman" w:cs="Times New Roman"/>
          <w:color w:val="0D0D0D"/>
          <w:sz w:val="20"/>
          <w:szCs w:val="20"/>
        </w:rPr>
        <w:t xml:space="preserve"> </w:t>
      </w:r>
      <w:r w:rsidR="0061521B" w:rsidRPr="00E164B4">
        <w:rPr>
          <w:rFonts w:ascii="Times New Roman" w:hAnsi="Times New Roman" w:cs="Times New Roman"/>
          <w:b/>
          <w:bCs/>
          <w:color w:val="0D0D0D"/>
          <w:sz w:val="20"/>
          <w:szCs w:val="20"/>
        </w:rPr>
        <w:t>The role of boost dose of radiation after whole breast irradiation in decreasing local recurrence in breast conserving therapy of early stage breast carcinoma</w:t>
      </w:r>
      <w:r w:rsidRPr="00E164B4">
        <w:rPr>
          <w:rFonts w:ascii="Times New Roman" w:eastAsia="Times New Roman" w:hAnsi="Times New Roman" w:cs="Times New Roman"/>
          <w:b/>
          <w:bCs/>
          <w:sz w:val="20"/>
          <w:szCs w:val="20"/>
          <w:lang w:bidi="fa-IR"/>
        </w:rPr>
        <w:t>.</w:t>
      </w:r>
      <w:r w:rsidRPr="00E164B4">
        <w:rPr>
          <w:rFonts w:ascii="Times New Roman" w:hAnsi="Times New Roman" w:cs="Times New Roman"/>
          <w:i/>
          <w:sz w:val="20"/>
          <w:szCs w:val="20"/>
        </w:rPr>
        <w:t xml:space="preserve"> Cancer Biology</w:t>
      </w:r>
      <w:r w:rsidRPr="00E164B4">
        <w:rPr>
          <w:rFonts w:ascii="Times New Roman" w:hAnsi="Times New Roman" w:cs="Times New Roman"/>
          <w:sz w:val="20"/>
          <w:szCs w:val="20"/>
        </w:rPr>
        <w:t xml:space="preserve"> 201</w:t>
      </w:r>
      <w:r w:rsidRPr="00E164B4">
        <w:rPr>
          <w:rFonts w:ascii="Times New Roman" w:hAnsi="Times New Roman" w:cs="Times New Roman" w:hint="eastAsia"/>
          <w:sz w:val="20"/>
          <w:szCs w:val="20"/>
        </w:rPr>
        <w:t>5</w:t>
      </w:r>
      <w:r w:rsidRPr="00E164B4">
        <w:rPr>
          <w:rFonts w:ascii="Times New Roman" w:hAnsi="Times New Roman" w:cs="Times New Roman"/>
          <w:sz w:val="20"/>
          <w:szCs w:val="20"/>
        </w:rPr>
        <w:t>;</w:t>
      </w:r>
      <w:r w:rsidRPr="00E164B4">
        <w:rPr>
          <w:rFonts w:ascii="Times New Roman" w:hAnsi="Times New Roman" w:cs="Times New Roman" w:hint="eastAsia"/>
          <w:sz w:val="20"/>
          <w:szCs w:val="20"/>
        </w:rPr>
        <w:t>5</w:t>
      </w:r>
      <w:r w:rsidRPr="00E164B4">
        <w:rPr>
          <w:rFonts w:ascii="Times New Roman" w:hAnsi="Times New Roman" w:cs="Times New Roman"/>
          <w:sz w:val="20"/>
          <w:szCs w:val="20"/>
        </w:rPr>
        <w:t>(</w:t>
      </w:r>
      <w:r w:rsidRPr="00E164B4">
        <w:rPr>
          <w:rFonts w:ascii="Times New Roman" w:hAnsi="Times New Roman" w:cs="Times New Roman" w:hint="eastAsia"/>
          <w:sz w:val="20"/>
          <w:szCs w:val="20"/>
        </w:rPr>
        <w:t>3</w:t>
      </w:r>
      <w:r w:rsidRPr="00E164B4">
        <w:rPr>
          <w:rFonts w:ascii="Times New Roman" w:hAnsi="Times New Roman" w:cs="Times New Roman"/>
          <w:sz w:val="20"/>
          <w:szCs w:val="20"/>
        </w:rPr>
        <w:t>):</w:t>
      </w:r>
      <w:r w:rsidR="00572A1B" w:rsidRPr="00E164B4">
        <w:rPr>
          <w:rFonts w:ascii="Times New Roman" w:hAnsi="Times New Roman" w:cs="Times New Roman"/>
          <w:noProof/>
          <w:color w:val="000000"/>
          <w:sz w:val="20"/>
          <w:szCs w:val="20"/>
        </w:rPr>
        <w:t>185</w:t>
      </w:r>
      <w:r w:rsidRPr="00E164B4">
        <w:rPr>
          <w:rFonts w:ascii="Times New Roman" w:hAnsi="Times New Roman" w:cs="Times New Roman"/>
          <w:color w:val="000000"/>
          <w:sz w:val="20"/>
          <w:szCs w:val="20"/>
        </w:rPr>
        <w:t>-</w:t>
      </w:r>
      <w:r w:rsidR="00572A1B" w:rsidRPr="00E164B4">
        <w:rPr>
          <w:rFonts w:ascii="Times New Roman" w:hAnsi="Times New Roman" w:cs="Times New Roman"/>
          <w:noProof/>
          <w:color w:val="000000"/>
          <w:sz w:val="20"/>
          <w:szCs w:val="20"/>
        </w:rPr>
        <w:t>190</w:t>
      </w:r>
      <w:r w:rsidRPr="00E164B4">
        <w:rPr>
          <w:rFonts w:ascii="Times New Roman" w:hAnsi="Times New Roman" w:cs="Times New Roman"/>
          <w:sz w:val="20"/>
          <w:szCs w:val="20"/>
        </w:rPr>
        <w:t>]. (ISSN:</w:t>
      </w:r>
      <w:r w:rsidRPr="00E164B4">
        <w:rPr>
          <w:rStyle w:val="Absatz-Standardschriftart"/>
          <w:rFonts w:ascii="Times New Roman" w:eastAsia="宋" w:hAnsi="Times New Roman" w:cs="Times New Roman"/>
          <w:b/>
          <w:sz w:val="20"/>
          <w:szCs w:val="20"/>
        </w:rPr>
        <w:t xml:space="preserve"> </w:t>
      </w:r>
      <w:r w:rsidRPr="00E164B4">
        <w:rPr>
          <w:rStyle w:val="msonormal0"/>
          <w:rFonts w:ascii="Times New Roman" w:eastAsia="宋" w:hAnsi="Times New Roman" w:cs="Times New Roman"/>
          <w:sz w:val="20"/>
          <w:szCs w:val="20"/>
        </w:rPr>
        <w:t>2150-1041</w:t>
      </w:r>
      <w:r w:rsidRPr="00E164B4">
        <w:rPr>
          <w:rFonts w:ascii="Times New Roman" w:hAnsi="Times New Roman" w:cs="Times New Roman"/>
          <w:sz w:val="20"/>
          <w:szCs w:val="20"/>
        </w:rPr>
        <w:t xml:space="preserve">). </w:t>
      </w:r>
      <w:hyperlink r:id="rId10" w:history="1">
        <w:r w:rsidRPr="00E164B4">
          <w:rPr>
            <w:rStyle w:val="Hyperlink"/>
            <w:rFonts w:ascii="Times New Roman" w:hAnsi="Times New Roman" w:cs="Times New Roman"/>
            <w:sz w:val="20"/>
            <w:szCs w:val="20"/>
          </w:rPr>
          <w:t>http://www.cancerbio.net</w:t>
        </w:r>
      </w:hyperlink>
      <w:r w:rsidRPr="00E164B4">
        <w:rPr>
          <w:rFonts w:ascii="Times New Roman" w:hAnsi="Times New Roman" w:cs="Times New Roman"/>
          <w:sz w:val="20"/>
          <w:szCs w:val="20"/>
        </w:rPr>
        <w:t>.</w:t>
      </w:r>
      <w:r w:rsidRPr="00E164B4">
        <w:rPr>
          <w:rFonts w:ascii="Times New Roman" w:hAnsi="Times New Roman" w:cs="Times New Roman" w:hint="eastAsia"/>
          <w:sz w:val="20"/>
          <w:szCs w:val="20"/>
        </w:rPr>
        <w:t xml:space="preserve"> </w:t>
      </w:r>
      <w:r w:rsidRPr="00E164B4">
        <w:rPr>
          <w:rFonts w:ascii="Times New Roman" w:eastAsiaTheme="minorEastAsia" w:hAnsi="Times New Roman" w:cs="Times New Roman" w:hint="eastAsia"/>
          <w:sz w:val="20"/>
          <w:szCs w:val="20"/>
          <w:lang w:eastAsia="zh-CN"/>
        </w:rPr>
        <w:t>16</w:t>
      </w:r>
      <w:r w:rsidRPr="00E164B4">
        <w:rPr>
          <w:rFonts w:ascii="Times New Roman" w:hAnsi="Times New Roman" w:cs="Times New Roman" w:hint="eastAsia"/>
          <w:sz w:val="20"/>
          <w:szCs w:val="20"/>
        </w:rPr>
        <w:t xml:space="preserve">. </w:t>
      </w:r>
      <w:r w:rsidRPr="00E164B4">
        <w:rPr>
          <w:rFonts w:ascii="Times New Roman" w:hAnsi="Times New Roman" w:cs="Times New Roman"/>
          <w:color w:val="000000"/>
          <w:sz w:val="20"/>
          <w:szCs w:val="20"/>
          <w:shd w:val="clear" w:color="auto" w:fill="FFFFFF"/>
        </w:rPr>
        <w:t>doi:</w:t>
      </w:r>
      <w:hyperlink r:id="rId11" w:history="1">
        <w:r w:rsidRPr="00E164B4">
          <w:rPr>
            <w:rStyle w:val="Hyperlink"/>
            <w:rFonts w:ascii="Times New Roman" w:hAnsi="Times New Roman" w:cs="Times New Roman"/>
            <w:sz w:val="20"/>
            <w:szCs w:val="20"/>
            <w:shd w:val="clear" w:color="auto" w:fill="FFFFFF"/>
          </w:rPr>
          <w:t>10.7537/mars</w:t>
        </w:r>
        <w:r w:rsidRPr="00E164B4">
          <w:rPr>
            <w:rStyle w:val="Hyperlink"/>
            <w:rFonts w:ascii="Times New Roman" w:hAnsi="Times New Roman" w:cs="Times New Roman" w:hint="eastAsia"/>
            <w:sz w:val="20"/>
            <w:szCs w:val="20"/>
            <w:shd w:val="clear" w:color="auto" w:fill="FFFFFF"/>
          </w:rPr>
          <w:t>cbj0503</w:t>
        </w:r>
        <w:r w:rsidRPr="00E164B4">
          <w:rPr>
            <w:rStyle w:val="Hyperlink"/>
            <w:rFonts w:ascii="Times New Roman" w:hAnsi="Times New Roman" w:cs="Times New Roman"/>
            <w:sz w:val="20"/>
            <w:szCs w:val="20"/>
            <w:shd w:val="clear" w:color="auto" w:fill="FFFFFF"/>
          </w:rPr>
          <w:t>15.</w:t>
        </w:r>
        <w:r w:rsidRPr="00E164B4">
          <w:rPr>
            <w:rStyle w:val="Hyperlink"/>
            <w:rFonts w:ascii="Times New Roman" w:eastAsiaTheme="minorEastAsia" w:hAnsi="Times New Roman" w:cs="Times New Roman" w:hint="eastAsia"/>
            <w:sz w:val="20"/>
            <w:szCs w:val="20"/>
            <w:shd w:val="clear" w:color="auto" w:fill="FFFFFF"/>
            <w:lang w:eastAsia="zh-CN"/>
          </w:rPr>
          <w:t>16</w:t>
        </w:r>
      </w:hyperlink>
      <w:r w:rsidRPr="00E164B4">
        <w:rPr>
          <w:rFonts w:ascii="Times New Roman" w:hAnsi="Times New Roman" w:cs="Times New Roman"/>
          <w:color w:val="000000"/>
          <w:sz w:val="20"/>
          <w:szCs w:val="20"/>
          <w:shd w:val="clear" w:color="auto" w:fill="FFFFFF"/>
        </w:rPr>
        <w:t>.</w:t>
      </w:r>
    </w:p>
    <w:p w:rsidR="0061521B" w:rsidRPr="00E164B4" w:rsidRDefault="0061521B" w:rsidP="001464C0">
      <w:pPr>
        <w:pStyle w:val="NoSpacing"/>
        <w:bidi w:val="0"/>
        <w:snapToGrid w:val="0"/>
        <w:jc w:val="both"/>
        <w:rPr>
          <w:rFonts w:ascii="Times New Roman" w:hAnsi="Times New Roman" w:cs="Times New Roman"/>
          <w:b/>
          <w:bCs/>
          <w:color w:val="0D0D0D"/>
          <w:sz w:val="20"/>
          <w:szCs w:val="20"/>
        </w:rPr>
      </w:pPr>
    </w:p>
    <w:p w:rsidR="00470EDC" w:rsidRPr="00E164B4" w:rsidRDefault="00470EDC" w:rsidP="001464C0">
      <w:pPr>
        <w:widowControl/>
        <w:snapToGrid w:val="0"/>
        <w:jc w:val="both"/>
        <w:rPr>
          <w:color w:val="0D0D0D"/>
        </w:rPr>
      </w:pPr>
      <w:r w:rsidRPr="00E164B4">
        <w:rPr>
          <w:b/>
          <w:bCs/>
          <w:color w:val="0D0D0D"/>
        </w:rPr>
        <w:t>Keywords</w:t>
      </w:r>
      <w:r w:rsidR="00E164B4">
        <w:rPr>
          <w:b/>
          <w:bCs/>
          <w:color w:val="0D0D0D"/>
        </w:rPr>
        <w:t>:</w:t>
      </w:r>
      <w:r w:rsidRPr="00E164B4">
        <w:rPr>
          <w:b/>
          <w:bCs/>
          <w:color w:val="0D0D0D"/>
        </w:rPr>
        <w:t xml:space="preserve"> </w:t>
      </w:r>
      <w:r w:rsidRPr="00E164B4">
        <w:rPr>
          <w:color w:val="0D0D0D"/>
        </w:rPr>
        <w:t>BCT, boost radiation dose, local recurrence, DFS.</w:t>
      </w:r>
    </w:p>
    <w:p w:rsidR="001464C0" w:rsidRPr="00E164B4" w:rsidRDefault="001464C0" w:rsidP="001464C0">
      <w:pPr>
        <w:widowControl/>
        <w:snapToGrid w:val="0"/>
        <w:jc w:val="both"/>
        <w:rPr>
          <w:b/>
          <w:bCs/>
          <w:color w:val="0D0D0D"/>
        </w:rPr>
      </w:pPr>
    </w:p>
    <w:p w:rsidR="001464C0" w:rsidRPr="00E164B4" w:rsidRDefault="001464C0" w:rsidP="001464C0">
      <w:pPr>
        <w:widowControl/>
        <w:snapToGrid w:val="0"/>
        <w:jc w:val="both"/>
        <w:rPr>
          <w:b/>
          <w:bCs/>
          <w:color w:val="0D0D0D"/>
        </w:rPr>
        <w:sectPr w:rsidR="001464C0" w:rsidRPr="00E164B4" w:rsidSect="00572A1B">
          <w:headerReference w:type="even" r:id="rId12"/>
          <w:headerReference w:type="default" r:id="rId13"/>
          <w:footerReference w:type="default" r:id="rId14"/>
          <w:type w:val="continuous"/>
          <w:pgSz w:w="12242" w:h="15842" w:code="1"/>
          <w:pgMar w:top="1440" w:right="1440" w:bottom="1440" w:left="1440" w:header="720" w:footer="720" w:gutter="0"/>
          <w:pgNumType w:start="185"/>
          <w:cols w:space="60"/>
          <w:noEndnote/>
          <w:docGrid w:linePitch="272"/>
        </w:sectPr>
      </w:pPr>
    </w:p>
    <w:p w:rsidR="00470EDC" w:rsidRPr="00E164B4" w:rsidRDefault="0061521B" w:rsidP="001464C0">
      <w:pPr>
        <w:widowControl/>
        <w:snapToGrid w:val="0"/>
        <w:jc w:val="both"/>
        <w:rPr>
          <w:b/>
          <w:bCs/>
          <w:color w:val="0D0D0D"/>
        </w:rPr>
      </w:pPr>
      <w:r w:rsidRPr="00E164B4">
        <w:rPr>
          <w:b/>
          <w:bCs/>
          <w:color w:val="0D0D0D"/>
        </w:rPr>
        <w:lastRenderedPageBreak/>
        <w:t>1. Introduction</w:t>
      </w:r>
    </w:p>
    <w:p w:rsidR="00470EDC" w:rsidRPr="00E164B4" w:rsidRDefault="00470EDC" w:rsidP="001464C0">
      <w:pPr>
        <w:widowControl/>
        <w:snapToGrid w:val="0"/>
        <w:ind w:firstLine="425"/>
        <w:jc w:val="both"/>
        <w:rPr>
          <w:color w:val="0D0D0D"/>
        </w:rPr>
      </w:pPr>
      <w:r w:rsidRPr="00E164B4">
        <w:rPr>
          <w:color w:val="0D0D0D"/>
        </w:rPr>
        <w:t xml:space="preserve">Adjuvant radiotherapy (RT) is currently recommended in all patients after lumpectomy, regardless of the size of the primary disease, age of </w:t>
      </w:r>
      <w:r w:rsidRPr="00E164B4">
        <w:rPr>
          <w:color w:val="0D0D0D"/>
        </w:rPr>
        <w:lastRenderedPageBreak/>
        <w:t>patient, and</w:t>
      </w:r>
      <w:r w:rsidR="00693B69" w:rsidRPr="00E164B4">
        <w:rPr>
          <w:color w:val="0D0D0D"/>
        </w:rPr>
        <w:t xml:space="preserve"> hormonal receptors</w:t>
      </w:r>
      <w:r w:rsidR="00FC2955" w:rsidRPr="00E164B4">
        <w:rPr>
          <w:color w:val="0D0D0D"/>
        </w:rPr>
        <w:t>. A</w:t>
      </w:r>
      <w:r w:rsidRPr="00E164B4">
        <w:rPr>
          <w:color w:val="0D0D0D"/>
        </w:rPr>
        <w:t xml:space="preserve"> number of studies have focused on whether we can identity subsets of patients in whom radiation therapy (RT) may be safely ili</w:t>
      </w:r>
      <w:r w:rsidR="00693B69" w:rsidRPr="00E164B4">
        <w:rPr>
          <w:color w:val="0D0D0D"/>
        </w:rPr>
        <w:t>e</w:t>
      </w:r>
      <w:r w:rsidRPr="00E164B4">
        <w:rPr>
          <w:color w:val="0D0D0D"/>
        </w:rPr>
        <w:t>nated</w:t>
      </w:r>
      <w:r w:rsidRPr="00E164B4">
        <w:rPr>
          <w:color w:val="0D0D0D"/>
          <w:vertAlign w:val="superscript"/>
        </w:rPr>
        <w:t>(1)</w:t>
      </w:r>
      <w:r w:rsidRPr="00E164B4">
        <w:rPr>
          <w:color w:val="0D0D0D"/>
        </w:rPr>
        <w:t>.</w:t>
      </w:r>
    </w:p>
    <w:p w:rsidR="001464C0" w:rsidRPr="00E164B4" w:rsidRDefault="001464C0" w:rsidP="001464C0">
      <w:pPr>
        <w:widowControl/>
        <w:snapToGrid w:val="0"/>
        <w:jc w:val="both"/>
        <w:rPr>
          <w:b/>
          <w:bCs/>
          <w:color w:val="0D0D0D"/>
          <w:vertAlign w:val="superscript"/>
        </w:rPr>
        <w:sectPr w:rsidR="001464C0" w:rsidRPr="00E164B4" w:rsidSect="003E5FC3">
          <w:headerReference w:type="even" r:id="rId15"/>
          <w:headerReference w:type="default" r:id="rId16"/>
          <w:footerReference w:type="default" r:id="rId17"/>
          <w:type w:val="continuous"/>
          <w:pgSz w:w="12242" w:h="15842" w:code="1"/>
          <w:pgMar w:top="1440" w:right="1440" w:bottom="1440" w:left="1440" w:header="720" w:footer="720" w:gutter="0"/>
          <w:cols w:num="2" w:space="567"/>
          <w:noEndnote/>
          <w:docGrid w:linePitch="272"/>
        </w:sectPr>
      </w:pPr>
    </w:p>
    <w:p w:rsidR="0061521B" w:rsidRPr="00E164B4" w:rsidRDefault="0061521B" w:rsidP="001464C0">
      <w:pPr>
        <w:widowControl/>
        <w:snapToGrid w:val="0"/>
        <w:jc w:val="center"/>
        <w:rPr>
          <w:b/>
          <w:bCs/>
          <w:color w:val="0D0D0D"/>
        </w:rPr>
      </w:pPr>
    </w:p>
    <w:p w:rsidR="00470EDC" w:rsidRPr="00E164B4" w:rsidRDefault="00470EDC" w:rsidP="001464C0">
      <w:pPr>
        <w:widowControl/>
        <w:snapToGrid w:val="0"/>
        <w:jc w:val="center"/>
        <w:rPr>
          <w:b/>
          <w:bCs/>
          <w:color w:val="0D0D0D"/>
        </w:rPr>
      </w:pPr>
      <w:r w:rsidRPr="00E164B4">
        <w:rPr>
          <w:b/>
          <w:bCs/>
          <w:color w:val="0D0D0D"/>
        </w:rPr>
        <w:t>Table (1)</w:t>
      </w:r>
      <w:r w:rsidR="00E164B4">
        <w:rPr>
          <w:b/>
          <w:bCs/>
          <w:color w:val="0D0D0D"/>
        </w:rPr>
        <w:t>:</w:t>
      </w:r>
      <w:r w:rsidRPr="00E164B4">
        <w:rPr>
          <w:b/>
          <w:bCs/>
          <w:color w:val="0D0D0D"/>
        </w:rPr>
        <w:t xml:space="preserve"> Lumpectomy and whole breast irradiation versus mastectomy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17"/>
        <w:gridCol w:w="2189"/>
        <w:gridCol w:w="1260"/>
        <w:gridCol w:w="1530"/>
      </w:tblGrid>
      <w:tr w:rsidR="00470EDC" w:rsidRPr="00E164B4" w:rsidTr="001464C0">
        <w:trPr>
          <w:jc w:val="center"/>
        </w:trPr>
        <w:tc>
          <w:tcPr>
            <w:tcW w:w="2802" w:type="dxa"/>
          </w:tcPr>
          <w:p w:rsidR="00470EDC" w:rsidRPr="00E164B4" w:rsidRDefault="00470EDC" w:rsidP="00E164B4">
            <w:pPr>
              <w:pStyle w:val="Heading3"/>
              <w:keepNext w:val="0"/>
              <w:snapToGrid w:val="0"/>
              <w:spacing w:before="0"/>
              <w:jc w:val="left"/>
              <w:rPr>
                <w:rFonts w:eastAsiaTheme="minorEastAsia"/>
                <w:color w:val="000000"/>
                <w:sz w:val="20"/>
              </w:rPr>
            </w:pPr>
            <w:r w:rsidRPr="00E164B4">
              <w:rPr>
                <w:rFonts w:eastAsiaTheme="minorEastAsia"/>
                <w:color w:val="000000"/>
                <w:sz w:val="20"/>
              </w:rPr>
              <w:t>Institution</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years</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Patients No.</w:t>
            </w:r>
          </w:p>
        </w:tc>
        <w:tc>
          <w:tcPr>
            <w:tcW w:w="1260" w:type="dxa"/>
          </w:tcPr>
          <w:p w:rsidR="00470EDC" w:rsidRPr="00E164B4" w:rsidRDefault="00470EDC" w:rsidP="00E164B4">
            <w:pPr>
              <w:pStyle w:val="Heading4"/>
              <w:keepNext w:val="0"/>
              <w:snapToGrid w:val="0"/>
              <w:spacing w:before="0"/>
              <w:jc w:val="left"/>
              <w:rPr>
                <w:rFonts w:eastAsiaTheme="minorEastAsia"/>
                <w:color w:val="000000"/>
                <w:sz w:val="20"/>
              </w:rPr>
            </w:pPr>
            <w:r w:rsidRPr="00E164B4">
              <w:rPr>
                <w:rFonts w:eastAsiaTheme="minorEastAsia"/>
                <w:color w:val="000000"/>
                <w:sz w:val="20"/>
              </w:rPr>
              <w:t>OS %</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Follow up years</w:t>
            </w:r>
          </w:p>
        </w:tc>
      </w:tr>
      <w:tr w:rsidR="00470EDC" w:rsidRPr="00E164B4" w:rsidTr="001464C0">
        <w:trPr>
          <w:jc w:val="center"/>
        </w:trPr>
        <w:tc>
          <w:tcPr>
            <w:tcW w:w="2802"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Milan</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1973-1980</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349 (M)</w:t>
            </w:r>
          </w:p>
          <w:p w:rsidR="00470EDC" w:rsidRPr="00E164B4" w:rsidRDefault="00470EDC" w:rsidP="00E164B4">
            <w:pPr>
              <w:widowControl/>
              <w:snapToGrid w:val="0"/>
              <w:rPr>
                <w:rFonts w:eastAsiaTheme="minorEastAsia"/>
                <w:color w:val="000000"/>
              </w:rPr>
            </w:pPr>
            <w:r w:rsidRPr="00E164B4">
              <w:rPr>
                <w:rFonts w:eastAsiaTheme="minorEastAsia"/>
                <w:color w:val="000000"/>
              </w:rPr>
              <w:t>352 (Q + XRT)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same</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20</w:t>
            </w:r>
          </w:p>
        </w:tc>
      </w:tr>
      <w:tr w:rsidR="00470EDC" w:rsidRPr="00E164B4" w:rsidTr="001464C0">
        <w:trPr>
          <w:jc w:val="center"/>
        </w:trPr>
        <w:tc>
          <w:tcPr>
            <w:tcW w:w="2802" w:type="dxa"/>
          </w:tcPr>
          <w:p w:rsidR="00470EDC" w:rsidRPr="00E164B4" w:rsidRDefault="00470EDC" w:rsidP="00E164B4">
            <w:pPr>
              <w:pStyle w:val="Heading3"/>
              <w:keepNext w:val="0"/>
              <w:snapToGrid w:val="0"/>
              <w:spacing w:before="0"/>
              <w:jc w:val="left"/>
              <w:rPr>
                <w:rFonts w:eastAsiaTheme="minorEastAsia"/>
                <w:color w:val="000000"/>
                <w:sz w:val="20"/>
              </w:rPr>
            </w:pPr>
            <w:r w:rsidRPr="00E164B4">
              <w:rPr>
                <w:rFonts w:eastAsiaTheme="minorEastAsia"/>
                <w:color w:val="000000"/>
                <w:sz w:val="20"/>
              </w:rPr>
              <w:t>NSABP – Bob</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1976-1984</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590 (M)</w:t>
            </w:r>
          </w:p>
          <w:p w:rsidR="00470EDC" w:rsidRPr="00E164B4" w:rsidRDefault="00470EDC" w:rsidP="00E164B4">
            <w:pPr>
              <w:widowControl/>
              <w:snapToGrid w:val="0"/>
              <w:rPr>
                <w:rFonts w:eastAsiaTheme="minorEastAsia"/>
                <w:color w:val="000000"/>
              </w:rPr>
            </w:pPr>
            <w:r w:rsidRPr="00E164B4">
              <w:rPr>
                <w:rFonts w:eastAsiaTheme="minorEastAsia"/>
                <w:color w:val="000000"/>
              </w:rPr>
              <w:t>629 (L+ XRT).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same</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20</w:t>
            </w:r>
          </w:p>
        </w:tc>
      </w:tr>
      <w:tr w:rsidR="00470EDC" w:rsidRPr="00E164B4" w:rsidTr="001464C0">
        <w:trPr>
          <w:jc w:val="center"/>
        </w:trPr>
        <w:tc>
          <w:tcPr>
            <w:tcW w:w="2802"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Danish breast cancer cooperative group</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1983-1987</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429 (M)</w:t>
            </w:r>
          </w:p>
          <w:p w:rsidR="00470EDC" w:rsidRPr="00E164B4" w:rsidRDefault="00470EDC" w:rsidP="00E164B4">
            <w:pPr>
              <w:widowControl/>
              <w:snapToGrid w:val="0"/>
              <w:rPr>
                <w:rFonts w:eastAsiaTheme="minorEastAsia"/>
                <w:color w:val="000000"/>
              </w:rPr>
            </w:pPr>
            <w:r w:rsidRPr="00E164B4">
              <w:rPr>
                <w:rFonts w:eastAsiaTheme="minorEastAsia"/>
                <w:color w:val="000000"/>
              </w:rPr>
              <w:t>430 (L + 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82</w:t>
            </w:r>
          </w:p>
          <w:p w:rsidR="00470EDC" w:rsidRPr="00E164B4" w:rsidRDefault="00470EDC" w:rsidP="00E164B4">
            <w:pPr>
              <w:widowControl/>
              <w:snapToGrid w:val="0"/>
              <w:rPr>
                <w:rFonts w:eastAsiaTheme="minorEastAsia"/>
                <w:color w:val="000000"/>
              </w:rPr>
            </w:pPr>
            <w:r w:rsidRPr="00E164B4">
              <w:rPr>
                <w:rFonts w:eastAsiaTheme="minorEastAsia"/>
                <w:color w:val="000000"/>
              </w:rPr>
              <w:t>79</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6</w:t>
            </w:r>
          </w:p>
        </w:tc>
      </w:tr>
      <w:tr w:rsidR="00470EDC" w:rsidRPr="00E164B4" w:rsidTr="001464C0">
        <w:trPr>
          <w:jc w:val="center"/>
        </w:trPr>
        <w:tc>
          <w:tcPr>
            <w:tcW w:w="2802"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Institute Gustave Roussy</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1972 - 1979</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91 (M)</w:t>
            </w:r>
          </w:p>
          <w:p w:rsidR="00470EDC" w:rsidRPr="00E164B4" w:rsidRDefault="00470EDC" w:rsidP="00E164B4">
            <w:pPr>
              <w:widowControl/>
              <w:snapToGrid w:val="0"/>
              <w:rPr>
                <w:rFonts w:eastAsiaTheme="minorEastAsia"/>
                <w:color w:val="000000"/>
              </w:rPr>
            </w:pPr>
            <w:r w:rsidRPr="00E164B4">
              <w:rPr>
                <w:rFonts w:eastAsiaTheme="minorEastAsia"/>
                <w:color w:val="000000"/>
              </w:rPr>
              <w:t>88 (L+ 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65</w:t>
            </w:r>
          </w:p>
          <w:p w:rsidR="00470EDC" w:rsidRPr="00E164B4" w:rsidRDefault="00470EDC" w:rsidP="00E164B4">
            <w:pPr>
              <w:widowControl/>
              <w:snapToGrid w:val="0"/>
              <w:rPr>
                <w:rFonts w:eastAsiaTheme="minorEastAsia"/>
                <w:color w:val="000000"/>
              </w:rPr>
            </w:pPr>
            <w:r w:rsidRPr="00E164B4">
              <w:rPr>
                <w:rFonts w:eastAsiaTheme="minorEastAsia"/>
                <w:color w:val="000000"/>
              </w:rPr>
              <w:t>73</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15</w:t>
            </w:r>
          </w:p>
        </w:tc>
      </w:tr>
      <w:tr w:rsidR="00470EDC" w:rsidRPr="00E164B4" w:rsidTr="001464C0">
        <w:trPr>
          <w:jc w:val="center"/>
        </w:trPr>
        <w:tc>
          <w:tcPr>
            <w:tcW w:w="2802"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NCI</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1980 - 1986</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116 (M)</w:t>
            </w:r>
          </w:p>
          <w:p w:rsidR="00470EDC" w:rsidRPr="00E164B4" w:rsidRDefault="00470EDC" w:rsidP="00E164B4">
            <w:pPr>
              <w:widowControl/>
              <w:snapToGrid w:val="0"/>
              <w:rPr>
                <w:rFonts w:eastAsiaTheme="minorEastAsia"/>
                <w:color w:val="000000"/>
              </w:rPr>
            </w:pPr>
            <w:r w:rsidRPr="00E164B4">
              <w:rPr>
                <w:rFonts w:eastAsiaTheme="minorEastAsia"/>
                <w:color w:val="000000"/>
              </w:rPr>
              <w:t>121 (L+ 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75</w:t>
            </w:r>
          </w:p>
          <w:p w:rsidR="00470EDC" w:rsidRPr="00E164B4" w:rsidRDefault="00470EDC" w:rsidP="00E164B4">
            <w:pPr>
              <w:widowControl/>
              <w:snapToGrid w:val="0"/>
              <w:rPr>
                <w:rFonts w:eastAsiaTheme="minorEastAsia"/>
                <w:color w:val="000000"/>
              </w:rPr>
            </w:pPr>
            <w:r w:rsidRPr="00E164B4">
              <w:rPr>
                <w:rFonts w:eastAsiaTheme="minorEastAsia"/>
                <w:color w:val="000000"/>
              </w:rPr>
              <w:t>77</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10</w:t>
            </w:r>
          </w:p>
        </w:tc>
      </w:tr>
      <w:tr w:rsidR="00470EDC" w:rsidRPr="00E164B4" w:rsidTr="001464C0">
        <w:trPr>
          <w:jc w:val="center"/>
        </w:trPr>
        <w:tc>
          <w:tcPr>
            <w:tcW w:w="2802" w:type="dxa"/>
          </w:tcPr>
          <w:p w:rsidR="00470EDC" w:rsidRPr="00E164B4" w:rsidRDefault="00693B69" w:rsidP="00E164B4">
            <w:pPr>
              <w:widowControl/>
              <w:snapToGrid w:val="0"/>
              <w:rPr>
                <w:rFonts w:eastAsiaTheme="minorEastAsia"/>
                <w:color w:val="000000"/>
              </w:rPr>
            </w:pPr>
            <w:r w:rsidRPr="00E164B4">
              <w:rPr>
                <w:rFonts w:eastAsiaTheme="minorEastAsia"/>
                <w:color w:val="000000"/>
              </w:rPr>
              <w:t>EORT</w:t>
            </w:r>
            <w:r w:rsidR="00470EDC" w:rsidRPr="00E164B4">
              <w:rPr>
                <w:rFonts w:eastAsiaTheme="minorEastAsia"/>
                <w:color w:val="000000"/>
              </w:rPr>
              <w:t>C - 10801</w:t>
            </w:r>
          </w:p>
        </w:tc>
        <w:tc>
          <w:tcPr>
            <w:tcW w:w="1417"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1980 - 1986</w:t>
            </w:r>
          </w:p>
        </w:tc>
        <w:tc>
          <w:tcPr>
            <w:tcW w:w="2189"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426 (M)</w:t>
            </w:r>
          </w:p>
          <w:p w:rsidR="00470EDC" w:rsidRPr="00E164B4" w:rsidRDefault="00470EDC" w:rsidP="00E164B4">
            <w:pPr>
              <w:widowControl/>
              <w:snapToGrid w:val="0"/>
              <w:rPr>
                <w:rFonts w:eastAsiaTheme="minorEastAsia"/>
                <w:color w:val="000000"/>
              </w:rPr>
            </w:pPr>
            <w:r w:rsidRPr="00E164B4">
              <w:rPr>
                <w:rFonts w:eastAsiaTheme="minorEastAsia"/>
                <w:color w:val="000000"/>
              </w:rPr>
              <w:t>456 (L + RT)</w:t>
            </w:r>
          </w:p>
        </w:tc>
        <w:tc>
          <w:tcPr>
            <w:tcW w:w="126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63</w:t>
            </w:r>
          </w:p>
          <w:p w:rsidR="00470EDC" w:rsidRPr="00E164B4" w:rsidRDefault="00470EDC" w:rsidP="00E164B4">
            <w:pPr>
              <w:widowControl/>
              <w:snapToGrid w:val="0"/>
              <w:rPr>
                <w:rFonts w:eastAsiaTheme="minorEastAsia"/>
                <w:color w:val="000000"/>
              </w:rPr>
            </w:pPr>
            <w:r w:rsidRPr="00E164B4">
              <w:rPr>
                <w:rFonts w:eastAsiaTheme="minorEastAsia"/>
                <w:color w:val="000000"/>
              </w:rPr>
              <w:t>58</w:t>
            </w:r>
          </w:p>
        </w:tc>
        <w:tc>
          <w:tcPr>
            <w:tcW w:w="1530" w:type="dxa"/>
          </w:tcPr>
          <w:p w:rsidR="00470EDC" w:rsidRPr="00E164B4" w:rsidRDefault="00470EDC" w:rsidP="00E164B4">
            <w:pPr>
              <w:widowControl/>
              <w:snapToGrid w:val="0"/>
              <w:rPr>
                <w:rFonts w:eastAsiaTheme="minorEastAsia"/>
                <w:color w:val="000000"/>
              </w:rPr>
            </w:pPr>
            <w:r w:rsidRPr="00E164B4">
              <w:rPr>
                <w:rFonts w:eastAsiaTheme="minorEastAsia"/>
                <w:color w:val="000000"/>
              </w:rPr>
              <w:t>8</w:t>
            </w:r>
          </w:p>
        </w:tc>
      </w:tr>
    </w:tbl>
    <w:p w:rsidR="00470EDC" w:rsidRPr="00E164B4" w:rsidRDefault="00470EDC" w:rsidP="00E164B4">
      <w:pPr>
        <w:widowControl/>
        <w:snapToGrid w:val="0"/>
        <w:rPr>
          <w:color w:val="0D0D0D"/>
        </w:rPr>
      </w:pPr>
      <w:r w:rsidRPr="00E164B4">
        <w:rPr>
          <w:color w:val="0D0D0D"/>
        </w:rPr>
        <w:t>Q</w:t>
      </w:r>
      <w:r w:rsidR="00E164B4">
        <w:rPr>
          <w:color w:val="0D0D0D"/>
        </w:rPr>
        <w:t>:</w:t>
      </w:r>
      <w:r w:rsidRPr="00E164B4">
        <w:rPr>
          <w:color w:val="0D0D0D"/>
        </w:rPr>
        <w:t xml:space="preserve"> Quadrentectomy; M, mastectomy, L, lumpectomy; XRT, whole breast external beam RT.</w:t>
      </w:r>
    </w:p>
    <w:p w:rsidR="001464C0" w:rsidRPr="00E164B4" w:rsidRDefault="001464C0" w:rsidP="001464C0">
      <w:pPr>
        <w:widowControl/>
        <w:snapToGrid w:val="0"/>
        <w:ind w:firstLine="425"/>
        <w:jc w:val="both"/>
        <w:rPr>
          <w:color w:val="0D0D0D"/>
        </w:rPr>
      </w:pPr>
    </w:p>
    <w:p w:rsidR="001464C0" w:rsidRPr="00E164B4" w:rsidRDefault="001464C0" w:rsidP="001464C0">
      <w:pPr>
        <w:widowControl/>
        <w:snapToGrid w:val="0"/>
        <w:ind w:firstLine="425"/>
        <w:jc w:val="both"/>
        <w:rPr>
          <w:color w:val="0D0D0D"/>
        </w:rPr>
        <w:sectPr w:rsidR="001464C0" w:rsidRPr="00E164B4" w:rsidSect="003E5FC3">
          <w:headerReference w:type="even" r:id="rId18"/>
          <w:headerReference w:type="default" r:id="rId19"/>
          <w:footerReference w:type="default" r:id="rId20"/>
          <w:type w:val="continuous"/>
          <w:pgSz w:w="12242" w:h="15842" w:code="1"/>
          <w:pgMar w:top="1440" w:right="1440" w:bottom="1440" w:left="1440" w:header="720" w:footer="720" w:gutter="0"/>
          <w:cols w:space="60"/>
          <w:noEndnote/>
          <w:docGrid w:linePitch="272"/>
        </w:sectPr>
      </w:pPr>
    </w:p>
    <w:p w:rsidR="001464C0" w:rsidRPr="00E164B4" w:rsidRDefault="001464C0" w:rsidP="001464C0">
      <w:pPr>
        <w:widowControl/>
        <w:snapToGrid w:val="0"/>
        <w:ind w:firstLine="425"/>
        <w:jc w:val="both"/>
        <w:rPr>
          <w:color w:val="0D0D0D"/>
        </w:rPr>
      </w:pPr>
      <w:r w:rsidRPr="00E164B4">
        <w:rPr>
          <w:color w:val="0D0D0D"/>
        </w:rPr>
        <w:lastRenderedPageBreak/>
        <w:t xml:space="preserve">Most radiation oncologists administer a boost with electrons and on occasion, with photons to administer a higher dose to the lumpectomy site with the objective of improving local control </w:t>
      </w:r>
      <w:r w:rsidRPr="00E164B4">
        <w:rPr>
          <w:color w:val="0D0D0D"/>
          <w:vertAlign w:val="superscript"/>
        </w:rPr>
        <w:t>(2,3,4)</w:t>
      </w:r>
      <w:r w:rsidRPr="00E164B4">
        <w:rPr>
          <w:color w:val="0D0D0D"/>
        </w:rPr>
        <w:t>. Boost irradiation to the tumor bed is recommended after whole breast RT</w:t>
      </w:r>
      <w:r w:rsidR="00950691">
        <w:rPr>
          <w:color w:val="0D0D0D"/>
        </w:rPr>
        <w:t>.</w:t>
      </w:r>
      <w:r w:rsidRPr="00E164B4">
        <w:rPr>
          <w:color w:val="0D0D0D"/>
        </w:rPr>
        <w:t xml:space="preserve"> </w:t>
      </w:r>
      <w:r w:rsidRPr="00950691">
        <w:rPr>
          <w:color w:val="0D0D0D"/>
          <w:vertAlign w:val="superscript"/>
        </w:rPr>
        <w:t>(5-7)</w:t>
      </w:r>
    </w:p>
    <w:p w:rsidR="001464C0" w:rsidRPr="00E164B4" w:rsidRDefault="001464C0" w:rsidP="001464C0">
      <w:pPr>
        <w:widowControl/>
        <w:snapToGrid w:val="0"/>
        <w:ind w:firstLine="425"/>
        <w:jc w:val="both"/>
        <w:rPr>
          <w:color w:val="0D0D0D"/>
        </w:rPr>
      </w:pPr>
      <w:r w:rsidRPr="00E164B4">
        <w:rPr>
          <w:color w:val="0D0D0D"/>
        </w:rPr>
        <w:t xml:space="preserve">In management of stage I through stage IIB breast carcinoma, the standard of care in breast conserving therapy (BCT) includes adjuvant radiation after lumpectomy. The efficacy of post-operative RT after lumpectomy has been repeatedly demonstrated through various prospective randomized trials </w:t>
      </w:r>
      <w:r w:rsidRPr="00E164B4">
        <w:rPr>
          <w:color w:val="0D0D0D"/>
          <w:vertAlign w:val="superscript"/>
        </w:rPr>
        <w:t>(13, 2, 6)</w:t>
      </w:r>
      <w:r w:rsidRPr="00E164B4">
        <w:rPr>
          <w:color w:val="0D0D0D"/>
        </w:rPr>
        <w:t>.</w:t>
      </w:r>
    </w:p>
    <w:p w:rsidR="001464C0" w:rsidRPr="00E164B4" w:rsidRDefault="001464C0" w:rsidP="001464C0">
      <w:pPr>
        <w:widowControl/>
        <w:snapToGrid w:val="0"/>
        <w:ind w:firstLine="425"/>
        <w:jc w:val="both"/>
        <w:rPr>
          <w:color w:val="0D0D0D"/>
          <w:vertAlign w:val="superscript"/>
        </w:rPr>
      </w:pPr>
      <w:r w:rsidRPr="00E164B4">
        <w:rPr>
          <w:color w:val="0D0D0D"/>
        </w:rPr>
        <w:t>A number of phase III randomized trials have shown that lumpectomy and axillary dissection followed by RT is equivalent to modified radical mastectomy as shown in table (1)</w:t>
      </w:r>
      <w:r w:rsidR="00E164B4">
        <w:rPr>
          <w:color w:val="0D0D0D"/>
        </w:rPr>
        <w:t>.</w:t>
      </w:r>
      <w:r w:rsidRPr="00E164B4">
        <w:rPr>
          <w:color w:val="0D0D0D"/>
        </w:rPr>
        <w:t xml:space="preserve"> BCT is the preferred treatment option for the majority of patients with early-stage invasive breast cancer and allowed for organ preservation. </w:t>
      </w:r>
      <w:r w:rsidRPr="00E164B4">
        <w:rPr>
          <w:color w:val="0D0D0D"/>
          <w:vertAlign w:val="superscript"/>
        </w:rPr>
        <w:t>(7, 8, 9)</w:t>
      </w:r>
    </w:p>
    <w:p w:rsidR="00470EDC" w:rsidRPr="00E164B4" w:rsidRDefault="00470EDC" w:rsidP="001464C0">
      <w:pPr>
        <w:widowControl/>
        <w:snapToGrid w:val="0"/>
        <w:ind w:firstLine="425"/>
        <w:jc w:val="both"/>
        <w:rPr>
          <w:color w:val="0D0D0D"/>
        </w:rPr>
      </w:pPr>
      <w:r w:rsidRPr="00E164B4">
        <w:rPr>
          <w:color w:val="0D0D0D"/>
        </w:rPr>
        <w:t>The aim of this study was the evaluation of the role of boost dose (12 Gy) in decreasing local recurrence and increasing 3-years diseas</w:t>
      </w:r>
      <w:r w:rsidR="00FC2955" w:rsidRPr="00E164B4">
        <w:rPr>
          <w:color w:val="0D0D0D"/>
        </w:rPr>
        <w:t>e free survival (DFS) and its</w:t>
      </w:r>
      <w:r w:rsidR="00E164B4">
        <w:rPr>
          <w:color w:val="0D0D0D"/>
        </w:rPr>
        <w:t xml:space="preserve"> </w:t>
      </w:r>
      <w:r w:rsidRPr="00E164B4">
        <w:rPr>
          <w:color w:val="0D0D0D"/>
        </w:rPr>
        <w:t>morbidity regarding breast fibrosis and cosmetic failure.</w:t>
      </w:r>
    </w:p>
    <w:p w:rsidR="0061521B" w:rsidRPr="00E164B4" w:rsidRDefault="0061521B" w:rsidP="001464C0">
      <w:pPr>
        <w:pStyle w:val="Heading7"/>
        <w:keepNext w:val="0"/>
        <w:snapToGrid w:val="0"/>
        <w:spacing w:before="0" w:line="240" w:lineRule="auto"/>
        <w:jc w:val="both"/>
        <w:rPr>
          <w:color w:val="0D0D0D"/>
          <w:sz w:val="20"/>
        </w:rPr>
      </w:pPr>
    </w:p>
    <w:p w:rsidR="00470EDC" w:rsidRPr="00E164B4" w:rsidRDefault="00693B69" w:rsidP="001464C0">
      <w:pPr>
        <w:pStyle w:val="Heading7"/>
        <w:keepNext w:val="0"/>
        <w:snapToGrid w:val="0"/>
        <w:spacing w:before="0" w:line="240" w:lineRule="auto"/>
        <w:jc w:val="both"/>
        <w:rPr>
          <w:color w:val="0D0D0D"/>
          <w:sz w:val="20"/>
        </w:rPr>
      </w:pPr>
      <w:r w:rsidRPr="00E164B4">
        <w:rPr>
          <w:color w:val="0D0D0D"/>
          <w:sz w:val="20"/>
        </w:rPr>
        <w:t>2. Patients and m</w:t>
      </w:r>
      <w:r w:rsidR="0061521B" w:rsidRPr="00E164B4">
        <w:rPr>
          <w:color w:val="0D0D0D"/>
          <w:sz w:val="20"/>
        </w:rPr>
        <w:t>ethods</w:t>
      </w:r>
    </w:p>
    <w:p w:rsidR="00470EDC" w:rsidRPr="00E164B4" w:rsidRDefault="00470EDC" w:rsidP="001464C0">
      <w:pPr>
        <w:widowControl/>
        <w:snapToGrid w:val="0"/>
        <w:ind w:firstLine="425"/>
        <w:jc w:val="both"/>
        <w:rPr>
          <w:color w:val="0D0D0D"/>
        </w:rPr>
      </w:pPr>
      <w:r w:rsidRPr="00E164B4">
        <w:rPr>
          <w:color w:val="0D0D0D"/>
        </w:rPr>
        <w:t>Thirty-seven patients were conducted in the study as group “A” and treat</w:t>
      </w:r>
      <w:r w:rsidR="00FC2955" w:rsidRPr="00E164B4">
        <w:rPr>
          <w:color w:val="0D0D0D"/>
        </w:rPr>
        <w:t>ed in department</w:t>
      </w:r>
      <w:r w:rsidR="00693B69" w:rsidRPr="00E164B4">
        <w:rPr>
          <w:color w:val="0D0D0D"/>
        </w:rPr>
        <w:t>s of Clinical Oncology &amp;</w:t>
      </w:r>
      <w:r w:rsidR="00FC2955" w:rsidRPr="00E164B4">
        <w:rPr>
          <w:color w:val="0D0D0D"/>
        </w:rPr>
        <w:t xml:space="preserve"> Nuclear M</w:t>
      </w:r>
      <w:r w:rsidRPr="00E164B4">
        <w:rPr>
          <w:color w:val="0D0D0D"/>
        </w:rPr>
        <w:t>edi</w:t>
      </w:r>
      <w:r w:rsidR="00693B69" w:rsidRPr="00E164B4">
        <w:rPr>
          <w:color w:val="0D0D0D"/>
        </w:rPr>
        <w:t>cine and General Surgery,</w:t>
      </w:r>
      <w:r w:rsidR="00E164B4">
        <w:rPr>
          <w:color w:val="0D0D0D"/>
        </w:rPr>
        <w:t xml:space="preserve"> </w:t>
      </w:r>
      <w:r w:rsidRPr="00E164B4">
        <w:rPr>
          <w:color w:val="0D0D0D"/>
        </w:rPr>
        <w:t xml:space="preserve">in the period from September 2010 to May 2015 with a mean period of follow-up to 40 months, the mean age was 53 </w:t>
      </w:r>
      <w:r w:rsidRPr="00E164B4">
        <w:rPr>
          <w:color w:val="0D0D0D"/>
        </w:rPr>
        <w:sym w:font="Symbol" w:char="F0B1"/>
      </w:r>
      <w:r w:rsidRPr="00E164B4">
        <w:rPr>
          <w:color w:val="0D0D0D"/>
        </w:rPr>
        <w:t xml:space="preserve"> 3.84 (range from 35-70 years), all patients have an early stage (I- IIB) breast carcinoma and treated surgically with breast conserving therapy (lumpectomy + axillary clearance), followed by adjuvant chemotherapy and radiation therapy. Radiation therapy to</w:t>
      </w:r>
      <w:r w:rsidR="00701DB1" w:rsidRPr="00E164B4">
        <w:rPr>
          <w:color w:val="0D0D0D"/>
        </w:rPr>
        <w:t xml:space="preserve"> whole breast, to a dose of 50 Gy/25</w:t>
      </w:r>
      <w:r w:rsidRPr="00E164B4">
        <w:rPr>
          <w:color w:val="0D0D0D"/>
        </w:rPr>
        <w:t xml:space="preserve"> fraction</w:t>
      </w:r>
      <w:r w:rsidR="00FC2955" w:rsidRPr="00E164B4">
        <w:rPr>
          <w:color w:val="0D0D0D"/>
        </w:rPr>
        <w:t>s</w:t>
      </w:r>
      <w:r w:rsidRPr="00E164B4">
        <w:rPr>
          <w:color w:val="0D0D0D"/>
        </w:rPr>
        <w:t>, using 3-D conformal radiation technique, without boost to tumor bed</w:t>
      </w:r>
      <w:r w:rsidR="00E164B4">
        <w:rPr>
          <w:color w:val="0D0D0D"/>
        </w:rPr>
        <w:t xml:space="preserve"> </w:t>
      </w:r>
      <w:r w:rsidR="008E3F1C" w:rsidRPr="00E164B4">
        <w:rPr>
          <w:color w:val="0D0D0D"/>
        </w:rPr>
        <w:t xml:space="preserve">(group A) </w:t>
      </w:r>
      <w:r w:rsidRPr="00E164B4">
        <w:rPr>
          <w:color w:val="0D0D0D"/>
        </w:rPr>
        <w:t>was compared to a historical group of 40 patients who have been treated wit</w:t>
      </w:r>
      <w:r w:rsidR="008E3F1C" w:rsidRPr="00E164B4">
        <w:rPr>
          <w:color w:val="0D0D0D"/>
        </w:rPr>
        <w:t>h a boost dose of 12 Gy to tumo</w:t>
      </w:r>
      <w:r w:rsidRPr="00E164B4">
        <w:rPr>
          <w:color w:val="0D0D0D"/>
        </w:rPr>
        <w:t>r bed</w:t>
      </w:r>
      <w:r w:rsidR="00E164B4">
        <w:rPr>
          <w:color w:val="0D0D0D"/>
        </w:rPr>
        <w:t xml:space="preserve"> </w:t>
      </w:r>
      <w:r w:rsidRPr="00E164B4">
        <w:rPr>
          <w:color w:val="0D0D0D"/>
        </w:rPr>
        <w:t>(group B).</w:t>
      </w:r>
    </w:p>
    <w:p w:rsidR="00470EDC" w:rsidRPr="00E164B4" w:rsidRDefault="00470EDC" w:rsidP="001464C0">
      <w:pPr>
        <w:widowControl/>
        <w:snapToGrid w:val="0"/>
        <w:jc w:val="both"/>
        <w:rPr>
          <w:b/>
          <w:bCs/>
          <w:color w:val="0D0D0D"/>
        </w:rPr>
      </w:pPr>
      <w:r w:rsidRPr="00E164B4">
        <w:rPr>
          <w:b/>
          <w:bCs/>
          <w:color w:val="0D0D0D"/>
        </w:rPr>
        <w:t>Treatment technique and field arrangement</w:t>
      </w:r>
      <w:r w:rsidR="00E164B4">
        <w:rPr>
          <w:b/>
          <w:bCs/>
          <w:color w:val="0D0D0D"/>
        </w:rPr>
        <w:t>:</w:t>
      </w:r>
    </w:p>
    <w:p w:rsidR="00470EDC" w:rsidRPr="00E164B4" w:rsidRDefault="008E3F1C" w:rsidP="001464C0">
      <w:pPr>
        <w:widowControl/>
        <w:snapToGrid w:val="0"/>
        <w:ind w:firstLine="425"/>
        <w:jc w:val="both"/>
        <w:rPr>
          <w:color w:val="0D0D0D"/>
        </w:rPr>
      </w:pPr>
      <w:r w:rsidRPr="00E164B4">
        <w:rPr>
          <w:color w:val="0D0D0D"/>
        </w:rPr>
        <w:t xml:space="preserve">Breast irradiation </w:t>
      </w:r>
      <w:r w:rsidR="00470EDC" w:rsidRPr="00E164B4">
        <w:rPr>
          <w:color w:val="0D0D0D"/>
        </w:rPr>
        <w:t>had been delivere</w:t>
      </w:r>
      <w:r w:rsidR="00714339" w:rsidRPr="00E164B4">
        <w:rPr>
          <w:color w:val="0D0D0D"/>
        </w:rPr>
        <w:t>d using computerized 3-D planning system( Linac, Elekta 151204, Presice Plan Release 2.12) machine with high-energy photon beam (6 &amp; 15 MV).</w:t>
      </w:r>
    </w:p>
    <w:p w:rsidR="00470EDC" w:rsidRPr="00E164B4" w:rsidRDefault="00470EDC" w:rsidP="001464C0">
      <w:pPr>
        <w:widowControl/>
        <w:snapToGrid w:val="0"/>
        <w:ind w:firstLine="425"/>
        <w:jc w:val="both"/>
        <w:rPr>
          <w:color w:val="0D0D0D"/>
        </w:rPr>
      </w:pPr>
      <w:r w:rsidRPr="00E164B4">
        <w:rPr>
          <w:color w:val="0D0D0D"/>
        </w:rPr>
        <w:t xml:space="preserve">Simulation and field design patients were treated in supine position with customized </w:t>
      </w:r>
      <w:r w:rsidR="00501CED" w:rsidRPr="00E164B4">
        <w:rPr>
          <w:color w:val="0D0D0D"/>
        </w:rPr>
        <w:t>immobilization</w:t>
      </w:r>
      <w:r w:rsidR="00D50157" w:rsidRPr="00E164B4">
        <w:rPr>
          <w:color w:val="0D0D0D"/>
        </w:rPr>
        <w:t xml:space="preserve"> device, b</w:t>
      </w:r>
      <w:r w:rsidRPr="00E164B4">
        <w:rPr>
          <w:color w:val="0D0D0D"/>
        </w:rPr>
        <w:t>ilateral arms abducted and externally rotated.</w:t>
      </w:r>
    </w:p>
    <w:p w:rsidR="00025C26" w:rsidRPr="00E164B4" w:rsidRDefault="00470EDC" w:rsidP="001464C0">
      <w:pPr>
        <w:widowControl/>
        <w:snapToGrid w:val="0"/>
        <w:ind w:firstLine="425"/>
        <w:jc w:val="both"/>
        <w:rPr>
          <w:color w:val="0D0D0D"/>
        </w:rPr>
      </w:pPr>
      <w:r w:rsidRPr="00E164B4">
        <w:rPr>
          <w:color w:val="0D0D0D"/>
        </w:rPr>
        <w:t xml:space="preserve">Target volume is </w:t>
      </w:r>
      <w:r w:rsidR="00693B69" w:rsidRPr="00E164B4">
        <w:rPr>
          <w:color w:val="0D0D0D"/>
        </w:rPr>
        <w:t xml:space="preserve">the </w:t>
      </w:r>
      <w:r w:rsidRPr="00E164B4">
        <w:rPr>
          <w:color w:val="0D0D0D"/>
        </w:rPr>
        <w:t xml:space="preserve">entire breast using </w:t>
      </w:r>
      <w:r w:rsidR="00501CED" w:rsidRPr="00E164B4">
        <w:rPr>
          <w:color w:val="0D0D0D"/>
        </w:rPr>
        <w:t>tangential</w:t>
      </w:r>
      <w:r w:rsidRPr="00E164B4">
        <w:rPr>
          <w:color w:val="0D0D0D"/>
        </w:rPr>
        <w:t xml:space="preserve"> fields, and </w:t>
      </w:r>
      <w:r w:rsidR="00950691">
        <w:rPr>
          <w:color w:val="0D0D0D"/>
        </w:rPr>
        <w:t>supraclavicular fossa (</w:t>
      </w:r>
      <w:r w:rsidRPr="00E164B4">
        <w:rPr>
          <w:color w:val="0D0D0D"/>
        </w:rPr>
        <w:t>SCF</w:t>
      </w:r>
      <w:r w:rsidR="00950691">
        <w:rPr>
          <w:color w:val="0D0D0D"/>
        </w:rPr>
        <w:t>)</w:t>
      </w:r>
      <w:r w:rsidRPr="00E164B4">
        <w:rPr>
          <w:color w:val="0D0D0D"/>
        </w:rPr>
        <w:t xml:space="preserve"> via third field when indicated. The CTV</w:t>
      </w:r>
      <w:r w:rsidR="00E164B4">
        <w:rPr>
          <w:rFonts w:hint="eastAsia"/>
          <w:color w:val="0D0D0D"/>
          <w:lang w:eastAsia="zh-CN"/>
        </w:rPr>
        <w:t xml:space="preserve"> </w:t>
      </w:r>
      <w:r w:rsidR="009C6FD3" w:rsidRPr="00E164B4">
        <w:rPr>
          <w:color w:val="0D0D0D"/>
        </w:rPr>
        <w:t>(clinical target volume)</w:t>
      </w:r>
      <w:r w:rsidRPr="00E164B4">
        <w:rPr>
          <w:color w:val="0D0D0D"/>
        </w:rPr>
        <w:t xml:space="preserve"> is the glandular breast tissue and PTV</w:t>
      </w:r>
      <w:r w:rsidR="009C6FD3" w:rsidRPr="00E164B4">
        <w:rPr>
          <w:color w:val="0D0D0D"/>
        </w:rPr>
        <w:t xml:space="preserve"> (planning target volume)</w:t>
      </w:r>
      <w:r w:rsidRPr="00E164B4">
        <w:rPr>
          <w:color w:val="0D0D0D"/>
        </w:rPr>
        <w:t xml:space="preserve"> is the CTV with a 1cm margin, usually allowing 5mm skin sparing. Patients </w:t>
      </w:r>
      <w:r w:rsidRPr="00E164B4">
        <w:rPr>
          <w:color w:val="0D0D0D"/>
        </w:rPr>
        <w:lastRenderedPageBreak/>
        <w:t>were treated to a total</w:t>
      </w:r>
      <w:r w:rsidR="00025C26" w:rsidRPr="00E164B4">
        <w:rPr>
          <w:color w:val="0D0D0D"/>
        </w:rPr>
        <w:t xml:space="preserve"> dose of 50 Gy to entire breast (2 Gy per fraction, 5 days per week), p</w:t>
      </w:r>
      <w:r w:rsidR="008E3F1C" w:rsidRPr="00E164B4">
        <w:rPr>
          <w:color w:val="0D0D0D"/>
        </w:rPr>
        <w:t>lus 12 Gy boost to tumo</w:t>
      </w:r>
      <w:r w:rsidRPr="00E164B4">
        <w:rPr>
          <w:color w:val="0D0D0D"/>
        </w:rPr>
        <w:t xml:space="preserve">r bed (group B). using linac 4-6 MV, </w:t>
      </w:r>
      <w:r w:rsidR="00025C26" w:rsidRPr="00E164B4">
        <w:rPr>
          <w:color w:val="0D0D0D"/>
        </w:rPr>
        <w:t>to avoid high skin dose wit</w:t>
      </w:r>
      <w:r w:rsidR="00950691">
        <w:rPr>
          <w:color w:val="0D0D0D"/>
        </w:rPr>
        <w:t>h Co</w:t>
      </w:r>
      <w:r w:rsidR="00025C26" w:rsidRPr="00950691">
        <w:rPr>
          <w:color w:val="0D0D0D"/>
          <w:vertAlign w:val="superscript"/>
        </w:rPr>
        <w:t>60</w:t>
      </w:r>
      <w:r w:rsidR="00025C26" w:rsidRPr="00E164B4">
        <w:rPr>
          <w:color w:val="0D0D0D"/>
        </w:rPr>
        <w:t>.</w:t>
      </w:r>
    </w:p>
    <w:p w:rsidR="00470EDC" w:rsidRPr="00E164B4" w:rsidRDefault="00470EDC" w:rsidP="001464C0">
      <w:pPr>
        <w:widowControl/>
        <w:snapToGrid w:val="0"/>
        <w:ind w:firstLine="425"/>
        <w:jc w:val="both"/>
        <w:rPr>
          <w:color w:val="0D0D0D"/>
        </w:rPr>
      </w:pPr>
      <w:r w:rsidRPr="00E164B4">
        <w:rPr>
          <w:color w:val="0D0D0D"/>
        </w:rPr>
        <w:t>Boost</w:t>
      </w:r>
      <w:r w:rsidR="00714339" w:rsidRPr="00E164B4">
        <w:rPr>
          <w:color w:val="0D0D0D"/>
        </w:rPr>
        <w:t>: 6-15</w:t>
      </w:r>
      <w:r w:rsidR="008E3F1C" w:rsidRPr="00E164B4">
        <w:rPr>
          <w:color w:val="0D0D0D"/>
        </w:rPr>
        <w:t xml:space="preserve"> Mev electron energ</w:t>
      </w:r>
      <w:r w:rsidRPr="00E164B4">
        <w:rPr>
          <w:color w:val="0D0D0D"/>
        </w:rPr>
        <w:t>y, dep</w:t>
      </w:r>
      <w:r w:rsidR="008E3F1C" w:rsidRPr="00E164B4">
        <w:rPr>
          <w:color w:val="0D0D0D"/>
        </w:rPr>
        <w:t>ending on the depth of the tumo</w:t>
      </w:r>
      <w:r w:rsidRPr="00E164B4">
        <w:rPr>
          <w:color w:val="0D0D0D"/>
        </w:rPr>
        <w:t>r bed.</w:t>
      </w:r>
    </w:p>
    <w:p w:rsidR="00470EDC" w:rsidRPr="00E164B4" w:rsidRDefault="00470EDC" w:rsidP="001464C0">
      <w:pPr>
        <w:widowControl/>
        <w:snapToGrid w:val="0"/>
        <w:ind w:firstLine="425"/>
        <w:jc w:val="both"/>
        <w:rPr>
          <w:color w:val="0D0D0D"/>
        </w:rPr>
      </w:pPr>
      <w:r w:rsidRPr="00E164B4">
        <w:rPr>
          <w:color w:val="0D0D0D"/>
        </w:rPr>
        <w:t>Follow-up</w:t>
      </w:r>
      <w:r w:rsidR="00E164B4">
        <w:rPr>
          <w:color w:val="0D0D0D"/>
        </w:rPr>
        <w:t>:</w:t>
      </w:r>
      <w:r w:rsidRPr="00E164B4">
        <w:rPr>
          <w:color w:val="0D0D0D"/>
        </w:rPr>
        <w:t xml:space="preserve"> Patients were followed every 3 months by clinical examina</w:t>
      </w:r>
      <w:r w:rsidR="008E3F1C" w:rsidRPr="00E164B4">
        <w:rPr>
          <w:color w:val="0D0D0D"/>
        </w:rPr>
        <w:t>tion, mammogra</w:t>
      </w:r>
      <w:r w:rsidRPr="00E164B4">
        <w:rPr>
          <w:color w:val="0D0D0D"/>
        </w:rPr>
        <w:t>p</w:t>
      </w:r>
      <w:r w:rsidR="008E3F1C" w:rsidRPr="00E164B4">
        <w:rPr>
          <w:color w:val="0D0D0D"/>
        </w:rPr>
        <w:t>h</w:t>
      </w:r>
      <w:r w:rsidRPr="00E164B4">
        <w:rPr>
          <w:color w:val="0D0D0D"/>
        </w:rPr>
        <w:t>y ultrasound and CXR.</w:t>
      </w:r>
    </w:p>
    <w:p w:rsidR="00470EDC" w:rsidRPr="00E164B4" w:rsidRDefault="008E3F1C" w:rsidP="001464C0">
      <w:pPr>
        <w:widowControl/>
        <w:snapToGrid w:val="0"/>
        <w:ind w:firstLine="425"/>
        <w:jc w:val="both"/>
        <w:rPr>
          <w:color w:val="0D0D0D"/>
        </w:rPr>
      </w:pPr>
      <w:r w:rsidRPr="00E164B4">
        <w:rPr>
          <w:color w:val="0D0D0D"/>
        </w:rPr>
        <w:t>Bone scan yearly and tumo</w:t>
      </w:r>
      <w:r w:rsidR="00470EDC" w:rsidRPr="00E164B4">
        <w:rPr>
          <w:color w:val="0D0D0D"/>
        </w:rPr>
        <w:t>r markers every 6 months.</w:t>
      </w:r>
    </w:p>
    <w:p w:rsidR="00470EDC" w:rsidRPr="00E164B4" w:rsidRDefault="00470EDC" w:rsidP="001464C0">
      <w:pPr>
        <w:widowControl/>
        <w:snapToGrid w:val="0"/>
        <w:jc w:val="both"/>
        <w:rPr>
          <w:b/>
          <w:bCs/>
          <w:color w:val="0D0D0D"/>
        </w:rPr>
      </w:pPr>
      <w:r w:rsidRPr="00E164B4">
        <w:rPr>
          <w:b/>
          <w:bCs/>
          <w:color w:val="0D0D0D"/>
        </w:rPr>
        <w:t>Statistical analysis:</w:t>
      </w:r>
    </w:p>
    <w:p w:rsidR="00470EDC" w:rsidRPr="00E164B4" w:rsidRDefault="00470EDC" w:rsidP="001464C0">
      <w:pPr>
        <w:widowControl/>
        <w:snapToGrid w:val="0"/>
        <w:ind w:firstLine="425"/>
        <w:jc w:val="both"/>
        <w:rPr>
          <w:color w:val="0D0D0D"/>
        </w:rPr>
      </w:pPr>
      <w:r w:rsidRPr="00E164B4">
        <w:rPr>
          <w:color w:val="0D0D0D"/>
        </w:rPr>
        <w:t xml:space="preserve">All data were collected, tabulated and </w:t>
      </w:r>
      <w:r w:rsidR="008E3F1C" w:rsidRPr="00E164B4">
        <w:rPr>
          <w:color w:val="0D0D0D"/>
        </w:rPr>
        <w:t>stati</w:t>
      </w:r>
      <w:r w:rsidR="00950691">
        <w:rPr>
          <w:color w:val="0D0D0D"/>
        </w:rPr>
        <w:t>sti</w:t>
      </w:r>
      <w:r w:rsidR="008E3F1C" w:rsidRPr="00E164B4">
        <w:rPr>
          <w:color w:val="0D0D0D"/>
        </w:rPr>
        <w:t>cally</w:t>
      </w:r>
      <w:r w:rsidRPr="00E164B4">
        <w:rPr>
          <w:color w:val="0D0D0D"/>
        </w:rPr>
        <w:t xml:space="preserve"> </w:t>
      </w:r>
      <w:r w:rsidR="008E3F1C" w:rsidRPr="00E164B4">
        <w:rPr>
          <w:color w:val="0D0D0D"/>
        </w:rPr>
        <w:t>analyzed</w:t>
      </w:r>
      <w:r w:rsidR="00E164B4">
        <w:rPr>
          <w:color w:val="0D0D0D"/>
        </w:rPr>
        <w:t xml:space="preserve"> </w:t>
      </w:r>
      <w:r w:rsidRPr="00E164B4">
        <w:rPr>
          <w:color w:val="0D0D0D"/>
        </w:rPr>
        <w:t>using SPSS 15.0 for windows (SPSS Inc., IL, USA) and Medcale 13 for windows (Medcalc software bvba).</w:t>
      </w:r>
    </w:p>
    <w:p w:rsidR="00470EDC" w:rsidRPr="00E164B4" w:rsidRDefault="008E3F1C" w:rsidP="001464C0">
      <w:pPr>
        <w:widowControl/>
        <w:snapToGrid w:val="0"/>
        <w:ind w:firstLine="425"/>
        <w:jc w:val="both"/>
        <w:rPr>
          <w:color w:val="0D0D0D"/>
        </w:rPr>
      </w:pPr>
      <w:r w:rsidRPr="00E164B4">
        <w:rPr>
          <w:color w:val="0D0D0D"/>
        </w:rPr>
        <w:t>Continues</w:t>
      </w:r>
      <w:r w:rsidR="00470EDC" w:rsidRPr="00E164B4">
        <w:rPr>
          <w:color w:val="0D0D0D"/>
        </w:rPr>
        <w:t xml:space="preserve"> quantitative variables e.g. age were expressed as the mean </w:t>
      </w:r>
      <w:r w:rsidR="00470EDC" w:rsidRPr="00E164B4">
        <w:rPr>
          <w:color w:val="0D0D0D"/>
        </w:rPr>
        <w:sym w:font="Symbol" w:char="F0B1"/>
      </w:r>
      <w:r w:rsidR="00470EDC" w:rsidRPr="00E164B4">
        <w:rPr>
          <w:color w:val="0D0D0D"/>
        </w:rPr>
        <w:t xml:space="preserve"> SD &amp; median (range), and categorical qualitativ</w:t>
      </w:r>
      <w:r w:rsidRPr="00E164B4">
        <w:rPr>
          <w:color w:val="0D0D0D"/>
        </w:rPr>
        <w:t>e variables were expressed</w:t>
      </w:r>
      <w:r w:rsidR="00E164B4">
        <w:rPr>
          <w:color w:val="0D0D0D"/>
        </w:rPr>
        <w:t xml:space="preserve"> </w:t>
      </w:r>
      <w:r w:rsidR="00470EDC" w:rsidRPr="00E164B4">
        <w:rPr>
          <w:color w:val="0D0D0D"/>
        </w:rPr>
        <w:t>absolute</w:t>
      </w:r>
      <w:r w:rsidR="00E164B4">
        <w:rPr>
          <w:color w:val="0D0D0D"/>
        </w:rPr>
        <w:t xml:space="preserve"> </w:t>
      </w:r>
      <w:r w:rsidR="00470EDC" w:rsidRPr="00E164B4">
        <w:rPr>
          <w:color w:val="0D0D0D"/>
        </w:rPr>
        <w:t>frequencies “number” and relative fr</w:t>
      </w:r>
      <w:r w:rsidR="00693B69" w:rsidRPr="00E164B4">
        <w:rPr>
          <w:color w:val="0D0D0D"/>
        </w:rPr>
        <w:t>equencies (percent</w:t>
      </w:r>
      <w:r w:rsidR="00470EDC" w:rsidRPr="00E164B4">
        <w:rPr>
          <w:color w:val="0D0D0D"/>
        </w:rPr>
        <w:t xml:space="preserve">age). </w:t>
      </w:r>
      <w:r w:rsidRPr="00E164B4">
        <w:rPr>
          <w:color w:val="0D0D0D"/>
        </w:rPr>
        <w:t>Continues</w:t>
      </w:r>
      <w:r w:rsidR="00470EDC" w:rsidRPr="00E164B4">
        <w:rPr>
          <w:color w:val="0D0D0D"/>
        </w:rPr>
        <w:t xml:space="preserve"> data were </w:t>
      </w:r>
      <w:r w:rsidRPr="00E164B4">
        <w:rPr>
          <w:color w:val="0D0D0D"/>
        </w:rPr>
        <w:t>checked for normality by using Shapiro-W</w:t>
      </w:r>
      <w:r w:rsidR="00470EDC" w:rsidRPr="00E164B4">
        <w:rPr>
          <w:color w:val="0D0D0D"/>
        </w:rPr>
        <w:t>ilktest.</w:t>
      </w:r>
    </w:p>
    <w:p w:rsidR="00470EDC" w:rsidRPr="00E164B4" w:rsidRDefault="008E3F1C" w:rsidP="001464C0">
      <w:pPr>
        <w:widowControl/>
        <w:snapToGrid w:val="0"/>
        <w:ind w:firstLine="425"/>
        <w:jc w:val="both"/>
        <w:rPr>
          <w:color w:val="0D0D0D"/>
        </w:rPr>
      </w:pPr>
      <w:r w:rsidRPr="00E164B4">
        <w:rPr>
          <w:color w:val="0D0D0D"/>
        </w:rPr>
        <w:t>Mann – W</w:t>
      </w:r>
      <w:r w:rsidR="00470EDC" w:rsidRPr="00E164B4">
        <w:rPr>
          <w:color w:val="0D0D0D"/>
        </w:rPr>
        <w:t>hitneyu (MW) test as used to compare two groups of non-normally distributed data.</w:t>
      </w:r>
    </w:p>
    <w:p w:rsidR="00470EDC" w:rsidRPr="00E164B4" w:rsidRDefault="00470EDC" w:rsidP="001464C0">
      <w:pPr>
        <w:widowControl/>
        <w:snapToGrid w:val="0"/>
        <w:ind w:firstLine="425"/>
        <w:jc w:val="both"/>
        <w:rPr>
          <w:color w:val="0D0D0D"/>
        </w:rPr>
      </w:pPr>
      <w:r w:rsidRPr="00E164B4">
        <w:rPr>
          <w:color w:val="0D0D0D"/>
        </w:rPr>
        <w:t>Categorized data were compared using X</w:t>
      </w:r>
      <w:r w:rsidRPr="00E164B4">
        <w:rPr>
          <w:color w:val="0D0D0D"/>
          <w:vertAlign w:val="superscript"/>
        </w:rPr>
        <w:t>2</w:t>
      </w:r>
      <w:r w:rsidRPr="00E164B4">
        <w:rPr>
          <w:color w:val="0D0D0D"/>
        </w:rPr>
        <w:t xml:space="preserve"> test. All tests were two sided.</w:t>
      </w:r>
    </w:p>
    <w:p w:rsidR="00470EDC" w:rsidRPr="00E164B4" w:rsidRDefault="00470EDC" w:rsidP="001464C0">
      <w:pPr>
        <w:widowControl/>
        <w:snapToGrid w:val="0"/>
        <w:ind w:firstLine="425"/>
        <w:jc w:val="both"/>
        <w:rPr>
          <w:color w:val="0D0D0D"/>
        </w:rPr>
      </w:pPr>
      <w:r w:rsidRPr="00E164B4">
        <w:rPr>
          <w:i/>
          <w:iCs/>
          <w:color w:val="0D0D0D"/>
        </w:rPr>
        <w:t>P</w:t>
      </w:r>
      <w:r w:rsidRPr="00E164B4">
        <w:rPr>
          <w:color w:val="0D0D0D"/>
        </w:rPr>
        <w:t xml:space="preserve">&lt;0.05 was considered statistically significant (S), </w:t>
      </w:r>
      <w:r w:rsidRPr="00E164B4">
        <w:rPr>
          <w:i/>
          <w:iCs/>
          <w:color w:val="0D0D0D"/>
        </w:rPr>
        <w:t>P</w:t>
      </w:r>
      <w:r w:rsidRPr="00E164B4">
        <w:rPr>
          <w:color w:val="0D0D0D"/>
        </w:rPr>
        <w:t xml:space="preserve"> 0.01 was considered highly statistically significant (HS) and </w:t>
      </w:r>
      <w:r w:rsidRPr="00E164B4">
        <w:rPr>
          <w:i/>
          <w:iCs/>
          <w:color w:val="0D0D0D"/>
        </w:rPr>
        <w:t>P</w:t>
      </w:r>
      <w:r w:rsidRPr="00E164B4">
        <w:rPr>
          <w:color w:val="0D0D0D"/>
        </w:rPr>
        <w:t>&gt; 0.05 were considered non statistically significant (NS).</w:t>
      </w:r>
    </w:p>
    <w:p w:rsidR="0061521B" w:rsidRPr="00E164B4" w:rsidRDefault="0061521B" w:rsidP="001464C0">
      <w:pPr>
        <w:pStyle w:val="Heading8"/>
        <w:keepNext w:val="0"/>
        <w:snapToGrid w:val="0"/>
        <w:spacing w:before="0"/>
        <w:jc w:val="both"/>
        <w:rPr>
          <w:color w:val="0D0D0D"/>
          <w:sz w:val="20"/>
        </w:rPr>
      </w:pPr>
    </w:p>
    <w:p w:rsidR="00470EDC" w:rsidRPr="00E164B4" w:rsidRDefault="0061521B" w:rsidP="001464C0">
      <w:pPr>
        <w:pStyle w:val="Heading8"/>
        <w:keepNext w:val="0"/>
        <w:snapToGrid w:val="0"/>
        <w:spacing w:before="0"/>
        <w:jc w:val="both"/>
        <w:rPr>
          <w:color w:val="0D0D0D"/>
          <w:sz w:val="20"/>
        </w:rPr>
      </w:pPr>
      <w:r w:rsidRPr="00E164B4">
        <w:rPr>
          <w:color w:val="0D0D0D"/>
          <w:sz w:val="20"/>
        </w:rPr>
        <w:t>3. Results</w:t>
      </w:r>
    </w:p>
    <w:p w:rsidR="00470EDC" w:rsidRPr="00E164B4" w:rsidRDefault="00470EDC" w:rsidP="001464C0">
      <w:pPr>
        <w:widowControl/>
        <w:snapToGrid w:val="0"/>
        <w:jc w:val="both"/>
        <w:rPr>
          <w:b/>
          <w:bCs/>
          <w:color w:val="0D0D0D"/>
        </w:rPr>
      </w:pPr>
      <w:r w:rsidRPr="00E164B4">
        <w:rPr>
          <w:b/>
          <w:bCs/>
          <w:color w:val="0D0D0D"/>
        </w:rPr>
        <w:t>Patient characteristics</w:t>
      </w:r>
      <w:r w:rsidR="00E164B4">
        <w:rPr>
          <w:b/>
          <w:bCs/>
          <w:color w:val="0D0D0D"/>
        </w:rPr>
        <w:t>:</w:t>
      </w:r>
    </w:p>
    <w:p w:rsidR="003A7E58" w:rsidRPr="00E164B4" w:rsidRDefault="003A7E58" w:rsidP="001464C0">
      <w:pPr>
        <w:widowControl/>
        <w:snapToGrid w:val="0"/>
        <w:ind w:firstLine="425"/>
        <w:jc w:val="both"/>
        <w:rPr>
          <w:color w:val="0D0D0D"/>
        </w:rPr>
      </w:pPr>
    </w:p>
    <w:p w:rsidR="00E164B4" w:rsidRDefault="003E5615" w:rsidP="001464C0">
      <w:pPr>
        <w:widowControl/>
        <w:snapToGrid w:val="0"/>
        <w:jc w:val="center"/>
        <w:rPr>
          <w:color w:val="0D0D0D"/>
          <w:vertAlign w:val="subscript"/>
          <w:lang w:eastAsia="zh-CN"/>
        </w:rPr>
      </w:pPr>
      <w:r>
        <w:rPr>
          <w:noProof/>
          <w:snapToGrid/>
          <w:color w:val="0D0D0D"/>
          <w:vertAlign w:val="subscript"/>
          <w:lang w:eastAsia="en-US"/>
        </w:rPr>
        <w:drawing>
          <wp:inline distT="0" distB="0" distL="0" distR="0">
            <wp:extent cx="2655570" cy="252857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A7E58" w:rsidRPr="00E164B4" w:rsidRDefault="003A7E58" w:rsidP="001464C0">
      <w:pPr>
        <w:widowControl/>
        <w:snapToGrid w:val="0"/>
        <w:jc w:val="center"/>
        <w:rPr>
          <w:b/>
          <w:bCs/>
          <w:color w:val="0D0D0D"/>
        </w:rPr>
      </w:pPr>
      <w:r w:rsidRPr="00E164B4">
        <w:rPr>
          <w:b/>
          <w:bCs/>
          <w:color w:val="0D0D0D"/>
        </w:rPr>
        <w:t>Fig. (1) DFS in both groups</w:t>
      </w:r>
    </w:p>
    <w:p w:rsidR="001464C0" w:rsidRPr="00E164B4" w:rsidRDefault="001464C0" w:rsidP="001464C0">
      <w:pPr>
        <w:widowControl/>
        <w:snapToGrid w:val="0"/>
        <w:ind w:firstLine="425"/>
        <w:jc w:val="both"/>
        <w:rPr>
          <w:color w:val="0D0D0D"/>
          <w:lang w:eastAsia="zh-CN"/>
        </w:rPr>
      </w:pPr>
    </w:p>
    <w:p w:rsidR="001464C0" w:rsidRPr="00E164B4" w:rsidRDefault="001464C0" w:rsidP="001464C0">
      <w:pPr>
        <w:widowControl/>
        <w:snapToGrid w:val="0"/>
        <w:ind w:firstLine="425"/>
        <w:jc w:val="both"/>
        <w:rPr>
          <w:color w:val="0D0D0D"/>
        </w:rPr>
      </w:pPr>
      <w:r w:rsidRPr="00E164B4">
        <w:rPr>
          <w:color w:val="0D0D0D"/>
        </w:rPr>
        <w:t xml:space="preserve">A total of 37 women with early stage invasive breast carcinoma were included as group A and </w:t>
      </w:r>
      <w:r w:rsidRPr="00E164B4">
        <w:rPr>
          <w:color w:val="0D0D0D"/>
        </w:rPr>
        <w:lastRenderedPageBreak/>
        <w:t>compared with group B patients (40) who were retrospectively treated in our department using the conventional treatment protocols. Table (2) shows patients characteristics in both groups.</w:t>
      </w:r>
    </w:p>
    <w:p w:rsidR="001464C0" w:rsidRPr="00E164B4" w:rsidRDefault="001464C0" w:rsidP="001464C0">
      <w:pPr>
        <w:pStyle w:val="BodyText"/>
        <w:widowControl/>
        <w:snapToGrid w:val="0"/>
        <w:spacing w:before="0" w:line="240" w:lineRule="auto"/>
        <w:ind w:firstLine="425"/>
        <w:jc w:val="both"/>
        <w:rPr>
          <w:color w:val="0D0D0D"/>
          <w:sz w:val="20"/>
          <w:szCs w:val="20"/>
        </w:rPr>
      </w:pPr>
      <w:r w:rsidRPr="00E164B4">
        <w:rPr>
          <w:color w:val="0D0D0D"/>
          <w:sz w:val="20"/>
          <w:szCs w:val="20"/>
        </w:rPr>
        <w:t>The 3-year disease free survival (DFS) was 78% in group A compared to 83% in group B</w:t>
      </w:r>
      <w:r w:rsidR="00E164B4">
        <w:rPr>
          <w:color w:val="0D0D0D"/>
          <w:sz w:val="20"/>
          <w:szCs w:val="20"/>
        </w:rPr>
        <w:t xml:space="preserve"> </w:t>
      </w:r>
      <w:r w:rsidRPr="00E164B4">
        <w:rPr>
          <w:color w:val="0D0D0D"/>
          <w:sz w:val="20"/>
          <w:szCs w:val="20"/>
        </w:rPr>
        <w:t>(</w:t>
      </w:r>
      <w:r w:rsidRPr="00E164B4">
        <w:rPr>
          <w:i/>
          <w:iCs/>
          <w:color w:val="0D0D0D"/>
          <w:sz w:val="20"/>
          <w:szCs w:val="20"/>
        </w:rPr>
        <w:t>P</w:t>
      </w:r>
      <w:r w:rsidRPr="00E164B4">
        <w:rPr>
          <w:color w:val="0D0D0D"/>
          <w:sz w:val="20"/>
          <w:szCs w:val="20"/>
        </w:rPr>
        <w:t xml:space="preserve"> &gt; 0.05) and was statistically insignificant. On the other hand, local recurrence was 22% and 17% in both groups A &amp; B respectively (Fig 1, 2).</w:t>
      </w:r>
    </w:p>
    <w:p w:rsidR="001464C0" w:rsidRPr="00E164B4" w:rsidRDefault="001464C0" w:rsidP="001464C0">
      <w:pPr>
        <w:widowControl/>
        <w:snapToGrid w:val="0"/>
        <w:ind w:firstLine="425"/>
        <w:jc w:val="both"/>
        <w:rPr>
          <w:color w:val="0D0D0D"/>
        </w:rPr>
      </w:pPr>
      <w:r w:rsidRPr="00E164B4">
        <w:rPr>
          <w:color w:val="0D0D0D"/>
        </w:rPr>
        <w:t>In group A most patients who achieved local failure were below the age of 45 years (82.6%), compared to (76.2%) in group B patients (</w:t>
      </w:r>
      <w:r w:rsidRPr="00E164B4">
        <w:rPr>
          <w:i/>
          <w:iCs/>
          <w:color w:val="0D0D0D"/>
        </w:rPr>
        <w:t>P</w:t>
      </w:r>
      <w:r w:rsidRPr="00E164B4">
        <w:rPr>
          <w:color w:val="0D0D0D"/>
        </w:rPr>
        <w:t>&gt; 0.05). In group B patients breast fibrosis as a late effect of radiation was 10% compared to 5.40% in group A (</w:t>
      </w:r>
      <w:r w:rsidRPr="00E164B4">
        <w:rPr>
          <w:i/>
          <w:iCs/>
          <w:color w:val="0D0D0D"/>
        </w:rPr>
        <w:t>P</w:t>
      </w:r>
      <w:r w:rsidRPr="00E164B4">
        <w:rPr>
          <w:color w:val="0D0D0D"/>
        </w:rPr>
        <w:t xml:space="preserve"> &gt; 0.05) without statistical significant difference.</w:t>
      </w:r>
    </w:p>
    <w:p w:rsidR="001464C0" w:rsidRPr="00E164B4" w:rsidRDefault="001464C0" w:rsidP="001464C0">
      <w:pPr>
        <w:widowControl/>
        <w:snapToGrid w:val="0"/>
        <w:ind w:firstLine="425"/>
        <w:jc w:val="both"/>
        <w:rPr>
          <w:color w:val="0D0D0D"/>
        </w:rPr>
      </w:pPr>
      <w:r w:rsidRPr="00E164B4">
        <w:rPr>
          <w:color w:val="0D0D0D"/>
        </w:rPr>
        <w:t>Postoperatively, there was no significant difference in cosmetic assessment between the two arms, but by 3 years, the patients in the boost arm had a lower rate of excellent/good cosmetic outcome and nearly double the rate of fair outcomes (26.3% vs 12.8) with statistically insignificant difference (</w:t>
      </w:r>
      <w:r w:rsidRPr="00E164B4">
        <w:rPr>
          <w:i/>
          <w:iCs/>
          <w:color w:val="0D0D0D"/>
        </w:rPr>
        <w:t>P</w:t>
      </w:r>
      <w:r w:rsidRPr="00E164B4">
        <w:rPr>
          <w:color w:val="0D0D0D"/>
        </w:rPr>
        <w:t>&gt; 0,05) table (3).</w:t>
      </w:r>
    </w:p>
    <w:p w:rsidR="001464C0" w:rsidRPr="00E164B4" w:rsidRDefault="001464C0" w:rsidP="001464C0">
      <w:pPr>
        <w:widowControl/>
        <w:snapToGrid w:val="0"/>
        <w:ind w:firstLine="425"/>
        <w:jc w:val="both"/>
        <w:rPr>
          <w:color w:val="0D0D0D"/>
          <w:lang w:eastAsia="zh-CN"/>
        </w:rPr>
      </w:pPr>
    </w:p>
    <w:p w:rsidR="001464C0" w:rsidRPr="00E164B4" w:rsidRDefault="003E5615" w:rsidP="001464C0">
      <w:pPr>
        <w:widowControl/>
        <w:snapToGrid w:val="0"/>
        <w:jc w:val="center"/>
        <w:rPr>
          <w:color w:val="0D0D0D"/>
          <w:lang w:eastAsia="zh-CN"/>
        </w:rPr>
      </w:pPr>
      <w:r>
        <w:rPr>
          <w:noProof/>
          <w:snapToGrid/>
          <w:color w:val="0D0D0D"/>
          <w:vertAlign w:val="subscript"/>
          <w:lang w:eastAsia="en-US"/>
        </w:rPr>
        <w:drawing>
          <wp:inline distT="0" distB="0" distL="0" distR="0">
            <wp:extent cx="2727325" cy="208343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64C0" w:rsidRPr="00E164B4" w:rsidRDefault="001464C0" w:rsidP="001464C0">
      <w:pPr>
        <w:pStyle w:val="Caption"/>
        <w:widowControl/>
        <w:snapToGrid w:val="0"/>
        <w:spacing w:before="0" w:line="240" w:lineRule="auto"/>
        <w:rPr>
          <w:b/>
          <w:bCs/>
          <w:color w:val="0D0D0D"/>
          <w:sz w:val="20"/>
        </w:rPr>
      </w:pPr>
      <w:r w:rsidRPr="00E164B4">
        <w:rPr>
          <w:b/>
          <w:bCs/>
          <w:color w:val="0D0D0D"/>
          <w:sz w:val="20"/>
        </w:rPr>
        <w:t>Fig. (2) Local</w:t>
      </w:r>
      <w:r w:rsidR="00E164B4">
        <w:rPr>
          <w:b/>
          <w:bCs/>
          <w:color w:val="0D0D0D"/>
          <w:sz w:val="20"/>
        </w:rPr>
        <w:t xml:space="preserve"> </w:t>
      </w:r>
      <w:r w:rsidRPr="00E164B4">
        <w:rPr>
          <w:b/>
          <w:bCs/>
          <w:color w:val="0D0D0D"/>
          <w:sz w:val="20"/>
        </w:rPr>
        <w:t>failure in both groups.</w:t>
      </w:r>
    </w:p>
    <w:p w:rsidR="001464C0" w:rsidRPr="00E164B4" w:rsidRDefault="001464C0" w:rsidP="001464C0">
      <w:pPr>
        <w:widowControl/>
        <w:snapToGrid w:val="0"/>
        <w:jc w:val="both"/>
        <w:rPr>
          <w:color w:val="0D0D0D"/>
          <w:lang w:eastAsia="zh-CN"/>
        </w:rPr>
      </w:pPr>
    </w:p>
    <w:p w:rsidR="001464C0" w:rsidRPr="00E164B4" w:rsidRDefault="001464C0" w:rsidP="001464C0">
      <w:pPr>
        <w:widowControl/>
        <w:snapToGrid w:val="0"/>
        <w:ind w:firstLine="425"/>
        <w:jc w:val="both"/>
        <w:rPr>
          <w:color w:val="0D0D0D"/>
        </w:rPr>
      </w:pPr>
      <w:r w:rsidRPr="00E164B4">
        <w:rPr>
          <w:color w:val="0D0D0D"/>
        </w:rPr>
        <w:t>Fig (2) showed that the boost dose of radiation decreased local failure by 5% but without statistical significance (</w:t>
      </w:r>
      <w:r w:rsidRPr="00E164B4">
        <w:rPr>
          <w:i/>
          <w:iCs/>
          <w:color w:val="0D0D0D"/>
        </w:rPr>
        <w:t>P</w:t>
      </w:r>
      <w:r w:rsidRPr="00E164B4">
        <w:rPr>
          <w:color w:val="0D0D0D"/>
        </w:rPr>
        <w:t xml:space="preserve"> &gt; 0.05).</w:t>
      </w:r>
    </w:p>
    <w:p w:rsidR="001464C0" w:rsidRPr="00E164B4" w:rsidRDefault="001464C0" w:rsidP="001464C0">
      <w:pPr>
        <w:widowControl/>
        <w:snapToGrid w:val="0"/>
        <w:ind w:firstLine="425"/>
        <w:jc w:val="both"/>
        <w:rPr>
          <w:color w:val="0D0D0D"/>
          <w:lang w:eastAsia="zh-CN"/>
        </w:rPr>
        <w:sectPr w:rsidR="001464C0" w:rsidRPr="00E164B4" w:rsidSect="003E5FC3">
          <w:headerReference w:type="even" r:id="rId23"/>
          <w:headerReference w:type="default" r:id="rId24"/>
          <w:footerReference w:type="default" r:id="rId25"/>
          <w:type w:val="continuous"/>
          <w:pgSz w:w="12242" w:h="15842" w:code="1"/>
          <w:pgMar w:top="1440" w:right="1440" w:bottom="1440" w:left="1440" w:header="720" w:footer="720" w:gutter="0"/>
          <w:cols w:num="2" w:space="567"/>
          <w:noEndnote/>
          <w:docGrid w:linePitch="272"/>
        </w:sectPr>
      </w:pPr>
    </w:p>
    <w:p w:rsidR="001464C0" w:rsidRPr="00E164B4" w:rsidRDefault="001464C0" w:rsidP="001464C0">
      <w:pPr>
        <w:widowControl/>
        <w:snapToGrid w:val="0"/>
        <w:ind w:firstLine="425"/>
        <w:jc w:val="both"/>
        <w:rPr>
          <w:color w:val="0D0D0D"/>
        </w:rPr>
      </w:pPr>
    </w:p>
    <w:p w:rsidR="00470EDC" w:rsidRPr="00E164B4" w:rsidRDefault="00470EDC" w:rsidP="001464C0">
      <w:pPr>
        <w:pStyle w:val="Heading2"/>
        <w:keepNext w:val="0"/>
        <w:widowControl/>
        <w:snapToGrid w:val="0"/>
        <w:spacing w:before="0" w:line="240" w:lineRule="auto"/>
        <w:jc w:val="center"/>
        <w:rPr>
          <w:color w:val="0D0D0D"/>
          <w:sz w:val="20"/>
        </w:rPr>
      </w:pPr>
      <w:r w:rsidRPr="00E164B4">
        <w:rPr>
          <w:color w:val="0D0D0D"/>
          <w:sz w:val="20"/>
        </w:rPr>
        <w:t>Table (2)</w:t>
      </w:r>
      <w:r w:rsidR="00E164B4">
        <w:rPr>
          <w:color w:val="0D0D0D"/>
          <w:sz w:val="20"/>
        </w:rPr>
        <w:t>:</w:t>
      </w:r>
      <w:r w:rsidRPr="00E164B4">
        <w:rPr>
          <w:color w:val="0D0D0D"/>
          <w:sz w:val="20"/>
        </w:rPr>
        <w:t xml:space="preserve"> Patients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1008"/>
        <w:gridCol w:w="1190"/>
        <w:gridCol w:w="814"/>
        <w:gridCol w:w="1178"/>
        <w:gridCol w:w="1410"/>
      </w:tblGrid>
      <w:tr w:rsidR="00470EDC" w:rsidRPr="00E164B4" w:rsidTr="00E164B4">
        <w:trPr>
          <w:cantSplit/>
          <w:jc w:val="center"/>
        </w:trPr>
        <w:tc>
          <w:tcPr>
            <w:tcW w:w="2077" w:type="pct"/>
            <w:vMerge w:val="restart"/>
            <w:vAlign w:val="center"/>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Characteristic</w:t>
            </w:r>
          </w:p>
        </w:tc>
        <w:tc>
          <w:tcPr>
            <w:tcW w:w="1147" w:type="pct"/>
            <w:gridSpan w:val="2"/>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Group A</w:t>
            </w:r>
            <w:r w:rsidR="00950691">
              <w:rPr>
                <w:rFonts w:eastAsiaTheme="minorEastAsia"/>
                <w:color w:val="000000"/>
              </w:rPr>
              <w:t>(</w:t>
            </w:r>
            <w:r w:rsidRPr="00E164B4">
              <w:rPr>
                <w:rFonts w:eastAsiaTheme="minorEastAsia"/>
                <w:color w:val="000000"/>
              </w:rPr>
              <w:t xml:space="preserve"> 37</w:t>
            </w:r>
            <w:r w:rsidR="00950691">
              <w:rPr>
                <w:rFonts w:eastAsiaTheme="minorEastAsia"/>
                <w:color w:val="000000"/>
              </w:rPr>
              <w:t>)</w:t>
            </w:r>
          </w:p>
        </w:tc>
        <w:tc>
          <w:tcPr>
            <w:tcW w:w="1040" w:type="pct"/>
            <w:gridSpan w:val="2"/>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Group B</w:t>
            </w:r>
            <w:r w:rsidR="00950691">
              <w:rPr>
                <w:rFonts w:eastAsiaTheme="minorEastAsia"/>
                <w:color w:val="000000"/>
              </w:rPr>
              <w:t>(</w:t>
            </w:r>
            <w:r w:rsidRPr="00E164B4">
              <w:rPr>
                <w:rFonts w:eastAsiaTheme="minorEastAsia"/>
                <w:color w:val="000000"/>
              </w:rPr>
              <w:t xml:space="preserve"> 40</w:t>
            </w:r>
            <w:r w:rsidR="00950691">
              <w:rPr>
                <w:rFonts w:eastAsiaTheme="minorEastAsia"/>
                <w:color w:val="000000"/>
              </w:rPr>
              <w:t>)</w:t>
            </w:r>
          </w:p>
        </w:tc>
        <w:tc>
          <w:tcPr>
            <w:tcW w:w="736" w:type="pct"/>
            <w:vMerge w:val="restart"/>
          </w:tcPr>
          <w:p w:rsidR="00470EDC" w:rsidRPr="00E164B4" w:rsidRDefault="008E3F1C" w:rsidP="001464C0">
            <w:pPr>
              <w:widowControl/>
              <w:snapToGrid w:val="0"/>
              <w:jc w:val="both"/>
              <w:rPr>
                <w:rFonts w:eastAsiaTheme="minorEastAsia"/>
                <w:color w:val="000000"/>
              </w:rPr>
            </w:pPr>
            <w:r w:rsidRPr="00E164B4">
              <w:rPr>
                <w:rFonts w:eastAsiaTheme="minorEastAsia"/>
                <w:i/>
                <w:iCs/>
                <w:color w:val="000000"/>
              </w:rPr>
              <w:t>P</w:t>
            </w:r>
            <w:r w:rsidR="00470EDC" w:rsidRPr="00E164B4">
              <w:rPr>
                <w:rFonts w:eastAsiaTheme="minorEastAsia"/>
                <w:color w:val="000000"/>
              </w:rPr>
              <w:t xml:space="preserve"> value</w:t>
            </w:r>
          </w:p>
        </w:tc>
      </w:tr>
      <w:tr w:rsidR="00470EDC" w:rsidRPr="00E164B4" w:rsidTr="00E164B4">
        <w:trPr>
          <w:cantSplit/>
          <w:jc w:val="center"/>
        </w:trPr>
        <w:tc>
          <w:tcPr>
            <w:tcW w:w="2077" w:type="pct"/>
            <w:vMerge/>
          </w:tcPr>
          <w:p w:rsidR="00470EDC" w:rsidRPr="00E164B4" w:rsidRDefault="00470EDC" w:rsidP="001464C0">
            <w:pPr>
              <w:widowControl/>
              <w:snapToGrid w:val="0"/>
              <w:jc w:val="both"/>
              <w:rPr>
                <w:rFonts w:eastAsiaTheme="minorEastAsia"/>
                <w:color w:val="000000"/>
              </w:rPr>
            </w:pPr>
          </w:p>
        </w:tc>
        <w:tc>
          <w:tcPr>
            <w:tcW w:w="526" w:type="pct"/>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No</w:t>
            </w:r>
          </w:p>
        </w:tc>
        <w:tc>
          <w:tcPr>
            <w:tcW w:w="621" w:type="pct"/>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w:t>
            </w:r>
          </w:p>
        </w:tc>
        <w:tc>
          <w:tcPr>
            <w:tcW w:w="425" w:type="pct"/>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No</w:t>
            </w:r>
          </w:p>
        </w:tc>
        <w:tc>
          <w:tcPr>
            <w:tcW w:w="615" w:type="pct"/>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w:t>
            </w:r>
          </w:p>
        </w:tc>
        <w:tc>
          <w:tcPr>
            <w:tcW w:w="736" w:type="pct"/>
            <w:vMerge/>
          </w:tcPr>
          <w:p w:rsidR="00470EDC" w:rsidRPr="00E164B4" w:rsidRDefault="00470EDC" w:rsidP="001464C0">
            <w:pPr>
              <w:widowControl/>
              <w:snapToGrid w:val="0"/>
              <w:jc w:val="both"/>
              <w:rPr>
                <w:rFonts w:eastAsiaTheme="minorEastAsia"/>
                <w:color w:val="000000"/>
              </w:rPr>
            </w:pPr>
          </w:p>
        </w:tc>
      </w:tr>
      <w:tr w:rsidR="00470EDC" w:rsidRPr="00E164B4" w:rsidTr="00E164B4">
        <w:trPr>
          <w:jc w:val="center"/>
        </w:trPr>
        <w:tc>
          <w:tcPr>
            <w:tcW w:w="2077" w:type="pct"/>
            <w:tcBorders>
              <w:bottom w:val="single" w:sz="4" w:space="0" w:color="auto"/>
            </w:tcBorders>
          </w:tcPr>
          <w:p w:rsidR="00470EDC" w:rsidRPr="00E164B4" w:rsidRDefault="009B647E" w:rsidP="001464C0">
            <w:pPr>
              <w:widowControl/>
              <w:snapToGrid w:val="0"/>
              <w:jc w:val="both"/>
              <w:rPr>
                <w:rFonts w:eastAsiaTheme="minorEastAsia"/>
                <w:b/>
                <w:bCs/>
                <w:color w:val="000000"/>
              </w:rPr>
            </w:pPr>
            <w:r w:rsidRPr="00E164B4">
              <w:rPr>
                <w:rFonts w:eastAsiaTheme="minorEastAsia"/>
                <w:b/>
                <w:bCs/>
                <w:color w:val="000000"/>
              </w:rPr>
              <w:t>Tumor characteristics</w:t>
            </w:r>
          </w:p>
        </w:tc>
        <w:tc>
          <w:tcPr>
            <w:tcW w:w="526"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c>
          <w:tcPr>
            <w:tcW w:w="621"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c>
          <w:tcPr>
            <w:tcW w:w="425"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c>
          <w:tcPr>
            <w:tcW w:w="615"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c>
          <w:tcPr>
            <w:tcW w:w="736" w:type="pct"/>
            <w:tcBorders>
              <w:bottom w:val="single" w:sz="4" w:space="0" w:color="auto"/>
            </w:tcBorders>
          </w:tcPr>
          <w:p w:rsidR="00470EDC" w:rsidRPr="00E164B4" w:rsidRDefault="00470EDC" w:rsidP="001464C0">
            <w:pPr>
              <w:widowControl/>
              <w:snapToGrid w:val="0"/>
              <w:jc w:val="both"/>
              <w:rPr>
                <w:rFonts w:eastAsiaTheme="minorEastAsia"/>
                <w:color w:val="000000"/>
              </w:rPr>
            </w:pPr>
          </w:p>
        </w:tc>
      </w:tr>
      <w:tr w:rsidR="00470EDC" w:rsidRPr="00E164B4" w:rsidTr="00E164B4">
        <w:trPr>
          <w:jc w:val="center"/>
        </w:trPr>
        <w:tc>
          <w:tcPr>
            <w:tcW w:w="2077" w:type="pct"/>
            <w:tcBorders>
              <w:bottom w:val="nil"/>
            </w:tcBorders>
          </w:tcPr>
          <w:p w:rsidR="00470EDC" w:rsidRPr="00E164B4" w:rsidRDefault="00470EDC" w:rsidP="001464C0">
            <w:pPr>
              <w:widowControl/>
              <w:snapToGrid w:val="0"/>
              <w:jc w:val="both"/>
              <w:rPr>
                <w:rFonts w:eastAsiaTheme="minorEastAsia"/>
                <w:b/>
                <w:bCs/>
                <w:color w:val="000000"/>
              </w:rPr>
            </w:pPr>
            <w:r w:rsidRPr="00E164B4">
              <w:rPr>
                <w:rFonts w:eastAsiaTheme="minorEastAsia"/>
                <w:b/>
                <w:bCs/>
                <w:color w:val="000000"/>
              </w:rPr>
              <w:t>Nodal status</w:t>
            </w:r>
          </w:p>
        </w:tc>
        <w:tc>
          <w:tcPr>
            <w:tcW w:w="526" w:type="pct"/>
            <w:tcBorders>
              <w:bottom w:val="nil"/>
            </w:tcBorders>
          </w:tcPr>
          <w:p w:rsidR="00470EDC" w:rsidRPr="00E164B4" w:rsidRDefault="00470EDC" w:rsidP="001464C0">
            <w:pPr>
              <w:widowControl/>
              <w:snapToGrid w:val="0"/>
              <w:jc w:val="both"/>
              <w:rPr>
                <w:rFonts w:eastAsiaTheme="minorEastAsia"/>
                <w:color w:val="000000"/>
              </w:rPr>
            </w:pPr>
          </w:p>
        </w:tc>
        <w:tc>
          <w:tcPr>
            <w:tcW w:w="621" w:type="pct"/>
            <w:tcBorders>
              <w:bottom w:val="nil"/>
            </w:tcBorders>
          </w:tcPr>
          <w:p w:rsidR="00470EDC" w:rsidRPr="00E164B4" w:rsidRDefault="00470EDC" w:rsidP="001464C0">
            <w:pPr>
              <w:widowControl/>
              <w:snapToGrid w:val="0"/>
              <w:jc w:val="both"/>
              <w:rPr>
                <w:rFonts w:eastAsiaTheme="minorEastAsia"/>
                <w:color w:val="000000"/>
              </w:rPr>
            </w:pPr>
          </w:p>
        </w:tc>
        <w:tc>
          <w:tcPr>
            <w:tcW w:w="425" w:type="pct"/>
            <w:tcBorders>
              <w:bottom w:val="nil"/>
            </w:tcBorders>
          </w:tcPr>
          <w:p w:rsidR="00470EDC" w:rsidRPr="00E164B4" w:rsidRDefault="00470EDC" w:rsidP="001464C0">
            <w:pPr>
              <w:widowControl/>
              <w:snapToGrid w:val="0"/>
              <w:jc w:val="both"/>
              <w:rPr>
                <w:rFonts w:eastAsiaTheme="minorEastAsia"/>
                <w:color w:val="000000"/>
              </w:rPr>
            </w:pPr>
          </w:p>
        </w:tc>
        <w:tc>
          <w:tcPr>
            <w:tcW w:w="615" w:type="pct"/>
            <w:tcBorders>
              <w:bottom w:val="nil"/>
            </w:tcBorders>
          </w:tcPr>
          <w:p w:rsidR="00470EDC" w:rsidRPr="00E164B4" w:rsidRDefault="00470EDC" w:rsidP="001464C0">
            <w:pPr>
              <w:widowControl/>
              <w:snapToGrid w:val="0"/>
              <w:jc w:val="both"/>
              <w:rPr>
                <w:rFonts w:eastAsiaTheme="minorEastAsia"/>
                <w:color w:val="000000"/>
              </w:rPr>
            </w:pPr>
          </w:p>
        </w:tc>
        <w:tc>
          <w:tcPr>
            <w:tcW w:w="736" w:type="pct"/>
            <w:tcBorders>
              <w:bottom w:val="nil"/>
            </w:tcBorders>
          </w:tcPr>
          <w:p w:rsidR="00470EDC" w:rsidRPr="00E164B4" w:rsidRDefault="00470EDC" w:rsidP="001464C0">
            <w:pPr>
              <w:widowControl/>
              <w:snapToGrid w:val="0"/>
              <w:jc w:val="both"/>
              <w:rPr>
                <w:rFonts w:eastAsiaTheme="minorEastAsia"/>
                <w:color w:val="000000"/>
              </w:rPr>
            </w:pPr>
          </w:p>
        </w:tc>
      </w:tr>
      <w:tr w:rsidR="009B647E" w:rsidRPr="00E164B4" w:rsidTr="00E164B4">
        <w:trPr>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No</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8</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21.62</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10</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25</w:t>
            </w:r>
          </w:p>
        </w:tc>
        <w:tc>
          <w:tcPr>
            <w:tcW w:w="73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0.640</w:t>
            </w:r>
          </w:p>
        </w:tc>
      </w:tr>
      <w:tr w:rsidR="009B647E" w:rsidRPr="00E164B4" w:rsidTr="00E164B4">
        <w:trPr>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N1</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29</w:t>
            </w:r>
          </w:p>
        </w:tc>
        <w:tc>
          <w:tcPr>
            <w:tcW w:w="621"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78.38</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30</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75</w:t>
            </w:r>
          </w:p>
        </w:tc>
        <w:tc>
          <w:tcPr>
            <w:tcW w:w="73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(NS)</w:t>
            </w:r>
          </w:p>
        </w:tc>
      </w:tr>
      <w:tr w:rsidR="009B647E" w:rsidRPr="00E164B4" w:rsidTr="00E164B4">
        <w:trPr>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Size</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&lt; 2 cm</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13</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35.13</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15</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37.50</w:t>
            </w:r>
          </w:p>
        </w:tc>
        <w:tc>
          <w:tcPr>
            <w:tcW w:w="736" w:type="pct"/>
            <w:vMerge w:val="restart"/>
            <w:tcBorders>
              <w:top w:val="nil"/>
              <w:bottom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0.096</w:t>
            </w:r>
          </w:p>
        </w:tc>
      </w:tr>
      <w:tr w:rsidR="009B647E" w:rsidRPr="00E164B4" w:rsidTr="00E164B4">
        <w:trPr>
          <w:cantSplit/>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2-5 cm</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24</w:t>
            </w:r>
          </w:p>
        </w:tc>
        <w:tc>
          <w:tcPr>
            <w:tcW w:w="621"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64.87</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25</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62.50</w:t>
            </w:r>
          </w:p>
        </w:tc>
        <w:tc>
          <w:tcPr>
            <w:tcW w:w="736" w:type="pct"/>
            <w:vMerge/>
            <w:tcBorders>
              <w:top w:val="nil"/>
              <w:bottom w:val="single" w:sz="4" w:space="0" w:color="auto"/>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Location</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Outer quadrant</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28</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75.67</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23</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57.50</w:t>
            </w:r>
          </w:p>
        </w:tc>
        <w:tc>
          <w:tcPr>
            <w:tcW w:w="736" w:type="pct"/>
            <w:vMerge w:val="restart"/>
            <w:tcBorders>
              <w:top w:val="nil"/>
              <w:bottom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0.87</w:t>
            </w:r>
          </w:p>
        </w:tc>
      </w:tr>
      <w:tr w:rsidR="009B647E" w:rsidRPr="00E164B4" w:rsidTr="00E164B4">
        <w:trPr>
          <w:cantSplit/>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Inner</w:t>
            </w:r>
            <w:r w:rsidR="00E164B4">
              <w:rPr>
                <w:rFonts w:eastAsiaTheme="minorEastAsia"/>
                <w:color w:val="000000"/>
              </w:rPr>
              <w:t xml:space="preserve"> </w:t>
            </w:r>
            <w:r w:rsidRPr="00E164B4">
              <w:rPr>
                <w:rFonts w:eastAsiaTheme="minorEastAsia"/>
                <w:color w:val="000000"/>
              </w:rPr>
              <w:t>quadrant</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9</w:t>
            </w:r>
          </w:p>
        </w:tc>
        <w:tc>
          <w:tcPr>
            <w:tcW w:w="621"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24.33</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17</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42.50</w:t>
            </w:r>
          </w:p>
        </w:tc>
        <w:tc>
          <w:tcPr>
            <w:tcW w:w="736" w:type="pct"/>
            <w:vMerge/>
            <w:tcBorders>
              <w:top w:val="nil"/>
              <w:bottom w:val="single" w:sz="4" w:space="0" w:color="auto"/>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Laterality</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Right</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15</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40.54</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19</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47.50</w:t>
            </w:r>
          </w:p>
        </w:tc>
        <w:tc>
          <w:tcPr>
            <w:tcW w:w="736" w:type="pct"/>
            <w:vMerge w:val="restart"/>
            <w:tcBorders>
              <w:top w:val="nil"/>
              <w:bottom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0.077</w:t>
            </w:r>
          </w:p>
        </w:tc>
      </w:tr>
      <w:tr w:rsidR="009B647E" w:rsidRPr="00E164B4" w:rsidTr="00E164B4">
        <w:trPr>
          <w:cantSplit/>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Left</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22</w:t>
            </w:r>
          </w:p>
        </w:tc>
        <w:tc>
          <w:tcPr>
            <w:tcW w:w="621" w:type="pct"/>
            <w:tcBorders>
              <w:top w:val="nil"/>
              <w:bottom w:val="single" w:sz="4" w:space="0" w:color="auto"/>
            </w:tcBorders>
          </w:tcPr>
          <w:p w:rsidR="009B647E" w:rsidRPr="00E164B4" w:rsidRDefault="00693B69" w:rsidP="001464C0">
            <w:pPr>
              <w:widowControl/>
              <w:snapToGrid w:val="0"/>
              <w:jc w:val="both"/>
              <w:rPr>
                <w:rFonts w:eastAsiaTheme="minorEastAsia"/>
                <w:color w:val="000000"/>
              </w:rPr>
            </w:pPr>
            <w:r w:rsidRPr="00E164B4">
              <w:rPr>
                <w:rFonts w:eastAsiaTheme="minorEastAsia"/>
                <w:color w:val="000000"/>
              </w:rPr>
              <w:t>59</w:t>
            </w:r>
            <w:r w:rsidR="009B647E" w:rsidRPr="00E164B4">
              <w:rPr>
                <w:rFonts w:eastAsiaTheme="minorEastAsia"/>
                <w:color w:val="000000"/>
              </w:rPr>
              <w:t>.46</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21</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52.50</w:t>
            </w:r>
          </w:p>
        </w:tc>
        <w:tc>
          <w:tcPr>
            <w:tcW w:w="736" w:type="pct"/>
            <w:vMerge/>
            <w:tcBorders>
              <w:top w:val="nil"/>
              <w:bottom w:val="single" w:sz="4" w:space="0" w:color="auto"/>
            </w:tcBorders>
          </w:tcPr>
          <w:p w:rsidR="009B647E" w:rsidRPr="00E164B4" w:rsidRDefault="009B647E" w:rsidP="001464C0">
            <w:pPr>
              <w:widowControl/>
              <w:snapToGrid w:val="0"/>
              <w:jc w:val="both"/>
              <w:rPr>
                <w:rFonts w:eastAsiaTheme="minorEastAsia"/>
                <w:color w:val="000000"/>
              </w:rPr>
            </w:pPr>
          </w:p>
        </w:tc>
      </w:tr>
      <w:tr w:rsidR="003B0EEC" w:rsidRPr="00E164B4" w:rsidTr="00E164B4">
        <w:trPr>
          <w:cantSplit/>
          <w:jc w:val="center"/>
        </w:trPr>
        <w:tc>
          <w:tcPr>
            <w:tcW w:w="2077" w:type="pct"/>
            <w:tcBorders>
              <w:bottom w:val="nil"/>
            </w:tcBorders>
          </w:tcPr>
          <w:p w:rsidR="003B0EEC" w:rsidRPr="00E164B4" w:rsidRDefault="003B0EEC" w:rsidP="001464C0">
            <w:pPr>
              <w:widowControl/>
              <w:snapToGrid w:val="0"/>
              <w:jc w:val="both"/>
              <w:rPr>
                <w:rFonts w:eastAsiaTheme="minorEastAsia"/>
                <w:b/>
                <w:bCs/>
                <w:color w:val="000000"/>
              </w:rPr>
            </w:pPr>
            <w:r w:rsidRPr="00E164B4">
              <w:rPr>
                <w:rFonts w:eastAsiaTheme="minorEastAsia"/>
                <w:b/>
                <w:bCs/>
                <w:color w:val="000000"/>
              </w:rPr>
              <w:t>Cancer treatment</w:t>
            </w:r>
          </w:p>
        </w:tc>
        <w:tc>
          <w:tcPr>
            <w:tcW w:w="526" w:type="pct"/>
            <w:tcBorders>
              <w:bottom w:val="nil"/>
            </w:tcBorders>
          </w:tcPr>
          <w:p w:rsidR="003B0EEC" w:rsidRPr="00E164B4" w:rsidRDefault="003B0EEC" w:rsidP="001464C0">
            <w:pPr>
              <w:widowControl/>
              <w:snapToGrid w:val="0"/>
              <w:jc w:val="both"/>
              <w:rPr>
                <w:rFonts w:eastAsiaTheme="minorEastAsia"/>
                <w:color w:val="000000"/>
              </w:rPr>
            </w:pPr>
          </w:p>
        </w:tc>
        <w:tc>
          <w:tcPr>
            <w:tcW w:w="621" w:type="pct"/>
            <w:tcBorders>
              <w:bottom w:val="nil"/>
            </w:tcBorders>
          </w:tcPr>
          <w:p w:rsidR="003B0EEC" w:rsidRPr="00E164B4" w:rsidRDefault="003B0EEC" w:rsidP="001464C0">
            <w:pPr>
              <w:widowControl/>
              <w:snapToGrid w:val="0"/>
              <w:jc w:val="both"/>
              <w:rPr>
                <w:rFonts w:eastAsiaTheme="minorEastAsia"/>
                <w:color w:val="000000"/>
              </w:rPr>
            </w:pPr>
          </w:p>
        </w:tc>
        <w:tc>
          <w:tcPr>
            <w:tcW w:w="425" w:type="pct"/>
            <w:tcBorders>
              <w:bottom w:val="nil"/>
            </w:tcBorders>
          </w:tcPr>
          <w:p w:rsidR="003B0EEC" w:rsidRPr="00E164B4" w:rsidRDefault="003B0EEC" w:rsidP="001464C0">
            <w:pPr>
              <w:widowControl/>
              <w:snapToGrid w:val="0"/>
              <w:jc w:val="both"/>
              <w:rPr>
                <w:rFonts w:eastAsiaTheme="minorEastAsia"/>
                <w:color w:val="000000"/>
              </w:rPr>
            </w:pPr>
          </w:p>
        </w:tc>
        <w:tc>
          <w:tcPr>
            <w:tcW w:w="615" w:type="pct"/>
            <w:tcBorders>
              <w:bottom w:val="nil"/>
            </w:tcBorders>
          </w:tcPr>
          <w:p w:rsidR="003B0EEC" w:rsidRPr="00E164B4" w:rsidRDefault="003B0EEC" w:rsidP="001464C0">
            <w:pPr>
              <w:widowControl/>
              <w:snapToGrid w:val="0"/>
              <w:jc w:val="both"/>
              <w:rPr>
                <w:rFonts w:eastAsiaTheme="minorEastAsia"/>
                <w:color w:val="000000"/>
              </w:rPr>
            </w:pPr>
          </w:p>
        </w:tc>
        <w:tc>
          <w:tcPr>
            <w:tcW w:w="736" w:type="pct"/>
            <w:vMerge w:val="restart"/>
          </w:tcPr>
          <w:p w:rsidR="003B0EEC" w:rsidRPr="00E164B4" w:rsidRDefault="004366CD" w:rsidP="001464C0">
            <w:pPr>
              <w:snapToGrid w:val="0"/>
              <w:jc w:val="both"/>
              <w:rPr>
                <w:rFonts w:eastAsiaTheme="minorEastAsia"/>
                <w:color w:val="000000"/>
                <w:lang w:eastAsia="zh-CN"/>
              </w:rPr>
            </w:pPr>
            <w:r w:rsidRPr="00E164B4">
              <w:rPr>
                <w:rFonts w:eastAsiaTheme="minorEastAsia"/>
                <w:color w:val="000000"/>
              </w:rPr>
              <w:t>0.854</w:t>
            </w:r>
          </w:p>
        </w:tc>
      </w:tr>
      <w:tr w:rsidR="003B0EEC" w:rsidRPr="00E164B4" w:rsidTr="00E164B4">
        <w:trPr>
          <w:cantSplit/>
          <w:trHeight w:val="52"/>
          <w:jc w:val="center"/>
        </w:trPr>
        <w:tc>
          <w:tcPr>
            <w:tcW w:w="2077"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Adjuvant chemotherapy</w:t>
            </w:r>
          </w:p>
        </w:tc>
        <w:tc>
          <w:tcPr>
            <w:tcW w:w="526" w:type="pct"/>
            <w:tcBorders>
              <w:top w:val="nil"/>
              <w:bottom w:val="nil"/>
            </w:tcBorders>
          </w:tcPr>
          <w:p w:rsidR="003B0EEC" w:rsidRPr="00E164B4" w:rsidRDefault="003B0EEC" w:rsidP="001464C0">
            <w:pPr>
              <w:widowControl/>
              <w:snapToGrid w:val="0"/>
              <w:jc w:val="both"/>
              <w:rPr>
                <w:rFonts w:eastAsiaTheme="minorEastAsia"/>
                <w:color w:val="000000"/>
              </w:rPr>
            </w:pPr>
          </w:p>
        </w:tc>
        <w:tc>
          <w:tcPr>
            <w:tcW w:w="621" w:type="pct"/>
            <w:tcBorders>
              <w:top w:val="nil"/>
              <w:bottom w:val="nil"/>
            </w:tcBorders>
          </w:tcPr>
          <w:p w:rsidR="003B0EEC" w:rsidRPr="00E164B4" w:rsidRDefault="003B0EEC" w:rsidP="001464C0">
            <w:pPr>
              <w:widowControl/>
              <w:snapToGrid w:val="0"/>
              <w:jc w:val="both"/>
              <w:rPr>
                <w:rFonts w:eastAsiaTheme="minorEastAsia"/>
                <w:color w:val="000000"/>
              </w:rPr>
            </w:pPr>
          </w:p>
        </w:tc>
        <w:tc>
          <w:tcPr>
            <w:tcW w:w="425" w:type="pct"/>
            <w:tcBorders>
              <w:top w:val="nil"/>
              <w:bottom w:val="nil"/>
            </w:tcBorders>
          </w:tcPr>
          <w:p w:rsidR="003B0EEC" w:rsidRPr="00E164B4" w:rsidRDefault="003B0EEC" w:rsidP="001464C0">
            <w:pPr>
              <w:widowControl/>
              <w:snapToGrid w:val="0"/>
              <w:jc w:val="both"/>
              <w:rPr>
                <w:rFonts w:eastAsiaTheme="minorEastAsia"/>
                <w:color w:val="000000"/>
              </w:rPr>
            </w:pPr>
          </w:p>
        </w:tc>
        <w:tc>
          <w:tcPr>
            <w:tcW w:w="615" w:type="pct"/>
            <w:tcBorders>
              <w:top w:val="nil"/>
              <w:bottom w:val="nil"/>
            </w:tcBorders>
          </w:tcPr>
          <w:p w:rsidR="003B0EEC" w:rsidRPr="00E164B4" w:rsidRDefault="003B0EEC" w:rsidP="001464C0">
            <w:pPr>
              <w:widowControl/>
              <w:snapToGrid w:val="0"/>
              <w:jc w:val="both"/>
              <w:rPr>
                <w:rFonts w:eastAsiaTheme="minorEastAsia"/>
                <w:color w:val="000000"/>
              </w:rPr>
            </w:pPr>
          </w:p>
        </w:tc>
        <w:tc>
          <w:tcPr>
            <w:tcW w:w="736" w:type="pct"/>
            <w:vMerge/>
          </w:tcPr>
          <w:p w:rsidR="003B0EEC" w:rsidRPr="00E164B4" w:rsidRDefault="003B0EEC" w:rsidP="001464C0">
            <w:pPr>
              <w:snapToGrid w:val="0"/>
              <w:jc w:val="both"/>
              <w:rPr>
                <w:rFonts w:eastAsiaTheme="minorEastAsia"/>
                <w:color w:val="000000"/>
              </w:rPr>
            </w:pPr>
          </w:p>
        </w:tc>
      </w:tr>
      <w:tr w:rsidR="003B0EEC" w:rsidRPr="00E164B4" w:rsidTr="00E164B4">
        <w:trPr>
          <w:cantSplit/>
          <w:jc w:val="center"/>
        </w:trPr>
        <w:tc>
          <w:tcPr>
            <w:tcW w:w="2077"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FAC</w:t>
            </w:r>
          </w:p>
        </w:tc>
        <w:tc>
          <w:tcPr>
            <w:tcW w:w="526"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25</w:t>
            </w:r>
          </w:p>
        </w:tc>
        <w:tc>
          <w:tcPr>
            <w:tcW w:w="621"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67.56</w:t>
            </w:r>
          </w:p>
        </w:tc>
        <w:tc>
          <w:tcPr>
            <w:tcW w:w="425"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27</w:t>
            </w:r>
          </w:p>
        </w:tc>
        <w:tc>
          <w:tcPr>
            <w:tcW w:w="615"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67.50</w:t>
            </w:r>
          </w:p>
        </w:tc>
        <w:tc>
          <w:tcPr>
            <w:tcW w:w="736" w:type="pct"/>
            <w:vMerge/>
            <w:vAlign w:val="center"/>
          </w:tcPr>
          <w:p w:rsidR="003B0EEC" w:rsidRPr="00E164B4" w:rsidRDefault="003B0EEC" w:rsidP="001464C0">
            <w:pPr>
              <w:widowControl/>
              <w:snapToGrid w:val="0"/>
              <w:jc w:val="both"/>
              <w:rPr>
                <w:rFonts w:eastAsiaTheme="minorEastAsia"/>
                <w:color w:val="000000"/>
              </w:rPr>
            </w:pPr>
          </w:p>
        </w:tc>
      </w:tr>
      <w:tr w:rsidR="003B0EEC" w:rsidRPr="00E164B4" w:rsidTr="00E164B4">
        <w:trPr>
          <w:cantSplit/>
          <w:jc w:val="center"/>
        </w:trPr>
        <w:tc>
          <w:tcPr>
            <w:tcW w:w="2077"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CMF</w:t>
            </w:r>
          </w:p>
        </w:tc>
        <w:tc>
          <w:tcPr>
            <w:tcW w:w="526"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12</w:t>
            </w:r>
          </w:p>
        </w:tc>
        <w:tc>
          <w:tcPr>
            <w:tcW w:w="621"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32.44</w:t>
            </w:r>
          </w:p>
        </w:tc>
        <w:tc>
          <w:tcPr>
            <w:tcW w:w="425"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13</w:t>
            </w:r>
          </w:p>
        </w:tc>
        <w:tc>
          <w:tcPr>
            <w:tcW w:w="615"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32.50</w:t>
            </w:r>
          </w:p>
        </w:tc>
        <w:tc>
          <w:tcPr>
            <w:tcW w:w="736" w:type="pct"/>
            <w:vMerge/>
            <w:vAlign w:val="bottom"/>
          </w:tcPr>
          <w:p w:rsidR="003B0EEC" w:rsidRPr="00E164B4" w:rsidRDefault="003B0EEC" w:rsidP="001464C0">
            <w:pPr>
              <w:widowControl/>
              <w:snapToGrid w:val="0"/>
              <w:jc w:val="both"/>
              <w:rPr>
                <w:rFonts w:eastAsiaTheme="minorEastAsia"/>
                <w:color w:val="000000"/>
              </w:rPr>
            </w:pPr>
          </w:p>
        </w:tc>
      </w:tr>
      <w:tr w:rsidR="003B0EEC" w:rsidRPr="00E164B4" w:rsidTr="00E164B4">
        <w:trPr>
          <w:cantSplit/>
          <w:jc w:val="center"/>
        </w:trPr>
        <w:tc>
          <w:tcPr>
            <w:tcW w:w="2077" w:type="pct"/>
            <w:tcBorders>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Adjuvant hormonal therapy</w:t>
            </w:r>
          </w:p>
        </w:tc>
        <w:tc>
          <w:tcPr>
            <w:tcW w:w="526" w:type="pct"/>
            <w:tcBorders>
              <w:bottom w:val="nil"/>
            </w:tcBorders>
          </w:tcPr>
          <w:p w:rsidR="003B0EEC" w:rsidRPr="00E164B4" w:rsidRDefault="003B0EEC" w:rsidP="001464C0">
            <w:pPr>
              <w:widowControl/>
              <w:snapToGrid w:val="0"/>
              <w:jc w:val="both"/>
              <w:rPr>
                <w:rFonts w:eastAsiaTheme="minorEastAsia"/>
                <w:color w:val="000000"/>
              </w:rPr>
            </w:pPr>
          </w:p>
        </w:tc>
        <w:tc>
          <w:tcPr>
            <w:tcW w:w="621" w:type="pct"/>
            <w:tcBorders>
              <w:bottom w:val="nil"/>
            </w:tcBorders>
          </w:tcPr>
          <w:p w:rsidR="003B0EEC" w:rsidRPr="00E164B4" w:rsidRDefault="003B0EEC" w:rsidP="001464C0">
            <w:pPr>
              <w:widowControl/>
              <w:snapToGrid w:val="0"/>
              <w:jc w:val="both"/>
              <w:rPr>
                <w:rFonts w:eastAsiaTheme="minorEastAsia"/>
                <w:color w:val="000000"/>
              </w:rPr>
            </w:pPr>
          </w:p>
        </w:tc>
        <w:tc>
          <w:tcPr>
            <w:tcW w:w="425" w:type="pct"/>
            <w:tcBorders>
              <w:bottom w:val="nil"/>
            </w:tcBorders>
          </w:tcPr>
          <w:p w:rsidR="003B0EEC" w:rsidRPr="00E164B4" w:rsidRDefault="003B0EEC" w:rsidP="001464C0">
            <w:pPr>
              <w:widowControl/>
              <w:snapToGrid w:val="0"/>
              <w:jc w:val="both"/>
              <w:rPr>
                <w:rFonts w:eastAsiaTheme="minorEastAsia"/>
                <w:color w:val="000000"/>
              </w:rPr>
            </w:pPr>
          </w:p>
        </w:tc>
        <w:tc>
          <w:tcPr>
            <w:tcW w:w="615" w:type="pct"/>
            <w:tcBorders>
              <w:bottom w:val="nil"/>
            </w:tcBorders>
          </w:tcPr>
          <w:p w:rsidR="003B0EEC" w:rsidRPr="00E164B4" w:rsidRDefault="003B0EEC" w:rsidP="001464C0">
            <w:pPr>
              <w:widowControl/>
              <w:snapToGrid w:val="0"/>
              <w:jc w:val="both"/>
              <w:rPr>
                <w:rFonts w:eastAsiaTheme="minorEastAsia"/>
                <w:color w:val="000000"/>
              </w:rPr>
            </w:pPr>
          </w:p>
        </w:tc>
        <w:tc>
          <w:tcPr>
            <w:tcW w:w="736" w:type="pct"/>
            <w:vMerge w:val="restart"/>
            <w:vAlign w:val="bottom"/>
          </w:tcPr>
          <w:p w:rsidR="003B0EEC" w:rsidRPr="00E164B4" w:rsidRDefault="003B0EEC" w:rsidP="001464C0">
            <w:pPr>
              <w:snapToGrid w:val="0"/>
              <w:jc w:val="both"/>
              <w:rPr>
                <w:rFonts w:eastAsiaTheme="minorEastAsia"/>
                <w:color w:val="000000"/>
                <w:lang w:eastAsia="zh-CN"/>
              </w:rPr>
            </w:pPr>
            <w:r w:rsidRPr="00E164B4">
              <w:rPr>
                <w:rFonts w:eastAsiaTheme="minorEastAsia"/>
                <w:color w:val="000000"/>
              </w:rPr>
              <w:t>0.984</w:t>
            </w:r>
          </w:p>
        </w:tc>
      </w:tr>
      <w:tr w:rsidR="003B0EEC" w:rsidRPr="00E164B4" w:rsidTr="00E164B4">
        <w:trPr>
          <w:cantSplit/>
          <w:jc w:val="center"/>
        </w:trPr>
        <w:tc>
          <w:tcPr>
            <w:tcW w:w="2077"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Tamoxifene</w:t>
            </w:r>
          </w:p>
        </w:tc>
        <w:tc>
          <w:tcPr>
            <w:tcW w:w="526"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32</w:t>
            </w:r>
          </w:p>
        </w:tc>
        <w:tc>
          <w:tcPr>
            <w:tcW w:w="621"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86.49</w:t>
            </w:r>
          </w:p>
        </w:tc>
        <w:tc>
          <w:tcPr>
            <w:tcW w:w="425"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36</w:t>
            </w:r>
          </w:p>
        </w:tc>
        <w:tc>
          <w:tcPr>
            <w:tcW w:w="615" w:type="pct"/>
            <w:tcBorders>
              <w:top w:val="nil"/>
              <w:bottom w:val="nil"/>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90.00</w:t>
            </w:r>
          </w:p>
        </w:tc>
        <w:tc>
          <w:tcPr>
            <w:tcW w:w="736" w:type="pct"/>
            <w:vMerge/>
            <w:vAlign w:val="bottom"/>
          </w:tcPr>
          <w:p w:rsidR="003B0EEC" w:rsidRPr="00E164B4" w:rsidRDefault="003B0EEC" w:rsidP="001464C0">
            <w:pPr>
              <w:widowControl/>
              <w:snapToGrid w:val="0"/>
              <w:jc w:val="both"/>
              <w:rPr>
                <w:rFonts w:eastAsiaTheme="minorEastAsia"/>
                <w:color w:val="000000"/>
              </w:rPr>
            </w:pPr>
          </w:p>
        </w:tc>
      </w:tr>
      <w:tr w:rsidR="003B0EEC" w:rsidRPr="00E164B4" w:rsidTr="00E164B4">
        <w:trPr>
          <w:cantSplit/>
          <w:jc w:val="center"/>
        </w:trPr>
        <w:tc>
          <w:tcPr>
            <w:tcW w:w="2077"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Letrozole</w:t>
            </w:r>
          </w:p>
        </w:tc>
        <w:tc>
          <w:tcPr>
            <w:tcW w:w="526"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5</w:t>
            </w:r>
          </w:p>
        </w:tc>
        <w:tc>
          <w:tcPr>
            <w:tcW w:w="621"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13.51</w:t>
            </w:r>
          </w:p>
        </w:tc>
        <w:tc>
          <w:tcPr>
            <w:tcW w:w="425"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4</w:t>
            </w:r>
          </w:p>
        </w:tc>
        <w:tc>
          <w:tcPr>
            <w:tcW w:w="615" w:type="pct"/>
            <w:tcBorders>
              <w:top w:val="nil"/>
              <w:bottom w:val="single" w:sz="4" w:space="0" w:color="auto"/>
            </w:tcBorders>
          </w:tcPr>
          <w:p w:rsidR="003B0EEC" w:rsidRPr="00E164B4" w:rsidRDefault="003B0EEC" w:rsidP="001464C0">
            <w:pPr>
              <w:widowControl/>
              <w:snapToGrid w:val="0"/>
              <w:jc w:val="both"/>
              <w:rPr>
                <w:rFonts w:eastAsiaTheme="minorEastAsia"/>
                <w:color w:val="000000"/>
              </w:rPr>
            </w:pPr>
            <w:r w:rsidRPr="00E164B4">
              <w:rPr>
                <w:rFonts w:eastAsiaTheme="minorEastAsia"/>
                <w:color w:val="000000"/>
              </w:rPr>
              <w:t>10.00</w:t>
            </w:r>
          </w:p>
        </w:tc>
        <w:tc>
          <w:tcPr>
            <w:tcW w:w="736" w:type="pct"/>
            <w:vMerge/>
            <w:tcBorders>
              <w:bottom w:val="single" w:sz="4" w:space="0" w:color="auto"/>
            </w:tcBorders>
            <w:vAlign w:val="bottom"/>
          </w:tcPr>
          <w:p w:rsidR="003B0EEC" w:rsidRPr="00E164B4" w:rsidRDefault="003B0EEC" w:rsidP="001464C0">
            <w:pPr>
              <w:widowControl/>
              <w:snapToGrid w:val="0"/>
              <w:jc w:val="both"/>
              <w:rPr>
                <w:rFonts w:eastAsiaTheme="minorEastAsia"/>
                <w:color w:val="000000"/>
              </w:rPr>
            </w:pPr>
          </w:p>
        </w:tc>
      </w:tr>
      <w:tr w:rsidR="009B647E" w:rsidRPr="00E164B4" w:rsidTr="00E164B4">
        <w:trPr>
          <w:cantSplit/>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Grade</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10.81</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7</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17.50</w:t>
            </w:r>
          </w:p>
        </w:tc>
        <w:tc>
          <w:tcPr>
            <w:tcW w:w="736" w:type="pct"/>
            <w:vMerge w:val="restart"/>
            <w:tcBorders>
              <w:top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0.0623</w:t>
            </w: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18</w:t>
            </w:r>
          </w:p>
        </w:tc>
        <w:tc>
          <w:tcPr>
            <w:tcW w:w="621"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48.64</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21</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52.50</w:t>
            </w:r>
          </w:p>
        </w:tc>
        <w:tc>
          <w:tcPr>
            <w:tcW w:w="736" w:type="pct"/>
            <w:vMerge/>
            <w:tcBorders>
              <w:top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w:t>
            </w:r>
          </w:p>
        </w:tc>
        <w:tc>
          <w:tcPr>
            <w:tcW w:w="526"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15</w:t>
            </w:r>
          </w:p>
        </w:tc>
        <w:tc>
          <w:tcPr>
            <w:tcW w:w="621"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40.55</w:t>
            </w:r>
          </w:p>
        </w:tc>
        <w:tc>
          <w:tcPr>
            <w:tcW w:w="42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12</w:t>
            </w:r>
          </w:p>
        </w:tc>
        <w:tc>
          <w:tcPr>
            <w:tcW w:w="615" w:type="pct"/>
            <w:tcBorders>
              <w:top w:val="nil"/>
              <w:bottom w:val="single" w:sz="4" w:space="0" w:color="auto"/>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30.00</w:t>
            </w:r>
          </w:p>
        </w:tc>
        <w:tc>
          <w:tcPr>
            <w:tcW w:w="736" w:type="pct"/>
            <w:vMerge/>
            <w:tcBorders>
              <w:top w:val="nil"/>
              <w:bottom w:val="single" w:sz="4" w:space="0" w:color="auto"/>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bottom w:val="nil"/>
            </w:tcBorders>
          </w:tcPr>
          <w:p w:rsidR="009B647E" w:rsidRPr="00E164B4" w:rsidRDefault="009B647E" w:rsidP="001464C0">
            <w:pPr>
              <w:widowControl/>
              <w:snapToGrid w:val="0"/>
              <w:jc w:val="both"/>
              <w:rPr>
                <w:rFonts w:eastAsiaTheme="minorEastAsia"/>
                <w:b/>
                <w:bCs/>
                <w:color w:val="000000"/>
              </w:rPr>
            </w:pPr>
            <w:r w:rsidRPr="00E164B4">
              <w:rPr>
                <w:rFonts w:eastAsiaTheme="minorEastAsia"/>
                <w:b/>
                <w:bCs/>
                <w:color w:val="000000"/>
              </w:rPr>
              <w:t>TNM Stage grouping</w:t>
            </w:r>
          </w:p>
        </w:tc>
        <w:tc>
          <w:tcPr>
            <w:tcW w:w="526" w:type="pct"/>
            <w:tcBorders>
              <w:bottom w:val="nil"/>
            </w:tcBorders>
          </w:tcPr>
          <w:p w:rsidR="009B647E" w:rsidRPr="00E164B4" w:rsidRDefault="009B647E" w:rsidP="001464C0">
            <w:pPr>
              <w:widowControl/>
              <w:snapToGrid w:val="0"/>
              <w:jc w:val="both"/>
              <w:rPr>
                <w:rFonts w:eastAsiaTheme="minorEastAsia"/>
                <w:color w:val="000000"/>
              </w:rPr>
            </w:pPr>
          </w:p>
        </w:tc>
        <w:tc>
          <w:tcPr>
            <w:tcW w:w="621" w:type="pct"/>
            <w:tcBorders>
              <w:bottom w:val="nil"/>
            </w:tcBorders>
          </w:tcPr>
          <w:p w:rsidR="009B647E" w:rsidRPr="00E164B4" w:rsidRDefault="009B647E" w:rsidP="001464C0">
            <w:pPr>
              <w:widowControl/>
              <w:snapToGrid w:val="0"/>
              <w:jc w:val="both"/>
              <w:rPr>
                <w:rFonts w:eastAsiaTheme="minorEastAsia"/>
                <w:color w:val="000000"/>
              </w:rPr>
            </w:pPr>
          </w:p>
        </w:tc>
        <w:tc>
          <w:tcPr>
            <w:tcW w:w="425" w:type="pct"/>
            <w:tcBorders>
              <w:bottom w:val="nil"/>
            </w:tcBorders>
          </w:tcPr>
          <w:p w:rsidR="009B647E" w:rsidRPr="00E164B4" w:rsidRDefault="009B647E" w:rsidP="001464C0">
            <w:pPr>
              <w:widowControl/>
              <w:snapToGrid w:val="0"/>
              <w:jc w:val="both"/>
              <w:rPr>
                <w:rFonts w:eastAsiaTheme="minorEastAsia"/>
                <w:color w:val="000000"/>
              </w:rPr>
            </w:pPr>
          </w:p>
        </w:tc>
        <w:tc>
          <w:tcPr>
            <w:tcW w:w="615" w:type="pct"/>
            <w:tcBorders>
              <w:bottom w:val="nil"/>
            </w:tcBorders>
          </w:tcPr>
          <w:p w:rsidR="009B647E" w:rsidRPr="00E164B4" w:rsidRDefault="009B647E" w:rsidP="001464C0">
            <w:pPr>
              <w:widowControl/>
              <w:snapToGrid w:val="0"/>
              <w:jc w:val="both"/>
              <w:rPr>
                <w:rFonts w:eastAsiaTheme="minorEastAsia"/>
                <w:color w:val="000000"/>
              </w:rPr>
            </w:pPr>
          </w:p>
        </w:tc>
        <w:tc>
          <w:tcPr>
            <w:tcW w:w="736" w:type="pct"/>
            <w:tcBorders>
              <w:bottom w:val="nil"/>
            </w:tcBorders>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Stage I</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11</w:t>
            </w:r>
          </w:p>
        </w:tc>
        <w:tc>
          <w:tcPr>
            <w:tcW w:w="621" w:type="pct"/>
            <w:tcBorders>
              <w:top w:val="nil"/>
              <w:bottom w:val="nil"/>
            </w:tcBorders>
          </w:tcPr>
          <w:p w:rsidR="009B647E" w:rsidRPr="00E164B4" w:rsidRDefault="00693B69" w:rsidP="001464C0">
            <w:pPr>
              <w:widowControl/>
              <w:snapToGrid w:val="0"/>
              <w:jc w:val="both"/>
              <w:rPr>
                <w:rFonts w:eastAsiaTheme="minorEastAsia"/>
                <w:color w:val="000000"/>
              </w:rPr>
            </w:pPr>
            <w:r w:rsidRPr="00E164B4">
              <w:rPr>
                <w:rFonts w:eastAsiaTheme="minorEastAsia"/>
                <w:color w:val="000000"/>
              </w:rPr>
              <w:t>29.73</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10</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25.00</w:t>
            </w:r>
          </w:p>
        </w:tc>
        <w:tc>
          <w:tcPr>
            <w:tcW w:w="736" w:type="pct"/>
            <w:vMerge w:val="restart"/>
            <w:tcBorders>
              <w:top w:val="nil"/>
            </w:tcBorders>
            <w:vAlign w:val="center"/>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0.782</w:t>
            </w:r>
          </w:p>
        </w:tc>
      </w:tr>
      <w:tr w:rsidR="009B647E" w:rsidRPr="00E164B4" w:rsidTr="00E164B4">
        <w:trPr>
          <w:cantSplit/>
          <w:jc w:val="center"/>
        </w:trPr>
        <w:tc>
          <w:tcPr>
            <w:tcW w:w="2077"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Stage II A</w:t>
            </w:r>
          </w:p>
        </w:tc>
        <w:tc>
          <w:tcPr>
            <w:tcW w:w="526"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22</w:t>
            </w:r>
          </w:p>
        </w:tc>
        <w:tc>
          <w:tcPr>
            <w:tcW w:w="621" w:type="pct"/>
            <w:tcBorders>
              <w:top w:val="nil"/>
              <w:bottom w:val="nil"/>
            </w:tcBorders>
          </w:tcPr>
          <w:p w:rsidR="009B647E" w:rsidRPr="00E164B4" w:rsidRDefault="00693B69" w:rsidP="001464C0">
            <w:pPr>
              <w:widowControl/>
              <w:snapToGrid w:val="0"/>
              <w:jc w:val="both"/>
              <w:rPr>
                <w:rFonts w:eastAsiaTheme="minorEastAsia"/>
                <w:color w:val="000000"/>
              </w:rPr>
            </w:pPr>
            <w:r w:rsidRPr="00E164B4">
              <w:rPr>
                <w:rFonts w:eastAsiaTheme="minorEastAsia"/>
                <w:color w:val="000000"/>
              </w:rPr>
              <w:t>59.46</w:t>
            </w:r>
          </w:p>
        </w:tc>
        <w:tc>
          <w:tcPr>
            <w:tcW w:w="42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22</w:t>
            </w:r>
          </w:p>
        </w:tc>
        <w:tc>
          <w:tcPr>
            <w:tcW w:w="615" w:type="pct"/>
            <w:tcBorders>
              <w:top w:val="nil"/>
              <w:bottom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55.00</w:t>
            </w:r>
          </w:p>
        </w:tc>
        <w:tc>
          <w:tcPr>
            <w:tcW w:w="736" w:type="pct"/>
            <w:vMerge/>
            <w:tcBorders>
              <w:top w:val="nil"/>
            </w:tcBorders>
            <w:vAlign w:val="center"/>
          </w:tcPr>
          <w:p w:rsidR="009B647E" w:rsidRPr="00E164B4" w:rsidRDefault="009B647E" w:rsidP="001464C0">
            <w:pPr>
              <w:widowControl/>
              <w:snapToGrid w:val="0"/>
              <w:jc w:val="both"/>
              <w:rPr>
                <w:rFonts w:eastAsiaTheme="minorEastAsia"/>
                <w:color w:val="000000"/>
              </w:rPr>
            </w:pPr>
          </w:p>
        </w:tc>
      </w:tr>
      <w:tr w:rsidR="009B647E" w:rsidRPr="00E164B4" w:rsidTr="00E164B4">
        <w:trPr>
          <w:cantSplit/>
          <w:jc w:val="center"/>
        </w:trPr>
        <w:tc>
          <w:tcPr>
            <w:tcW w:w="2077" w:type="pct"/>
            <w:tcBorders>
              <w:top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Stage II B</w:t>
            </w:r>
          </w:p>
        </w:tc>
        <w:tc>
          <w:tcPr>
            <w:tcW w:w="526" w:type="pct"/>
            <w:tcBorders>
              <w:top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4</w:t>
            </w:r>
          </w:p>
        </w:tc>
        <w:tc>
          <w:tcPr>
            <w:tcW w:w="621" w:type="pct"/>
            <w:tcBorders>
              <w:top w:val="nil"/>
            </w:tcBorders>
          </w:tcPr>
          <w:p w:rsidR="009B647E" w:rsidRPr="00E164B4" w:rsidRDefault="00693B69" w:rsidP="001464C0">
            <w:pPr>
              <w:widowControl/>
              <w:snapToGrid w:val="0"/>
              <w:jc w:val="both"/>
              <w:rPr>
                <w:rFonts w:eastAsiaTheme="minorEastAsia"/>
                <w:color w:val="000000"/>
              </w:rPr>
            </w:pPr>
            <w:r w:rsidRPr="00E164B4">
              <w:rPr>
                <w:rFonts w:eastAsiaTheme="minorEastAsia"/>
                <w:color w:val="000000"/>
              </w:rPr>
              <w:t>10.81</w:t>
            </w:r>
          </w:p>
        </w:tc>
        <w:tc>
          <w:tcPr>
            <w:tcW w:w="425" w:type="pct"/>
            <w:tcBorders>
              <w:top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8</w:t>
            </w:r>
          </w:p>
        </w:tc>
        <w:tc>
          <w:tcPr>
            <w:tcW w:w="615" w:type="pct"/>
            <w:tcBorders>
              <w:top w:val="nil"/>
            </w:tcBorders>
          </w:tcPr>
          <w:p w:rsidR="009B647E" w:rsidRPr="00E164B4" w:rsidRDefault="009B647E" w:rsidP="001464C0">
            <w:pPr>
              <w:widowControl/>
              <w:snapToGrid w:val="0"/>
              <w:jc w:val="both"/>
              <w:rPr>
                <w:rFonts w:eastAsiaTheme="minorEastAsia"/>
                <w:color w:val="000000"/>
              </w:rPr>
            </w:pPr>
            <w:r w:rsidRPr="00E164B4">
              <w:rPr>
                <w:rFonts w:eastAsiaTheme="minorEastAsia"/>
                <w:color w:val="000000"/>
              </w:rPr>
              <w:t>20.00</w:t>
            </w:r>
          </w:p>
        </w:tc>
        <w:tc>
          <w:tcPr>
            <w:tcW w:w="736" w:type="pct"/>
            <w:vMerge/>
            <w:tcBorders>
              <w:top w:val="nil"/>
            </w:tcBorders>
            <w:vAlign w:val="center"/>
          </w:tcPr>
          <w:p w:rsidR="009B647E" w:rsidRPr="00E164B4" w:rsidRDefault="009B647E" w:rsidP="001464C0">
            <w:pPr>
              <w:widowControl/>
              <w:snapToGrid w:val="0"/>
              <w:jc w:val="both"/>
              <w:rPr>
                <w:rFonts w:eastAsiaTheme="minorEastAsia"/>
                <w:color w:val="000000"/>
              </w:rPr>
            </w:pPr>
          </w:p>
        </w:tc>
      </w:tr>
    </w:tbl>
    <w:p w:rsidR="001464C0" w:rsidRPr="00E164B4" w:rsidRDefault="001464C0" w:rsidP="001464C0">
      <w:pPr>
        <w:pStyle w:val="BodyText"/>
        <w:widowControl/>
        <w:snapToGrid w:val="0"/>
        <w:spacing w:before="0" w:line="240" w:lineRule="auto"/>
        <w:ind w:firstLine="425"/>
        <w:jc w:val="both"/>
        <w:rPr>
          <w:color w:val="0D0D0D"/>
          <w:sz w:val="20"/>
          <w:szCs w:val="20"/>
        </w:rPr>
      </w:pPr>
    </w:p>
    <w:p w:rsidR="00464C10" w:rsidRDefault="00464C10" w:rsidP="001464C0">
      <w:pPr>
        <w:pStyle w:val="Heading5"/>
        <w:keepNext w:val="0"/>
        <w:snapToGrid w:val="0"/>
        <w:spacing w:before="0" w:line="240" w:lineRule="auto"/>
        <w:jc w:val="center"/>
        <w:rPr>
          <w:b/>
          <w:bCs/>
          <w:color w:val="0D0D0D"/>
          <w:sz w:val="20"/>
          <w:lang w:eastAsia="zh-CN"/>
        </w:rPr>
      </w:pPr>
    </w:p>
    <w:p w:rsidR="00470EDC" w:rsidRPr="00E164B4" w:rsidRDefault="00470EDC" w:rsidP="001464C0">
      <w:pPr>
        <w:pStyle w:val="Heading5"/>
        <w:keepNext w:val="0"/>
        <w:snapToGrid w:val="0"/>
        <w:spacing w:before="0" w:line="240" w:lineRule="auto"/>
        <w:jc w:val="center"/>
        <w:rPr>
          <w:b/>
          <w:bCs/>
          <w:color w:val="0D0D0D"/>
          <w:sz w:val="20"/>
        </w:rPr>
      </w:pPr>
      <w:r w:rsidRPr="00E164B4">
        <w:rPr>
          <w:b/>
          <w:bCs/>
          <w:color w:val="0D0D0D"/>
          <w:sz w:val="20"/>
        </w:rPr>
        <w:t>Table (3): Cosmetic outcome in both study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1751"/>
        <w:gridCol w:w="1751"/>
        <w:gridCol w:w="1751"/>
        <w:gridCol w:w="1751"/>
      </w:tblGrid>
      <w:tr w:rsidR="00470EDC" w:rsidRPr="00E164B4">
        <w:trPr>
          <w:cantSplit/>
          <w:jc w:val="center"/>
        </w:trPr>
        <w:tc>
          <w:tcPr>
            <w:tcW w:w="1751" w:type="dxa"/>
          </w:tcPr>
          <w:p w:rsidR="00470EDC" w:rsidRPr="00E164B4" w:rsidRDefault="00470EDC" w:rsidP="001464C0">
            <w:pPr>
              <w:widowControl/>
              <w:snapToGrid w:val="0"/>
              <w:jc w:val="both"/>
              <w:rPr>
                <w:rFonts w:eastAsiaTheme="minorEastAsia"/>
                <w:color w:val="000000"/>
              </w:rPr>
            </w:pPr>
          </w:p>
        </w:tc>
        <w:tc>
          <w:tcPr>
            <w:tcW w:w="3502" w:type="dxa"/>
            <w:gridSpan w:val="2"/>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No boost (A)</w:t>
            </w:r>
          </w:p>
        </w:tc>
        <w:tc>
          <w:tcPr>
            <w:tcW w:w="3502" w:type="dxa"/>
            <w:gridSpan w:val="2"/>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Boost (B)</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Score (%)</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Post- op.</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3 years</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Post- op.</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3 years</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Excellent</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38</w:t>
            </w:r>
            <w:r w:rsidR="00470EDC" w:rsidRPr="00E164B4">
              <w:rPr>
                <w:rFonts w:eastAsiaTheme="minorEastAsia"/>
                <w:color w:val="000000"/>
              </w:rPr>
              <w:t>.2</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40.9</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35</w:t>
            </w:r>
            <w:r w:rsidR="00525BB3" w:rsidRPr="00E164B4">
              <w:rPr>
                <w:rFonts w:eastAsiaTheme="minorEastAsia"/>
                <w:color w:val="000000"/>
              </w:rPr>
              <w:t>.9</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31.</w:t>
            </w:r>
            <w:r w:rsidR="00361BEF" w:rsidRPr="00E164B4">
              <w:rPr>
                <w:rFonts w:eastAsiaTheme="minorEastAsia"/>
                <w:color w:val="000000"/>
              </w:rPr>
              <w:t>6</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Good</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46</w:t>
            </w:r>
            <w:r w:rsidR="00470EDC" w:rsidRPr="00E164B4">
              <w:rPr>
                <w:rFonts w:eastAsiaTheme="minorEastAsia"/>
                <w:color w:val="000000"/>
              </w:rPr>
              <w:t>.2</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44</w:t>
            </w:r>
            <w:r w:rsidR="00470EDC" w:rsidRPr="00E164B4">
              <w:rPr>
                <w:rFonts w:eastAsiaTheme="minorEastAsia"/>
                <w:color w:val="000000"/>
              </w:rPr>
              <w:t>.9</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4</w:t>
            </w:r>
            <w:r w:rsidR="00361BEF" w:rsidRPr="00E164B4">
              <w:rPr>
                <w:rFonts w:eastAsiaTheme="minorEastAsia"/>
                <w:color w:val="000000"/>
              </w:rPr>
              <w:t>6.8</w:t>
            </w:r>
          </w:p>
        </w:tc>
        <w:tc>
          <w:tcPr>
            <w:tcW w:w="1751" w:type="dxa"/>
          </w:tcPr>
          <w:p w:rsidR="00470EDC" w:rsidRPr="00E164B4" w:rsidRDefault="00361BEF" w:rsidP="001464C0">
            <w:pPr>
              <w:widowControl/>
              <w:snapToGrid w:val="0"/>
              <w:jc w:val="both"/>
              <w:rPr>
                <w:rFonts w:eastAsiaTheme="minorEastAsia"/>
                <w:color w:val="000000"/>
              </w:rPr>
            </w:pPr>
            <w:r w:rsidRPr="00E164B4">
              <w:rPr>
                <w:rFonts w:eastAsiaTheme="minorEastAsia"/>
                <w:color w:val="000000"/>
              </w:rPr>
              <w:t>39</w:t>
            </w:r>
            <w:r w:rsidR="00525BB3" w:rsidRPr="00E164B4">
              <w:rPr>
                <w:rFonts w:eastAsiaTheme="minorEastAsia"/>
                <w:color w:val="000000"/>
              </w:rPr>
              <w:t>.</w:t>
            </w:r>
            <w:r w:rsidRPr="00E164B4">
              <w:rPr>
                <w:rFonts w:eastAsiaTheme="minorEastAsia"/>
                <w:color w:val="000000"/>
              </w:rPr>
              <w:t>8</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Fair</w:t>
            </w:r>
          </w:p>
        </w:tc>
        <w:tc>
          <w:tcPr>
            <w:tcW w:w="1751" w:type="dxa"/>
          </w:tcPr>
          <w:p w:rsidR="00470EDC" w:rsidRPr="00E164B4" w:rsidRDefault="002910E1" w:rsidP="001464C0">
            <w:pPr>
              <w:widowControl/>
              <w:snapToGrid w:val="0"/>
              <w:jc w:val="both"/>
              <w:rPr>
                <w:rFonts w:eastAsiaTheme="minorEastAsia"/>
                <w:color w:val="000000"/>
              </w:rPr>
            </w:pPr>
            <w:r w:rsidRPr="00E164B4">
              <w:rPr>
                <w:rFonts w:eastAsiaTheme="minorEastAsia"/>
                <w:color w:val="000000"/>
              </w:rPr>
              <w:t>14</w:t>
            </w:r>
            <w:r w:rsidR="00470EDC" w:rsidRPr="00E164B4">
              <w:rPr>
                <w:rFonts w:eastAsiaTheme="minorEastAsia"/>
                <w:color w:val="000000"/>
              </w:rPr>
              <w:t>.1</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12.8</w:t>
            </w:r>
          </w:p>
        </w:tc>
        <w:tc>
          <w:tcPr>
            <w:tcW w:w="1751" w:type="dxa"/>
          </w:tcPr>
          <w:p w:rsidR="00470EDC" w:rsidRPr="00E164B4" w:rsidRDefault="00361BEF" w:rsidP="001464C0">
            <w:pPr>
              <w:widowControl/>
              <w:snapToGrid w:val="0"/>
              <w:jc w:val="both"/>
              <w:rPr>
                <w:rFonts w:eastAsiaTheme="minorEastAsia"/>
                <w:color w:val="000000"/>
              </w:rPr>
            </w:pPr>
            <w:r w:rsidRPr="00E164B4">
              <w:rPr>
                <w:rFonts w:eastAsiaTheme="minorEastAsia"/>
                <w:color w:val="000000"/>
              </w:rPr>
              <w:t>15</w:t>
            </w:r>
            <w:r w:rsidR="00525BB3" w:rsidRPr="00E164B4">
              <w:rPr>
                <w:rFonts w:eastAsiaTheme="minorEastAsia"/>
                <w:color w:val="000000"/>
              </w:rPr>
              <w:t>.</w:t>
            </w:r>
            <w:r w:rsidRPr="00E164B4">
              <w:rPr>
                <w:rFonts w:eastAsiaTheme="minorEastAsia"/>
                <w:color w:val="000000"/>
              </w:rPr>
              <w:t>5</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26.3</w:t>
            </w:r>
          </w:p>
        </w:tc>
      </w:tr>
      <w:tr w:rsidR="00470EDC" w:rsidRPr="00E164B4">
        <w:trPr>
          <w:jc w:val="center"/>
        </w:trPr>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Poor</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1.5</w:t>
            </w:r>
          </w:p>
        </w:tc>
        <w:tc>
          <w:tcPr>
            <w:tcW w:w="1751" w:type="dxa"/>
          </w:tcPr>
          <w:p w:rsidR="00470EDC" w:rsidRPr="00E164B4" w:rsidRDefault="00470EDC" w:rsidP="001464C0">
            <w:pPr>
              <w:widowControl/>
              <w:snapToGrid w:val="0"/>
              <w:jc w:val="both"/>
              <w:rPr>
                <w:rFonts w:eastAsiaTheme="minorEastAsia"/>
                <w:color w:val="000000"/>
              </w:rPr>
            </w:pPr>
            <w:r w:rsidRPr="00E164B4">
              <w:rPr>
                <w:rFonts w:eastAsiaTheme="minorEastAsia"/>
                <w:color w:val="000000"/>
              </w:rPr>
              <w:t>1.4</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1.8</w:t>
            </w:r>
          </w:p>
        </w:tc>
        <w:tc>
          <w:tcPr>
            <w:tcW w:w="1751" w:type="dxa"/>
          </w:tcPr>
          <w:p w:rsidR="00470EDC" w:rsidRPr="00E164B4" w:rsidRDefault="00525BB3" w:rsidP="001464C0">
            <w:pPr>
              <w:widowControl/>
              <w:snapToGrid w:val="0"/>
              <w:jc w:val="both"/>
              <w:rPr>
                <w:rFonts w:eastAsiaTheme="minorEastAsia"/>
                <w:color w:val="000000"/>
              </w:rPr>
            </w:pPr>
            <w:r w:rsidRPr="00E164B4">
              <w:rPr>
                <w:rFonts w:eastAsiaTheme="minorEastAsia"/>
                <w:color w:val="000000"/>
              </w:rPr>
              <w:t>2.3</w:t>
            </w:r>
          </w:p>
        </w:tc>
      </w:tr>
      <w:tr w:rsidR="00470EDC" w:rsidRPr="00E164B4">
        <w:trPr>
          <w:cantSplit/>
          <w:jc w:val="center"/>
        </w:trPr>
        <w:tc>
          <w:tcPr>
            <w:tcW w:w="1751" w:type="dxa"/>
          </w:tcPr>
          <w:p w:rsidR="00470EDC" w:rsidRPr="00E164B4" w:rsidRDefault="00470EDC" w:rsidP="001464C0">
            <w:pPr>
              <w:widowControl/>
              <w:snapToGrid w:val="0"/>
              <w:jc w:val="both"/>
              <w:rPr>
                <w:rFonts w:eastAsiaTheme="minorEastAsia"/>
                <w:color w:val="000000"/>
              </w:rPr>
            </w:pPr>
          </w:p>
        </w:tc>
        <w:tc>
          <w:tcPr>
            <w:tcW w:w="3502" w:type="dxa"/>
            <w:gridSpan w:val="2"/>
          </w:tcPr>
          <w:p w:rsidR="00470EDC" w:rsidRPr="00E164B4" w:rsidRDefault="00470EDC" w:rsidP="001464C0">
            <w:pPr>
              <w:pStyle w:val="Heading6"/>
              <w:keepNext w:val="0"/>
              <w:snapToGrid w:val="0"/>
              <w:spacing w:before="0"/>
              <w:jc w:val="both"/>
              <w:rPr>
                <w:rFonts w:eastAsiaTheme="minorEastAsia"/>
                <w:color w:val="000000"/>
                <w:sz w:val="20"/>
              </w:rPr>
            </w:pPr>
            <w:r w:rsidRPr="00E164B4">
              <w:rPr>
                <w:rFonts w:eastAsiaTheme="minorEastAsia"/>
                <w:i/>
                <w:iCs/>
                <w:color w:val="000000"/>
                <w:sz w:val="20"/>
              </w:rPr>
              <w:t>P</w:t>
            </w:r>
            <w:r w:rsidRPr="00E164B4">
              <w:rPr>
                <w:rFonts w:eastAsiaTheme="minorEastAsia"/>
                <w:color w:val="000000"/>
                <w:sz w:val="20"/>
              </w:rPr>
              <w:t xml:space="preserve"> = 0.22</w:t>
            </w:r>
          </w:p>
        </w:tc>
        <w:tc>
          <w:tcPr>
            <w:tcW w:w="3502" w:type="dxa"/>
            <w:gridSpan w:val="2"/>
          </w:tcPr>
          <w:p w:rsidR="00470EDC" w:rsidRPr="00E164B4" w:rsidRDefault="00470EDC" w:rsidP="001464C0">
            <w:pPr>
              <w:pStyle w:val="Heading6"/>
              <w:keepNext w:val="0"/>
              <w:snapToGrid w:val="0"/>
              <w:spacing w:before="0"/>
              <w:jc w:val="both"/>
              <w:rPr>
                <w:rFonts w:eastAsiaTheme="minorEastAsia"/>
                <w:color w:val="000000"/>
                <w:sz w:val="20"/>
              </w:rPr>
            </w:pPr>
            <w:r w:rsidRPr="00E164B4">
              <w:rPr>
                <w:rFonts w:eastAsiaTheme="minorEastAsia"/>
                <w:i/>
                <w:iCs/>
                <w:color w:val="000000"/>
                <w:sz w:val="20"/>
              </w:rPr>
              <w:t>P</w:t>
            </w:r>
            <w:r w:rsidRPr="00E164B4">
              <w:rPr>
                <w:rFonts w:eastAsiaTheme="minorEastAsia"/>
                <w:color w:val="000000"/>
                <w:sz w:val="20"/>
              </w:rPr>
              <w:t xml:space="preserve"> = 0.097</w:t>
            </w:r>
          </w:p>
        </w:tc>
      </w:tr>
    </w:tbl>
    <w:p w:rsidR="001464C0" w:rsidRDefault="001464C0" w:rsidP="001464C0">
      <w:pPr>
        <w:widowControl/>
        <w:snapToGrid w:val="0"/>
        <w:ind w:firstLine="425"/>
        <w:jc w:val="both"/>
        <w:rPr>
          <w:color w:val="0D0D0D"/>
          <w:lang w:eastAsia="zh-CN"/>
        </w:rPr>
      </w:pPr>
    </w:p>
    <w:p w:rsidR="00464C10" w:rsidRPr="00E164B4" w:rsidRDefault="00464C10" w:rsidP="001464C0">
      <w:pPr>
        <w:widowControl/>
        <w:snapToGrid w:val="0"/>
        <w:ind w:firstLine="425"/>
        <w:jc w:val="both"/>
        <w:rPr>
          <w:color w:val="0D0D0D"/>
          <w:lang w:eastAsia="zh-CN"/>
        </w:rPr>
      </w:pPr>
    </w:p>
    <w:p w:rsidR="001464C0" w:rsidRPr="00E164B4" w:rsidRDefault="001464C0" w:rsidP="001464C0">
      <w:pPr>
        <w:widowControl/>
        <w:snapToGrid w:val="0"/>
        <w:ind w:firstLine="425"/>
        <w:jc w:val="both"/>
        <w:rPr>
          <w:color w:val="0D0D0D"/>
        </w:rPr>
        <w:sectPr w:rsidR="001464C0" w:rsidRPr="00E164B4" w:rsidSect="003E5FC3">
          <w:headerReference w:type="even" r:id="rId26"/>
          <w:headerReference w:type="default" r:id="rId27"/>
          <w:footerReference w:type="default" r:id="rId28"/>
          <w:type w:val="continuous"/>
          <w:pgSz w:w="12242" w:h="15842" w:code="1"/>
          <w:pgMar w:top="1440" w:right="1440" w:bottom="1440" w:left="1440" w:header="720" w:footer="720" w:gutter="0"/>
          <w:cols w:space="60"/>
          <w:noEndnote/>
          <w:docGrid w:linePitch="272"/>
        </w:sectPr>
      </w:pPr>
    </w:p>
    <w:p w:rsidR="00470EDC" w:rsidRPr="00E164B4" w:rsidRDefault="0061521B" w:rsidP="001464C0">
      <w:pPr>
        <w:pStyle w:val="Heading1"/>
        <w:keepNext w:val="0"/>
        <w:widowControl/>
        <w:snapToGrid w:val="0"/>
        <w:spacing w:line="240" w:lineRule="auto"/>
        <w:ind w:left="0"/>
        <w:jc w:val="both"/>
        <w:rPr>
          <w:rFonts w:cs="Times New Roman"/>
          <w:color w:val="0D0D0D"/>
          <w:sz w:val="20"/>
          <w:szCs w:val="20"/>
        </w:rPr>
      </w:pPr>
      <w:r w:rsidRPr="00E164B4">
        <w:rPr>
          <w:rFonts w:cs="Times New Roman"/>
          <w:color w:val="0D0D0D"/>
          <w:sz w:val="20"/>
          <w:szCs w:val="20"/>
        </w:rPr>
        <w:lastRenderedPageBreak/>
        <w:t>4. Discussion</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Conventional radiation to the breast typically consists of 45 to 50 Gy to the whole breast over approximately 5 weeks, frequently followed by</w:t>
      </w:r>
      <w:r w:rsidR="00525BB3" w:rsidRPr="00E164B4">
        <w:rPr>
          <w:rFonts w:cs="Times New Roman"/>
          <w:b w:val="0"/>
          <w:bCs w:val="0"/>
          <w:color w:val="0D0D0D"/>
          <w:sz w:val="20"/>
          <w:szCs w:val="20"/>
        </w:rPr>
        <w:t xml:space="preserve"> a lumpectomy site boost of 10</w:t>
      </w:r>
      <w:r w:rsidR="00175895" w:rsidRPr="00E164B4">
        <w:rPr>
          <w:rFonts w:cs="Times New Roman"/>
          <w:b w:val="0"/>
          <w:bCs w:val="0"/>
          <w:color w:val="0D0D0D"/>
          <w:sz w:val="20"/>
          <w:szCs w:val="20"/>
        </w:rPr>
        <w:t>-16 Gy.</w:t>
      </w:r>
      <w:r w:rsidRPr="00E164B4">
        <w:rPr>
          <w:rFonts w:cs="Times New Roman"/>
          <w:b w:val="0"/>
          <w:bCs w:val="0"/>
          <w:color w:val="0D0D0D"/>
          <w:sz w:val="20"/>
          <w:szCs w:val="20"/>
        </w:rPr>
        <w:t xml:space="preserve"> </w:t>
      </w:r>
      <w:r w:rsidRPr="00E164B4">
        <w:rPr>
          <w:rFonts w:cs="Times New Roman"/>
          <w:b w:val="0"/>
          <w:bCs w:val="0"/>
          <w:color w:val="0D0D0D"/>
          <w:sz w:val="20"/>
          <w:szCs w:val="20"/>
          <w:vertAlign w:val="superscript"/>
        </w:rPr>
        <w:t>(10-11)</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Breast radiation usually starts 4 to 6 weeks after the last surgery if no adjuvant chemotherapy is used. While this fractio</w:t>
      </w:r>
      <w:r w:rsidR="00175895" w:rsidRPr="00E164B4">
        <w:rPr>
          <w:rFonts w:cs="Times New Roman"/>
          <w:b w:val="0"/>
          <w:bCs w:val="0"/>
          <w:color w:val="0D0D0D"/>
          <w:sz w:val="20"/>
          <w:szCs w:val="20"/>
        </w:rPr>
        <w:t>nation dose have a long track re</w:t>
      </w:r>
      <w:r w:rsidRPr="00E164B4">
        <w:rPr>
          <w:rFonts w:cs="Times New Roman"/>
          <w:b w:val="0"/>
          <w:bCs w:val="0"/>
          <w:color w:val="0D0D0D"/>
          <w:sz w:val="20"/>
          <w:szCs w:val="20"/>
        </w:rPr>
        <w:t>cord of safety and efficacy, it is tim</w:t>
      </w:r>
      <w:r w:rsidR="00175895" w:rsidRPr="00E164B4">
        <w:rPr>
          <w:rFonts w:cs="Times New Roman"/>
          <w:b w:val="0"/>
          <w:bCs w:val="0"/>
          <w:color w:val="0D0D0D"/>
          <w:sz w:val="20"/>
          <w:szCs w:val="20"/>
        </w:rPr>
        <w:t>e consuming and living in underserved or rural areas</w:t>
      </w:r>
      <w:r w:rsidRPr="00E164B4">
        <w:rPr>
          <w:rFonts w:cs="Times New Roman"/>
          <w:b w:val="0"/>
          <w:bCs w:val="0"/>
          <w:color w:val="0D0D0D"/>
          <w:sz w:val="20"/>
          <w:szCs w:val="20"/>
        </w:rPr>
        <w:t xml:space="preserve"> may limit access to breast conservation </w:t>
      </w:r>
      <w:r w:rsidRPr="00E164B4">
        <w:rPr>
          <w:rFonts w:cs="Times New Roman"/>
          <w:b w:val="0"/>
          <w:bCs w:val="0"/>
          <w:color w:val="0D0D0D"/>
          <w:sz w:val="20"/>
          <w:szCs w:val="20"/>
          <w:vertAlign w:val="superscript"/>
        </w:rPr>
        <w:t>(12, 13)</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Radiation has cons</w:t>
      </w:r>
      <w:r w:rsidR="00501CED" w:rsidRPr="00E164B4">
        <w:rPr>
          <w:rFonts w:cs="Times New Roman"/>
          <w:b w:val="0"/>
          <w:bCs w:val="0"/>
          <w:color w:val="0D0D0D"/>
          <w:sz w:val="20"/>
          <w:szCs w:val="20"/>
        </w:rPr>
        <w:t>istently been shown to de</w:t>
      </w:r>
      <w:r w:rsidRPr="00E164B4">
        <w:rPr>
          <w:rFonts w:cs="Times New Roman"/>
          <w:b w:val="0"/>
          <w:bCs w:val="0"/>
          <w:color w:val="0D0D0D"/>
          <w:sz w:val="20"/>
          <w:szCs w:val="20"/>
        </w:rPr>
        <w:t xml:space="preserve">crease the risk of recurrence within the breast. </w:t>
      </w:r>
      <w:r w:rsidRPr="00E164B4">
        <w:rPr>
          <w:rFonts w:cs="Times New Roman"/>
          <w:b w:val="0"/>
          <w:bCs w:val="0"/>
          <w:color w:val="0D0D0D"/>
          <w:sz w:val="20"/>
          <w:szCs w:val="20"/>
          <w:vertAlign w:val="superscript"/>
        </w:rPr>
        <w:t>(14</w:t>
      </w:r>
      <w:r w:rsidR="00BF05BC" w:rsidRPr="00E164B4">
        <w:rPr>
          <w:rFonts w:cs="Times New Roman"/>
          <w:b w:val="0"/>
          <w:bCs w:val="0"/>
          <w:color w:val="0D0D0D"/>
          <w:sz w:val="20"/>
          <w:szCs w:val="20"/>
          <w:vertAlign w:val="superscript"/>
        </w:rPr>
        <w:t>-</w:t>
      </w:r>
      <w:r w:rsidRPr="00E164B4">
        <w:rPr>
          <w:rFonts w:cs="Times New Roman"/>
          <w:b w:val="0"/>
          <w:bCs w:val="0"/>
          <w:color w:val="0D0D0D"/>
          <w:sz w:val="20"/>
          <w:szCs w:val="20"/>
          <w:vertAlign w:val="superscript"/>
        </w:rPr>
        <w:t xml:space="preserve"> 17)</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 xml:space="preserve">While the initial </w:t>
      </w:r>
      <w:r w:rsidRPr="00950691">
        <w:rPr>
          <w:rFonts w:cs="Times New Roman"/>
          <w:color w:val="0D0D0D"/>
          <w:sz w:val="20"/>
          <w:szCs w:val="20"/>
        </w:rPr>
        <w:t>NSABP</w:t>
      </w:r>
      <w:r w:rsidRPr="00E164B4">
        <w:rPr>
          <w:rFonts w:cs="Times New Roman"/>
          <w:b w:val="0"/>
          <w:bCs w:val="0"/>
          <w:color w:val="0D0D0D"/>
          <w:sz w:val="20"/>
          <w:szCs w:val="20"/>
        </w:rPr>
        <w:t xml:space="preserve"> experience delivered radiation to the</w:t>
      </w:r>
      <w:r w:rsidR="00D1095F" w:rsidRPr="00E164B4">
        <w:rPr>
          <w:rFonts w:cs="Times New Roman"/>
          <w:b w:val="0"/>
          <w:bCs w:val="0"/>
          <w:color w:val="0D0D0D"/>
          <w:sz w:val="20"/>
          <w:szCs w:val="20"/>
        </w:rPr>
        <w:t xml:space="preserve"> whole breast without additiona</w:t>
      </w:r>
      <w:r w:rsidRPr="00E164B4">
        <w:rPr>
          <w:rFonts w:cs="Times New Roman"/>
          <w:b w:val="0"/>
          <w:bCs w:val="0"/>
          <w:color w:val="0D0D0D"/>
          <w:sz w:val="20"/>
          <w:szCs w:val="20"/>
        </w:rPr>
        <w:t xml:space="preserve"> dose to the lumpectomy site, examination of patterns of failure has shown that local recurrences ar</w:t>
      </w:r>
      <w:r w:rsidR="00D1095F" w:rsidRPr="00E164B4">
        <w:rPr>
          <w:rFonts w:cs="Times New Roman"/>
          <w:b w:val="0"/>
          <w:bCs w:val="0"/>
          <w:color w:val="0D0D0D"/>
          <w:sz w:val="20"/>
          <w:szCs w:val="20"/>
        </w:rPr>
        <w:t xml:space="preserve">e </w:t>
      </w:r>
      <w:r w:rsidRPr="00E164B4">
        <w:rPr>
          <w:rFonts w:cs="Times New Roman"/>
          <w:b w:val="0"/>
          <w:bCs w:val="0"/>
          <w:color w:val="0D0D0D"/>
          <w:sz w:val="20"/>
          <w:szCs w:val="20"/>
        </w:rPr>
        <w:t xml:space="preserve">most likely to </w:t>
      </w:r>
      <w:r w:rsidR="00175895" w:rsidRPr="00E164B4">
        <w:rPr>
          <w:rFonts w:cs="Times New Roman"/>
          <w:b w:val="0"/>
          <w:bCs w:val="0"/>
          <w:color w:val="0D0D0D"/>
          <w:sz w:val="20"/>
          <w:szCs w:val="20"/>
        </w:rPr>
        <w:t>occur</w:t>
      </w:r>
      <w:r w:rsidRPr="00E164B4">
        <w:rPr>
          <w:rFonts w:cs="Times New Roman"/>
          <w:b w:val="0"/>
          <w:bCs w:val="0"/>
          <w:color w:val="0D0D0D"/>
          <w:sz w:val="20"/>
          <w:szCs w:val="20"/>
        </w:rPr>
        <w:t xml:space="preserve"> at</w:t>
      </w:r>
      <w:r w:rsidR="00175895" w:rsidRPr="00E164B4">
        <w:rPr>
          <w:rFonts w:cs="Times New Roman"/>
          <w:b w:val="0"/>
          <w:bCs w:val="0"/>
          <w:color w:val="0D0D0D"/>
          <w:sz w:val="20"/>
          <w:szCs w:val="20"/>
        </w:rPr>
        <w:t xml:space="preserve"> or near the original tumor</w:t>
      </w:r>
      <w:r w:rsidR="00D1095F" w:rsidRPr="00E164B4">
        <w:rPr>
          <w:rFonts w:cs="Times New Roman"/>
          <w:b w:val="0"/>
          <w:bCs w:val="0"/>
          <w:color w:val="0D0D0D"/>
          <w:sz w:val="20"/>
          <w:szCs w:val="20"/>
        </w:rPr>
        <w:t xml:space="preserve"> </w:t>
      </w:r>
      <w:r w:rsidR="00D1095F" w:rsidRPr="00E164B4">
        <w:rPr>
          <w:rFonts w:cs="Times New Roman"/>
          <w:b w:val="0"/>
          <w:bCs w:val="0"/>
          <w:color w:val="0D0D0D"/>
          <w:sz w:val="20"/>
          <w:szCs w:val="20"/>
          <w:vertAlign w:val="superscript"/>
        </w:rPr>
        <w:t>(18)</w:t>
      </w:r>
      <w:r w:rsidR="00D1095F" w:rsidRPr="00E164B4">
        <w:rPr>
          <w:rFonts w:cs="Times New Roman"/>
          <w:b w:val="0"/>
          <w:bCs w:val="0"/>
          <w:color w:val="0D0D0D"/>
          <w:sz w:val="20"/>
          <w:szCs w:val="20"/>
        </w:rPr>
        <w:t>.</w:t>
      </w:r>
      <w:r w:rsidRPr="00E164B4">
        <w:rPr>
          <w:rFonts w:cs="Times New Roman"/>
          <w:b w:val="0"/>
          <w:bCs w:val="0"/>
          <w:color w:val="0D0D0D"/>
          <w:sz w:val="20"/>
          <w:szCs w:val="20"/>
        </w:rPr>
        <w:t xml:space="preserve"> An additional dose of radiation was therefore given to the lumpectomy site in an attempt to lower further the risk of local recurrence </w:t>
      </w:r>
      <w:r w:rsidRPr="00E164B4">
        <w:rPr>
          <w:rFonts w:cs="Times New Roman"/>
          <w:b w:val="0"/>
          <w:bCs w:val="0"/>
          <w:color w:val="0D0D0D"/>
          <w:sz w:val="20"/>
          <w:szCs w:val="20"/>
          <w:vertAlign w:val="superscript"/>
        </w:rPr>
        <w:t>(13, 19)</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 xml:space="preserve">Two trials have examined the potential benefit of extra dose of radiation </w:t>
      </w:r>
      <w:r w:rsidRPr="00E164B4">
        <w:rPr>
          <w:rFonts w:cs="Times New Roman"/>
          <w:b w:val="0"/>
          <w:bCs w:val="0"/>
          <w:color w:val="0D0D0D"/>
          <w:sz w:val="20"/>
          <w:szCs w:val="20"/>
          <w:vertAlign w:val="superscript"/>
        </w:rPr>
        <w:t>(20, 21)</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 xml:space="preserve">Researchers from </w:t>
      </w:r>
      <w:r w:rsidRPr="00950691">
        <w:rPr>
          <w:rFonts w:cs="Times New Roman"/>
          <w:color w:val="0D0D0D"/>
          <w:sz w:val="20"/>
          <w:szCs w:val="20"/>
        </w:rPr>
        <w:t>lyon</w:t>
      </w:r>
      <w:r w:rsidR="00175895" w:rsidRPr="00E164B4">
        <w:rPr>
          <w:rFonts w:cs="Times New Roman"/>
          <w:b w:val="0"/>
          <w:bCs w:val="0"/>
          <w:color w:val="0D0D0D"/>
          <w:sz w:val="20"/>
          <w:szCs w:val="20"/>
          <w:vertAlign w:val="superscript"/>
        </w:rPr>
        <w:t>(20, 21)</w:t>
      </w:r>
      <w:r w:rsidR="00E164B4">
        <w:rPr>
          <w:rFonts w:cs="Times New Roman"/>
          <w:b w:val="0"/>
          <w:bCs w:val="0"/>
          <w:color w:val="0D0D0D"/>
          <w:sz w:val="20"/>
          <w:szCs w:val="20"/>
        </w:rPr>
        <w:t xml:space="preserve"> </w:t>
      </w:r>
      <w:r w:rsidRPr="00E164B4">
        <w:rPr>
          <w:rFonts w:cs="Times New Roman"/>
          <w:b w:val="0"/>
          <w:bCs w:val="0"/>
          <w:color w:val="0D0D0D"/>
          <w:sz w:val="20"/>
          <w:szCs w:val="20"/>
        </w:rPr>
        <w:t>randomized</w:t>
      </w:r>
      <w:r w:rsidR="00175895" w:rsidRPr="00E164B4">
        <w:rPr>
          <w:rFonts w:cs="Times New Roman"/>
          <w:b w:val="0"/>
          <w:bCs w:val="0"/>
          <w:color w:val="0D0D0D"/>
          <w:sz w:val="20"/>
          <w:szCs w:val="20"/>
        </w:rPr>
        <w:t xml:space="preserve"> 1024</w:t>
      </w:r>
      <w:r w:rsidRPr="00E164B4">
        <w:rPr>
          <w:rFonts w:cs="Times New Roman"/>
          <w:b w:val="0"/>
          <w:bCs w:val="0"/>
          <w:color w:val="0D0D0D"/>
          <w:sz w:val="20"/>
          <w:szCs w:val="20"/>
        </w:rPr>
        <w:t xml:space="preserve"> patients with early stage disease to 50 </w:t>
      </w:r>
      <w:r w:rsidR="00656E16" w:rsidRPr="00E164B4">
        <w:rPr>
          <w:rFonts w:cs="Times New Roman"/>
          <w:b w:val="0"/>
          <w:bCs w:val="0"/>
          <w:color w:val="0D0D0D"/>
          <w:sz w:val="20"/>
          <w:szCs w:val="20"/>
        </w:rPr>
        <w:t>Gy to whole breast with or with</w:t>
      </w:r>
      <w:r w:rsidRPr="00E164B4">
        <w:rPr>
          <w:rFonts w:cs="Times New Roman"/>
          <w:b w:val="0"/>
          <w:bCs w:val="0"/>
          <w:color w:val="0D0D0D"/>
          <w:sz w:val="20"/>
          <w:szCs w:val="20"/>
        </w:rPr>
        <w:t>out an additional 10 Gy to the lumpectomy site. Their results were reported with a median follow-up of 3.3 years, their five-year local recurrence was 3.6% with the additional dose compared with 4.5% without boost (</w:t>
      </w:r>
      <w:r w:rsidRPr="00E164B4">
        <w:rPr>
          <w:rFonts w:cs="Times New Roman"/>
          <w:b w:val="0"/>
          <w:bCs w:val="0"/>
          <w:i/>
          <w:iCs/>
          <w:color w:val="0D0D0D"/>
          <w:sz w:val="20"/>
          <w:szCs w:val="20"/>
        </w:rPr>
        <w:t>P</w:t>
      </w:r>
      <w:r w:rsidRPr="00E164B4">
        <w:rPr>
          <w:rFonts w:cs="Times New Roman"/>
          <w:b w:val="0"/>
          <w:bCs w:val="0"/>
          <w:color w:val="0D0D0D"/>
          <w:sz w:val="20"/>
          <w:szCs w:val="20"/>
        </w:rPr>
        <w:t xml:space="preserve"> = 0.044).</w:t>
      </w:r>
      <w:r w:rsidR="0061521B" w:rsidRPr="00E164B4">
        <w:rPr>
          <w:rFonts w:cs="Times New Roman"/>
          <w:b w:val="0"/>
          <w:bCs w:val="0"/>
          <w:color w:val="0D0D0D"/>
          <w:sz w:val="20"/>
          <w:szCs w:val="20"/>
        </w:rPr>
        <w:tab/>
      </w:r>
      <w:r w:rsidRPr="00E164B4">
        <w:rPr>
          <w:rFonts w:cs="Times New Roman"/>
          <w:b w:val="0"/>
          <w:bCs w:val="0"/>
          <w:color w:val="0D0D0D"/>
          <w:sz w:val="20"/>
          <w:szCs w:val="20"/>
        </w:rPr>
        <w:t>In the present study the three-years local recurrence was 17% with b</w:t>
      </w:r>
      <w:r w:rsidR="007E0BB6" w:rsidRPr="00E164B4">
        <w:rPr>
          <w:rFonts w:cs="Times New Roman"/>
          <w:b w:val="0"/>
          <w:bCs w:val="0"/>
          <w:color w:val="0D0D0D"/>
          <w:sz w:val="20"/>
          <w:szCs w:val="20"/>
        </w:rPr>
        <w:t>oost compared to 22% in those with</w:t>
      </w:r>
      <w:r w:rsidRPr="00E164B4">
        <w:rPr>
          <w:rFonts w:cs="Times New Roman"/>
          <w:b w:val="0"/>
          <w:bCs w:val="0"/>
          <w:color w:val="0D0D0D"/>
          <w:sz w:val="20"/>
          <w:szCs w:val="20"/>
        </w:rPr>
        <w:t>out boost (</w:t>
      </w:r>
      <w:r w:rsidR="00BF05BC" w:rsidRPr="00E164B4">
        <w:rPr>
          <w:rFonts w:cs="Times New Roman"/>
          <w:b w:val="0"/>
          <w:bCs w:val="0"/>
          <w:i/>
          <w:iCs/>
          <w:color w:val="0D0D0D"/>
          <w:sz w:val="20"/>
          <w:szCs w:val="20"/>
        </w:rPr>
        <w:t>P</w:t>
      </w:r>
      <w:r w:rsidR="00BF05BC" w:rsidRPr="00E164B4">
        <w:rPr>
          <w:rFonts w:cs="Times New Roman"/>
          <w:b w:val="0"/>
          <w:bCs w:val="0"/>
          <w:color w:val="0D0D0D"/>
          <w:sz w:val="20"/>
          <w:szCs w:val="20"/>
        </w:rPr>
        <w:t xml:space="preserve"> </w:t>
      </w:r>
      <w:r w:rsidRPr="00E164B4">
        <w:rPr>
          <w:rFonts w:cs="Times New Roman"/>
          <w:b w:val="0"/>
          <w:bCs w:val="0"/>
          <w:color w:val="0D0D0D"/>
          <w:sz w:val="20"/>
          <w:szCs w:val="20"/>
        </w:rPr>
        <w:t>&gt; 0.05) with statistically insignificant difference. The increased incidence of local recurrence in our study in both groups of patients was due to the small number of patients included in the study compared with lyon study.</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In the present study, breast fibrosis as a late effect of radiation was 11% in group B patients (with boost) compared to 8.13% in group A (without boost) (</w:t>
      </w:r>
      <w:r w:rsidR="00BF05BC" w:rsidRPr="00E164B4">
        <w:rPr>
          <w:rFonts w:cs="Times New Roman"/>
          <w:b w:val="0"/>
          <w:bCs w:val="0"/>
          <w:i/>
          <w:iCs/>
          <w:color w:val="0D0D0D"/>
          <w:sz w:val="20"/>
          <w:szCs w:val="20"/>
        </w:rPr>
        <w:t>P</w:t>
      </w:r>
      <w:r w:rsidR="00BF05BC" w:rsidRPr="00E164B4">
        <w:rPr>
          <w:rFonts w:cs="Times New Roman"/>
          <w:b w:val="0"/>
          <w:bCs w:val="0"/>
          <w:color w:val="0D0D0D"/>
          <w:sz w:val="20"/>
          <w:szCs w:val="20"/>
        </w:rPr>
        <w:t xml:space="preserve"> </w:t>
      </w:r>
      <w:r w:rsidRPr="00E164B4">
        <w:rPr>
          <w:rFonts w:cs="Times New Roman"/>
          <w:b w:val="0"/>
          <w:bCs w:val="0"/>
          <w:color w:val="0D0D0D"/>
          <w:sz w:val="20"/>
          <w:szCs w:val="20"/>
        </w:rPr>
        <w:t>&gt;0.05) with insignificant statistical difference</w:t>
      </w:r>
      <w:r w:rsidR="00441CBD"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In their study, lyon researchers</w:t>
      </w:r>
      <w:r w:rsidR="00441CBD" w:rsidRPr="00E164B4">
        <w:rPr>
          <w:rFonts w:cs="Times New Roman"/>
          <w:b w:val="0"/>
          <w:bCs w:val="0"/>
          <w:color w:val="0D0D0D"/>
          <w:sz w:val="20"/>
          <w:szCs w:val="20"/>
        </w:rPr>
        <w:t xml:space="preserve"> </w:t>
      </w:r>
      <w:r w:rsidR="00441CBD" w:rsidRPr="00E164B4">
        <w:rPr>
          <w:rFonts w:cs="Times New Roman"/>
          <w:b w:val="0"/>
          <w:bCs w:val="0"/>
          <w:color w:val="0D0D0D"/>
          <w:sz w:val="20"/>
          <w:szCs w:val="20"/>
          <w:vertAlign w:val="superscript"/>
        </w:rPr>
        <w:t>(20, 21)</w:t>
      </w:r>
      <w:r w:rsidRPr="00E164B4">
        <w:rPr>
          <w:rFonts w:cs="Times New Roman"/>
          <w:b w:val="0"/>
          <w:bCs w:val="0"/>
          <w:color w:val="0D0D0D"/>
          <w:sz w:val="20"/>
          <w:szCs w:val="20"/>
        </w:rPr>
        <w:t xml:space="preserve"> found more patients receiving the additional ra</w:t>
      </w:r>
      <w:r w:rsidR="00175895" w:rsidRPr="00E164B4">
        <w:rPr>
          <w:rFonts w:cs="Times New Roman"/>
          <w:b w:val="0"/>
          <w:bCs w:val="0"/>
          <w:color w:val="0D0D0D"/>
          <w:sz w:val="20"/>
          <w:szCs w:val="20"/>
        </w:rPr>
        <w:t>diation developed telangectasia</w:t>
      </w:r>
      <w:r w:rsidRPr="00E164B4">
        <w:rPr>
          <w:rFonts w:cs="Times New Roman"/>
          <w:b w:val="0"/>
          <w:bCs w:val="0"/>
          <w:color w:val="0D0D0D"/>
          <w:sz w:val="20"/>
          <w:szCs w:val="20"/>
        </w:rPr>
        <w:t>, but there was no difference in a patient-</w:t>
      </w:r>
      <w:r w:rsidRPr="00E164B4">
        <w:rPr>
          <w:rFonts w:cs="Times New Roman"/>
          <w:b w:val="0"/>
          <w:bCs w:val="0"/>
          <w:color w:val="0D0D0D"/>
          <w:sz w:val="20"/>
          <w:szCs w:val="20"/>
        </w:rPr>
        <w:lastRenderedPageBreak/>
        <w:t xml:space="preserve">assessed cosmetic score, which comes in agree with our results </w:t>
      </w:r>
      <w:r w:rsidRPr="00E164B4">
        <w:rPr>
          <w:rFonts w:cs="Times New Roman"/>
          <w:b w:val="0"/>
          <w:bCs w:val="0"/>
          <w:color w:val="0D0D0D"/>
          <w:sz w:val="20"/>
          <w:szCs w:val="20"/>
          <w:vertAlign w:val="superscript"/>
        </w:rPr>
        <w:t>(23, 24, 25)</w:t>
      </w:r>
      <w:r w:rsidRPr="00E164B4">
        <w:rPr>
          <w:rFonts w:cs="Times New Roman"/>
          <w:b w:val="0"/>
          <w:bCs w:val="0"/>
          <w:color w:val="0D0D0D"/>
          <w:sz w:val="20"/>
          <w:szCs w:val="20"/>
        </w:rPr>
        <w:t>.</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vertAlign w:val="superscript"/>
        </w:rPr>
      </w:pPr>
      <w:r w:rsidRPr="00E164B4">
        <w:rPr>
          <w:rFonts w:cs="Times New Roman"/>
          <w:b w:val="0"/>
          <w:bCs w:val="0"/>
          <w:color w:val="0D0D0D"/>
          <w:sz w:val="20"/>
          <w:szCs w:val="20"/>
        </w:rPr>
        <w:t xml:space="preserve">More robust findings were reported by the European </w:t>
      </w:r>
      <w:r w:rsidR="00175895" w:rsidRPr="00E164B4">
        <w:rPr>
          <w:rFonts w:cs="Times New Roman"/>
          <w:b w:val="0"/>
          <w:bCs w:val="0"/>
          <w:color w:val="0D0D0D"/>
          <w:sz w:val="20"/>
          <w:szCs w:val="20"/>
        </w:rPr>
        <w:t>Organization for Research and T</w:t>
      </w:r>
      <w:r w:rsidRPr="00E164B4">
        <w:rPr>
          <w:rFonts w:cs="Times New Roman"/>
          <w:b w:val="0"/>
          <w:bCs w:val="0"/>
          <w:color w:val="0D0D0D"/>
          <w:sz w:val="20"/>
          <w:szCs w:val="20"/>
        </w:rPr>
        <w:t>rea</w:t>
      </w:r>
      <w:r w:rsidR="00175895" w:rsidRPr="00E164B4">
        <w:rPr>
          <w:rFonts w:cs="Times New Roman"/>
          <w:b w:val="0"/>
          <w:bCs w:val="0"/>
          <w:color w:val="0D0D0D"/>
          <w:sz w:val="20"/>
          <w:szCs w:val="20"/>
        </w:rPr>
        <w:t>tment of C</w:t>
      </w:r>
      <w:r w:rsidRPr="00E164B4">
        <w:rPr>
          <w:rFonts w:cs="Times New Roman"/>
          <w:b w:val="0"/>
          <w:bCs w:val="0"/>
          <w:color w:val="0D0D0D"/>
          <w:sz w:val="20"/>
          <w:szCs w:val="20"/>
        </w:rPr>
        <w:t xml:space="preserve">ancer </w:t>
      </w:r>
      <w:r w:rsidRPr="00950691">
        <w:rPr>
          <w:rFonts w:cs="Times New Roman"/>
          <w:color w:val="0D0D0D"/>
          <w:sz w:val="20"/>
          <w:szCs w:val="20"/>
        </w:rPr>
        <w:t>(EORTC),</w:t>
      </w:r>
      <w:r w:rsidRPr="00E164B4">
        <w:rPr>
          <w:rFonts w:cs="Times New Roman"/>
          <w:b w:val="0"/>
          <w:bCs w:val="0"/>
          <w:color w:val="0D0D0D"/>
          <w:sz w:val="20"/>
          <w:szCs w:val="20"/>
        </w:rPr>
        <w:t xml:space="preserve"> </w:t>
      </w:r>
      <w:r w:rsidRPr="00E164B4">
        <w:rPr>
          <w:rFonts w:cs="Times New Roman"/>
          <w:b w:val="0"/>
          <w:bCs w:val="0"/>
          <w:color w:val="0D0D0D"/>
          <w:sz w:val="20"/>
          <w:szCs w:val="20"/>
          <w:vertAlign w:val="superscript"/>
        </w:rPr>
        <w:t xml:space="preserve">(26, 27) </w:t>
      </w:r>
      <w:r w:rsidR="00175895" w:rsidRPr="00E164B4">
        <w:rPr>
          <w:rFonts w:cs="Times New Roman"/>
          <w:b w:val="0"/>
          <w:bCs w:val="0"/>
          <w:color w:val="0D0D0D"/>
          <w:sz w:val="20"/>
          <w:szCs w:val="20"/>
        </w:rPr>
        <w:t>5318</w:t>
      </w:r>
      <w:r w:rsidRPr="00E164B4">
        <w:rPr>
          <w:rFonts w:cs="Times New Roman"/>
          <w:b w:val="0"/>
          <w:bCs w:val="0"/>
          <w:color w:val="0D0D0D"/>
          <w:sz w:val="20"/>
          <w:szCs w:val="20"/>
        </w:rPr>
        <w:t xml:space="preserve"> patients were randomized to 50 Gy to the whole breast with or without an additional 16 Gy to the lumpectomy site.</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Local recurrence at 10 years (median follow-up 10.8 years) was 6.2% and 10.2% respectively (</w:t>
      </w:r>
      <w:r w:rsidRPr="00E164B4">
        <w:rPr>
          <w:rFonts w:cs="Times New Roman"/>
          <w:b w:val="0"/>
          <w:bCs w:val="0"/>
          <w:i/>
          <w:iCs/>
          <w:color w:val="0D0D0D"/>
          <w:sz w:val="20"/>
          <w:szCs w:val="20"/>
        </w:rPr>
        <w:t>P</w:t>
      </w:r>
      <w:r w:rsidRPr="00E164B4">
        <w:rPr>
          <w:rFonts w:cs="Times New Roman"/>
          <w:b w:val="0"/>
          <w:bCs w:val="0"/>
          <w:color w:val="0D0D0D"/>
          <w:sz w:val="20"/>
          <w:szCs w:val="20"/>
        </w:rPr>
        <w:t>&lt;0.0001). Sever</w:t>
      </w:r>
      <w:r w:rsidR="00441CBD" w:rsidRPr="00E164B4">
        <w:rPr>
          <w:rFonts w:cs="Times New Roman"/>
          <w:b w:val="0"/>
          <w:bCs w:val="0"/>
          <w:color w:val="0D0D0D"/>
          <w:sz w:val="20"/>
          <w:szCs w:val="20"/>
        </w:rPr>
        <w:t>e</w:t>
      </w:r>
      <w:r w:rsidRPr="00E164B4">
        <w:rPr>
          <w:rFonts w:cs="Times New Roman"/>
          <w:b w:val="0"/>
          <w:bCs w:val="0"/>
          <w:color w:val="0D0D0D"/>
          <w:sz w:val="20"/>
          <w:szCs w:val="20"/>
        </w:rPr>
        <w:t xml:space="preserve"> f</w:t>
      </w:r>
      <w:r w:rsidR="00441CBD" w:rsidRPr="00E164B4">
        <w:rPr>
          <w:rFonts w:cs="Times New Roman"/>
          <w:b w:val="0"/>
          <w:bCs w:val="0"/>
          <w:color w:val="0D0D0D"/>
          <w:sz w:val="20"/>
          <w:szCs w:val="20"/>
        </w:rPr>
        <w:t>ibrosis was modestly, b</w:t>
      </w:r>
      <w:r w:rsidRPr="00E164B4">
        <w:rPr>
          <w:rFonts w:cs="Times New Roman"/>
          <w:b w:val="0"/>
          <w:bCs w:val="0"/>
          <w:color w:val="0D0D0D"/>
          <w:sz w:val="20"/>
          <w:szCs w:val="20"/>
        </w:rPr>
        <w:t>ut significantly increased with boost dose of radiation, from 1.6% to 4.4% (</w:t>
      </w:r>
      <w:r w:rsidRPr="00E164B4">
        <w:rPr>
          <w:rFonts w:cs="Times New Roman"/>
          <w:b w:val="0"/>
          <w:bCs w:val="0"/>
          <w:i/>
          <w:iCs/>
          <w:color w:val="0D0D0D"/>
          <w:sz w:val="20"/>
          <w:szCs w:val="20"/>
        </w:rPr>
        <w:t>P</w:t>
      </w:r>
      <w:r w:rsidRPr="00E164B4">
        <w:rPr>
          <w:rFonts w:cs="Times New Roman"/>
          <w:b w:val="0"/>
          <w:bCs w:val="0"/>
          <w:color w:val="0D0D0D"/>
          <w:sz w:val="20"/>
          <w:szCs w:val="20"/>
        </w:rPr>
        <w:t xml:space="preserve"> = 0.0014) with additional radiation to lumpectomy site.</w:t>
      </w:r>
    </w:p>
    <w:p w:rsidR="00470EDC" w:rsidRPr="00E164B4" w:rsidRDefault="00470EDC"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 xml:space="preserve">There was no difference in overall survival between groups. </w:t>
      </w:r>
      <w:r w:rsidR="001B61C3" w:rsidRPr="00E164B4">
        <w:rPr>
          <w:rFonts w:cs="Times New Roman"/>
          <w:b w:val="0"/>
          <w:bCs w:val="0"/>
          <w:color w:val="0D0D0D"/>
          <w:sz w:val="20"/>
          <w:szCs w:val="20"/>
        </w:rPr>
        <w:t>Lastly</w:t>
      </w:r>
      <w:r w:rsidRPr="00E164B4">
        <w:rPr>
          <w:rFonts w:cs="Times New Roman"/>
          <w:b w:val="0"/>
          <w:bCs w:val="0"/>
          <w:color w:val="0D0D0D"/>
          <w:sz w:val="20"/>
          <w:szCs w:val="20"/>
        </w:rPr>
        <w:t xml:space="preserve">, they concluded that omission of the boost may be a reasonable option in elderly patients in whom the absolute benefit is minimal; in all others, however, it remains standard treatment. Regarding the effect of the </w:t>
      </w:r>
      <w:r w:rsidR="00441CBD" w:rsidRPr="00E164B4">
        <w:rPr>
          <w:rFonts w:cs="Times New Roman"/>
          <w:b w:val="0"/>
          <w:bCs w:val="0"/>
          <w:color w:val="0D0D0D"/>
          <w:sz w:val="20"/>
          <w:szCs w:val="20"/>
        </w:rPr>
        <w:t>boost on cosmetic results in our</w:t>
      </w:r>
      <w:r w:rsidRPr="00E164B4">
        <w:rPr>
          <w:rFonts w:cs="Times New Roman"/>
          <w:b w:val="0"/>
          <w:bCs w:val="0"/>
          <w:color w:val="0D0D0D"/>
          <w:sz w:val="20"/>
          <w:szCs w:val="20"/>
        </w:rPr>
        <w:t xml:space="preserve"> study, the patients in group B had a lower rate of excellent/good cosmetic outcome and nearly double the rate of fair out comes but with statistically insignificant difference (</w:t>
      </w:r>
      <w:r w:rsidR="00A866DE" w:rsidRPr="00E164B4">
        <w:rPr>
          <w:rFonts w:cs="Times New Roman"/>
          <w:b w:val="0"/>
          <w:bCs w:val="0"/>
          <w:i/>
          <w:iCs/>
          <w:color w:val="0D0D0D"/>
          <w:sz w:val="20"/>
          <w:szCs w:val="20"/>
        </w:rPr>
        <w:t>P</w:t>
      </w:r>
      <w:r w:rsidRPr="00E164B4">
        <w:rPr>
          <w:rFonts w:cs="Times New Roman"/>
          <w:b w:val="0"/>
          <w:bCs w:val="0"/>
          <w:color w:val="0D0D0D"/>
          <w:sz w:val="20"/>
          <w:szCs w:val="20"/>
        </w:rPr>
        <w:t xml:space="preserve"> &gt; 0.05), and these results comes in agree with the Milan III trial </w:t>
      </w:r>
      <w:r w:rsidRPr="00E164B4">
        <w:rPr>
          <w:rFonts w:cs="Times New Roman"/>
          <w:b w:val="0"/>
          <w:bCs w:val="0"/>
          <w:color w:val="0D0D0D"/>
          <w:sz w:val="20"/>
          <w:szCs w:val="20"/>
          <w:vertAlign w:val="superscript"/>
        </w:rPr>
        <w:t>(28, 29, 30)</w:t>
      </w:r>
      <w:r w:rsidRPr="00E164B4">
        <w:rPr>
          <w:rFonts w:cs="Times New Roman"/>
          <w:b w:val="0"/>
          <w:bCs w:val="0"/>
          <w:color w:val="0D0D0D"/>
          <w:sz w:val="20"/>
          <w:szCs w:val="20"/>
        </w:rPr>
        <w:t>.</w:t>
      </w:r>
    </w:p>
    <w:p w:rsidR="00470EDC" w:rsidRPr="00E164B4" w:rsidRDefault="00656E16" w:rsidP="001464C0">
      <w:pPr>
        <w:pStyle w:val="Heading1"/>
        <w:keepNext w:val="0"/>
        <w:widowControl/>
        <w:snapToGrid w:val="0"/>
        <w:spacing w:line="240" w:lineRule="auto"/>
        <w:ind w:left="0" w:firstLine="425"/>
        <w:jc w:val="both"/>
        <w:rPr>
          <w:rFonts w:cs="Times New Roman"/>
          <w:b w:val="0"/>
          <w:bCs w:val="0"/>
          <w:color w:val="0D0D0D"/>
          <w:sz w:val="20"/>
          <w:szCs w:val="20"/>
        </w:rPr>
      </w:pPr>
      <w:r w:rsidRPr="00E164B4">
        <w:rPr>
          <w:rFonts w:cs="Times New Roman"/>
          <w:b w:val="0"/>
          <w:bCs w:val="0"/>
          <w:color w:val="0D0D0D"/>
          <w:sz w:val="20"/>
          <w:szCs w:val="20"/>
        </w:rPr>
        <w:t>On summary: o</w:t>
      </w:r>
      <w:r w:rsidR="00470EDC" w:rsidRPr="00E164B4">
        <w:rPr>
          <w:rFonts w:cs="Times New Roman"/>
          <w:b w:val="0"/>
          <w:bCs w:val="0"/>
          <w:color w:val="0D0D0D"/>
          <w:sz w:val="20"/>
          <w:szCs w:val="20"/>
        </w:rPr>
        <w:t>mission of the boost ma</w:t>
      </w:r>
      <w:r w:rsidR="00845B26" w:rsidRPr="00E164B4">
        <w:rPr>
          <w:rFonts w:cs="Times New Roman"/>
          <w:b w:val="0"/>
          <w:bCs w:val="0"/>
          <w:color w:val="0D0D0D"/>
          <w:sz w:val="20"/>
          <w:szCs w:val="20"/>
        </w:rPr>
        <w:t>y</w:t>
      </w:r>
      <w:r w:rsidR="00470EDC" w:rsidRPr="00E164B4">
        <w:rPr>
          <w:rFonts w:cs="Times New Roman"/>
          <w:b w:val="0"/>
          <w:bCs w:val="0"/>
          <w:color w:val="0D0D0D"/>
          <w:sz w:val="20"/>
          <w:szCs w:val="20"/>
        </w:rPr>
        <w:t xml:space="preserve"> be a reasonable option in early stage breast carcinoma (1-2B) treated with breast conserving therapy (BCT) to decrease the incidence of late radiation </w:t>
      </w:r>
      <w:r w:rsidR="00845B26" w:rsidRPr="00E164B4">
        <w:rPr>
          <w:rFonts w:cs="Times New Roman"/>
          <w:b w:val="0"/>
          <w:bCs w:val="0"/>
          <w:color w:val="0D0D0D"/>
          <w:sz w:val="20"/>
          <w:szCs w:val="20"/>
        </w:rPr>
        <w:t>toxicity, but more trials with l</w:t>
      </w:r>
      <w:r w:rsidR="00470EDC" w:rsidRPr="00E164B4">
        <w:rPr>
          <w:rFonts w:cs="Times New Roman"/>
          <w:b w:val="0"/>
          <w:bCs w:val="0"/>
          <w:color w:val="0D0D0D"/>
          <w:sz w:val="20"/>
          <w:szCs w:val="20"/>
        </w:rPr>
        <w:t>arger number of patients are needed to support that option with more longer time of follow-up.</w:t>
      </w:r>
    </w:p>
    <w:p w:rsidR="0061521B" w:rsidRPr="00E164B4" w:rsidRDefault="0061521B" w:rsidP="001464C0">
      <w:pPr>
        <w:pStyle w:val="Heading1"/>
        <w:keepNext w:val="0"/>
        <w:widowControl/>
        <w:snapToGrid w:val="0"/>
        <w:spacing w:line="240" w:lineRule="auto"/>
        <w:ind w:left="0"/>
        <w:jc w:val="both"/>
        <w:rPr>
          <w:rFonts w:cs="Times New Roman"/>
          <w:color w:val="0D0D0D"/>
          <w:sz w:val="20"/>
          <w:szCs w:val="20"/>
        </w:rPr>
      </w:pPr>
    </w:p>
    <w:p w:rsidR="00470EDC" w:rsidRPr="00E164B4" w:rsidRDefault="0061521B" w:rsidP="001464C0">
      <w:pPr>
        <w:pStyle w:val="Heading1"/>
        <w:keepNext w:val="0"/>
        <w:widowControl/>
        <w:snapToGrid w:val="0"/>
        <w:spacing w:line="240" w:lineRule="auto"/>
        <w:ind w:left="0"/>
        <w:jc w:val="both"/>
        <w:rPr>
          <w:rFonts w:cs="Times New Roman"/>
          <w:color w:val="0D0D0D"/>
          <w:sz w:val="20"/>
          <w:szCs w:val="20"/>
        </w:rPr>
      </w:pPr>
      <w:r w:rsidRPr="00E164B4">
        <w:rPr>
          <w:rFonts w:cs="Times New Roman"/>
          <w:color w:val="0D0D0D"/>
          <w:sz w:val="20"/>
          <w:szCs w:val="20"/>
        </w:rPr>
        <w:t>References</w:t>
      </w:r>
    </w:p>
    <w:p w:rsidR="00470EDC" w:rsidRPr="00E164B4" w:rsidRDefault="00470EDC" w:rsidP="001464C0">
      <w:pPr>
        <w:pStyle w:val="BodyTextIndent"/>
        <w:widowControl/>
        <w:numPr>
          <w:ilvl w:val="0"/>
          <w:numId w:val="3"/>
        </w:numPr>
        <w:snapToGrid w:val="0"/>
        <w:spacing w:line="240" w:lineRule="auto"/>
        <w:ind w:left="425" w:hanging="425"/>
        <w:jc w:val="both"/>
        <w:rPr>
          <w:color w:val="0D0D0D"/>
          <w:sz w:val="20"/>
          <w:szCs w:val="20"/>
        </w:rPr>
      </w:pPr>
      <w:r w:rsidRPr="00E164B4">
        <w:rPr>
          <w:color w:val="0D0D0D"/>
          <w:sz w:val="20"/>
          <w:szCs w:val="20"/>
        </w:rPr>
        <w:t xml:space="preserve">Fisher B, Anderson S, Bryant J, </w:t>
      </w:r>
      <w:r w:rsidRPr="00E164B4">
        <w:rPr>
          <w:i/>
          <w:iCs/>
          <w:color w:val="0D0D0D"/>
          <w:sz w:val="20"/>
          <w:szCs w:val="20"/>
        </w:rPr>
        <w:t>et al.</w:t>
      </w:r>
      <w:r w:rsidRPr="00E164B4">
        <w:rPr>
          <w:color w:val="0D0D0D"/>
          <w:sz w:val="20"/>
          <w:szCs w:val="20"/>
        </w:rPr>
        <w:t xml:space="preserve"> Twenty- year follow-up of a randomized trial comparing total mastectomy, lumpectomy, and lumpcctomy plus irradiation for the treatment of invasive breast cancer. New Eng J Med. 2002; 347: 1233-l 241.</w:t>
      </w:r>
    </w:p>
    <w:p w:rsidR="00470EDC" w:rsidRPr="00E164B4" w:rsidRDefault="00470EDC" w:rsidP="001464C0">
      <w:pPr>
        <w:pStyle w:val="BodyText"/>
        <w:widowControl/>
        <w:numPr>
          <w:ilvl w:val="0"/>
          <w:numId w:val="3"/>
        </w:numPr>
        <w:snapToGrid w:val="0"/>
        <w:spacing w:before="0" w:line="240" w:lineRule="auto"/>
        <w:ind w:left="425" w:hanging="425"/>
        <w:jc w:val="both"/>
        <w:rPr>
          <w:color w:val="0D0D0D"/>
          <w:sz w:val="20"/>
          <w:szCs w:val="20"/>
        </w:rPr>
      </w:pPr>
      <w:r w:rsidRPr="00E164B4">
        <w:rPr>
          <w:color w:val="0D0D0D"/>
          <w:sz w:val="20"/>
          <w:szCs w:val="20"/>
        </w:rPr>
        <w:t xml:space="preserve">Clarke M, Collins R, Darby S,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Effects of radiotherapy and of differences in the extent of surgery for early breast cancer on local recurrence and 15-year survival: an overview of the randomised trials. Lancet. 2005; 366(9503):2087-2106.</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lastRenderedPageBreak/>
        <w:t xml:space="preserve">Arriagada R, Le MG, Rochard F,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Conservative treatment versus mastectomy in early breast cancer: patterns of failure with 15 years of follow-up data. Institute Gustave-Roussy Breast Cancer Group. J Clin Oncol., 1996; 14(5):1558-1564.</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Veronsi U, Cascinelli N, Mariani L,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Twenty-year follow-up of a randomized study comparing breast-conserving surgery with radical mastectomy for early breast cancer. New Engl J Med. 2002; 347(16)</w:t>
      </w:r>
      <w:r w:rsidR="00E164B4">
        <w:rPr>
          <w:color w:val="0D0D0D"/>
          <w:sz w:val="20"/>
          <w:szCs w:val="20"/>
        </w:rPr>
        <w:t>:</w:t>
      </w:r>
      <w:r w:rsidRPr="00E164B4">
        <w:rPr>
          <w:color w:val="0D0D0D"/>
          <w:sz w:val="20"/>
          <w:szCs w:val="20"/>
        </w:rPr>
        <w:t xml:space="preserve"> I227-I232.</w:t>
      </w:r>
    </w:p>
    <w:p w:rsidR="00470EDC" w:rsidRPr="00E164B4" w:rsidRDefault="00470EDC" w:rsidP="001464C0">
      <w:pPr>
        <w:pStyle w:val="BodyTextIndent"/>
        <w:widowControl/>
        <w:numPr>
          <w:ilvl w:val="0"/>
          <w:numId w:val="3"/>
        </w:numPr>
        <w:snapToGrid w:val="0"/>
        <w:spacing w:line="240" w:lineRule="auto"/>
        <w:ind w:left="425" w:hanging="425"/>
        <w:jc w:val="both"/>
        <w:rPr>
          <w:color w:val="0D0D0D"/>
          <w:sz w:val="20"/>
          <w:szCs w:val="20"/>
        </w:rPr>
      </w:pPr>
      <w:r w:rsidRPr="00E164B4">
        <w:rPr>
          <w:color w:val="0D0D0D"/>
          <w:sz w:val="20"/>
          <w:szCs w:val="20"/>
        </w:rPr>
        <w:t xml:space="preserve">Blichert-Toft M, Rose C, Anderson JA,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Danish randomized trial comparing breast conservation therapy with mastectomy: six years of life-table analysis. Danish Breast Cancer Cooperative Group. J Natl Cancer Inst Monogr. 1992; Aa:19-25.</w:t>
      </w:r>
    </w:p>
    <w:p w:rsidR="00470EDC" w:rsidRPr="00E164B4" w:rsidRDefault="00470EDC" w:rsidP="001464C0">
      <w:pPr>
        <w:pStyle w:val="BodyTextIndent"/>
        <w:widowControl/>
        <w:numPr>
          <w:ilvl w:val="0"/>
          <w:numId w:val="3"/>
        </w:numPr>
        <w:snapToGrid w:val="0"/>
        <w:spacing w:line="240" w:lineRule="auto"/>
        <w:ind w:left="425" w:hanging="425"/>
        <w:jc w:val="both"/>
        <w:rPr>
          <w:color w:val="0D0D0D"/>
          <w:sz w:val="20"/>
          <w:szCs w:val="20"/>
        </w:rPr>
      </w:pPr>
      <w:r w:rsidRPr="00E164B4">
        <w:rPr>
          <w:color w:val="0D0D0D"/>
          <w:sz w:val="20"/>
          <w:szCs w:val="20"/>
        </w:rPr>
        <w:t xml:space="preserve">Van Dongen JA, Voogd AC, Fentiman IS,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Long-term results of a randomized trial comparing breast-conserving therapy with mastectomy: European Organization for Research and Treatment of Cancer 1080I trial. J Natl Cancer Inst. 2000;92(14):1143-1150.</w:t>
      </w:r>
    </w:p>
    <w:p w:rsidR="00470EDC" w:rsidRPr="00E164B4" w:rsidRDefault="007E0BB6" w:rsidP="001464C0">
      <w:pPr>
        <w:pStyle w:val="BodyTextIndent"/>
        <w:widowControl/>
        <w:numPr>
          <w:ilvl w:val="0"/>
          <w:numId w:val="3"/>
        </w:numPr>
        <w:snapToGrid w:val="0"/>
        <w:spacing w:line="240" w:lineRule="auto"/>
        <w:ind w:left="425" w:hanging="425"/>
        <w:jc w:val="both"/>
        <w:rPr>
          <w:color w:val="0D0D0D"/>
          <w:sz w:val="20"/>
          <w:szCs w:val="20"/>
        </w:rPr>
      </w:pPr>
      <w:r w:rsidRPr="00E164B4">
        <w:rPr>
          <w:color w:val="0D0D0D"/>
          <w:sz w:val="20"/>
          <w:szCs w:val="20"/>
        </w:rPr>
        <w:t>Freed</w:t>
      </w:r>
      <w:r w:rsidR="00470EDC" w:rsidRPr="00E164B4">
        <w:rPr>
          <w:color w:val="0D0D0D"/>
          <w:sz w:val="20"/>
          <w:szCs w:val="20"/>
        </w:rPr>
        <w:t xml:space="preserve">man G, Fowble B, Hanlon A, </w:t>
      </w:r>
      <w:r w:rsidR="00A866DE" w:rsidRPr="00E164B4">
        <w:rPr>
          <w:i/>
          <w:iCs/>
          <w:color w:val="0D0D0D"/>
          <w:sz w:val="20"/>
          <w:szCs w:val="20"/>
        </w:rPr>
        <w:t>et al.</w:t>
      </w:r>
      <w:r w:rsidR="00A866DE" w:rsidRPr="00E164B4">
        <w:rPr>
          <w:color w:val="0D0D0D"/>
          <w:sz w:val="20"/>
          <w:szCs w:val="20"/>
        </w:rPr>
        <w:t xml:space="preserve"> </w:t>
      </w:r>
      <w:r w:rsidR="00470EDC" w:rsidRPr="00E164B4">
        <w:rPr>
          <w:color w:val="0D0D0D"/>
          <w:sz w:val="20"/>
          <w:szCs w:val="20"/>
        </w:rPr>
        <w:t>Patients with early stage invasive cancer with close of positive margins treated with conser</w:t>
      </w:r>
      <w:r w:rsidR="00470EDC" w:rsidRPr="00E164B4">
        <w:rPr>
          <w:color w:val="0D0D0D"/>
          <w:sz w:val="20"/>
          <w:szCs w:val="20"/>
        </w:rPr>
        <w:softHyphen/>
        <w:t>vative surgery and radiation have an increased risk of breast recur</w:t>
      </w:r>
      <w:r w:rsidR="00470EDC" w:rsidRPr="00E164B4">
        <w:rPr>
          <w:color w:val="0D0D0D"/>
          <w:sz w:val="20"/>
          <w:szCs w:val="20"/>
        </w:rPr>
        <w:softHyphen/>
        <w:t>rence that is delayed by adjuvan</w:t>
      </w:r>
      <w:r w:rsidR="009C0D2A" w:rsidRPr="00E164B4">
        <w:rPr>
          <w:color w:val="0D0D0D"/>
          <w:sz w:val="20"/>
          <w:szCs w:val="20"/>
        </w:rPr>
        <w:t>t systemic therapy. Int J Radiat</w:t>
      </w:r>
      <w:r w:rsidR="00470EDC" w:rsidRPr="00E164B4">
        <w:rPr>
          <w:color w:val="0D0D0D"/>
          <w:sz w:val="20"/>
          <w:szCs w:val="20"/>
        </w:rPr>
        <w:t xml:space="preserve"> Oncol Biol Phys. 1999;44(5): 1005-1015.</w:t>
      </w:r>
    </w:p>
    <w:p w:rsidR="00470EDC" w:rsidRPr="00E164B4" w:rsidRDefault="007E0BB6" w:rsidP="001464C0">
      <w:pPr>
        <w:pStyle w:val="BodyTextIndent"/>
        <w:widowControl/>
        <w:numPr>
          <w:ilvl w:val="0"/>
          <w:numId w:val="3"/>
        </w:numPr>
        <w:snapToGrid w:val="0"/>
        <w:spacing w:line="240" w:lineRule="auto"/>
        <w:ind w:left="425" w:hanging="425"/>
        <w:jc w:val="both"/>
        <w:rPr>
          <w:color w:val="0D0D0D"/>
          <w:sz w:val="20"/>
          <w:szCs w:val="20"/>
        </w:rPr>
      </w:pPr>
      <w:r w:rsidRPr="00E164B4">
        <w:rPr>
          <w:color w:val="0D0D0D"/>
          <w:sz w:val="20"/>
          <w:szCs w:val="20"/>
        </w:rPr>
        <w:t>Mel</w:t>
      </w:r>
      <w:r w:rsidR="00470EDC" w:rsidRPr="00E164B4">
        <w:rPr>
          <w:color w:val="0D0D0D"/>
          <w:sz w:val="20"/>
          <w:szCs w:val="20"/>
        </w:rPr>
        <w:t xml:space="preserve">ntosh A, Freedman G, Eisenberg D, </w:t>
      </w:r>
      <w:r w:rsidR="00A866DE" w:rsidRPr="00E164B4">
        <w:rPr>
          <w:i/>
          <w:iCs/>
          <w:color w:val="0D0D0D"/>
          <w:sz w:val="20"/>
          <w:szCs w:val="20"/>
        </w:rPr>
        <w:t>et al.</w:t>
      </w:r>
      <w:r w:rsidR="00A866DE" w:rsidRPr="00E164B4">
        <w:rPr>
          <w:color w:val="0D0D0D"/>
          <w:sz w:val="20"/>
          <w:szCs w:val="20"/>
        </w:rPr>
        <w:t xml:space="preserve"> </w:t>
      </w:r>
      <w:r w:rsidR="00470EDC" w:rsidRPr="00E164B4">
        <w:rPr>
          <w:color w:val="0D0D0D"/>
          <w:sz w:val="20"/>
          <w:szCs w:val="20"/>
        </w:rPr>
        <w:t>Recurrence rates and analysis of close or positive margins in patients treated without re-excision before radiation for breast cancer. Am J Clin Oncol., 2007; 30 (2)</w:t>
      </w:r>
      <w:r w:rsidR="00E164B4">
        <w:rPr>
          <w:color w:val="0D0D0D"/>
          <w:sz w:val="20"/>
          <w:szCs w:val="20"/>
        </w:rPr>
        <w:t>:</w:t>
      </w:r>
      <w:r w:rsidR="00470EDC" w:rsidRPr="00E164B4">
        <w:rPr>
          <w:color w:val="0D0D0D"/>
          <w:sz w:val="20"/>
          <w:szCs w:val="20"/>
        </w:rPr>
        <w:t xml:space="preserve"> 146-151.</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 xml:space="preserve">Peterson ME, Schulrz DJ, Reynolds C, </w:t>
      </w:r>
      <w:r w:rsidR="00A866DE" w:rsidRPr="00E164B4">
        <w:rPr>
          <w:i/>
          <w:iCs/>
          <w:color w:val="0D0D0D"/>
        </w:rPr>
        <w:t>et al.</w:t>
      </w:r>
      <w:r w:rsidR="00A866DE" w:rsidRPr="00E164B4">
        <w:rPr>
          <w:color w:val="0D0D0D"/>
        </w:rPr>
        <w:t xml:space="preserve"> </w:t>
      </w:r>
      <w:r w:rsidRPr="00E164B4">
        <w:rPr>
          <w:color w:val="0D0D0D"/>
          <w:lang w:eastAsia="en-US"/>
        </w:rPr>
        <w:t>Outcomes in breast cancer patients relative to margin status after treatment with breast-conserving surgery and radiation therapy: the University of Pennsylvania experience. Int J Radiat Oncol Biol Phys. 1999; 45(5): 1029-1035.</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 xml:space="preserve">van der Leest M, Evers L, van der Sangen MJ, </w:t>
      </w:r>
      <w:r w:rsidR="00A866DE" w:rsidRPr="00E164B4">
        <w:rPr>
          <w:i/>
          <w:iCs/>
          <w:color w:val="0D0D0D"/>
        </w:rPr>
        <w:t>et al.</w:t>
      </w:r>
      <w:r w:rsidR="00A866DE" w:rsidRPr="00E164B4">
        <w:rPr>
          <w:color w:val="0D0D0D"/>
        </w:rPr>
        <w:t xml:space="preserve"> </w:t>
      </w:r>
      <w:r w:rsidRPr="00E164B4">
        <w:rPr>
          <w:color w:val="0D0D0D"/>
          <w:lang w:eastAsia="en-US"/>
        </w:rPr>
        <w:t>The safety of breast conserving therapy in patients with breast cancer aged &lt; or = 40 years. Cancer. 2007;109 (10):1957-1964.</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 xml:space="preserve">Bartelink H, Horiot JC, Poortsmans PM, </w:t>
      </w:r>
      <w:r w:rsidR="00A866DE" w:rsidRPr="00E164B4">
        <w:rPr>
          <w:i/>
          <w:iCs/>
          <w:color w:val="0D0D0D"/>
        </w:rPr>
        <w:t>et al.</w:t>
      </w:r>
      <w:r w:rsidR="00A866DE" w:rsidRPr="00E164B4">
        <w:rPr>
          <w:color w:val="0D0D0D"/>
        </w:rPr>
        <w:t xml:space="preserve"> </w:t>
      </w:r>
      <w:r w:rsidRPr="00E164B4">
        <w:rPr>
          <w:color w:val="0D0D0D"/>
          <w:lang w:eastAsia="en-US"/>
        </w:rPr>
        <w:t>Impact of a higher radiation dose on local control and survival in breast conserving therapy of early stage breast cancer: 10-year</w:t>
      </w:r>
      <w:r w:rsidR="009C0D2A" w:rsidRPr="00E164B4">
        <w:rPr>
          <w:color w:val="0D0D0D"/>
          <w:lang w:eastAsia="en-US"/>
        </w:rPr>
        <w:t xml:space="preserve"> results of the</w:t>
      </w:r>
      <w:r w:rsidRPr="00E164B4">
        <w:rPr>
          <w:color w:val="0D0D0D"/>
          <w:lang w:eastAsia="en-US"/>
        </w:rPr>
        <w:t xml:space="preserve"> randomized boost vs no boost EORTC 22881-10</w:t>
      </w:r>
      <w:r w:rsidR="009C0D2A" w:rsidRPr="00E164B4">
        <w:rPr>
          <w:color w:val="0D0D0D"/>
          <w:lang w:eastAsia="en-US"/>
        </w:rPr>
        <w:t>882 trial.</w:t>
      </w:r>
      <w:r w:rsidR="008E7A49" w:rsidRPr="00E164B4">
        <w:rPr>
          <w:color w:val="0D0D0D"/>
          <w:lang w:eastAsia="en-US"/>
        </w:rPr>
        <w:t xml:space="preserve"> </w:t>
      </w:r>
      <w:r w:rsidR="009C0D2A" w:rsidRPr="00E164B4">
        <w:rPr>
          <w:color w:val="0D0D0D"/>
          <w:lang w:eastAsia="en-US"/>
        </w:rPr>
        <w:t>J</w:t>
      </w:r>
      <w:r w:rsidR="008E7A49" w:rsidRPr="00E164B4">
        <w:rPr>
          <w:color w:val="0D0D0D"/>
          <w:lang w:eastAsia="en-US"/>
        </w:rPr>
        <w:t xml:space="preserve"> Clin</w:t>
      </w:r>
      <w:r w:rsidRPr="00E164B4">
        <w:rPr>
          <w:color w:val="0D0D0D"/>
          <w:lang w:eastAsia="en-US"/>
        </w:rPr>
        <w:t xml:space="preserve"> Oncol., 2007; 25 (22)</w:t>
      </w:r>
      <w:r w:rsidR="00E164B4">
        <w:rPr>
          <w:color w:val="0D0D0D"/>
          <w:lang w:eastAsia="en-US"/>
        </w:rPr>
        <w:t>:</w:t>
      </w:r>
      <w:r w:rsidRPr="00E164B4">
        <w:rPr>
          <w:color w:val="0D0D0D"/>
          <w:lang w:eastAsia="en-US"/>
        </w:rPr>
        <w:t xml:space="preserve"> 3259-3265.</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 xml:space="preserve">Kurtz JM, Jacquemier J, Amalric, </w:t>
      </w:r>
      <w:r w:rsidR="00A866DE" w:rsidRPr="00E164B4">
        <w:rPr>
          <w:i/>
          <w:iCs/>
          <w:color w:val="0D0D0D"/>
        </w:rPr>
        <w:t>et al.</w:t>
      </w:r>
      <w:r w:rsidR="00A866DE" w:rsidRPr="00E164B4">
        <w:rPr>
          <w:color w:val="0D0D0D"/>
        </w:rPr>
        <w:t xml:space="preserve"> </w:t>
      </w:r>
      <w:r w:rsidRPr="00E164B4">
        <w:rPr>
          <w:color w:val="0D0D0D"/>
          <w:lang w:eastAsia="en-US"/>
        </w:rPr>
        <w:t>Why are local recurrences after breast-conserving therapy more frequent in younger patients? J Clin Oncol.,</w:t>
      </w:r>
      <w:r w:rsidR="00E164B4">
        <w:rPr>
          <w:color w:val="0D0D0D"/>
          <w:lang w:eastAsia="en-US"/>
        </w:rPr>
        <w:t xml:space="preserve"> </w:t>
      </w:r>
      <w:r w:rsidRPr="00E164B4">
        <w:rPr>
          <w:color w:val="0D0D0D"/>
          <w:lang w:eastAsia="en-US"/>
        </w:rPr>
        <w:t>1990; 8 (4):591-598.</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lastRenderedPageBreak/>
        <w:t xml:space="preserve">Dahlberg K, johansson H, Johansson U, </w:t>
      </w:r>
      <w:r w:rsidR="00A866DE" w:rsidRPr="00E164B4">
        <w:rPr>
          <w:i/>
          <w:iCs/>
          <w:color w:val="0D0D0D"/>
        </w:rPr>
        <w:t>et al.</w:t>
      </w:r>
      <w:r w:rsidR="00A866DE" w:rsidRPr="00E164B4">
        <w:rPr>
          <w:color w:val="0D0D0D"/>
        </w:rPr>
        <w:t xml:space="preserve"> </w:t>
      </w:r>
      <w:r w:rsidRPr="00E164B4">
        <w:rPr>
          <w:color w:val="0D0D0D"/>
          <w:lang w:eastAsia="en-US"/>
        </w:rPr>
        <w:t>A randomized trial of long-term adjuvant tamoxifen plus postoperative radiation therapy versus radiation therapy alone for patients with early stage breast carcinoma treated with breast-conserving surgery.</w:t>
      </w:r>
      <w:r w:rsidR="00E543F5" w:rsidRPr="00E164B4">
        <w:rPr>
          <w:color w:val="0D0D0D"/>
          <w:lang w:eastAsia="en-US"/>
        </w:rPr>
        <w:t xml:space="preserve"> </w:t>
      </w:r>
      <w:r w:rsidRPr="00E164B4">
        <w:rPr>
          <w:color w:val="0D0D0D"/>
          <w:lang w:eastAsia="en-US"/>
        </w:rPr>
        <w:t>Stockholm Breast Cancer Study Croup. Cancer. 1998; 82 (11): 2204-2211.</w:t>
      </w:r>
    </w:p>
    <w:p w:rsidR="00470EDC" w:rsidRPr="00E164B4" w:rsidRDefault="00470EDC" w:rsidP="001464C0">
      <w:pPr>
        <w:pStyle w:val="BodyTextIndent2"/>
        <w:widowControl/>
        <w:numPr>
          <w:ilvl w:val="0"/>
          <w:numId w:val="3"/>
        </w:numPr>
        <w:snapToGrid w:val="0"/>
        <w:spacing w:before="0" w:line="240" w:lineRule="auto"/>
        <w:ind w:left="425" w:hanging="425"/>
        <w:jc w:val="both"/>
        <w:rPr>
          <w:color w:val="0D0D0D"/>
          <w:sz w:val="20"/>
          <w:szCs w:val="20"/>
        </w:rPr>
      </w:pPr>
      <w:r w:rsidRPr="00E164B4">
        <w:rPr>
          <w:color w:val="0D0D0D"/>
          <w:sz w:val="20"/>
          <w:szCs w:val="20"/>
        </w:rPr>
        <w:t xml:space="preserve">Haffty BG, Yang Q, Reiss M,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Locoregional relapse and distant metastasis in conservatively managed triple negative early stage breast cancer. J Clin Oncol, 2006; 24(36):5652-5657.</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Chen AM, Obcdian E, Haffty BG. Breast-conserving therapy in the setting of collagen vascular disease. Cancer. 2001;7(6): </w:t>
      </w:r>
      <w:r w:rsidR="00F304B4" w:rsidRPr="00E164B4">
        <w:rPr>
          <w:color w:val="0D0D0D"/>
          <w:sz w:val="20"/>
          <w:szCs w:val="20"/>
        </w:rPr>
        <w:t>48</w:t>
      </w:r>
      <w:r w:rsidRPr="00E164B4">
        <w:rPr>
          <w:color w:val="0D0D0D"/>
          <w:sz w:val="20"/>
          <w:szCs w:val="20"/>
        </w:rPr>
        <w:t>0-491.</w:t>
      </w:r>
    </w:p>
    <w:p w:rsidR="0061521B" w:rsidRPr="00E164B4" w:rsidRDefault="00470EDC" w:rsidP="001464C0">
      <w:pPr>
        <w:pStyle w:val="BodyText2"/>
        <w:widowControl/>
        <w:numPr>
          <w:ilvl w:val="0"/>
          <w:numId w:val="3"/>
        </w:numPr>
        <w:snapToGrid w:val="0"/>
        <w:spacing w:line="240" w:lineRule="auto"/>
        <w:ind w:left="425" w:hanging="425"/>
        <w:jc w:val="both"/>
        <w:rPr>
          <w:color w:val="0D0D0D"/>
          <w:sz w:val="20"/>
          <w:szCs w:val="20"/>
        </w:rPr>
      </w:pPr>
      <w:r w:rsidRPr="00E164B4">
        <w:rPr>
          <w:color w:val="0D0D0D"/>
          <w:sz w:val="20"/>
          <w:szCs w:val="20"/>
        </w:rPr>
        <w:t>Ross JG, Hussey DH, Mayr N, et al. Acute and late reactions to radiation therapy in patients with collagen vascular diseases. Can</w:t>
      </w:r>
      <w:r w:rsidR="00F304B4" w:rsidRPr="00E164B4">
        <w:rPr>
          <w:color w:val="0D0D0D"/>
          <w:sz w:val="20"/>
          <w:szCs w:val="20"/>
        </w:rPr>
        <w:t>cer. 2006;71(11): 3744-3752.</w:t>
      </w:r>
    </w:p>
    <w:p w:rsidR="00470EDC" w:rsidRPr="00E164B4" w:rsidRDefault="00470EDC" w:rsidP="001464C0">
      <w:pPr>
        <w:pStyle w:val="BodyText2"/>
        <w:widowControl/>
        <w:numPr>
          <w:ilvl w:val="0"/>
          <w:numId w:val="3"/>
        </w:numPr>
        <w:snapToGrid w:val="0"/>
        <w:spacing w:line="240" w:lineRule="auto"/>
        <w:ind w:left="425" w:hanging="425"/>
        <w:jc w:val="both"/>
        <w:rPr>
          <w:color w:val="0D0D0D"/>
          <w:sz w:val="20"/>
          <w:szCs w:val="20"/>
        </w:rPr>
      </w:pPr>
      <w:r w:rsidRPr="00E164B4">
        <w:rPr>
          <w:color w:val="0D0D0D"/>
          <w:sz w:val="20"/>
          <w:szCs w:val="20"/>
        </w:rPr>
        <w:t>Pierce LJ, Levin</w:t>
      </w:r>
      <w:r w:rsidR="00E164B4">
        <w:rPr>
          <w:color w:val="0D0D0D"/>
          <w:sz w:val="20"/>
          <w:szCs w:val="20"/>
        </w:rPr>
        <w:t xml:space="preserve"> </w:t>
      </w:r>
      <w:r w:rsidRPr="00E164B4">
        <w:rPr>
          <w:color w:val="0D0D0D"/>
          <w:sz w:val="20"/>
          <w:szCs w:val="20"/>
        </w:rPr>
        <w:t>AM,</w:t>
      </w:r>
      <w:r w:rsidR="00E164B4">
        <w:rPr>
          <w:color w:val="0D0D0D"/>
          <w:sz w:val="20"/>
          <w:szCs w:val="20"/>
        </w:rPr>
        <w:t xml:space="preserve"> </w:t>
      </w:r>
      <w:r w:rsidRPr="00E164B4">
        <w:rPr>
          <w:color w:val="0D0D0D"/>
          <w:sz w:val="20"/>
          <w:szCs w:val="20"/>
        </w:rPr>
        <w:t xml:space="preserve">Rebbeck TR,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Ten-year multi-institutional results of breast-c</w:t>
      </w:r>
      <w:r w:rsidR="00F304B4" w:rsidRPr="00E164B4">
        <w:rPr>
          <w:color w:val="0D0D0D"/>
          <w:sz w:val="20"/>
          <w:szCs w:val="20"/>
        </w:rPr>
        <w:t>onserving surgery and radio</w:t>
      </w:r>
      <w:r w:rsidRPr="00E164B4">
        <w:rPr>
          <w:color w:val="0D0D0D"/>
          <w:sz w:val="20"/>
          <w:szCs w:val="20"/>
        </w:rPr>
        <w:t>therapy in BRCA1/2-associated stage I/II breast cancer. J Clin Oncol. 2006;</w:t>
      </w:r>
      <w:r w:rsidR="00F304B4" w:rsidRPr="00E164B4">
        <w:rPr>
          <w:color w:val="0D0D0D"/>
          <w:sz w:val="20"/>
          <w:szCs w:val="20"/>
        </w:rPr>
        <w:t>24</w:t>
      </w:r>
      <w:r w:rsidRPr="00E164B4">
        <w:rPr>
          <w:color w:val="0D0D0D"/>
          <w:sz w:val="20"/>
          <w:szCs w:val="20"/>
        </w:rPr>
        <w:t xml:space="preserve"> (16)</w:t>
      </w:r>
      <w:r w:rsidR="00E164B4">
        <w:rPr>
          <w:color w:val="0D0D0D"/>
          <w:sz w:val="20"/>
          <w:szCs w:val="20"/>
        </w:rPr>
        <w:t>:</w:t>
      </w:r>
      <w:r w:rsidRPr="00E164B4">
        <w:rPr>
          <w:color w:val="0D0D0D"/>
          <w:sz w:val="20"/>
          <w:szCs w:val="20"/>
        </w:rPr>
        <w:t xml:space="preserve"> 2437-2443.</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 xml:space="preserve">Bcllon JR, Come SE, Celman RS, </w:t>
      </w:r>
      <w:r w:rsidR="00A866DE" w:rsidRPr="00E164B4">
        <w:rPr>
          <w:i/>
          <w:iCs/>
          <w:color w:val="0D0D0D"/>
        </w:rPr>
        <w:t>et al.</w:t>
      </w:r>
      <w:r w:rsidR="00A866DE" w:rsidRPr="00E164B4">
        <w:rPr>
          <w:color w:val="0D0D0D"/>
        </w:rPr>
        <w:t xml:space="preserve"> </w:t>
      </w:r>
      <w:r w:rsidRPr="00E164B4">
        <w:rPr>
          <w:color w:val="0D0D0D"/>
          <w:lang w:eastAsia="en-US"/>
        </w:rPr>
        <w:t>Sequencing of chemo-therapy and radiation therapy in early-stage breas</w:t>
      </w:r>
      <w:r w:rsidR="00F304B4" w:rsidRPr="00E164B4">
        <w:rPr>
          <w:color w:val="0D0D0D"/>
          <w:lang w:eastAsia="en-US"/>
        </w:rPr>
        <w:t>t</w:t>
      </w:r>
      <w:r w:rsidRPr="00E164B4">
        <w:rPr>
          <w:color w:val="0D0D0D"/>
          <w:lang w:eastAsia="en-US"/>
        </w:rPr>
        <w:t xml:space="preserve"> cancer: updated results of</w:t>
      </w:r>
      <w:r w:rsidR="00F304B4" w:rsidRPr="00E164B4">
        <w:rPr>
          <w:color w:val="0D0D0D"/>
          <w:lang w:eastAsia="en-US"/>
        </w:rPr>
        <w:t xml:space="preserve"> a</w:t>
      </w:r>
      <w:r w:rsidRPr="00E164B4">
        <w:rPr>
          <w:color w:val="0D0D0D"/>
          <w:lang w:eastAsia="en-US"/>
        </w:rPr>
        <w:t xml:space="preserve"> prospective randomized trial</w:t>
      </w:r>
      <w:r w:rsidR="00E164B4">
        <w:rPr>
          <w:color w:val="0D0D0D"/>
          <w:lang w:eastAsia="en-US"/>
        </w:rPr>
        <w:t>.</w:t>
      </w:r>
      <w:r w:rsidRPr="00E164B4">
        <w:rPr>
          <w:color w:val="0D0D0D"/>
          <w:lang w:eastAsia="en-US"/>
        </w:rPr>
        <w:t xml:space="preserve"> J Clin Oncol. 2005; </w:t>
      </w:r>
      <w:r w:rsidR="00F304B4" w:rsidRPr="00E164B4">
        <w:rPr>
          <w:color w:val="0D0D0D"/>
          <w:lang w:eastAsia="en-US"/>
        </w:rPr>
        <w:t>23</w:t>
      </w:r>
      <w:r w:rsidRPr="00E164B4">
        <w:rPr>
          <w:color w:val="0D0D0D"/>
          <w:lang w:eastAsia="en-US"/>
        </w:rPr>
        <w:t>(9)</w:t>
      </w:r>
      <w:r w:rsidR="00E164B4">
        <w:rPr>
          <w:color w:val="0D0D0D"/>
          <w:lang w:eastAsia="en-US"/>
        </w:rPr>
        <w:t>:</w:t>
      </w:r>
      <w:r w:rsidRPr="00E164B4">
        <w:rPr>
          <w:color w:val="0D0D0D"/>
          <w:lang w:eastAsia="en-US"/>
        </w:rPr>
        <w:t xml:space="preserve"> 1934-1940.</w:t>
      </w:r>
    </w:p>
    <w:p w:rsidR="00E543F5"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 xml:space="preserve">Assersohn I., Powels TJ, AshIey S, </w:t>
      </w:r>
      <w:r w:rsidR="00A866DE" w:rsidRPr="00E164B4">
        <w:rPr>
          <w:i/>
          <w:iCs/>
          <w:color w:val="0D0D0D"/>
        </w:rPr>
        <w:t>et al.</w:t>
      </w:r>
      <w:r w:rsidR="00A866DE" w:rsidRPr="00E164B4">
        <w:rPr>
          <w:color w:val="0D0D0D"/>
        </w:rPr>
        <w:t xml:space="preserve"> </w:t>
      </w:r>
      <w:r w:rsidRPr="00E164B4">
        <w:rPr>
          <w:color w:val="0D0D0D"/>
          <w:lang w:eastAsia="en-US"/>
        </w:rPr>
        <w:t>Local relapse in</w:t>
      </w:r>
      <w:r w:rsidRPr="00E164B4">
        <w:rPr>
          <w:smallCaps/>
          <w:color w:val="0D0D0D"/>
          <w:lang w:eastAsia="en-US"/>
        </w:rPr>
        <w:t xml:space="preserve"> </w:t>
      </w:r>
      <w:r w:rsidRPr="00E164B4">
        <w:rPr>
          <w:color w:val="0D0D0D"/>
          <w:lang w:eastAsia="en-US"/>
        </w:rPr>
        <w:t>primary breast cancer patients with unexcised positive surgical margins after lumpectomy, radiotherapy and cbemoendocrine therapy. Ann Oncol., 1999; 10 (12): 1451-1455</w:t>
      </w:r>
      <w:r w:rsidR="00E543F5" w:rsidRPr="00E164B4">
        <w:rPr>
          <w:color w:val="0D0D0D"/>
          <w:lang w:eastAsia="en-US"/>
        </w:rPr>
        <w:t>.</w:t>
      </w:r>
    </w:p>
    <w:p w:rsidR="0061521B"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lang w:eastAsia="en-US"/>
        </w:rPr>
        <w:t>Vinh-Hung V, Verschraegen C. Breast-conserving surgery with or without radiotherapy: pooled-analysis for risk of ipsilateral breast tumor recu</w:t>
      </w:r>
      <w:r w:rsidR="00F304B4" w:rsidRPr="00E164B4">
        <w:rPr>
          <w:color w:val="0D0D0D"/>
          <w:lang w:eastAsia="en-US"/>
        </w:rPr>
        <w:t>rrence and mortality. J Natl Ca</w:t>
      </w:r>
      <w:r w:rsidRPr="00E164B4">
        <w:rPr>
          <w:color w:val="0D0D0D"/>
          <w:lang w:eastAsia="en-US"/>
        </w:rPr>
        <w:t>ncer</w:t>
      </w:r>
      <w:r w:rsidRPr="00E164B4">
        <w:rPr>
          <w:i/>
          <w:iCs/>
          <w:color w:val="0D0D0D"/>
          <w:lang w:eastAsia="en-US"/>
        </w:rPr>
        <w:t xml:space="preserve"> </w:t>
      </w:r>
      <w:r w:rsidRPr="00E164B4">
        <w:rPr>
          <w:color w:val="0D0D0D"/>
          <w:lang w:eastAsia="en-US"/>
        </w:rPr>
        <w:t>Inst. 2004; 96 (2): 115-121.</w:t>
      </w:r>
    </w:p>
    <w:p w:rsidR="00470EDC" w:rsidRPr="00E164B4" w:rsidRDefault="00470EDC" w:rsidP="001464C0">
      <w:pPr>
        <w:widowControl/>
        <w:numPr>
          <w:ilvl w:val="0"/>
          <w:numId w:val="3"/>
        </w:numPr>
        <w:shd w:val="clear" w:color="auto" w:fill="FFFFFF"/>
        <w:snapToGrid w:val="0"/>
        <w:ind w:left="425" w:hanging="425"/>
        <w:jc w:val="both"/>
        <w:rPr>
          <w:color w:val="0D0D0D"/>
          <w:lang w:eastAsia="en-US"/>
        </w:rPr>
      </w:pPr>
      <w:r w:rsidRPr="00E164B4">
        <w:rPr>
          <w:color w:val="0D0D0D"/>
        </w:rPr>
        <w:t>Punglia</w:t>
      </w:r>
      <w:r w:rsidR="00E164B4">
        <w:rPr>
          <w:color w:val="0D0D0D"/>
        </w:rPr>
        <w:t xml:space="preserve"> </w:t>
      </w:r>
      <w:r w:rsidRPr="00E164B4">
        <w:rPr>
          <w:color w:val="0D0D0D"/>
        </w:rPr>
        <w:t xml:space="preserve">RS, Morrow M, Wirier EP, </w:t>
      </w:r>
      <w:r w:rsidR="00A866DE" w:rsidRPr="00E164B4">
        <w:rPr>
          <w:i/>
          <w:iCs/>
          <w:color w:val="0D0D0D"/>
        </w:rPr>
        <w:t>et al.</w:t>
      </w:r>
      <w:r w:rsidR="00A866DE" w:rsidRPr="00E164B4">
        <w:rPr>
          <w:color w:val="0D0D0D"/>
        </w:rPr>
        <w:t xml:space="preserve"> </w:t>
      </w:r>
      <w:r w:rsidRPr="00E164B4">
        <w:rPr>
          <w:color w:val="0D0D0D"/>
        </w:rPr>
        <w:t>Local</w:t>
      </w:r>
      <w:r w:rsidR="00E164B4">
        <w:rPr>
          <w:color w:val="0D0D0D"/>
        </w:rPr>
        <w:t xml:space="preserve"> </w:t>
      </w:r>
      <w:r w:rsidRPr="00E164B4">
        <w:rPr>
          <w:color w:val="0D0D0D"/>
        </w:rPr>
        <w:t>therapy and survival</w:t>
      </w:r>
      <w:r w:rsidR="00E164B4">
        <w:rPr>
          <w:color w:val="0D0D0D"/>
        </w:rPr>
        <w:t xml:space="preserve"> </w:t>
      </w:r>
      <w:r w:rsidRPr="00E164B4">
        <w:rPr>
          <w:color w:val="0D0D0D"/>
        </w:rPr>
        <w:t>in</w:t>
      </w:r>
      <w:r w:rsidR="00E164B4">
        <w:rPr>
          <w:color w:val="0D0D0D"/>
        </w:rPr>
        <w:t xml:space="preserve"> </w:t>
      </w:r>
      <w:r w:rsidRPr="00E164B4">
        <w:rPr>
          <w:color w:val="0D0D0D"/>
        </w:rPr>
        <w:t>breast</w:t>
      </w:r>
      <w:r w:rsidR="00E164B4">
        <w:rPr>
          <w:color w:val="0D0D0D"/>
        </w:rPr>
        <w:t xml:space="preserve"> </w:t>
      </w:r>
      <w:r w:rsidRPr="00E164B4">
        <w:rPr>
          <w:color w:val="0D0D0D"/>
        </w:rPr>
        <w:t>cancer. New</w:t>
      </w:r>
      <w:r w:rsidR="00E164B4">
        <w:rPr>
          <w:color w:val="0D0D0D"/>
        </w:rPr>
        <w:t xml:space="preserve"> </w:t>
      </w:r>
      <w:r w:rsidRPr="00E164B4">
        <w:rPr>
          <w:color w:val="0D0D0D"/>
        </w:rPr>
        <w:t>Engl</w:t>
      </w:r>
      <w:r w:rsidR="00E164B4">
        <w:rPr>
          <w:color w:val="0D0D0D"/>
        </w:rPr>
        <w:t xml:space="preserve"> </w:t>
      </w:r>
      <w:r w:rsidRPr="00E164B4">
        <w:rPr>
          <w:color w:val="0D0D0D"/>
        </w:rPr>
        <w:t>J</w:t>
      </w:r>
      <w:r w:rsidR="00E164B4">
        <w:rPr>
          <w:color w:val="0D0D0D"/>
        </w:rPr>
        <w:t xml:space="preserve"> </w:t>
      </w:r>
      <w:r w:rsidRPr="00E164B4">
        <w:rPr>
          <w:color w:val="0D0D0D"/>
        </w:rPr>
        <w:t>Med</w:t>
      </w:r>
      <w:r w:rsidR="00E164B4">
        <w:rPr>
          <w:color w:val="0D0D0D"/>
        </w:rPr>
        <w:t xml:space="preserve"> </w:t>
      </w:r>
      <w:r w:rsidRPr="00E164B4">
        <w:rPr>
          <w:color w:val="0D0D0D"/>
        </w:rPr>
        <w:t>2007; 356 (23): 2399-405.</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Dolan JT, Granchi TS, Miller CC, 3</w:t>
      </w:r>
      <w:r w:rsidRPr="00E164B4">
        <w:rPr>
          <w:color w:val="0D0D0D"/>
          <w:sz w:val="20"/>
          <w:szCs w:val="20"/>
          <w:vertAlign w:val="superscript"/>
        </w:rPr>
        <w:t>rd</w:t>
      </w:r>
      <w:r w:rsidRPr="00E164B4">
        <w:rPr>
          <w:color w:val="0D0D0D"/>
          <w:sz w:val="20"/>
          <w:szCs w:val="20"/>
        </w:rPr>
        <w:t xml:space="preserve">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Low use of breast conservation surgery in medically indigent pop</w:t>
      </w:r>
      <w:r w:rsidR="00F304B4" w:rsidRPr="00E164B4">
        <w:rPr>
          <w:color w:val="0D0D0D"/>
          <w:sz w:val="20"/>
          <w:szCs w:val="20"/>
        </w:rPr>
        <w:t>ulations. Am J Surg 1999; 178(6)</w:t>
      </w:r>
      <w:r w:rsidRPr="00E164B4">
        <w:rPr>
          <w:color w:val="0D0D0D"/>
          <w:sz w:val="20"/>
          <w:szCs w:val="20"/>
        </w:rPr>
        <w:t>:470-474.</w:t>
      </w:r>
    </w:p>
    <w:p w:rsidR="00E543F5"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Answini GA, Woodard WL, Horton HJ,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Breast conservation: trends in a major southern metropolitan area compared with surrounding rural counties. Am Surg. 2001; 67 (10):994-998.</w:t>
      </w:r>
    </w:p>
    <w:p w:rsidR="00E543F5"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Lim M, Bellon JR, Gelman R,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A prospective study of con</w:t>
      </w:r>
      <w:r w:rsidRPr="00E164B4">
        <w:rPr>
          <w:color w:val="0D0D0D"/>
          <w:sz w:val="20"/>
          <w:szCs w:val="20"/>
        </w:rPr>
        <w:softHyphen/>
        <w:t>servative surgery without radiation therapy in select patients with stage I breast cancer. Int. J Radiat Oncol Biol Phys. 2006; 65(4): 1149-1 154.</w:t>
      </w:r>
    </w:p>
    <w:p w:rsidR="00E543F5"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Holli K, Saaristo R, Isola J,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 xml:space="preserve">Lumpectomy with or without postoperative radiotherapy for </w:t>
      </w:r>
      <w:r w:rsidRPr="00E164B4">
        <w:rPr>
          <w:color w:val="0D0D0D"/>
          <w:sz w:val="20"/>
          <w:szCs w:val="20"/>
        </w:rPr>
        <w:lastRenderedPageBreak/>
        <w:t>breast cancer with favourable prognostic features: results of a randomized study. Br J Cancer. 2001;84</w:t>
      </w:r>
      <w:r w:rsidR="00E543F5" w:rsidRPr="00E164B4">
        <w:rPr>
          <w:color w:val="0D0D0D"/>
          <w:sz w:val="20"/>
          <w:szCs w:val="20"/>
        </w:rPr>
        <w:t xml:space="preserve"> </w:t>
      </w:r>
      <w:r w:rsidRPr="00E164B4">
        <w:rPr>
          <w:color w:val="0D0D0D"/>
          <w:sz w:val="20"/>
          <w:szCs w:val="20"/>
        </w:rPr>
        <w:t>(2):164-169.</w:t>
      </w:r>
    </w:p>
    <w:p w:rsidR="00E543F5"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Whelan T, Pignol JP, Julian J,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Long-term results of a randomized trial</w:t>
      </w:r>
      <w:r w:rsidR="00E164B4">
        <w:rPr>
          <w:color w:val="0D0D0D"/>
          <w:sz w:val="20"/>
          <w:szCs w:val="20"/>
        </w:rPr>
        <w:t xml:space="preserve"> </w:t>
      </w:r>
      <w:r w:rsidRPr="00E164B4">
        <w:rPr>
          <w:color w:val="0D0D0D"/>
          <w:sz w:val="20"/>
          <w:szCs w:val="20"/>
        </w:rPr>
        <w:t>of accelerated</w:t>
      </w:r>
      <w:r w:rsidR="00E164B4">
        <w:rPr>
          <w:color w:val="0D0D0D"/>
          <w:sz w:val="20"/>
          <w:szCs w:val="20"/>
        </w:rPr>
        <w:t xml:space="preserve"> </w:t>
      </w:r>
      <w:r w:rsidRPr="00E164B4">
        <w:rPr>
          <w:color w:val="0D0D0D"/>
          <w:sz w:val="20"/>
          <w:szCs w:val="20"/>
        </w:rPr>
        <w:t>hypofractionated</w:t>
      </w:r>
      <w:r w:rsidR="00E164B4">
        <w:rPr>
          <w:color w:val="0D0D0D"/>
          <w:sz w:val="20"/>
          <w:szCs w:val="20"/>
        </w:rPr>
        <w:t xml:space="preserve"> </w:t>
      </w:r>
      <w:r w:rsidRPr="00E164B4">
        <w:rPr>
          <w:color w:val="0D0D0D"/>
          <w:sz w:val="20"/>
          <w:szCs w:val="20"/>
        </w:rPr>
        <w:t>whole</w:t>
      </w:r>
      <w:r w:rsidR="00E164B4">
        <w:rPr>
          <w:color w:val="0D0D0D"/>
          <w:sz w:val="20"/>
          <w:szCs w:val="20"/>
        </w:rPr>
        <w:t xml:space="preserve"> </w:t>
      </w:r>
      <w:r w:rsidRPr="00E164B4">
        <w:rPr>
          <w:color w:val="0D0D0D"/>
          <w:sz w:val="20"/>
          <w:szCs w:val="20"/>
        </w:rPr>
        <w:t>breast irradiation following breast conserving surgery in women with node negative breast cancer. Breast Cancer Res Treat. 2007; 106 (1)</w:t>
      </w:r>
      <w:r w:rsidR="00E164B4">
        <w:rPr>
          <w:color w:val="0D0D0D"/>
          <w:sz w:val="20"/>
          <w:szCs w:val="20"/>
        </w:rPr>
        <w:t>:</w:t>
      </w:r>
      <w:r w:rsidRPr="00E164B4">
        <w:rPr>
          <w:color w:val="0D0D0D"/>
          <w:sz w:val="20"/>
          <w:szCs w:val="20"/>
        </w:rPr>
        <w:t xml:space="preserve"> S6.</w:t>
      </w:r>
    </w:p>
    <w:p w:rsidR="00470EDC" w:rsidRPr="00E164B4" w:rsidRDefault="00F304B4"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Freedman GM, Anderson PR, Goldstein L</w:t>
      </w:r>
      <w:r w:rsidR="00470EDC" w:rsidRPr="00E164B4">
        <w:rPr>
          <w:color w:val="0D0D0D"/>
          <w:sz w:val="20"/>
          <w:szCs w:val="20"/>
        </w:rPr>
        <w:t xml:space="preserve">J, </w:t>
      </w:r>
      <w:r w:rsidR="00A866DE" w:rsidRPr="00E164B4">
        <w:rPr>
          <w:i/>
          <w:iCs/>
          <w:color w:val="0D0D0D"/>
          <w:sz w:val="20"/>
          <w:szCs w:val="20"/>
        </w:rPr>
        <w:t>et al.</w:t>
      </w:r>
      <w:r w:rsidR="00A866DE" w:rsidRPr="00E164B4">
        <w:rPr>
          <w:color w:val="0D0D0D"/>
          <w:sz w:val="20"/>
          <w:szCs w:val="20"/>
        </w:rPr>
        <w:t xml:space="preserve"> </w:t>
      </w:r>
      <w:r w:rsidR="00470EDC" w:rsidRPr="00E164B4">
        <w:rPr>
          <w:color w:val="0D0D0D"/>
          <w:sz w:val="20"/>
          <w:szCs w:val="20"/>
        </w:rPr>
        <w:t xml:space="preserve">Four-week course of radiation for breast cancer using hypofractionated intensity modulated radiation therapy with an </w:t>
      </w:r>
      <w:r w:rsidRPr="00E164B4">
        <w:rPr>
          <w:color w:val="0D0D0D"/>
          <w:sz w:val="20"/>
          <w:szCs w:val="20"/>
        </w:rPr>
        <w:t>incorporated boost. Int J Radiat</w:t>
      </w:r>
      <w:r w:rsidR="00470EDC" w:rsidRPr="00E164B4">
        <w:rPr>
          <w:color w:val="0D0D0D"/>
          <w:sz w:val="20"/>
          <w:szCs w:val="20"/>
        </w:rPr>
        <w:t xml:space="preserve"> Oncol Biol Phys. 2007;68(2):347-353.</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Start Trialists' Group, Bentzen SM, Ag</w:t>
      </w:r>
      <w:r w:rsidR="00F304B4" w:rsidRPr="00E164B4">
        <w:rPr>
          <w:color w:val="0D0D0D"/>
          <w:sz w:val="20"/>
          <w:szCs w:val="20"/>
        </w:rPr>
        <w:t xml:space="preserve">rawal RK, </w:t>
      </w:r>
      <w:r w:rsidR="00A866DE" w:rsidRPr="00E164B4">
        <w:rPr>
          <w:i/>
          <w:iCs/>
          <w:color w:val="0D0D0D"/>
          <w:sz w:val="20"/>
          <w:szCs w:val="20"/>
        </w:rPr>
        <w:t>et al.</w:t>
      </w:r>
      <w:r w:rsidR="00A866DE" w:rsidRPr="00E164B4">
        <w:rPr>
          <w:color w:val="0D0D0D"/>
          <w:sz w:val="20"/>
          <w:szCs w:val="20"/>
        </w:rPr>
        <w:t xml:space="preserve"> </w:t>
      </w:r>
      <w:r w:rsidR="00F304B4" w:rsidRPr="00E164B4">
        <w:rPr>
          <w:color w:val="0D0D0D"/>
          <w:sz w:val="20"/>
          <w:szCs w:val="20"/>
        </w:rPr>
        <w:t>The UK Standardization</w:t>
      </w:r>
      <w:r w:rsidRPr="00E164B4">
        <w:rPr>
          <w:color w:val="0D0D0D"/>
          <w:sz w:val="20"/>
          <w:szCs w:val="20"/>
        </w:rPr>
        <w:t xml:space="preserve"> of Breast </w:t>
      </w:r>
      <w:r w:rsidRPr="00E164B4">
        <w:rPr>
          <w:color w:val="0D0D0D"/>
          <w:sz w:val="20"/>
          <w:szCs w:val="20"/>
        </w:rPr>
        <w:lastRenderedPageBreak/>
        <w:t>Radiotherapy (START) trial A of radio</w:t>
      </w:r>
      <w:r w:rsidRPr="00E164B4">
        <w:rPr>
          <w:color w:val="0D0D0D"/>
          <w:sz w:val="20"/>
          <w:szCs w:val="20"/>
        </w:rPr>
        <w:softHyphen/>
        <w:t>therapy hypofractio-nation for treatment of early breast cancer: a randomized trial. Lancet Oncol. 2008; 9(4):331-334.</w:t>
      </w:r>
    </w:p>
    <w:p w:rsidR="00470EDC"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 xml:space="preserve">Start Trialists’ Group, Bentzen SM, Agrawal RK, </w:t>
      </w:r>
      <w:r w:rsidR="006A7DA5" w:rsidRPr="00E164B4">
        <w:rPr>
          <w:i/>
          <w:iCs/>
          <w:color w:val="0D0D0D"/>
          <w:sz w:val="20"/>
          <w:szCs w:val="20"/>
        </w:rPr>
        <w:t>et al.</w:t>
      </w:r>
      <w:r w:rsidR="006A7DA5" w:rsidRPr="00E164B4">
        <w:rPr>
          <w:color w:val="0D0D0D"/>
          <w:sz w:val="20"/>
          <w:szCs w:val="20"/>
        </w:rPr>
        <w:t xml:space="preserve"> </w:t>
      </w:r>
      <w:r w:rsidRPr="00E164B4">
        <w:rPr>
          <w:color w:val="0D0D0D"/>
          <w:sz w:val="20"/>
          <w:szCs w:val="20"/>
        </w:rPr>
        <w:t>The UK Standardisation of Breast Radiotherapy (START) trial B of radio</w:t>
      </w:r>
      <w:r w:rsidRPr="00E164B4">
        <w:rPr>
          <w:color w:val="0D0D0D"/>
          <w:sz w:val="20"/>
          <w:szCs w:val="20"/>
        </w:rPr>
        <w:softHyphen/>
        <w:t>therapy hypofractionation for treatment of early breast cancer: a randomized trial. Lancet. 2008;371(9618):1098-l 107.</w:t>
      </w:r>
    </w:p>
    <w:p w:rsidR="001464C0" w:rsidRPr="00E164B4" w:rsidRDefault="00470EDC" w:rsidP="001464C0">
      <w:pPr>
        <w:pStyle w:val="BlockText"/>
        <w:widowControl/>
        <w:numPr>
          <w:ilvl w:val="0"/>
          <w:numId w:val="3"/>
        </w:numPr>
        <w:snapToGrid w:val="0"/>
        <w:spacing w:before="0" w:line="240" w:lineRule="auto"/>
        <w:ind w:left="425" w:right="0" w:hanging="425"/>
        <w:jc w:val="both"/>
        <w:rPr>
          <w:color w:val="0D0D0D"/>
          <w:sz w:val="20"/>
          <w:szCs w:val="20"/>
        </w:rPr>
      </w:pPr>
      <w:r w:rsidRPr="00E164B4">
        <w:rPr>
          <w:color w:val="0D0D0D"/>
          <w:sz w:val="20"/>
          <w:szCs w:val="20"/>
        </w:rPr>
        <w:t>R</w:t>
      </w:r>
      <w:r w:rsidR="00F304B4" w:rsidRPr="00E164B4">
        <w:rPr>
          <w:color w:val="0D0D0D"/>
          <w:sz w:val="20"/>
          <w:szCs w:val="20"/>
        </w:rPr>
        <w:t>omest</w:t>
      </w:r>
      <w:r w:rsidRPr="00E164B4">
        <w:rPr>
          <w:color w:val="0D0D0D"/>
          <w:sz w:val="20"/>
          <w:szCs w:val="20"/>
        </w:rPr>
        <w:t xml:space="preserve">aing P, Lehingue Y, Carrie C, </w:t>
      </w:r>
      <w:r w:rsidR="00A866DE" w:rsidRPr="00E164B4">
        <w:rPr>
          <w:i/>
          <w:iCs/>
          <w:color w:val="0D0D0D"/>
          <w:sz w:val="20"/>
          <w:szCs w:val="20"/>
        </w:rPr>
        <w:t>et al.</w:t>
      </w:r>
      <w:r w:rsidR="00A866DE" w:rsidRPr="00E164B4">
        <w:rPr>
          <w:color w:val="0D0D0D"/>
          <w:sz w:val="20"/>
          <w:szCs w:val="20"/>
        </w:rPr>
        <w:t xml:space="preserve"> </w:t>
      </w:r>
      <w:r w:rsidRPr="00E164B4">
        <w:rPr>
          <w:color w:val="0D0D0D"/>
          <w:sz w:val="20"/>
          <w:szCs w:val="20"/>
        </w:rPr>
        <w:t>Role of a 10-Gy boost in the conservative treatment of early breast cancer: results of a randomized clinical trial in Lyon, France. J Clin Oncol 1997; l5(3):963-968.</w:t>
      </w:r>
      <w:r w:rsidR="00E164B4" w:rsidRPr="00E164B4">
        <w:rPr>
          <w:rFonts w:hint="eastAsia"/>
          <w:color w:val="0D0D0D"/>
          <w:sz w:val="20"/>
          <w:szCs w:val="20"/>
          <w:lang w:eastAsia="zh-CN"/>
        </w:rPr>
        <w:t xml:space="preserve"> </w:t>
      </w:r>
    </w:p>
    <w:p w:rsidR="001464C0" w:rsidRPr="00E164B4" w:rsidRDefault="001464C0" w:rsidP="001464C0">
      <w:pPr>
        <w:widowControl/>
        <w:shd w:val="clear" w:color="auto" w:fill="FFFFFF"/>
        <w:snapToGrid w:val="0"/>
        <w:ind w:left="425" w:hanging="425"/>
        <w:jc w:val="both"/>
        <w:rPr>
          <w:color w:val="0D0D0D"/>
          <w:lang w:eastAsia="en-US"/>
        </w:rPr>
        <w:sectPr w:rsidR="001464C0" w:rsidRPr="00E164B4" w:rsidSect="003E5FC3">
          <w:headerReference w:type="even" r:id="rId29"/>
          <w:headerReference w:type="default" r:id="rId30"/>
          <w:footerReference w:type="default" r:id="rId31"/>
          <w:type w:val="continuous"/>
          <w:pgSz w:w="12242" w:h="15842" w:code="1"/>
          <w:pgMar w:top="1440" w:right="1440" w:bottom="1440" w:left="1440" w:header="720" w:footer="720" w:gutter="0"/>
          <w:cols w:num="2" w:space="567"/>
          <w:noEndnote/>
          <w:docGrid w:linePitch="272"/>
        </w:sectPr>
      </w:pPr>
    </w:p>
    <w:p w:rsidR="001464C0" w:rsidRPr="00E164B4" w:rsidRDefault="001464C0" w:rsidP="001464C0">
      <w:pPr>
        <w:widowControl/>
        <w:shd w:val="clear" w:color="auto" w:fill="FFFFFF"/>
        <w:snapToGrid w:val="0"/>
        <w:ind w:left="425" w:hanging="425"/>
        <w:jc w:val="both"/>
        <w:rPr>
          <w:color w:val="0D0D0D"/>
          <w:lang w:eastAsia="en-US"/>
        </w:rPr>
      </w:pPr>
    </w:p>
    <w:p w:rsidR="001464C0" w:rsidRPr="00E164B4" w:rsidRDefault="001464C0" w:rsidP="001464C0">
      <w:pPr>
        <w:widowControl/>
        <w:shd w:val="clear" w:color="auto" w:fill="FFFFFF"/>
        <w:snapToGrid w:val="0"/>
        <w:ind w:left="425" w:hanging="425"/>
        <w:jc w:val="both"/>
        <w:rPr>
          <w:color w:val="0D0D0D"/>
          <w:lang w:eastAsia="zh-CN"/>
        </w:rPr>
      </w:pPr>
    </w:p>
    <w:p w:rsidR="001464C0" w:rsidRPr="00E164B4" w:rsidRDefault="001464C0" w:rsidP="001464C0">
      <w:pPr>
        <w:widowControl/>
        <w:shd w:val="clear" w:color="auto" w:fill="FFFFFF"/>
        <w:snapToGrid w:val="0"/>
        <w:ind w:left="425" w:hanging="425"/>
        <w:jc w:val="both"/>
        <w:rPr>
          <w:color w:val="0D0D0D"/>
          <w:lang w:eastAsia="zh-CN"/>
        </w:rPr>
      </w:pPr>
    </w:p>
    <w:p w:rsidR="00470EDC" w:rsidRPr="00E164B4" w:rsidRDefault="00E164B4" w:rsidP="001464C0">
      <w:pPr>
        <w:widowControl/>
        <w:shd w:val="clear" w:color="auto" w:fill="FFFFFF"/>
        <w:snapToGrid w:val="0"/>
        <w:ind w:left="425" w:hanging="425"/>
        <w:jc w:val="both"/>
        <w:rPr>
          <w:color w:val="0D0D0D"/>
          <w:lang w:eastAsia="en-US"/>
        </w:rPr>
      </w:pPr>
      <w:r w:rsidRPr="00E164B4">
        <w:rPr>
          <w:rFonts w:hint="eastAsia"/>
          <w:color w:val="0D0D0D"/>
          <w:lang w:eastAsia="zh-CN"/>
        </w:rPr>
        <w:t>9</w:t>
      </w:r>
      <w:r w:rsidR="001464C0" w:rsidRPr="00E164B4">
        <w:rPr>
          <w:color w:val="0D0D0D"/>
          <w:lang w:eastAsia="en-US"/>
        </w:rPr>
        <w:t>/2</w:t>
      </w:r>
      <w:r w:rsidRPr="00E164B4">
        <w:rPr>
          <w:rFonts w:hint="eastAsia"/>
          <w:color w:val="0D0D0D"/>
          <w:lang w:eastAsia="zh-CN"/>
        </w:rPr>
        <w:t>5</w:t>
      </w:r>
      <w:r w:rsidR="001464C0" w:rsidRPr="00E164B4">
        <w:rPr>
          <w:color w:val="0D0D0D"/>
          <w:lang w:eastAsia="en-US"/>
        </w:rPr>
        <w:t>/2015</w:t>
      </w:r>
    </w:p>
    <w:sectPr w:rsidR="00470EDC" w:rsidRPr="00E164B4" w:rsidSect="003E5FC3">
      <w:headerReference w:type="even" r:id="rId32"/>
      <w:headerReference w:type="default" r:id="rId33"/>
      <w:footerReference w:type="default" r:id="rId34"/>
      <w:type w:val="continuous"/>
      <w:pgSz w:w="12242" w:h="15842" w:code="1"/>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AFC" w:rsidRDefault="00380AFC">
      <w:r>
        <w:separator/>
      </w:r>
    </w:p>
  </w:endnote>
  <w:endnote w:type="continuationSeparator" w:id="0">
    <w:p w:rsidR="00380AFC" w:rsidRDefault="0038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380AFC" w:rsidP="001464C0">
    <w:pPr>
      <w:jc w:val="center"/>
    </w:pPr>
    <w:r>
      <w:fldChar w:fldCharType="begin"/>
    </w:r>
    <w:r>
      <w:instrText xml:space="preserve"> page </w:instrText>
    </w:r>
    <w:r>
      <w:fldChar w:fldCharType="separate"/>
    </w:r>
    <w:r w:rsidR="003E5615">
      <w:rPr>
        <w:noProof/>
      </w:rPr>
      <w:t>185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380AFC" w:rsidP="001464C0">
    <w:pPr>
      <w:jc w:val="center"/>
    </w:pPr>
    <w:r>
      <w:fldChar w:fldCharType="begin"/>
    </w:r>
    <w:r>
      <w:instrText xml:space="preserve"> page </w:instrText>
    </w:r>
    <w:r>
      <w:fldChar w:fldCharType="separate"/>
    </w:r>
    <w:r w:rsidR="001464C0">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380AFC" w:rsidP="001464C0">
    <w:pPr>
      <w:jc w:val="center"/>
    </w:pPr>
    <w:r>
      <w:fldChar w:fldCharType="begin"/>
    </w:r>
    <w:r>
      <w:instrText xml:space="preserve"> page </w:instrText>
    </w:r>
    <w:r>
      <w:fldChar w:fldCharType="separate"/>
    </w:r>
    <w:r w:rsidR="001464C0">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380AFC" w:rsidP="001464C0">
    <w:pPr>
      <w:jc w:val="center"/>
    </w:pPr>
    <w:r>
      <w:fldChar w:fldCharType="begin"/>
    </w:r>
    <w:r>
      <w:instrText xml:space="preserve"> page </w:instrText>
    </w:r>
    <w:r>
      <w:fldChar w:fldCharType="separate"/>
    </w:r>
    <w:r w:rsidR="003E5615">
      <w:rPr>
        <w:noProof/>
      </w:rPr>
      <w:t>187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380AFC" w:rsidP="001464C0">
    <w:pPr>
      <w:jc w:val="center"/>
    </w:pPr>
    <w:r>
      <w:fldChar w:fldCharType="begin"/>
    </w:r>
    <w:r>
      <w:instrText xml:space="preserve"> page </w:instrText>
    </w:r>
    <w:r>
      <w:fldChar w:fldCharType="separate"/>
    </w:r>
    <w:r w:rsidR="003E5615">
      <w:rPr>
        <w:noProof/>
      </w:rPr>
      <w:t>188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380AFC" w:rsidP="001464C0">
    <w:pPr>
      <w:jc w:val="center"/>
    </w:pPr>
    <w:r>
      <w:fldChar w:fldCharType="begin"/>
    </w:r>
    <w:r>
      <w:instrText xml:space="preserve"> page </w:instrText>
    </w:r>
    <w:r>
      <w:fldChar w:fldCharType="separate"/>
    </w:r>
    <w:r w:rsidR="003E5615">
      <w:rPr>
        <w:noProof/>
      </w:rPr>
      <w:t>190</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380AFC" w:rsidP="001464C0">
    <w:pPr>
      <w:jc w:val="center"/>
    </w:pPr>
    <w:r>
      <w:fldChar w:fldCharType="begin"/>
    </w:r>
    <w:r>
      <w:instrText xml:space="preserve"> page </w:instrText>
    </w:r>
    <w:r>
      <w:fldChar w:fldCharType="separate"/>
    </w:r>
    <w:r w:rsidR="001464C0">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AFC" w:rsidRDefault="00380AFC">
      <w:r>
        <w:separator/>
      </w:r>
    </w:p>
  </w:footnote>
  <w:footnote w:type="continuationSeparator" w:id="0">
    <w:p w:rsidR="00380AFC" w:rsidRDefault="00380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Default="00C21CC6">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r w:rsidRPr="001464C0">
      <w:rPr>
        <w:iCs/>
      </w:rPr>
      <w:t>;</w:t>
    </w:r>
    <w:r w:rsidRPr="001464C0">
      <w:rPr>
        <w:rFonts w:hint="eastAsia"/>
        <w:iCs/>
      </w:rPr>
      <w:t>5</w:t>
    </w:r>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Default="00C21CC6">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r w:rsidRPr="001464C0">
      <w:rPr>
        <w:iCs/>
      </w:rPr>
      <w:t>;</w:t>
    </w:r>
    <w:r w:rsidRPr="001464C0">
      <w:rPr>
        <w:rFonts w:hint="eastAsia"/>
        <w:iCs/>
      </w:rPr>
      <w:t>5</w:t>
    </w:r>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DF" w:rsidRDefault="00C21CC6">
    <w:pPr>
      <w:pStyle w:val="Header"/>
      <w:framePr w:wrap="around" w:vAnchor="text" w:hAnchor="margin" w:xAlign="center" w:y="1"/>
      <w:rPr>
        <w:rStyle w:val="PageNumber"/>
      </w:rPr>
    </w:pPr>
    <w:r>
      <w:rPr>
        <w:rStyle w:val="PageNumber"/>
      </w:rPr>
      <w:fldChar w:fldCharType="begin"/>
    </w:r>
    <w:r w:rsidR="009B25DF">
      <w:rPr>
        <w:rStyle w:val="PageNumber"/>
      </w:rPr>
      <w:instrText xml:space="preserve">PAGE  </w:instrText>
    </w:r>
    <w:r>
      <w:rPr>
        <w:rStyle w:val="PageNumber"/>
      </w:rPr>
      <w:fldChar w:fldCharType="separate"/>
    </w:r>
    <w:r w:rsidR="009B25DF">
      <w:rPr>
        <w:rStyle w:val="PageNumber"/>
      </w:rPr>
      <w:t>1</w:t>
    </w:r>
    <w:r>
      <w:rPr>
        <w:rStyle w:val="PageNumber"/>
      </w:rPr>
      <w:fldChar w:fldCharType="end"/>
    </w:r>
  </w:p>
  <w:p w:rsidR="009B25DF" w:rsidRDefault="009B25D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r w:rsidRPr="001464C0">
      <w:rPr>
        <w:iCs/>
      </w:rPr>
      <w:t>;</w:t>
    </w:r>
    <w:r w:rsidRPr="001464C0">
      <w:rPr>
        <w:rFonts w:hint="eastAsia"/>
        <w:iCs/>
      </w:rPr>
      <w:t>5</w:t>
    </w:r>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r w:rsidRPr="001464C0">
      <w:rPr>
        <w:iCs/>
      </w:rPr>
      <w:t>;</w:t>
    </w:r>
    <w:r w:rsidRPr="001464C0">
      <w:rPr>
        <w:rFonts w:hint="eastAsia"/>
        <w:iCs/>
      </w:rPr>
      <w:t>5</w:t>
    </w:r>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Default="00C21CC6">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r w:rsidRPr="001464C0">
      <w:rPr>
        <w:iCs/>
      </w:rPr>
      <w:t>;</w:t>
    </w:r>
    <w:r w:rsidRPr="001464C0">
      <w:rPr>
        <w:rFonts w:hint="eastAsia"/>
        <w:iCs/>
      </w:rPr>
      <w:t>5</w:t>
    </w:r>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Default="00C21CC6">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r w:rsidRPr="001464C0">
      <w:rPr>
        <w:iCs/>
      </w:rPr>
      <w:t>;</w:t>
    </w:r>
    <w:r w:rsidRPr="001464C0">
      <w:rPr>
        <w:rFonts w:hint="eastAsia"/>
        <w:iCs/>
      </w:rPr>
      <w:t>5</w:t>
    </w:r>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Default="00C21CC6">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Pr="001464C0" w:rsidRDefault="001464C0" w:rsidP="001464C0">
    <w:pPr>
      <w:pBdr>
        <w:bottom w:val="thinThickMediumGap" w:sz="12" w:space="1" w:color="auto"/>
      </w:pBdr>
      <w:tabs>
        <w:tab w:val="left" w:pos="851"/>
        <w:tab w:val="right" w:pos="8364"/>
      </w:tabs>
      <w:adjustRightInd w:val="0"/>
      <w:snapToGrid w:val="0"/>
      <w:jc w:val="both"/>
      <w:rPr>
        <w:iCs/>
        <w:color w:val="0000FF"/>
      </w:rPr>
    </w:pPr>
    <w:r w:rsidRPr="001464C0">
      <w:rPr>
        <w:rFonts w:hint="eastAsia"/>
        <w:iCs/>
        <w:color w:val="000000"/>
      </w:rPr>
      <w:tab/>
    </w:r>
    <w:r w:rsidRPr="001464C0">
      <w:rPr>
        <w:iCs/>
        <w:color w:val="000000"/>
      </w:rPr>
      <w:t xml:space="preserve">Cancer Biology </w:t>
    </w:r>
    <w:r w:rsidRPr="001464C0">
      <w:rPr>
        <w:iCs/>
      </w:rPr>
      <w:t>201</w:t>
    </w:r>
    <w:r w:rsidRPr="001464C0">
      <w:rPr>
        <w:rFonts w:hint="eastAsia"/>
        <w:iCs/>
      </w:rPr>
      <w:t>5</w:t>
    </w:r>
    <w:r w:rsidRPr="001464C0">
      <w:rPr>
        <w:iCs/>
      </w:rPr>
      <w:t>;</w:t>
    </w:r>
    <w:r w:rsidRPr="001464C0">
      <w:rPr>
        <w:rFonts w:hint="eastAsia"/>
        <w:iCs/>
      </w:rPr>
      <w:t>5</w:t>
    </w:r>
    <w:r w:rsidRPr="001464C0">
      <w:rPr>
        <w:iCs/>
      </w:rPr>
      <w:t>(</w:t>
    </w:r>
    <w:r w:rsidRPr="001464C0">
      <w:rPr>
        <w:rFonts w:hint="eastAsia"/>
        <w:iCs/>
      </w:rPr>
      <w:t>3</w:t>
    </w:r>
    <w:r w:rsidRPr="001464C0">
      <w:rPr>
        <w:iCs/>
      </w:rPr>
      <w:t xml:space="preserve">)  </w:t>
    </w:r>
    <w:r w:rsidRPr="001464C0">
      <w:rPr>
        <w:rFonts w:hint="eastAsia"/>
        <w:iCs/>
      </w:rPr>
      <w:t xml:space="preserve">   </w:t>
    </w:r>
    <w:r w:rsidRPr="001464C0">
      <w:rPr>
        <w:rFonts w:hint="eastAsia"/>
        <w:iCs/>
      </w:rPr>
      <w:tab/>
      <w:t xml:space="preserve">     </w:t>
    </w:r>
    <w:r w:rsidRPr="001464C0">
      <w:rPr>
        <w:iCs/>
      </w:rPr>
      <w:t xml:space="preserve"> </w:t>
    </w:r>
    <w:r w:rsidRPr="001464C0">
      <w:t xml:space="preserve">  </w:t>
    </w:r>
    <w:hyperlink r:id="rId1" w:history="1">
      <w:r w:rsidRPr="001464C0">
        <w:rPr>
          <w:rStyle w:val="Hyperlink"/>
        </w:rPr>
        <w:t>http://www.cancerbio.net</w:t>
      </w:r>
    </w:hyperlink>
  </w:p>
  <w:p w:rsidR="001464C0" w:rsidRPr="001464C0" w:rsidRDefault="001464C0" w:rsidP="001464C0">
    <w:pPr>
      <w:tabs>
        <w:tab w:val="left" w:pos="851"/>
        <w:tab w:val="right" w:pos="8364"/>
      </w:tabs>
      <w:adjustRightInd w:val="0"/>
      <w:snapToGrid w:val="0"/>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Default="00C21CC6">
    <w:pPr>
      <w:pStyle w:val="Header"/>
      <w:framePr w:wrap="around" w:vAnchor="text" w:hAnchor="margin" w:xAlign="center" w:y="1"/>
      <w:rPr>
        <w:rStyle w:val="PageNumber"/>
      </w:rPr>
    </w:pPr>
    <w:r>
      <w:rPr>
        <w:rStyle w:val="PageNumber"/>
      </w:rPr>
      <w:fldChar w:fldCharType="begin"/>
    </w:r>
    <w:r w:rsidR="001464C0">
      <w:rPr>
        <w:rStyle w:val="PageNumber"/>
      </w:rPr>
      <w:instrText xml:space="preserve">PAGE  </w:instrText>
    </w:r>
    <w:r>
      <w:rPr>
        <w:rStyle w:val="PageNumber"/>
      </w:rPr>
      <w:fldChar w:fldCharType="separate"/>
    </w:r>
    <w:r w:rsidR="001464C0">
      <w:rPr>
        <w:rStyle w:val="PageNumber"/>
      </w:rPr>
      <w:t>1</w:t>
    </w:r>
    <w:r>
      <w:rPr>
        <w:rStyle w:val="PageNumber"/>
      </w:rPr>
      <w:fldChar w:fldCharType="end"/>
    </w:r>
  </w:p>
  <w:p w:rsidR="001464C0" w:rsidRDefault="00146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1AD2"/>
    <w:multiLevelType w:val="hybridMultilevel"/>
    <w:tmpl w:val="3A36B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86FB0"/>
    <w:multiLevelType w:val="hybridMultilevel"/>
    <w:tmpl w:val="18AC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82D62"/>
    <w:multiLevelType w:val="hybridMultilevel"/>
    <w:tmpl w:val="F6E450D0"/>
    <w:lvl w:ilvl="0" w:tplc="CF5EE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53"/>
    <w:rsid w:val="00025C26"/>
    <w:rsid w:val="000276ED"/>
    <w:rsid w:val="000B7168"/>
    <w:rsid w:val="000D3E0A"/>
    <w:rsid w:val="000E1125"/>
    <w:rsid w:val="001464C0"/>
    <w:rsid w:val="00175895"/>
    <w:rsid w:val="001B61C3"/>
    <w:rsid w:val="002910E1"/>
    <w:rsid w:val="00322C5F"/>
    <w:rsid w:val="00361BEF"/>
    <w:rsid w:val="00380AFC"/>
    <w:rsid w:val="003A2450"/>
    <w:rsid w:val="003A7E58"/>
    <w:rsid w:val="003B0EEC"/>
    <w:rsid w:val="003E5615"/>
    <w:rsid w:val="003E5FC3"/>
    <w:rsid w:val="004366CD"/>
    <w:rsid w:val="00441CBD"/>
    <w:rsid w:val="00464C10"/>
    <w:rsid w:val="00465EE1"/>
    <w:rsid w:val="00470EDC"/>
    <w:rsid w:val="004B0BFA"/>
    <w:rsid w:val="004C1A8B"/>
    <w:rsid w:val="004D6363"/>
    <w:rsid w:val="00501CED"/>
    <w:rsid w:val="00525BB3"/>
    <w:rsid w:val="00572A1B"/>
    <w:rsid w:val="005772C6"/>
    <w:rsid w:val="005B380B"/>
    <w:rsid w:val="005B4E6B"/>
    <w:rsid w:val="005C3368"/>
    <w:rsid w:val="0061521B"/>
    <w:rsid w:val="00656E16"/>
    <w:rsid w:val="00693B69"/>
    <w:rsid w:val="006A7DA5"/>
    <w:rsid w:val="00701DB1"/>
    <w:rsid w:val="00714339"/>
    <w:rsid w:val="00744E6D"/>
    <w:rsid w:val="007524D3"/>
    <w:rsid w:val="0077017D"/>
    <w:rsid w:val="007807E7"/>
    <w:rsid w:val="007A1802"/>
    <w:rsid w:val="007B72AE"/>
    <w:rsid w:val="007E0BB6"/>
    <w:rsid w:val="00821865"/>
    <w:rsid w:val="00845B26"/>
    <w:rsid w:val="008C5987"/>
    <w:rsid w:val="008E3F1C"/>
    <w:rsid w:val="008E7A49"/>
    <w:rsid w:val="00924DC7"/>
    <w:rsid w:val="00950691"/>
    <w:rsid w:val="00990C3D"/>
    <w:rsid w:val="009B25DF"/>
    <w:rsid w:val="009B647E"/>
    <w:rsid w:val="009C0D2A"/>
    <w:rsid w:val="009C6FD3"/>
    <w:rsid w:val="009D06C3"/>
    <w:rsid w:val="009E6206"/>
    <w:rsid w:val="00A20AA2"/>
    <w:rsid w:val="00A34735"/>
    <w:rsid w:val="00A34CC2"/>
    <w:rsid w:val="00A662B4"/>
    <w:rsid w:val="00A85D98"/>
    <w:rsid w:val="00A866DE"/>
    <w:rsid w:val="00B15236"/>
    <w:rsid w:val="00B50905"/>
    <w:rsid w:val="00BB1292"/>
    <w:rsid w:val="00BD4F57"/>
    <w:rsid w:val="00BF05BC"/>
    <w:rsid w:val="00C21CC6"/>
    <w:rsid w:val="00C3210F"/>
    <w:rsid w:val="00C33486"/>
    <w:rsid w:val="00C44231"/>
    <w:rsid w:val="00CB060A"/>
    <w:rsid w:val="00CE46A7"/>
    <w:rsid w:val="00CF485F"/>
    <w:rsid w:val="00D1095F"/>
    <w:rsid w:val="00D24BB1"/>
    <w:rsid w:val="00D37414"/>
    <w:rsid w:val="00D4105B"/>
    <w:rsid w:val="00D457EA"/>
    <w:rsid w:val="00D50157"/>
    <w:rsid w:val="00D93EFD"/>
    <w:rsid w:val="00DB2482"/>
    <w:rsid w:val="00DD7132"/>
    <w:rsid w:val="00E02053"/>
    <w:rsid w:val="00E164B4"/>
    <w:rsid w:val="00E350B7"/>
    <w:rsid w:val="00E4633F"/>
    <w:rsid w:val="00E543F5"/>
    <w:rsid w:val="00F304B4"/>
    <w:rsid w:val="00FC2955"/>
    <w:rsid w:val="00FD1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B1"/>
    <w:pPr>
      <w:widowControl w:val="0"/>
    </w:pPr>
    <w:rPr>
      <w:rFonts w:cs="Times New Roman"/>
      <w:snapToGrid w:val="0"/>
      <w:lang w:eastAsia="ar-SA"/>
    </w:rPr>
  </w:style>
  <w:style w:type="paragraph" w:styleId="Heading1">
    <w:name w:val="heading 1"/>
    <w:basedOn w:val="Normal"/>
    <w:next w:val="Normal"/>
    <w:qFormat/>
    <w:rsid w:val="00D24BB1"/>
    <w:pPr>
      <w:keepNext/>
      <w:shd w:val="clear" w:color="auto" w:fill="FFFFFF"/>
      <w:spacing w:line="360" w:lineRule="auto"/>
      <w:ind w:left="7"/>
      <w:outlineLvl w:val="0"/>
    </w:pPr>
    <w:rPr>
      <w:rFonts w:cs="Arial"/>
      <w:b/>
      <w:bCs/>
      <w:color w:val="000000"/>
      <w:sz w:val="32"/>
      <w:szCs w:val="19"/>
      <w:lang w:eastAsia="en-US"/>
    </w:rPr>
  </w:style>
  <w:style w:type="paragraph" w:styleId="Heading2">
    <w:name w:val="heading 2"/>
    <w:basedOn w:val="Normal"/>
    <w:next w:val="Normal"/>
    <w:qFormat/>
    <w:rsid w:val="00D24BB1"/>
    <w:pPr>
      <w:keepNext/>
      <w:spacing w:before="120" w:line="360" w:lineRule="auto"/>
      <w:jc w:val="lowKashida"/>
      <w:outlineLvl w:val="1"/>
    </w:pPr>
    <w:rPr>
      <w:b/>
      <w:bCs/>
      <w:sz w:val="32"/>
    </w:rPr>
  </w:style>
  <w:style w:type="paragraph" w:styleId="Heading3">
    <w:name w:val="heading 3"/>
    <w:basedOn w:val="Normal"/>
    <w:next w:val="Normal"/>
    <w:qFormat/>
    <w:rsid w:val="00D24BB1"/>
    <w:pPr>
      <w:keepNext/>
      <w:widowControl/>
      <w:spacing w:before="120"/>
      <w:jc w:val="lowKashida"/>
      <w:outlineLvl w:val="2"/>
    </w:pPr>
    <w:rPr>
      <w:sz w:val="24"/>
    </w:rPr>
  </w:style>
  <w:style w:type="paragraph" w:styleId="Heading4">
    <w:name w:val="heading 4"/>
    <w:basedOn w:val="Normal"/>
    <w:next w:val="Normal"/>
    <w:qFormat/>
    <w:rsid w:val="00D24BB1"/>
    <w:pPr>
      <w:keepNext/>
      <w:widowControl/>
      <w:spacing w:before="120"/>
      <w:jc w:val="center"/>
      <w:outlineLvl w:val="3"/>
    </w:pPr>
    <w:rPr>
      <w:sz w:val="24"/>
    </w:rPr>
  </w:style>
  <w:style w:type="paragraph" w:styleId="Heading5">
    <w:name w:val="heading 5"/>
    <w:basedOn w:val="Normal"/>
    <w:next w:val="Normal"/>
    <w:qFormat/>
    <w:rsid w:val="00D24BB1"/>
    <w:pPr>
      <w:keepNext/>
      <w:widowControl/>
      <w:spacing w:before="120" w:line="360" w:lineRule="auto"/>
      <w:jc w:val="lowKashida"/>
      <w:outlineLvl w:val="4"/>
    </w:pPr>
    <w:rPr>
      <w:sz w:val="32"/>
    </w:rPr>
  </w:style>
  <w:style w:type="paragraph" w:styleId="Heading6">
    <w:name w:val="heading 6"/>
    <w:basedOn w:val="Normal"/>
    <w:next w:val="Normal"/>
    <w:qFormat/>
    <w:rsid w:val="00D24BB1"/>
    <w:pPr>
      <w:keepNext/>
      <w:widowControl/>
      <w:spacing w:before="120"/>
      <w:jc w:val="center"/>
      <w:outlineLvl w:val="5"/>
    </w:pPr>
    <w:rPr>
      <w:sz w:val="28"/>
    </w:rPr>
  </w:style>
  <w:style w:type="paragraph" w:styleId="Heading7">
    <w:name w:val="heading 7"/>
    <w:basedOn w:val="Normal"/>
    <w:next w:val="Normal"/>
    <w:qFormat/>
    <w:rsid w:val="00D24BB1"/>
    <w:pPr>
      <w:keepNext/>
      <w:widowControl/>
      <w:spacing w:before="120" w:line="360" w:lineRule="auto"/>
      <w:jc w:val="center"/>
      <w:outlineLvl w:val="6"/>
    </w:pPr>
    <w:rPr>
      <w:b/>
      <w:bCs/>
      <w:sz w:val="32"/>
    </w:rPr>
  </w:style>
  <w:style w:type="paragraph" w:styleId="Heading8">
    <w:name w:val="heading 8"/>
    <w:basedOn w:val="Normal"/>
    <w:next w:val="Normal"/>
    <w:qFormat/>
    <w:rsid w:val="00D24BB1"/>
    <w:pPr>
      <w:keepNext/>
      <w:widowControl/>
      <w:spacing w:before="120"/>
      <w:jc w:val="center"/>
      <w:outlineLvl w:val="7"/>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24BB1"/>
    <w:pPr>
      <w:shd w:val="clear" w:color="auto" w:fill="FFFFFF"/>
      <w:spacing w:line="360" w:lineRule="auto"/>
      <w:ind w:left="426" w:hanging="426"/>
      <w:jc w:val="lowKashida"/>
    </w:pPr>
    <w:rPr>
      <w:color w:val="000000"/>
      <w:sz w:val="32"/>
      <w:szCs w:val="15"/>
      <w:lang w:eastAsia="en-US"/>
    </w:rPr>
  </w:style>
  <w:style w:type="paragraph" w:styleId="BodyText">
    <w:name w:val="Body Text"/>
    <w:basedOn w:val="Normal"/>
    <w:semiHidden/>
    <w:rsid w:val="00D24BB1"/>
    <w:pPr>
      <w:shd w:val="clear" w:color="auto" w:fill="FFFFFF"/>
      <w:spacing w:before="120" w:line="360" w:lineRule="auto"/>
      <w:jc w:val="lowKashida"/>
    </w:pPr>
    <w:rPr>
      <w:color w:val="000000"/>
      <w:sz w:val="32"/>
      <w:szCs w:val="16"/>
      <w:lang w:eastAsia="en-US"/>
    </w:rPr>
  </w:style>
  <w:style w:type="paragraph" w:styleId="BlockText">
    <w:name w:val="Block Text"/>
    <w:basedOn w:val="Normal"/>
    <w:semiHidden/>
    <w:rsid w:val="00D24BB1"/>
    <w:pPr>
      <w:shd w:val="clear" w:color="auto" w:fill="FFFFFF"/>
      <w:spacing w:before="120" w:line="360" w:lineRule="auto"/>
      <w:ind w:left="426" w:right="10" w:hanging="426"/>
      <w:jc w:val="lowKashida"/>
    </w:pPr>
    <w:rPr>
      <w:color w:val="000000"/>
      <w:sz w:val="32"/>
      <w:szCs w:val="16"/>
      <w:lang w:eastAsia="en-US"/>
    </w:rPr>
  </w:style>
  <w:style w:type="paragraph" w:styleId="BodyText2">
    <w:name w:val="Body Text 2"/>
    <w:basedOn w:val="Normal"/>
    <w:semiHidden/>
    <w:rsid w:val="00D24BB1"/>
    <w:pPr>
      <w:shd w:val="clear" w:color="auto" w:fill="FFFFFF"/>
      <w:spacing w:line="360" w:lineRule="auto"/>
      <w:jc w:val="lowKashida"/>
    </w:pPr>
    <w:rPr>
      <w:color w:val="000000"/>
      <w:sz w:val="32"/>
      <w:szCs w:val="15"/>
      <w:lang w:eastAsia="en-US"/>
    </w:rPr>
  </w:style>
  <w:style w:type="paragraph" w:styleId="BodyTextIndent2">
    <w:name w:val="Body Text Indent 2"/>
    <w:basedOn w:val="Normal"/>
    <w:semiHidden/>
    <w:rsid w:val="00D24BB1"/>
    <w:pPr>
      <w:shd w:val="clear" w:color="auto" w:fill="FFFFFF"/>
      <w:spacing w:before="120" w:line="360" w:lineRule="auto"/>
      <w:ind w:left="567" w:hanging="567"/>
      <w:jc w:val="lowKashida"/>
    </w:pPr>
    <w:rPr>
      <w:color w:val="000000"/>
      <w:sz w:val="32"/>
      <w:szCs w:val="15"/>
      <w:lang w:eastAsia="en-US"/>
    </w:rPr>
  </w:style>
  <w:style w:type="paragraph" w:styleId="BodyText3">
    <w:name w:val="Body Text 3"/>
    <w:basedOn w:val="Normal"/>
    <w:semiHidden/>
    <w:rsid w:val="00D24BB1"/>
    <w:pPr>
      <w:spacing w:before="240" w:line="360" w:lineRule="auto"/>
      <w:jc w:val="lowKashida"/>
    </w:pPr>
    <w:rPr>
      <w:sz w:val="28"/>
    </w:rPr>
  </w:style>
  <w:style w:type="paragraph" w:styleId="Caption">
    <w:name w:val="caption"/>
    <w:basedOn w:val="Normal"/>
    <w:next w:val="Normal"/>
    <w:qFormat/>
    <w:rsid w:val="00D24BB1"/>
    <w:pPr>
      <w:spacing w:before="120" w:line="360" w:lineRule="auto"/>
      <w:jc w:val="center"/>
    </w:pPr>
    <w:rPr>
      <w:sz w:val="32"/>
    </w:rPr>
  </w:style>
  <w:style w:type="paragraph" w:styleId="BodyTextIndent3">
    <w:name w:val="Body Text Indent 3"/>
    <w:basedOn w:val="Normal"/>
    <w:semiHidden/>
    <w:rsid w:val="00D24BB1"/>
    <w:pPr>
      <w:widowControl/>
      <w:shd w:val="clear" w:color="auto" w:fill="FFFFFF"/>
      <w:spacing w:before="120" w:line="360" w:lineRule="auto"/>
      <w:ind w:left="567" w:hanging="557"/>
    </w:pPr>
    <w:rPr>
      <w:color w:val="000000"/>
      <w:sz w:val="32"/>
      <w:szCs w:val="15"/>
      <w:lang w:eastAsia="en-US"/>
    </w:rPr>
  </w:style>
  <w:style w:type="paragraph" w:styleId="Header">
    <w:name w:val="header"/>
    <w:basedOn w:val="Normal"/>
    <w:semiHidden/>
    <w:rsid w:val="00D24BB1"/>
    <w:pPr>
      <w:tabs>
        <w:tab w:val="center" w:pos="4153"/>
        <w:tab w:val="right" w:pos="8306"/>
      </w:tabs>
    </w:pPr>
    <w:rPr>
      <w:szCs w:val="24"/>
    </w:rPr>
  </w:style>
  <w:style w:type="character" w:styleId="PageNumber">
    <w:name w:val="page number"/>
    <w:basedOn w:val="DefaultParagraphFont"/>
    <w:semiHidden/>
    <w:rsid w:val="00D24BB1"/>
  </w:style>
  <w:style w:type="paragraph" w:styleId="Footer">
    <w:name w:val="footer"/>
    <w:basedOn w:val="Normal"/>
    <w:semiHidden/>
    <w:rsid w:val="00D24BB1"/>
    <w:pPr>
      <w:tabs>
        <w:tab w:val="center" w:pos="4153"/>
        <w:tab w:val="right" w:pos="8306"/>
      </w:tabs>
    </w:pPr>
    <w:rPr>
      <w:szCs w:val="24"/>
    </w:rPr>
  </w:style>
  <w:style w:type="paragraph" w:styleId="NoSpacing">
    <w:name w:val="No Spacing"/>
    <w:link w:val="NoSpacingChar"/>
    <w:qFormat/>
    <w:rsid w:val="0061521B"/>
    <w:pPr>
      <w:bidi/>
    </w:pPr>
    <w:rPr>
      <w:rFonts w:ascii="Calibri" w:eastAsia="Calibri" w:hAnsi="Calibri" w:cs="Arial"/>
      <w:sz w:val="22"/>
      <w:szCs w:val="22"/>
    </w:rPr>
  </w:style>
  <w:style w:type="character" w:styleId="Hyperlink">
    <w:name w:val="Hyperlink"/>
    <w:rsid w:val="0061521B"/>
    <w:rPr>
      <w:color w:val="0000FF"/>
      <w:u w:val="single"/>
    </w:rPr>
  </w:style>
  <w:style w:type="character" w:customStyle="1" w:styleId="NoSpacingChar">
    <w:name w:val="No Spacing Char"/>
    <w:link w:val="NoSpacing"/>
    <w:rsid w:val="0061521B"/>
    <w:rPr>
      <w:rFonts w:ascii="Calibri" w:eastAsia="Calibri" w:hAnsi="Calibri" w:cs="Arial"/>
      <w:sz w:val="22"/>
      <w:szCs w:val="22"/>
      <w:lang w:val="en-US" w:eastAsia="en-US" w:bidi="ar-SA"/>
    </w:rPr>
  </w:style>
  <w:style w:type="character" w:customStyle="1" w:styleId="msonormal0">
    <w:name w:val="msonormal0"/>
    <w:rsid w:val="0061521B"/>
  </w:style>
  <w:style w:type="character" w:customStyle="1" w:styleId="Absatz-Standardschriftart">
    <w:name w:val="Absatz-Standardschriftart"/>
    <w:rsid w:val="0061521B"/>
  </w:style>
  <w:style w:type="character" w:styleId="CommentReference">
    <w:name w:val="annotation reference"/>
    <w:uiPriority w:val="99"/>
    <w:semiHidden/>
    <w:unhideWhenUsed/>
    <w:rsid w:val="00BF05BC"/>
    <w:rPr>
      <w:sz w:val="16"/>
      <w:szCs w:val="16"/>
    </w:rPr>
  </w:style>
  <w:style w:type="paragraph" w:styleId="CommentText">
    <w:name w:val="annotation text"/>
    <w:basedOn w:val="Normal"/>
    <w:link w:val="CommentTextChar"/>
    <w:uiPriority w:val="99"/>
    <w:semiHidden/>
    <w:unhideWhenUsed/>
    <w:rsid w:val="00BF05BC"/>
    <w:rPr>
      <w:snapToGrid/>
    </w:rPr>
  </w:style>
  <w:style w:type="character" w:customStyle="1" w:styleId="CommentTextChar">
    <w:name w:val="Comment Text Char"/>
    <w:link w:val="CommentText"/>
    <w:uiPriority w:val="99"/>
    <w:semiHidden/>
    <w:rsid w:val="00BF05BC"/>
    <w:rPr>
      <w:rFonts w:cs="Times New Roman"/>
      <w:snapToGrid/>
      <w:lang w:eastAsia="ar-SA"/>
    </w:rPr>
  </w:style>
  <w:style w:type="paragraph" w:styleId="CommentSubject">
    <w:name w:val="annotation subject"/>
    <w:basedOn w:val="CommentText"/>
    <w:next w:val="CommentText"/>
    <w:link w:val="CommentSubjectChar"/>
    <w:uiPriority w:val="99"/>
    <w:semiHidden/>
    <w:unhideWhenUsed/>
    <w:rsid w:val="00BF05BC"/>
    <w:rPr>
      <w:b/>
      <w:bCs/>
    </w:rPr>
  </w:style>
  <w:style w:type="character" w:customStyle="1" w:styleId="CommentSubjectChar">
    <w:name w:val="Comment Subject Char"/>
    <w:link w:val="CommentSubject"/>
    <w:uiPriority w:val="99"/>
    <w:semiHidden/>
    <w:rsid w:val="00BF05BC"/>
    <w:rPr>
      <w:rFonts w:cs="Times New Roman"/>
      <w:b/>
      <w:bCs/>
      <w:snapToGrid/>
      <w:lang w:eastAsia="ar-SA"/>
    </w:rPr>
  </w:style>
  <w:style w:type="paragraph" w:styleId="BalloonText">
    <w:name w:val="Balloon Text"/>
    <w:basedOn w:val="Normal"/>
    <w:link w:val="BalloonTextChar"/>
    <w:uiPriority w:val="99"/>
    <w:semiHidden/>
    <w:unhideWhenUsed/>
    <w:rsid w:val="00BF05BC"/>
    <w:rPr>
      <w:rFonts w:ascii="Tahoma" w:hAnsi="Tahoma"/>
      <w:snapToGrid/>
      <w:sz w:val="16"/>
      <w:szCs w:val="16"/>
    </w:rPr>
  </w:style>
  <w:style w:type="character" w:customStyle="1" w:styleId="BalloonTextChar">
    <w:name w:val="Balloon Text Char"/>
    <w:link w:val="BalloonText"/>
    <w:uiPriority w:val="99"/>
    <w:semiHidden/>
    <w:rsid w:val="00BF05BC"/>
    <w:rPr>
      <w:rFonts w:ascii="Tahoma" w:hAnsi="Tahoma" w:cs="Tahoma"/>
      <w:snapToGrid/>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B1"/>
    <w:pPr>
      <w:widowControl w:val="0"/>
    </w:pPr>
    <w:rPr>
      <w:rFonts w:cs="Times New Roman"/>
      <w:snapToGrid w:val="0"/>
      <w:lang w:eastAsia="ar-SA"/>
    </w:rPr>
  </w:style>
  <w:style w:type="paragraph" w:styleId="Heading1">
    <w:name w:val="heading 1"/>
    <w:basedOn w:val="Normal"/>
    <w:next w:val="Normal"/>
    <w:qFormat/>
    <w:rsid w:val="00D24BB1"/>
    <w:pPr>
      <w:keepNext/>
      <w:shd w:val="clear" w:color="auto" w:fill="FFFFFF"/>
      <w:spacing w:line="360" w:lineRule="auto"/>
      <w:ind w:left="7"/>
      <w:outlineLvl w:val="0"/>
    </w:pPr>
    <w:rPr>
      <w:rFonts w:cs="Arial"/>
      <w:b/>
      <w:bCs/>
      <w:color w:val="000000"/>
      <w:sz w:val="32"/>
      <w:szCs w:val="19"/>
      <w:lang w:eastAsia="en-US"/>
    </w:rPr>
  </w:style>
  <w:style w:type="paragraph" w:styleId="Heading2">
    <w:name w:val="heading 2"/>
    <w:basedOn w:val="Normal"/>
    <w:next w:val="Normal"/>
    <w:qFormat/>
    <w:rsid w:val="00D24BB1"/>
    <w:pPr>
      <w:keepNext/>
      <w:spacing w:before="120" w:line="360" w:lineRule="auto"/>
      <w:jc w:val="lowKashida"/>
      <w:outlineLvl w:val="1"/>
    </w:pPr>
    <w:rPr>
      <w:b/>
      <w:bCs/>
      <w:sz w:val="32"/>
    </w:rPr>
  </w:style>
  <w:style w:type="paragraph" w:styleId="Heading3">
    <w:name w:val="heading 3"/>
    <w:basedOn w:val="Normal"/>
    <w:next w:val="Normal"/>
    <w:qFormat/>
    <w:rsid w:val="00D24BB1"/>
    <w:pPr>
      <w:keepNext/>
      <w:widowControl/>
      <w:spacing w:before="120"/>
      <w:jc w:val="lowKashida"/>
      <w:outlineLvl w:val="2"/>
    </w:pPr>
    <w:rPr>
      <w:sz w:val="24"/>
    </w:rPr>
  </w:style>
  <w:style w:type="paragraph" w:styleId="Heading4">
    <w:name w:val="heading 4"/>
    <w:basedOn w:val="Normal"/>
    <w:next w:val="Normal"/>
    <w:qFormat/>
    <w:rsid w:val="00D24BB1"/>
    <w:pPr>
      <w:keepNext/>
      <w:widowControl/>
      <w:spacing w:before="120"/>
      <w:jc w:val="center"/>
      <w:outlineLvl w:val="3"/>
    </w:pPr>
    <w:rPr>
      <w:sz w:val="24"/>
    </w:rPr>
  </w:style>
  <w:style w:type="paragraph" w:styleId="Heading5">
    <w:name w:val="heading 5"/>
    <w:basedOn w:val="Normal"/>
    <w:next w:val="Normal"/>
    <w:qFormat/>
    <w:rsid w:val="00D24BB1"/>
    <w:pPr>
      <w:keepNext/>
      <w:widowControl/>
      <w:spacing w:before="120" w:line="360" w:lineRule="auto"/>
      <w:jc w:val="lowKashida"/>
      <w:outlineLvl w:val="4"/>
    </w:pPr>
    <w:rPr>
      <w:sz w:val="32"/>
    </w:rPr>
  </w:style>
  <w:style w:type="paragraph" w:styleId="Heading6">
    <w:name w:val="heading 6"/>
    <w:basedOn w:val="Normal"/>
    <w:next w:val="Normal"/>
    <w:qFormat/>
    <w:rsid w:val="00D24BB1"/>
    <w:pPr>
      <w:keepNext/>
      <w:widowControl/>
      <w:spacing w:before="120"/>
      <w:jc w:val="center"/>
      <w:outlineLvl w:val="5"/>
    </w:pPr>
    <w:rPr>
      <w:sz w:val="28"/>
    </w:rPr>
  </w:style>
  <w:style w:type="paragraph" w:styleId="Heading7">
    <w:name w:val="heading 7"/>
    <w:basedOn w:val="Normal"/>
    <w:next w:val="Normal"/>
    <w:qFormat/>
    <w:rsid w:val="00D24BB1"/>
    <w:pPr>
      <w:keepNext/>
      <w:widowControl/>
      <w:spacing w:before="120" w:line="360" w:lineRule="auto"/>
      <w:jc w:val="center"/>
      <w:outlineLvl w:val="6"/>
    </w:pPr>
    <w:rPr>
      <w:b/>
      <w:bCs/>
      <w:sz w:val="32"/>
    </w:rPr>
  </w:style>
  <w:style w:type="paragraph" w:styleId="Heading8">
    <w:name w:val="heading 8"/>
    <w:basedOn w:val="Normal"/>
    <w:next w:val="Normal"/>
    <w:qFormat/>
    <w:rsid w:val="00D24BB1"/>
    <w:pPr>
      <w:keepNext/>
      <w:widowControl/>
      <w:spacing w:before="120"/>
      <w:jc w:val="center"/>
      <w:outlineLvl w:val="7"/>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24BB1"/>
    <w:pPr>
      <w:shd w:val="clear" w:color="auto" w:fill="FFFFFF"/>
      <w:spacing w:line="360" w:lineRule="auto"/>
      <w:ind w:left="426" w:hanging="426"/>
      <w:jc w:val="lowKashida"/>
    </w:pPr>
    <w:rPr>
      <w:color w:val="000000"/>
      <w:sz w:val="32"/>
      <w:szCs w:val="15"/>
      <w:lang w:eastAsia="en-US"/>
    </w:rPr>
  </w:style>
  <w:style w:type="paragraph" w:styleId="BodyText">
    <w:name w:val="Body Text"/>
    <w:basedOn w:val="Normal"/>
    <w:semiHidden/>
    <w:rsid w:val="00D24BB1"/>
    <w:pPr>
      <w:shd w:val="clear" w:color="auto" w:fill="FFFFFF"/>
      <w:spacing w:before="120" w:line="360" w:lineRule="auto"/>
      <w:jc w:val="lowKashida"/>
    </w:pPr>
    <w:rPr>
      <w:color w:val="000000"/>
      <w:sz w:val="32"/>
      <w:szCs w:val="16"/>
      <w:lang w:eastAsia="en-US"/>
    </w:rPr>
  </w:style>
  <w:style w:type="paragraph" w:styleId="BlockText">
    <w:name w:val="Block Text"/>
    <w:basedOn w:val="Normal"/>
    <w:semiHidden/>
    <w:rsid w:val="00D24BB1"/>
    <w:pPr>
      <w:shd w:val="clear" w:color="auto" w:fill="FFFFFF"/>
      <w:spacing w:before="120" w:line="360" w:lineRule="auto"/>
      <w:ind w:left="426" w:right="10" w:hanging="426"/>
      <w:jc w:val="lowKashida"/>
    </w:pPr>
    <w:rPr>
      <w:color w:val="000000"/>
      <w:sz w:val="32"/>
      <w:szCs w:val="16"/>
      <w:lang w:eastAsia="en-US"/>
    </w:rPr>
  </w:style>
  <w:style w:type="paragraph" w:styleId="BodyText2">
    <w:name w:val="Body Text 2"/>
    <w:basedOn w:val="Normal"/>
    <w:semiHidden/>
    <w:rsid w:val="00D24BB1"/>
    <w:pPr>
      <w:shd w:val="clear" w:color="auto" w:fill="FFFFFF"/>
      <w:spacing w:line="360" w:lineRule="auto"/>
      <w:jc w:val="lowKashida"/>
    </w:pPr>
    <w:rPr>
      <w:color w:val="000000"/>
      <w:sz w:val="32"/>
      <w:szCs w:val="15"/>
      <w:lang w:eastAsia="en-US"/>
    </w:rPr>
  </w:style>
  <w:style w:type="paragraph" w:styleId="BodyTextIndent2">
    <w:name w:val="Body Text Indent 2"/>
    <w:basedOn w:val="Normal"/>
    <w:semiHidden/>
    <w:rsid w:val="00D24BB1"/>
    <w:pPr>
      <w:shd w:val="clear" w:color="auto" w:fill="FFFFFF"/>
      <w:spacing w:before="120" w:line="360" w:lineRule="auto"/>
      <w:ind w:left="567" w:hanging="567"/>
      <w:jc w:val="lowKashida"/>
    </w:pPr>
    <w:rPr>
      <w:color w:val="000000"/>
      <w:sz w:val="32"/>
      <w:szCs w:val="15"/>
      <w:lang w:eastAsia="en-US"/>
    </w:rPr>
  </w:style>
  <w:style w:type="paragraph" w:styleId="BodyText3">
    <w:name w:val="Body Text 3"/>
    <w:basedOn w:val="Normal"/>
    <w:semiHidden/>
    <w:rsid w:val="00D24BB1"/>
    <w:pPr>
      <w:spacing w:before="240" w:line="360" w:lineRule="auto"/>
      <w:jc w:val="lowKashida"/>
    </w:pPr>
    <w:rPr>
      <w:sz w:val="28"/>
    </w:rPr>
  </w:style>
  <w:style w:type="paragraph" w:styleId="Caption">
    <w:name w:val="caption"/>
    <w:basedOn w:val="Normal"/>
    <w:next w:val="Normal"/>
    <w:qFormat/>
    <w:rsid w:val="00D24BB1"/>
    <w:pPr>
      <w:spacing w:before="120" w:line="360" w:lineRule="auto"/>
      <w:jc w:val="center"/>
    </w:pPr>
    <w:rPr>
      <w:sz w:val="32"/>
    </w:rPr>
  </w:style>
  <w:style w:type="paragraph" w:styleId="BodyTextIndent3">
    <w:name w:val="Body Text Indent 3"/>
    <w:basedOn w:val="Normal"/>
    <w:semiHidden/>
    <w:rsid w:val="00D24BB1"/>
    <w:pPr>
      <w:widowControl/>
      <w:shd w:val="clear" w:color="auto" w:fill="FFFFFF"/>
      <w:spacing w:before="120" w:line="360" w:lineRule="auto"/>
      <w:ind w:left="567" w:hanging="557"/>
    </w:pPr>
    <w:rPr>
      <w:color w:val="000000"/>
      <w:sz w:val="32"/>
      <w:szCs w:val="15"/>
      <w:lang w:eastAsia="en-US"/>
    </w:rPr>
  </w:style>
  <w:style w:type="paragraph" w:styleId="Header">
    <w:name w:val="header"/>
    <w:basedOn w:val="Normal"/>
    <w:semiHidden/>
    <w:rsid w:val="00D24BB1"/>
    <w:pPr>
      <w:tabs>
        <w:tab w:val="center" w:pos="4153"/>
        <w:tab w:val="right" w:pos="8306"/>
      </w:tabs>
    </w:pPr>
    <w:rPr>
      <w:szCs w:val="24"/>
    </w:rPr>
  </w:style>
  <w:style w:type="character" w:styleId="PageNumber">
    <w:name w:val="page number"/>
    <w:basedOn w:val="DefaultParagraphFont"/>
    <w:semiHidden/>
    <w:rsid w:val="00D24BB1"/>
  </w:style>
  <w:style w:type="paragraph" w:styleId="Footer">
    <w:name w:val="footer"/>
    <w:basedOn w:val="Normal"/>
    <w:semiHidden/>
    <w:rsid w:val="00D24BB1"/>
    <w:pPr>
      <w:tabs>
        <w:tab w:val="center" w:pos="4153"/>
        <w:tab w:val="right" w:pos="8306"/>
      </w:tabs>
    </w:pPr>
    <w:rPr>
      <w:szCs w:val="24"/>
    </w:rPr>
  </w:style>
  <w:style w:type="paragraph" w:styleId="NoSpacing">
    <w:name w:val="No Spacing"/>
    <w:link w:val="NoSpacingChar"/>
    <w:qFormat/>
    <w:rsid w:val="0061521B"/>
    <w:pPr>
      <w:bidi/>
    </w:pPr>
    <w:rPr>
      <w:rFonts w:ascii="Calibri" w:eastAsia="Calibri" w:hAnsi="Calibri" w:cs="Arial"/>
      <w:sz w:val="22"/>
      <w:szCs w:val="22"/>
    </w:rPr>
  </w:style>
  <w:style w:type="character" w:styleId="Hyperlink">
    <w:name w:val="Hyperlink"/>
    <w:rsid w:val="0061521B"/>
    <w:rPr>
      <w:color w:val="0000FF"/>
      <w:u w:val="single"/>
    </w:rPr>
  </w:style>
  <w:style w:type="character" w:customStyle="1" w:styleId="NoSpacingChar">
    <w:name w:val="No Spacing Char"/>
    <w:link w:val="NoSpacing"/>
    <w:rsid w:val="0061521B"/>
    <w:rPr>
      <w:rFonts w:ascii="Calibri" w:eastAsia="Calibri" w:hAnsi="Calibri" w:cs="Arial"/>
      <w:sz w:val="22"/>
      <w:szCs w:val="22"/>
      <w:lang w:val="en-US" w:eastAsia="en-US" w:bidi="ar-SA"/>
    </w:rPr>
  </w:style>
  <w:style w:type="character" w:customStyle="1" w:styleId="msonormal0">
    <w:name w:val="msonormal0"/>
    <w:rsid w:val="0061521B"/>
  </w:style>
  <w:style w:type="character" w:customStyle="1" w:styleId="Absatz-Standardschriftart">
    <w:name w:val="Absatz-Standardschriftart"/>
    <w:rsid w:val="0061521B"/>
  </w:style>
  <w:style w:type="character" w:styleId="CommentReference">
    <w:name w:val="annotation reference"/>
    <w:uiPriority w:val="99"/>
    <w:semiHidden/>
    <w:unhideWhenUsed/>
    <w:rsid w:val="00BF05BC"/>
    <w:rPr>
      <w:sz w:val="16"/>
      <w:szCs w:val="16"/>
    </w:rPr>
  </w:style>
  <w:style w:type="paragraph" w:styleId="CommentText">
    <w:name w:val="annotation text"/>
    <w:basedOn w:val="Normal"/>
    <w:link w:val="CommentTextChar"/>
    <w:uiPriority w:val="99"/>
    <w:semiHidden/>
    <w:unhideWhenUsed/>
    <w:rsid w:val="00BF05BC"/>
    <w:rPr>
      <w:snapToGrid/>
    </w:rPr>
  </w:style>
  <w:style w:type="character" w:customStyle="1" w:styleId="CommentTextChar">
    <w:name w:val="Comment Text Char"/>
    <w:link w:val="CommentText"/>
    <w:uiPriority w:val="99"/>
    <w:semiHidden/>
    <w:rsid w:val="00BF05BC"/>
    <w:rPr>
      <w:rFonts w:cs="Times New Roman"/>
      <w:snapToGrid/>
      <w:lang w:eastAsia="ar-SA"/>
    </w:rPr>
  </w:style>
  <w:style w:type="paragraph" w:styleId="CommentSubject">
    <w:name w:val="annotation subject"/>
    <w:basedOn w:val="CommentText"/>
    <w:next w:val="CommentText"/>
    <w:link w:val="CommentSubjectChar"/>
    <w:uiPriority w:val="99"/>
    <w:semiHidden/>
    <w:unhideWhenUsed/>
    <w:rsid w:val="00BF05BC"/>
    <w:rPr>
      <w:b/>
      <w:bCs/>
    </w:rPr>
  </w:style>
  <w:style w:type="character" w:customStyle="1" w:styleId="CommentSubjectChar">
    <w:name w:val="Comment Subject Char"/>
    <w:link w:val="CommentSubject"/>
    <w:uiPriority w:val="99"/>
    <w:semiHidden/>
    <w:rsid w:val="00BF05BC"/>
    <w:rPr>
      <w:rFonts w:cs="Times New Roman"/>
      <w:b/>
      <w:bCs/>
      <w:snapToGrid/>
      <w:lang w:eastAsia="ar-SA"/>
    </w:rPr>
  </w:style>
  <w:style w:type="paragraph" w:styleId="BalloonText">
    <w:name w:val="Balloon Text"/>
    <w:basedOn w:val="Normal"/>
    <w:link w:val="BalloonTextChar"/>
    <w:uiPriority w:val="99"/>
    <w:semiHidden/>
    <w:unhideWhenUsed/>
    <w:rsid w:val="00BF05BC"/>
    <w:rPr>
      <w:rFonts w:ascii="Tahoma" w:hAnsi="Tahoma"/>
      <w:snapToGrid/>
      <w:sz w:val="16"/>
      <w:szCs w:val="16"/>
    </w:rPr>
  </w:style>
  <w:style w:type="character" w:customStyle="1" w:styleId="BalloonTextChar">
    <w:name w:val="Balloon Text Char"/>
    <w:link w:val="BalloonText"/>
    <w:uiPriority w:val="99"/>
    <w:semiHidden/>
    <w:rsid w:val="00BF05BC"/>
    <w:rPr>
      <w:rFonts w:ascii="Tahoma" w:hAnsi="Tahoma" w:cs="Tahoma"/>
      <w:snapToGrid/>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50315.16" TargetMode="Externa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www.cancerbio.net" TargetMode="External"/><Relationship Id="rId19" Type="http://schemas.openxmlformats.org/officeDocument/2006/relationships/header" Target="header6.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mailto:ahosainy40@yahoo.com" TargetMode="Externa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51851851851853"/>
          <c:y val="0.16015625"/>
          <c:w val="0.72222222222222221"/>
          <c:h val="0.62109375"/>
        </c:manualLayout>
      </c:layout>
      <c:lineChart>
        <c:grouping val="standard"/>
        <c:varyColors val="0"/>
        <c:ser>
          <c:idx val="4"/>
          <c:order val="0"/>
          <c:tx>
            <c:strRef>
              <c:f>Sheet1!$A$2</c:f>
              <c:strCache>
                <c:ptCount val="1"/>
                <c:pt idx="0">
                  <c:v>B</c:v>
                </c:pt>
              </c:strCache>
            </c:strRef>
          </c:tx>
          <c:spPr>
            <a:ln w="21413">
              <a:solidFill>
                <a:srgbClr val="0000FF"/>
              </a:solidFill>
              <a:prstDash val="solid"/>
            </a:ln>
          </c:spPr>
          <c:marker>
            <c:symbol val="none"/>
          </c:marker>
          <c:dLbls>
            <c:delete val="1"/>
          </c:dLbls>
          <c:cat>
            <c:numRef>
              <c:f>Sheet1!$B$1:$I$1</c:f>
              <c:numCache>
                <c:formatCode>General</c:formatCode>
                <c:ptCount val="8"/>
                <c:pt idx="0">
                  <c:v>5</c:v>
                </c:pt>
                <c:pt idx="1">
                  <c:v>10</c:v>
                </c:pt>
                <c:pt idx="2">
                  <c:v>15</c:v>
                </c:pt>
                <c:pt idx="3">
                  <c:v>20</c:v>
                </c:pt>
                <c:pt idx="4">
                  <c:v>25</c:v>
                </c:pt>
                <c:pt idx="5">
                  <c:v>30</c:v>
                </c:pt>
                <c:pt idx="6">
                  <c:v>35</c:v>
                </c:pt>
                <c:pt idx="7">
                  <c:v>40</c:v>
                </c:pt>
              </c:numCache>
            </c:numRef>
          </c:cat>
          <c:val>
            <c:numRef>
              <c:f>Sheet1!$B$2:$I$2</c:f>
              <c:numCache>
                <c:formatCode>General</c:formatCode>
                <c:ptCount val="8"/>
                <c:pt idx="0">
                  <c:v>100</c:v>
                </c:pt>
                <c:pt idx="1">
                  <c:v>95</c:v>
                </c:pt>
                <c:pt idx="2">
                  <c:v>93</c:v>
                </c:pt>
                <c:pt idx="3">
                  <c:v>89</c:v>
                </c:pt>
                <c:pt idx="4">
                  <c:v>87</c:v>
                </c:pt>
                <c:pt idx="5">
                  <c:v>83</c:v>
                </c:pt>
                <c:pt idx="6">
                  <c:v>81</c:v>
                </c:pt>
                <c:pt idx="7">
                  <c:v>79</c:v>
                </c:pt>
              </c:numCache>
            </c:numRef>
          </c:val>
          <c:smooth val="0"/>
        </c:ser>
        <c:ser>
          <c:idx val="0"/>
          <c:order val="1"/>
          <c:tx>
            <c:strRef>
              <c:f>Sheet1!$A$3</c:f>
              <c:strCache>
                <c:ptCount val="1"/>
                <c:pt idx="0">
                  <c:v>A</c:v>
                </c:pt>
              </c:strCache>
            </c:strRef>
          </c:tx>
          <c:spPr>
            <a:ln w="10707">
              <a:solidFill>
                <a:srgbClr val="000080"/>
              </a:solidFill>
              <a:prstDash val="lgDashDot"/>
            </a:ln>
          </c:spPr>
          <c:marker>
            <c:symbol val="none"/>
          </c:marker>
          <c:dLbls>
            <c:delete val="1"/>
          </c:dLbls>
          <c:cat>
            <c:numRef>
              <c:f>Sheet1!$B$1:$I$1</c:f>
              <c:numCache>
                <c:formatCode>General</c:formatCode>
                <c:ptCount val="8"/>
                <c:pt idx="0">
                  <c:v>5</c:v>
                </c:pt>
                <c:pt idx="1">
                  <c:v>10</c:v>
                </c:pt>
                <c:pt idx="2">
                  <c:v>15</c:v>
                </c:pt>
                <c:pt idx="3">
                  <c:v>20</c:v>
                </c:pt>
                <c:pt idx="4">
                  <c:v>25</c:v>
                </c:pt>
                <c:pt idx="5">
                  <c:v>30</c:v>
                </c:pt>
                <c:pt idx="6">
                  <c:v>35</c:v>
                </c:pt>
                <c:pt idx="7">
                  <c:v>40</c:v>
                </c:pt>
              </c:numCache>
            </c:numRef>
          </c:cat>
          <c:val>
            <c:numRef>
              <c:f>Sheet1!$B$3:$I$3</c:f>
              <c:numCache>
                <c:formatCode>General</c:formatCode>
                <c:ptCount val="8"/>
                <c:pt idx="0">
                  <c:v>100</c:v>
                </c:pt>
                <c:pt idx="1">
                  <c:v>93</c:v>
                </c:pt>
                <c:pt idx="2">
                  <c:v>90</c:v>
                </c:pt>
                <c:pt idx="3">
                  <c:v>85</c:v>
                </c:pt>
                <c:pt idx="4">
                  <c:v>84</c:v>
                </c:pt>
                <c:pt idx="5">
                  <c:v>79</c:v>
                </c:pt>
                <c:pt idx="6">
                  <c:v>75</c:v>
                </c:pt>
                <c:pt idx="7">
                  <c:v>71</c:v>
                </c:pt>
              </c:numCache>
            </c:numRef>
          </c:val>
          <c:smooth val="0"/>
        </c:ser>
        <c:dLbls>
          <c:showLegendKey val="0"/>
          <c:showVal val="1"/>
          <c:showCatName val="0"/>
          <c:showSerName val="0"/>
          <c:showPercent val="0"/>
          <c:showBubbleSize val="0"/>
        </c:dLbls>
        <c:marker val="1"/>
        <c:smooth val="0"/>
        <c:axId val="108049536"/>
        <c:axId val="108051456"/>
      </c:lineChart>
      <c:catAx>
        <c:axId val="108049536"/>
        <c:scaling>
          <c:orientation val="minMax"/>
        </c:scaling>
        <c:delete val="0"/>
        <c:axPos val="b"/>
        <c:title>
          <c:tx>
            <c:rich>
              <a:bodyPr/>
              <a:lstStyle/>
              <a:p>
                <a:pPr>
                  <a:defRPr sz="674" b="1" i="0" u="none" strike="noStrike" baseline="0">
                    <a:solidFill>
                      <a:srgbClr val="000000"/>
                    </a:solidFill>
                    <a:latin typeface="Arial"/>
                    <a:ea typeface="Arial"/>
                    <a:cs typeface="Arial"/>
                  </a:defRPr>
                </a:pPr>
                <a:r>
                  <a:t>Months</a:t>
                </a:r>
              </a:p>
            </c:rich>
          </c:tx>
          <c:layout>
            <c:manualLayout>
              <c:xMode val="edge"/>
              <c:yMode val="edge"/>
              <c:x val="0.47037037037037038"/>
              <c:y val="0.90625"/>
            </c:manualLayout>
          </c:layout>
          <c:overlay val="0"/>
          <c:spPr>
            <a:noFill/>
            <a:ln w="21413">
              <a:noFill/>
            </a:ln>
          </c:spPr>
        </c:title>
        <c:numFmt formatCode="General" sourceLinked="1"/>
        <c:majorTickMark val="out"/>
        <c:minorTickMark val="none"/>
        <c:tickLblPos val="nextTo"/>
        <c:spPr>
          <a:ln w="2677">
            <a:solidFill>
              <a:srgbClr val="000000"/>
            </a:solidFill>
            <a:prstDash val="solid"/>
          </a:ln>
        </c:spPr>
        <c:txPr>
          <a:bodyPr rot="0" vert="horz"/>
          <a:lstStyle/>
          <a:p>
            <a:pPr>
              <a:defRPr sz="422" b="1" i="0" u="none" strike="noStrike" baseline="0">
                <a:solidFill>
                  <a:srgbClr val="000000"/>
                </a:solidFill>
                <a:latin typeface="Arial"/>
                <a:ea typeface="Arial"/>
                <a:cs typeface="Arial"/>
              </a:defRPr>
            </a:pPr>
            <a:endParaRPr lang="ar-SA"/>
          </a:p>
        </c:txPr>
        <c:crossAx val="108051456"/>
        <c:crosses val="autoZero"/>
        <c:auto val="1"/>
        <c:lblAlgn val="ctr"/>
        <c:lblOffset val="100"/>
        <c:tickLblSkip val="1"/>
        <c:tickMarkSkip val="1"/>
        <c:noMultiLvlLbl val="0"/>
      </c:catAx>
      <c:valAx>
        <c:axId val="108051456"/>
        <c:scaling>
          <c:orientation val="minMax"/>
          <c:max val="100"/>
        </c:scaling>
        <c:delete val="0"/>
        <c:axPos val="l"/>
        <c:title>
          <c:tx>
            <c:rich>
              <a:bodyPr/>
              <a:lstStyle/>
              <a:p>
                <a:pPr>
                  <a:defRPr sz="485" b="1" i="0" u="none" strike="noStrike" baseline="0">
                    <a:solidFill>
                      <a:srgbClr val="000000"/>
                    </a:solidFill>
                    <a:latin typeface="Arial"/>
                    <a:ea typeface="Arial"/>
                    <a:cs typeface="Arial"/>
                  </a:defRPr>
                </a:pPr>
                <a:r>
                  <a:t>DFS (%)</a:t>
                </a:r>
              </a:p>
            </c:rich>
          </c:tx>
          <c:layout>
            <c:manualLayout>
              <c:xMode val="edge"/>
              <c:yMode val="edge"/>
              <c:x val="4.4444444444444446E-2"/>
              <c:y val="0.3984375"/>
            </c:manualLayout>
          </c:layout>
          <c:overlay val="0"/>
          <c:spPr>
            <a:noFill/>
            <a:ln w="21413">
              <a:noFill/>
            </a:ln>
          </c:spPr>
        </c:title>
        <c:numFmt formatCode="General" sourceLinked="1"/>
        <c:majorTickMark val="out"/>
        <c:minorTickMark val="none"/>
        <c:tickLblPos val="nextTo"/>
        <c:spPr>
          <a:ln w="2677">
            <a:solidFill>
              <a:srgbClr val="000000"/>
            </a:solidFill>
            <a:prstDash val="solid"/>
          </a:ln>
        </c:spPr>
        <c:txPr>
          <a:bodyPr rot="0" vert="horz"/>
          <a:lstStyle/>
          <a:p>
            <a:pPr>
              <a:defRPr sz="485" b="1" i="0" u="none" strike="noStrike" baseline="0">
                <a:solidFill>
                  <a:srgbClr val="000000"/>
                </a:solidFill>
                <a:latin typeface="Arial"/>
                <a:ea typeface="Arial"/>
                <a:cs typeface="Arial"/>
              </a:defRPr>
            </a:pPr>
            <a:endParaRPr lang="ar-SA"/>
          </a:p>
        </c:txPr>
        <c:crossAx val="108049536"/>
        <c:crosses val="autoZero"/>
        <c:crossBetween val="between"/>
        <c:majorUnit val="10"/>
      </c:valAx>
      <c:spPr>
        <a:noFill/>
        <a:ln w="21413">
          <a:noFill/>
        </a:ln>
      </c:spPr>
    </c:plotArea>
    <c:legend>
      <c:legendPos val="t"/>
      <c:layout>
        <c:manualLayout>
          <c:xMode val="edge"/>
          <c:yMode val="edge"/>
          <c:x val="0.28518518518518521"/>
          <c:y val="1.171875E-2"/>
          <c:w val="0.71481481481481479"/>
          <c:h val="0.11328125"/>
        </c:manualLayout>
      </c:layout>
      <c:overlay val="0"/>
      <c:spPr>
        <a:solidFill>
          <a:srgbClr val="FFFFFF"/>
        </a:solidFill>
        <a:ln w="2677">
          <a:solidFill>
            <a:srgbClr val="000000"/>
          </a:solidFill>
          <a:prstDash val="solid"/>
        </a:ln>
      </c:spPr>
      <c:txPr>
        <a:bodyPr/>
        <a:lstStyle/>
        <a:p>
          <a:pPr>
            <a:defRPr sz="851" b="1" i="0" u="none" strike="noStrike" baseline="0">
              <a:solidFill>
                <a:srgbClr val="000000"/>
              </a:solidFill>
              <a:latin typeface="Arial"/>
              <a:ea typeface="Arial"/>
              <a:cs typeface="Arial"/>
            </a:defRPr>
          </a:pPr>
          <a:endParaRPr lang="ar-SA"/>
        </a:p>
      </c:txPr>
    </c:legend>
    <c:plotVisOnly val="1"/>
    <c:dispBlanksAs val="gap"/>
    <c:showDLblsOverMax val="0"/>
  </c:chart>
  <c:spPr>
    <a:noFill/>
    <a:ln>
      <a:noFill/>
    </a:ln>
  </c:spPr>
  <c:txPr>
    <a:bodyPr/>
    <a:lstStyle/>
    <a:p>
      <a:pPr>
        <a:defRPr sz="674" b="1" i="0" u="none" strike="noStrike" baseline="0">
          <a:solidFill>
            <a:srgbClr val="000000"/>
          </a:solidFill>
          <a:latin typeface="Arial"/>
          <a:ea typeface="Arial"/>
          <a:cs typeface="Arial"/>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15942028985507"/>
          <c:y val="3.8277511961722487E-2"/>
          <c:w val="0.76086956521739135"/>
          <c:h val="0.70334928229665072"/>
        </c:manualLayout>
      </c:layout>
      <c:lineChart>
        <c:grouping val="standard"/>
        <c:varyColors val="0"/>
        <c:ser>
          <c:idx val="4"/>
          <c:order val="0"/>
          <c:tx>
            <c:strRef>
              <c:f>Sheet1!$A$2</c:f>
              <c:strCache>
                <c:ptCount val="1"/>
                <c:pt idx="0">
                  <c:v>No boost (A)</c:v>
                </c:pt>
              </c:strCache>
            </c:strRef>
          </c:tx>
          <c:spPr>
            <a:ln w="21478">
              <a:solidFill>
                <a:srgbClr val="0000FF"/>
              </a:solidFill>
              <a:prstDash val="solid"/>
            </a:ln>
          </c:spPr>
          <c:marker>
            <c:symbol val="none"/>
          </c:marker>
          <c:dLbls>
            <c:delete val="1"/>
          </c:dLbls>
          <c:cat>
            <c:numRef>
              <c:f>Sheet1!$B$1:$I$1</c:f>
              <c:numCache>
                <c:formatCode>General</c:formatCode>
                <c:ptCount val="8"/>
                <c:pt idx="0">
                  <c:v>5</c:v>
                </c:pt>
                <c:pt idx="1">
                  <c:v>10</c:v>
                </c:pt>
                <c:pt idx="2">
                  <c:v>15</c:v>
                </c:pt>
                <c:pt idx="3">
                  <c:v>20</c:v>
                </c:pt>
                <c:pt idx="4">
                  <c:v>25</c:v>
                </c:pt>
                <c:pt idx="5">
                  <c:v>30</c:v>
                </c:pt>
                <c:pt idx="6">
                  <c:v>35</c:v>
                </c:pt>
                <c:pt idx="7">
                  <c:v>40</c:v>
                </c:pt>
              </c:numCache>
            </c:numRef>
          </c:cat>
          <c:val>
            <c:numRef>
              <c:f>Sheet1!$B$2:$I$2</c:f>
              <c:numCache>
                <c:formatCode>General</c:formatCode>
                <c:ptCount val="8"/>
                <c:pt idx="0">
                  <c:v>10</c:v>
                </c:pt>
                <c:pt idx="1">
                  <c:v>20</c:v>
                </c:pt>
                <c:pt idx="2">
                  <c:v>30</c:v>
                </c:pt>
                <c:pt idx="3">
                  <c:v>40</c:v>
                </c:pt>
                <c:pt idx="4">
                  <c:v>45</c:v>
                </c:pt>
                <c:pt idx="5">
                  <c:v>50</c:v>
                </c:pt>
                <c:pt idx="6">
                  <c:v>55</c:v>
                </c:pt>
                <c:pt idx="7">
                  <c:v>57</c:v>
                </c:pt>
              </c:numCache>
            </c:numRef>
          </c:val>
          <c:smooth val="0"/>
        </c:ser>
        <c:ser>
          <c:idx val="0"/>
          <c:order val="1"/>
          <c:tx>
            <c:strRef>
              <c:f>Sheet1!$A$3</c:f>
              <c:strCache>
                <c:ptCount val="1"/>
                <c:pt idx="0">
                  <c:v>12 Gy boost (B)</c:v>
                </c:pt>
              </c:strCache>
            </c:strRef>
          </c:tx>
          <c:spPr>
            <a:ln w="10739">
              <a:solidFill>
                <a:srgbClr val="000080"/>
              </a:solidFill>
              <a:prstDash val="lgDashDot"/>
            </a:ln>
          </c:spPr>
          <c:marker>
            <c:symbol val="none"/>
          </c:marker>
          <c:dLbls>
            <c:delete val="1"/>
          </c:dLbls>
          <c:cat>
            <c:numRef>
              <c:f>Sheet1!$B$1:$I$1</c:f>
              <c:numCache>
                <c:formatCode>General</c:formatCode>
                <c:ptCount val="8"/>
                <c:pt idx="0">
                  <c:v>5</c:v>
                </c:pt>
                <c:pt idx="1">
                  <c:v>10</c:v>
                </c:pt>
                <c:pt idx="2">
                  <c:v>15</c:v>
                </c:pt>
                <c:pt idx="3">
                  <c:v>20</c:v>
                </c:pt>
                <c:pt idx="4">
                  <c:v>25</c:v>
                </c:pt>
                <c:pt idx="5">
                  <c:v>30</c:v>
                </c:pt>
                <c:pt idx="6">
                  <c:v>35</c:v>
                </c:pt>
                <c:pt idx="7">
                  <c:v>40</c:v>
                </c:pt>
              </c:numCache>
            </c:numRef>
          </c:cat>
          <c:val>
            <c:numRef>
              <c:f>Sheet1!$B$3:$I$3</c:f>
              <c:numCache>
                <c:formatCode>General</c:formatCode>
                <c:ptCount val="8"/>
                <c:pt idx="0">
                  <c:v>10</c:v>
                </c:pt>
                <c:pt idx="1">
                  <c:v>17</c:v>
                </c:pt>
                <c:pt idx="2">
                  <c:v>25</c:v>
                </c:pt>
                <c:pt idx="3">
                  <c:v>35</c:v>
                </c:pt>
                <c:pt idx="4">
                  <c:v>38</c:v>
                </c:pt>
                <c:pt idx="5">
                  <c:v>41</c:v>
                </c:pt>
                <c:pt idx="6">
                  <c:v>45</c:v>
                </c:pt>
                <c:pt idx="7">
                  <c:v>48</c:v>
                </c:pt>
              </c:numCache>
            </c:numRef>
          </c:val>
          <c:smooth val="0"/>
        </c:ser>
        <c:dLbls>
          <c:showLegendKey val="0"/>
          <c:showVal val="1"/>
          <c:showCatName val="0"/>
          <c:showSerName val="0"/>
          <c:showPercent val="0"/>
          <c:showBubbleSize val="0"/>
        </c:dLbls>
        <c:marker val="1"/>
        <c:smooth val="0"/>
        <c:axId val="108081536"/>
        <c:axId val="108083456"/>
      </c:lineChart>
      <c:catAx>
        <c:axId val="108081536"/>
        <c:scaling>
          <c:orientation val="minMax"/>
        </c:scaling>
        <c:delete val="0"/>
        <c:axPos val="b"/>
        <c:title>
          <c:tx>
            <c:rich>
              <a:bodyPr/>
              <a:lstStyle/>
              <a:p>
                <a:pPr>
                  <a:defRPr sz="676" b="1" i="0" u="none" strike="noStrike" baseline="0">
                    <a:solidFill>
                      <a:srgbClr val="000000"/>
                    </a:solidFill>
                    <a:latin typeface="Arial"/>
                    <a:ea typeface="Arial"/>
                    <a:cs typeface="Arial"/>
                  </a:defRPr>
                </a:pPr>
                <a:r>
                  <a:t>Months</a:t>
                </a:r>
              </a:p>
            </c:rich>
          </c:tx>
          <c:layout>
            <c:manualLayout>
              <c:xMode val="edge"/>
              <c:yMode val="edge"/>
              <c:x val="0.45289855072463769"/>
              <c:y val="0.88995215311004783"/>
            </c:manualLayout>
          </c:layout>
          <c:overlay val="0"/>
          <c:spPr>
            <a:noFill/>
            <a:ln w="21478">
              <a:noFill/>
            </a:ln>
          </c:spPr>
        </c:title>
        <c:numFmt formatCode="General" sourceLinked="1"/>
        <c:majorTickMark val="out"/>
        <c:minorTickMark val="none"/>
        <c:tickLblPos val="nextTo"/>
        <c:spPr>
          <a:ln w="2685">
            <a:solidFill>
              <a:srgbClr val="000000"/>
            </a:solidFill>
            <a:prstDash val="solid"/>
          </a:ln>
        </c:spPr>
        <c:txPr>
          <a:bodyPr rot="0" vert="horz"/>
          <a:lstStyle/>
          <a:p>
            <a:pPr>
              <a:defRPr sz="423" b="1" i="0" u="none" strike="noStrike" baseline="0">
                <a:solidFill>
                  <a:srgbClr val="000000"/>
                </a:solidFill>
                <a:latin typeface="Arial"/>
                <a:ea typeface="Arial"/>
                <a:cs typeface="Arial"/>
              </a:defRPr>
            </a:pPr>
            <a:endParaRPr lang="ar-SA"/>
          </a:p>
        </c:txPr>
        <c:crossAx val="108083456"/>
        <c:crosses val="autoZero"/>
        <c:auto val="1"/>
        <c:lblAlgn val="ctr"/>
        <c:lblOffset val="100"/>
        <c:tickLblSkip val="1"/>
        <c:tickMarkSkip val="1"/>
        <c:noMultiLvlLbl val="0"/>
      </c:catAx>
      <c:valAx>
        <c:axId val="108083456"/>
        <c:scaling>
          <c:orientation val="minMax"/>
          <c:max val="100"/>
        </c:scaling>
        <c:delete val="0"/>
        <c:axPos val="l"/>
        <c:title>
          <c:tx>
            <c:rich>
              <a:bodyPr/>
              <a:lstStyle/>
              <a:p>
                <a:pPr>
                  <a:defRPr sz="676" b="1" i="0" u="none" strike="noStrike" baseline="0">
                    <a:solidFill>
                      <a:srgbClr val="000000"/>
                    </a:solidFill>
                    <a:latin typeface="Arial"/>
                    <a:ea typeface="Arial"/>
                    <a:cs typeface="Arial"/>
                  </a:defRPr>
                </a:pPr>
                <a:r>
                  <a:t>Isolated local failure</a:t>
                </a:r>
              </a:p>
            </c:rich>
          </c:tx>
          <c:layout>
            <c:manualLayout>
              <c:xMode val="edge"/>
              <c:yMode val="edge"/>
              <c:x val="0"/>
              <c:y val="0.11004784688995216"/>
            </c:manualLayout>
          </c:layout>
          <c:overlay val="0"/>
          <c:spPr>
            <a:noFill/>
            <a:ln w="21478">
              <a:noFill/>
            </a:ln>
          </c:spPr>
        </c:title>
        <c:numFmt formatCode="General" sourceLinked="1"/>
        <c:majorTickMark val="out"/>
        <c:minorTickMark val="none"/>
        <c:tickLblPos val="nextTo"/>
        <c:spPr>
          <a:ln w="2685">
            <a:solidFill>
              <a:srgbClr val="000000"/>
            </a:solidFill>
            <a:prstDash val="solid"/>
          </a:ln>
        </c:spPr>
        <c:txPr>
          <a:bodyPr rot="0" vert="horz"/>
          <a:lstStyle/>
          <a:p>
            <a:pPr>
              <a:defRPr sz="444" b="1" i="0" u="none" strike="noStrike" baseline="0">
                <a:solidFill>
                  <a:srgbClr val="000000"/>
                </a:solidFill>
                <a:latin typeface="Arial"/>
                <a:ea typeface="Arial"/>
                <a:cs typeface="Arial"/>
              </a:defRPr>
            </a:pPr>
            <a:endParaRPr lang="ar-SA"/>
          </a:p>
        </c:txPr>
        <c:crossAx val="108081536"/>
        <c:crosses val="autoZero"/>
        <c:crossBetween val="between"/>
        <c:majorUnit val="10"/>
      </c:valAx>
      <c:spPr>
        <a:noFill/>
        <a:ln w="21478">
          <a:noFill/>
        </a:ln>
      </c:spPr>
    </c:plotArea>
    <c:legend>
      <c:legendPos val="r"/>
      <c:layout>
        <c:manualLayout>
          <c:xMode val="edge"/>
          <c:yMode val="edge"/>
          <c:x val="0.30072463768115942"/>
          <c:y val="0"/>
          <c:w val="0.69927536231884058"/>
          <c:h val="0.23444976076555024"/>
        </c:manualLayout>
      </c:layout>
      <c:overlay val="0"/>
      <c:spPr>
        <a:solidFill>
          <a:srgbClr val="FFFFFF"/>
        </a:solidFill>
        <a:ln w="2685">
          <a:solidFill>
            <a:srgbClr val="000000"/>
          </a:solidFill>
          <a:prstDash val="solid"/>
        </a:ln>
      </c:spPr>
      <c:txPr>
        <a:bodyPr/>
        <a:lstStyle/>
        <a:p>
          <a:pPr>
            <a:defRPr sz="854" b="1" i="0" u="none" strike="noStrike" baseline="0">
              <a:solidFill>
                <a:srgbClr val="000000"/>
              </a:solidFill>
              <a:latin typeface="Arial"/>
              <a:ea typeface="Arial"/>
              <a:cs typeface="Arial"/>
            </a:defRPr>
          </a:pPr>
          <a:endParaRPr lang="ar-SA"/>
        </a:p>
      </c:txPr>
    </c:legend>
    <c:plotVisOnly val="1"/>
    <c:dispBlanksAs val="gap"/>
    <c:showDLblsOverMax val="0"/>
  </c:chart>
  <c:spPr>
    <a:noFill/>
    <a:ln>
      <a:noFill/>
    </a:ln>
  </c:spPr>
  <c:txPr>
    <a:bodyPr/>
    <a:lstStyle/>
    <a:p>
      <a:pPr>
        <a:defRPr sz="676" b="1" i="0" u="none" strike="noStrike" baseline="0">
          <a:solidFill>
            <a:srgbClr val="000000"/>
          </a:solidFill>
          <a:latin typeface="Arial"/>
          <a:ea typeface="Arial"/>
          <a:cs typeface="Arial"/>
        </a:defRPr>
      </a:pPr>
      <a:endParaRPr lang="ar-SA"/>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A38FF-28B1-4656-ADB8-8A6C26F9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PRIORITY</Company>
  <LinksUpToDate>false</LinksUpToDate>
  <CharactersWithSpaces>20143</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5767276</vt:i4>
      </vt:variant>
      <vt:variant>
        <vt:i4>0</vt:i4>
      </vt:variant>
      <vt:variant>
        <vt:i4>0</vt:i4>
      </vt:variant>
      <vt:variant>
        <vt:i4>5</vt:i4>
      </vt:variant>
      <vt:variant>
        <vt:lpwstr>mailto:ahosainy40@yahoo.com</vt:lpwstr>
      </vt:variant>
      <vt:variant>
        <vt:lpwstr/>
      </vt:variant>
      <vt:variant>
        <vt:i4>5505026</vt:i4>
      </vt:variant>
      <vt:variant>
        <vt:i4>3</vt:i4>
      </vt:variant>
      <vt:variant>
        <vt:i4>0</vt:i4>
      </vt:variant>
      <vt:variant>
        <vt:i4>5</vt:i4>
      </vt:variant>
      <vt:variant>
        <vt:lpwstr>http://www.cancerbio.net/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SAEED</dc:creator>
  <cp:lastModifiedBy>sico</cp:lastModifiedBy>
  <cp:revision>2</cp:revision>
  <cp:lastPrinted>2015-12-29T09:05:00Z</cp:lastPrinted>
  <dcterms:created xsi:type="dcterms:W3CDTF">2016-01-26T06:39:00Z</dcterms:created>
  <dcterms:modified xsi:type="dcterms:W3CDTF">2016-01-26T06:39:00Z</dcterms:modified>
</cp:coreProperties>
</file>