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96" w:rsidRPr="00081507" w:rsidRDefault="00E91096" w:rsidP="00643B68">
      <w:pPr>
        <w:widowControl w:val="0"/>
        <w:autoSpaceDE w:val="0"/>
        <w:autoSpaceDN w:val="0"/>
        <w:bidi w:val="0"/>
        <w:adjustRightInd w:val="0"/>
        <w:jc w:val="center"/>
        <w:rPr>
          <w:b/>
          <w:bCs/>
          <w:sz w:val="20"/>
          <w:szCs w:val="20"/>
        </w:rPr>
      </w:pPr>
      <w:r w:rsidRPr="00081507">
        <w:rPr>
          <w:b/>
          <w:bCs/>
          <w:sz w:val="20"/>
          <w:szCs w:val="20"/>
        </w:rPr>
        <w:t>Prognostic Value of Doppler Perfusion Index in Early Colorectal Cancer for Adjuvant Chemotherapy</w:t>
      </w:r>
    </w:p>
    <w:p w:rsidR="003162E5" w:rsidRPr="00081507" w:rsidRDefault="003162E5" w:rsidP="00643B68">
      <w:pPr>
        <w:widowControl w:val="0"/>
        <w:autoSpaceDE w:val="0"/>
        <w:autoSpaceDN w:val="0"/>
        <w:bidi w:val="0"/>
        <w:adjustRightInd w:val="0"/>
        <w:jc w:val="center"/>
        <w:rPr>
          <w:b/>
          <w:bCs/>
          <w:sz w:val="20"/>
          <w:szCs w:val="20"/>
        </w:rPr>
      </w:pPr>
    </w:p>
    <w:p w:rsidR="00503EA1" w:rsidRDefault="00503EA1" w:rsidP="00643B68">
      <w:pPr>
        <w:widowControl w:val="0"/>
        <w:autoSpaceDE w:val="0"/>
        <w:autoSpaceDN w:val="0"/>
        <w:bidi w:val="0"/>
        <w:adjustRightInd w:val="0"/>
        <w:jc w:val="center"/>
        <w:rPr>
          <w:sz w:val="20"/>
          <w:szCs w:val="20"/>
          <w:vertAlign w:val="superscript"/>
          <w:lang w:eastAsia="zh-CN"/>
        </w:rPr>
      </w:pPr>
      <w:r w:rsidRPr="00085C1E">
        <w:rPr>
          <w:sz w:val="20"/>
          <w:szCs w:val="20"/>
        </w:rPr>
        <w:t xml:space="preserve">Ahmad </w:t>
      </w:r>
      <w:proofErr w:type="spellStart"/>
      <w:r w:rsidRPr="00085C1E">
        <w:rPr>
          <w:sz w:val="20"/>
          <w:szCs w:val="20"/>
        </w:rPr>
        <w:t>Alhosainy</w:t>
      </w:r>
      <w:proofErr w:type="spellEnd"/>
      <w:r w:rsidRPr="00085C1E">
        <w:rPr>
          <w:sz w:val="20"/>
          <w:szCs w:val="20"/>
        </w:rPr>
        <w:t xml:space="preserve"> </w:t>
      </w:r>
      <w:r w:rsidRPr="00085C1E">
        <w:rPr>
          <w:sz w:val="20"/>
          <w:szCs w:val="20"/>
          <w:vertAlign w:val="superscript"/>
        </w:rPr>
        <w:t>1</w:t>
      </w:r>
      <w:r w:rsidRPr="00085C1E">
        <w:rPr>
          <w:sz w:val="20"/>
          <w:szCs w:val="20"/>
        </w:rPr>
        <w:t>, Ahmed Z Alattar</w:t>
      </w:r>
      <w:r w:rsidRPr="00085C1E">
        <w:rPr>
          <w:sz w:val="20"/>
          <w:szCs w:val="20"/>
          <w:vertAlign w:val="superscript"/>
        </w:rPr>
        <w:t>1</w:t>
      </w:r>
      <w:r w:rsidRPr="00085C1E">
        <w:rPr>
          <w:sz w:val="20"/>
          <w:szCs w:val="20"/>
        </w:rPr>
        <w:t xml:space="preserve">, </w:t>
      </w:r>
      <w:proofErr w:type="spellStart"/>
      <w:r w:rsidRPr="00085C1E">
        <w:rPr>
          <w:sz w:val="20"/>
          <w:szCs w:val="20"/>
        </w:rPr>
        <w:t>Abd</w:t>
      </w:r>
      <w:proofErr w:type="spellEnd"/>
      <w:r w:rsidRPr="00085C1E">
        <w:rPr>
          <w:sz w:val="20"/>
          <w:szCs w:val="20"/>
        </w:rPr>
        <w:t xml:space="preserve"> </w:t>
      </w:r>
      <w:proofErr w:type="spellStart"/>
      <w:r w:rsidRPr="00085C1E">
        <w:rPr>
          <w:sz w:val="20"/>
          <w:szCs w:val="20"/>
        </w:rPr>
        <w:t>Elmotaleb</w:t>
      </w:r>
      <w:proofErr w:type="spellEnd"/>
      <w:r w:rsidRPr="00085C1E">
        <w:rPr>
          <w:sz w:val="20"/>
          <w:szCs w:val="20"/>
        </w:rPr>
        <w:t xml:space="preserve"> Mohamed</w:t>
      </w:r>
      <w:r w:rsidRPr="00085C1E">
        <w:rPr>
          <w:sz w:val="20"/>
          <w:szCs w:val="20"/>
          <w:vertAlign w:val="superscript"/>
        </w:rPr>
        <w:t>1</w:t>
      </w:r>
      <w:r w:rsidRPr="00085C1E">
        <w:rPr>
          <w:sz w:val="20"/>
          <w:szCs w:val="20"/>
        </w:rPr>
        <w:t xml:space="preserve"> </w:t>
      </w:r>
      <w:proofErr w:type="spellStart"/>
      <w:r w:rsidRPr="00085C1E">
        <w:rPr>
          <w:sz w:val="20"/>
          <w:szCs w:val="20"/>
        </w:rPr>
        <w:t>Inas</w:t>
      </w:r>
      <w:proofErr w:type="spellEnd"/>
      <w:r w:rsidRPr="00085C1E">
        <w:rPr>
          <w:sz w:val="20"/>
          <w:szCs w:val="20"/>
        </w:rPr>
        <w:t xml:space="preserve"> M.Elfiki</w:t>
      </w:r>
      <w:r w:rsidR="00E04965" w:rsidRPr="00085C1E">
        <w:rPr>
          <w:sz w:val="20"/>
          <w:szCs w:val="20"/>
          <w:vertAlign w:val="superscript"/>
        </w:rPr>
        <w:t>2</w:t>
      </w:r>
      <w:r w:rsidRPr="00085C1E">
        <w:rPr>
          <w:sz w:val="20"/>
          <w:szCs w:val="20"/>
        </w:rPr>
        <w:t xml:space="preserve">, </w:t>
      </w:r>
      <w:proofErr w:type="spellStart"/>
      <w:r w:rsidRPr="00085C1E">
        <w:rPr>
          <w:sz w:val="20"/>
          <w:szCs w:val="20"/>
        </w:rPr>
        <w:t>J</w:t>
      </w:r>
      <w:r w:rsidR="00940354" w:rsidRPr="00085C1E">
        <w:rPr>
          <w:sz w:val="20"/>
          <w:szCs w:val="20"/>
        </w:rPr>
        <w:t>i</w:t>
      </w:r>
      <w:r w:rsidRPr="00085C1E">
        <w:rPr>
          <w:sz w:val="20"/>
          <w:szCs w:val="20"/>
        </w:rPr>
        <w:t>han</w:t>
      </w:r>
      <w:proofErr w:type="spellEnd"/>
      <w:r w:rsidRPr="00085C1E">
        <w:rPr>
          <w:sz w:val="20"/>
          <w:szCs w:val="20"/>
        </w:rPr>
        <w:t xml:space="preserve"> A. Shawky</w:t>
      </w:r>
      <w:r w:rsidR="00E04965" w:rsidRPr="00085C1E">
        <w:rPr>
          <w:sz w:val="20"/>
          <w:szCs w:val="20"/>
          <w:vertAlign w:val="superscript"/>
        </w:rPr>
        <w:t>3</w:t>
      </w:r>
      <w:r w:rsidRPr="00085C1E">
        <w:rPr>
          <w:sz w:val="16"/>
          <w:szCs w:val="16"/>
        </w:rPr>
        <w:t xml:space="preserve"> </w:t>
      </w:r>
      <w:r w:rsidR="00904F81" w:rsidRPr="00085C1E">
        <w:rPr>
          <w:sz w:val="20"/>
          <w:szCs w:val="20"/>
        </w:rPr>
        <w:t xml:space="preserve">and </w:t>
      </w:r>
      <w:proofErr w:type="spellStart"/>
      <w:r w:rsidR="00904F81" w:rsidRPr="00085C1E">
        <w:rPr>
          <w:sz w:val="20"/>
          <w:szCs w:val="20"/>
        </w:rPr>
        <w:t>Abd</w:t>
      </w:r>
      <w:proofErr w:type="spellEnd"/>
      <w:r w:rsidRPr="00085C1E">
        <w:rPr>
          <w:sz w:val="20"/>
          <w:szCs w:val="20"/>
        </w:rPr>
        <w:t xml:space="preserve"> </w:t>
      </w:r>
      <w:proofErr w:type="spellStart"/>
      <w:r w:rsidRPr="00085C1E">
        <w:rPr>
          <w:sz w:val="20"/>
          <w:szCs w:val="20"/>
        </w:rPr>
        <w:t>Elhafez</w:t>
      </w:r>
      <w:proofErr w:type="spellEnd"/>
      <w:r w:rsidRPr="00085C1E">
        <w:rPr>
          <w:sz w:val="20"/>
          <w:szCs w:val="20"/>
        </w:rPr>
        <w:t xml:space="preserve"> M. Elsheweal</w:t>
      </w:r>
      <w:r w:rsidR="00E04965" w:rsidRPr="00085C1E">
        <w:rPr>
          <w:sz w:val="20"/>
          <w:szCs w:val="20"/>
          <w:vertAlign w:val="superscript"/>
        </w:rPr>
        <w:t>4</w:t>
      </w:r>
    </w:p>
    <w:p w:rsidR="00643B68" w:rsidRPr="00085C1E" w:rsidRDefault="00643B68" w:rsidP="00643B68">
      <w:pPr>
        <w:widowControl w:val="0"/>
        <w:autoSpaceDE w:val="0"/>
        <w:autoSpaceDN w:val="0"/>
        <w:bidi w:val="0"/>
        <w:adjustRightInd w:val="0"/>
        <w:jc w:val="center"/>
        <w:rPr>
          <w:sz w:val="20"/>
          <w:szCs w:val="20"/>
          <w:lang w:eastAsia="zh-CN"/>
        </w:rPr>
      </w:pPr>
    </w:p>
    <w:p w:rsidR="00503EA1" w:rsidRPr="00085C1E" w:rsidRDefault="00503EA1" w:rsidP="00643B68">
      <w:pPr>
        <w:widowControl w:val="0"/>
        <w:autoSpaceDE w:val="0"/>
        <w:autoSpaceDN w:val="0"/>
        <w:bidi w:val="0"/>
        <w:adjustRightInd w:val="0"/>
        <w:jc w:val="center"/>
        <w:rPr>
          <w:sz w:val="20"/>
          <w:szCs w:val="20"/>
        </w:rPr>
      </w:pPr>
      <w:r w:rsidRPr="00085C1E">
        <w:rPr>
          <w:sz w:val="20"/>
          <w:szCs w:val="20"/>
          <w:vertAlign w:val="superscript"/>
        </w:rPr>
        <w:t>1</w:t>
      </w:r>
      <w:r w:rsidRPr="00085C1E">
        <w:rPr>
          <w:sz w:val="20"/>
          <w:szCs w:val="20"/>
        </w:rPr>
        <w:t xml:space="preserve">Clinical Oncology &amp; Nuclear </w:t>
      </w:r>
      <w:r w:rsidR="00085C1E" w:rsidRPr="00085C1E">
        <w:rPr>
          <w:sz w:val="20"/>
          <w:szCs w:val="20"/>
        </w:rPr>
        <w:t xml:space="preserve">Medicine, </w:t>
      </w:r>
      <w:r w:rsidR="00085C1E" w:rsidRPr="00085C1E">
        <w:rPr>
          <w:sz w:val="20"/>
          <w:szCs w:val="20"/>
          <w:vertAlign w:val="superscript"/>
        </w:rPr>
        <w:t>2</w:t>
      </w:r>
      <w:r w:rsidRPr="00085C1E">
        <w:rPr>
          <w:sz w:val="20"/>
          <w:szCs w:val="20"/>
        </w:rPr>
        <w:t xml:space="preserve"> Radiology</w:t>
      </w:r>
      <w:r w:rsidR="00312B46">
        <w:rPr>
          <w:rFonts w:hint="eastAsia"/>
          <w:sz w:val="20"/>
          <w:szCs w:val="20"/>
          <w:lang w:eastAsia="zh-CN"/>
        </w:rPr>
        <w:t>,</w:t>
      </w:r>
      <w:r w:rsidRPr="00085C1E">
        <w:rPr>
          <w:sz w:val="20"/>
          <w:szCs w:val="20"/>
        </w:rPr>
        <w:t xml:space="preserve"> </w:t>
      </w:r>
      <w:r w:rsidRPr="00085C1E">
        <w:rPr>
          <w:sz w:val="20"/>
          <w:szCs w:val="20"/>
          <w:vertAlign w:val="superscript"/>
        </w:rPr>
        <w:t>3</w:t>
      </w:r>
      <w:r w:rsidR="00312B46">
        <w:rPr>
          <w:rFonts w:hint="eastAsia"/>
          <w:sz w:val="20"/>
          <w:szCs w:val="20"/>
          <w:vertAlign w:val="superscript"/>
          <w:lang w:eastAsia="zh-CN"/>
        </w:rPr>
        <w:t xml:space="preserve"> </w:t>
      </w:r>
      <w:r w:rsidRPr="00085C1E">
        <w:rPr>
          <w:sz w:val="20"/>
          <w:szCs w:val="20"/>
        </w:rPr>
        <w:t>Tropical Medicine</w:t>
      </w:r>
      <w:r w:rsidR="004A592E" w:rsidRPr="00085C1E">
        <w:rPr>
          <w:sz w:val="20"/>
          <w:szCs w:val="20"/>
        </w:rPr>
        <w:t>, and</w:t>
      </w:r>
      <w:r w:rsidR="00312B46">
        <w:rPr>
          <w:sz w:val="20"/>
          <w:szCs w:val="20"/>
        </w:rPr>
        <w:t xml:space="preserve"> </w:t>
      </w:r>
      <w:r w:rsidR="00E04965" w:rsidRPr="00085C1E">
        <w:rPr>
          <w:sz w:val="20"/>
          <w:szCs w:val="20"/>
          <w:vertAlign w:val="superscript"/>
        </w:rPr>
        <w:t>4</w:t>
      </w:r>
      <w:r w:rsidR="00947D80" w:rsidRPr="00085C1E">
        <w:rPr>
          <w:sz w:val="20"/>
          <w:szCs w:val="20"/>
        </w:rPr>
        <w:t xml:space="preserve"> General Surgery </w:t>
      </w:r>
      <w:r w:rsidRPr="00085C1E">
        <w:rPr>
          <w:sz w:val="20"/>
          <w:szCs w:val="20"/>
        </w:rPr>
        <w:t xml:space="preserve">Departments, Faculty of Medicine, </w:t>
      </w:r>
      <w:proofErr w:type="spellStart"/>
      <w:r w:rsidRPr="00085C1E">
        <w:rPr>
          <w:sz w:val="20"/>
          <w:szCs w:val="20"/>
        </w:rPr>
        <w:t>Zagazig</w:t>
      </w:r>
      <w:proofErr w:type="spellEnd"/>
      <w:r w:rsidRPr="00085C1E">
        <w:rPr>
          <w:sz w:val="20"/>
          <w:szCs w:val="20"/>
        </w:rPr>
        <w:t xml:space="preserve"> University</w:t>
      </w:r>
      <w:r w:rsidR="00E74641">
        <w:rPr>
          <w:sz w:val="20"/>
          <w:szCs w:val="20"/>
        </w:rPr>
        <w:t xml:space="preserve">, </w:t>
      </w:r>
      <w:proofErr w:type="spellStart"/>
      <w:r w:rsidR="00E74641" w:rsidRPr="00085C1E">
        <w:rPr>
          <w:sz w:val="20"/>
          <w:szCs w:val="20"/>
        </w:rPr>
        <w:t>Zagazig</w:t>
      </w:r>
      <w:proofErr w:type="spellEnd"/>
      <w:r w:rsidR="00E74641">
        <w:rPr>
          <w:sz w:val="20"/>
          <w:szCs w:val="20"/>
        </w:rPr>
        <w:t>, Egypt</w:t>
      </w:r>
    </w:p>
    <w:p w:rsidR="003162E5" w:rsidRPr="00E04965" w:rsidRDefault="00740168" w:rsidP="00643B68">
      <w:pPr>
        <w:widowControl w:val="0"/>
        <w:tabs>
          <w:tab w:val="right" w:pos="5670"/>
        </w:tabs>
        <w:autoSpaceDE w:val="0"/>
        <w:autoSpaceDN w:val="0"/>
        <w:bidi w:val="0"/>
        <w:adjustRightInd w:val="0"/>
        <w:jc w:val="center"/>
        <w:rPr>
          <w:sz w:val="20"/>
          <w:szCs w:val="20"/>
        </w:rPr>
      </w:pPr>
      <w:hyperlink r:id="rId7" w:history="1">
        <w:r w:rsidR="00085C1E" w:rsidRPr="00853333">
          <w:rPr>
            <w:rStyle w:val="Hyperlink"/>
            <w:sz w:val="20"/>
            <w:szCs w:val="20"/>
          </w:rPr>
          <w:t>ahmedenbedo@hotmail.com</w:t>
        </w:r>
      </w:hyperlink>
    </w:p>
    <w:p w:rsidR="00085C1E" w:rsidRDefault="00085C1E" w:rsidP="00643B68">
      <w:pPr>
        <w:widowControl w:val="0"/>
        <w:tabs>
          <w:tab w:val="right" w:pos="5670"/>
        </w:tabs>
        <w:autoSpaceDE w:val="0"/>
        <w:autoSpaceDN w:val="0"/>
        <w:bidi w:val="0"/>
        <w:adjustRightInd w:val="0"/>
        <w:jc w:val="both"/>
        <w:rPr>
          <w:b/>
          <w:bCs/>
          <w:sz w:val="20"/>
          <w:szCs w:val="20"/>
        </w:rPr>
      </w:pPr>
    </w:p>
    <w:p w:rsidR="00E91096" w:rsidRPr="00643B68" w:rsidRDefault="00CA2A13" w:rsidP="00241D7F">
      <w:pPr>
        <w:widowControl w:val="0"/>
        <w:tabs>
          <w:tab w:val="right" w:pos="5670"/>
        </w:tabs>
        <w:autoSpaceDE w:val="0"/>
        <w:autoSpaceDN w:val="0"/>
        <w:bidi w:val="0"/>
        <w:adjustRightInd w:val="0"/>
        <w:snapToGrid w:val="0"/>
        <w:jc w:val="both"/>
        <w:rPr>
          <w:sz w:val="20"/>
          <w:szCs w:val="20"/>
        </w:rPr>
      </w:pPr>
      <w:r w:rsidRPr="00081507">
        <w:rPr>
          <w:b/>
          <w:bCs/>
          <w:sz w:val="20"/>
          <w:szCs w:val="20"/>
        </w:rPr>
        <w:t>Abstract</w:t>
      </w:r>
      <w:r w:rsidR="00085C1E">
        <w:rPr>
          <w:b/>
          <w:bCs/>
          <w:sz w:val="20"/>
          <w:szCs w:val="20"/>
        </w:rPr>
        <w:t>:</w:t>
      </w:r>
      <w:r w:rsidR="00312B46">
        <w:rPr>
          <w:b/>
          <w:bCs/>
          <w:sz w:val="20"/>
          <w:szCs w:val="20"/>
        </w:rPr>
        <w:t xml:space="preserve"> </w:t>
      </w:r>
      <w:r w:rsidR="00E91096" w:rsidRPr="00F24651">
        <w:rPr>
          <w:b/>
          <w:bCs/>
          <w:sz w:val="20"/>
          <w:szCs w:val="20"/>
        </w:rPr>
        <w:t>Objective</w:t>
      </w:r>
      <w:r w:rsidR="003162E5" w:rsidRPr="00081507">
        <w:rPr>
          <w:sz w:val="20"/>
          <w:szCs w:val="20"/>
        </w:rPr>
        <w:t>:</w:t>
      </w:r>
      <w:r w:rsidR="00E91096" w:rsidRPr="00081507">
        <w:rPr>
          <w:sz w:val="20"/>
          <w:szCs w:val="20"/>
        </w:rPr>
        <w:t xml:space="preserve"> </w:t>
      </w:r>
      <w:r w:rsidR="00E91096" w:rsidRPr="00BB7ADA">
        <w:rPr>
          <w:sz w:val="20"/>
          <w:szCs w:val="20"/>
        </w:rPr>
        <w:t xml:space="preserve">Until </w:t>
      </w:r>
      <w:r w:rsidR="00081507" w:rsidRPr="00BB7ADA">
        <w:rPr>
          <w:sz w:val="20"/>
          <w:szCs w:val="20"/>
        </w:rPr>
        <w:t xml:space="preserve">now </w:t>
      </w:r>
      <w:r w:rsidR="00081507" w:rsidRPr="00BB7ADA">
        <w:rPr>
          <w:color w:val="262626"/>
          <w:sz w:val="20"/>
          <w:szCs w:val="20"/>
        </w:rPr>
        <w:t>there</w:t>
      </w:r>
      <w:r w:rsidR="00E91096" w:rsidRPr="00BB7ADA">
        <w:rPr>
          <w:color w:val="262626"/>
          <w:sz w:val="20"/>
          <w:szCs w:val="20"/>
        </w:rPr>
        <w:t xml:space="preserve"> is no clear recommendation for the application of adjuvant chemotherapy in patients with colorectal cancer stage Dukes</w:t>
      </w:r>
      <w:r w:rsidR="00312B46">
        <w:rPr>
          <w:color w:val="262626"/>
          <w:sz w:val="20"/>
          <w:szCs w:val="20"/>
        </w:rPr>
        <w:t xml:space="preserve"> </w:t>
      </w:r>
      <w:r w:rsidR="00E91096" w:rsidRPr="00BB7ADA">
        <w:rPr>
          <w:color w:val="262626"/>
          <w:sz w:val="20"/>
          <w:szCs w:val="20"/>
        </w:rPr>
        <w:t>A</w:t>
      </w:r>
      <w:r w:rsidRPr="00BB7ADA">
        <w:rPr>
          <w:color w:val="262626"/>
          <w:sz w:val="20"/>
          <w:szCs w:val="20"/>
        </w:rPr>
        <w:t>,</w:t>
      </w:r>
      <w:r w:rsidR="00E91096" w:rsidRPr="00BB7ADA">
        <w:rPr>
          <w:sz w:val="20"/>
          <w:szCs w:val="20"/>
        </w:rPr>
        <w:t xml:space="preserve"> despite undergoing apparently curative resection, are at high risk of recurrence. We assessed whether the </w:t>
      </w:r>
      <w:proofErr w:type="spellStart"/>
      <w:proofErr w:type="gramStart"/>
      <w:r w:rsidR="00E91096" w:rsidRPr="00BB7ADA">
        <w:rPr>
          <w:sz w:val="20"/>
          <w:szCs w:val="20"/>
        </w:rPr>
        <w:t>doppler</w:t>
      </w:r>
      <w:proofErr w:type="spellEnd"/>
      <w:proofErr w:type="gramEnd"/>
      <w:r w:rsidR="00E91096" w:rsidRPr="00BB7ADA">
        <w:rPr>
          <w:sz w:val="20"/>
          <w:szCs w:val="20"/>
        </w:rPr>
        <w:t xml:space="preserve"> perfusion index (DPI; ratio of hepatic arterial to total liver blood flow) could be used to select patients who should receive adjuvant chemotherapy.</w:t>
      </w:r>
      <w:r w:rsidR="000F5C6D" w:rsidRPr="00BB7ADA">
        <w:rPr>
          <w:sz w:val="20"/>
          <w:szCs w:val="20"/>
        </w:rPr>
        <w:t xml:space="preserve"> </w:t>
      </w:r>
      <w:r w:rsidR="000F5C6D" w:rsidRPr="00BB7ADA">
        <w:rPr>
          <w:b/>
          <w:bCs/>
          <w:sz w:val="20"/>
          <w:szCs w:val="20"/>
        </w:rPr>
        <w:t>Aim</w:t>
      </w:r>
      <w:r w:rsidR="000F5C6D" w:rsidRPr="00BB7ADA">
        <w:rPr>
          <w:sz w:val="20"/>
          <w:szCs w:val="20"/>
        </w:rPr>
        <w:t>: to assess the value of DPI for selecting patients with early stage colorectal cancer undergoing curative surgery to receive adjuvant chemotherapy</w:t>
      </w:r>
      <w:r w:rsidR="00F24651" w:rsidRPr="00BB7ADA">
        <w:rPr>
          <w:sz w:val="20"/>
          <w:szCs w:val="20"/>
        </w:rPr>
        <w:t xml:space="preserve"> </w:t>
      </w:r>
      <w:r w:rsidR="00F24651" w:rsidRPr="00BB7ADA">
        <w:rPr>
          <w:b/>
          <w:bCs/>
          <w:sz w:val="20"/>
          <w:szCs w:val="20"/>
        </w:rPr>
        <w:t>Patients and</w:t>
      </w:r>
      <w:r w:rsidR="003162E5" w:rsidRPr="00BB7ADA">
        <w:rPr>
          <w:b/>
          <w:bCs/>
          <w:sz w:val="20"/>
          <w:szCs w:val="20"/>
        </w:rPr>
        <w:t xml:space="preserve"> </w:t>
      </w:r>
      <w:r w:rsidR="00F24651" w:rsidRPr="00BB7ADA">
        <w:rPr>
          <w:b/>
          <w:bCs/>
          <w:sz w:val="20"/>
          <w:szCs w:val="20"/>
        </w:rPr>
        <w:t>methods</w:t>
      </w:r>
      <w:r w:rsidR="00F24651" w:rsidRPr="00BB7ADA">
        <w:rPr>
          <w:sz w:val="20"/>
          <w:szCs w:val="20"/>
        </w:rPr>
        <w:t>:</w:t>
      </w:r>
      <w:r w:rsidR="00E91096" w:rsidRPr="00BB7ADA">
        <w:rPr>
          <w:sz w:val="20"/>
          <w:szCs w:val="20"/>
        </w:rPr>
        <w:t xml:space="preserve"> fifty patients (40 males and 10 females, median age 61, range 23-68) undergoing apparently curative surg</w:t>
      </w:r>
      <w:r w:rsidR="002004C2" w:rsidRPr="00BB7ADA">
        <w:rPr>
          <w:sz w:val="20"/>
          <w:szCs w:val="20"/>
        </w:rPr>
        <w:t>ery for colorectal cancer were s</w:t>
      </w:r>
      <w:r w:rsidR="00E91096" w:rsidRPr="00BB7ADA">
        <w:rPr>
          <w:sz w:val="20"/>
          <w:szCs w:val="20"/>
        </w:rPr>
        <w:t>taged using Dukes' classification</w:t>
      </w:r>
      <w:r w:rsidR="00F24651" w:rsidRPr="00BB7ADA">
        <w:rPr>
          <w:sz w:val="20"/>
          <w:szCs w:val="20"/>
        </w:rPr>
        <w:t>.</w:t>
      </w:r>
      <w:r w:rsidR="00E91096" w:rsidRPr="00BB7ADA">
        <w:rPr>
          <w:sz w:val="20"/>
          <w:szCs w:val="20"/>
        </w:rPr>
        <w:t xml:space="preserve"> In a</w:t>
      </w:r>
      <w:r w:rsidR="00F24651" w:rsidRPr="00BB7ADA">
        <w:rPr>
          <w:sz w:val="20"/>
          <w:szCs w:val="20"/>
        </w:rPr>
        <w:t xml:space="preserve">ddition, DPI was </w:t>
      </w:r>
      <w:r w:rsidR="00E91096" w:rsidRPr="00BB7ADA">
        <w:rPr>
          <w:sz w:val="20"/>
          <w:szCs w:val="20"/>
        </w:rPr>
        <w:t>measured before surgery by means of a duplex/color Dopple</w:t>
      </w:r>
      <w:r w:rsidR="00E91096" w:rsidRPr="00643B68">
        <w:rPr>
          <w:sz w:val="20"/>
          <w:szCs w:val="20"/>
        </w:rPr>
        <w:t xml:space="preserve">r </w:t>
      </w:r>
      <w:proofErr w:type="spellStart"/>
      <w:r w:rsidR="00E91096" w:rsidRPr="00643B68">
        <w:rPr>
          <w:sz w:val="20"/>
          <w:szCs w:val="20"/>
        </w:rPr>
        <w:t>sonography</w:t>
      </w:r>
      <w:proofErr w:type="spellEnd"/>
      <w:r w:rsidR="00F24651" w:rsidRPr="00643B68">
        <w:rPr>
          <w:sz w:val="20"/>
          <w:szCs w:val="20"/>
        </w:rPr>
        <w:t>.</w:t>
      </w:r>
      <w:r w:rsidR="00E91096" w:rsidRPr="00643B68">
        <w:rPr>
          <w:sz w:val="20"/>
          <w:szCs w:val="20"/>
        </w:rPr>
        <w:t xml:space="preserve"> A DPI value of at least 0.3 was defined as abnormal. After surgery patients were followed up for recurrences</w:t>
      </w:r>
      <w:r w:rsidR="00B526CD" w:rsidRPr="00643B68">
        <w:rPr>
          <w:sz w:val="20"/>
          <w:szCs w:val="20"/>
        </w:rPr>
        <w:t xml:space="preserve"> every three months for 3 years</w:t>
      </w:r>
      <w:r w:rsidR="00B526CD" w:rsidRPr="00643B68">
        <w:rPr>
          <w:b/>
          <w:bCs/>
          <w:sz w:val="20"/>
          <w:szCs w:val="20"/>
        </w:rPr>
        <w:t>.</w:t>
      </w:r>
      <w:r w:rsidR="003162E5" w:rsidRPr="00643B68">
        <w:rPr>
          <w:b/>
          <w:bCs/>
          <w:sz w:val="20"/>
          <w:szCs w:val="20"/>
        </w:rPr>
        <w:t xml:space="preserve"> </w:t>
      </w:r>
      <w:r w:rsidR="00E91096" w:rsidRPr="00643B68">
        <w:rPr>
          <w:b/>
          <w:bCs/>
          <w:sz w:val="20"/>
          <w:szCs w:val="20"/>
        </w:rPr>
        <w:t>Results</w:t>
      </w:r>
      <w:r w:rsidR="00E91096" w:rsidRPr="00643B68">
        <w:rPr>
          <w:sz w:val="20"/>
          <w:szCs w:val="20"/>
        </w:rPr>
        <w:t>:</w:t>
      </w:r>
      <w:r w:rsidR="00F24651" w:rsidRPr="00643B68">
        <w:rPr>
          <w:sz w:val="20"/>
          <w:szCs w:val="20"/>
        </w:rPr>
        <w:t xml:space="preserve"> p</w:t>
      </w:r>
      <w:r w:rsidR="00E91096" w:rsidRPr="00643B68">
        <w:rPr>
          <w:sz w:val="20"/>
          <w:szCs w:val="20"/>
        </w:rPr>
        <w:t>atients with normal DPI h</w:t>
      </w:r>
      <w:r w:rsidR="00223A66" w:rsidRPr="00643B68">
        <w:rPr>
          <w:sz w:val="20"/>
          <w:szCs w:val="20"/>
        </w:rPr>
        <w:t>ad recurrence-free survival of 80% and overall survival of 85%, compared with 43.3% and 60</w:t>
      </w:r>
      <w:r w:rsidR="00E91096" w:rsidRPr="00643B68">
        <w:rPr>
          <w:sz w:val="20"/>
          <w:szCs w:val="20"/>
        </w:rPr>
        <w:t xml:space="preserve">% for those with abnormal DPI </w:t>
      </w:r>
      <w:r w:rsidR="00081507" w:rsidRPr="00643B68">
        <w:rPr>
          <w:sz w:val="20"/>
          <w:szCs w:val="20"/>
        </w:rPr>
        <w:t xml:space="preserve">values. </w:t>
      </w:r>
      <w:r w:rsidR="00E91096" w:rsidRPr="00643B68">
        <w:rPr>
          <w:b/>
          <w:bCs/>
          <w:sz w:val="20"/>
          <w:szCs w:val="20"/>
        </w:rPr>
        <w:t>Conclusion</w:t>
      </w:r>
      <w:r w:rsidRPr="00643B68">
        <w:rPr>
          <w:b/>
          <w:bCs/>
          <w:sz w:val="20"/>
          <w:szCs w:val="20"/>
        </w:rPr>
        <w:t>:</w:t>
      </w:r>
      <w:r w:rsidR="00E91096" w:rsidRPr="00643B68">
        <w:rPr>
          <w:sz w:val="20"/>
          <w:szCs w:val="20"/>
        </w:rPr>
        <w:t xml:space="preserve"> we conclude </w:t>
      </w:r>
      <w:r w:rsidRPr="00643B68">
        <w:rPr>
          <w:sz w:val="20"/>
          <w:szCs w:val="20"/>
        </w:rPr>
        <w:t>that;</w:t>
      </w:r>
      <w:r w:rsidR="00E91096" w:rsidRPr="00643B68">
        <w:rPr>
          <w:sz w:val="20"/>
          <w:szCs w:val="20"/>
        </w:rPr>
        <w:t xml:space="preserve"> DPI can be </w:t>
      </w:r>
      <w:r w:rsidRPr="00643B68">
        <w:rPr>
          <w:sz w:val="20"/>
          <w:szCs w:val="20"/>
        </w:rPr>
        <w:t>used to</w:t>
      </w:r>
      <w:r w:rsidR="00E91096" w:rsidRPr="00643B68">
        <w:rPr>
          <w:sz w:val="20"/>
          <w:szCs w:val="20"/>
        </w:rPr>
        <w:t xml:space="preserve"> identify patients with early stage colorectal cancer at high risk of recurrence who are in need for adjuvant treatment </w:t>
      </w:r>
    </w:p>
    <w:p w:rsidR="008A517E" w:rsidRPr="00643B68" w:rsidRDefault="00085C1E" w:rsidP="00643B68">
      <w:pPr>
        <w:pStyle w:val="NoSpacing"/>
        <w:snapToGrid w:val="0"/>
        <w:spacing w:before="0" w:beforeAutospacing="0" w:after="0" w:afterAutospacing="0"/>
        <w:jc w:val="both"/>
        <w:rPr>
          <w:sz w:val="20"/>
          <w:szCs w:val="20"/>
        </w:rPr>
      </w:pPr>
      <w:r w:rsidRPr="00643B68">
        <w:rPr>
          <w:sz w:val="20"/>
          <w:szCs w:val="20"/>
          <w:lang w:bidi="ar-EG"/>
        </w:rPr>
        <w:t>[</w:t>
      </w:r>
      <w:r w:rsidR="00866679" w:rsidRPr="00643B68">
        <w:rPr>
          <w:sz w:val="20"/>
          <w:szCs w:val="20"/>
          <w:lang w:bidi="ar-EG"/>
        </w:rPr>
        <w:t xml:space="preserve">Ahmad </w:t>
      </w:r>
      <w:proofErr w:type="spellStart"/>
      <w:r w:rsidR="00866679" w:rsidRPr="00643B68">
        <w:rPr>
          <w:sz w:val="20"/>
          <w:szCs w:val="20"/>
          <w:lang w:bidi="ar-EG"/>
        </w:rPr>
        <w:t>Alhosainy</w:t>
      </w:r>
      <w:proofErr w:type="spellEnd"/>
      <w:r w:rsidR="00866679" w:rsidRPr="00643B68">
        <w:rPr>
          <w:sz w:val="20"/>
          <w:szCs w:val="20"/>
          <w:lang w:bidi="ar-EG"/>
        </w:rPr>
        <w:t xml:space="preserve">, Ahmed Z. </w:t>
      </w:r>
      <w:proofErr w:type="spellStart"/>
      <w:r w:rsidR="00866679" w:rsidRPr="00643B68">
        <w:rPr>
          <w:sz w:val="20"/>
          <w:szCs w:val="20"/>
          <w:lang w:bidi="ar-EG"/>
        </w:rPr>
        <w:t>Alattar</w:t>
      </w:r>
      <w:proofErr w:type="spellEnd"/>
      <w:r w:rsidR="00866679" w:rsidRPr="00643B68">
        <w:rPr>
          <w:sz w:val="20"/>
          <w:szCs w:val="20"/>
          <w:lang w:bidi="ar-EG"/>
        </w:rPr>
        <w:t xml:space="preserve">, </w:t>
      </w:r>
      <w:proofErr w:type="spellStart"/>
      <w:r w:rsidR="00866679" w:rsidRPr="00643B68">
        <w:rPr>
          <w:sz w:val="20"/>
          <w:szCs w:val="20"/>
          <w:lang w:bidi="ar-EG"/>
        </w:rPr>
        <w:t>Abd</w:t>
      </w:r>
      <w:proofErr w:type="spellEnd"/>
      <w:r w:rsidR="00866679" w:rsidRPr="00643B68">
        <w:rPr>
          <w:sz w:val="20"/>
          <w:szCs w:val="20"/>
          <w:lang w:bidi="ar-EG"/>
        </w:rPr>
        <w:t xml:space="preserve"> </w:t>
      </w:r>
      <w:proofErr w:type="spellStart"/>
      <w:r w:rsidR="00866679" w:rsidRPr="00643B68">
        <w:rPr>
          <w:sz w:val="20"/>
          <w:szCs w:val="20"/>
          <w:lang w:bidi="ar-EG"/>
        </w:rPr>
        <w:t>Elmotaleb</w:t>
      </w:r>
      <w:proofErr w:type="spellEnd"/>
      <w:r w:rsidR="00866679" w:rsidRPr="00643B68">
        <w:rPr>
          <w:sz w:val="20"/>
          <w:szCs w:val="20"/>
          <w:lang w:bidi="ar-EG"/>
        </w:rPr>
        <w:t xml:space="preserve"> Mohamed, </w:t>
      </w:r>
      <w:proofErr w:type="spellStart"/>
      <w:r w:rsidR="00866679" w:rsidRPr="00643B68">
        <w:rPr>
          <w:sz w:val="20"/>
          <w:szCs w:val="20"/>
          <w:lang w:bidi="ar-EG"/>
        </w:rPr>
        <w:t>Inas</w:t>
      </w:r>
      <w:proofErr w:type="spellEnd"/>
      <w:r w:rsidR="00866679" w:rsidRPr="00643B68">
        <w:rPr>
          <w:sz w:val="20"/>
          <w:szCs w:val="20"/>
          <w:lang w:bidi="ar-EG"/>
        </w:rPr>
        <w:t xml:space="preserve"> M.</w:t>
      </w:r>
      <w:r w:rsidR="004772FE" w:rsidRPr="00643B68">
        <w:rPr>
          <w:sz w:val="20"/>
          <w:szCs w:val="20"/>
          <w:lang w:bidi="ar-EG"/>
        </w:rPr>
        <w:t xml:space="preserve"> </w:t>
      </w:r>
      <w:proofErr w:type="spellStart"/>
      <w:r w:rsidR="00866679" w:rsidRPr="00643B68">
        <w:rPr>
          <w:sz w:val="20"/>
          <w:szCs w:val="20"/>
          <w:lang w:bidi="ar-EG"/>
        </w:rPr>
        <w:t>Elfiki</w:t>
      </w:r>
      <w:proofErr w:type="spellEnd"/>
      <w:r w:rsidR="00866679" w:rsidRPr="00643B68">
        <w:rPr>
          <w:sz w:val="20"/>
          <w:szCs w:val="20"/>
          <w:lang w:bidi="ar-EG"/>
        </w:rPr>
        <w:t xml:space="preserve">, </w:t>
      </w:r>
      <w:proofErr w:type="spellStart"/>
      <w:r w:rsidR="00866679" w:rsidRPr="00643B68">
        <w:rPr>
          <w:sz w:val="20"/>
          <w:szCs w:val="20"/>
          <w:lang w:bidi="ar-EG"/>
        </w:rPr>
        <w:t>Jihan</w:t>
      </w:r>
      <w:proofErr w:type="spellEnd"/>
      <w:r w:rsidR="00866679" w:rsidRPr="00643B68">
        <w:rPr>
          <w:sz w:val="20"/>
          <w:szCs w:val="20"/>
          <w:lang w:bidi="ar-EG"/>
        </w:rPr>
        <w:t xml:space="preserve"> A. </w:t>
      </w:r>
      <w:proofErr w:type="spellStart"/>
      <w:r w:rsidR="00866679" w:rsidRPr="00643B68">
        <w:rPr>
          <w:sz w:val="20"/>
          <w:szCs w:val="20"/>
          <w:lang w:bidi="ar-EG"/>
        </w:rPr>
        <w:t>Shawky</w:t>
      </w:r>
      <w:proofErr w:type="spellEnd"/>
      <w:r w:rsidR="00866679" w:rsidRPr="00643B68">
        <w:rPr>
          <w:sz w:val="20"/>
          <w:szCs w:val="20"/>
          <w:lang w:bidi="ar-EG"/>
        </w:rPr>
        <w:t>, and</w:t>
      </w:r>
      <w:r w:rsidR="00E04965" w:rsidRPr="00643B68">
        <w:rPr>
          <w:sz w:val="20"/>
          <w:szCs w:val="20"/>
          <w:lang w:bidi="ar-EG"/>
        </w:rPr>
        <w:t xml:space="preserve"> </w:t>
      </w:r>
      <w:proofErr w:type="spellStart"/>
      <w:r w:rsidR="00E04965" w:rsidRPr="00643B68">
        <w:rPr>
          <w:sz w:val="20"/>
          <w:szCs w:val="20"/>
          <w:lang w:bidi="ar-EG"/>
        </w:rPr>
        <w:t>Abd</w:t>
      </w:r>
      <w:proofErr w:type="spellEnd"/>
      <w:r w:rsidRPr="00643B68">
        <w:rPr>
          <w:sz w:val="20"/>
          <w:szCs w:val="20"/>
          <w:lang w:bidi="ar-EG"/>
        </w:rPr>
        <w:t xml:space="preserve"> </w:t>
      </w:r>
      <w:proofErr w:type="spellStart"/>
      <w:r w:rsidRPr="00643B68">
        <w:rPr>
          <w:sz w:val="20"/>
          <w:szCs w:val="20"/>
          <w:lang w:bidi="ar-EG"/>
        </w:rPr>
        <w:t>Elhafez</w:t>
      </w:r>
      <w:proofErr w:type="spellEnd"/>
      <w:r w:rsidRPr="00643B68">
        <w:rPr>
          <w:sz w:val="20"/>
          <w:szCs w:val="20"/>
          <w:lang w:bidi="ar-EG"/>
        </w:rPr>
        <w:t xml:space="preserve"> M. </w:t>
      </w:r>
      <w:proofErr w:type="spellStart"/>
      <w:r w:rsidRPr="00643B68">
        <w:rPr>
          <w:sz w:val="20"/>
          <w:szCs w:val="20"/>
          <w:lang w:bidi="ar-EG"/>
        </w:rPr>
        <w:t>Elsheweal</w:t>
      </w:r>
      <w:proofErr w:type="spellEnd"/>
      <w:r w:rsidR="00643B68">
        <w:rPr>
          <w:rFonts w:hint="eastAsia"/>
          <w:sz w:val="20"/>
          <w:szCs w:val="20"/>
          <w:lang w:bidi="ar-EG"/>
        </w:rPr>
        <w:t>.</w:t>
      </w:r>
      <w:r w:rsidRPr="00643B68">
        <w:rPr>
          <w:sz w:val="20"/>
          <w:szCs w:val="20"/>
          <w:lang w:bidi="ar-EG"/>
        </w:rPr>
        <w:t xml:space="preserve"> </w:t>
      </w:r>
      <w:proofErr w:type="gramStart"/>
      <w:r w:rsidR="00081507" w:rsidRPr="00643B68">
        <w:rPr>
          <w:b/>
          <w:bCs/>
          <w:sz w:val="20"/>
          <w:szCs w:val="20"/>
        </w:rPr>
        <w:t>Value of Doppler Perfusion Index in Early Colorectal Cancer for Adjuvant Chemotherapy</w:t>
      </w:r>
      <w:r w:rsidR="008A517E" w:rsidRPr="00643B68">
        <w:rPr>
          <w:rFonts w:eastAsia="Times New Roman"/>
          <w:b/>
          <w:bCs/>
          <w:sz w:val="20"/>
          <w:szCs w:val="20"/>
          <w:lang w:bidi="fa-IR"/>
        </w:rPr>
        <w:t>.</w:t>
      </w:r>
      <w:proofErr w:type="gramEnd"/>
      <w:r w:rsidR="008A517E" w:rsidRPr="00643B68">
        <w:rPr>
          <w:i/>
          <w:sz w:val="20"/>
          <w:szCs w:val="20"/>
        </w:rPr>
        <w:t xml:space="preserve"> Cancer Biology</w:t>
      </w:r>
      <w:r w:rsidR="008A517E" w:rsidRPr="00643B68">
        <w:rPr>
          <w:sz w:val="20"/>
          <w:szCs w:val="20"/>
        </w:rPr>
        <w:t xml:space="preserve"> 201</w:t>
      </w:r>
      <w:r w:rsidR="008A517E" w:rsidRPr="00643B68">
        <w:rPr>
          <w:rFonts w:hint="eastAsia"/>
          <w:sz w:val="20"/>
          <w:szCs w:val="20"/>
        </w:rPr>
        <w:t>5</w:t>
      </w:r>
      <w:r w:rsidR="008A517E" w:rsidRPr="00643B68">
        <w:rPr>
          <w:sz w:val="20"/>
          <w:szCs w:val="20"/>
        </w:rPr>
        <w:t>;</w:t>
      </w:r>
      <w:r w:rsidR="008A517E" w:rsidRPr="00643B68">
        <w:rPr>
          <w:rFonts w:hint="eastAsia"/>
          <w:sz w:val="20"/>
          <w:szCs w:val="20"/>
        </w:rPr>
        <w:t>5</w:t>
      </w:r>
      <w:r w:rsidR="008A517E" w:rsidRPr="00643B68">
        <w:rPr>
          <w:sz w:val="20"/>
          <w:szCs w:val="20"/>
        </w:rPr>
        <w:t>(</w:t>
      </w:r>
      <w:r w:rsidR="008A517E" w:rsidRPr="00643B68">
        <w:rPr>
          <w:rFonts w:hint="eastAsia"/>
          <w:sz w:val="20"/>
          <w:szCs w:val="20"/>
        </w:rPr>
        <w:t>4</w:t>
      </w:r>
      <w:r w:rsidR="008A517E" w:rsidRPr="00643B68">
        <w:rPr>
          <w:sz w:val="20"/>
          <w:szCs w:val="20"/>
        </w:rPr>
        <w:t>):</w:t>
      </w:r>
      <w:r w:rsidR="006F3B90">
        <w:rPr>
          <w:noProof/>
          <w:color w:val="000000"/>
          <w:sz w:val="20"/>
          <w:szCs w:val="20"/>
        </w:rPr>
        <w:t>68</w:t>
      </w:r>
      <w:r w:rsidR="008A517E" w:rsidRPr="00643B68">
        <w:rPr>
          <w:color w:val="000000"/>
          <w:sz w:val="20"/>
          <w:szCs w:val="20"/>
        </w:rPr>
        <w:t>-</w:t>
      </w:r>
      <w:r w:rsidR="006F3B90">
        <w:rPr>
          <w:noProof/>
          <w:color w:val="000000"/>
          <w:sz w:val="20"/>
          <w:szCs w:val="20"/>
        </w:rPr>
        <w:t>75</w:t>
      </w:r>
      <w:r w:rsidR="008A517E" w:rsidRPr="00643B68">
        <w:rPr>
          <w:sz w:val="20"/>
          <w:szCs w:val="20"/>
        </w:rPr>
        <w:t>]. (ISSN:</w:t>
      </w:r>
      <w:r w:rsidR="008A517E" w:rsidRPr="00643B68">
        <w:rPr>
          <w:rStyle w:val="Absatz-Standardschriftart"/>
          <w:rFonts w:eastAsia="宋"/>
          <w:b/>
          <w:sz w:val="20"/>
          <w:szCs w:val="20"/>
        </w:rPr>
        <w:t xml:space="preserve"> </w:t>
      </w:r>
      <w:r w:rsidR="008A517E" w:rsidRPr="00643B68">
        <w:rPr>
          <w:rStyle w:val="msonormal0"/>
          <w:rFonts w:eastAsia="宋"/>
          <w:sz w:val="20"/>
          <w:szCs w:val="20"/>
        </w:rPr>
        <w:t>2150-1041</w:t>
      </w:r>
      <w:r w:rsidR="008A517E" w:rsidRPr="00643B68">
        <w:rPr>
          <w:sz w:val="20"/>
          <w:szCs w:val="20"/>
        </w:rPr>
        <w:t xml:space="preserve">). </w:t>
      </w:r>
      <w:hyperlink r:id="rId8" w:history="1">
        <w:r w:rsidR="008A517E" w:rsidRPr="00643B68">
          <w:rPr>
            <w:rStyle w:val="Hyperlink"/>
            <w:sz w:val="20"/>
            <w:szCs w:val="20"/>
          </w:rPr>
          <w:t>http://www.cancerbio.net</w:t>
        </w:r>
      </w:hyperlink>
      <w:r w:rsidR="008A517E" w:rsidRPr="00643B68">
        <w:rPr>
          <w:sz w:val="20"/>
          <w:szCs w:val="20"/>
        </w:rPr>
        <w:t>.</w:t>
      </w:r>
      <w:r w:rsidR="008A517E" w:rsidRPr="00643B68">
        <w:rPr>
          <w:rFonts w:hint="eastAsia"/>
          <w:sz w:val="20"/>
          <w:szCs w:val="20"/>
        </w:rPr>
        <w:t xml:space="preserve"> </w:t>
      </w:r>
      <w:r w:rsidR="00643B68">
        <w:rPr>
          <w:rFonts w:hint="eastAsia"/>
          <w:sz w:val="20"/>
          <w:szCs w:val="20"/>
        </w:rPr>
        <w:t>8</w:t>
      </w:r>
      <w:r w:rsidR="008A517E" w:rsidRPr="00643B68">
        <w:rPr>
          <w:rFonts w:hint="eastAsia"/>
          <w:sz w:val="20"/>
          <w:szCs w:val="20"/>
        </w:rPr>
        <w:t xml:space="preserve">. </w:t>
      </w:r>
      <w:proofErr w:type="gramStart"/>
      <w:r w:rsidR="008A517E" w:rsidRPr="00643B68">
        <w:rPr>
          <w:color w:val="000000"/>
          <w:sz w:val="20"/>
          <w:szCs w:val="20"/>
          <w:shd w:val="clear" w:color="auto" w:fill="FFFFFF"/>
        </w:rPr>
        <w:t>doi</w:t>
      </w:r>
      <w:proofErr w:type="gramEnd"/>
      <w:r w:rsidR="008A517E" w:rsidRPr="00643B68">
        <w:rPr>
          <w:color w:val="000000"/>
          <w:sz w:val="20"/>
          <w:szCs w:val="20"/>
          <w:shd w:val="clear" w:color="auto" w:fill="FFFFFF"/>
        </w:rPr>
        <w:t>:</w:t>
      </w:r>
      <w:hyperlink r:id="rId9" w:history="1">
        <w:r w:rsidR="008A517E" w:rsidRPr="00643B68">
          <w:rPr>
            <w:rStyle w:val="Hyperlink"/>
            <w:sz w:val="20"/>
            <w:szCs w:val="20"/>
            <w:shd w:val="clear" w:color="auto" w:fill="FFFFFF"/>
          </w:rPr>
          <w:t>10.7537/mars</w:t>
        </w:r>
        <w:r w:rsidR="008A517E" w:rsidRPr="00643B68">
          <w:rPr>
            <w:rStyle w:val="Hyperlink"/>
            <w:rFonts w:hint="eastAsia"/>
            <w:sz w:val="20"/>
            <w:szCs w:val="20"/>
            <w:shd w:val="clear" w:color="auto" w:fill="FFFFFF"/>
          </w:rPr>
          <w:t>cbj0504</w:t>
        </w:r>
        <w:r w:rsidR="008A517E" w:rsidRPr="00643B68">
          <w:rPr>
            <w:rStyle w:val="Hyperlink"/>
            <w:sz w:val="20"/>
            <w:szCs w:val="20"/>
            <w:shd w:val="clear" w:color="auto" w:fill="FFFFFF"/>
          </w:rPr>
          <w:t>15.0</w:t>
        </w:r>
        <w:r w:rsidR="00643B68">
          <w:rPr>
            <w:rStyle w:val="Hyperlink"/>
            <w:rFonts w:hint="eastAsia"/>
            <w:sz w:val="20"/>
            <w:szCs w:val="20"/>
            <w:shd w:val="clear" w:color="auto" w:fill="FFFFFF"/>
          </w:rPr>
          <w:t>8</w:t>
        </w:r>
      </w:hyperlink>
      <w:r w:rsidR="008A517E" w:rsidRPr="00643B68">
        <w:rPr>
          <w:color w:val="000000"/>
          <w:sz w:val="20"/>
          <w:szCs w:val="20"/>
          <w:shd w:val="clear" w:color="auto" w:fill="FFFFFF"/>
        </w:rPr>
        <w:t>.</w:t>
      </w:r>
    </w:p>
    <w:p w:rsidR="00081507" w:rsidRPr="00643B68" w:rsidRDefault="00A061E2" w:rsidP="00643B68">
      <w:pPr>
        <w:bidi w:val="0"/>
        <w:snapToGrid w:val="0"/>
        <w:jc w:val="both"/>
        <w:rPr>
          <w:sz w:val="20"/>
          <w:szCs w:val="20"/>
          <w:lang w:bidi="ar-EG"/>
        </w:rPr>
      </w:pPr>
      <w:r w:rsidRPr="00643B68">
        <w:rPr>
          <w:sz w:val="20"/>
          <w:szCs w:val="20"/>
        </w:rPr>
        <w:t xml:space="preserve"> </w:t>
      </w:r>
    </w:p>
    <w:p w:rsidR="00E91096" w:rsidRPr="00643B68" w:rsidRDefault="00E91096" w:rsidP="00643B68">
      <w:pPr>
        <w:widowControl w:val="0"/>
        <w:autoSpaceDE w:val="0"/>
        <w:autoSpaceDN w:val="0"/>
        <w:bidi w:val="0"/>
        <w:adjustRightInd w:val="0"/>
        <w:snapToGrid w:val="0"/>
        <w:ind w:right="360"/>
        <w:jc w:val="both"/>
        <w:rPr>
          <w:b/>
          <w:bCs/>
          <w:sz w:val="20"/>
          <w:szCs w:val="20"/>
        </w:rPr>
      </w:pPr>
      <w:r w:rsidRPr="00643B68">
        <w:rPr>
          <w:b/>
          <w:bCs/>
          <w:sz w:val="20"/>
          <w:szCs w:val="20"/>
        </w:rPr>
        <w:t>Key words:</w:t>
      </w:r>
      <w:r w:rsidRPr="00643B68">
        <w:rPr>
          <w:sz w:val="20"/>
          <w:szCs w:val="20"/>
        </w:rPr>
        <w:t xml:space="preserve"> DPI, colorectal cancer, Dukes’ stage A and B</w:t>
      </w:r>
      <w:r w:rsidRPr="00643B68">
        <w:rPr>
          <w:b/>
          <w:bCs/>
          <w:sz w:val="20"/>
          <w:szCs w:val="20"/>
        </w:rPr>
        <w:t>.</w:t>
      </w:r>
    </w:p>
    <w:p w:rsidR="00E91096" w:rsidRPr="00643B68" w:rsidRDefault="00E91096" w:rsidP="00643B68">
      <w:pPr>
        <w:widowControl w:val="0"/>
        <w:autoSpaceDE w:val="0"/>
        <w:autoSpaceDN w:val="0"/>
        <w:bidi w:val="0"/>
        <w:adjustRightInd w:val="0"/>
        <w:snapToGrid w:val="0"/>
        <w:jc w:val="both"/>
        <w:rPr>
          <w:b/>
          <w:bCs/>
          <w:sz w:val="20"/>
          <w:szCs w:val="20"/>
        </w:rPr>
      </w:pPr>
    </w:p>
    <w:p w:rsidR="00E0187C" w:rsidRPr="00643B68" w:rsidRDefault="00E0187C" w:rsidP="00643B68">
      <w:pPr>
        <w:widowControl w:val="0"/>
        <w:autoSpaceDE w:val="0"/>
        <w:autoSpaceDN w:val="0"/>
        <w:bidi w:val="0"/>
        <w:adjustRightInd w:val="0"/>
        <w:snapToGrid w:val="0"/>
        <w:jc w:val="both"/>
        <w:rPr>
          <w:sz w:val="20"/>
          <w:szCs w:val="20"/>
        </w:rPr>
        <w:sectPr w:rsidR="00E0187C" w:rsidRPr="00643B68" w:rsidSect="006F3B90">
          <w:headerReference w:type="default" r:id="rId10"/>
          <w:footerReference w:type="default" r:id="rId11"/>
          <w:type w:val="continuous"/>
          <w:pgSz w:w="12240" w:h="15840" w:code="1"/>
          <w:pgMar w:top="1440" w:right="1440" w:bottom="1440" w:left="1440" w:header="720" w:footer="720" w:gutter="0"/>
          <w:pgNumType w:start="68"/>
          <w:cols w:space="720"/>
          <w:noEndnote/>
          <w:docGrid w:linePitch="326"/>
        </w:sectPr>
      </w:pPr>
    </w:p>
    <w:p w:rsidR="00503EA1" w:rsidRPr="00643B68" w:rsidRDefault="00503EA1" w:rsidP="00643B68">
      <w:pPr>
        <w:widowControl w:val="0"/>
        <w:autoSpaceDE w:val="0"/>
        <w:autoSpaceDN w:val="0"/>
        <w:bidi w:val="0"/>
        <w:adjustRightInd w:val="0"/>
        <w:snapToGrid w:val="0"/>
        <w:jc w:val="both"/>
        <w:rPr>
          <w:color w:val="262626"/>
          <w:sz w:val="20"/>
          <w:szCs w:val="20"/>
        </w:rPr>
      </w:pPr>
      <w:r w:rsidRPr="00643B68">
        <w:rPr>
          <w:b/>
          <w:bCs/>
          <w:sz w:val="20"/>
          <w:szCs w:val="20"/>
        </w:rPr>
        <w:lastRenderedPageBreak/>
        <w:t>1. Introduction</w:t>
      </w:r>
      <w:r w:rsidRPr="00643B68">
        <w:rPr>
          <w:color w:val="262626"/>
          <w:sz w:val="20"/>
          <w:szCs w:val="20"/>
        </w:rPr>
        <w:t xml:space="preserve">: </w:t>
      </w:r>
    </w:p>
    <w:p w:rsidR="00503EA1" w:rsidRPr="00085C1E" w:rsidRDefault="00503EA1" w:rsidP="00643B68">
      <w:pPr>
        <w:widowControl w:val="0"/>
        <w:autoSpaceDE w:val="0"/>
        <w:autoSpaceDN w:val="0"/>
        <w:bidi w:val="0"/>
        <w:adjustRightInd w:val="0"/>
        <w:snapToGrid w:val="0"/>
        <w:ind w:firstLine="425"/>
        <w:jc w:val="both"/>
        <w:rPr>
          <w:sz w:val="20"/>
          <w:szCs w:val="20"/>
        </w:rPr>
      </w:pPr>
      <w:r w:rsidRPr="00643B68">
        <w:rPr>
          <w:sz w:val="20"/>
          <w:szCs w:val="20"/>
        </w:rPr>
        <w:t>According to epidemiological research,</w:t>
      </w:r>
      <w:r w:rsidR="00312B46">
        <w:rPr>
          <w:sz w:val="20"/>
          <w:szCs w:val="20"/>
        </w:rPr>
        <w:t xml:space="preserve"> </w:t>
      </w:r>
      <w:r w:rsidRPr="00643B68">
        <w:rPr>
          <w:sz w:val="20"/>
          <w:szCs w:val="20"/>
        </w:rPr>
        <w:t xml:space="preserve">the main cause of death of patients with colorectal cancer is liver metastases (1). It is well known that approximately 25% of patients with colorectal cancer already have liver metastases, and another 25% of patients develop liver metastases during follow up, usually within the first 2 years after </w:t>
      </w:r>
      <w:r w:rsidRPr="00085C1E">
        <w:rPr>
          <w:sz w:val="20"/>
          <w:szCs w:val="20"/>
        </w:rPr>
        <w:t xml:space="preserve">the diagnosis of the primary colorectal tumor (2, 3). Adjuvant chemotherapy (5-fluorouracil with </w:t>
      </w:r>
      <w:proofErr w:type="spellStart"/>
      <w:r w:rsidRPr="00085C1E">
        <w:rPr>
          <w:sz w:val="20"/>
          <w:szCs w:val="20"/>
        </w:rPr>
        <w:t>levamisole</w:t>
      </w:r>
      <w:proofErr w:type="spellEnd"/>
      <w:r w:rsidRPr="00085C1E">
        <w:rPr>
          <w:sz w:val="20"/>
          <w:szCs w:val="20"/>
        </w:rPr>
        <w:t xml:space="preserve"> or 5-fluorouracil with </w:t>
      </w:r>
      <w:proofErr w:type="spellStart"/>
      <w:r w:rsidRPr="00085C1E">
        <w:rPr>
          <w:sz w:val="20"/>
          <w:szCs w:val="20"/>
        </w:rPr>
        <w:t>folinic</w:t>
      </w:r>
      <w:proofErr w:type="spellEnd"/>
      <w:r w:rsidRPr="00085C1E">
        <w:rPr>
          <w:sz w:val="20"/>
          <w:szCs w:val="20"/>
        </w:rPr>
        <w:t xml:space="preserve"> acid) leads to a 40% reduction in the rate of recurrence and metastases, and 33% reduction in mortality rates of patients with Dukes C colon cancer (4</w:t>
      </w:r>
      <w:proofErr w:type="gramStart"/>
      <w:r w:rsidRPr="00085C1E">
        <w:rPr>
          <w:sz w:val="20"/>
          <w:szCs w:val="20"/>
        </w:rPr>
        <w:t>,5</w:t>
      </w:r>
      <w:proofErr w:type="gramEnd"/>
      <w:r w:rsidRPr="00085C1E">
        <w:rPr>
          <w:sz w:val="20"/>
          <w:szCs w:val="20"/>
        </w:rPr>
        <w:t>). Despite that, approximately one third of patients with Dukes C colon cancer will survive 5 years even without adjuvant chemotherapy. On the other hand, approximately 30% of patients with Dukes B colon cancer will develop progressive disease. However, the clear recommendation for the application of adjuvant chemotherapy in patients with colorectal cancer stage Dukes</w:t>
      </w:r>
      <w:r w:rsidR="00312B46">
        <w:rPr>
          <w:sz w:val="20"/>
          <w:szCs w:val="20"/>
        </w:rPr>
        <w:t xml:space="preserve"> </w:t>
      </w:r>
      <w:r w:rsidRPr="00085C1E">
        <w:rPr>
          <w:sz w:val="20"/>
          <w:szCs w:val="20"/>
        </w:rPr>
        <w:t>B is not well established (6)</w:t>
      </w:r>
      <w:r w:rsidR="00312B46">
        <w:rPr>
          <w:sz w:val="20"/>
          <w:szCs w:val="20"/>
        </w:rPr>
        <w:t xml:space="preserve"> </w:t>
      </w:r>
      <w:r w:rsidRPr="00085C1E">
        <w:rPr>
          <w:sz w:val="20"/>
          <w:szCs w:val="20"/>
        </w:rPr>
        <w:t xml:space="preserve">The sensitivity of imaging methods for detection of lesions smaller than 1cm is in the region of 50% when surgery and </w:t>
      </w:r>
      <w:proofErr w:type="spellStart"/>
      <w:r w:rsidRPr="00085C1E">
        <w:rPr>
          <w:sz w:val="20"/>
          <w:szCs w:val="20"/>
        </w:rPr>
        <w:t>intraoperative</w:t>
      </w:r>
      <w:proofErr w:type="spellEnd"/>
      <w:r w:rsidRPr="00085C1E">
        <w:rPr>
          <w:sz w:val="20"/>
          <w:szCs w:val="20"/>
        </w:rPr>
        <w:t xml:space="preserve"> ultrasound are used </w:t>
      </w:r>
      <w:r w:rsidRPr="00085C1E">
        <w:rPr>
          <w:spacing w:val="-4"/>
          <w:sz w:val="20"/>
          <w:szCs w:val="20"/>
        </w:rPr>
        <w:t>as the gold standard, but the accuracy of this reference standard itself cannot be established</w:t>
      </w:r>
      <w:r w:rsidRPr="00085C1E">
        <w:rPr>
          <w:sz w:val="20"/>
          <w:szCs w:val="20"/>
        </w:rPr>
        <w:t xml:space="preserve"> </w:t>
      </w:r>
      <w:r w:rsidRPr="00085C1E">
        <w:rPr>
          <w:b/>
          <w:bCs/>
          <w:sz w:val="20"/>
          <w:szCs w:val="20"/>
          <w:vertAlign w:val="superscript"/>
        </w:rPr>
        <w:t>(7</w:t>
      </w:r>
      <w:proofErr w:type="gramStart"/>
      <w:r w:rsidRPr="00085C1E">
        <w:rPr>
          <w:b/>
          <w:bCs/>
          <w:sz w:val="20"/>
          <w:szCs w:val="20"/>
          <w:vertAlign w:val="superscript"/>
        </w:rPr>
        <w:t>,8</w:t>
      </w:r>
      <w:proofErr w:type="gramEnd"/>
      <w:r w:rsidRPr="00085C1E">
        <w:rPr>
          <w:b/>
          <w:bCs/>
          <w:sz w:val="20"/>
          <w:szCs w:val="20"/>
          <w:vertAlign w:val="superscript"/>
        </w:rPr>
        <w:t>)</w:t>
      </w:r>
      <w:r w:rsidRPr="00085C1E">
        <w:rPr>
          <w:sz w:val="20"/>
          <w:szCs w:val="20"/>
        </w:rPr>
        <w:t>.</w:t>
      </w:r>
      <w:r w:rsidRPr="00085C1E">
        <w:rPr>
          <w:b/>
          <w:bCs/>
          <w:sz w:val="20"/>
          <w:szCs w:val="20"/>
          <w:lang w:bidi="ar-EG"/>
        </w:rPr>
        <w:t xml:space="preserve"> </w:t>
      </w:r>
      <w:r w:rsidRPr="00085C1E">
        <w:rPr>
          <w:sz w:val="20"/>
          <w:szCs w:val="20"/>
        </w:rPr>
        <w:t xml:space="preserve">A standard prognostic factor that is used routinely in selecting patients for adjuvant treatment is the Dukes classification of the primary </w:t>
      </w:r>
      <w:r w:rsidRPr="00085C1E">
        <w:rPr>
          <w:sz w:val="20"/>
          <w:szCs w:val="20"/>
        </w:rPr>
        <w:lastRenderedPageBreak/>
        <w:t>colorectal cancer (9).</w:t>
      </w:r>
    </w:p>
    <w:p w:rsidR="00503EA1" w:rsidRPr="00085C1E" w:rsidRDefault="00503EA1" w:rsidP="00643B68">
      <w:pPr>
        <w:widowControl w:val="0"/>
        <w:autoSpaceDE w:val="0"/>
        <w:autoSpaceDN w:val="0"/>
        <w:bidi w:val="0"/>
        <w:adjustRightInd w:val="0"/>
        <w:ind w:firstLine="425"/>
        <w:jc w:val="both"/>
        <w:rPr>
          <w:sz w:val="20"/>
          <w:szCs w:val="20"/>
        </w:rPr>
      </w:pPr>
      <w:r w:rsidRPr="00085C1E">
        <w:rPr>
          <w:sz w:val="20"/>
          <w:szCs w:val="20"/>
        </w:rPr>
        <w:t xml:space="preserve">The survival of patients with Dukes C stage and a part of patients with Dukes B stage can be improved by the application of adjuvant chemotherapy after potentially curative surgical resection (10). </w:t>
      </w:r>
      <w:r w:rsidRPr="00085C1E">
        <w:rPr>
          <w:spacing w:val="-4"/>
          <w:sz w:val="20"/>
          <w:szCs w:val="20"/>
        </w:rPr>
        <w:t>Unfortunately,</w:t>
      </w:r>
      <w:r w:rsidRPr="00085C1E">
        <w:rPr>
          <w:sz w:val="20"/>
          <w:szCs w:val="20"/>
        </w:rPr>
        <w:t xml:space="preserve"> the early detection of these occult </w:t>
      </w:r>
      <w:r w:rsidRPr="00085C1E">
        <w:rPr>
          <w:spacing w:val="-4"/>
          <w:sz w:val="20"/>
          <w:szCs w:val="20"/>
        </w:rPr>
        <w:t>metastases is beyond the resolution of conventional imaging methods. Current imaging techniques can reliably demonstrate</w:t>
      </w:r>
      <w:r w:rsidRPr="00085C1E">
        <w:rPr>
          <w:sz w:val="20"/>
          <w:szCs w:val="20"/>
        </w:rPr>
        <w:t xml:space="preserve"> metastases of 1cm or larger using super-paramagnetic iron oxide (SPIO)- enhanced MRI and </w:t>
      </w:r>
      <w:proofErr w:type="spellStart"/>
      <w:r w:rsidRPr="00085C1E">
        <w:rPr>
          <w:sz w:val="20"/>
          <w:szCs w:val="20"/>
        </w:rPr>
        <w:t>multidetector</w:t>
      </w:r>
      <w:proofErr w:type="spellEnd"/>
      <w:r w:rsidRPr="00085C1E">
        <w:rPr>
          <w:sz w:val="20"/>
          <w:szCs w:val="20"/>
        </w:rPr>
        <w:t xml:space="preserve"> CT. Alternative techniques are therefore required </w:t>
      </w:r>
      <w:r w:rsidRPr="00085C1E">
        <w:rPr>
          <w:b/>
          <w:bCs/>
          <w:sz w:val="20"/>
          <w:szCs w:val="20"/>
          <w:vertAlign w:val="superscript"/>
        </w:rPr>
        <w:t>(11)</w:t>
      </w:r>
      <w:r w:rsidRPr="00085C1E">
        <w:rPr>
          <w:sz w:val="20"/>
          <w:szCs w:val="20"/>
        </w:rPr>
        <w:t xml:space="preserve">.One approach proposed to detect occult metastases is based on the alteration in liver blood flow that develops with metastatic seeding in the liver. The ratio of hepatic arterial to total liver blood flow (hepatic perfusion index, HPI), was first investigated using dynamic </w:t>
      </w:r>
      <w:proofErr w:type="spellStart"/>
      <w:r w:rsidRPr="00085C1E">
        <w:rPr>
          <w:sz w:val="20"/>
          <w:szCs w:val="20"/>
        </w:rPr>
        <w:t>scintigraphy</w:t>
      </w:r>
      <w:proofErr w:type="spellEnd"/>
      <w:r w:rsidRPr="00085C1E">
        <w:rPr>
          <w:sz w:val="20"/>
          <w:szCs w:val="20"/>
        </w:rPr>
        <w:t xml:space="preserve">, and found to be abnormal in 94% of patients with colorectal liver metastases </w:t>
      </w:r>
      <w:r w:rsidRPr="00085C1E">
        <w:rPr>
          <w:b/>
          <w:bCs/>
          <w:sz w:val="20"/>
          <w:szCs w:val="20"/>
          <w:vertAlign w:val="superscript"/>
        </w:rPr>
        <w:t>(12)</w:t>
      </w:r>
      <w:r w:rsidRPr="00085C1E">
        <w:rPr>
          <w:sz w:val="20"/>
          <w:szCs w:val="20"/>
        </w:rPr>
        <w:t>.</w:t>
      </w:r>
      <w:r w:rsidR="00312B46">
        <w:rPr>
          <w:sz w:val="20"/>
          <w:szCs w:val="20"/>
        </w:rPr>
        <w:t xml:space="preserve"> </w:t>
      </w:r>
      <w:r w:rsidRPr="00085C1E">
        <w:rPr>
          <w:sz w:val="20"/>
          <w:szCs w:val="20"/>
        </w:rPr>
        <w:t xml:space="preserve">Furthermore, of those patients who developed liver metastases within 3 years of their original primary resection, 87% had an abnormal HPI at presentation </w:t>
      </w:r>
      <w:r w:rsidRPr="00085C1E">
        <w:rPr>
          <w:b/>
          <w:bCs/>
          <w:sz w:val="20"/>
          <w:szCs w:val="20"/>
          <w:vertAlign w:val="superscript"/>
        </w:rPr>
        <w:t>(9)</w:t>
      </w:r>
      <w:r w:rsidRPr="00085C1E">
        <w:rPr>
          <w:sz w:val="20"/>
          <w:szCs w:val="20"/>
        </w:rPr>
        <w:t xml:space="preserve">. The methodology developed for measurement of HPI with </w:t>
      </w:r>
      <w:proofErr w:type="spellStart"/>
      <w:r w:rsidRPr="00085C1E">
        <w:rPr>
          <w:sz w:val="20"/>
          <w:szCs w:val="20"/>
        </w:rPr>
        <w:t>scintigraphy</w:t>
      </w:r>
      <w:proofErr w:type="spellEnd"/>
      <w:r w:rsidRPr="00085C1E">
        <w:rPr>
          <w:sz w:val="20"/>
          <w:szCs w:val="20"/>
        </w:rPr>
        <w:t xml:space="preserve"> was adopted for use with dynamic CT, with similar results </w:t>
      </w:r>
      <w:r w:rsidRPr="00085C1E">
        <w:rPr>
          <w:b/>
          <w:bCs/>
          <w:sz w:val="20"/>
          <w:szCs w:val="20"/>
          <w:vertAlign w:val="superscript"/>
        </w:rPr>
        <w:t>(13, 14)</w:t>
      </w:r>
      <w:r w:rsidRPr="00085C1E">
        <w:rPr>
          <w:sz w:val="20"/>
          <w:szCs w:val="20"/>
        </w:rPr>
        <w:t>.</w:t>
      </w:r>
      <w:r w:rsidR="00312B46">
        <w:rPr>
          <w:sz w:val="20"/>
          <w:szCs w:val="20"/>
        </w:rPr>
        <w:t xml:space="preserve"> </w:t>
      </w:r>
      <w:r w:rsidRPr="00085C1E">
        <w:rPr>
          <w:sz w:val="20"/>
          <w:szCs w:val="20"/>
        </w:rPr>
        <w:t xml:space="preserve">With color duplex Doppler </w:t>
      </w:r>
      <w:proofErr w:type="spellStart"/>
      <w:r w:rsidRPr="00085C1E">
        <w:rPr>
          <w:sz w:val="20"/>
          <w:szCs w:val="20"/>
        </w:rPr>
        <w:t>ultrasonography</w:t>
      </w:r>
      <w:proofErr w:type="spellEnd"/>
      <w:r w:rsidRPr="00085C1E">
        <w:rPr>
          <w:sz w:val="20"/>
          <w:szCs w:val="20"/>
        </w:rPr>
        <w:t xml:space="preserve">, </w:t>
      </w:r>
      <w:proofErr w:type="spellStart"/>
      <w:r w:rsidRPr="00085C1E">
        <w:rPr>
          <w:sz w:val="20"/>
          <w:szCs w:val="20"/>
        </w:rPr>
        <w:t>Leen</w:t>
      </w:r>
      <w:proofErr w:type="spellEnd"/>
      <w:r w:rsidRPr="00085C1E">
        <w:rPr>
          <w:sz w:val="20"/>
          <w:szCs w:val="20"/>
        </w:rPr>
        <w:t xml:space="preserve"> </w:t>
      </w:r>
      <w:r w:rsidRPr="00085C1E">
        <w:rPr>
          <w:i/>
          <w:iCs/>
          <w:sz w:val="20"/>
          <w:szCs w:val="20"/>
        </w:rPr>
        <w:t>et al.</w:t>
      </w:r>
      <w:r w:rsidRPr="00085C1E">
        <w:rPr>
          <w:sz w:val="20"/>
          <w:szCs w:val="20"/>
        </w:rPr>
        <w:t xml:space="preserve"> </w:t>
      </w:r>
      <w:r w:rsidRPr="00085C1E">
        <w:rPr>
          <w:b/>
          <w:bCs/>
          <w:sz w:val="20"/>
          <w:szCs w:val="20"/>
          <w:vertAlign w:val="superscript"/>
        </w:rPr>
        <w:t>(9, 13)</w:t>
      </w:r>
      <w:r w:rsidRPr="00085C1E">
        <w:rPr>
          <w:sz w:val="20"/>
          <w:szCs w:val="20"/>
        </w:rPr>
        <w:t xml:space="preserve"> reported that liver metastases are associated with an increased ratio of hepatic arterial to total liver blood flow (DPI), which suggests that measurement of changes in liver blood flow could be used to detect the </w:t>
      </w:r>
      <w:r w:rsidRPr="00085C1E">
        <w:rPr>
          <w:sz w:val="20"/>
          <w:szCs w:val="20"/>
        </w:rPr>
        <w:lastRenderedPageBreak/>
        <w:t>presence of occult metastases.</w:t>
      </w:r>
    </w:p>
    <w:p w:rsidR="00503EA1" w:rsidRPr="00085C1E" w:rsidRDefault="00503EA1" w:rsidP="00643B68">
      <w:pPr>
        <w:bidi w:val="0"/>
        <w:ind w:firstLine="425"/>
        <w:jc w:val="both"/>
        <w:rPr>
          <w:sz w:val="20"/>
          <w:szCs w:val="20"/>
          <w:lang w:bidi="ar-EG"/>
        </w:rPr>
      </w:pPr>
      <w:r w:rsidRPr="00085C1E">
        <w:rPr>
          <w:sz w:val="20"/>
          <w:szCs w:val="20"/>
        </w:rPr>
        <w:t>The aim of the present study was to correlate changes in DPI in patients who were undergoing potentially curative surgery for early stage colorectal cancer, and thereby assessed its value as a method for the selection of patients who should receive adjuvant chemotherapy</w:t>
      </w:r>
    </w:p>
    <w:p w:rsidR="00081507" w:rsidRPr="00085C1E" w:rsidRDefault="00081507" w:rsidP="00643B68">
      <w:pPr>
        <w:widowControl w:val="0"/>
        <w:autoSpaceDE w:val="0"/>
        <w:autoSpaceDN w:val="0"/>
        <w:bidi w:val="0"/>
        <w:adjustRightInd w:val="0"/>
        <w:jc w:val="both"/>
        <w:rPr>
          <w:b/>
          <w:bCs/>
          <w:sz w:val="20"/>
          <w:szCs w:val="20"/>
        </w:rPr>
      </w:pPr>
    </w:p>
    <w:p w:rsidR="00081507" w:rsidRPr="00085C1E" w:rsidRDefault="00081507" w:rsidP="00643B68">
      <w:pPr>
        <w:widowControl w:val="0"/>
        <w:autoSpaceDE w:val="0"/>
        <w:autoSpaceDN w:val="0"/>
        <w:bidi w:val="0"/>
        <w:adjustRightInd w:val="0"/>
        <w:jc w:val="both"/>
        <w:rPr>
          <w:b/>
          <w:bCs/>
          <w:sz w:val="20"/>
          <w:szCs w:val="20"/>
        </w:rPr>
      </w:pPr>
      <w:r w:rsidRPr="00085C1E">
        <w:rPr>
          <w:b/>
          <w:bCs/>
          <w:sz w:val="20"/>
          <w:szCs w:val="20"/>
        </w:rPr>
        <w:t xml:space="preserve">2. Patients and Methods </w:t>
      </w:r>
    </w:p>
    <w:p w:rsidR="00E91096" w:rsidRPr="00085C1E" w:rsidRDefault="00E91096" w:rsidP="00643B68">
      <w:pPr>
        <w:widowControl w:val="0"/>
        <w:autoSpaceDE w:val="0"/>
        <w:autoSpaceDN w:val="0"/>
        <w:bidi w:val="0"/>
        <w:adjustRightInd w:val="0"/>
        <w:ind w:firstLine="425"/>
        <w:jc w:val="both"/>
        <w:rPr>
          <w:b/>
          <w:bCs/>
          <w:sz w:val="20"/>
          <w:szCs w:val="20"/>
        </w:rPr>
      </w:pPr>
      <w:r w:rsidRPr="00085C1E">
        <w:rPr>
          <w:sz w:val="20"/>
          <w:szCs w:val="20"/>
        </w:rPr>
        <w:t xml:space="preserve">This study was conducted </w:t>
      </w:r>
      <w:r w:rsidR="00436875" w:rsidRPr="00085C1E">
        <w:rPr>
          <w:sz w:val="20"/>
          <w:szCs w:val="20"/>
        </w:rPr>
        <w:t>in, T</w:t>
      </w:r>
      <w:r w:rsidR="00E0433A" w:rsidRPr="00085C1E">
        <w:rPr>
          <w:sz w:val="20"/>
          <w:szCs w:val="20"/>
        </w:rPr>
        <w:t>ropical</w:t>
      </w:r>
      <w:r w:rsidR="00E50D6D" w:rsidRPr="00085C1E">
        <w:rPr>
          <w:sz w:val="20"/>
          <w:szCs w:val="20"/>
        </w:rPr>
        <w:t xml:space="preserve"> </w:t>
      </w:r>
      <w:r w:rsidR="00436875" w:rsidRPr="00085C1E">
        <w:rPr>
          <w:sz w:val="20"/>
          <w:szCs w:val="20"/>
        </w:rPr>
        <w:t>Medicine</w:t>
      </w:r>
      <w:r w:rsidR="00E50D6D" w:rsidRPr="00085C1E">
        <w:rPr>
          <w:sz w:val="20"/>
          <w:szCs w:val="20"/>
        </w:rPr>
        <w:t>,</w:t>
      </w:r>
      <w:r w:rsidR="00E0433A" w:rsidRPr="00085C1E">
        <w:rPr>
          <w:sz w:val="20"/>
          <w:szCs w:val="20"/>
        </w:rPr>
        <w:t xml:space="preserve"> </w:t>
      </w:r>
      <w:r w:rsidR="00436875" w:rsidRPr="00085C1E">
        <w:rPr>
          <w:sz w:val="20"/>
          <w:szCs w:val="20"/>
        </w:rPr>
        <w:t>Radiology, Clinical O</w:t>
      </w:r>
      <w:r w:rsidRPr="00085C1E">
        <w:rPr>
          <w:sz w:val="20"/>
          <w:szCs w:val="20"/>
        </w:rPr>
        <w:t>ncology</w:t>
      </w:r>
      <w:r w:rsidR="00436875" w:rsidRPr="00085C1E">
        <w:rPr>
          <w:sz w:val="20"/>
          <w:szCs w:val="20"/>
        </w:rPr>
        <w:t xml:space="preserve"> &amp; Nuclear Medicine and S</w:t>
      </w:r>
      <w:r w:rsidRPr="00085C1E">
        <w:rPr>
          <w:sz w:val="20"/>
          <w:szCs w:val="20"/>
        </w:rPr>
        <w:t xml:space="preserve">urgery departments, faculty of medicine, </w:t>
      </w:r>
      <w:proofErr w:type="spellStart"/>
      <w:r w:rsidRPr="00085C1E">
        <w:rPr>
          <w:sz w:val="20"/>
          <w:szCs w:val="20"/>
        </w:rPr>
        <w:t>Zagazig</w:t>
      </w:r>
      <w:proofErr w:type="spellEnd"/>
      <w:r w:rsidRPr="00085C1E">
        <w:rPr>
          <w:sz w:val="20"/>
          <w:szCs w:val="20"/>
        </w:rPr>
        <w:t xml:space="preserve"> </w:t>
      </w:r>
      <w:r w:rsidR="00E74641">
        <w:rPr>
          <w:sz w:val="20"/>
          <w:szCs w:val="20"/>
        </w:rPr>
        <w:t>U</w:t>
      </w:r>
      <w:r w:rsidRPr="00085C1E">
        <w:rPr>
          <w:sz w:val="20"/>
          <w:szCs w:val="20"/>
        </w:rPr>
        <w:t>niversity hospitals, at the period from May 2008 to June 2011.</w:t>
      </w:r>
    </w:p>
    <w:p w:rsidR="00E91096" w:rsidRPr="00085C1E" w:rsidRDefault="00E91096" w:rsidP="00643B68">
      <w:pPr>
        <w:widowControl w:val="0"/>
        <w:autoSpaceDE w:val="0"/>
        <w:autoSpaceDN w:val="0"/>
        <w:bidi w:val="0"/>
        <w:adjustRightInd w:val="0"/>
        <w:ind w:firstLine="425"/>
        <w:jc w:val="both"/>
        <w:rPr>
          <w:sz w:val="20"/>
          <w:szCs w:val="20"/>
        </w:rPr>
      </w:pPr>
      <w:r w:rsidRPr="00085C1E">
        <w:rPr>
          <w:sz w:val="20"/>
          <w:szCs w:val="20"/>
        </w:rPr>
        <w:t xml:space="preserve">Informed consent was obtained from all patients </w:t>
      </w:r>
      <w:r w:rsidR="00081507" w:rsidRPr="00085C1E">
        <w:rPr>
          <w:sz w:val="20"/>
          <w:szCs w:val="20"/>
        </w:rPr>
        <w:t>throughout</w:t>
      </w:r>
      <w:r w:rsidRPr="00085C1E">
        <w:rPr>
          <w:sz w:val="20"/>
          <w:szCs w:val="20"/>
        </w:rPr>
        <w:t xml:space="preserve"> the whole study</w:t>
      </w:r>
    </w:p>
    <w:p w:rsidR="00E91096" w:rsidRPr="00085C1E" w:rsidRDefault="00E91096" w:rsidP="00643B68">
      <w:pPr>
        <w:widowControl w:val="0"/>
        <w:autoSpaceDE w:val="0"/>
        <w:autoSpaceDN w:val="0"/>
        <w:bidi w:val="0"/>
        <w:adjustRightInd w:val="0"/>
        <w:ind w:firstLine="425"/>
        <w:jc w:val="both"/>
        <w:rPr>
          <w:spacing w:val="-4"/>
          <w:sz w:val="20"/>
          <w:szCs w:val="20"/>
        </w:rPr>
      </w:pPr>
      <w:r w:rsidRPr="00085C1E">
        <w:rPr>
          <w:spacing w:val="-4"/>
          <w:sz w:val="20"/>
          <w:szCs w:val="20"/>
        </w:rPr>
        <w:t xml:space="preserve">Fifty patients (40 males and 10 females, mean age 61 years, range 23-68 years) with </w:t>
      </w:r>
      <w:proofErr w:type="spellStart"/>
      <w:r w:rsidRPr="00085C1E">
        <w:rPr>
          <w:spacing w:val="-4"/>
          <w:sz w:val="20"/>
          <w:szCs w:val="20"/>
        </w:rPr>
        <w:t>resectable</w:t>
      </w:r>
      <w:proofErr w:type="spellEnd"/>
      <w:r w:rsidRPr="00085C1E">
        <w:rPr>
          <w:spacing w:val="-4"/>
          <w:sz w:val="20"/>
          <w:szCs w:val="20"/>
        </w:rPr>
        <w:t xml:space="preserve"> colorectal cancer were studied</w:t>
      </w:r>
      <w:r w:rsidR="00436875" w:rsidRPr="00085C1E">
        <w:rPr>
          <w:spacing w:val="-4"/>
          <w:sz w:val="20"/>
          <w:szCs w:val="20"/>
        </w:rPr>
        <w:t>,</w:t>
      </w:r>
      <w:r w:rsidR="004B5056" w:rsidRPr="00085C1E">
        <w:rPr>
          <w:spacing w:val="-4"/>
          <w:sz w:val="20"/>
          <w:szCs w:val="20"/>
        </w:rPr>
        <w:t xml:space="preserve"> Patients characteristics are shown in table(1). A</w:t>
      </w:r>
      <w:r w:rsidR="00F7236C" w:rsidRPr="00085C1E">
        <w:rPr>
          <w:spacing w:val="-4"/>
          <w:sz w:val="20"/>
          <w:szCs w:val="20"/>
        </w:rPr>
        <w:t>ll</w:t>
      </w:r>
      <w:r w:rsidR="004B5056" w:rsidRPr="00085C1E">
        <w:rPr>
          <w:spacing w:val="-4"/>
          <w:sz w:val="20"/>
          <w:szCs w:val="20"/>
        </w:rPr>
        <w:t xml:space="preserve"> patients</w:t>
      </w:r>
      <w:r w:rsidR="00F7236C" w:rsidRPr="00085C1E">
        <w:rPr>
          <w:spacing w:val="-4"/>
          <w:sz w:val="20"/>
          <w:szCs w:val="20"/>
        </w:rPr>
        <w:t xml:space="preserve"> were proven </w:t>
      </w:r>
      <w:proofErr w:type="spellStart"/>
      <w:r w:rsidR="00F7236C" w:rsidRPr="00085C1E">
        <w:rPr>
          <w:spacing w:val="-4"/>
          <w:sz w:val="20"/>
          <w:szCs w:val="20"/>
        </w:rPr>
        <w:t>histopathologically</w:t>
      </w:r>
      <w:proofErr w:type="spellEnd"/>
      <w:r w:rsidR="00541EEC" w:rsidRPr="00085C1E">
        <w:rPr>
          <w:spacing w:val="-4"/>
          <w:sz w:val="20"/>
          <w:szCs w:val="20"/>
        </w:rPr>
        <w:t xml:space="preserve"> to have colorectal cancer from</w:t>
      </w:r>
      <w:r w:rsidR="00F7236C" w:rsidRPr="00085C1E">
        <w:rPr>
          <w:spacing w:val="-4"/>
          <w:sz w:val="20"/>
          <w:szCs w:val="20"/>
        </w:rPr>
        <w:t xml:space="preserve"> </w:t>
      </w:r>
      <w:proofErr w:type="spellStart"/>
      <w:r w:rsidR="00F7236C" w:rsidRPr="00085C1E">
        <w:rPr>
          <w:spacing w:val="-4"/>
          <w:sz w:val="20"/>
          <w:szCs w:val="20"/>
        </w:rPr>
        <w:t>colonoscopic</w:t>
      </w:r>
      <w:proofErr w:type="spellEnd"/>
      <w:r w:rsidR="00F7236C" w:rsidRPr="00085C1E">
        <w:rPr>
          <w:spacing w:val="-4"/>
          <w:sz w:val="20"/>
          <w:szCs w:val="20"/>
        </w:rPr>
        <w:t xml:space="preserve"> biopsy</w:t>
      </w:r>
      <w:r w:rsidR="00541EEC" w:rsidRPr="00085C1E">
        <w:rPr>
          <w:spacing w:val="-4"/>
          <w:sz w:val="20"/>
          <w:szCs w:val="20"/>
        </w:rPr>
        <w:t xml:space="preserve"> done at T</w:t>
      </w:r>
      <w:r w:rsidR="00E50D6D" w:rsidRPr="00085C1E">
        <w:rPr>
          <w:spacing w:val="-4"/>
          <w:sz w:val="20"/>
          <w:szCs w:val="20"/>
        </w:rPr>
        <w:t xml:space="preserve">ropical </w:t>
      </w:r>
      <w:r w:rsidR="00541EEC" w:rsidRPr="00085C1E">
        <w:rPr>
          <w:spacing w:val="-4"/>
          <w:sz w:val="20"/>
          <w:szCs w:val="20"/>
        </w:rPr>
        <w:t>M</w:t>
      </w:r>
      <w:r w:rsidR="00436875" w:rsidRPr="00085C1E">
        <w:rPr>
          <w:spacing w:val="-4"/>
          <w:sz w:val="20"/>
          <w:szCs w:val="20"/>
        </w:rPr>
        <w:t>edicine</w:t>
      </w:r>
      <w:r w:rsidR="00541EEC" w:rsidRPr="00085C1E">
        <w:rPr>
          <w:spacing w:val="-4"/>
          <w:sz w:val="20"/>
          <w:szCs w:val="20"/>
        </w:rPr>
        <w:t xml:space="preserve"> </w:t>
      </w:r>
      <w:r w:rsidR="00085C1E" w:rsidRPr="00085C1E">
        <w:rPr>
          <w:spacing w:val="-4"/>
          <w:sz w:val="20"/>
          <w:szCs w:val="20"/>
        </w:rPr>
        <w:t>Department</w:t>
      </w:r>
      <w:r w:rsidRPr="00085C1E">
        <w:rPr>
          <w:spacing w:val="-4"/>
          <w:sz w:val="20"/>
          <w:szCs w:val="20"/>
        </w:rPr>
        <w:t>. Baseline computed tomography (C</w:t>
      </w:r>
      <w:r w:rsidR="00541EEC" w:rsidRPr="00085C1E">
        <w:rPr>
          <w:spacing w:val="-4"/>
          <w:sz w:val="20"/>
          <w:szCs w:val="20"/>
        </w:rPr>
        <w:t xml:space="preserve">T), liver </w:t>
      </w:r>
      <w:proofErr w:type="spellStart"/>
      <w:r w:rsidR="00541EEC" w:rsidRPr="00085C1E">
        <w:rPr>
          <w:spacing w:val="-4"/>
          <w:sz w:val="20"/>
          <w:szCs w:val="20"/>
        </w:rPr>
        <w:t>ultrasonography</w:t>
      </w:r>
      <w:proofErr w:type="spellEnd"/>
      <w:r w:rsidR="00541EEC" w:rsidRPr="00085C1E">
        <w:rPr>
          <w:spacing w:val="-4"/>
          <w:sz w:val="20"/>
          <w:szCs w:val="20"/>
        </w:rPr>
        <w:t xml:space="preserve">, and </w:t>
      </w:r>
      <w:proofErr w:type="spellStart"/>
      <w:proofErr w:type="gramStart"/>
      <w:r w:rsidR="00541EEC" w:rsidRPr="00085C1E">
        <w:rPr>
          <w:spacing w:val="-4"/>
          <w:sz w:val="20"/>
          <w:szCs w:val="20"/>
        </w:rPr>
        <w:t>d</w:t>
      </w:r>
      <w:r w:rsidRPr="00085C1E">
        <w:rPr>
          <w:spacing w:val="-4"/>
          <w:sz w:val="20"/>
          <w:szCs w:val="20"/>
        </w:rPr>
        <w:t>oppler</w:t>
      </w:r>
      <w:proofErr w:type="spellEnd"/>
      <w:proofErr w:type="gramEnd"/>
      <w:r w:rsidRPr="00085C1E">
        <w:rPr>
          <w:spacing w:val="-4"/>
          <w:sz w:val="20"/>
          <w:szCs w:val="20"/>
        </w:rPr>
        <w:t xml:space="preserve"> perfusion index (DPI) measurements were done before surgery</w:t>
      </w:r>
      <w:r w:rsidR="00E50D6D" w:rsidRPr="00085C1E">
        <w:rPr>
          <w:spacing w:val="-4"/>
          <w:sz w:val="20"/>
          <w:szCs w:val="20"/>
        </w:rPr>
        <w:t xml:space="preserve">. </w:t>
      </w:r>
      <w:r w:rsidRPr="00085C1E">
        <w:rPr>
          <w:spacing w:val="-4"/>
          <w:sz w:val="20"/>
          <w:szCs w:val="20"/>
        </w:rPr>
        <w:t xml:space="preserve">After surgery, Dukes’ stage was determined for all patients on the basis of histology of the </w:t>
      </w:r>
      <w:proofErr w:type="spellStart"/>
      <w:r w:rsidRPr="00085C1E">
        <w:rPr>
          <w:spacing w:val="-4"/>
          <w:sz w:val="20"/>
          <w:szCs w:val="20"/>
        </w:rPr>
        <w:t>resected</w:t>
      </w:r>
      <w:proofErr w:type="spellEnd"/>
      <w:r w:rsidRPr="00085C1E">
        <w:rPr>
          <w:spacing w:val="-4"/>
          <w:sz w:val="20"/>
          <w:szCs w:val="20"/>
        </w:rPr>
        <w:t xml:space="preserve"> prim</w:t>
      </w:r>
      <w:r w:rsidR="00541EEC" w:rsidRPr="00085C1E">
        <w:rPr>
          <w:spacing w:val="-4"/>
          <w:sz w:val="20"/>
          <w:szCs w:val="20"/>
        </w:rPr>
        <w:t>ary tumo</w:t>
      </w:r>
      <w:r w:rsidRPr="00085C1E">
        <w:rPr>
          <w:spacing w:val="-4"/>
          <w:sz w:val="20"/>
          <w:szCs w:val="20"/>
        </w:rPr>
        <w:t>r and lymph nodes. Dukes’ stage A correspond to tumor confined to mucosa; stage B, tumor had invaded muscle; stage C, lymph node metastases were present. The patients who had undergone potentially curative surgery, none of whom received adjuvant treatment,</w:t>
      </w:r>
      <w:r w:rsidR="00541EEC" w:rsidRPr="00085C1E">
        <w:rPr>
          <w:spacing w:val="-4"/>
          <w:sz w:val="20"/>
          <w:szCs w:val="20"/>
        </w:rPr>
        <w:t xml:space="preserve"> in Clinical Oncology</w:t>
      </w:r>
      <w:r w:rsidR="00312B46">
        <w:rPr>
          <w:spacing w:val="-4"/>
          <w:sz w:val="20"/>
          <w:szCs w:val="20"/>
        </w:rPr>
        <w:t xml:space="preserve"> </w:t>
      </w:r>
      <w:r w:rsidR="00541EEC" w:rsidRPr="00085C1E">
        <w:rPr>
          <w:spacing w:val="-4"/>
          <w:sz w:val="20"/>
          <w:szCs w:val="20"/>
        </w:rPr>
        <w:t>Department</w:t>
      </w:r>
      <w:r w:rsidR="00312B46">
        <w:rPr>
          <w:spacing w:val="-4"/>
          <w:sz w:val="20"/>
          <w:szCs w:val="20"/>
        </w:rPr>
        <w:t xml:space="preserve"> </w:t>
      </w:r>
      <w:r w:rsidRPr="00085C1E">
        <w:rPr>
          <w:spacing w:val="-4"/>
          <w:sz w:val="20"/>
          <w:szCs w:val="20"/>
        </w:rPr>
        <w:t>were followed-up every three months for 3 years.</w:t>
      </w:r>
    </w:p>
    <w:p w:rsidR="00E91096" w:rsidRPr="00085C1E" w:rsidRDefault="00E91096" w:rsidP="00643B68">
      <w:pPr>
        <w:widowControl w:val="0"/>
        <w:autoSpaceDE w:val="0"/>
        <w:autoSpaceDN w:val="0"/>
        <w:bidi w:val="0"/>
        <w:adjustRightInd w:val="0"/>
        <w:ind w:firstLine="425"/>
        <w:jc w:val="both"/>
        <w:rPr>
          <w:sz w:val="20"/>
          <w:szCs w:val="20"/>
        </w:rPr>
      </w:pPr>
      <w:r w:rsidRPr="00085C1E">
        <w:rPr>
          <w:sz w:val="20"/>
          <w:szCs w:val="20"/>
        </w:rPr>
        <w:t xml:space="preserve">Scanning </w:t>
      </w:r>
      <w:r w:rsidR="00081507" w:rsidRPr="00085C1E">
        <w:rPr>
          <w:sz w:val="20"/>
          <w:szCs w:val="20"/>
        </w:rPr>
        <w:t>technique:</w:t>
      </w:r>
      <w:r w:rsidRPr="00085C1E">
        <w:rPr>
          <w:sz w:val="20"/>
          <w:szCs w:val="20"/>
        </w:rPr>
        <w:t xml:space="preserve"> Dynamic contrast enhanced CT scans was done using General Electric Medical System (Hi-Speed), after bolus intravenous injection of 100-150 </w:t>
      </w:r>
      <w:proofErr w:type="spellStart"/>
      <w:r w:rsidRPr="00085C1E">
        <w:rPr>
          <w:sz w:val="20"/>
          <w:szCs w:val="20"/>
        </w:rPr>
        <w:t>mL</w:t>
      </w:r>
      <w:proofErr w:type="spellEnd"/>
      <w:r w:rsidRPr="00085C1E">
        <w:rPr>
          <w:sz w:val="20"/>
          <w:szCs w:val="20"/>
        </w:rPr>
        <w:t xml:space="preserve"> of nonionic contrast media using automatic injector at a rate of 2 </w:t>
      </w:r>
      <w:proofErr w:type="spellStart"/>
      <w:r w:rsidRPr="00085C1E">
        <w:rPr>
          <w:sz w:val="20"/>
          <w:szCs w:val="20"/>
        </w:rPr>
        <w:t>mL</w:t>
      </w:r>
      <w:proofErr w:type="spellEnd"/>
      <w:r w:rsidRPr="00085C1E">
        <w:rPr>
          <w:sz w:val="20"/>
          <w:szCs w:val="20"/>
        </w:rPr>
        <w:t xml:space="preserve">/sec. Scanning began 30-45 s after bolus injection and the entire liver was scanned within 3-4 min. scanning is done in 10 mm slice thickness in adjacent slice sequence starting above dome of the right diaphragmatic copula till below right lobe of the liver. </w:t>
      </w:r>
      <w:proofErr w:type="gramStart"/>
      <w:r w:rsidRPr="00085C1E">
        <w:rPr>
          <w:sz w:val="20"/>
          <w:szCs w:val="20"/>
        </w:rPr>
        <w:t>Doppler perfusion index measurements was</w:t>
      </w:r>
      <w:proofErr w:type="gramEnd"/>
      <w:r w:rsidRPr="00085C1E">
        <w:rPr>
          <w:sz w:val="20"/>
          <w:szCs w:val="20"/>
        </w:rPr>
        <w:t xml:space="preserve"> done with a color duplex Doppler scanner (Tosh</w:t>
      </w:r>
      <w:r w:rsidR="00081507" w:rsidRPr="00085C1E">
        <w:rPr>
          <w:sz w:val="20"/>
          <w:szCs w:val="20"/>
        </w:rPr>
        <w:t xml:space="preserve">iba </w:t>
      </w:r>
      <w:proofErr w:type="spellStart"/>
      <w:r w:rsidR="00081507" w:rsidRPr="00085C1E">
        <w:rPr>
          <w:sz w:val="20"/>
          <w:szCs w:val="20"/>
        </w:rPr>
        <w:t>Nemio</w:t>
      </w:r>
      <w:proofErr w:type="spellEnd"/>
      <w:r w:rsidR="00081507" w:rsidRPr="00085C1E">
        <w:rPr>
          <w:sz w:val="20"/>
          <w:szCs w:val="20"/>
        </w:rPr>
        <w:t xml:space="preserve"> 5) using 3.5 MHz </w:t>
      </w:r>
      <w:r w:rsidRPr="00085C1E">
        <w:rPr>
          <w:sz w:val="20"/>
          <w:szCs w:val="20"/>
        </w:rPr>
        <w:t xml:space="preserve">convex phased array probe. Fasting patients were examined in supine position. A transverse scan of the </w:t>
      </w:r>
      <w:proofErr w:type="spellStart"/>
      <w:r w:rsidRPr="00085C1E">
        <w:rPr>
          <w:sz w:val="20"/>
          <w:szCs w:val="20"/>
        </w:rPr>
        <w:t>epigastrum</w:t>
      </w:r>
      <w:proofErr w:type="spellEnd"/>
      <w:r w:rsidRPr="00085C1E">
        <w:rPr>
          <w:sz w:val="20"/>
          <w:szCs w:val="20"/>
        </w:rPr>
        <w:t xml:space="preserve"> was done to locate the common hepatic artery in longitudinal axis. The Doppler cursor was placed over the lumen of the common hepatic artery segment as near to its origin as possible at the point it first became horizontally straight. The Doppler sample volume and Doppler beam angle were adjusted and time-average velocity was </w:t>
      </w:r>
      <w:r w:rsidRPr="00085C1E">
        <w:rPr>
          <w:spacing w:val="-4"/>
          <w:sz w:val="20"/>
          <w:szCs w:val="20"/>
        </w:rPr>
        <w:t>calculated over four cardiac cycles. The cross-sectional area of the artery</w:t>
      </w:r>
      <w:r w:rsidRPr="00085C1E">
        <w:rPr>
          <w:sz w:val="20"/>
          <w:szCs w:val="20"/>
        </w:rPr>
        <w:t xml:space="preserve"> was measured at the same point by mapping the perimeter of the lumen at </w:t>
      </w:r>
      <w:r w:rsidRPr="00085C1E">
        <w:rPr>
          <w:sz w:val="20"/>
          <w:szCs w:val="20"/>
        </w:rPr>
        <w:lastRenderedPageBreak/>
        <w:t>right angle to the vessel. The time-averaged cross-sectional area was calculated by taking mean of areas measured separately over the four cardiac cycles. The same parameters were obtained for the portal vein in a similar manner. Measurements were from as near to the origin of the vessel as possible. All measurements were done under respiratory suspension in expiration to allow optimal visualization of the portal vein and to enable a more acute angle to be achieved for Doppler purposes. Each measurement was performed repeatedly until satisfactory spectral patterns were obtained. Overall the procedure took about 25-30 minutes. Hepatic arterial and portal venous blood flows were calculated from the product of velocity averaged over time and cross-sectional area of the vessel.</w:t>
      </w:r>
    </w:p>
    <w:p w:rsidR="00E91096" w:rsidRPr="00085C1E" w:rsidRDefault="00E91096" w:rsidP="00643B68">
      <w:pPr>
        <w:widowControl w:val="0"/>
        <w:autoSpaceDE w:val="0"/>
        <w:autoSpaceDN w:val="0"/>
        <w:bidi w:val="0"/>
        <w:adjustRightInd w:val="0"/>
        <w:ind w:firstLine="425"/>
        <w:jc w:val="both"/>
        <w:rPr>
          <w:sz w:val="20"/>
          <w:szCs w:val="20"/>
        </w:rPr>
      </w:pPr>
      <w:r w:rsidRPr="00085C1E">
        <w:rPr>
          <w:sz w:val="20"/>
          <w:szCs w:val="20"/>
        </w:rPr>
        <w:t xml:space="preserve">The ratio of the common hepatic arterial to portal venous blood flow was calculated and termed the Doppler flow ratio (DFR). While the Doppler Perfusion Index (DPI) was calculated as the ratio of hepatic arterial blood flow to the sum of the hepatic arterial and portal venous blood flows. DPI values of 0.30 and higher were defined as abnormal on the basis of previous studies that assessed DPI in the healthy control volunteers and patients with overt colorectal hepatic metastases (upper limited of normal range 0.26) </w:t>
      </w:r>
      <w:r w:rsidRPr="00085C1E">
        <w:rPr>
          <w:b/>
          <w:bCs/>
          <w:sz w:val="20"/>
          <w:szCs w:val="20"/>
          <w:vertAlign w:val="superscript"/>
        </w:rPr>
        <w:t>(11)</w:t>
      </w:r>
      <w:r w:rsidRPr="00085C1E">
        <w:rPr>
          <w:sz w:val="20"/>
          <w:szCs w:val="20"/>
        </w:rPr>
        <w:t>.</w:t>
      </w:r>
    </w:p>
    <w:p w:rsidR="00E375EC" w:rsidRPr="00085C1E" w:rsidRDefault="00E91096" w:rsidP="00643B68">
      <w:pPr>
        <w:widowControl w:val="0"/>
        <w:autoSpaceDE w:val="0"/>
        <w:autoSpaceDN w:val="0"/>
        <w:bidi w:val="0"/>
        <w:adjustRightInd w:val="0"/>
        <w:ind w:firstLine="425"/>
        <w:jc w:val="both"/>
        <w:rPr>
          <w:sz w:val="20"/>
          <w:szCs w:val="20"/>
        </w:rPr>
      </w:pPr>
      <w:r w:rsidRPr="00085C1E">
        <w:rPr>
          <w:sz w:val="20"/>
          <w:szCs w:val="20"/>
        </w:rPr>
        <w:t xml:space="preserve">Statistical </w:t>
      </w:r>
      <w:r w:rsidR="00E0433A" w:rsidRPr="00085C1E">
        <w:rPr>
          <w:sz w:val="20"/>
          <w:szCs w:val="20"/>
        </w:rPr>
        <w:t>analysis:</w:t>
      </w:r>
      <w:r w:rsidRPr="00085C1E">
        <w:rPr>
          <w:sz w:val="20"/>
          <w:szCs w:val="20"/>
        </w:rPr>
        <w:t xml:space="preserve"> The statistical analysis was performed after importing the perfusion data into SPSS version .10.1 for windows (SPSS Inc., Chicago, IL). Recurrence-fee and overall survival curves were generated by the Kaplan-Meier method and compared with the log rank test .Multivariate s</w:t>
      </w:r>
      <w:r w:rsidR="00541EEC" w:rsidRPr="00085C1E">
        <w:rPr>
          <w:sz w:val="20"/>
          <w:szCs w:val="20"/>
        </w:rPr>
        <w:t>urvival analysis was done with C</w:t>
      </w:r>
      <w:r w:rsidRPr="00085C1E">
        <w:rPr>
          <w:sz w:val="20"/>
          <w:szCs w:val="20"/>
        </w:rPr>
        <w:t>ox regression with forward stepwise variable selection. A P value of 0.05 or less was defined as significant</w:t>
      </w:r>
    </w:p>
    <w:p w:rsidR="00081507" w:rsidRPr="00085C1E" w:rsidRDefault="00081507" w:rsidP="00643B68">
      <w:pPr>
        <w:widowControl w:val="0"/>
        <w:autoSpaceDE w:val="0"/>
        <w:autoSpaceDN w:val="0"/>
        <w:bidi w:val="0"/>
        <w:adjustRightInd w:val="0"/>
        <w:jc w:val="both"/>
        <w:rPr>
          <w:sz w:val="20"/>
          <w:szCs w:val="20"/>
        </w:rPr>
      </w:pPr>
    </w:p>
    <w:p w:rsidR="00541EEC" w:rsidRPr="00085C1E" w:rsidRDefault="00081507" w:rsidP="00643B68">
      <w:pPr>
        <w:widowControl w:val="0"/>
        <w:autoSpaceDE w:val="0"/>
        <w:autoSpaceDN w:val="0"/>
        <w:bidi w:val="0"/>
        <w:adjustRightInd w:val="0"/>
        <w:jc w:val="both"/>
        <w:rPr>
          <w:sz w:val="20"/>
          <w:szCs w:val="20"/>
        </w:rPr>
      </w:pPr>
      <w:r w:rsidRPr="00085C1E">
        <w:rPr>
          <w:b/>
          <w:bCs/>
          <w:sz w:val="20"/>
          <w:szCs w:val="20"/>
        </w:rPr>
        <w:t>3. Results</w:t>
      </w:r>
    </w:p>
    <w:p w:rsidR="00E91096" w:rsidRPr="00085C1E" w:rsidRDefault="00541EEC" w:rsidP="00643B68">
      <w:pPr>
        <w:widowControl w:val="0"/>
        <w:autoSpaceDE w:val="0"/>
        <w:autoSpaceDN w:val="0"/>
        <w:bidi w:val="0"/>
        <w:adjustRightInd w:val="0"/>
        <w:ind w:firstLine="425"/>
        <w:jc w:val="both"/>
        <w:rPr>
          <w:sz w:val="20"/>
          <w:szCs w:val="20"/>
        </w:rPr>
      </w:pPr>
      <w:proofErr w:type="gramStart"/>
      <w:r w:rsidRPr="00085C1E">
        <w:rPr>
          <w:sz w:val="20"/>
          <w:szCs w:val="20"/>
        </w:rPr>
        <w:t>Fifty</w:t>
      </w:r>
      <w:r w:rsidR="00E91096" w:rsidRPr="00085C1E">
        <w:rPr>
          <w:sz w:val="20"/>
          <w:szCs w:val="20"/>
        </w:rPr>
        <w:t xml:space="preserve"> patients who underwent potentially curative resection and pathologically classified as Dukes’ stage A and B</w:t>
      </w:r>
      <w:r w:rsidR="00383516" w:rsidRPr="00085C1E">
        <w:rPr>
          <w:sz w:val="20"/>
          <w:szCs w:val="20"/>
        </w:rPr>
        <w:t>.</w:t>
      </w:r>
      <w:proofErr w:type="gramEnd"/>
      <w:r w:rsidR="00383516" w:rsidRPr="00085C1E">
        <w:rPr>
          <w:sz w:val="20"/>
          <w:szCs w:val="20"/>
        </w:rPr>
        <w:t xml:space="preserve"> Of whom </w:t>
      </w:r>
      <w:r w:rsidR="00C50ECF" w:rsidRPr="00085C1E">
        <w:rPr>
          <w:sz w:val="20"/>
          <w:szCs w:val="20"/>
        </w:rPr>
        <w:t>15 patients (30</w:t>
      </w:r>
      <w:r w:rsidR="00E91096" w:rsidRPr="00085C1E">
        <w:rPr>
          <w:sz w:val="20"/>
          <w:szCs w:val="20"/>
        </w:rPr>
        <w:t xml:space="preserve"> %) had developed treatment failure in the form of local recurrence and distant metastases (Table 2).</w:t>
      </w:r>
      <w:r w:rsidR="00E91096" w:rsidRPr="00085C1E">
        <w:rPr>
          <w:spacing w:val="-4"/>
          <w:sz w:val="20"/>
          <w:szCs w:val="20"/>
        </w:rPr>
        <w:t>The 3-year</w:t>
      </w:r>
      <w:r w:rsidR="00312B46">
        <w:rPr>
          <w:spacing w:val="-4"/>
          <w:sz w:val="20"/>
          <w:szCs w:val="20"/>
        </w:rPr>
        <w:t xml:space="preserve"> </w:t>
      </w:r>
      <w:r w:rsidR="00E91096" w:rsidRPr="00085C1E">
        <w:rPr>
          <w:spacing w:val="-4"/>
          <w:sz w:val="20"/>
          <w:szCs w:val="20"/>
        </w:rPr>
        <w:t xml:space="preserve">recurrence-free survival of patients with Dukes’ stage A and B tumors was 38% and 20. </w:t>
      </w:r>
      <w:proofErr w:type="gramStart"/>
      <w:r w:rsidR="00E91096" w:rsidRPr="00085C1E">
        <w:rPr>
          <w:spacing w:val="-4"/>
          <w:sz w:val="20"/>
          <w:szCs w:val="20"/>
        </w:rPr>
        <w:t>% respectively.</w:t>
      </w:r>
      <w:proofErr w:type="gramEnd"/>
      <w:r w:rsidR="00E91096" w:rsidRPr="00085C1E">
        <w:rPr>
          <w:spacing w:val="-4"/>
          <w:sz w:val="20"/>
          <w:szCs w:val="20"/>
        </w:rPr>
        <w:t xml:space="preserve"> </w:t>
      </w:r>
      <w:proofErr w:type="gramStart"/>
      <w:r w:rsidR="00000305" w:rsidRPr="00085C1E">
        <w:rPr>
          <w:sz w:val="20"/>
          <w:szCs w:val="20"/>
        </w:rPr>
        <w:t>The 3-year overall survival 79.2% and 60.3% in patients with Dukes stage A and B respectively</w:t>
      </w:r>
      <w:r w:rsidR="00A32D67" w:rsidRPr="00085C1E">
        <w:rPr>
          <w:sz w:val="20"/>
          <w:szCs w:val="20"/>
        </w:rPr>
        <w:t xml:space="preserve"> (Fig. 1).</w:t>
      </w:r>
      <w:proofErr w:type="gramEnd"/>
      <w:r w:rsidR="00E91096" w:rsidRPr="00085C1E">
        <w:rPr>
          <w:spacing w:val="-4"/>
          <w:sz w:val="20"/>
          <w:szCs w:val="20"/>
        </w:rPr>
        <w:t xml:space="preserve"> The variation in recurrence-free and overall survival with Dukes’ stage was significant (</w:t>
      </w:r>
      <w:r w:rsidR="00E91096" w:rsidRPr="00085C1E">
        <w:rPr>
          <w:i/>
          <w:iCs/>
          <w:spacing w:val="-4"/>
          <w:sz w:val="20"/>
          <w:szCs w:val="20"/>
        </w:rPr>
        <w:t>P</w:t>
      </w:r>
      <w:r w:rsidR="00E91096" w:rsidRPr="00085C1E">
        <w:rPr>
          <w:spacing w:val="-4"/>
          <w:sz w:val="20"/>
          <w:szCs w:val="20"/>
        </w:rPr>
        <w:t xml:space="preserve"> = 0.021 and </w:t>
      </w:r>
      <w:r w:rsidR="00E91096" w:rsidRPr="00085C1E">
        <w:rPr>
          <w:i/>
          <w:iCs/>
          <w:spacing w:val="-4"/>
          <w:sz w:val="20"/>
          <w:szCs w:val="20"/>
        </w:rPr>
        <w:t>P</w:t>
      </w:r>
      <w:r w:rsidR="00E91096" w:rsidRPr="00085C1E">
        <w:rPr>
          <w:spacing w:val="-4"/>
          <w:sz w:val="20"/>
          <w:szCs w:val="20"/>
        </w:rPr>
        <w:t xml:space="preserve"> = 0.008, respectively). </w:t>
      </w:r>
      <w:r w:rsidR="00C1644E" w:rsidRPr="00085C1E">
        <w:rPr>
          <w:spacing w:val="-6"/>
          <w:sz w:val="20"/>
          <w:szCs w:val="20"/>
        </w:rPr>
        <w:t xml:space="preserve">Twenty </w:t>
      </w:r>
      <w:r w:rsidR="00E91096" w:rsidRPr="00085C1E">
        <w:rPr>
          <w:spacing w:val="-6"/>
          <w:sz w:val="20"/>
          <w:szCs w:val="20"/>
        </w:rPr>
        <w:t>(40%) patients had normal DPI val</w:t>
      </w:r>
      <w:r w:rsidR="00C1644E" w:rsidRPr="00085C1E">
        <w:rPr>
          <w:spacing w:val="-6"/>
          <w:sz w:val="20"/>
          <w:szCs w:val="20"/>
        </w:rPr>
        <w:t>ues (&lt; 0.30), while thirty</w:t>
      </w:r>
      <w:r w:rsidR="00E91096" w:rsidRPr="00085C1E">
        <w:rPr>
          <w:spacing w:val="-6"/>
          <w:sz w:val="20"/>
          <w:szCs w:val="20"/>
        </w:rPr>
        <w:t xml:space="preserve"> (60%) patients had abnormally raised DPI values</w:t>
      </w:r>
      <w:r w:rsidR="00383516" w:rsidRPr="00085C1E">
        <w:rPr>
          <w:spacing w:val="-6"/>
          <w:sz w:val="20"/>
          <w:szCs w:val="20"/>
        </w:rPr>
        <w:t xml:space="preserve"> (</w:t>
      </w:r>
      <w:r w:rsidR="00383516" w:rsidRPr="00085C1E">
        <w:rPr>
          <w:spacing w:val="-6"/>
          <w:sz w:val="20"/>
          <w:szCs w:val="20"/>
          <w:u w:val="single"/>
        </w:rPr>
        <w:t>&gt;</w:t>
      </w:r>
      <w:r w:rsidR="00383516" w:rsidRPr="00085C1E">
        <w:rPr>
          <w:spacing w:val="-6"/>
          <w:sz w:val="20"/>
          <w:szCs w:val="20"/>
        </w:rPr>
        <w:t>0</w:t>
      </w:r>
      <w:r w:rsidR="00CF3B06" w:rsidRPr="00085C1E">
        <w:rPr>
          <w:spacing w:val="-6"/>
          <w:sz w:val="20"/>
          <w:szCs w:val="20"/>
        </w:rPr>
        <w:t>, 3)</w:t>
      </w:r>
      <w:r w:rsidR="00E91096" w:rsidRPr="00085C1E">
        <w:rPr>
          <w:spacing w:val="-6"/>
          <w:sz w:val="20"/>
          <w:szCs w:val="20"/>
        </w:rPr>
        <w:t xml:space="preserve">. There was a significant association between DPI status and Dukes’ stage (P = 0.006, Fisher’s exact test), but none between DPI status and age, sex, or site of primary tumor. Of the 20 patients with normal DPI, three (15 %) had recurrent disease, and two of these patients </w:t>
      </w:r>
      <w:r w:rsidR="00E91096" w:rsidRPr="00085C1E">
        <w:rPr>
          <w:spacing w:val="-6"/>
          <w:sz w:val="20"/>
          <w:szCs w:val="20"/>
        </w:rPr>
        <w:lastRenderedPageBreak/>
        <w:t xml:space="preserve">died. One patient also died with no evidence of </w:t>
      </w:r>
      <w:r w:rsidR="00CF3B06" w:rsidRPr="00085C1E">
        <w:rPr>
          <w:spacing w:val="-6"/>
          <w:sz w:val="20"/>
          <w:szCs w:val="20"/>
        </w:rPr>
        <w:t xml:space="preserve">recurrence. </w:t>
      </w:r>
      <w:r w:rsidR="00E91096" w:rsidRPr="00085C1E">
        <w:rPr>
          <w:spacing w:val="-6"/>
          <w:sz w:val="20"/>
          <w:szCs w:val="20"/>
        </w:rPr>
        <w:t>Sixteen (80</w:t>
      </w:r>
      <w:r w:rsidR="00B526CD" w:rsidRPr="00085C1E">
        <w:rPr>
          <w:spacing w:val="-6"/>
          <w:sz w:val="20"/>
          <w:szCs w:val="20"/>
        </w:rPr>
        <w:t xml:space="preserve"> </w:t>
      </w:r>
      <w:r w:rsidR="00E91096" w:rsidRPr="00085C1E">
        <w:rPr>
          <w:spacing w:val="-6"/>
          <w:sz w:val="20"/>
          <w:szCs w:val="20"/>
        </w:rPr>
        <w:t>%) patients were alive and disease-free at 3-years. By contrast, of the 30 p</w:t>
      </w:r>
      <w:r w:rsidR="00383516" w:rsidRPr="00085C1E">
        <w:rPr>
          <w:spacing w:val="-6"/>
          <w:sz w:val="20"/>
          <w:szCs w:val="20"/>
        </w:rPr>
        <w:t xml:space="preserve">atients with abnormal DPI, </w:t>
      </w:r>
      <w:r w:rsidR="00E91096" w:rsidRPr="00085C1E">
        <w:rPr>
          <w:spacing w:val="-6"/>
          <w:sz w:val="20"/>
          <w:szCs w:val="20"/>
        </w:rPr>
        <w:t>1</w:t>
      </w:r>
      <w:r w:rsidR="00B526CD" w:rsidRPr="00085C1E">
        <w:rPr>
          <w:spacing w:val="-6"/>
          <w:sz w:val="20"/>
          <w:szCs w:val="20"/>
        </w:rPr>
        <w:t>2</w:t>
      </w:r>
      <w:r w:rsidR="00383516" w:rsidRPr="00085C1E">
        <w:rPr>
          <w:spacing w:val="-6"/>
          <w:sz w:val="20"/>
          <w:szCs w:val="20"/>
        </w:rPr>
        <w:t xml:space="preserve"> </w:t>
      </w:r>
      <w:r w:rsidR="00E91096" w:rsidRPr="00085C1E">
        <w:rPr>
          <w:spacing w:val="-6"/>
          <w:sz w:val="20"/>
          <w:szCs w:val="20"/>
        </w:rPr>
        <w:t>(</w:t>
      </w:r>
      <w:r w:rsidR="00383516" w:rsidRPr="00085C1E">
        <w:rPr>
          <w:spacing w:val="-6"/>
          <w:sz w:val="20"/>
          <w:szCs w:val="20"/>
        </w:rPr>
        <w:t>4</w:t>
      </w:r>
      <w:r w:rsidR="00C71DEC" w:rsidRPr="00085C1E">
        <w:rPr>
          <w:spacing w:val="-6"/>
          <w:sz w:val="20"/>
          <w:szCs w:val="20"/>
        </w:rPr>
        <w:t>0</w:t>
      </w:r>
      <w:r w:rsidR="00E91096" w:rsidRPr="00085C1E">
        <w:rPr>
          <w:spacing w:val="-6"/>
          <w:sz w:val="20"/>
          <w:szCs w:val="20"/>
        </w:rPr>
        <w:t xml:space="preserve">%) patients developed </w:t>
      </w:r>
      <w:r w:rsidR="00E91096" w:rsidRPr="00085C1E">
        <w:rPr>
          <w:sz w:val="20"/>
          <w:szCs w:val="20"/>
        </w:rPr>
        <w:t>recurrent disease, of whom 7 died</w:t>
      </w:r>
      <w:r w:rsidR="00E0187C" w:rsidRPr="00085C1E">
        <w:rPr>
          <w:sz w:val="20"/>
          <w:szCs w:val="20"/>
        </w:rPr>
        <w:t>,</w:t>
      </w:r>
      <w:r w:rsidR="00E91096" w:rsidRPr="00085C1E">
        <w:rPr>
          <w:sz w:val="20"/>
          <w:szCs w:val="20"/>
        </w:rPr>
        <w:t xml:space="preserve"> </w:t>
      </w:r>
      <w:r w:rsidR="00E0187C" w:rsidRPr="00085C1E">
        <w:rPr>
          <w:sz w:val="20"/>
          <w:szCs w:val="20"/>
        </w:rPr>
        <w:t>a</w:t>
      </w:r>
      <w:r w:rsidR="00E91096" w:rsidRPr="00085C1E">
        <w:rPr>
          <w:sz w:val="20"/>
          <w:szCs w:val="20"/>
        </w:rPr>
        <w:t xml:space="preserve">nd </w:t>
      </w:r>
      <w:r w:rsidR="00E0187C" w:rsidRPr="00085C1E">
        <w:rPr>
          <w:sz w:val="20"/>
          <w:szCs w:val="20"/>
        </w:rPr>
        <w:t>f</w:t>
      </w:r>
      <w:r w:rsidR="00E91096" w:rsidRPr="00085C1E">
        <w:rPr>
          <w:sz w:val="20"/>
          <w:szCs w:val="20"/>
        </w:rPr>
        <w:t>ive patients died wi</w:t>
      </w:r>
      <w:r w:rsidR="00C71DEC" w:rsidRPr="00085C1E">
        <w:rPr>
          <w:sz w:val="20"/>
          <w:szCs w:val="20"/>
        </w:rPr>
        <w:t>th no evidence of recurrence. Thirteen (43.3</w:t>
      </w:r>
      <w:r w:rsidR="00E91096" w:rsidRPr="00085C1E">
        <w:rPr>
          <w:sz w:val="20"/>
          <w:szCs w:val="20"/>
        </w:rPr>
        <w:t>%) patients were alive and disease free at 3-year</w:t>
      </w:r>
      <w:r w:rsidR="00C1644E" w:rsidRPr="00085C1E">
        <w:rPr>
          <w:sz w:val="20"/>
          <w:szCs w:val="20"/>
        </w:rPr>
        <w:t>s.</w:t>
      </w:r>
    </w:p>
    <w:p w:rsidR="00E91096" w:rsidRPr="00085C1E" w:rsidRDefault="00C1644E" w:rsidP="00643B68">
      <w:pPr>
        <w:widowControl w:val="0"/>
        <w:autoSpaceDE w:val="0"/>
        <w:autoSpaceDN w:val="0"/>
        <w:bidi w:val="0"/>
        <w:adjustRightInd w:val="0"/>
        <w:ind w:firstLine="425"/>
        <w:jc w:val="both"/>
        <w:rPr>
          <w:rFonts w:hint="eastAsia"/>
          <w:sz w:val="20"/>
          <w:szCs w:val="20"/>
          <w:lang w:eastAsia="zh-CN"/>
        </w:rPr>
      </w:pPr>
      <w:r w:rsidRPr="00085C1E">
        <w:rPr>
          <w:sz w:val="20"/>
          <w:szCs w:val="20"/>
        </w:rPr>
        <w:t xml:space="preserve">The </w:t>
      </w:r>
      <w:r w:rsidR="00E91096" w:rsidRPr="00085C1E">
        <w:rPr>
          <w:sz w:val="20"/>
          <w:szCs w:val="20"/>
        </w:rPr>
        <w:t>3-year recurrence-free survival was 80% in patients wi</w:t>
      </w:r>
      <w:r w:rsidR="00C71DEC" w:rsidRPr="00085C1E">
        <w:rPr>
          <w:sz w:val="20"/>
          <w:szCs w:val="20"/>
        </w:rPr>
        <w:t>th normal DPI values versus 43.3</w:t>
      </w:r>
      <w:r w:rsidR="00E91096" w:rsidRPr="00085C1E">
        <w:rPr>
          <w:sz w:val="20"/>
          <w:szCs w:val="20"/>
        </w:rPr>
        <w:t xml:space="preserve"> % in patients with abnormal DPI values (Fig. 2).</w:t>
      </w:r>
      <w:r w:rsidR="007F0FF1" w:rsidRPr="00085C1E">
        <w:rPr>
          <w:sz w:val="20"/>
          <w:szCs w:val="20"/>
        </w:rPr>
        <w:t>While, it was 72.7% and 66.7% for Dukes stages A and B</w:t>
      </w:r>
      <w:r w:rsidR="00312B46">
        <w:rPr>
          <w:sz w:val="20"/>
          <w:szCs w:val="20"/>
        </w:rPr>
        <w:t xml:space="preserve"> </w:t>
      </w:r>
      <w:r w:rsidR="007F0FF1" w:rsidRPr="00085C1E">
        <w:rPr>
          <w:sz w:val="20"/>
          <w:szCs w:val="20"/>
        </w:rPr>
        <w:t>patients with normal DPI values versus 40% and 10% for Dukes stages A and B patients with abnormal DPI values</w:t>
      </w:r>
      <w:r w:rsidR="00312B46">
        <w:rPr>
          <w:rFonts w:hint="eastAsia"/>
          <w:sz w:val="20"/>
          <w:szCs w:val="20"/>
          <w:lang w:eastAsia="zh-CN"/>
        </w:rPr>
        <w:t>.</w:t>
      </w:r>
    </w:p>
    <w:p w:rsidR="007F0FF1" w:rsidRPr="00085C1E" w:rsidRDefault="00C71DEC" w:rsidP="00643B68">
      <w:pPr>
        <w:widowControl w:val="0"/>
        <w:autoSpaceDE w:val="0"/>
        <w:autoSpaceDN w:val="0"/>
        <w:bidi w:val="0"/>
        <w:adjustRightInd w:val="0"/>
        <w:ind w:firstLine="425"/>
        <w:jc w:val="both"/>
        <w:rPr>
          <w:spacing w:val="-4"/>
          <w:sz w:val="20"/>
          <w:szCs w:val="20"/>
        </w:rPr>
      </w:pPr>
      <w:r w:rsidRPr="00085C1E">
        <w:rPr>
          <w:spacing w:val="-4"/>
          <w:sz w:val="20"/>
          <w:szCs w:val="20"/>
        </w:rPr>
        <w:t xml:space="preserve">The </w:t>
      </w:r>
      <w:r w:rsidR="00E91096" w:rsidRPr="00085C1E">
        <w:rPr>
          <w:spacing w:val="-4"/>
          <w:sz w:val="20"/>
          <w:szCs w:val="20"/>
        </w:rPr>
        <w:t xml:space="preserve">3-year overall survival was n=17 patients (85%) in patients with normal </w:t>
      </w:r>
      <w:r w:rsidRPr="00085C1E">
        <w:rPr>
          <w:spacing w:val="-4"/>
          <w:sz w:val="20"/>
          <w:szCs w:val="20"/>
        </w:rPr>
        <w:t>DPI values and n=18 patients (60</w:t>
      </w:r>
      <w:r w:rsidR="00E91096" w:rsidRPr="00085C1E">
        <w:rPr>
          <w:spacing w:val="-4"/>
          <w:sz w:val="20"/>
          <w:szCs w:val="20"/>
        </w:rPr>
        <w:t>%) in patients with abnormal DPI values.</w:t>
      </w:r>
    </w:p>
    <w:p w:rsidR="00E91096" w:rsidRPr="00085C1E" w:rsidRDefault="007F0FF1" w:rsidP="00643B68">
      <w:pPr>
        <w:widowControl w:val="0"/>
        <w:autoSpaceDE w:val="0"/>
        <w:autoSpaceDN w:val="0"/>
        <w:bidi w:val="0"/>
        <w:adjustRightInd w:val="0"/>
        <w:ind w:firstLine="425"/>
        <w:jc w:val="both"/>
        <w:rPr>
          <w:spacing w:val="-4"/>
          <w:sz w:val="20"/>
          <w:szCs w:val="20"/>
        </w:rPr>
      </w:pPr>
      <w:r w:rsidRPr="00085C1E">
        <w:rPr>
          <w:spacing w:val="-4"/>
          <w:sz w:val="20"/>
          <w:szCs w:val="20"/>
        </w:rPr>
        <w:t>While, it was 90.9% and 77.8% for Dukes stages A an</w:t>
      </w:r>
      <w:r w:rsidR="00A32D67" w:rsidRPr="00085C1E">
        <w:rPr>
          <w:spacing w:val="-4"/>
          <w:sz w:val="20"/>
          <w:szCs w:val="20"/>
        </w:rPr>
        <w:t>d</w:t>
      </w:r>
      <w:r w:rsidRPr="00085C1E">
        <w:rPr>
          <w:spacing w:val="-4"/>
          <w:sz w:val="20"/>
          <w:szCs w:val="20"/>
        </w:rPr>
        <w:t xml:space="preserve"> B patients with normal DPI values versus 70% and </w:t>
      </w:r>
      <w:r w:rsidRPr="00085C1E">
        <w:rPr>
          <w:spacing w:val="-4"/>
          <w:sz w:val="20"/>
          <w:szCs w:val="20"/>
        </w:rPr>
        <w:lastRenderedPageBreak/>
        <w:t>55% for Dukes stages A and B pa</w:t>
      </w:r>
      <w:r w:rsidR="00A32D67" w:rsidRPr="00085C1E">
        <w:rPr>
          <w:spacing w:val="-4"/>
          <w:sz w:val="20"/>
          <w:szCs w:val="20"/>
        </w:rPr>
        <w:t>tients with abnormal DPI value (Fig.3).</w:t>
      </w:r>
      <w:r w:rsidR="00E91096" w:rsidRPr="00085C1E">
        <w:rPr>
          <w:spacing w:val="-4"/>
          <w:sz w:val="20"/>
          <w:szCs w:val="20"/>
        </w:rPr>
        <w:t xml:space="preserve"> The variation in recurrence-free and overall survival with DPI status was significant (</w:t>
      </w:r>
      <w:r w:rsidR="00E91096" w:rsidRPr="00085C1E">
        <w:rPr>
          <w:i/>
          <w:iCs/>
          <w:spacing w:val="-4"/>
          <w:sz w:val="20"/>
          <w:szCs w:val="20"/>
        </w:rPr>
        <w:t>P</w:t>
      </w:r>
      <w:r w:rsidR="00E91096" w:rsidRPr="00085C1E">
        <w:rPr>
          <w:spacing w:val="-4"/>
          <w:sz w:val="20"/>
          <w:szCs w:val="20"/>
        </w:rPr>
        <w:t xml:space="preserve"> &lt; 0.05) in both cases.</w:t>
      </w:r>
    </w:p>
    <w:p w:rsidR="00916924" w:rsidRPr="00085C1E" w:rsidRDefault="00E91096" w:rsidP="00643B68">
      <w:pPr>
        <w:widowControl w:val="0"/>
        <w:autoSpaceDE w:val="0"/>
        <w:autoSpaceDN w:val="0"/>
        <w:bidi w:val="0"/>
        <w:adjustRightInd w:val="0"/>
        <w:ind w:firstLine="425"/>
        <w:jc w:val="both"/>
        <w:rPr>
          <w:sz w:val="20"/>
          <w:szCs w:val="20"/>
        </w:rPr>
      </w:pPr>
      <w:r w:rsidRPr="00085C1E">
        <w:rPr>
          <w:sz w:val="20"/>
          <w:szCs w:val="20"/>
        </w:rPr>
        <w:t>The sensitivity, specificity, positive and negative p</w:t>
      </w:r>
      <w:r w:rsidR="00081507" w:rsidRPr="00085C1E">
        <w:rPr>
          <w:sz w:val="20"/>
          <w:szCs w:val="20"/>
        </w:rPr>
        <w:t xml:space="preserve">redictive values, and accuracy </w:t>
      </w:r>
      <w:r w:rsidRPr="00085C1E">
        <w:rPr>
          <w:sz w:val="20"/>
          <w:szCs w:val="20"/>
        </w:rPr>
        <w:t>of DPI technique in identifying recurrence were 94%, 68%, 71%, 93% and 80% respectively.</w:t>
      </w:r>
    </w:p>
    <w:p w:rsidR="004F1D52" w:rsidRPr="00085C1E" w:rsidRDefault="00E91096" w:rsidP="00643B68">
      <w:pPr>
        <w:widowControl w:val="0"/>
        <w:autoSpaceDE w:val="0"/>
        <w:autoSpaceDN w:val="0"/>
        <w:bidi w:val="0"/>
        <w:adjustRightInd w:val="0"/>
        <w:ind w:firstLine="425"/>
        <w:jc w:val="both"/>
        <w:rPr>
          <w:spacing w:val="-4"/>
          <w:sz w:val="20"/>
          <w:szCs w:val="20"/>
        </w:rPr>
      </w:pPr>
      <w:r w:rsidRPr="00085C1E">
        <w:rPr>
          <w:spacing w:val="-4"/>
          <w:sz w:val="20"/>
          <w:szCs w:val="20"/>
        </w:rPr>
        <w:t xml:space="preserve">The distribution of recurrence and death in patients grouped by DPI status and Dukes’ stage is shown in table (3). In </w:t>
      </w:r>
      <w:proofErr w:type="spellStart"/>
      <w:r w:rsidRPr="00085C1E">
        <w:rPr>
          <w:spacing w:val="-4"/>
          <w:sz w:val="20"/>
          <w:szCs w:val="20"/>
        </w:rPr>
        <w:t>pairwise</w:t>
      </w:r>
      <w:proofErr w:type="spellEnd"/>
      <w:r w:rsidRPr="00085C1E">
        <w:rPr>
          <w:spacing w:val="-4"/>
          <w:sz w:val="20"/>
          <w:szCs w:val="20"/>
        </w:rPr>
        <w:t xml:space="preserve"> comparisons of the four groups by </w:t>
      </w:r>
      <w:r w:rsidR="00000305" w:rsidRPr="00085C1E">
        <w:rPr>
          <w:spacing w:val="-4"/>
          <w:sz w:val="20"/>
          <w:szCs w:val="20"/>
        </w:rPr>
        <w:t>DPI status</w:t>
      </w:r>
      <w:r w:rsidR="000C38BC" w:rsidRPr="00085C1E">
        <w:rPr>
          <w:spacing w:val="-4"/>
          <w:sz w:val="20"/>
          <w:szCs w:val="20"/>
        </w:rPr>
        <w:t xml:space="preserve"> and</w:t>
      </w:r>
      <w:r w:rsidR="00000305" w:rsidRPr="00085C1E">
        <w:rPr>
          <w:spacing w:val="-4"/>
          <w:sz w:val="20"/>
          <w:szCs w:val="20"/>
        </w:rPr>
        <w:t xml:space="preserve"> </w:t>
      </w:r>
      <w:r w:rsidR="000C38BC" w:rsidRPr="00085C1E">
        <w:rPr>
          <w:spacing w:val="-4"/>
          <w:sz w:val="20"/>
          <w:szCs w:val="20"/>
        </w:rPr>
        <w:t>Dukes’ stage,</w:t>
      </w:r>
      <w:r w:rsidR="00312B46">
        <w:rPr>
          <w:spacing w:val="-4"/>
          <w:sz w:val="20"/>
          <w:szCs w:val="20"/>
        </w:rPr>
        <w:t xml:space="preserve"> </w:t>
      </w:r>
      <w:r w:rsidRPr="00085C1E">
        <w:rPr>
          <w:spacing w:val="-4"/>
          <w:sz w:val="20"/>
          <w:szCs w:val="20"/>
        </w:rPr>
        <w:t>the dependence of recurrence-free and overall survival on DPI status was significant (</w:t>
      </w:r>
      <w:r w:rsidRPr="00085C1E">
        <w:rPr>
          <w:i/>
          <w:iCs/>
          <w:spacing w:val="-4"/>
          <w:sz w:val="20"/>
          <w:szCs w:val="20"/>
        </w:rPr>
        <w:t>P</w:t>
      </w:r>
      <w:r w:rsidR="00E375EC" w:rsidRPr="00085C1E">
        <w:rPr>
          <w:spacing w:val="-4"/>
          <w:sz w:val="20"/>
          <w:szCs w:val="20"/>
        </w:rPr>
        <w:t xml:space="preserve"> = 0.001) (Figs.</w:t>
      </w:r>
      <w:r w:rsidRPr="00085C1E">
        <w:rPr>
          <w:spacing w:val="-4"/>
          <w:sz w:val="20"/>
          <w:szCs w:val="20"/>
        </w:rPr>
        <w:t>4, 5, 6, 7).</w:t>
      </w:r>
    </w:p>
    <w:p w:rsidR="00E91096" w:rsidRPr="00085C1E" w:rsidRDefault="00E91096" w:rsidP="00643B68">
      <w:pPr>
        <w:widowControl w:val="0"/>
        <w:autoSpaceDE w:val="0"/>
        <w:autoSpaceDN w:val="0"/>
        <w:bidi w:val="0"/>
        <w:adjustRightInd w:val="0"/>
        <w:ind w:firstLine="425"/>
        <w:jc w:val="both"/>
        <w:rPr>
          <w:sz w:val="20"/>
          <w:szCs w:val="20"/>
        </w:rPr>
      </w:pPr>
      <w:r w:rsidRPr="00085C1E">
        <w:rPr>
          <w:sz w:val="20"/>
          <w:szCs w:val="20"/>
        </w:rPr>
        <w:t xml:space="preserve">In multivariate </w:t>
      </w:r>
      <w:proofErr w:type="gramStart"/>
      <w:r w:rsidR="00996CF7" w:rsidRPr="00085C1E">
        <w:rPr>
          <w:sz w:val="20"/>
          <w:szCs w:val="20"/>
        </w:rPr>
        <w:t>analysis, which include</w:t>
      </w:r>
      <w:proofErr w:type="gramEnd"/>
      <w:r w:rsidR="00996CF7" w:rsidRPr="00085C1E">
        <w:rPr>
          <w:sz w:val="20"/>
          <w:szCs w:val="20"/>
        </w:rPr>
        <w:t xml:space="preserve"> age, sex, primary </w:t>
      </w:r>
      <w:r w:rsidRPr="00085C1E">
        <w:rPr>
          <w:sz w:val="20"/>
          <w:szCs w:val="20"/>
        </w:rPr>
        <w:t xml:space="preserve">tumor site, Dukes’ stage, and DPI status as </w:t>
      </w:r>
      <w:proofErr w:type="spellStart"/>
      <w:r w:rsidRPr="00085C1E">
        <w:rPr>
          <w:sz w:val="20"/>
          <w:szCs w:val="20"/>
        </w:rPr>
        <w:t>covarities</w:t>
      </w:r>
      <w:proofErr w:type="spellEnd"/>
      <w:r w:rsidRPr="00085C1E">
        <w:rPr>
          <w:sz w:val="20"/>
          <w:szCs w:val="20"/>
        </w:rPr>
        <w:t>, only DPI status had independent prognostic significance (</w:t>
      </w:r>
      <w:r w:rsidRPr="00085C1E">
        <w:rPr>
          <w:i/>
          <w:iCs/>
          <w:sz w:val="20"/>
          <w:szCs w:val="20"/>
        </w:rPr>
        <w:t>P</w:t>
      </w:r>
      <w:r w:rsidRPr="00085C1E">
        <w:rPr>
          <w:sz w:val="20"/>
          <w:szCs w:val="20"/>
        </w:rPr>
        <w:t xml:space="preserve"> &lt; 0.003) for recurrence-free and overall survival.</w:t>
      </w:r>
    </w:p>
    <w:p w:rsidR="00E0187C" w:rsidRPr="00085C1E" w:rsidRDefault="00E0187C" w:rsidP="00643B68">
      <w:pPr>
        <w:widowControl w:val="0"/>
        <w:autoSpaceDE w:val="0"/>
        <w:autoSpaceDN w:val="0"/>
        <w:bidi w:val="0"/>
        <w:adjustRightInd w:val="0"/>
        <w:ind w:firstLine="720"/>
        <w:jc w:val="both"/>
        <w:rPr>
          <w:sz w:val="20"/>
          <w:szCs w:val="20"/>
        </w:rPr>
        <w:sectPr w:rsidR="00E0187C" w:rsidRPr="00085C1E" w:rsidSect="007E240D">
          <w:type w:val="continuous"/>
          <w:pgSz w:w="12240" w:h="15840" w:code="1"/>
          <w:pgMar w:top="1440" w:right="1440" w:bottom="1440" w:left="1440" w:header="720" w:footer="720" w:gutter="0"/>
          <w:cols w:num="2" w:space="709"/>
          <w:noEndnote/>
          <w:docGrid w:linePitch="326"/>
        </w:sectPr>
      </w:pPr>
    </w:p>
    <w:p w:rsidR="00081507" w:rsidRPr="00085C1E" w:rsidRDefault="00081507" w:rsidP="00643B68">
      <w:pPr>
        <w:pStyle w:val="BodyText"/>
        <w:spacing w:before="0" w:line="240" w:lineRule="auto"/>
        <w:rPr>
          <w:rFonts w:cs="Times New Roman"/>
          <w:sz w:val="20"/>
          <w:szCs w:val="20"/>
        </w:rPr>
      </w:pPr>
    </w:p>
    <w:p w:rsidR="004D5F2F" w:rsidRPr="00081507" w:rsidRDefault="00BB0B00" w:rsidP="00643B68">
      <w:pPr>
        <w:pStyle w:val="BodyText"/>
        <w:spacing w:before="0" w:line="240" w:lineRule="auto"/>
        <w:jc w:val="center"/>
        <w:rPr>
          <w:rFonts w:cs="Times New Roman"/>
          <w:sz w:val="20"/>
          <w:szCs w:val="20"/>
        </w:rPr>
      </w:pPr>
      <w:r>
        <w:rPr>
          <w:rFonts w:cs="Times New Roman"/>
          <w:sz w:val="20"/>
          <w:szCs w:val="20"/>
        </w:rPr>
        <w:t>Table (1) P</w:t>
      </w:r>
      <w:r w:rsidR="004D5F2F" w:rsidRPr="00081507">
        <w:rPr>
          <w:rFonts w:cs="Times New Roman"/>
          <w:sz w:val="20"/>
          <w:szCs w:val="20"/>
        </w:rPr>
        <w:t>atients characteristics</w:t>
      </w:r>
      <w:r w:rsidR="00241D7F">
        <w:rPr>
          <w:rFonts w:cs="Times New Roman"/>
          <w:sz w:val="20"/>
          <w:szCs w:val="20"/>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071"/>
        <w:gridCol w:w="3071"/>
        <w:gridCol w:w="3071"/>
      </w:tblGrid>
      <w:tr w:rsidR="004D5F2F" w:rsidRPr="00081507">
        <w:trPr>
          <w:trHeight w:val="437"/>
          <w:jc w:val="center"/>
        </w:trPr>
        <w:tc>
          <w:tcPr>
            <w:tcW w:w="3071" w:type="dxa"/>
          </w:tcPr>
          <w:p w:rsidR="004D5F2F" w:rsidRPr="00081507" w:rsidRDefault="004D5F2F" w:rsidP="00643B68">
            <w:pPr>
              <w:bidi w:val="0"/>
              <w:jc w:val="center"/>
              <w:rPr>
                <w:b/>
                <w:bCs/>
                <w:sz w:val="20"/>
                <w:szCs w:val="20"/>
              </w:rPr>
            </w:pPr>
            <w:r w:rsidRPr="00081507">
              <w:rPr>
                <w:b/>
                <w:bCs/>
                <w:sz w:val="20"/>
                <w:szCs w:val="20"/>
              </w:rPr>
              <w:t>Characteristic</w:t>
            </w:r>
          </w:p>
        </w:tc>
        <w:tc>
          <w:tcPr>
            <w:tcW w:w="3071" w:type="dxa"/>
          </w:tcPr>
          <w:p w:rsidR="004D5F2F" w:rsidRPr="00081507" w:rsidRDefault="004D5F2F" w:rsidP="00643B68">
            <w:pPr>
              <w:bidi w:val="0"/>
              <w:jc w:val="center"/>
              <w:rPr>
                <w:b/>
                <w:bCs/>
                <w:sz w:val="20"/>
                <w:szCs w:val="20"/>
              </w:rPr>
            </w:pPr>
            <w:r w:rsidRPr="00081507">
              <w:rPr>
                <w:b/>
                <w:bCs/>
                <w:sz w:val="20"/>
                <w:szCs w:val="20"/>
              </w:rPr>
              <w:t xml:space="preserve">Number </w:t>
            </w:r>
          </w:p>
          <w:p w:rsidR="004D5F2F" w:rsidRPr="00081507" w:rsidRDefault="000C38BC" w:rsidP="00643B68">
            <w:pPr>
              <w:bidi w:val="0"/>
              <w:jc w:val="center"/>
              <w:rPr>
                <w:b/>
                <w:bCs/>
                <w:sz w:val="20"/>
                <w:szCs w:val="20"/>
              </w:rPr>
            </w:pPr>
            <w:r>
              <w:rPr>
                <w:b/>
                <w:bCs/>
                <w:sz w:val="20"/>
                <w:szCs w:val="20"/>
              </w:rPr>
              <w:t>(50</w:t>
            </w:r>
            <w:r w:rsidR="004D5F2F" w:rsidRPr="00081507">
              <w:rPr>
                <w:b/>
                <w:bCs/>
                <w:sz w:val="20"/>
                <w:szCs w:val="20"/>
              </w:rPr>
              <w:t xml:space="preserve"> patients)</w:t>
            </w:r>
          </w:p>
        </w:tc>
        <w:tc>
          <w:tcPr>
            <w:tcW w:w="3071" w:type="dxa"/>
          </w:tcPr>
          <w:p w:rsidR="004D5F2F" w:rsidRPr="00081507" w:rsidRDefault="004D5F2F" w:rsidP="00643B68">
            <w:pPr>
              <w:bidi w:val="0"/>
              <w:jc w:val="center"/>
              <w:rPr>
                <w:b/>
                <w:bCs/>
                <w:sz w:val="20"/>
                <w:szCs w:val="20"/>
              </w:rPr>
            </w:pPr>
            <w:r w:rsidRPr="00081507">
              <w:rPr>
                <w:b/>
                <w:bCs/>
                <w:sz w:val="20"/>
                <w:szCs w:val="20"/>
              </w:rPr>
              <w:t>%</w:t>
            </w:r>
          </w:p>
        </w:tc>
      </w:tr>
      <w:tr w:rsidR="004D5F2F" w:rsidRPr="00081507">
        <w:trPr>
          <w:cantSplit/>
          <w:trHeight w:val="218"/>
          <w:jc w:val="center"/>
        </w:trPr>
        <w:tc>
          <w:tcPr>
            <w:tcW w:w="9213" w:type="dxa"/>
            <w:gridSpan w:val="3"/>
          </w:tcPr>
          <w:p w:rsidR="004D5F2F" w:rsidRPr="00081507" w:rsidRDefault="004D5F2F" w:rsidP="00643B68">
            <w:pPr>
              <w:pStyle w:val="Heading2"/>
              <w:keepNext w:val="0"/>
              <w:spacing w:before="0" w:line="240" w:lineRule="auto"/>
              <w:rPr>
                <w:rFonts w:cs="Times New Roman"/>
                <w:sz w:val="20"/>
                <w:szCs w:val="20"/>
              </w:rPr>
            </w:pPr>
            <w:r w:rsidRPr="00081507">
              <w:rPr>
                <w:rFonts w:cs="Times New Roman"/>
                <w:sz w:val="20"/>
                <w:szCs w:val="20"/>
              </w:rPr>
              <w:t xml:space="preserve">Sex </w:t>
            </w:r>
          </w:p>
        </w:tc>
      </w:tr>
      <w:tr w:rsidR="004D5F2F" w:rsidRPr="00081507">
        <w:trPr>
          <w:trHeight w:val="208"/>
          <w:jc w:val="center"/>
        </w:trPr>
        <w:tc>
          <w:tcPr>
            <w:tcW w:w="3071" w:type="dxa"/>
          </w:tcPr>
          <w:p w:rsidR="004D5F2F" w:rsidRPr="00081507" w:rsidRDefault="004D5F2F" w:rsidP="00643B68">
            <w:pPr>
              <w:bidi w:val="0"/>
              <w:jc w:val="lowKashida"/>
              <w:rPr>
                <w:sz w:val="20"/>
                <w:szCs w:val="20"/>
              </w:rPr>
            </w:pPr>
            <w:r w:rsidRPr="00081507">
              <w:rPr>
                <w:sz w:val="20"/>
                <w:szCs w:val="20"/>
              </w:rPr>
              <w:t xml:space="preserve">Male </w:t>
            </w:r>
          </w:p>
        </w:tc>
        <w:tc>
          <w:tcPr>
            <w:tcW w:w="3071" w:type="dxa"/>
          </w:tcPr>
          <w:p w:rsidR="004D5F2F" w:rsidRPr="00081507" w:rsidRDefault="004D5F2F" w:rsidP="00643B68">
            <w:pPr>
              <w:bidi w:val="0"/>
              <w:jc w:val="center"/>
              <w:rPr>
                <w:sz w:val="20"/>
                <w:szCs w:val="20"/>
              </w:rPr>
            </w:pPr>
            <w:r w:rsidRPr="00081507">
              <w:rPr>
                <w:sz w:val="20"/>
                <w:szCs w:val="20"/>
              </w:rPr>
              <w:t>40</w:t>
            </w:r>
          </w:p>
        </w:tc>
        <w:tc>
          <w:tcPr>
            <w:tcW w:w="3071" w:type="dxa"/>
          </w:tcPr>
          <w:p w:rsidR="004D5F2F" w:rsidRPr="00081507" w:rsidRDefault="004D5F2F" w:rsidP="00643B68">
            <w:pPr>
              <w:bidi w:val="0"/>
              <w:jc w:val="center"/>
              <w:rPr>
                <w:sz w:val="20"/>
                <w:szCs w:val="20"/>
              </w:rPr>
            </w:pPr>
            <w:r w:rsidRPr="00081507">
              <w:rPr>
                <w:sz w:val="20"/>
                <w:szCs w:val="20"/>
              </w:rPr>
              <w:t>80</w:t>
            </w:r>
          </w:p>
        </w:tc>
      </w:tr>
      <w:tr w:rsidR="004D5F2F" w:rsidRPr="00081507">
        <w:trPr>
          <w:trHeight w:val="218"/>
          <w:jc w:val="center"/>
        </w:trPr>
        <w:tc>
          <w:tcPr>
            <w:tcW w:w="3071" w:type="dxa"/>
          </w:tcPr>
          <w:p w:rsidR="004D5F2F" w:rsidRPr="00081507" w:rsidRDefault="004D5F2F" w:rsidP="00643B68">
            <w:pPr>
              <w:bidi w:val="0"/>
              <w:jc w:val="lowKashida"/>
              <w:rPr>
                <w:sz w:val="20"/>
                <w:szCs w:val="20"/>
              </w:rPr>
            </w:pPr>
            <w:r w:rsidRPr="00081507">
              <w:rPr>
                <w:sz w:val="20"/>
                <w:szCs w:val="20"/>
              </w:rPr>
              <w:t xml:space="preserve">Female </w:t>
            </w:r>
          </w:p>
        </w:tc>
        <w:tc>
          <w:tcPr>
            <w:tcW w:w="3071" w:type="dxa"/>
          </w:tcPr>
          <w:p w:rsidR="004D5F2F" w:rsidRPr="00081507" w:rsidRDefault="004D5F2F" w:rsidP="00643B68">
            <w:pPr>
              <w:bidi w:val="0"/>
              <w:jc w:val="center"/>
              <w:rPr>
                <w:sz w:val="20"/>
                <w:szCs w:val="20"/>
              </w:rPr>
            </w:pPr>
            <w:r w:rsidRPr="00081507">
              <w:rPr>
                <w:sz w:val="20"/>
                <w:szCs w:val="20"/>
              </w:rPr>
              <w:t>10</w:t>
            </w:r>
          </w:p>
        </w:tc>
        <w:tc>
          <w:tcPr>
            <w:tcW w:w="3071" w:type="dxa"/>
          </w:tcPr>
          <w:p w:rsidR="004D5F2F" w:rsidRPr="00081507" w:rsidRDefault="004D5F2F" w:rsidP="00643B68">
            <w:pPr>
              <w:bidi w:val="0"/>
              <w:jc w:val="center"/>
              <w:rPr>
                <w:sz w:val="20"/>
                <w:szCs w:val="20"/>
              </w:rPr>
            </w:pPr>
            <w:r w:rsidRPr="00081507">
              <w:rPr>
                <w:sz w:val="20"/>
                <w:szCs w:val="20"/>
              </w:rPr>
              <w:t>20</w:t>
            </w:r>
          </w:p>
        </w:tc>
      </w:tr>
      <w:tr w:rsidR="004D5F2F" w:rsidRPr="00081507">
        <w:trPr>
          <w:cantSplit/>
          <w:trHeight w:val="208"/>
          <w:jc w:val="center"/>
        </w:trPr>
        <w:tc>
          <w:tcPr>
            <w:tcW w:w="9213" w:type="dxa"/>
            <w:gridSpan w:val="3"/>
          </w:tcPr>
          <w:p w:rsidR="00BB0B00" w:rsidRDefault="00BB0B00" w:rsidP="00643B68">
            <w:pPr>
              <w:bidi w:val="0"/>
              <w:jc w:val="lowKashida"/>
              <w:rPr>
                <w:b/>
                <w:bCs/>
                <w:sz w:val="20"/>
                <w:szCs w:val="20"/>
              </w:rPr>
            </w:pPr>
            <w:r>
              <w:rPr>
                <w:b/>
                <w:bCs/>
                <w:sz w:val="20"/>
                <w:szCs w:val="20"/>
              </w:rPr>
              <w:t>Age</w:t>
            </w:r>
          </w:p>
          <w:p w:rsidR="004D5F2F" w:rsidRPr="00081507" w:rsidRDefault="00BB0B00" w:rsidP="00643B68">
            <w:pPr>
              <w:bidi w:val="0"/>
              <w:jc w:val="lowKashida"/>
              <w:rPr>
                <w:b/>
                <w:bCs/>
                <w:sz w:val="20"/>
                <w:szCs w:val="20"/>
              </w:rPr>
            </w:pPr>
            <w:r>
              <w:rPr>
                <w:b/>
                <w:bCs/>
                <w:sz w:val="20"/>
                <w:szCs w:val="20"/>
              </w:rPr>
              <w:t>Median (range in</w:t>
            </w:r>
            <w:r w:rsidR="004D5F2F" w:rsidRPr="00081507">
              <w:rPr>
                <w:b/>
                <w:bCs/>
                <w:sz w:val="20"/>
                <w:szCs w:val="20"/>
              </w:rPr>
              <w:t xml:space="preserve"> year</w:t>
            </w:r>
            <w:r>
              <w:rPr>
                <w:b/>
                <w:bCs/>
                <w:sz w:val="20"/>
                <w:szCs w:val="20"/>
              </w:rPr>
              <w:t>s)</w:t>
            </w:r>
            <w:r w:rsidR="00312B46">
              <w:rPr>
                <w:b/>
                <w:bCs/>
                <w:sz w:val="20"/>
                <w:szCs w:val="20"/>
              </w:rPr>
              <w:t xml:space="preserve"> </w:t>
            </w:r>
            <w:r w:rsidR="004D5F2F" w:rsidRPr="00081507">
              <w:rPr>
                <w:b/>
                <w:bCs/>
                <w:sz w:val="20"/>
                <w:szCs w:val="20"/>
              </w:rPr>
              <w:tab/>
            </w:r>
            <w:r w:rsidR="004D5F2F" w:rsidRPr="00081507">
              <w:rPr>
                <w:b/>
                <w:bCs/>
                <w:sz w:val="20"/>
                <w:szCs w:val="20"/>
              </w:rPr>
              <w:tab/>
              <w:t>61 (23-68)</w:t>
            </w:r>
          </w:p>
        </w:tc>
      </w:tr>
      <w:tr w:rsidR="004D5F2F" w:rsidRPr="00081507">
        <w:trPr>
          <w:cantSplit/>
          <w:trHeight w:val="218"/>
          <w:jc w:val="center"/>
        </w:trPr>
        <w:tc>
          <w:tcPr>
            <w:tcW w:w="9213" w:type="dxa"/>
            <w:gridSpan w:val="3"/>
          </w:tcPr>
          <w:p w:rsidR="004D5F2F" w:rsidRPr="00081507" w:rsidRDefault="000C38BC" w:rsidP="00643B68">
            <w:pPr>
              <w:bidi w:val="0"/>
              <w:jc w:val="lowKashida"/>
              <w:rPr>
                <w:b/>
                <w:bCs/>
                <w:sz w:val="20"/>
                <w:szCs w:val="20"/>
              </w:rPr>
            </w:pPr>
            <w:r w:rsidRPr="00081507">
              <w:rPr>
                <w:b/>
                <w:bCs/>
                <w:sz w:val="20"/>
                <w:szCs w:val="20"/>
              </w:rPr>
              <w:t>Histological</w:t>
            </w:r>
            <w:r>
              <w:rPr>
                <w:b/>
                <w:bCs/>
                <w:sz w:val="20"/>
                <w:szCs w:val="20"/>
              </w:rPr>
              <w:t xml:space="preserve"> d</w:t>
            </w:r>
            <w:r w:rsidR="004D5F2F" w:rsidRPr="00081507">
              <w:rPr>
                <w:b/>
                <w:bCs/>
                <w:sz w:val="20"/>
                <w:szCs w:val="20"/>
              </w:rPr>
              <w:t xml:space="preserve">iagnosis </w:t>
            </w:r>
          </w:p>
        </w:tc>
      </w:tr>
      <w:tr w:rsidR="004D5F2F" w:rsidRPr="00081507">
        <w:trPr>
          <w:trHeight w:val="208"/>
          <w:jc w:val="center"/>
        </w:trPr>
        <w:tc>
          <w:tcPr>
            <w:tcW w:w="3071" w:type="dxa"/>
          </w:tcPr>
          <w:p w:rsidR="004D5F2F" w:rsidRPr="00081507" w:rsidRDefault="004D5F2F" w:rsidP="00643B68">
            <w:pPr>
              <w:bidi w:val="0"/>
              <w:ind w:firstLine="567"/>
              <w:jc w:val="lowKashida"/>
              <w:rPr>
                <w:sz w:val="20"/>
                <w:szCs w:val="20"/>
              </w:rPr>
            </w:pPr>
            <w:proofErr w:type="spellStart"/>
            <w:r w:rsidRPr="00081507">
              <w:rPr>
                <w:sz w:val="20"/>
                <w:szCs w:val="20"/>
              </w:rPr>
              <w:t>Adenocarcinoma</w:t>
            </w:r>
            <w:proofErr w:type="spellEnd"/>
            <w:r w:rsidRPr="00081507">
              <w:rPr>
                <w:sz w:val="20"/>
                <w:szCs w:val="20"/>
              </w:rPr>
              <w:t xml:space="preserve"> </w:t>
            </w:r>
          </w:p>
        </w:tc>
        <w:tc>
          <w:tcPr>
            <w:tcW w:w="3071" w:type="dxa"/>
          </w:tcPr>
          <w:p w:rsidR="004D5F2F" w:rsidRPr="00081507" w:rsidRDefault="000C38BC" w:rsidP="00643B68">
            <w:pPr>
              <w:bidi w:val="0"/>
              <w:jc w:val="center"/>
              <w:rPr>
                <w:sz w:val="20"/>
                <w:szCs w:val="20"/>
              </w:rPr>
            </w:pPr>
            <w:r>
              <w:rPr>
                <w:sz w:val="20"/>
                <w:szCs w:val="20"/>
              </w:rPr>
              <w:t>38</w:t>
            </w:r>
          </w:p>
        </w:tc>
        <w:tc>
          <w:tcPr>
            <w:tcW w:w="3071" w:type="dxa"/>
          </w:tcPr>
          <w:p w:rsidR="004D5F2F" w:rsidRPr="00081507" w:rsidRDefault="000C38BC" w:rsidP="00643B68">
            <w:pPr>
              <w:bidi w:val="0"/>
              <w:jc w:val="center"/>
              <w:rPr>
                <w:sz w:val="20"/>
                <w:szCs w:val="20"/>
              </w:rPr>
            </w:pPr>
            <w:r>
              <w:rPr>
                <w:sz w:val="20"/>
                <w:szCs w:val="20"/>
              </w:rPr>
              <w:t>76</w:t>
            </w:r>
          </w:p>
        </w:tc>
      </w:tr>
      <w:tr w:rsidR="004D5F2F" w:rsidRPr="00081507">
        <w:trPr>
          <w:trHeight w:val="218"/>
          <w:jc w:val="center"/>
        </w:trPr>
        <w:tc>
          <w:tcPr>
            <w:tcW w:w="3071" w:type="dxa"/>
          </w:tcPr>
          <w:p w:rsidR="004D5F2F" w:rsidRPr="00081507" w:rsidRDefault="004D5F2F" w:rsidP="00643B68">
            <w:pPr>
              <w:bidi w:val="0"/>
              <w:ind w:firstLine="567"/>
              <w:jc w:val="lowKashida"/>
              <w:rPr>
                <w:sz w:val="20"/>
                <w:szCs w:val="20"/>
              </w:rPr>
            </w:pPr>
            <w:proofErr w:type="spellStart"/>
            <w:r w:rsidRPr="00081507">
              <w:rPr>
                <w:sz w:val="20"/>
                <w:szCs w:val="20"/>
              </w:rPr>
              <w:t>Mucinous</w:t>
            </w:r>
            <w:proofErr w:type="spellEnd"/>
            <w:r w:rsidRPr="00081507">
              <w:rPr>
                <w:sz w:val="20"/>
                <w:szCs w:val="20"/>
              </w:rPr>
              <w:t xml:space="preserve"> </w:t>
            </w:r>
          </w:p>
        </w:tc>
        <w:tc>
          <w:tcPr>
            <w:tcW w:w="3071" w:type="dxa"/>
          </w:tcPr>
          <w:p w:rsidR="004D5F2F" w:rsidRPr="00081507" w:rsidRDefault="000C38BC" w:rsidP="00643B68">
            <w:pPr>
              <w:bidi w:val="0"/>
              <w:jc w:val="center"/>
              <w:rPr>
                <w:sz w:val="20"/>
                <w:szCs w:val="20"/>
              </w:rPr>
            </w:pPr>
            <w:r>
              <w:rPr>
                <w:sz w:val="20"/>
                <w:szCs w:val="20"/>
              </w:rPr>
              <w:t>9</w:t>
            </w:r>
          </w:p>
        </w:tc>
        <w:tc>
          <w:tcPr>
            <w:tcW w:w="3071" w:type="dxa"/>
          </w:tcPr>
          <w:p w:rsidR="004D5F2F" w:rsidRPr="00081507" w:rsidRDefault="000C38BC" w:rsidP="00643B68">
            <w:pPr>
              <w:bidi w:val="0"/>
              <w:jc w:val="center"/>
              <w:rPr>
                <w:sz w:val="20"/>
                <w:szCs w:val="20"/>
              </w:rPr>
            </w:pPr>
            <w:r>
              <w:rPr>
                <w:sz w:val="20"/>
                <w:szCs w:val="20"/>
              </w:rPr>
              <w:t>18</w:t>
            </w:r>
          </w:p>
        </w:tc>
      </w:tr>
      <w:tr w:rsidR="004D5F2F" w:rsidRPr="00081507">
        <w:trPr>
          <w:trHeight w:val="218"/>
          <w:jc w:val="center"/>
        </w:trPr>
        <w:tc>
          <w:tcPr>
            <w:tcW w:w="3071" w:type="dxa"/>
          </w:tcPr>
          <w:p w:rsidR="004D5F2F" w:rsidRPr="00081507" w:rsidRDefault="004D5F2F" w:rsidP="00643B68">
            <w:pPr>
              <w:bidi w:val="0"/>
              <w:ind w:firstLine="567"/>
              <w:jc w:val="lowKashida"/>
              <w:rPr>
                <w:sz w:val="20"/>
                <w:szCs w:val="20"/>
              </w:rPr>
            </w:pPr>
            <w:r w:rsidRPr="00081507">
              <w:rPr>
                <w:sz w:val="20"/>
                <w:szCs w:val="20"/>
              </w:rPr>
              <w:t xml:space="preserve">Signet ring </w:t>
            </w:r>
          </w:p>
        </w:tc>
        <w:tc>
          <w:tcPr>
            <w:tcW w:w="3071" w:type="dxa"/>
          </w:tcPr>
          <w:p w:rsidR="004D5F2F" w:rsidRPr="00081507" w:rsidRDefault="000C38BC" w:rsidP="00643B68">
            <w:pPr>
              <w:bidi w:val="0"/>
              <w:jc w:val="center"/>
              <w:rPr>
                <w:sz w:val="20"/>
                <w:szCs w:val="20"/>
              </w:rPr>
            </w:pPr>
            <w:r>
              <w:rPr>
                <w:sz w:val="20"/>
                <w:szCs w:val="20"/>
              </w:rPr>
              <w:t>3</w:t>
            </w:r>
          </w:p>
        </w:tc>
        <w:tc>
          <w:tcPr>
            <w:tcW w:w="3071" w:type="dxa"/>
          </w:tcPr>
          <w:p w:rsidR="004D5F2F" w:rsidRPr="00081507" w:rsidRDefault="000C38BC" w:rsidP="00643B68">
            <w:pPr>
              <w:bidi w:val="0"/>
              <w:jc w:val="center"/>
              <w:rPr>
                <w:sz w:val="20"/>
                <w:szCs w:val="20"/>
              </w:rPr>
            </w:pPr>
            <w:r>
              <w:rPr>
                <w:sz w:val="20"/>
                <w:szCs w:val="20"/>
              </w:rPr>
              <w:t>6</w:t>
            </w:r>
          </w:p>
        </w:tc>
      </w:tr>
      <w:tr w:rsidR="004D5F2F" w:rsidRPr="00081507">
        <w:trPr>
          <w:cantSplit/>
          <w:trHeight w:val="208"/>
          <w:jc w:val="center"/>
        </w:trPr>
        <w:tc>
          <w:tcPr>
            <w:tcW w:w="9213" w:type="dxa"/>
            <w:gridSpan w:val="3"/>
          </w:tcPr>
          <w:p w:rsidR="004D5F2F" w:rsidRPr="00081507" w:rsidRDefault="004D5F2F" w:rsidP="00643B68">
            <w:pPr>
              <w:pStyle w:val="Heading2"/>
              <w:keepNext w:val="0"/>
              <w:spacing w:before="0" w:line="240" w:lineRule="auto"/>
              <w:rPr>
                <w:rFonts w:cs="Times New Roman"/>
                <w:sz w:val="20"/>
                <w:szCs w:val="20"/>
              </w:rPr>
            </w:pPr>
            <w:r w:rsidRPr="00081507">
              <w:rPr>
                <w:rFonts w:cs="Times New Roman"/>
                <w:sz w:val="20"/>
                <w:szCs w:val="20"/>
              </w:rPr>
              <w:t xml:space="preserve">Primary site </w:t>
            </w:r>
          </w:p>
        </w:tc>
      </w:tr>
      <w:tr w:rsidR="004D5F2F" w:rsidRPr="00081507">
        <w:trPr>
          <w:trHeight w:val="218"/>
          <w:jc w:val="center"/>
        </w:trPr>
        <w:tc>
          <w:tcPr>
            <w:tcW w:w="3071" w:type="dxa"/>
          </w:tcPr>
          <w:p w:rsidR="004D5F2F" w:rsidRPr="00081507" w:rsidRDefault="004D5F2F" w:rsidP="00643B68">
            <w:pPr>
              <w:pStyle w:val="Heading4"/>
              <w:keepNext w:val="0"/>
              <w:spacing w:before="0"/>
              <w:rPr>
                <w:rFonts w:cs="Times New Roman"/>
                <w:sz w:val="20"/>
                <w:szCs w:val="20"/>
              </w:rPr>
            </w:pPr>
            <w:r w:rsidRPr="00081507">
              <w:rPr>
                <w:rFonts w:cs="Times New Roman"/>
                <w:sz w:val="20"/>
                <w:szCs w:val="20"/>
              </w:rPr>
              <w:t xml:space="preserve">Colon </w:t>
            </w:r>
          </w:p>
        </w:tc>
        <w:tc>
          <w:tcPr>
            <w:tcW w:w="3071" w:type="dxa"/>
          </w:tcPr>
          <w:p w:rsidR="004D5F2F" w:rsidRPr="00081507" w:rsidRDefault="004D5F2F" w:rsidP="00643B68">
            <w:pPr>
              <w:bidi w:val="0"/>
              <w:jc w:val="center"/>
              <w:rPr>
                <w:sz w:val="20"/>
                <w:szCs w:val="20"/>
              </w:rPr>
            </w:pPr>
            <w:r w:rsidRPr="00081507">
              <w:rPr>
                <w:sz w:val="20"/>
                <w:szCs w:val="20"/>
              </w:rPr>
              <w:t>35</w:t>
            </w:r>
          </w:p>
        </w:tc>
        <w:tc>
          <w:tcPr>
            <w:tcW w:w="3071" w:type="dxa"/>
          </w:tcPr>
          <w:p w:rsidR="004D5F2F" w:rsidRPr="00081507" w:rsidRDefault="004D5F2F" w:rsidP="00643B68">
            <w:pPr>
              <w:bidi w:val="0"/>
              <w:jc w:val="center"/>
              <w:rPr>
                <w:sz w:val="20"/>
                <w:szCs w:val="20"/>
              </w:rPr>
            </w:pPr>
            <w:r w:rsidRPr="00081507">
              <w:rPr>
                <w:sz w:val="20"/>
                <w:szCs w:val="20"/>
              </w:rPr>
              <w:t>70</w:t>
            </w:r>
          </w:p>
        </w:tc>
      </w:tr>
      <w:tr w:rsidR="004D5F2F" w:rsidRPr="00081507">
        <w:trPr>
          <w:trHeight w:val="208"/>
          <w:jc w:val="center"/>
        </w:trPr>
        <w:tc>
          <w:tcPr>
            <w:tcW w:w="3071" w:type="dxa"/>
          </w:tcPr>
          <w:p w:rsidR="004D5F2F" w:rsidRPr="00081507" w:rsidRDefault="004D5F2F" w:rsidP="00643B68">
            <w:pPr>
              <w:bidi w:val="0"/>
              <w:ind w:firstLine="567"/>
              <w:jc w:val="lowKashida"/>
              <w:rPr>
                <w:sz w:val="20"/>
                <w:szCs w:val="20"/>
              </w:rPr>
            </w:pPr>
            <w:r w:rsidRPr="00081507">
              <w:rPr>
                <w:sz w:val="20"/>
                <w:szCs w:val="20"/>
              </w:rPr>
              <w:t xml:space="preserve">Rectum </w:t>
            </w:r>
          </w:p>
        </w:tc>
        <w:tc>
          <w:tcPr>
            <w:tcW w:w="3071" w:type="dxa"/>
          </w:tcPr>
          <w:p w:rsidR="004D5F2F" w:rsidRPr="00081507" w:rsidRDefault="004D5F2F" w:rsidP="00643B68">
            <w:pPr>
              <w:bidi w:val="0"/>
              <w:jc w:val="center"/>
              <w:rPr>
                <w:sz w:val="20"/>
                <w:szCs w:val="20"/>
              </w:rPr>
            </w:pPr>
            <w:r w:rsidRPr="00081507">
              <w:rPr>
                <w:sz w:val="20"/>
                <w:szCs w:val="20"/>
              </w:rPr>
              <w:t>15</w:t>
            </w:r>
          </w:p>
        </w:tc>
        <w:tc>
          <w:tcPr>
            <w:tcW w:w="3071" w:type="dxa"/>
          </w:tcPr>
          <w:p w:rsidR="004D5F2F" w:rsidRPr="00081507" w:rsidRDefault="004D5F2F" w:rsidP="00643B68">
            <w:pPr>
              <w:bidi w:val="0"/>
              <w:jc w:val="center"/>
              <w:rPr>
                <w:sz w:val="20"/>
                <w:szCs w:val="20"/>
              </w:rPr>
            </w:pPr>
            <w:r w:rsidRPr="00081507">
              <w:rPr>
                <w:sz w:val="20"/>
                <w:szCs w:val="20"/>
              </w:rPr>
              <w:t>30</w:t>
            </w:r>
          </w:p>
        </w:tc>
      </w:tr>
      <w:tr w:rsidR="004D5F2F" w:rsidRPr="00081507">
        <w:trPr>
          <w:trHeight w:val="218"/>
          <w:jc w:val="center"/>
        </w:trPr>
        <w:tc>
          <w:tcPr>
            <w:tcW w:w="3071" w:type="dxa"/>
          </w:tcPr>
          <w:p w:rsidR="004D5F2F" w:rsidRPr="00081507" w:rsidRDefault="004D5F2F" w:rsidP="00643B68">
            <w:pPr>
              <w:bidi w:val="0"/>
              <w:jc w:val="lowKashida"/>
              <w:rPr>
                <w:b/>
                <w:bCs/>
                <w:sz w:val="20"/>
                <w:szCs w:val="20"/>
              </w:rPr>
            </w:pPr>
            <w:r w:rsidRPr="00081507">
              <w:rPr>
                <w:b/>
                <w:bCs/>
                <w:sz w:val="20"/>
                <w:szCs w:val="20"/>
              </w:rPr>
              <w:t xml:space="preserve">Dukes’ stage </w:t>
            </w:r>
          </w:p>
        </w:tc>
        <w:tc>
          <w:tcPr>
            <w:tcW w:w="3071" w:type="dxa"/>
          </w:tcPr>
          <w:p w:rsidR="004D5F2F" w:rsidRPr="00081507" w:rsidRDefault="004D5F2F" w:rsidP="00643B68">
            <w:pPr>
              <w:bidi w:val="0"/>
              <w:jc w:val="center"/>
              <w:rPr>
                <w:sz w:val="20"/>
                <w:szCs w:val="20"/>
              </w:rPr>
            </w:pPr>
          </w:p>
        </w:tc>
        <w:tc>
          <w:tcPr>
            <w:tcW w:w="3071" w:type="dxa"/>
          </w:tcPr>
          <w:p w:rsidR="004D5F2F" w:rsidRPr="00081507" w:rsidRDefault="004D5F2F" w:rsidP="00643B68">
            <w:pPr>
              <w:bidi w:val="0"/>
              <w:jc w:val="center"/>
              <w:rPr>
                <w:sz w:val="20"/>
                <w:szCs w:val="20"/>
              </w:rPr>
            </w:pPr>
          </w:p>
        </w:tc>
      </w:tr>
      <w:tr w:rsidR="004D5F2F" w:rsidRPr="00081507">
        <w:trPr>
          <w:trHeight w:val="208"/>
          <w:jc w:val="center"/>
        </w:trPr>
        <w:tc>
          <w:tcPr>
            <w:tcW w:w="3071" w:type="dxa"/>
          </w:tcPr>
          <w:p w:rsidR="004D5F2F" w:rsidRPr="00081507" w:rsidRDefault="004D5F2F" w:rsidP="00643B68">
            <w:pPr>
              <w:pStyle w:val="Heading4"/>
              <w:keepNext w:val="0"/>
              <w:spacing w:before="0"/>
              <w:rPr>
                <w:rFonts w:cs="Times New Roman"/>
                <w:sz w:val="20"/>
                <w:szCs w:val="20"/>
              </w:rPr>
            </w:pPr>
            <w:r w:rsidRPr="00081507">
              <w:rPr>
                <w:rFonts w:cs="Times New Roman"/>
                <w:sz w:val="20"/>
                <w:szCs w:val="20"/>
              </w:rPr>
              <w:t>A</w:t>
            </w:r>
          </w:p>
        </w:tc>
        <w:tc>
          <w:tcPr>
            <w:tcW w:w="3071" w:type="dxa"/>
          </w:tcPr>
          <w:p w:rsidR="004D5F2F" w:rsidRPr="00081507" w:rsidRDefault="004D5F2F" w:rsidP="00643B68">
            <w:pPr>
              <w:bidi w:val="0"/>
              <w:jc w:val="center"/>
              <w:rPr>
                <w:sz w:val="20"/>
                <w:szCs w:val="20"/>
              </w:rPr>
            </w:pPr>
            <w:r w:rsidRPr="00081507">
              <w:rPr>
                <w:sz w:val="20"/>
                <w:szCs w:val="20"/>
              </w:rPr>
              <w:t>20</w:t>
            </w:r>
          </w:p>
        </w:tc>
        <w:tc>
          <w:tcPr>
            <w:tcW w:w="3071" w:type="dxa"/>
          </w:tcPr>
          <w:p w:rsidR="004D5F2F" w:rsidRPr="00081507" w:rsidRDefault="004D5F2F" w:rsidP="00643B68">
            <w:pPr>
              <w:bidi w:val="0"/>
              <w:jc w:val="center"/>
              <w:rPr>
                <w:sz w:val="20"/>
                <w:szCs w:val="20"/>
              </w:rPr>
            </w:pPr>
            <w:r w:rsidRPr="00081507">
              <w:rPr>
                <w:sz w:val="20"/>
                <w:szCs w:val="20"/>
              </w:rPr>
              <w:t>40</w:t>
            </w:r>
          </w:p>
        </w:tc>
      </w:tr>
      <w:tr w:rsidR="004D5F2F" w:rsidRPr="00081507">
        <w:trPr>
          <w:trHeight w:val="229"/>
          <w:jc w:val="center"/>
        </w:trPr>
        <w:tc>
          <w:tcPr>
            <w:tcW w:w="3071" w:type="dxa"/>
          </w:tcPr>
          <w:p w:rsidR="004D5F2F" w:rsidRPr="00081507" w:rsidRDefault="004D5F2F" w:rsidP="00643B68">
            <w:pPr>
              <w:bidi w:val="0"/>
              <w:ind w:firstLine="567"/>
              <w:jc w:val="lowKashida"/>
              <w:rPr>
                <w:sz w:val="20"/>
                <w:szCs w:val="20"/>
              </w:rPr>
            </w:pPr>
            <w:r w:rsidRPr="00081507">
              <w:rPr>
                <w:sz w:val="20"/>
                <w:szCs w:val="20"/>
              </w:rPr>
              <w:t>B</w:t>
            </w:r>
          </w:p>
        </w:tc>
        <w:tc>
          <w:tcPr>
            <w:tcW w:w="3071" w:type="dxa"/>
          </w:tcPr>
          <w:p w:rsidR="004D5F2F" w:rsidRPr="00081507" w:rsidRDefault="004D5F2F" w:rsidP="00643B68">
            <w:pPr>
              <w:bidi w:val="0"/>
              <w:jc w:val="center"/>
              <w:rPr>
                <w:sz w:val="20"/>
                <w:szCs w:val="20"/>
              </w:rPr>
            </w:pPr>
            <w:r w:rsidRPr="00081507">
              <w:rPr>
                <w:sz w:val="20"/>
                <w:szCs w:val="20"/>
              </w:rPr>
              <w:t>30</w:t>
            </w:r>
          </w:p>
        </w:tc>
        <w:tc>
          <w:tcPr>
            <w:tcW w:w="3071" w:type="dxa"/>
          </w:tcPr>
          <w:p w:rsidR="004D5F2F" w:rsidRPr="00081507" w:rsidRDefault="004D5F2F" w:rsidP="00643B68">
            <w:pPr>
              <w:bidi w:val="0"/>
              <w:jc w:val="center"/>
              <w:rPr>
                <w:sz w:val="20"/>
                <w:szCs w:val="20"/>
              </w:rPr>
            </w:pPr>
            <w:r w:rsidRPr="00081507">
              <w:rPr>
                <w:sz w:val="20"/>
                <w:szCs w:val="20"/>
              </w:rPr>
              <w:t>60</w:t>
            </w:r>
          </w:p>
        </w:tc>
      </w:tr>
    </w:tbl>
    <w:p w:rsidR="00081507" w:rsidRDefault="00081507" w:rsidP="00643B68">
      <w:pPr>
        <w:pStyle w:val="BodyText"/>
        <w:spacing w:before="0" w:line="240" w:lineRule="auto"/>
        <w:rPr>
          <w:rFonts w:cs="Times New Roman"/>
          <w:sz w:val="20"/>
          <w:szCs w:val="20"/>
        </w:rPr>
      </w:pPr>
    </w:p>
    <w:p w:rsidR="00A55A4B" w:rsidRPr="00081507" w:rsidRDefault="00A55A4B" w:rsidP="00643B68">
      <w:pPr>
        <w:pStyle w:val="BodyText"/>
        <w:spacing w:before="0" w:line="240" w:lineRule="auto"/>
        <w:jc w:val="center"/>
        <w:rPr>
          <w:rFonts w:cs="Times New Roman"/>
          <w:sz w:val="20"/>
          <w:szCs w:val="20"/>
        </w:rPr>
      </w:pPr>
      <w:r w:rsidRPr="00081507">
        <w:rPr>
          <w:rFonts w:cs="Times New Roman"/>
          <w:sz w:val="20"/>
          <w:szCs w:val="20"/>
        </w:rPr>
        <w:t xml:space="preserve">Table (2) </w:t>
      </w:r>
      <w:r w:rsidR="00BB0B00">
        <w:rPr>
          <w:rFonts w:cs="Times New Roman"/>
          <w:sz w:val="20"/>
          <w:szCs w:val="20"/>
        </w:rPr>
        <w:t>Patterns of t</w:t>
      </w:r>
      <w:r w:rsidR="000C569D" w:rsidRPr="00081507">
        <w:rPr>
          <w:rFonts w:cs="Times New Roman"/>
          <w:sz w:val="20"/>
          <w:szCs w:val="20"/>
        </w:rPr>
        <w:t>reatment</w:t>
      </w:r>
      <w:r w:rsidRPr="00081507">
        <w:rPr>
          <w:rFonts w:cs="Times New Roman"/>
          <w:sz w:val="20"/>
          <w:szCs w:val="20"/>
        </w:rPr>
        <w:t xml:space="preserve"> </w:t>
      </w:r>
      <w:r w:rsidR="00C87797" w:rsidRPr="00081507">
        <w:rPr>
          <w:rFonts w:cs="Times New Roman"/>
          <w:sz w:val="20"/>
          <w:szCs w:val="20"/>
        </w:rPr>
        <w:t>failure:</w:t>
      </w:r>
      <w:r w:rsidRPr="00081507">
        <w:rPr>
          <w:rFonts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2196"/>
        <w:gridCol w:w="2130"/>
      </w:tblGrid>
      <w:tr w:rsidR="00A55A4B" w:rsidRPr="00081507">
        <w:trPr>
          <w:cantSplit/>
          <w:trHeight w:val="56"/>
        </w:trPr>
        <w:tc>
          <w:tcPr>
            <w:tcW w:w="5211" w:type="dxa"/>
            <w:vMerge w:val="restart"/>
            <w:vAlign w:val="center"/>
          </w:tcPr>
          <w:p w:rsidR="00BB0B00" w:rsidRDefault="00BB0B00" w:rsidP="00643B68">
            <w:pPr>
              <w:pStyle w:val="Heading3"/>
              <w:keepNext w:val="0"/>
              <w:spacing w:before="0" w:after="0"/>
              <w:jc w:val="right"/>
              <w:rPr>
                <w:rFonts w:ascii="Times New Roman" w:hAnsi="Times New Roman" w:cs="Times New Roman"/>
                <w:sz w:val="20"/>
                <w:szCs w:val="20"/>
              </w:rPr>
            </w:pPr>
            <w:r>
              <w:rPr>
                <w:rFonts w:ascii="Times New Roman" w:hAnsi="Times New Roman" w:cs="Times New Roman"/>
                <w:sz w:val="20"/>
                <w:szCs w:val="20"/>
              </w:rPr>
              <w:t>Pattern</w:t>
            </w:r>
          </w:p>
          <w:p w:rsidR="00A55A4B" w:rsidRPr="00081507" w:rsidRDefault="00A55A4B" w:rsidP="00643B68">
            <w:pPr>
              <w:pStyle w:val="Heading3"/>
              <w:keepNext w:val="0"/>
              <w:spacing w:before="0" w:after="0"/>
              <w:jc w:val="center"/>
              <w:rPr>
                <w:rFonts w:ascii="Times New Roman" w:hAnsi="Times New Roman" w:cs="Times New Roman"/>
                <w:sz w:val="20"/>
                <w:szCs w:val="20"/>
              </w:rPr>
            </w:pPr>
          </w:p>
        </w:tc>
        <w:tc>
          <w:tcPr>
            <w:tcW w:w="4326" w:type="dxa"/>
            <w:gridSpan w:val="2"/>
          </w:tcPr>
          <w:p w:rsidR="00A55A4B" w:rsidRPr="00081507" w:rsidRDefault="00A55A4B" w:rsidP="00643B68">
            <w:pPr>
              <w:bidi w:val="0"/>
              <w:jc w:val="center"/>
              <w:rPr>
                <w:sz w:val="20"/>
                <w:szCs w:val="20"/>
              </w:rPr>
            </w:pPr>
            <w:r w:rsidRPr="00081507">
              <w:rPr>
                <w:sz w:val="20"/>
                <w:szCs w:val="20"/>
              </w:rPr>
              <w:t>Number of pa</w:t>
            </w:r>
            <w:r w:rsidR="00916A6E">
              <w:rPr>
                <w:sz w:val="20"/>
                <w:szCs w:val="20"/>
              </w:rPr>
              <w:t>tients with recurrent disease (15</w:t>
            </w:r>
            <w:r w:rsidRPr="00081507">
              <w:rPr>
                <w:sz w:val="20"/>
                <w:szCs w:val="20"/>
              </w:rPr>
              <w:t>)</w:t>
            </w:r>
          </w:p>
        </w:tc>
      </w:tr>
      <w:tr w:rsidR="00A55A4B" w:rsidRPr="00081507">
        <w:trPr>
          <w:cantSplit/>
          <w:trHeight w:val="260"/>
        </w:trPr>
        <w:tc>
          <w:tcPr>
            <w:tcW w:w="5211" w:type="dxa"/>
            <w:vMerge/>
          </w:tcPr>
          <w:p w:rsidR="00A55A4B" w:rsidRPr="00081507" w:rsidRDefault="00A55A4B" w:rsidP="00643B68">
            <w:pPr>
              <w:bidi w:val="0"/>
              <w:jc w:val="center"/>
              <w:rPr>
                <w:sz w:val="20"/>
                <w:szCs w:val="20"/>
              </w:rPr>
            </w:pPr>
          </w:p>
        </w:tc>
        <w:tc>
          <w:tcPr>
            <w:tcW w:w="2196" w:type="dxa"/>
          </w:tcPr>
          <w:p w:rsidR="00A55A4B" w:rsidRPr="00081507" w:rsidRDefault="00A55A4B" w:rsidP="00643B68">
            <w:pPr>
              <w:bidi w:val="0"/>
              <w:jc w:val="center"/>
              <w:rPr>
                <w:sz w:val="20"/>
                <w:szCs w:val="20"/>
              </w:rPr>
            </w:pPr>
            <w:r w:rsidRPr="00081507">
              <w:rPr>
                <w:sz w:val="20"/>
                <w:szCs w:val="20"/>
              </w:rPr>
              <w:t>No</w:t>
            </w:r>
          </w:p>
        </w:tc>
        <w:tc>
          <w:tcPr>
            <w:tcW w:w="2130" w:type="dxa"/>
          </w:tcPr>
          <w:p w:rsidR="00A55A4B" w:rsidRPr="00081507" w:rsidRDefault="00A55A4B" w:rsidP="00643B68">
            <w:pPr>
              <w:bidi w:val="0"/>
              <w:jc w:val="center"/>
              <w:rPr>
                <w:sz w:val="20"/>
                <w:szCs w:val="20"/>
              </w:rPr>
            </w:pPr>
            <w:r w:rsidRPr="00081507">
              <w:rPr>
                <w:sz w:val="20"/>
                <w:szCs w:val="20"/>
              </w:rPr>
              <w:t>%</w:t>
            </w:r>
          </w:p>
        </w:tc>
      </w:tr>
      <w:tr w:rsidR="00A55A4B" w:rsidRPr="00081507">
        <w:trPr>
          <w:trHeight w:val="217"/>
        </w:trPr>
        <w:tc>
          <w:tcPr>
            <w:tcW w:w="5211" w:type="dxa"/>
          </w:tcPr>
          <w:p w:rsidR="00BB0B00" w:rsidRDefault="00BB0B00" w:rsidP="00643B68">
            <w:pPr>
              <w:bidi w:val="0"/>
              <w:jc w:val="lowKashida"/>
              <w:rPr>
                <w:sz w:val="20"/>
                <w:szCs w:val="20"/>
              </w:rPr>
            </w:pPr>
            <w:r>
              <w:rPr>
                <w:sz w:val="20"/>
                <w:szCs w:val="20"/>
              </w:rPr>
              <w:t>Distant metastases:</w:t>
            </w:r>
          </w:p>
          <w:p w:rsidR="00BB0B00" w:rsidRDefault="00A55A4B" w:rsidP="00643B68">
            <w:pPr>
              <w:bidi w:val="0"/>
              <w:jc w:val="lowKashida"/>
              <w:rPr>
                <w:sz w:val="20"/>
                <w:szCs w:val="20"/>
              </w:rPr>
            </w:pPr>
            <w:r w:rsidRPr="00081507">
              <w:rPr>
                <w:sz w:val="20"/>
                <w:szCs w:val="20"/>
              </w:rPr>
              <w:t xml:space="preserve"> </w:t>
            </w:r>
            <w:r w:rsidR="00BB0B00">
              <w:rPr>
                <w:sz w:val="20"/>
                <w:szCs w:val="20"/>
              </w:rPr>
              <w:t xml:space="preserve">                        </w:t>
            </w:r>
            <w:r w:rsidRPr="00081507">
              <w:rPr>
                <w:sz w:val="20"/>
                <w:szCs w:val="20"/>
              </w:rPr>
              <w:t>Liver metastases alone</w:t>
            </w:r>
          </w:p>
          <w:p w:rsidR="00A55A4B" w:rsidRPr="00081507" w:rsidRDefault="00A55A4B" w:rsidP="00643B68">
            <w:pPr>
              <w:bidi w:val="0"/>
              <w:jc w:val="lowKashida"/>
              <w:rPr>
                <w:sz w:val="20"/>
                <w:szCs w:val="20"/>
              </w:rPr>
            </w:pPr>
            <w:r w:rsidRPr="00081507">
              <w:rPr>
                <w:sz w:val="20"/>
                <w:szCs w:val="20"/>
              </w:rPr>
              <w:t xml:space="preserve"> </w:t>
            </w:r>
          </w:p>
        </w:tc>
        <w:tc>
          <w:tcPr>
            <w:tcW w:w="2196" w:type="dxa"/>
          </w:tcPr>
          <w:p w:rsidR="00A55A4B" w:rsidRDefault="00A55A4B" w:rsidP="00643B68">
            <w:pPr>
              <w:bidi w:val="0"/>
              <w:jc w:val="center"/>
              <w:rPr>
                <w:sz w:val="20"/>
                <w:szCs w:val="20"/>
              </w:rPr>
            </w:pPr>
          </w:p>
          <w:p w:rsidR="00685EFC" w:rsidRPr="00081507" w:rsidRDefault="00916A6E" w:rsidP="00643B68">
            <w:pPr>
              <w:bidi w:val="0"/>
              <w:jc w:val="center"/>
              <w:rPr>
                <w:sz w:val="20"/>
                <w:szCs w:val="20"/>
              </w:rPr>
            </w:pPr>
            <w:r>
              <w:rPr>
                <w:sz w:val="20"/>
                <w:szCs w:val="20"/>
              </w:rPr>
              <w:t>8</w:t>
            </w:r>
          </w:p>
        </w:tc>
        <w:tc>
          <w:tcPr>
            <w:tcW w:w="2130" w:type="dxa"/>
          </w:tcPr>
          <w:p w:rsidR="00685EFC" w:rsidRDefault="00685EFC" w:rsidP="00643B68">
            <w:pPr>
              <w:bidi w:val="0"/>
              <w:jc w:val="center"/>
              <w:rPr>
                <w:sz w:val="20"/>
                <w:szCs w:val="20"/>
              </w:rPr>
            </w:pPr>
          </w:p>
          <w:p w:rsidR="00A55A4B" w:rsidRPr="00081507" w:rsidRDefault="00996CF7" w:rsidP="00643B68">
            <w:pPr>
              <w:bidi w:val="0"/>
              <w:jc w:val="center"/>
              <w:rPr>
                <w:sz w:val="20"/>
                <w:szCs w:val="20"/>
              </w:rPr>
            </w:pPr>
            <w:r w:rsidRPr="00081507">
              <w:rPr>
                <w:sz w:val="20"/>
                <w:szCs w:val="20"/>
              </w:rPr>
              <w:t>5</w:t>
            </w:r>
            <w:r w:rsidR="00916A6E">
              <w:rPr>
                <w:sz w:val="20"/>
                <w:szCs w:val="20"/>
              </w:rPr>
              <w:t>3.3</w:t>
            </w:r>
          </w:p>
        </w:tc>
      </w:tr>
      <w:tr w:rsidR="00A55A4B" w:rsidRPr="00081507">
        <w:trPr>
          <w:trHeight w:val="217"/>
        </w:trPr>
        <w:tc>
          <w:tcPr>
            <w:tcW w:w="5211" w:type="dxa"/>
          </w:tcPr>
          <w:p w:rsidR="00A55A4B" w:rsidRPr="00081507" w:rsidRDefault="00BB0B00" w:rsidP="00643B68">
            <w:pPr>
              <w:bidi w:val="0"/>
              <w:jc w:val="lowKashida"/>
              <w:rPr>
                <w:sz w:val="20"/>
                <w:szCs w:val="20"/>
              </w:rPr>
            </w:pPr>
            <w:r>
              <w:rPr>
                <w:sz w:val="20"/>
                <w:szCs w:val="20"/>
              </w:rPr>
              <w:t xml:space="preserve">                        </w:t>
            </w:r>
            <w:r w:rsidR="00A55A4B" w:rsidRPr="00081507">
              <w:rPr>
                <w:sz w:val="20"/>
                <w:szCs w:val="20"/>
              </w:rPr>
              <w:t xml:space="preserve"> Liver and lung metastases</w:t>
            </w:r>
          </w:p>
        </w:tc>
        <w:tc>
          <w:tcPr>
            <w:tcW w:w="2196" w:type="dxa"/>
          </w:tcPr>
          <w:p w:rsidR="00A55A4B" w:rsidRPr="00081507" w:rsidRDefault="00916A6E" w:rsidP="00312B46">
            <w:pPr>
              <w:bidi w:val="0"/>
              <w:jc w:val="center"/>
              <w:rPr>
                <w:sz w:val="20"/>
                <w:szCs w:val="20"/>
              </w:rPr>
            </w:pPr>
            <w:r>
              <w:rPr>
                <w:sz w:val="20"/>
                <w:szCs w:val="20"/>
              </w:rPr>
              <w:t>2</w:t>
            </w:r>
          </w:p>
        </w:tc>
        <w:tc>
          <w:tcPr>
            <w:tcW w:w="2130" w:type="dxa"/>
          </w:tcPr>
          <w:p w:rsidR="00A55A4B" w:rsidRPr="00081507" w:rsidRDefault="00916A6E" w:rsidP="00643B68">
            <w:pPr>
              <w:bidi w:val="0"/>
              <w:jc w:val="center"/>
              <w:rPr>
                <w:sz w:val="20"/>
                <w:szCs w:val="20"/>
              </w:rPr>
            </w:pPr>
            <w:r>
              <w:rPr>
                <w:sz w:val="20"/>
                <w:szCs w:val="20"/>
              </w:rPr>
              <w:t>13</w:t>
            </w:r>
            <w:r w:rsidR="00BB0B00">
              <w:rPr>
                <w:sz w:val="20"/>
                <w:szCs w:val="20"/>
              </w:rPr>
              <w:t>.3</w:t>
            </w:r>
          </w:p>
        </w:tc>
      </w:tr>
      <w:tr w:rsidR="00A55A4B" w:rsidRPr="00081507">
        <w:trPr>
          <w:trHeight w:val="217"/>
        </w:trPr>
        <w:tc>
          <w:tcPr>
            <w:tcW w:w="5211" w:type="dxa"/>
          </w:tcPr>
          <w:p w:rsidR="00A55A4B" w:rsidRPr="00081507" w:rsidRDefault="00A55A4B" w:rsidP="00643B68">
            <w:pPr>
              <w:bidi w:val="0"/>
              <w:jc w:val="lowKashida"/>
              <w:rPr>
                <w:sz w:val="20"/>
                <w:szCs w:val="20"/>
              </w:rPr>
            </w:pPr>
            <w:r w:rsidRPr="00081507">
              <w:rPr>
                <w:sz w:val="20"/>
                <w:szCs w:val="20"/>
              </w:rPr>
              <w:t xml:space="preserve"> Local recurrence</w:t>
            </w:r>
          </w:p>
        </w:tc>
        <w:tc>
          <w:tcPr>
            <w:tcW w:w="2196" w:type="dxa"/>
          </w:tcPr>
          <w:p w:rsidR="00A55A4B" w:rsidRPr="00081507" w:rsidRDefault="00916A6E" w:rsidP="00643B68">
            <w:pPr>
              <w:bidi w:val="0"/>
              <w:jc w:val="center"/>
              <w:rPr>
                <w:sz w:val="20"/>
                <w:szCs w:val="20"/>
              </w:rPr>
            </w:pPr>
            <w:r>
              <w:rPr>
                <w:sz w:val="20"/>
                <w:szCs w:val="20"/>
              </w:rPr>
              <w:t>3</w:t>
            </w:r>
          </w:p>
        </w:tc>
        <w:tc>
          <w:tcPr>
            <w:tcW w:w="2130" w:type="dxa"/>
          </w:tcPr>
          <w:p w:rsidR="00A55A4B" w:rsidRPr="00081507" w:rsidRDefault="00916A6E" w:rsidP="00643B68">
            <w:pPr>
              <w:bidi w:val="0"/>
              <w:jc w:val="center"/>
              <w:rPr>
                <w:sz w:val="20"/>
                <w:szCs w:val="20"/>
              </w:rPr>
            </w:pPr>
            <w:r>
              <w:rPr>
                <w:sz w:val="20"/>
                <w:szCs w:val="20"/>
              </w:rPr>
              <w:t>20</w:t>
            </w:r>
          </w:p>
        </w:tc>
      </w:tr>
      <w:tr w:rsidR="00A55A4B" w:rsidRPr="00081507">
        <w:trPr>
          <w:trHeight w:val="217"/>
        </w:trPr>
        <w:tc>
          <w:tcPr>
            <w:tcW w:w="5211" w:type="dxa"/>
          </w:tcPr>
          <w:p w:rsidR="00A55A4B" w:rsidRPr="00081507" w:rsidRDefault="00A55A4B" w:rsidP="00643B68">
            <w:pPr>
              <w:bidi w:val="0"/>
              <w:jc w:val="lowKashida"/>
              <w:rPr>
                <w:sz w:val="20"/>
                <w:szCs w:val="20"/>
              </w:rPr>
            </w:pPr>
            <w:r w:rsidRPr="00081507">
              <w:rPr>
                <w:sz w:val="20"/>
                <w:szCs w:val="20"/>
              </w:rPr>
              <w:t xml:space="preserve"> </w:t>
            </w:r>
            <w:r w:rsidR="004A592E">
              <w:rPr>
                <w:sz w:val="20"/>
                <w:szCs w:val="20"/>
              </w:rPr>
              <w:t>Distant and local failure</w:t>
            </w:r>
          </w:p>
        </w:tc>
        <w:tc>
          <w:tcPr>
            <w:tcW w:w="2196" w:type="dxa"/>
          </w:tcPr>
          <w:p w:rsidR="00A55A4B" w:rsidRPr="00081507" w:rsidRDefault="00916A6E" w:rsidP="00643B68">
            <w:pPr>
              <w:bidi w:val="0"/>
              <w:jc w:val="center"/>
              <w:rPr>
                <w:sz w:val="20"/>
                <w:szCs w:val="20"/>
              </w:rPr>
            </w:pPr>
            <w:r>
              <w:rPr>
                <w:sz w:val="20"/>
                <w:szCs w:val="20"/>
              </w:rPr>
              <w:t>2</w:t>
            </w:r>
          </w:p>
        </w:tc>
        <w:tc>
          <w:tcPr>
            <w:tcW w:w="2130" w:type="dxa"/>
          </w:tcPr>
          <w:p w:rsidR="00A55A4B" w:rsidRPr="00081507" w:rsidRDefault="00916A6E" w:rsidP="00643B68">
            <w:pPr>
              <w:bidi w:val="0"/>
              <w:jc w:val="center"/>
              <w:rPr>
                <w:sz w:val="20"/>
                <w:szCs w:val="20"/>
              </w:rPr>
            </w:pPr>
            <w:r>
              <w:rPr>
                <w:sz w:val="20"/>
                <w:szCs w:val="20"/>
              </w:rPr>
              <w:t>13</w:t>
            </w:r>
            <w:r w:rsidR="00685EFC">
              <w:rPr>
                <w:sz w:val="20"/>
                <w:szCs w:val="20"/>
              </w:rPr>
              <w:t>.3</w:t>
            </w:r>
          </w:p>
        </w:tc>
      </w:tr>
    </w:tbl>
    <w:p w:rsidR="00001D52" w:rsidRDefault="00001D52" w:rsidP="00643B68">
      <w:pPr>
        <w:widowControl w:val="0"/>
        <w:autoSpaceDE w:val="0"/>
        <w:autoSpaceDN w:val="0"/>
        <w:bidi w:val="0"/>
        <w:adjustRightInd w:val="0"/>
        <w:jc w:val="both"/>
        <w:rPr>
          <w:sz w:val="20"/>
          <w:szCs w:val="20"/>
        </w:rPr>
      </w:pPr>
    </w:p>
    <w:p w:rsidR="00001D52" w:rsidRDefault="00001D52">
      <w:pPr>
        <w:bidi w:val="0"/>
        <w:spacing w:after="200" w:line="276" w:lineRule="auto"/>
        <w:rPr>
          <w:sz w:val="20"/>
          <w:szCs w:val="20"/>
        </w:rPr>
      </w:pPr>
    </w:p>
    <w:p w:rsidR="00522608" w:rsidRDefault="00522608" w:rsidP="00643B68">
      <w:pPr>
        <w:pStyle w:val="BodyText"/>
        <w:spacing w:before="0" w:line="240" w:lineRule="auto"/>
        <w:ind w:right="1560"/>
        <w:rPr>
          <w:rFonts w:cs="Times New Roman"/>
          <w:sz w:val="20"/>
          <w:szCs w:val="20"/>
        </w:rPr>
      </w:pPr>
    </w:p>
    <w:p w:rsidR="00085C1E" w:rsidRDefault="00085C1E" w:rsidP="00643B68">
      <w:pPr>
        <w:pStyle w:val="BodyText"/>
        <w:spacing w:before="0" w:line="240" w:lineRule="auto"/>
        <w:ind w:right="1560"/>
        <w:rPr>
          <w:rFonts w:cs="Times New Roman"/>
          <w:sz w:val="20"/>
          <w:szCs w:val="20"/>
        </w:rPr>
      </w:pPr>
    </w:p>
    <w:p w:rsidR="00241D7F" w:rsidRDefault="00241D7F" w:rsidP="00643B68">
      <w:pPr>
        <w:pStyle w:val="BodyText"/>
        <w:spacing w:before="0" w:line="240" w:lineRule="auto"/>
        <w:jc w:val="center"/>
        <w:rPr>
          <w:rFonts w:cs="Times New Roman" w:hint="eastAsia"/>
          <w:sz w:val="20"/>
          <w:szCs w:val="20"/>
          <w:lang w:eastAsia="zh-CN"/>
        </w:rPr>
      </w:pPr>
    </w:p>
    <w:p w:rsidR="00C87797" w:rsidRPr="00081507" w:rsidRDefault="00C87797" w:rsidP="00643B68">
      <w:pPr>
        <w:pStyle w:val="BodyText"/>
        <w:spacing w:before="0" w:line="240" w:lineRule="auto"/>
        <w:jc w:val="center"/>
        <w:rPr>
          <w:rFonts w:cs="Times New Roman"/>
          <w:sz w:val="20"/>
          <w:szCs w:val="20"/>
        </w:rPr>
      </w:pPr>
      <w:proofErr w:type="gramStart"/>
      <w:r w:rsidRPr="00081507">
        <w:rPr>
          <w:rFonts w:cs="Times New Roman"/>
          <w:sz w:val="20"/>
          <w:szCs w:val="20"/>
        </w:rPr>
        <w:t>Table (3): Recurrences</w:t>
      </w:r>
      <w:r w:rsidR="00CF3B06">
        <w:rPr>
          <w:rFonts w:cs="Times New Roman"/>
          <w:sz w:val="20"/>
          <w:szCs w:val="20"/>
        </w:rPr>
        <w:t>,</w:t>
      </w:r>
      <w:r w:rsidR="00081507">
        <w:rPr>
          <w:rFonts w:cs="Times New Roman"/>
          <w:sz w:val="20"/>
          <w:szCs w:val="20"/>
        </w:rPr>
        <w:t xml:space="preserve"> and deaths in patients, by DPI </w:t>
      </w:r>
      <w:r w:rsidRPr="00081507">
        <w:rPr>
          <w:rFonts w:cs="Times New Roman"/>
          <w:sz w:val="20"/>
          <w:szCs w:val="20"/>
        </w:rPr>
        <w:t>status, and Dukes’ stage.</w:t>
      </w:r>
      <w:proofErr w:type="gramEnd"/>
      <w:r w:rsidRPr="00081507">
        <w:rPr>
          <w:rFonts w:cs="Times New Roman"/>
          <w:sz w:val="20"/>
          <w:szCs w:val="20"/>
        </w:rPr>
        <w:t xml:space="preserve"> </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137"/>
        <w:gridCol w:w="1235"/>
        <w:gridCol w:w="784"/>
        <w:gridCol w:w="784"/>
        <w:gridCol w:w="627"/>
        <w:gridCol w:w="627"/>
        <w:gridCol w:w="1880"/>
        <w:gridCol w:w="1488"/>
      </w:tblGrid>
      <w:tr w:rsidR="00C87797" w:rsidRPr="00081507">
        <w:trPr>
          <w:cantSplit/>
          <w:trHeight w:val="251"/>
        </w:trPr>
        <w:tc>
          <w:tcPr>
            <w:tcW w:w="2137" w:type="dxa"/>
            <w:vMerge w:val="restart"/>
          </w:tcPr>
          <w:p w:rsidR="00C87797" w:rsidRPr="00081507" w:rsidRDefault="00C87797" w:rsidP="00643B68">
            <w:pPr>
              <w:bidi w:val="0"/>
              <w:jc w:val="center"/>
              <w:rPr>
                <w:b/>
                <w:bCs/>
                <w:sz w:val="20"/>
                <w:szCs w:val="20"/>
              </w:rPr>
            </w:pPr>
          </w:p>
        </w:tc>
        <w:tc>
          <w:tcPr>
            <w:tcW w:w="1235" w:type="dxa"/>
            <w:vMerge w:val="restart"/>
          </w:tcPr>
          <w:p w:rsidR="00C87797" w:rsidRPr="00081507" w:rsidRDefault="00C87797" w:rsidP="00643B68">
            <w:pPr>
              <w:bidi w:val="0"/>
              <w:jc w:val="center"/>
              <w:rPr>
                <w:b/>
                <w:bCs/>
                <w:sz w:val="20"/>
                <w:szCs w:val="20"/>
              </w:rPr>
            </w:pPr>
            <w:r w:rsidRPr="00081507">
              <w:rPr>
                <w:b/>
                <w:bCs/>
                <w:sz w:val="20"/>
                <w:szCs w:val="20"/>
              </w:rPr>
              <w:t>Number of patients</w:t>
            </w:r>
          </w:p>
        </w:tc>
        <w:tc>
          <w:tcPr>
            <w:tcW w:w="1567" w:type="dxa"/>
            <w:gridSpan w:val="2"/>
          </w:tcPr>
          <w:p w:rsidR="00C87797" w:rsidRPr="00081507" w:rsidRDefault="00C87797" w:rsidP="00643B68">
            <w:pPr>
              <w:bidi w:val="0"/>
              <w:jc w:val="center"/>
              <w:rPr>
                <w:b/>
                <w:bCs/>
                <w:sz w:val="20"/>
                <w:szCs w:val="20"/>
              </w:rPr>
            </w:pPr>
            <w:r w:rsidRPr="00081507">
              <w:rPr>
                <w:b/>
                <w:bCs/>
                <w:sz w:val="20"/>
                <w:szCs w:val="20"/>
              </w:rPr>
              <w:t>Recurrences</w:t>
            </w:r>
          </w:p>
        </w:tc>
        <w:tc>
          <w:tcPr>
            <w:tcW w:w="1253" w:type="dxa"/>
            <w:gridSpan w:val="2"/>
          </w:tcPr>
          <w:p w:rsidR="00C87797" w:rsidRPr="00081507" w:rsidRDefault="00C87797" w:rsidP="00643B68">
            <w:pPr>
              <w:bidi w:val="0"/>
              <w:jc w:val="center"/>
              <w:rPr>
                <w:b/>
                <w:bCs/>
                <w:sz w:val="20"/>
                <w:szCs w:val="20"/>
              </w:rPr>
            </w:pPr>
            <w:r w:rsidRPr="00081507">
              <w:rPr>
                <w:b/>
                <w:bCs/>
                <w:sz w:val="20"/>
                <w:szCs w:val="20"/>
              </w:rPr>
              <w:t>Deaths</w:t>
            </w:r>
          </w:p>
        </w:tc>
        <w:tc>
          <w:tcPr>
            <w:tcW w:w="1880" w:type="dxa"/>
            <w:vMerge w:val="restart"/>
          </w:tcPr>
          <w:p w:rsidR="00C87797" w:rsidRPr="00081507" w:rsidRDefault="00C87797" w:rsidP="00643B68">
            <w:pPr>
              <w:bidi w:val="0"/>
              <w:jc w:val="center"/>
              <w:rPr>
                <w:b/>
                <w:bCs/>
                <w:sz w:val="20"/>
                <w:szCs w:val="20"/>
              </w:rPr>
            </w:pPr>
            <w:r w:rsidRPr="00081507">
              <w:rPr>
                <w:b/>
                <w:bCs/>
                <w:sz w:val="20"/>
                <w:szCs w:val="20"/>
              </w:rPr>
              <w:t>Recurrence-free survival (%)</w:t>
            </w:r>
          </w:p>
        </w:tc>
        <w:tc>
          <w:tcPr>
            <w:tcW w:w="1488" w:type="dxa"/>
            <w:vMerge w:val="restart"/>
          </w:tcPr>
          <w:p w:rsidR="00C87797" w:rsidRPr="00081507" w:rsidRDefault="00C87797" w:rsidP="00643B68">
            <w:pPr>
              <w:bidi w:val="0"/>
              <w:jc w:val="center"/>
              <w:rPr>
                <w:b/>
                <w:bCs/>
                <w:sz w:val="20"/>
                <w:szCs w:val="20"/>
              </w:rPr>
            </w:pPr>
            <w:r w:rsidRPr="00081507">
              <w:rPr>
                <w:b/>
                <w:bCs/>
                <w:sz w:val="20"/>
                <w:szCs w:val="20"/>
              </w:rPr>
              <w:t>Overall survival (%)</w:t>
            </w:r>
          </w:p>
        </w:tc>
      </w:tr>
      <w:tr w:rsidR="00C87797" w:rsidRPr="00081507">
        <w:trPr>
          <w:cantSplit/>
          <w:trHeight w:val="157"/>
        </w:trPr>
        <w:tc>
          <w:tcPr>
            <w:tcW w:w="2137" w:type="dxa"/>
            <w:vMerge/>
          </w:tcPr>
          <w:p w:rsidR="00C87797" w:rsidRPr="00081507" w:rsidRDefault="00C87797" w:rsidP="00643B68">
            <w:pPr>
              <w:bidi w:val="0"/>
              <w:jc w:val="center"/>
              <w:rPr>
                <w:b/>
                <w:bCs/>
                <w:sz w:val="20"/>
                <w:szCs w:val="20"/>
              </w:rPr>
            </w:pPr>
          </w:p>
        </w:tc>
        <w:tc>
          <w:tcPr>
            <w:tcW w:w="1235" w:type="dxa"/>
            <w:vMerge/>
          </w:tcPr>
          <w:p w:rsidR="00C87797" w:rsidRPr="00081507" w:rsidRDefault="00C87797" w:rsidP="00643B68">
            <w:pPr>
              <w:bidi w:val="0"/>
              <w:jc w:val="center"/>
              <w:rPr>
                <w:b/>
                <w:bCs/>
                <w:sz w:val="20"/>
                <w:szCs w:val="20"/>
              </w:rPr>
            </w:pPr>
          </w:p>
        </w:tc>
        <w:tc>
          <w:tcPr>
            <w:tcW w:w="784" w:type="dxa"/>
          </w:tcPr>
          <w:p w:rsidR="00C87797" w:rsidRPr="00081507" w:rsidRDefault="00C87797" w:rsidP="00643B68">
            <w:pPr>
              <w:pStyle w:val="Heading3"/>
              <w:keepNext w:val="0"/>
              <w:spacing w:before="0" w:after="0"/>
              <w:rPr>
                <w:rFonts w:ascii="Times New Roman" w:hAnsi="Times New Roman" w:cs="Times New Roman"/>
                <w:sz w:val="20"/>
                <w:szCs w:val="20"/>
              </w:rPr>
            </w:pPr>
            <w:r w:rsidRPr="00081507">
              <w:rPr>
                <w:rFonts w:ascii="Times New Roman" w:hAnsi="Times New Roman" w:cs="Times New Roman"/>
                <w:sz w:val="20"/>
                <w:szCs w:val="20"/>
              </w:rPr>
              <w:t>No</w:t>
            </w:r>
          </w:p>
        </w:tc>
        <w:tc>
          <w:tcPr>
            <w:tcW w:w="784" w:type="dxa"/>
          </w:tcPr>
          <w:p w:rsidR="00C87797" w:rsidRPr="00081507" w:rsidRDefault="00C87797" w:rsidP="00643B68">
            <w:pPr>
              <w:bidi w:val="0"/>
              <w:jc w:val="center"/>
              <w:rPr>
                <w:b/>
                <w:bCs/>
                <w:sz w:val="20"/>
                <w:szCs w:val="20"/>
              </w:rPr>
            </w:pPr>
            <w:r w:rsidRPr="00081507">
              <w:rPr>
                <w:b/>
                <w:bCs/>
                <w:sz w:val="20"/>
                <w:szCs w:val="20"/>
              </w:rPr>
              <w:t>%</w:t>
            </w:r>
          </w:p>
        </w:tc>
        <w:tc>
          <w:tcPr>
            <w:tcW w:w="627" w:type="dxa"/>
          </w:tcPr>
          <w:p w:rsidR="00C87797" w:rsidRPr="00081507" w:rsidRDefault="00C87797" w:rsidP="00643B68">
            <w:pPr>
              <w:bidi w:val="0"/>
              <w:jc w:val="center"/>
              <w:rPr>
                <w:b/>
                <w:bCs/>
                <w:sz w:val="20"/>
                <w:szCs w:val="20"/>
              </w:rPr>
            </w:pPr>
            <w:r w:rsidRPr="00081507">
              <w:rPr>
                <w:b/>
                <w:bCs/>
                <w:sz w:val="20"/>
                <w:szCs w:val="20"/>
              </w:rPr>
              <w:t>No</w:t>
            </w:r>
          </w:p>
        </w:tc>
        <w:tc>
          <w:tcPr>
            <w:tcW w:w="627" w:type="dxa"/>
          </w:tcPr>
          <w:p w:rsidR="00C87797" w:rsidRPr="00081507" w:rsidRDefault="00C87797" w:rsidP="00643B68">
            <w:pPr>
              <w:bidi w:val="0"/>
              <w:jc w:val="center"/>
              <w:rPr>
                <w:b/>
                <w:bCs/>
                <w:sz w:val="20"/>
                <w:szCs w:val="20"/>
              </w:rPr>
            </w:pPr>
            <w:r w:rsidRPr="00081507">
              <w:rPr>
                <w:b/>
                <w:bCs/>
                <w:sz w:val="20"/>
                <w:szCs w:val="20"/>
              </w:rPr>
              <w:t>%</w:t>
            </w:r>
          </w:p>
        </w:tc>
        <w:tc>
          <w:tcPr>
            <w:tcW w:w="1880" w:type="dxa"/>
            <w:vMerge/>
          </w:tcPr>
          <w:p w:rsidR="00C87797" w:rsidRPr="00081507" w:rsidRDefault="00C87797" w:rsidP="00643B68">
            <w:pPr>
              <w:bidi w:val="0"/>
              <w:jc w:val="center"/>
              <w:rPr>
                <w:b/>
                <w:bCs/>
                <w:sz w:val="20"/>
                <w:szCs w:val="20"/>
              </w:rPr>
            </w:pPr>
          </w:p>
        </w:tc>
        <w:tc>
          <w:tcPr>
            <w:tcW w:w="1488" w:type="dxa"/>
            <w:vMerge/>
          </w:tcPr>
          <w:p w:rsidR="00C87797" w:rsidRPr="00081507" w:rsidRDefault="00C87797" w:rsidP="00643B68">
            <w:pPr>
              <w:bidi w:val="0"/>
              <w:jc w:val="center"/>
              <w:rPr>
                <w:b/>
                <w:bCs/>
                <w:sz w:val="20"/>
                <w:szCs w:val="20"/>
              </w:rPr>
            </w:pPr>
          </w:p>
        </w:tc>
      </w:tr>
      <w:tr w:rsidR="00AE7933" w:rsidRPr="00081507">
        <w:trPr>
          <w:trHeight w:val="251"/>
        </w:trPr>
        <w:tc>
          <w:tcPr>
            <w:tcW w:w="2137" w:type="dxa"/>
          </w:tcPr>
          <w:p w:rsidR="00AE7933" w:rsidRPr="00081507" w:rsidRDefault="00AE7933" w:rsidP="00643B68">
            <w:pPr>
              <w:pStyle w:val="Heading2"/>
              <w:keepNext w:val="0"/>
              <w:spacing w:before="0" w:line="240" w:lineRule="auto"/>
              <w:rPr>
                <w:rFonts w:cs="Times New Roman"/>
                <w:sz w:val="20"/>
                <w:szCs w:val="20"/>
              </w:rPr>
            </w:pPr>
            <w:r w:rsidRPr="00081507">
              <w:rPr>
                <w:rFonts w:cs="Times New Roman"/>
                <w:sz w:val="20"/>
                <w:szCs w:val="20"/>
              </w:rPr>
              <w:t>Normal DPI</w:t>
            </w:r>
          </w:p>
        </w:tc>
        <w:tc>
          <w:tcPr>
            <w:tcW w:w="4055" w:type="dxa"/>
            <w:gridSpan w:val="5"/>
          </w:tcPr>
          <w:p w:rsidR="00AE7933" w:rsidRPr="00081507" w:rsidRDefault="00AE7933" w:rsidP="00643B68">
            <w:pPr>
              <w:bidi w:val="0"/>
              <w:jc w:val="center"/>
              <w:rPr>
                <w:b/>
                <w:bCs/>
                <w:sz w:val="20"/>
                <w:szCs w:val="20"/>
              </w:rPr>
            </w:pPr>
          </w:p>
        </w:tc>
        <w:tc>
          <w:tcPr>
            <w:tcW w:w="1880" w:type="dxa"/>
          </w:tcPr>
          <w:p w:rsidR="00AE7933" w:rsidRPr="00081507" w:rsidRDefault="00AE7933" w:rsidP="00643B68">
            <w:pPr>
              <w:bidi w:val="0"/>
              <w:jc w:val="center"/>
              <w:rPr>
                <w:b/>
                <w:bCs/>
                <w:sz w:val="20"/>
                <w:szCs w:val="20"/>
              </w:rPr>
            </w:pPr>
            <w:r w:rsidRPr="00081507">
              <w:rPr>
                <w:b/>
                <w:bCs/>
                <w:sz w:val="20"/>
                <w:szCs w:val="20"/>
              </w:rPr>
              <w:t>16 (80%)</w:t>
            </w:r>
          </w:p>
        </w:tc>
        <w:tc>
          <w:tcPr>
            <w:tcW w:w="1488" w:type="dxa"/>
          </w:tcPr>
          <w:p w:rsidR="00AE7933" w:rsidRPr="00081507" w:rsidRDefault="00AE7933" w:rsidP="00643B68">
            <w:pPr>
              <w:bidi w:val="0"/>
              <w:jc w:val="center"/>
              <w:rPr>
                <w:b/>
                <w:bCs/>
                <w:sz w:val="20"/>
                <w:szCs w:val="20"/>
              </w:rPr>
            </w:pPr>
            <w:r w:rsidRPr="00081507">
              <w:rPr>
                <w:b/>
                <w:bCs/>
                <w:sz w:val="20"/>
                <w:szCs w:val="20"/>
              </w:rPr>
              <w:t>17 (85%)</w:t>
            </w:r>
          </w:p>
        </w:tc>
      </w:tr>
      <w:tr w:rsidR="00C87797" w:rsidRPr="00081507">
        <w:trPr>
          <w:trHeight w:val="251"/>
        </w:trPr>
        <w:tc>
          <w:tcPr>
            <w:tcW w:w="2137" w:type="dxa"/>
          </w:tcPr>
          <w:p w:rsidR="00C87797" w:rsidRPr="00081507" w:rsidRDefault="00C87797" w:rsidP="00643B68">
            <w:pPr>
              <w:pStyle w:val="Heading5"/>
              <w:spacing w:before="0" w:after="0"/>
              <w:jc w:val="right"/>
              <w:rPr>
                <w:i w:val="0"/>
                <w:iCs w:val="0"/>
                <w:sz w:val="20"/>
                <w:szCs w:val="20"/>
              </w:rPr>
            </w:pPr>
            <w:r w:rsidRPr="00081507">
              <w:rPr>
                <w:i w:val="0"/>
                <w:iCs w:val="0"/>
                <w:sz w:val="20"/>
                <w:szCs w:val="20"/>
              </w:rPr>
              <w:t>Dukes’ stage A</w:t>
            </w:r>
          </w:p>
        </w:tc>
        <w:tc>
          <w:tcPr>
            <w:tcW w:w="1235" w:type="dxa"/>
          </w:tcPr>
          <w:p w:rsidR="00C87797" w:rsidRPr="00081507" w:rsidRDefault="00C87797" w:rsidP="00643B68">
            <w:pPr>
              <w:bidi w:val="0"/>
              <w:jc w:val="center"/>
              <w:rPr>
                <w:b/>
                <w:bCs/>
                <w:sz w:val="20"/>
                <w:szCs w:val="20"/>
              </w:rPr>
            </w:pPr>
            <w:r w:rsidRPr="00081507">
              <w:rPr>
                <w:b/>
                <w:bCs/>
                <w:sz w:val="20"/>
                <w:szCs w:val="20"/>
              </w:rPr>
              <w:t>11</w:t>
            </w:r>
          </w:p>
        </w:tc>
        <w:tc>
          <w:tcPr>
            <w:tcW w:w="784" w:type="dxa"/>
          </w:tcPr>
          <w:p w:rsidR="00C87797" w:rsidRPr="00081507" w:rsidRDefault="00C87797" w:rsidP="00643B68">
            <w:pPr>
              <w:bidi w:val="0"/>
              <w:jc w:val="center"/>
              <w:rPr>
                <w:b/>
                <w:bCs/>
                <w:sz w:val="20"/>
                <w:szCs w:val="20"/>
              </w:rPr>
            </w:pPr>
            <w:r w:rsidRPr="00081507">
              <w:rPr>
                <w:b/>
                <w:bCs/>
                <w:sz w:val="20"/>
                <w:szCs w:val="20"/>
              </w:rPr>
              <w:t>2</w:t>
            </w:r>
          </w:p>
        </w:tc>
        <w:tc>
          <w:tcPr>
            <w:tcW w:w="784" w:type="dxa"/>
          </w:tcPr>
          <w:p w:rsidR="00C87797" w:rsidRPr="00081507" w:rsidRDefault="00D77AE9" w:rsidP="00643B68">
            <w:pPr>
              <w:bidi w:val="0"/>
              <w:jc w:val="center"/>
              <w:rPr>
                <w:b/>
                <w:bCs/>
                <w:sz w:val="20"/>
                <w:szCs w:val="20"/>
                <w:lang w:bidi="ar-EG"/>
              </w:rPr>
            </w:pPr>
            <w:r w:rsidRPr="00081507">
              <w:rPr>
                <w:b/>
                <w:bCs/>
                <w:sz w:val="20"/>
                <w:szCs w:val="20"/>
                <w:lang w:bidi="ar-EG"/>
              </w:rPr>
              <w:t>18.2</w:t>
            </w:r>
          </w:p>
        </w:tc>
        <w:tc>
          <w:tcPr>
            <w:tcW w:w="627" w:type="dxa"/>
          </w:tcPr>
          <w:p w:rsidR="00C87797" w:rsidRPr="00081507" w:rsidRDefault="00C87797" w:rsidP="00643B68">
            <w:pPr>
              <w:bidi w:val="0"/>
              <w:jc w:val="center"/>
              <w:rPr>
                <w:b/>
                <w:bCs/>
                <w:sz w:val="20"/>
                <w:szCs w:val="20"/>
              </w:rPr>
            </w:pPr>
            <w:r w:rsidRPr="00081507">
              <w:rPr>
                <w:b/>
                <w:bCs/>
                <w:sz w:val="20"/>
                <w:szCs w:val="20"/>
              </w:rPr>
              <w:t>1</w:t>
            </w:r>
          </w:p>
        </w:tc>
        <w:tc>
          <w:tcPr>
            <w:tcW w:w="627" w:type="dxa"/>
          </w:tcPr>
          <w:p w:rsidR="00C87797" w:rsidRPr="00081507" w:rsidRDefault="00D77AE9" w:rsidP="00643B68">
            <w:pPr>
              <w:bidi w:val="0"/>
              <w:jc w:val="center"/>
              <w:rPr>
                <w:b/>
                <w:bCs/>
                <w:sz w:val="20"/>
                <w:szCs w:val="20"/>
                <w:lang w:bidi="ar-EG"/>
              </w:rPr>
            </w:pPr>
            <w:r w:rsidRPr="00081507">
              <w:rPr>
                <w:b/>
                <w:bCs/>
                <w:sz w:val="20"/>
                <w:szCs w:val="20"/>
                <w:lang w:bidi="ar-EG"/>
              </w:rPr>
              <w:t>9.1</w:t>
            </w:r>
          </w:p>
        </w:tc>
        <w:tc>
          <w:tcPr>
            <w:tcW w:w="1880" w:type="dxa"/>
          </w:tcPr>
          <w:p w:rsidR="00C87797" w:rsidRPr="00081507" w:rsidRDefault="00122546" w:rsidP="00643B68">
            <w:pPr>
              <w:bidi w:val="0"/>
              <w:jc w:val="center"/>
              <w:rPr>
                <w:b/>
                <w:bCs/>
                <w:sz w:val="20"/>
                <w:szCs w:val="20"/>
                <w:lang w:bidi="ar-EG"/>
              </w:rPr>
            </w:pPr>
            <w:r>
              <w:rPr>
                <w:b/>
                <w:bCs/>
                <w:sz w:val="20"/>
                <w:szCs w:val="20"/>
                <w:lang w:bidi="ar-EG"/>
              </w:rPr>
              <w:t>72.7</w:t>
            </w:r>
          </w:p>
        </w:tc>
        <w:tc>
          <w:tcPr>
            <w:tcW w:w="1488" w:type="dxa"/>
          </w:tcPr>
          <w:p w:rsidR="00C87797" w:rsidRPr="00081507" w:rsidRDefault="00D77AE9" w:rsidP="00643B68">
            <w:pPr>
              <w:bidi w:val="0"/>
              <w:jc w:val="center"/>
              <w:rPr>
                <w:b/>
                <w:bCs/>
                <w:sz w:val="20"/>
                <w:szCs w:val="20"/>
                <w:lang w:bidi="ar-EG"/>
              </w:rPr>
            </w:pPr>
            <w:r w:rsidRPr="00081507">
              <w:rPr>
                <w:b/>
                <w:bCs/>
                <w:sz w:val="20"/>
                <w:szCs w:val="20"/>
                <w:lang w:bidi="ar-EG"/>
              </w:rPr>
              <w:t>90</w:t>
            </w:r>
            <w:r w:rsidR="00122546">
              <w:rPr>
                <w:b/>
                <w:bCs/>
                <w:sz w:val="20"/>
                <w:szCs w:val="20"/>
                <w:lang w:bidi="ar-EG"/>
              </w:rPr>
              <w:t>.9</w:t>
            </w:r>
          </w:p>
        </w:tc>
      </w:tr>
      <w:tr w:rsidR="00C87797" w:rsidRPr="00081507">
        <w:trPr>
          <w:trHeight w:val="239"/>
        </w:trPr>
        <w:tc>
          <w:tcPr>
            <w:tcW w:w="2137" w:type="dxa"/>
          </w:tcPr>
          <w:p w:rsidR="00C87797" w:rsidRPr="00081507" w:rsidRDefault="00C87797" w:rsidP="00643B68">
            <w:pPr>
              <w:bidi w:val="0"/>
              <w:jc w:val="lowKashida"/>
              <w:rPr>
                <w:b/>
                <w:bCs/>
                <w:sz w:val="20"/>
                <w:szCs w:val="20"/>
              </w:rPr>
            </w:pPr>
            <w:r w:rsidRPr="00081507">
              <w:rPr>
                <w:b/>
                <w:bCs/>
                <w:sz w:val="20"/>
                <w:szCs w:val="20"/>
              </w:rPr>
              <w:t>Dukes’ stage B</w:t>
            </w:r>
          </w:p>
        </w:tc>
        <w:tc>
          <w:tcPr>
            <w:tcW w:w="1235" w:type="dxa"/>
          </w:tcPr>
          <w:p w:rsidR="00C87797" w:rsidRPr="00081507" w:rsidRDefault="00C87797" w:rsidP="00643B68">
            <w:pPr>
              <w:bidi w:val="0"/>
              <w:jc w:val="center"/>
              <w:rPr>
                <w:b/>
                <w:bCs/>
                <w:sz w:val="20"/>
                <w:szCs w:val="20"/>
              </w:rPr>
            </w:pPr>
            <w:r w:rsidRPr="00081507">
              <w:rPr>
                <w:b/>
                <w:bCs/>
                <w:sz w:val="20"/>
                <w:szCs w:val="20"/>
              </w:rPr>
              <w:t>9</w:t>
            </w:r>
          </w:p>
        </w:tc>
        <w:tc>
          <w:tcPr>
            <w:tcW w:w="784" w:type="dxa"/>
          </w:tcPr>
          <w:p w:rsidR="00C87797" w:rsidRPr="00081507" w:rsidRDefault="00C87797" w:rsidP="00643B68">
            <w:pPr>
              <w:bidi w:val="0"/>
              <w:jc w:val="center"/>
              <w:rPr>
                <w:b/>
                <w:bCs/>
                <w:sz w:val="20"/>
                <w:szCs w:val="20"/>
              </w:rPr>
            </w:pPr>
            <w:r w:rsidRPr="00081507">
              <w:rPr>
                <w:b/>
                <w:bCs/>
                <w:sz w:val="20"/>
                <w:szCs w:val="20"/>
              </w:rPr>
              <w:t>1</w:t>
            </w:r>
          </w:p>
        </w:tc>
        <w:tc>
          <w:tcPr>
            <w:tcW w:w="784" w:type="dxa"/>
          </w:tcPr>
          <w:p w:rsidR="00C87797" w:rsidRPr="00081507" w:rsidRDefault="00D77AE9" w:rsidP="00643B68">
            <w:pPr>
              <w:bidi w:val="0"/>
              <w:jc w:val="center"/>
              <w:rPr>
                <w:b/>
                <w:bCs/>
                <w:sz w:val="20"/>
                <w:szCs w:val="20"/>
              </w:rPr>
            </w:pPr>
            <w:r w:rsidRPr="00081507">
              <w:rPr>
                <w:b/>
                <w:bCs/>
                <w:sz w:val="20"/>
                <w:szCs w:val="20"/>
              </w:rPr>
              <w:t>11.1</w:t>
            </w:r>
          </w:p>
        </w:tc>
        <w:tc>
          <w:tcPr>
            <w:tcW w:w="627" w:type="dxa"/>
          </w:tcPr>
          <w:p w:rsidR="00C87797" w:rsidRPr="00081507" w:rsidRDefault="00D77AE9" w:rsidP="00643B68">
            <w:pPr>
              <w:bidi w:val="0"/>
              <w:jc w:val="center"/>
              <w:rPr>
                <w:b/>
                <w:bCs/>
                <w:sz w:val="20"/>
                <w:szCs w:val="20"/>
              </w:rPr>
            </w:pPr>
            <w:r w:rsidRPr="00081507">
              <w:rPr>
                <w:b/>
                <w:bCs/>
                <w:sz w:val="20"/>
                <w:szCs w:val="20"/>
              </w:rPr>
              <w:t>2</w:t>
            </w:r>
          </w:p>
        </w:tc>
        <w:tc>
          <w:tcPr>
            <w:tcW w:w="627" w:type="dxa"/>
          </w:tcPr>
          <w:p w:rsidR="00C87797" w:rsidRPr="00081507" w:rsidRDefault="00D77AE9" w:rsidP="00643B68">
            <w:pPr>
              <w:bidi w:val="0"/>
              <w:jc w:val="center"/>
              <w:rPr>
                <w:b/>
                <w:bCs/>
                <w:sz w:val="20"/>
                <w:szCs w:val="20"/>
              </w:rPr>
            </w:pPr>
            <w:r w:rsidRPr="00081507">
              <w:rPr>
                <w:b/>
                <w:bCs/>
                <w:sz w:val="20"/>
                <w:szCs w:val="20"/>
              </w:rPr>
              <w:t>22</w:t>
            </w:r>
          </w:p>
        </w:tc>
        <w:tc>
          <w:tcPr>
            <w:tcW w:w="1880" w:type="dxa"/>
          </w:tcPr>
          <w:p w:rsidR="00C87797" w:rsidRPr="00081507" w:rsidRDefault="00122546" w:rsidP="00643B68">
            <w:pPr>
              <w:bidi w:val="0"/>
              <w:jc w:val="center"/>
              <w:rPr>
                <w:b/>
                <w:bCs/>
                <w:sz w:val="20"/>
                <w:szCs w:val="20"/>
              </w:rPr>
            </w:pPr>
            <w:r>
              <w:rPr>
                <w:b/>
                <w:bCs/>
                <w:sz w:val="20"/>
                <w:szCs w:val="20"/>
              </w:rPr>
              <w:t>66.7</w:t>
            </w:r>
          </w:p>
        </w:tc>
        <w:tc>
          <w:tcPr>
            <w:tcW w:w="1488" w:type="dxa"/>
          </w:tcPr>
          <w:p w:rsidR="00C87797" w:rsidRPr="00081507" w:rsidRDefault="00D77AE9" w:rsidP="00643B68">
            <w:pPr>
              <w:bidi w:val="0"/>
              <w:jc w:val="center"/>
              <w:rPr>
                <w:b/>
                <w:bCs/>
                <w:sz w:val="20"/>
                <w:szCs w:val="20"/>
              </w:rPr>
            </w:pPr>
            <w:r w:rsidRPr="00081507">
              <w:rPr>
                <w:b/>
                <w:bCs/>
                <w:sz w:val="20"/>
                <w:szCs w:val="20"/>
              </w:rPr>
              <w:t>7</w:t>
            </w:r>
            <w:r w:rsidR="00122546">
              <w:rPr>
                <w:b/>
                <w:bCs/>
                <w:sz w:val="20"/>
                <w:szCs w:val="20"/>
              </w:rPr>
              <w:t>7.</w:t>
            </w:r>
            <w:r w:rsidRPr="00081507">
              <w:rPr>
                <w:b/>
                <w:bCs/>
                <w:sz w:val="20"/>
                <w:szCs w:val="20"/>
              </w:rPr>
              <w:t>8</w:t>
            </w:r>
          </w:p>
        </w:tc>
      </w:tr>
      <w:tr w:rsidR="00AE7933" w:rsidRPr="00081507">
        <w:trPr>
          <w:trHeight w:val="251"/>
        </w:trPr>
        <w:tc>
          <w:tcPr>
            <w:tcW w:w="2137" w:type="dxa"/>
          </w:tcPr>
          <w:p w:rsidR="00AE7933" w:rsidRPr="00081507" w:rsidRDefault="00AE7933" w:rsidP="00643B68">
            <w:pPr>
              <w:bidi w:val="0"/>
              <w:jc w:val="lowKashida"/>
              <w:rPr>
                <w:b/>
                <w:bCs/>
                <w:sz w:val="20"/>
                <w:szCs w:val="20"/>
              </w:rPr>
            </w:pPr>
            <w:r w:rsidRPr="00081507">
              <w:rPr>
                <w:b/>
                <w:bCs/>
                <w:sz w:val="20"/>
                <w:szCs w:val="20"/>
              </w:rPr>
              <w:t xml:space="preserve">Abnormal DPI </w:t>
            </w:r>
          </w:p>
        </w:tc>
        <w:tc>
          <w:tcPr>
            <w:tcW w:w="4055" w:type="dxa"/>
            <w:gridSpan w:val="5"/>
          </w:tcPr>
          <w:p w:rsidR="00AE7933" w:rsidRPr="00081507" w:rsidRDefault="00AE7933" w:rsidP="00643B68">
            <w:pPr>
              <w:bidi w:val="0"/>
              <w:jc w:val="center"/>
              <w:rPr>
                <w:b/>
                <w:bCs/>
                <w:sz w:val="20"/>
                <w:szCs w:val="20"/>
              </w:rPr>
            </w:pPr>
          </w:p>
        </w:tc>
        <w:tc>
          <w:tcPr>
            <w:tcW w:w="1880" w:type="dxa"/>
          </w:tcPr>
          <w:p w:rsidR="00AE7933" w:rsidRPr="00081507" w:rsidRDefault="00AE7933" w:rsidP="00643B68">
            <w:pPr>
              <w:bidi w:val="0"/>
              <w:jc w:val="center"/>
              <w:rPr>
                <w:b/>
                <w:bCs/>
                <w:sz w:val="20"/>
                <w:szCs w:val="20"/>
              </w:rPr>
            </w:pPr>
            <w:r w:rsidRPr="00081507">
              <w:rPr>
                <w:b/>
                <w:bCs/>
                <w:sz w:val="20"/>
                <w:szCs w:val="20"/>
              </w:rPr>
              <w:t>13 (43.3%)</w:t>
            </w:r>
          </w:p>
        </w:tc>
        <w:tc>
          <w:tcPr>
            <w:tcW w:w="1488" w:type="dxa"/>
          </w:tcPr>
          <w:p w:rsidR="00AE7933" w:rsidRPr="00081507" w:rsidRDefault="00AE7933" w:rsidP="00643B68">
            <w:pPr>
              <w:bidi w:val="0"/>
              <w:jc w:val="center"/>
              <w:rPr>
                <w:b/>
                <w:bCs/>
                <w:sz w:val="20"/>
                <w:szCs w:val="20"/>
              </w:rPr>
            </w:pPr>
            <w:r w:rsidRPr="00081507">
              <w:rPr>
                <w:b/>
                <w:bCs/>
                <w:sz w:val="20"/>
                <w:szCs w:val="20"/>
              </w:rPr>
              <w:t>18 (60%)</w:t>
            </w:r>
          </w:p>
        </w:tc>
      </w:tr>
      <w:tr w:rsidR="00C87797" w:rsidRPr="00081507">
        <w:trPr>
          <w:trHeight w:val="251"/>
        </w:trPr>
        <w:tc>
          <w:tcPr>
            <w:tcW w:w="2137" w:type="dxa"/>
          </w:tcPr>
          <w:p w:rsidR="00C87797" w:rsidRPr="00081507" w:rsidRDefault="00C87797" w:rsidP="00643B68">
            <w:pPr>
              <w:bidi w:val="0"/>
              <w:jc w:val="lowKashida"/>
              <w:rPr>
                <w:b/>
                <w:bCs/>
                <w:sz w:val="20"/>
                <w:szCs w:val="20"/>
              </w:rPr>
            </w:pPr>
            <w:r w:rsidRPr="00081507">
              <w:rPr>
                <w:b/>
                <w:bCs/>
                <w:sz w:val="20"/>
                <w:szCs w:val="20"/>
              </w:rPr>
              <w:t>Dukes’ Stage A</w:t>
            </w:r>
          </w:p>
        </w:tc>
        <w:tc>
          <w:tcPr>
            <w:tcW w:w="1235" w:type="dxa"/>
          </w:tcPr>
          <w:p w:rsidR="00C87797" w:rsidRPr="00081507" w:rsidRDefault="00C87797" w:rsidP="00643B68">
            <w:pPr>
              <w:bidi w:val="0"/>
              <w:jc w:val="center"/>
              <w:rPr>
                <w:b/>
                <w:bCs/>
                <w:sz w:val="20"/>
                <w:szCs w:val="20"/>
              </w:rPr>
            </w:pPr>
            <w:r w:rsidRPr="00081507">
              <w:rPr>
                <w:b/>
                <w:bCs/>
                <w:sz w:val="20"/>
                <w:szCs w:val="20"/>
              </w:rPr>
              <w:t>10</w:t>
            </w:r>
          </w:p>
        </w:tc>
        <w:tc>
          <w:tcPr>
            <w:tcW w:w="784" w:type="dxa"/>
          </w:tcPr>
          <w:p w:rsidR="00C87797" w:rsidRPr="00081507" w:rsidRDefault="003A3432" w:rsidP="00643B68">
            <w:pPr>
              <w:bidi w:val="0"/>
              <w:rPr>
                <w:b/>
                <w:bCs/>
                <w:sz w:val="20"/>
                <w:szCs w:val="20"/>
              </w:rPr>
            </w:pPr>
            <w:r>
              <w:rPr>
                <w:b/>
                <w:bCs/>
                <w:sz w:val="20"/>
                <w:szCs w:val="20"/>
              </w:rPr>
              <w:t>3</w:t>
            </w:r>
          </w:p>
        </w:tc>
        <w:tc>
          <w:tcPr>
            <w:tcW w:w="784" w:type="dxa"/>
          </w:tcPr>
          <w:p w:rsidR="00C87797" w:rsidRPr="00081507" w:rsidRDefault="008577FB" w:rsidP="00643B68">
            <w:pPr>
              <w:bidi w:val="0"/>
              <w:jc w:val="center"/>
              <w:rPr>
                <w:b/>
                <w:bCs/>
                <w:sz w:val="20"/>
                <w:szCs w:val="20"/>
              </w:rPr>
            </w:pPr>
            <w:r>
              <w:rPr>
                <w:b/>
                <w:bCs/>
                <w:sz w:val="20"/>
                <w:szCs w:val="20"/>
              </w:rPr>
              <w:t>3</w:t>
            </w:r>
            <w:r w:rsidR="00D77AE9" w:rsidRPr="00081507">
              <w:rPr>
                <w:b/>
                <w:bCs/>
                <w:sz w:val="20"/>
                <w:szCs w:val="20"/>
              </w:rPr>
              <w:t>0</w:t>
            </w:r>
          </w:p>
        </w:tc>
        <w:tc>
          <w:tcPr>
            <w:tcW w:w="627" w:type="dxa"/>
          </w:tcPr>
          <w:p w:rsidR="00C87797" w:rsidRPr="00081507" w:rsidRDefault="00260F17" w:rsidP="00643B68">
            <w:pPr>
              <w:bidi w:val="0"/>
              <w:jc w:val="center"/>
              <w:rPr>
                <w:b/>
                <w:bCs/>
                <w:sz w:val="20"/>
                <w:szCs w:val="20"/>
              </w:rPr>
            </w:pPr>
            <w:r>
              <w:rPr>
                <w:b/>
                <w:bCs/>
                <w:sz w:val="20"/>
                <w:szCs w:val="20"/>
              </w:rPr>
              <w:t>3</w:t>
            </w:r>
          </w:p>
        </w:tc>
        <w:tc>
          <w:tcPr>
            <w:tcW w:w="627" w:type="dxa"/>
          </w:tcPr>
          <w:p w:rsidR="00C87797" w:rsidRPr="00081507" w:rsidRDefault="00260F17" w:rsidP="00643B68">
            <w:pPr>
              <w:bidi w:val="0"/>
              <w:jc w:val="center"/>
              <w:rPr>
                <w:b/>
                <w:bCs/>
                <w:sz w:val="20"/>
                <w:szCs w:val="20"/>
              </w:rPr>
            </w:pPr>
            <w:r>
              <w:rPr>
                <w:b/>
                <w:bCs/>
                <w:sz w:val="20"/>
                <w:szCs w:val="20"/>
              </w:rPr>
              <w:t>3</w:t>
            </w:r>
            <w:r w:rsidR="00D77AE9" w:rsidRPr="00081507">
              <w:rPr>
                <w:b/>
                <w:bCs/>
                <w:sz w:val="20"/>
                <w:szCs w:val="20"/>
              </w:rPr>
              <w:t>0</w:t>
            </w:r>
          </w:p>
        </w:tc>
        <w:tc>
          <w:tcPr>
            <w:tcW w:w="1880" w:type="dxa"/>
          </w:tcPr>
          <w:p w:rsidR="00C87797" w:rsidRPr="00081507" w:rsidRDefault="00260F17" w:rsidP="00643B68">
            <w:pPr>
              <w:bidi w:val="0"/>
              <w:jc w:val="center"/>
              <w:rPr>
                <w:b/>
                <w:bCs/>
                <w:sz w:val="20"/>
                <w:szCs w:val="20"/>
              </w:rPr>
            </w:pPr>
            <w:r>
              <w:rPr>
                <w:b/>
                <w:bCs/>
                <w:sz w:val="20"/>
                <w:szCs w:val="20"/>
              </w:rPr>
              <w:t>4</w:t>
            </w:r>
            <w:r w:rsidR="00D77AE9" w:rsidRPr="00081507">
              <w:rPr>
                <w:b/>
                <w:bCs/>
                <w:sz w:val="20"/>
                <w:szCs w:val="20"/>
              </w:rPr>
              <w:t>0</w:t>
            </w:r>
          </w:p>
        </w:tc>
        <w:tc>
          <w:tcPr>
            <w:tcW w:w="1488" w:type="dxa"/>
          </w:tcPr>
          <w:p w:rsidR="00C87797" w:rsidRPr="00081507" w:rsidRDefault="00260F17" w:rsidP="00643B68">
            <w:pPr>
              <w:bidi w:val="0"/>
              <w:jc w:val="center"/>
              <w:rPr>
                <w:b/>
                <w:bCs/>
                <w:sz w:val="20"/>
                <w:szCs w:val="20"/>
              </w:rPr>
            </w:pPr>
            <w:r>
              <w:rPr>
                <w:b/>
                <w:bCs/>
                <w:sz w:val="20"/>
                <w:szCs w:val="20"/>
              </w:rPr>
              <w:t>7</w:t>
            </w:r>
            <w:r w:rsidR="00D77AE9" w:rsidRPr="00081507">
              <w:rPr>
                <w:b/>
                <w:bCs/>
                <w:sz w:val="20"/>
                <w:szCs w:val="20"/>
              </w:rPr>
              <w:t>0</w:t>
            </w:r>
          </w:p>
        </w:tc>
      </w:tr>
      <w:tr w:rsidR="00C87797" w:rsidRPr="00081507">
        <w:trPr>
          <w:trHeight w:val="265"/>
        </w:trPr>
        <w:tc>
          <w:tcPr>
            <w:tcW w:w="2137" w:type="dxa"/>
          </w:tcPr>
          <w:p w:rsidR="00C87797" w:rsidRPr="00081507" w:rsidRDefault="00C87797" w:rsidP="00643B68">
            <w:pPr>
              <w:bidi w:val="0"/>
              <w:jc w:val="lowKashida"/>
              <w:rPr>
                <w:b/>
                <w:bCs/>
                <w:sz w:val="20"/>
                <w:szCs w:val="20"/>
              </w:rPr>
            </w:pPr>
            <w:r w:rsidRPr="00081507">
              <w:rPr>
                <w:b/>
                <w:bCs/>
                <w:sz w:val="20"/>
                <w:szCs w:val="20"/>
              </w:rPr>
              <w:t>Dukes’ Stage B</w:t>
            </w:r>
          </w:p>
        </w:tc>
        <w:tc>
          <w:tcPr>
            <w:tcW w:w="1235" w:type="dxa"/>
          </w:tcPr>
          <w:p w:rsidR="00C87797" w:rsidRPr="00081507" w:rsidRDefault="00C87797" w:rsidP="00643B68">
            <w:pPr>
              <w:bidi w:val="0"/>
              <w:jc w:val="center"/>
              <w:rPr>
                <w:b/>
                <w:bCs/>
                <w:sz w:val="20"/>
                <w:szCs w:val="20"/>
              </w:rPr>
            </w:pPr>
            <w:r w:rsidRPr="00081507">
              <w:rPr>
                <w:b/>
                <w:bCs/>
                <w:sz w:val="20"/>
                <w:szCs w:val="20"/>
              </w:rPr>
              <w:t>20</w:t>
            </w:r>
          </w:p>
        </w:tc>
        <w:tc>
          <w:tcPr>
            <w:tcW w:w="784" w:type="dxa"/>
          </w:tcPr>
          <w:p w:rsidR="008577FB" w:rsidRPr="00081507" w:rsidRDefault="008577FB" w:rsidP="00643B68">
            <w:pPr>
              <w:bidi w:val="0"/>
              <w:jc w:val="center"/>
              <w:rPr>
                <w:b/>
                <w:bCs/>
                <w:sz w:val="20"/>
                <w:szCs w:val="20"/>
              </w:rPr>
            </w:pPr>
            <w:r>
              <w:rPr>
                <w:b/>
                <w:bCs/>
                <w:sz w:val="20"/>
                <w:szCs w:val="20"/>
              </w:rPr>
              <w:t>9</w:t>
            </w:r>
          </w:p>
        </w:tc>
        <w:tc>
          <w:tcPr>
            <w:tcW w:w="784" w:type="dxa"/>
          </w:tcPr>
          <w:p w:rsidR="00C87797" w:rsidRPr="00081507" w:rsidRDefault="008577FB" w:rsidP="00643B68">
            <w:pPr>
              <w:bidi w:val="0"/>
              <w:jc w:val="center"/>
              <w:rPr>
                <w:b/>
                <w:bCs/>
                <w:sz w:val="20"/>
                <w:szCs w:val="20"/>
              </w:rPr>
            </w:pPr>
            <w:r>
              <w:rPr>
                <w:b/>
                <w:bCs/>
                <w:sz w:val="20"/>
                <w:szCs w:val="20"/>
              </w:rPr>
              <w:t>45</w:t>
            </w:r>
          </w:p>
        </w:tc>
        <w:tc>
          <w:tcPr>
            <w:tcW w:w="627" w:type="dxa"/>
          </w:tcPr>
          <w:p w:rsidR="00C87797" w:rsidRPr="00081507" w:rsidRDefault="00260F17" w:rsidP="00643B68">
            <w:pPr>
              <w:bidi w:val="0"/>
              <w:jc w:val="center"/>
              <w:rPr>
                <w:b/>
                <w:bCs/>
                <w:sz w:val="20"/>
                <w:szCs w:val="20"/>
              </w:rPr>
            </w:pPr>
            <w:r>
              <w:rPr>
                <w:b/>
                <w:bCs/>
                <w:sz w:val="20"/>
                <w:szCs w:val="20"/>
              </w:rPr>
              <w:t>9</w:t>
            </w:r>
          </w:p>
        </w:tc>
        <w:tc>
          <w:tcPr>
            <w:tcW w:w="627" w:type="dxa"/>
          </w:tcPr>
          <w:p w:rsidR="00C87797" w:rsidRPr="00081507" w:rsidRDefault="00260F17" w:rsidP="00643B68">
            <w:pPr>
              <w:bidi w:val="0"/>
              <w:jc w:val="center"/>
              <w:rPr>
                <w:b/>
                <w:bCs/>
                <w:sz w:val="20"/>
                <w:szCs w:val="20"/>
              </w:rPr>
            </w:pPr>
            <w:r>
              <w:rPr>
                <w:b/>
                <w:bCs/>
                <w:sz w:val="20"/>
                <w:szCs w:val="20"/>
              </w:rPr>
              <w:t>4</w:t>
            </w:r>
            <w:r w:rsidR="00D77AE9" w:rsidRPr="00081507">
              <w:rPr>
                <w:b/>
                <w:bCs/>
                <w:sz w:val="20"/>
                <w:szCs w:val="20"/>
              </w:rPr>
              <w:t>5</w:t>
            </w:r>
          </w:p>
        </w:tc>
        <w:tc>
          <w:tcPr>
            <w:tcW w:w="1880" w:type="dxa"/>
          </w:tcPr>
          <w:p w:rsidR="00C87797" w:rsidRPr="00081507" w:rsidRDefault="00260F17" w:rsidP="00643B68">
            <w:pPr>
              <w:bidi w:val="0"/>
              <w:jc w:val="center"/>
              <w:rPr>
                <w:b/>
                <w:bCs/>
                <w:sz w:val="20"/>
                <w:szCs w:val="20"/>
              </w:rPr>
            </w:pPr>
            <w:r>
              <w:rPr>
                <w:b/>
                <w:bCs/>
                <w:sz w:val="20"/>
                <w:szCs w:val="20"/>
              </w:rPr>
              <w:t>1</w:t>
            </w:r>
            <w:r w:rsidR="00D77AE9" w:rsidRPr="00081507">
              <w:rPr>
                <w:b/>
                <w:bCs/>
                <w:sz w:val="20"/>
                <w:szCs w:val="20"/>
              </w:rPr>
              <w:t>0</w:t>
            </w:r>
          </w:p>
        </w:tc>
        <w:tc>
          <w:tcPr>
            <w:tcW w:w="1488" w:type="dxa"/>
          </w:tcPr>
          <w:p w:rsidR="00C87797" w:rsidRPr="00081507" w:rsidRDefault="00260F17" w:rsidP="00643B68">
            <w:pPr>
              <w:bidi w:val="0"/>
              <w:jc w:val="center"/>
              <w:rPr>
                <w:b/>
                <w:bCs/>
                <w:sz w:val="20"/>
                <w:szCs w:val="20"/>
              </w:rPr>
            </w:pPr>
            <w:r>
              <w:rPr>
                <w:b/>
                <w:bCs/>
                <w:sz w:val="20"/>
                <w:szCs w:val="20"/>
              </w:rPr>
              <w:t>5</w:t>
            </w:r>
            <w:r w:rsidR="00D77AE9" w:rsidRPr="00081507">
              <w:rPr>
                <w:b/>
                <w:bCs/>
                <w:sz w:val="20"/>
                <w:szCs w:val="20"/>
              </w:rPr>
              <w:t>5</w:t>
            </w:r>
          </w:p>
        </w:tc>
      </w:tr>
    </w:tbl>
    <w:p w:rsidR="00E0433A" w:rsidRDefault="00E0433A" w:rsidP="00643B68">
      <w:pPr>
        <w:widowControl w:val="0"/>
        <w:autoSpaceDE w:val="0"/>
        <w:autoSpaceDN w:val="0"/>
        <w:bidi w:val="0"/>
        <w:adjustRightInd w:val="0"/>
        <w:jc w:val="both"/>
        <w:rPr>
          <w:rFonts w:hint="eastAsia"/>
          <w:sz w:val="20"/>
          <w:szCs w:val="20"/>
          <w:lang w:eastAsia="zh-CN"/>
        </w:rPr>
      </w:pPr>
    </w:p>
    <w:p w:rsidR="00241D7F" w:rsidRDefault="00241D7F" w:rsidP="00241D7F">
      <w:pPr>
        <w:widowControl w:val="0"/>
        <w:autoSpaceDE w:val="0"/>
        <w:autoSpaceDN w:val="0"/>
        <w:bidi w:val="0"/>
        <w:adjustRightInd w:val="0"/>
        <w:jc w:val="both"/>
        <w:rPr>
          <w:rFonts w:hint="eastAsia"/>
          <w:sz w:val="20"/>
          <w:szCs w:val="20"/>
          <w:lang w:eastAsia="zh-CN"/>
        </w:rPr>
      </w:pPr>
    </w:p>
    <w:p w:rsidR="00522608" w:rsidRDefault="00740168" w:rsidP="00643B68">
      <w:pPr>
        <w:widowControl w:val="0"/>
        <w:bidi w:val="0"/>
        <w:jc w:val="lowKashida"/>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33" type="#_x0000_t202" style="width:421.35pt;height:200.3pt;mso-left-percent:-10001;mso-top-percent:-10001;mso-position-horizontal:absolute;mso-position-horizontal-relative:char;mso-position-vertical:absolute;mso-position-vertical-relative:line;mso-left-percent:-10001;mso-top-percent:-10001" o:allowincell="f" stroked="f">
            <v:textbox style="mso-next-textbox:#_x0000_s1033">
              <w:txbxContent>
                <w:p w:rsidR="00522608" w:rsidRDefault="000817CF" w:rsidP="00522608">
                  <w:pPr>
                    <w:rPr>
                      <w:rtl/>
                    </w:rPr>
                  </w:pPr>
                  <w:r>
                    <w:rPr>
                      <w:noProof/>
                      <w:lang w:eastAsia="zh-CN"/>
                    </w:rPr>
                    <w:drawing>
                      <wp:inline distT="0" distB="0" distL="0" distR="0">
                        <wp:extent cx="5138420" cy="244983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809" t="1898" b="3819"/>
                                <a:stretch>
                                  <a:fillRect/>
                                </a:stretch>
                              </pic:blipFill>
                              <pic:spPr bwMode="auto">
                                <a:xfrm>
                                  <a:off x="0" y="0"/>
                                  <a:ext cx="5138420" cy="2449830"/>
                                </a:xfrm>
                                <a:prstGeom prst="rect">
                                  <a:avLst/>
                                </a:prstGeom>
                                <a:noFill/>
                                <a:ln w="9525">
                                  <a:noFill/>
                                  <a:miter lim="800000"/>
                                  <a:headEnd/>
                                  <a:tailEnd/>
                                </a:ln>
                              </pic:spPr>
                            </pic:pic>
                          </a:graphicData>
                        </a:graphic>
                      </wp:inline>
                    </w:drawing>
                  </w:r>
                </w:p>
              </w:txbxContent>
            </v:textbox>
            <w10:wrap type="none"/>
            <w10:anchorlock/>
          </v:shape>
        </w:pict>
      </w:r>
    </w:p>
    <w:p w:rsidR="00522608" w:rsidRPr="00800FA1" w:rsidRDefault="00522608" w:rsidP="00643B68">
      <w:pPr>
        <w:bidi w:val="0"/>
        <w:jc w:val="center"/>
        <w:rPr>
          <w:b/>
          <w:bCs/>
          <w:sz w:val="20"/>
          <w:szCs w:val="20"/>
        </w:rPr>
      </w:pPr>
      <w:proofErr w:type="gramStart"/>
      <w:r w:rsidRPr="00800FA1">
        <w:rPr>
          <w:b/>
          <w:bCs/>
          <w:sz w:val="20"/>
          <w:szCs w:val="20"/>
        </w:rPr>
        <w:t>Fig.</w:t>
      </w:r>
      <w:proofErr w:type="gramEnd"/>
      <w:r w:rsidRPr="00800FA1">
        <w:rPr>
          <w:b/>
          <w:bCs/>
          <w:sz w:val="20"/>
          <w:szCs w:val="20"/>
        </w:rPr>
        <w:t xml:space="preserve"> (1)</w:t>
      </w:r>
      <w:r w:rsidR="00241D7F">
        <w:rPr>
          <w:b/>
          <w:bCs/>
          <w:sz w:val="20"/>
          <w:szCs w:val="20"/>
        </w:rPr>
        <w:t>:</w:t>
      </w:r>
      <w:r w:rsidRPr="00800FA1">
        <w:rPr>
          <w:b/>
          <w:bCs/>
          <w:sz w:val="20"/>
          <w:szCs w:val="20"/>
        </w:rPr>
        <w:t xml:space="preserve"> Overall survival in patients by Dukes’ stage.</w:t>
      </w:r>
    </w:p>
    <w:p w:rsidR="00522608" w:rsidRPr="00800FA1" w:rsidRDefault="00740168" w:rsidP="00643B68">
      <w:pPr>
        <w:bidi w:val="0"/>
        <w:jc w:val="center"/>
        <w:rPr>
          <w:b/>
          <w:bCs/>
          <w:sz w:val="20"/>
          <w:szCs w:val="20"/>
        </w:rPr>
      </w:pPr>
      <w:r w:rsidRPr="00740168">
        <w:rPr>
          <w:noProof/>
          <w:lang w:eastAsia="zh-CN"/>
        </w:rPr>
        <w:pict>
          <v:group id="_x0000_s1027" style="position:absolute;margin-left:-231.2pt;margin-top:10.75pt;width:436.85pt;height:189.5pt;z-index:251659264;mso-position-horizontal-relative:char" coordorigin="1937,9216" coordsize="8737,3790" o:allowincell="f">
            <v:shape id="_x0000_s1028" type="#_x0000_t202" style="position:absolute;left:2304;top:9216;width:8370;height:3790" stroked="f">
              <v:textbox style="mso-next-textbox:#_x0000_s1028" inset=".5mm,,.5mm">
                <w:txbxContent>
                  <w:p w:rsidR="00522608" w:rsidRDefault="000817CF" w:rsidP="00522608">
                    <w:pPr>
                      <w:rPr>
                        <w:rtl/>
                      </w:rPr>
                    </w:pPr>
                    <w:r>
                      <w:rPr>
                        <w:noProof/>
                        <w:lang w:eastAsia="zh-CN"/>
                      </w:rPr>
                      <w:drawing>
                        <wp:inline distT="0" distB="0" distL="0" distR="0">
                          <wp:extent cx="5069840" cy="2286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7948" t="4366" b="5254"/>
                                  <a:stretch>
                                    <a:fillRect/>
                                  </a:stretch>
                                </pic:blipFill>
                                <pic:spPr bwMode="auto">
                                  <a:xfrm>
                                    <a:off x="0" y="0"/>
                                    <a:ext cx="5069840" cy="2286000"/>
                                  </a:xfrm>
                                  <a:prstGeom prst="rect">
                                    <a:avLst/>
                                  </a:prstGeom>
                                  <a:noFill/>
                                  <a:ln w="9525">
                                    <a:noFill/>
                                    <a:miter lim="800000"/>
                                    <a:headEnd/>
                                    <a:tailEnd/>
                                  </a:ln>
                                </pic:spPr>
                              </pic:pic>
                            </a:graphicData>
                          </a:graphic>
                        </wp:inline>
                      </w:drawing>
                    </w:r>
                  </w:p>
                </w:txbxContent>
              </v:textbox>
            </v:shape>
            <v:shape id="_x0000_s1029" type="#_x0000_t202" style="position:absolute;left:1937;top:9335;width:375;height:2736" stroked="f">
              <v:textbox style="layout-flow:vertical;mso-layout-flow-alt:bottom-to-top;mso-next-textbox:#_x0000_s1029" inset=".5mm,,.5mm">
                <w:txbxContent>
                  <w:p w:rsidR="00522608" w:rsidRDefault="00522608" w:rsidP="00522608">
                    <w:pPr>
                      <w:bidi w:val="0"/>
                      <w:rPr>
                        <w:rFonts w:ascii="Arial" w:hAnsi="Arial"/>
                        <w:sz w:val="20"/>
                        <w:rtl/>
                      </w:rPr>
                    </w:pPr>
                    <w:r>
                      <w:rPr>
                        <w:rFonts w:ascii="Arial" w:hAnsi="Arial"/>
                        <w:sz w:val="20"/>
                      </w:rPr>
                      <w:t>Recurrence-free survival (%)</w:t>
                    </w:r>
                  </w:p>
                </w:txbxContent>
              </v:textbox>
            </v:shape>
          </v:group>
        </w:pict>
      </w: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Default="00522608" w:rsidP="00643B68">
      <w:pPr>
        <w:bidi w:val="0"/>
        <w:jc w:val="center"/>
        <w:rPr>
          <w:b/>
          <w:bCs/>
          <w:sz w:val="20"/>
          <w:szCs w:val="20"/>
        </w:rPr>
      </w:pPr>
      <w:proofErr w:type="gramStart"/>
      <w:r w:rsidRPr="00800FA1">
        <w:rPr>
          <w:b/>
          <w:bCs/>
          <w:sz w:val="20"/>
          <w:szCs w:val="20"/>
        </w:rPr>
        <w:t>Fig.</w:t>
      </w:r>
      <w:proofErr w:type="gramEnd"/>
      <w:r w:rsidRPr="00800FA1">
        <w:rPr>
          <w:b/>
          <w:bCs/>
          <w:sz w:val="20"/>
          <w:szCs w:val="20"/>
        </w:rPr>
        <w:t xml:space="preserve"> (2)</w:t>
      </w:r>
      <w:r w:rsidR="00241D7F">
        <w:rPr>
          <w:b/>
          <w:bCs/>
          <w:sz w:val="20"/>
          <w:szCs w:val="20"/>
        </w:rPr>
        <w:t>:</w:t>
      </w:r>
      <w:r w:rsidRPr="00800FA1">
        <w:rPr>
          <w:b/>
          <w:bCs/>
          <w:sz w:val="20"/>
          <w:szCs w:val="20"/>
        </w:rPr>
        <w:t xml:space="preserve"> Recurrence-free survival in patients by DPI status</w:t>
      </w:r>
    </w:p>
    <w:p w:rsidR="00643B68" w:rsidRDefault="00643B68">
      <w:pPr>
        <w:bidi w:val="0"/>
        <w:spacing w:after="200" w:line="276" w:lineRule="auto"/>
        <w:rPr>
          <w:rFonts w:hint="eastAsia"/>
          <w:b/>
          <w:bCs/>
          <w:sz w:val="20"/>
          <w:szCs w:val="20"/>
          <w:lang w:eastAsia="zh-CN"/>
        </w:rPr>
      </w:pPr>
    </w:p>
    <w:p w:rsidR="00241D7F" w:rsidRDefault="00241D7F" w:rsidP="00241D7F">
      <w:pPr>
        <w:bidi w:val="0"/>
        <w:spacing w:after="200" w:line="276" w:lineRule="auto"/>
        <w:rPr>
          <w:rFonts w:hint="eastAsia"/>
          <w:b/>
          <w:bCs/>
          <w:sz w:val="20"/>
          <w:szCs w:val="20"/>
          <w:lang w:eastAsia="zh-CN"/>
        </w:rPr>
      </w:pPr>
    </w:p>
    <w:p w:rsidR="00241D7F" w:rsidRDefault="00241D7F" w:rsidP="00241D7F">
      <w:pPr>
        <w:bidi w:val="0"/>
        <w:spacing w:after="200" w:line="276" w:lineRule="auto"/>
        <w:rPr>
          <w:rFonts w:hint="eastAsia"/>
          <w:b/>
          <w:bCs/>
          <w:sz w:val="20"/>
          <w:szCs w:val="20"/>
          <w:lang w:eastAsia="zh-CN"/>
        </w:rPr>
      </w:pPr>
    </w:p>
    <w:p w:rsidR="00522608" w:rsidRDefault="00522608" w:rsidP="00643B68">
      <w:pPr>
        <w:bidi w:val="0"/>
        <w:jc w:val="center"/>
        <w:rPr>
          <w:b/>
          <w:bCs/>
          <w:sz w:val="20"/>
          <w:szCs w:val="20"/>
        </w:rPr>
      </w:pPr>
    </w:p>
    <w:p w:rsidR="00522608" w:rsidRPr="00800FA1" w:rsidRDefault="00740168" w:rsidP="00643B68">
      <w:pPr>
        <w:bidi w:val="0"/>
        <w:jc w:val="center"/>
        <w:rPr>
          <w:b/>
          <w:bCs/>
          <w:sz w:val="20"/>
          <w:szCs w:val="20"/>
        </w:rPr>
      </w:pPr>
      <w:r w:rsidRPr="00740168">
        <w:rPr>
          <w:noProof/>
          <w:lang w:eastAsia="zh-CN"/>
        </w:rPr>
        <w:pict>
          <v:group id="_x0000_s1030" style="position:absolute;margin-left:-218.9pt;margin-top:0;width:437.3pt;height:206.2pt;z-index:251660288;mso-position-horizontal-relative:char" coordorigin="2183,1670" coordsize="8746,4124" o:allowincell="f">
            <v:shape id="_x0000_s1031" type="#_x0000_t202" style="position:absolute;left:2433;top:1670;width:8496;height:4124" stroked="f">
              <v:textbox style="mso-next-textbox:#_x0000_s1031">
                <w:txbxContent>
                  <w:p w:rsidR="00522608" w:rsidRDefault="000817CF" w:rsidP="00522608">
                    <w:pPr>
                      <w:rPr>
                        <w:rtl/>
                      </w:rPr>
                    </w:pPr>
                    <w:r>
                      <w:rPr>
                        <w:noProof/>
                        <w:lang w:eastAsia="zh-CN"/>
                      </w:rPr>
                      <w:drawing>
                        <wp:inline distT="0" distB="0" distL="0" distR="0">
                          <wp:extent cx="5172710" cy="2538730"/>
                          <wp:effectExtent l="1905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l="7506" r="2040" b="6172"/>
                                  <a:stretch>
                                    <a:fillRect/>
                                  </a:stretch>
                                </pic:blipFill>
                                <pic:spPr bwMode="auto">
                                  <a:xfrm>
                                    <a:off x="0" y="0"/>
                                    <a:ext cx="5172710" cy="2538730"/>
                                  </a:xfrm>
                                  <a:prstGeom prst="rect">
                                    <a:avLst/>
                                  </a:prstGeom>
                                  <a:noFill/>
                                  <a:ln w="9525">
                                    <a:noFill/>
                                    <a:miter lim="800000"/>
                                    <a:headEnd/>
                                    <a:tailEnd/>
                                  </a:ln>
                                </pic:spPr>
                              </pic:pic>
                            </a:graphicData>
                          </a:graphic>
                        </wp:inline>
                      </w:drawing>
                    </w:r>
                  </w:p>
                </w:txbxContent>
              </v:textbox>
            </v:shape>
            <v:shape id="_x0000_s1032" type="#_x0000_t202" style="position:absolute;left:2183;top:2147;width:374;height:2304" stroked="f">
              <v:textbox style="layout-flow:vertical;mso-layout-flow-alt:bottom-to-top;mso-next-textbox:#_x0000_s1032" inset=".5mm,,.5mm">
                <w:txbxContent>
                  <w:p w:rsidR="00522608" w:rsidRDefault="00522608" w:rsidP="00522608">
                    <w:pPr>
                      <w:bidi w:val="0"/>
                      <w:jc w:val="center"/>
                      <w:rPr>
                        <w:rFonts w:ascii="Arial" w:hAnsi="Arial"/>
                        <w:b/>
                        <w:bCs/>
                        <w:sz w:val="22"/>
                        <w:rtl/>
                      </w:rPr>
                    </w:pPr>
                    <w:r>
                      <w:rPr>
                        <w:rFonts w:ascii="Arial" w:hAnsi="Arial"/>
                        <w:b/>
                        <w:bCs/>
                        <w:sz w:val="22"/>
                      </w:rPr>
                      <w:t>Overall survival (%)</w:t>
                    </w:r>
                  </w:p>
                </w:txbxContent>
              </v:textbox>
            </v:shape>
          </v:group>
        </w:pict>
      </w: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Pr="00800FA1" w:rsidRDefault="00522608" w:rsidP="00643B68">
      <w:pPr>
        <w:bidi w:val="0"/>
        <w:jc w:val="center"/>
        <w:rPr>
          <w:b/>
          <w:bCs/>
          <w:sz w:val="20"/>
          <w:szCs w:val="20"/>
        </w:rPr>
      </w:pPr>
    </w:p>
    <w:p w:rsidR="00522608" w:rsidRDefault="00522608" w:rsidP="00643B68">
      <w:pPr>
        <w:bidi w:val="0"/>
        <w:jc w:val="center"/>
        <w:rPr>
          <w:b/>
          <w:bCs/>
          <w:sz w:val="20"/>
          <w:szCs w:val="20"/>
        </w:rPr>
      </w:pPr>
      <w:proofErr w:type="gramStart"/>
      <w:r w:rsidRPr="00800FA1">
        <w:rPr>
          <w:b/>
          <w:bCs/>
          <w:sz w:val="20"/>
          <w:szCs w:val="20"/>
        </w:rPr>
        <w:t>Fig.</w:t>
      </w:r>
      <w:proofErr w:type="gramEnd"/>
      <w:r w:rsidRPr="00800FA1">
        <w:rPr>
          <w:b/>
          <w:bCs/>
          <w:sz w:val="20"/>
          <w:szCs w:val="20"/>
        </w:rPr>
        <w:t xml:space="preserve"> (3)</w:t>
      </w:r>
      <w:r w:rsidR="00241D7F">
        <w:rPr>
          <w:b/>
          <w:bCs/>
          <w:sz w:val="20"/>
          <w:szCs w:val="20"/>
        </w:rPr>
        <w:t>:</w:t>
      </w:r>
      <w:r w:rsidRPr="00800FA1">
        <w:rPr>
          <w:b/>
          <w:bCs/>
          <w:sz w:val="20"/>
          <w:szCs w:val="20"/>
        </w:rPr>
        <w:t xml:space="preserve"> Overall survival in patients by DPI status and Dukes’ stage.</w:t>
      </w:r>
    </w:p>
    <w:p w:rsidR="00A32D67" w:rsidRPr="00081507" w:rsidRDefault="00A32D67" w:rsidP="00643B68">
      <w:pPr>
        <w:bidi w:val="0"/>
        <w:jc w:val="center"/>
        <w:rPr>
          <w:b/>
          <w:bCs/>
          <w:sz w:val="20"/>
          <w:szCs w:val="20"/>
        </w:rPr>
      </w:pPr>
    </w:p>
    <w:tbl>
      <w:tblPr>
        <w:tblStyle w:val="TableGrid"/>
        <w:tblW w:w="0" w:type="auto"/>
        <w:tblLook w:val="00A0"/>
      </w:tblPr>
      <w:tblGrid>
        <w:gridCol w:w="4788"/>
        <w:gridCol w:w="4788"/>
      </w:tblGrid>
      <w:tr w:rsidR="000128E8">
        <w:trPr>
          <w:trHeight w:val="2684"/>
        </w:trPr>
        <w:tc>
          <w:tcPr>
            <w:tcW w:w="4788" w:type="dxa"/>
          </w:tcPr>
          <w:p w:rsidR="000128E8" w:rsidRDefault="00312B46" w:rsidP="00643B68">
            <w:pPr>
              <w:pStyle w:val="BodyText"/>
              <w:spacing w:before="0" w:line="240" w:lineRule="auto"/>
              <w:rPr>
                <w:rFonts w:cs="Times New Roman"/>
                <w:b w:val="0"/>
                <w:bCs w:val="0"/>
                <w:sz w:val="20"/>
                <w:szCs w:val="20"/>
                <w:lang w:bidi="ar-EG"/>
              </w:rPr>
            </w:pPr>
            <w:r>
              <w:rPr>
                <w:rFonts w:cs="Times New Roman"/>
                <w:b w:val="0"/>
                <w:bCs w:val="0"/>
                <w:sz w:val="20"/>
                <w:szCs w:val="20"/>
                <w:lang w:bidi="ar-EG"/>
              </w:rPr>
              <w:t xml:space="preserve">   </w:t>
            </w:r>
            <w:r w:rsidR="000128E8">
              <w:rPr>
                <w:rFonts w:cs="Times New Roman"/>
                <w:b w:val="0"/>
                <w:bCs w:val="0"/>
                <w:sz w:val="20"/>
                <w:szCs w:val="20"/>
                <w:lang w:bidi="ar-EG"/>
              </w:rPr>
              <w:t xml:space="preserve">    </w:t>
            </w:r>
            <w:r w:rsidR="000817CF">
              <w:rPr>
                <w:rFonts w:cs="Times New Roman"/>
                <w:b w:val="0"/>
                <w:bCs w:val="0"/>
                <w:noProof/>
                <w:sz w:val="20"/>
                <w:szCs w:val="20"/>
                <w:lang w:eastAsia="zh-CN"/>
              </w:rPr>
              <w:drawing>
                <wp:inline distT="0" distB="0" distL="0" distR="0">
                  <wp:extent cx="2254885" cy="190944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254885" cy="1909445"/>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b w:val="0"/>
                <w:bCs w:val="0"/>
                <w:sz w:val="20"/>
                <w:szCs w:val="20"/>
                <w:lang w:bidi="ar-EG"/>
              </w:rPr>
            </w:pPr>
            <w:r>
              <w:rPr>
                <w:rFonts w:cs="Times New Roman"/>
                <w:b w:val="0"/>
                <w:bCs w:val="0"/>
                <w:sz w:val="20"/>
                <w:szCs w:val="20"/>
                <w:lang w:bidi="ar-EG"/>
              </w:rPr>
              <w:t>A</w:t>
            </w:r>
          </w:p>
        </w:tc>
        <w:tc>
          <w:tcPr>
            <w:tcW w:w="4788" w:type="dxa"/>
          </w:tcPr>
          <w:p w:rsidR="000128E8" w:rsidRDefault="000128E8" w:rsidP="00643B68">
            <w:pPr>
              <w:pStyle w:val="BodyText"/>
              <w:spacing w:before="0" w:line="240" w:lineRule="auto"/>
              <w:rPr>
                <w:rFonts w:cs="Times New Roman"/>
                <w:b w:val="0"/>
                <w:bCs w:val="0"/>
                <w:sz w:val="20"/>
                <w:szCs w:val="20"/>
                <w:lang w:bidi="ar-EG"/>
              </w:rPr>
            </w:pPr>
            <w:r>
              <w:rPr>
                <w:rFonts w:cs="Times New Roman"/>
                <w:b w:val="0"/>
                <w:bCs w:val="0"/>
                <w:sz w:val="20"/>
                <w:szCs w:val="20"/>
                <w:lang w:bidi="ar-EG"/>
              </w:rPr>
              <w:t xml:space="preserve">         </w:t>
            </w:r>
            <w:r w:rsidR="000817CF">
              <w:rPr>
                <w:rFonts w:cs="Times New Roman"/>
                <w:b w:val="0"/>
                <w:bCs w:val="0"/>
                <w:noProof/>
                <w:sz w:val="20"/>
                <w:szCs w:val="20"/>
                <w:lang w:eastAsia="zh-CN"/>
              </w:rPr>
              <w:drawing>
                <wp:inline distT="0" distB="0" distL="0" distR="0">
                  <wp:extent cx="2231390" cy="18954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231390" cy="1895475"/>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b w:val="0"/>
                <w:bCs w:val="0"/>
                <w:sz w:val="20"/>
                <w:szCs w:val="20"/>
                <w:lang w:bidi="ar-EG"/>
              </w:rPr>
            </w:pPr>
            <w:r>
              <w:rPr>
                <w:rFonts w:cs="Times New Roman"/>
                <w:b w:val="0"/>
                <w:bCs w:val="0"/>
                <w:sz w:val="20"/>
                <w:szCs w:val="20"/>
                <w:lang w:bidi="ar-EG"/>
              </w:rPr>
              <w:t>B</w:t>
            </w:r>
          </w:p>
        </w:tc>
      </w:tr>
      <w:tr w:rsidR="000128E8">
        <w:tc>
          <w:tcPr>
            <w:tcW w:w="4788" w:type="dxa"/>
          </w:tcPr>
          <w:p w:rsidR="000128E8" w:rsidRDefault="000128E8" w:rsidP="00643B68">
            <w:pPr>
              <w:pStyle w:val="BodyText"/>
              <w:spacing w:before="0" w:line="240" w:lineRule="auto"/>
              <w:rPr>
                <w:rFonts w:cs="Times New Roman"/>
                <w:b w:val="0"/>
                <w:bCs w:val="0"/>
                <w:sz w:val="20"/>
                <w:szCs w:val="20"/>
                <w:lang w:bidi="ar-EG"/>
              </w:rPr>
            </w:pPr>
            <w:r>
              <w:rPr>
                <w:rFonts w:cs="Times New Roman"/>
                <w:b w:val="0"/>
                <w:bCs w:val="0"/>
                <w:sz w:val="20"/>
                <w:szCs w:val="20"/>
                <w:lang w:bidi="ar-EG"/>
              </w:rPr>
              <w:t xml:space="preserve">       </w:t>
            </w:r>
            <w:r w:rsidR="000817CF">
              <w:rPr>
                <w:rFonts w:cs="Times New Roman"/>
                <w:b w:val="0"/>
                <w:bCs w:val="0"/>
                <w:noProof/>
                <w:sz w:val="20"/>
                <w:szCs w:val="20"/>
                <w:lang w:eastAsia="zh-CN"/>
              </w:rPr>
              <w:drawing>
                <wp:inline distT="0" distB="0" distL="0" distR="0">
                  <wp:extent cx="2343150" cy="1504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343150" cy="1504950"/>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b w:val="0"/>
                <w:bCs w:val="0"/>
                <w:sz w:val="20"/>
                <w:szCs w:val="20"/>
                <w:lang w:bidi="ar-EG"/>
              </w:rPr>
            </w:pPr>
            <w:r>
              <w:rPr>
                <w:rFonts w:cs="Times New Roman"/>
                <w:b w:val="0"/>
                <w:bCs w:val="0"/>
                <w:sz w:val="20"/>
                <w:szCs w:val="20"/>
                <w:lang w:bidi="ar-EG"/>
              </w:rPr>
              <w:t>C</w:t>
            </w:r>
          </w:p>
        </w:tc>
        <w:tc>
          <w:tcPr>
            <w:tcW w:w="4788" w:type="dxa"/>
          </w:tcPr>
          <w:p w:rsidR="000128E8" w:rsidRDefault="000128E8" w:rsidP="00643B68">
            <w:pPr>
              <w:pStyle w:val="BodyText"/>
              <w:spacing w:before="0" w:line="240" w:lineRule="auto"/>
              <w:rPr>
                <w:rFonts w:cs="Times New Roman"/>
                <w:b w:val="0"/>
                <w:bCs w:val="0"/>
                <w:sz w:val="20"/>
                <w:szCs w:val="20"/>
                <w:lang w:bidi="ar-EG"/>
              </w:rPr>
            </w:pPr>
            <w:r>
              <w:rPr>
                <w:rFonts w:cs="Times New Roman"/>
                <w:b w:val="0"/>
                <w:bCs w:val="0"/>
                <w:sz w:val="20"/>
                <w:szCs w:val="20"/>
                <w:lang w:bidi="ar-EG"/>
              </w:rPr>
              <w:t xml:space="preserve">        </w:t>
            </w:r>
            <w:r w:rsidR="000817CF">
              <w:rPr>
                <w:rFonts w:cs="Times New Roman"/>
                <w:b w:val="0"/>
                <w:bCs w:val="0"/>
                <w:noProof/>
                <w:sz w:val="20"/>
                <w:szCs w:val="20"/>
                <w:lang w:eastAsia="zh-CN"/>
              </w:rPr>
              <w:drawing>
                <wp:inline distT="0" distB="0" distL="0" distR="0">
                  <wp:extent cx="2381250" cy="15240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381250" cy="1524000"/>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b w:val="0"/>
                <w:bCs w:val="0"/>
                <w:sz w:val="20"/>
                <w:szCs w:val="20"/>
                <w:lang w:bidi="ar-EG"/>
              </w:rPr>
            </w:pPr>
            <w:r>
              <w:rPr>
                <w:rFonts w:cs="Times New Roman"/>
                <w:b w:val="0"/>
                <w:bCs w:val="0"/>
                <w:sz w:val="20"/>
                <w:szCs w:val="20"/>
                <w:lang w:bidi="ar-EG"/>
              </w:rPr>
              <w:t>D</w:t>
            </w:r>
          </w:p>
        </w:tc>
      </w:tr>
    </w:tbl>
    <w:p w:rsidR="008C1450" w:rsidRPr="00643B68" w:rsidRDefault="008C1450" w:rsidP="00643B68">
      <w:pPr>
        <w:pStyle w:val="BodyText"/>
        <w:snapToGrid w:val="0"/>
        <w:spacing w:before="0" w:line="240" w:lineRule="auto"/>
        <w:rPr>
          <w:rFonts w:cs="Times New Roman"/>
          <w:b w:val="0"/>
          <w:bCs w:val="0"/>
          <w:sz w:val="20"/>
          <w:szCs w:val="18"/>
          <w:lang w:bidi="ar-EG"/>
        </w:rPr>
      </w:pPr>
      <w:proofErr w:type="gramStart"/>
      <w:r w:rsidRPr="00643B68">
        <w:rPr>
          <w:rFonts w:cs="Times New Roman"/>
          <w:b w:val="0"/>
          <w:bCs w:val="0"/>
          <w:sz w:val="20"/>
          <w:szCs w:val="18"/>
          <w:lang w:bidi="ar-EG"/>
        </w:rPr>
        <w:t>Fig.</w:t>
      </w:r>
      <w:proofErr w:type="gramEnd"/>
      <w:r w:rsidRPr="00643B68">
        <w:rPr>
          <w:rFonts w:cs="Times New Roman"/>
          <w:b w:val="0"/>
          <w:bCs w:val="0"/>
          <w:sz w:val="20"/>
          <w:szCs w:val="18"/>
          <w:lang w:bidi="ar-EG"/>
        </w:rPr>
        <w:t xml:space="preserve"> (4)</w:t>
      </w:r>
      <w:r w:rsidR="00241D7F">
        <w:rPr>
          <w:rFonts w:cs="Times New Roman"/>
          <w:b w:val="0"/>
          <w:bCs w:val="0"/>
          <w:sz w:val="20"/>
          <w:szCs w:val="18"/>
          <w:lang w:bidi="ar-EG"/>
        </w:rPr>
        <w:t>:</w:t>
      </w:r>
      <w:r w:rsidRPr="00643B68">
        <w:rPr>
          <w:rFonts w:cs="Times New Roman"/>
          <w:b w:val="0"/>
          <w:bCs w:val="0"/>
          <w:sz w:val="20"/>
          <w:szCs w:val="18"/>
          <w:lang w:bidi="ar-EG"/>
        </w:rPr>
        <w:t xml:space="preserve"> A case with right colonic cancer (</w:t>
      </w:r>
      <w:proofErr w:type="spellStart"/>
      <w:r w:rsidRPr="00643B68">
        <w:rPr>
          <w:rFonts w:cs="Times New Roman"/>
          <w:b w:val="0"/>
          <w:bCs w:val="0"/>
          <w:sz w:val="20"/>
          <w:szCs w:val="18"/>
          <w:lang w:bidi="ar-EG"/>
        </w:rPr>
        <w:t>caecal</w:t>
      </w:r>
      <w:proofErr w:type="spellEnd"/>
      <w:r w:rsidRPr="00643B68">
        <w:rPr>
          <w:rFonts w:cs="Times New Roman"/>
          <w:b w:val="0"/>
          <w:bCs w:val="0"/>
          <w:sz w:val="20"/>
          <w:szCs w:val="18"/>
          <w:lang w:bidi="ar-EG"/>
        </w:rPr>
        <w:t xml:space="preserve">) A &amp; B: contrast enhanced CT examination with </w:t>
      </w:r>
      <w:proofErr w:type="spellStart"/>
      <w:r w:rsidRPr="00643B68">
        <w:rPr>
          <w:rFonts w:cs="Times New Roman"/>
          <w:b w:val="0"/>
          <w:bCs w:val="0"/>
          <w:sz w:val="20"/>
          <w:szCs w:val="18"/>
          <w:lang w:bidi="ar-EG"/>
        </w:rPr>
        <w:t>caecal</w:t>
      </w:r>
      <w:proofErr w:type="spellEnd"/>
      <w:r w:rsidRPr="00643B68">
        <w:rPr>
          <w:rFonts w:cs="Times New Roman"/>
          <w:b w:val="0"/>
          <w:bCs w:val="0"/>
          <w:sz w:val="20"/>
          <w:szCs w:val="18"/>
          <w:lang w:bidi="ar-EG"/>
        </w:rPr>
        <w:t xml:space="preserve"> mass encircling colonic wall all around. C &amp; D are hepatic artery and portal vein Doppler study with normal calculated Doppler Perfusion Index (DPI). Follow up CT examination (not included) showed no evidence of local or distant metastasis.</w:t>
      </w:r>
    </w:p>
    <w:p w:rsidR="008C1450" w:rsidRPr="000128E8" w:rsidRDefault="000817CF" w:rsidP="00643B68">
      <w:pPr>
        <w:pStyle w:val="BodyText"/>
        <w:spacing w:before="0" w:line="240" w:lineRule="auto"/>
        <w:jc w:val="center"/>
        <w:rPr>
          <w:rFonts w:cs="Times New Roman"/>
          <w:b w:val="0"/>
          <w:bCs w:val="0"/>
          <w:sz w:val="18"/>
          <w:szCs w:val="18"/>
          <w:lang w:bidi="ar-EG"/>
        </w:rPr>
      </w:pPr>
      <w:r>
        <w:rPr>
          <w:rFonts w:cs="Times New Roman"/>
          <w:b w:val="0"/>
          <w:bCs w:val="0"/>
          <w:noProof/>
          <w:sz w:val="18"/>
          <w:szCs w:val="18"/>
          <w:lang w:eastAsia="zh-CN"/>
        </w:rPr>
        <w:lastRenderedPageBreak/>
        <w:drawing>
          <wp:inline distT="0" distB="0" distL="0" distR="0">
            <wp:extent cx="2761619" cy="1700030"/>
            <wp:effectExtent l="19050" t="0" r="631"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765866" cy="1702644"/>
                    </a:xfrm>
                    <a:prstGeom prst="rect">
                      <a:avLst/>
                    </a:prstGeom>
                    <a:noFill/>
                  </pic:spPr>
                </pic:pic>
              </a:graphicData>
            </a:graphic>
          </wp:inline>
        </w:drawing>
      </w:r>
      <w:r>
        <w:rPr>
          <w:rFonts w:cs="Times New Roman"/>
          <w:b w:val="0"/>
          <w:bCs w:val="0"/>
          <w:noProof/>
          <w:sz w:val="18"/>
          <w:szCs w:val="18"/>
          <w:lang w:eastAsia="zh-CN"/>
        </w:rPr>
        <w:drawing>
          <wp:inline distT="0" distB="0" distL="0" distR="0">
            <wp:extent cx="2436891" cy="1781092"/>
            <wp:effectExtent l="19050" t="0" r="1509"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435208" cy="1779862"/>
                    </a:xfrm>
                    <a:prstGeom prst="rect">
                      <a:avLst/>
                    </a:prstGeom>
                    <a:noFill/>
                  </pic:spPr>
                </pic:pic>
              </a:graphicData>
            </a:graphic>
          </wp:inline>
        </w:drawing>
      </w:r>
    </w:p>
    <w:p w:rsidR="008C1450" w:rsidRPr="00643B68" w:rsidRDefault="008C1450" w:rsidP="00643B68">
      <w:pPr>
        <w:bidi w:val="0"/>
        <w:snapToGrid w:val="0"/>
        <w:jc w:val="both"/>
        <w:rPr>
          <w:sz w:val="20"/>
          <w:szCs w:val="18"/>
          <w:lang w:eastAsia="zh-CN"/>
        </w:rPr>
      </w:pPr>
      <w:proofErr w:type="gramStart"/>
      <w:r w:rsidRPr="00643B68">
        <w:rPr>
          <w:sz w:val="20"/>
          <w:szCs w:val="18"/>
        </w:rPr>
        <w:t>Fig.</w:t>
      </w:r>
      <w:proofErr w:type="gramEnd"/>
      <w:r w:rsidRPr="00643B68">
        <w:rPr>
          <w:sz w:val="20"/>
          <w:szCs w:val="18"/>
        </w:rPr>
        <w:t xml:space="preserve"> (5)</w:t>
      </w:r>
      <w:r w:rsidR="00241D7F">
        <w:rPr>
          <w:sz w:val="20"/>
          <w:szCs w:val="18"/>
        </w:rPr>
        <w:t>:</w:t>
      </w:r>
      <w:r w:rsidRPr="00643B68">
        <w:rPr>
          <w:sz w:val="20"/>
          <w:szCs w:val="18"/>
        </w:rPr>
        <w:t xml:space="preserve"> Hepatic artery and portal vein Doppler study in patient with Left colonic cancer, calculated</w:t>
      </w:r>
      <w:r w:rsidRPr="00643B68">
        <w:rPr>
          <w:sz w:val="20"/>
          <w:szCs w:val="18"/>
          <w:rtl/>
        </w:rPr>
        <w:t xml:space="preserve"> </w:t>
      </w:r>
      <w:r w:rsidRPr="00643B68">
        <w:rPr>
          <w:sz w:val="20"/>
          <w:szCs w:val="18"/>
        </w:rPr>
        <w:t>Perfusion index is 0.320</w:t>
      </w:r>
    </w:p>
    <w:p w:rsidR="00643B68" w:rsidRPr="00643B68" w:rsidRDefault="00643B68" w:rsidP="00643B68">
      <w:pPr>
        <w:bidi w:val="0"/>
        <w:snapToGrid w:val="0"/>
        <w:jc w:val="center"/>
        <w:rPr>
          <w:sz w:val="20"/>
          <w:szCs w:val="18"/>
          <w:lang w:eastAsia="zh-CN"/>
        </w:rPr>
      </w:pPr>
    </w:p>
    <w:p w:rsidR="000128E8" w:rsidRPr="00643B68" w:rsidRDefault="000817CF" w:rsidP="00643B68">
      <w:pPr>
        <w:pStyle w:val="BodyText"/>
        <w:snapToGrid w:val="0"/>
        <w:spacing w:before="0" w:line="240" w:lineRule="auto"/>
        <w:jc w:val="center"/>
        <w:rPr>
          <w:rFonts w:cs="Times New Roman"/>
          <w:b w:val="0"/>
          <w:bCs w:val="0"/>
          <w:sz w:val="20"/>
          <w:szCs w:val="18"/>
          <w:lang w:bidi="ar-EG"/>
        </w:rPr>
      </w:pPr>
      <w:r w:rsidRPr="00643B68">
        <w:rPr>
          <w:rFonts w:cs="Times New Roman"/>
          <w:noProof/>
          <w:sz w:val="20"/>
          <w:szCs w:val="18"/>
          <w:lang w:eastAsia="zh-CN"/>
        </w:rPr>
        <w:drawing>
          <wp:inline distT="0" distB="0" distL="0" distR="0">
            <wp:extent cx="3401695" cy="2417197"/>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3402141" cy="2417514"/>
                    </a:xfrm>
                    <a:prstGeom prst="rect">
                      <a:avLst/>
                    </a:prstGeom>
                    <a:noFill/>
                  </pic:spPr>
                </pic:pic>
              </a:graphicData>
            </a:graphic>
          </wp:inline>
        </w:drawing>
      </w:r>
    </w:p>
    <w:p w:rsidR="008C1450" w:rsidRPr="00643B68" w:rsidRDefault="008C1450" w:rsidP="00643B68">
      <w:pPr>
        <w:pStyle w:val="BodyText"/>
        <w:snapToGrid w:val="0"/>
        <w:spacing w:before="0" w:line="240" w:lineRule="auto"/>
        <w:jc w:val="left"/>
        <w:rPr>
          <w:rFonts w:cs="Times New Roman"/>
          <w:b w:val="0"/>
          <w:bCs w:val="0"/>
          <w:sz w:val="20"/>
          <w:szCs w:val="18"/>
          <w:lang w:eastAsia="zh-CN" w:bidi="ar-EG"/>
        </w:rPr>
      </w:pPr>
      <w:proofErr w:type="gramStart"/>
      <w:r w:rsidRPr="00643B68">
        <w:rPr>
          <w:rFonts w:cs="Times New Roman"/>
          <w:b w:val="0"/>
          <w:bCs w:val="0"/>
          <w:sz w:val="20"/>
          <w:szCs w:val="18"/>
          <w:lang w:bidi="ar-EG"/>
        </w:rPr>
        <w:t>Fig.</w:t>
      </w:r>
      <w:proofErr w:type="gramEnd"/>
      <w:r w:rsidRPr="00643B68">
        <w:rPr>
          <w:rFonts w:cs="Times New Roman"/>
          <w:b w:val="0"/>
          <w:bCs w:val="0"/>
          <w:sz w:val="20"/>
          <w:szCs w:val="18"/>
          <w:lang w:bidi="ar-EG"/>
        </w:rPr>
        <w:t xml:space="preserve"> (6)</w:t>
      </w:r>
      <w:r w:rsidR="00241D7F">
        <w:rPr>
          <w:rFonts w:cs="Times New Roman"/>
          <w:b w:val="0"/>
          <w:bCs w:val="0"/>
          <w:sz w:val="20"/>
          <w:szCs w:val="18"/>
          <w:lang w:bidi="ar-EG"/>
        </w:rPr>
        <w:t>:</w:t>
      </w:r>
      <w:r w:rsidRPr="00643B68">
        <w:rPr>
          <w:rFonts w:cs="Times New Roman"/>
          <w:b w:val="0"/>
          <w:bCs w:val="0"/>
          <w:sz w:val="20"/>
          <w:szCs w:val="18"/>
          <w:lang w:bidi="ar-EG"/>
        </w:rPr>
        <w:t xml:space="preserve"> Follow up ultrasound examination of the same patient mentioned above after three years</w:t>
      </w:r>
      <w:r w:rsidR="00312B46">
        <w:rPr>
          <w:rFonts w:cs="Times New Roman"/>
          <w:b w:val="0"/>
          <w:bCs w:val="0"/>
          <w:sz w:val="20"/>
          <w:szCs w:val="18"/>
          <w:lang w:bidi="ar-EG"/>
        </w:rPr>
        <w:t xml:space="preserve"> </w:t>
      </w:r>
      <w:r w:rsidRPr="00643B68">
        <w:rPr>
          <w:rFonts w:cs="Times New Roman"/>
          <w:b w:val="0"/>
          <w:bCs w:val="0"/>
          <w:sz w:val="20"/>
          <w:szCs w:val="18"/>
          <w:lang w:bidi="ar-EG"/>
        </w:rPr>
        <w:t xml:space="preserve">showing multiple variable sized </w:t>
      </w:r>
      <w:proofErr w:type="spellStart"/>
      <w:r w:rsidRPr="00643B68">
        <w:rPr>
          <w:rFonts w:cs="Times New Roman"/>
          <w:b w:val="0"/>
          <w:bCs w:val="0"/>
          <w:sz w:val="20"/>
          <w:szCs w:val="18"/>
          <w:lang w:bidi="ar-EG"/>
        </w:rPr>
        <w:t>hypoechoic</w:t>
      </w:r>
      <w:proofErr w:type="spellEnd"/>
      <w:r w:rsidRPr="00643B68">
        <w:rPr>
          <w:rFonts w:cs="Times New Roman"/>
          <w:b w:val="0"/>
          <w:bCs w:val="0"/>
          <w:sz w:val="20"/>
          <w:szCs w:val="18"/>
          <w:lang w:bidi="ar-EG"/>
        </w:rPr>
        <w:t xml:space="preserve"> focal hepatic masses proved to be diffuse hepatic metastasis</w:t>
      </w:r>
      <w:r w:rsidRPr="00643B68">
        <w:rPr>
          <w:rFonts w:cs="Times New Roman"/>
          <w:b w:val="0"/>
          <w:bCs w:val="0"/>
          <w:sz w:val="20"/>
          <w:szCs w:val="18"/>
          <w:rtl/>
          <w:lang w:bidi="ar-EG"/>
        </w:rPr>
        <w:t xml:space="preserve"> </w:t>
      </w:r>
    </w:p>
    <w:p w:rsidR="00643B68" w:rsidRPr="00643B68" w:rsidRDefault="00643B68" w:rsidP="00643B68">
      <w:pPr>
        <w:pStyle w:val="BodyText"/>
        <w:snapToGrid w:val="0"/>
        <w:spacing w:before="0" w:line="240" w:lineRule="auto"/>
        <w:jc w:val="left"/>
        <w:rPr>
          <w:rFonts w:cs="Times New Roman"/>
          <w:b w:val="0"/>
          <w:bCs w:val="0"/>
          <w:sz w:val="20"/>
          <w:szCs w:val="18"/>
          <w:lang w:eastAsia="zh-CN" w:bidi="ar-EG"/>
        </w:rPr>
      </w:pPr>
    </w:p>
    <w:p w:rsidR="00643B68" w:rsidRPr="00643B68" w:rsidRDefault="00643B68" w:rsidP="00643B68">
      <w:pPr>
        <w:pStyle w:val="BodyText"/>
        <w:snapToGrid w:val="0"/>
        <w:spacing w:before="0" w:line="240" w:lineRule="auto"/>
        <w:jc w:val="left"/>
        <w:rPr>
          <w:rFonts w:cs="Times New Roman"/>
          <w:b w:val="0"/>
          <w:bCs w:val="0"/>
          <w:sz w:val="20"/>
          <w:szCs w:val="18"/>
          <w:lang w:eastAsia="zh-CN" w:bidi="ar-EG"/>
        </w:rPr>
      </w:pPr>
    </w:p>
    <w:tbl>
      <w:tblPr>
        <w:tblStyle w:val="TableGrid"/>
        <w:tblW w:w="0" w:type="auto"/>
        <w:tblLook w:val="00A0"/>
      </w:tblPr>
      <w:tblGrid>
        <w:gridCol w:w="4788"/>
        <w:gridCol w:w="4788"/>
      </w:tblGrid>
      <w:tr w:rsidR="000128E8">
        <w:tc>
          <w:tcPr>
            <w:tcW w:w="4788" w:type="dxa"/>
          </w:tcPr>
          <w:p w:rsidR="000128E8" w:rsidRDefault="000817CF" w:rsidP="00643B68">
            <w:pPr>
              <w:pStyle w:val="BodyText"/>
              <w:spacing w:before="0" w:line="240" w:lineRule="auto"/>
              <w:jc w:val="center"/>
              <w:rPr>
                <w:rFonts w:cs="Times New Roman"/>
                <w:sz w:val="20"/>
                <w:szCs w:val="20"/>
              </w:rPr>
            </w:pPr>
            <w:r>
              <w:rPr>
                <w:rFonts w:cs="Times New Roman"/>
                <w:noProof/>
                <w:sz w:val="20"/>
                <w:szCs w:val="20"/>
                <w:lang w:eastAsia="zh-CN"/>
              </w:rPr>
              <w:drawing>
                <wp:inline distT="0" distB="0" distL="0" distR="0">
                  <wp:extent cx="2087880" cy="1978660"/>
                  <wp:effectExtent l="1905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87880" cy="1978660"/>
                          </a:xfrm>
                          <a:prstGeom prst="rect">
                            <a:avLst/>
                          </a:prstGeom>
                          <a:noFill/>
                        </pic:spPr>
                      </pic:pic>
                    </a:graphicData>
                  </a:graphic>
                </wp:inline>
              </w:drawing>
            </w:r>
          </w:p>
          <w:p w:rsidR="00643B68" w:rsidRDefault="000128E8" w:rsidP="00241D7F">
            <w:pPr>
              <w:pStyle w:val="BodyText"/>
              <w:spacing w:before="0" w:line="240" w:lineRule="auto"/>
              <w:jc w:val="center"/>
              <w:rPr>
                <w:rFonts w:cs="Times New Roman"/>
                <w:sz w:val="20"/>
                <w:szCs w:val="20"/>
                <w:lang w:eastAsia="zh-CN"/>
              </w:rPr>
            </w:pPr>
            <w:r>
              <w:rPr>
                <w:rFonts w:cs="Times New Roman"/>
                <w:sz w:val="20"/>
                <w:szCs w:val="20"/>
              </w:rPr>
              <w:t>A</w:t>
            </w:r>
          </w:p>
        </w:tc>
        <w:tc>
          <w:tcPr>
            <w:tcW w:w="4788" w:type="dxa"/>
          </w:tcPr>
          <w:p w:rsidR="000128E8" w:rsidRDefault="000817CF" w:rsidP="00643B68">
            <w:pPr>
              <w:pStyle w:val="BodyText"/>
              <w:spacing w:before="0" w:line="240" w:lineRule="auto"/>
              <w:jc w:val="center"/>
              <w:rPr>
                <w:rFonts w:cs="Times New Roman"/>
                <w:sz w:val="20"/>
                <w:szCs w:val="20"/>
              </w:rPr>
            </w:pPr>
            <w:r>
              <w:rPr>
                <w:rFonts w:cs="Times New Roman"/>
                <w:noProof/>
                <w:sz w:val="20"/>
                <w:szCs w:val="20"/>
                <w:lang w:eastAsia="zh-CN"/>
              </w:rPr>
              <w:drawing>
                <wp:inline distT="0" distB="0" distL="0" distR="0">
                  <wp:extent cx="2306320" cy="19462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2306320" cy="1946275"/>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sz w:val="20"/>
                <w:szCs w:val="20"/>
              </w:rPr>
            </w:pPr>
            <w:r>
              <w:rPr>
                <w:rFonts w:cs="Times New Roman"/>
                <w:sz w:val="20"/>
                <w:szCs w:val="20"/>
              </w:rPr>
              <w:t>B</w:t>
            </w:r>
          </w:p>
        </w:tc>
      </w:tr>
      <w:tr w:rsidR="000128E8">
        <w:tc>
          <w:tcPr>
            <w:tcW w:w="4788" w:type="dxa"/>
          </w:tcPr>
          <w:p w:rsidR="000128E8" w:rsidRDefault="000817CF" w:rsidP="00643B68">
            <w:pPr>
              <w:pStyle w:val="BodyText"/>
              <w:spacing w:before="0" w:line="240" w:lineRule="auto"/>
              <w:jc w:val="center"/>
              <w:rPr>
                <w:rFonts w:cs="Times New Roman"/>
                <w:sz w:val="20"/>
                <w:szCs w:val="20"/>
              </w:rPr>
            </w:pPr>
            <w:r>
              <w:rPr>
                <w:rFonts w:cs="Times New Roman"/>
                <w:noProof/>
                <w:sz w:val="20"/>
                <w:szCs w:val="20"/>
                <w:lang w:eastAsia="zh-CN"/>
              </w:rPr>
              <w:lastRenderedPageBreak/>
              <w:drawing>
                <wp:inline distT="0" distB="0" distL="0" distR="0">
                  <wp:extent cx="2464435" cy="16097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464435" cy="1609725"/>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sz w:val="20"/>
                <w:szCs w:val="20"/>
              </w:rPr>
            </w:pPr>
            <w:r>
              <w:rPr>
                <w:rFonts w:cs="Times New Roman"/>
                <w:sz w:val="20"/>
                <w:szCs w:val="20"/>
              </w:rPr>
              <w:t>C</w:t>
            </w:r>
          </w:p>
        </w:tc>
        <w:tc>
          <w:tcPr>
            <w:tcW w:w="4788" w:type="dxa"/>
          </w:tcPr>
          <w:p w:rsidR="000128E8" w:rsidRDefault="000817CF" w:rsidP="00643B68">
            <w:pPr>
              <w:pStyle w:val="BodyText"/>
              <w:spacing w:before="0" w:line="240" w:lineRule="auto"/>
              <w:jc w:val="center"/>
              <w:rPr>
                <w:rFonts w:cs="Times New Roman"/>
                <w:sz w:val="20"/>
                <w:szCs w:val="20"/>
              </w:rPr>
            </w:pPr>
            <w:r>
              <w:rPr>
                <w:rFonts w:cs="Times New Roman"/>
                <w:noProof/>
                <w:sz w:val="20"/>
                <w:szCs w:val="20"/>
                <w:lang w:eastAsia="zh-CN"/>
              </w:rPr>
              <w:drawing>
                <wp:inline distT="0" distB="0" distL="0" distR="0">
                  <wp:extent cx="2268220" cy="160591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268220" cy="1605915"/>
                          </a:xfrm>
                          <a:prstGeom prst="rect">
                            <a:avLst/>
                          </a:prstGeom>
                          <a:noFill/>
                        </pic:spPr>
                      </pic:pic>
                    </a:graphicData>
                  </a:graphic>
                </wp:inline>
              </w:drawing>
            </w:r>
          </w:p>
          <w:p w:rsidR="000128E8" w:rsidRDefault="000128E8" w:rsidP="00643B68">
            <w:pPr>
              <w:pStyle w:val="BodyText"/>
              <w:spacing w:before="0" w:line="240" w:lineRule="auto"/>
              <w:jc w:val="center"/>
              <w:rPr>
                <w:rFonts w:cs="Times New Roman"/>
                <w:sz w:val="20"/>
                <w:szCs w:val="20"/>
              </w:rPr>
            </w:pPr>
            <w:r>
              <w:rPr>
                <w:rFonts w:cs="Times New Roman"/>
                <w:sz w:val="20"/>
                <w:szCs w:val="20"/>
              </w:rPr>
              <w:t>D</w:t>
            </w:r>
          </w:p>
        </w:tc>
      </w:tr>
    </w:tbl>
    <w:p w:rsidR="008C1450" w:rsidRPr="00643B68" w:rsidRDefault="008C1450" w:rsidP="00643B68">
      <w:pPr>
        <w:widowControl w:val="0"/>
        <w:autoSpaceDE w:val="0"/>
        <w:autoSpaceDN w:val="0"/>
        <w:bidi w:val="0"/>
        <w:adjustRightInd w:val="0"/>
        <w:snapToGrid w:val="0"/>
        <w:jc w:val="both"/>
        <w:rPr>
          <w:b/>
          <w:bCs/>
          <w:sz w:val="20"/>
          <w:szCs w:val="18"/>
          <w:lang w:bidi="ar-EG"/>
        </w:rPr>
      </w:pPr>
      <w:proofErr w:type="gramStart"/>
      <w:r w:rsidRPr="00643B68">
        <w:rPr>
          <w:sz w:val="20"/>
          <w:szCs w:val="18"/>
          <w:lang w:bidi="ar-EG"/>
        </w:rPr>
        <w:t>Fig.</w:t>
      </w:r>
      <w:proofErr w:type="gramEnd"/>
      <w:r w:rsidRPr="00643B68">
        <w:rPr>
          <w:sz w:val="20"/>
          <w:szCs w:val="18"/>
          <w:lang w:bidi="ar-EG"/>
        </w:rPr>
        <w:t xml:space="preserve"> (7)</w:t>
      </w:r>
      <w:r w:rsidR="00241D7F">
        <w:rPr>
          <w:sz w:val="20"/>
          <w:szCs w:val="18"/>
          <w:lang w:bidi="ar-EG"/>
        </w:rPr>
        <w:t>:</w:t>
      </w:r>
      <w:r w:rsidRPr="00643B68">
        <w:rPr>
          <w:sz w:val="20"/>
          <w:szCs w:val="18"/>
          <w:lang w:bidi="ar-EG"/>
        </w:rPr>
        <w:t xml:space="preserve"> A case with left colonic cancer, A &amp; B: contrast enhanced CT examination showing large left colonic mass obstructing descending colon with proximal dilatation. C &amp; D are hepatic artery and portal vein Doppler study with the calculated Doppler Perfusion Index (DPI) measuring about 0.381 (increased). </w:t>
      </w:r>
      <w:r w:rsidR="00645FAC" w:rsidRPr="00643B68">
        <w:rPr>
          <w:sz w:val="20"/>
          <w:szCs w:val="18"/>
          <w:lang w:bidi="ar-EG"/>
        </w:rPr>
        <w:t>Follow up CT examination 1 year</w:t>
      </w:r>
      <w:r w:rsidRPr="00643B68">
        <w:rPr>
          <w:sz w:val="20"/>
          <w:szCs w:val="18"/>
          <w:lang w:bidi="ar-EG"/>
        </w:rPr>
        <w:t xml:space="preserve"> later (not included) showed local recurrence and liver metast</w:t>
      </w:r>
      <w:r w:rsidR="00645FAC" w:rsidRPr="00643B68">
        <w:rPr>
          <w:sz w:val="20"/>
          <w:szCs w:val="18"/>
          <w:lang w:bidi="ar-EG"/>
        </w:rPr>
        <w:t>ases</w:t>
      </w:r>
      <w:r w:rsidR="008A6210" w:rsidRPr="00643B68">
        <w:rPr>
          <w:sz w:val="20"/>
          <w:szCs w:val="18"/>
          <w:lang w:bidi="ar-EG"/>
        </w:rPr>
        <w:t>.</w:t>
      </w:r>
      <w:r w:rsidRPr="00643B68">
        <w:rPr>
          <w:b/>
          <w:bCs/>
          <w:sz w:val="20"/>
          <w:szCs w:val="18"/>
          <w:lang w:bidi="ar-EG"/>
        </w:rPr>
        <w:t xml:space="preserve"> </w:t>
      </w:r>
    </w:p>
    <w:p w:rsidR="00FF5491" w:rsidRDefault="00FF5491" w:rsidP="00643B68">
      <w:pPr>
        <w:widowControl w:val="0"/>
        <w:autoSpaceDE w:val="0"/>
        <w:autoSpaceDN w:val="0"/>
        <w:bidi w:val="0"/>
        <w:adjustRightInd w:val="0"/>
        <w:jc w:val="both"/>
        <w:rPr>
          <w:b/>
          <w:bCs/>
          <w:sz w:val="20"/>
          <w:szCs w:val="20"/>
          <w:lang w:eastAsia="zh-CN" w:bidi="ar-EG"/>
        </w:rPr>
      </w:pPr>
    </w:p>
    <w:p w:rsidR="00643B68" w:rsidRPr="00081507" w:rsidRDefault="00643B68" w:rsidP="00643B68">
      <w:pPr>
        <w:widowControl w:val="0"/>
        <w:autoSpaceDE w:val="0"/>
        <w:autoSpaceDN w:val="0"/>
        <w:bidi w:val="0"/>
        <w:adjustRightInd w:val="0"/>
        <w:jc w:val="both"/>
        <w:rPr>
          <w:b/>
          <w:bCs/>
          <w:sz w:val="20"/>
          <w:szCs w:val="20"/>
          <w:lang w:eastAsia="zh-CN" w:bidi="ar-EG"/>
        </w:rPr>
        <w:sectPr w:rsidR="00643B68" w:rsidRPr="00081507" w:rsidSect="007E240D">
          <w:type w:val="continuous"/>
          <w:pgSz w:w="12240" w:h="15840" w:code="1"/>
          <w:pgMar w:top="1440" w:right="1440" w:bottom="1440" w:left="1440" w:header="720" w:footer="720" w:gutter="0"/>
          <w:cols w:space="720"/>
          <w:noEndnote/>
          <w:docGrid w:linePitch="326"/>
        </w:sectPr>
      </w:pPr>
    </w:p>
    <w:p w:rsidR="00081507" w:rsidRPr="00085C1E" w:rsidRDefault="00081507" w:rsidP="00643B68">
      <w:pPr>
        <w:widowControl w:val="0"/>
        <w:autoSpaceDE w:val="0"/>
        <w:autoSpaceDN w:val="0"/>
        <w:bidi w:val="0"/>
        <w:adjustRightInd w:val="0"/>
        <w:jc w:val="both"/>
        <w:rPr>
          <w:sz w:val="20"/>
          <w:szCs w:val="20"/>
          <w:lang w:bidi="ar-EG"/>
        </w:rPr>
      </w:pPr>
      <w:r>
        <w:rPr>
          <w:b/>
          <w:bCs/>
          <w:sz w:val="20"/>
          <w:szCs w:val="20"/>
          <w:lang w:bidi="ar-EG"/>
        </w:rPr>
        <w:lastRenderedPageBreak/>
        <w:t>4</w:t>
      </w:r>
      <w:r w:rsidRPr="00085C1E">
        <w:rPr>
          <w:b/>
          <w:bCs/>
          <w:sz w:val="20"/>
          <w:szCs w:val="20"/>
          <w:lang w:bidi="ar-EG"/>
        </w:rPr>
        <w:t>. Discussion</w:t>
      </w:r>
      <w:r w:rsidRPr="00085C1E">
        <w:rPr>
          <w:sz w:val="20"/>
          <w:szCs w:val="20"/>
          <w:lang w:bidi="ar-EG"/>
        </w:rPr>
        <w:t xml:space="preserve"> </w:t>
      </w:r>
    </w:p>
    <w:p w:rsidR="00503EA1" w:rsidRPr="00085C1E" w:rsidRDefault="00503EA1" w:rsidP="00643B68">
      <w:pPr>
        <w:widowControl w:val="0"/>
        <w:autoSpaceDE w:val="0"/>
        <w:autoSpaceDN w:val="0"/>
        <w:bidi w:val="0"/>
        <w:adjustRightInd w:val="0"/>
        <w:ind w:firstLine="425"/>
        <w:jc w:val="both"/>
        <w:rPr>
          <w:spacing w:val="-6"/>
          <w:sz w:val="20"/>
          <w:szCs w:val="20"/>
          <w:lang w:bidi="ar-EG"/>
        </w:rPr>
      </w:pPr>
      <w:r w:rsidRPr="00085C1E">
        <w:rPr>
          <w:sz w:val="20"/>
          <w:szCs w:val="20"/>
          <w:lang w:bidi="ar-EG"/>
        </w:rPr>
        <w:t>The presence of micro metastases in early stage colorectal cancer might have prognostic value. Detection of micro metastases could aid the selection of patients for adjuvant systemic chemotherapy</w:t>
      </w:r>
      <w:r w:rsidRPr="00085C1E">
        <w:rPr>
          <w:b/>
          <w:bCs/>
          <w:sz w:val="20"/>
          <w:szCs w:val="20"/>
          <w:vertAlign w:val="superscript"/>
          <w:lang w:bidi="ar-EG"/>
        </w:rPr>
        <w:t xml:space="preserve"> (1</w:t>
      </w:r>
      <w:proofErr w:type="gramStart"/>
      <w:r w:rsidRPr="00085C1E">
        <w:rPr>
          <w:b/>
          <w:bCs/>
          <w:sz w:val="20"/>
          <w:szCs w:val="20"/>
          <w:vertAlign w:val="superscript"/>
          <w:lang w:bidi="ar-EG"/>
        </w:rPr>
        <w:t>,15</w:t>
      </w:r>
      <w:proofErr w:type="gramEnd"/>
      <w:r w:rsidRPr="00085C1E">
        <w:rPr>
          <w:b/>
          <w:bCs/>
          <w:sz w:val="20"/>
          <w:szCs w:val="20"/>
          <w:vertAlign w:val="superscript"/>
          <w:lang w:bidi="ar-EG"/>
        </w:rPr>
        <w:t>)</w:t>
      </w:r>
      <w:r w:rsidRPr="00085C1E">
        <w:rPr>
          <w:sz w:val="20"/>
          <w:szCs w:val="20"/>
          <w:lang w:bidi="ar-EG"/>
        </w:rPr>
        <w:t xml:space="preserve">. Patients with detectable micro-metastases could be considered for adjuvant chemotherapy. This approach is currently not the standard treatment for Dukes’ stage A and B colorectal cancer but, controversially, some oncologists do offer it </w:t>
      </w:r>
      <w:r w:rsidRPr="00085C1E">
        <w:rPr>
          <w:b/>
          <w:bCs/>
          <w:sz w:val="20"/>
          <w:szCs w:val="20"/>
          <w:vertAlign w:val="superscript"/>
          <w:lang w:bidi="ar-EG"/>
        </w:rPr>
        <w:t>(1, 15)</w:t>
      </w:r>
      <w:r w:rsidRPr="00085C1E">
        <w:rPr>
          <w:sz w:val="20"/>
          <w:szCs w:val="20"/>
          <w:lang w:bidi="ar-EG"/>
        </w:rPr>
        <w:t xml:space="preserve">. However, without treatment about one third of patients with Dukes’ stage A and B tumor will have recurrent disease, but are generally denied chemotherapy. Therefore, the current criteria that determine the </w:t>
      </w:r>
      <w:r w:rsidRPr="00085C1E">
        <w:rPr>
          <w:spacing w:val="-4"/>
          <w:sz w:val="20"/>
          <w:szCs w:val="20"/>
          <w:lang w:bidi="ar-EG"/>
        </w:rPr>
        <w:t xml:space="preserve">selection of patients with colorectal cancer for chemotherapy require re-evaluation </w:t>
      </w:r>
      <w:r w:rsidRPr="00085C1E">
        <w:rPr>
          <w:b/>
          <w:bCs/>
          <w:spacing w:val="-4"/>
          <w:sz w:val="20"/>
          <w:szCs w:val="20"/>
          <w:vertAlign w:val="superscript"/>
          <w:lang w:bidi="ar-EG"/>
        </w:rPr>
        <w:t>(15)</w:t>
      </w:r>
      <w:r w:rsidRPr="00085C1E">
        <w:rPr>
          <w:spacing w:val="-4"/>
          <w:sz w:val="20"/>
          <w:szCs w:val="20"/>
          <w:lang w:bidi="ar-EG"/>
        </w:rPr>
        <w:t>. The prognostic</w:t>
      </w:r>
      <w:r w:rsidRPr="00085C1E">
        <w:rPr>
          <w:sz w:val="20"/>
          <w:szCs w:val="20"/>
          <w:lang w:bidi="ar-EG"/>
        </w:rPr>
        <w:t xml:space="preserve"> indicators commonly used in clinical practice are limited in this respect. Although Dukes’ stage has been the most widely used, it provides only a probability of survival for any given stage </w:t>
      </w:r>
      <w:r w:rsidRPr="00085C1E">
        <w:rPr>
          <w:b/>
          <w:bCs/>
          <w:sz w:val="20"/>
          <w:szCs w:val="20"/>
          <w:vertAlign w:val="superscript"/>
          <w:lang w:bidi="ar-EG"/>
        </w:rPr>
        <w:t>(16)</w:t>
      </w:r>
      <w:r w:rsidRPr="00085C1E">
        <w:rPr>
          <w:sz w:val="20"/>
          <w:szCs w:val="20"/>
          <w:lang w:bidi="ar-EG"/>
        </w:rPr>
        <w:t>.</w:t>
      </w:r>
      <w:r w:rsidRPr="00085C1E">
        <w:rPr>
          <w:spacing w:val="-6"/>
          <w:sz w:val="20"/>
          <w:szCs w:val="20"/>
          <w:lang w:bidi="ar-EG"/>
        </w:rPr>
        <w:t xml:space="preserve"> In our study, Dukes’ stage failed to clearly define those patients at risk of early recurrence, 18.1% of patients with Dukes’ stage A and 11.1% of patients with Dukes’ stage B had recurrent disease.</w:t>
      </w:r>
    </w:p>
    <w:p w:rsidR="00503EA1" w:rsidRPr="00085C1E" w:rsidRDefault="00503EA1" w:rsidP="00643B68">
      <w:pPr>
        <w:widowControl w:val="0"/>
        <w:autoSpaceDE w:val="0"/>
        <w:autoSpaceDN w:val="0"/>
        <w:bidi w:val="0"/>
        <w:adjustRightInd w:val="0"/>
        <w:ind w:firstLine="425"/>
        <w:jc w:val="both"/>
        <w:rPr>
          <w:sz w:val="20"/>
          <w:szCs w:val="20"/>
          <w:lang w:bidi="ar-EG"/>
        </w:rPr>
      </w:pPr>
      <w:r w:rsidRPr="00085C1E">
        <w:rPr>
          <w:sz w:val="20"/>
          <w:szCs w:val="20"/>
          <w:lang w:bidi="ar-EG"/>
        </w:rPr>
        <w:t xml:space="preserve">By contrast, DPI values accurately predicted outcome over </w:t>
      </w:r>
      <w:r w:rsidRPr="00085C1E">
        <w:rPr>
          <w:spacing w:val="-4"/>
          <w:sz w:val="20"/>
          <w:szCs w:val="20"/>
          <w:lang w:bidi="ar-EG"/>
        </w:rPr>
        <w:t>3 years. Only 40% of Dukes’ stage A and 10% of Dukes’ stage B patients with an abnormally raised DPI value</w:t>
      </w:r>
      <w:r w:rsidRPr="00085C1E">
        <w:rPr>
          <w:sz w:val="20"/>
          <w:szCs w:val="20"/>
          <w:lang w:bidi="ar-EG"/>
        </w:rPr>
        <w:t xml:space="preserve"> remained disease-free compared with 72.7 % of Dukes’ A and 66.7% of Dukes’ stage B patients with normal DPI value (both </w:t>
      </w:r>
      <w:r w:rsidRPr="00085C1E">
        <w:rPr>
          <w:i/>
          <w:iCs/>
          <w:sz w:val="20"/>
          <w:szCs w:val="20"/>
          <w:lang w:bidi="ar-EG"/>
        </w:rPr>
        <w:t>P</w:t>
      </w:r>
      <w:r w:rsidRPr="00085C1E">
        <w:rPr>
          <w:sz w:val="20"/>
          <w:szCs w:val="20"/>
          <w:lang w:bidi="ar-EG"/>
        </w:rPr>
        <w:t xml:space="preserve"> &lt; 0.005). The 3-year overall survival rates were 90.9% for Dukes stage A and 77.8% for Dukes stage B patients with normal DPI, compared to 70% and 55% for Dukes stages A and B patients with abnormal DPI values.</w:t>
      </w:r>
    </w:p>
    <w:p w:rsidR="00503EA1" w:rsidRPr="00085C1E" w:rsidRDefault="00503EA1" w:rsidP="00643B68">
      <w:pPr>
        <w:widowControl w:val="0"/>
        <w:autoSpaceDE w:val="0"/>
        <w:autoSpaceDN w:val="0"/>
        <w:bidi w:val="0"/>
        <w:adjustRightInd w:val="0"/>
        <w:ind w:firstLine="425"/>
        <w:jc w:val="both"/>
        <w:rPr>
          <w:sz w:val="20"/>
          <w:szCs w:val="20"/>
          <w:lang w:bidi="ar-EG"/>
        </w:rPr>
      </w:pPr>
      <w:r w:rsidRPr="00085C1E">
        <w:rPr>
          <w:spacing w:val="-4"/>
          <w:sz w:val="20"/>
          <w:szCs w:val="20"/>
          <w:lang w:bidi="ar-EG"/>
        </w:rPr>
        <w:t>These results are comparable to the</w:t>
      </w:r>
      <w:r w:rsidRPr="00085C1E">
        <w:rPr>
          <w:sz w:val="20"/>
          <w:szCs w:val="20"/>
          <w:lang w:bidi="ar-EG"/>
        </w:rPr>
        <w:t xml:space="preserve"> results reported by </w:t>
      </w:r>
      <w:proofErr w:type="spellStart"/>
      <w:r w:rsidRPr="00085C1E">
        <w:rPr>
          <w:b/>
          <w:bCs/>
          <w:sz w:val="20"/>
          <w:szCs w:val="20"/>
          <w:lang w:bidi="ar-EG"/>
        </w:rPr>
        <w:t>Leen</w:t>
      </w:r>
      <w:proofErr w:type="spellEnd"/>
      <w:r w:rsidRPr="00085C1E">
        <w:rPr>
          <w:b/>
          <w:bCs/>
          <w:sz w:val="20"/>
          <w:szCs w:val="20"/>
          <w:lang w:bidi="ar-EG"/>
        </w:rPr>
        <w:t xml:space="preserve"> et al</w:t>
      </w:r>
      <w:r w:rsidRPr="00085C1E">
        <w:rPr>
          <w:sz w:val="20"/>
          <w:szCs w:val="20"/>
          <w:lang w:bidi="ar-EG"/>
        </w:rPr>
        <w:t xml:space="preserve">. </w:t>
      </w:r>
      <w:r w:rsidRPr="00085C1E">
        <w:rPr>
          <w:b/>
          <w:bCs/>
          <w:sz w:val="20"/>
          <w:szCs w:val="20"/>
          <w:vertAlign w:val="superscript"/>
          <w:lang w:bidi="ar-EG"/>
        </w:rPr>
        <w:t>(9)</w:t>
      </w:r>
      <w:r w:rsidRPr="00085C1E">
        <w:rPr>
          <w:sz w:val="20"/>
          <w:szCs w:val="20"/>
          <w:lang w:bidi="ar-EG"/>
        </w:rPr>
        <w:t xml:space="preserve">, who concluded that patients with normal DPI had recurrence-free survival of 89% and overall survival of 91%, compared with 22% and 29% for those with abnormal DPI values (both </w:t>
      </w:r>
      <w:r w:rsidRPr="00085C1E">
        <w:rPr>
          <w:i/>
          <w:iCs/>
          <w:sz w:val="20"/>
          <w:szCs w:val="20"/>
          <w:lang w:bidi="ar-EG"/>
        </w:rPr>
        <w:t>P</w:t>
      </w:r>
      <w:r w:rsidRPr="00085C1E">
        <w:rPr>
          <w:sz w:val="20"/>
          <w:szCs w:val="20"/>
          <w:lang w:bidi="ar-EG"/>
        </w:rPr>
        <w:t xml:space="preserve"> &lt; 0.001).</w:t>
      </w:r>
      <w:r w:rsidR="00312B46">
        <w:rPr>
          <w:sz w:val="20"/>
          <w:szCs w:val="20"/>
          <w:lang w:bidi="ar-EG"/>
        </w:rPr>
        <w:t xml:space="preserve"> </w:t>
      </w:r>
      <w:r w:rsidRPr="00085C1E">
        <w:rPr>
          <w:sz w:val="20"/>
          <w:szCs w:val="20"/>
          <w:lang w:bidi="ar-EG"/>
        </w:rPr>
        <w:t xml:space="preserve">Furthermore, in this study, patients with normal DPI </w:t>
      </w:r>
      <w:r w:rsidRPr="00085C1E">
        <w:rPr>
          <w:sz w:val="20"/>
          <w:szCs w:val="20"/>
          <w:lang w:bidi="ar-EG"/>
        </w:rPr>
        <w:lastRenderedPageBreak/>
        <w:t>status have a good outcome irrespective of Dukes’ stage. Similarly, those with abnormally raised DPI values have a poor prognosis irrespective of Dukes’ stage.</w:t>
      </w:r>
      <w:r w:rsidR="00312B46">
        <w:rPr>
          <w:sz w:val="20"/>
          <w:szCs w:val="20"/>
          <w:lang w:bidi="ar-EG"/>
        </w:rPr>
        <w:t xml:space="preserve"> </w:t>
      </w:r>
      <w:r w:rsidRPr="00085C1E">
        <w:rPr>
          <w:sz w:val="20"/>
          <w:szCs w:val="20"/>
          <w:lang w:bidi="ar-EG"/>
        </w:rPr>
        <w:t xml:space="preserve">DPI can accurately predict </w:t>
      </w:r>
      <w:r w:rsidRPr="00085C1E">
        <w:rPr>
          <w:spacing w:val="-4"/>
          <w:sz w:val="20"/>
          <w:szCs w:val="20"/>
          <w:lang w:bidi="ar-EG"/>
        </w:rPr>
        <w:t xml:space="preserve">recurrence after potentially curative surgery for colorectal cancer. </w:t>
      </w:r>
      <w:proofErr w:type="gramStart"/>
      <w:r w:rsidRPr="00085C1E">
        <w:rPr>
          <w:spacing w:val="-4"/>
          <w:sz w:val="20"/>
          <w:szCs w:val="20"/>
          <w:lang w:bidi="ar-EG"/>
        </w:rPr>
        <w:t xml:space="preserve">Furthermore, DPI in more sensitive </w:t>
      </w:r>
      <w:r w:rsidRPr="00085C1E">
        <w:rPr>
          <w:sz w:val="20"/>
          <w:szCs w:val="20"/>
          <w:lang w:bidi="ar-EG"/>
        </w:rPr>
        <w:t xml:space="preserve">than conventional imaging techniques </w:t>
      </w:r>
      <w:r w:rsidRPr="00085C1E">
        <w:rPr>
          <w:b/>
          <w:bCs/>
          <w:sz w:val="20"/>
          <w:szCs w:val="20"/>
          <w:vertAlign w:val="superscript"/>
          <w:lang w:bidi="ar-EG"/>
        </w:rPr>
        <w:t>(9, 11)</w:t>
      </w:r>
      <w:r w:rsidRPr="00085C1E">
        <w:rPr>
          <w:sz w:val="20"/>
          <w:szCs w:val="20"/>
          <w:lang w:bidi="ar-EG"/>
        </w:rPr>
        <w:t>.</w:t>
      </w:r>
      <w:proofErr w:type="gramEnd"/>
      <w:r w:rsidRPr="00085C1E">
        <w:rPr>
          <w:sz w:val="20"/>
          <w:szCs w:val="20"/>
          <w:lang w:bidi="ar-EG"/>
        </w:rPr>
        <w:t xml:space="preserve"> There are, however, potential pitfalls associated with the technique, including variation of hepatic arterial anatomy, which are present in about 30% of patients </w:t>
      </w:r>
      <w:r w:rsidRPr="00085C1E">
        <w:rPr>
          <w:b/>
          <w:bCs/>
          <w:sz w:val="20"/>
          <w:szCs w:val="20"/>
          <w:vertAlign w:val="superscript"/>
          <w:lang w:bidi="ar-EG"/>
        </w:rPr>
        <w:t>(2, 16)</w:t>
      </w:r>
      <w:r w:rsidRPr="00085C1E">
        <w:rPr>
          <w:sz w:val="20"/>
          <w:szCs w:val="20"/>
          <w:lang w:bidi="ar-EG"/>
        </w:rPr>
        <w:t xml:space="preserve">. Only some of these variations may affect the measurement of DPI. Specifically, if there is a dual arterial supply or an accessory artery, hepatic arterial flow and hence DPI maybe underestimated. A small proportion of patients with normal DPI might therefore be wrongly assumed to have no occult metastases </w:t>
      </w:r>
      <w:r w:rsidRPr="00085C1E">
        <w:rPr>
          <w:b/>
          <w:bCs/>
          <w:sz w:val="20"/>
          <w:szCs w:val="20"/>
          <w:vertAlign w:val="superscript"/>
          <w:lang w:bidi="ar-EG"/>
        </w:rPr>
        <w:t>(17, 18)</w:t>
      </w:r>
      <w:r w:rsidRPr="00085C1E">
        <w:rPr>
          <w:sz w:val="20"/>
          <w:szCs w:val="20"/>
          <w:lang w:bidi="ar-EG"/>
        </w:rPr>
        <w:t xml:space="preserve">.However, not all authors were able to prove the clinical usefulness of DPI measurement in the detection of liver metastasis. In a clinical study conducted by </w:t>
      </w:r>
      <w:proofErr w:type="spellStart"/>
      <w:r w:rsidRPr="00085C1E">
        <w:rPr>
          <w:sz w:val="20"/>
          <w:szCs w:val="20"/>
          <w:lang w:bidi="ar-EG"/>
        </w:rPr>
        <w:t>Roumen</w:t>
      </w:r>
      <w:proofErr w:type="spellEnd"/>
      <w:r w:rsidRPr="00085C1E">
        <w:rPr>
          <w:sz w:val="20"/>
          <w:szCs w:val="20"/>
          <w:lang w:bidi="ar-EG"/>
        </w:rPr>
        <w:t xml:space="preserve"> </w:t>
      </w:r>
      <w:r w:rsidRPr="00085C1E">
        <w:rPr>
          <w:i/>
          <w:iCs/>
          <w:sz w:val="20"/>
          <w:szCs w:val="20"/>
          <w:lang w:bidi="ar-EG"/>
        </w:rPr>
        <w:t>et al</w:t>
      </w:r>
      <w:r w:rsidRPr="00085C1E">
        <w:rPr>
          <w:sz w:val="20"/>
          <w:szCs w:val="20"/>
          <w:lang w:bidi="ar-EG"/>
        </w:rPr>
        <w:t xml:space="preserve">. (19), 133 patients with different stages of colorectal cancer were examined. Reliable DPI measurements were not possible in 29 patients, mostly due to technical difficulties caused by the presence of air or other contrast media, obesity, scars or other reasons. In their study, they were unable to detect a single cut-off value that could reliably discriminate patients with liver metastases. It has to be noted that in this study no pre-selection of patients was performed and the focus was placed on the clinical usefulness of Doppler measurements in unselected population of patients.DPI measurement might also be affected by the presence of liver cirrhosis, which may lead to changes in liver blood flow. However, although DPI is also abnormally raised in the presence of cirrhosis, the </w:t>
      </w:r>
      <w:proofErr w:type="spellStart"/>
      <w:r w:rsidRPr="00085C1E">
        <w:rPr>
          <w:sz w:val="20"/>
          <w:szCs w:val="20"/>
          <w:lang w:bidi="ar-EG"/>
        </w:rPr>
        <w:t>haemo</w:t>
      </w:r>
      <w:proofErr w:type="spellEnd"/>
      <w:r w:rsidRPr="00085C1E">
        <w:rPr>
          <w:sz w:val="20"/>
          <w:szCs w:val="20"/>
          <w:lang w:bidi="ar-EG"/>
        </w:rPr>
        <w:t xml:space="preserve">-dynamic changes could be clearly differentiated by the measurement of portal-vein congestive index (ratio of portal-vein cross sectional area to velocity averaged over time) which is only raised in cirrhotic patients </w:t>
      </w:r>
      <w:r w:rsidRPr="00085C1E">
        <w:rPr>
          <w:b/>
          <w:bCs/>
          <w:sz w:val="20"/>
          <w:szCs w:val="20"/>
          <w:vertAlign w:val="superscript"/>
          <w:lang w:bidi="ar-EG"/>
        </w:rPr>
        <w:t>(17, 18)</w:t>
      </w:r>
      <w:r w:rsidRPr="00085C1E">
        <w:rPr>
          <w:sz w:val="20"/>
          <w:szCs w:val="20"/>
          <w:lang w:bidi="ar-EG"/>
        </w:rPr>
        <w:t xml:space="preserve">.In this study, the sensitivity, specificity, and </w:t>
      </w:r>
      <w:r w:rsidRPr="00085C1E">
        <w:rPr>
          <w:sz w:val="20"/>
          <w:szCs w:val="20"/>
          <w:lang w:bidi="ar-EG"/>
        </w:rPr>
        <w:lastRenderedPageBreak/>
        <w:t xml:space="preserve">accuracy of DPI </w:t>
      </w:r>
      <w:r w:rsidRPr="00085C1E">
        <w:rPr>
          <w:spacing w:val="-4"/>
          <w:sz w:val="20"/>
          <w:szCs w:val="20"/>
          <w:lang w:bidi="ar-EG"/>
        </w:rPr>
        <w:t>technique in identifying recurrence were 94%, 68% and 80% respectively</w:t>
      </w:r>
      <w:r w:rsidRPr="00085C1E">
        <w:rPr>
          <w:sz w:val="20"/>
          <w:szCs w:val="20"/>
          <w:lang w:bidi="ar-EG"/>
        </w:rPr>
        <w:t xml:space="preserve">, </w:t>
      </w:r>
      <w:r w:rsidRPr="00085C1E">
        <w:rPr>
          <w:spacing w:val="-4"/>
          <w:sz w:val="20"/>
          <w:szCs w:val="20"/>
          <w:lang w:bidi="ar-EG"/>
        </w:rPr>
        <w:t>which are comparable to</w:t>
      </w:r>
      <w:r w:rsidRPr="00085C1E">
        <w:rPr>
          <w:sz w:val="20"/>
          <w:szCs w:val="20"/>
          <w:lang w:bidi="ar-EG"/>
        </w:rPr>
        <w:t xml:space="preserve"> the results reported by </w:t>
      </w:r>
      <w:proofErr w:type="spellStart"/>
      <w:r w:rsidRPr="00085C1E">
        <w:rPr>
          <w:b/>
          <w:bCs/>
          <w:sz w:val="20"/>
          <w:szCs w:val="20"/>
          <w:lang w:bidi="ar-EG"/>
        </w:rPr>
        <w:t>Leen</w:t>
      </w:r>
      <w:proofErr w:type="spellEnd"/>
      <w:r w:rsidRPr="00085C1E">
        <w:rPr>
          <w:b/>
          <w:bCs/>
          <w:sz w:val="20"/>
          <w:szCs w:val="20"/>
          <w:lang w:bidi="ar-EG"/>
        </w:rPr>
        <w:t xml:space="preserve"> </w:t>
      </w:r>
      <w:r w:rsidRPr="00085C1E">
        <w:rPr>
          <w:b/>
          <w:bCs/>
          <w:i/>
          <w:iCs/>
          <w:sz w:val="20"/>
          <w:szCs w:val="20"/>
          <w:lang w:bidi="ar-EG"/>
        </w:rPr>
        <w:t>et al.</w:t>
      </w:r>
      <w:r w:rsidRPr="00085C1E">
        <w:rPr>
          <w:sz w:val="20"/>
          <w:szCs w:val="20"/>
          <w:lang w:bidi="ar-EG"/>
        </w:rPr>
        <w:t xml:space="preserve"> </w:t>
      </w:r>
      <w:r w:rsidRPr="00085C1E">
        <w:rPr>
          <w:b/>
          <w:bCs/>
          <w:sz w:val="20"/>
          <w:szCs w:val="20"/>
          <w:vertAlign w:val="superscript"/>
          <w:lang w:bidi="ar-EG"/>
        </w:rPr>
        <w:t>(9)</w:t>
      </w:r>
      <w:r w:rsidRPr="00085C1E">
        <w:rPr>
          <w:sz w:val="20"/>
          <w:szCs w:val="20"/>
          <w:lang w:bidi="ar-EG"/>
        </w:rPr>
        <w:t>. Who reported a sensitivity, specificity and accuracy of 95%, 69</w:t>
      </w:r>
      <w:r w:rsidR="00085C1E" w:rsidRPr="00085C1E">
        <w:rPr>
          <w:sz w:val="20"/>
          <w:szCs w:val="20"/>
          <w:lang w:bidi="ar-EG"/>
        </w:rPr>
        <w:t>% and</w:t>
      </w:r>
      <w:r w:rsidRPr="00085C1E">
        <w:rPr>
          <w:sz w:val="20"/>
          <w:szCs w:val="20"/>
          <w:lang w:bidi="ar-EG"/>
        </w:rPr>
        <w:t xml:space="preserve"> 81% </w:t>
      </w:r>
      <w:proofErr w:type="gramStart"/>
      <w:r w:rsidRPr="00085C1E">
        <w:rPr>
          <w:sz w:val="20"/>
          <w:szCs w:val="20"/>
          <w:lang w:bidi="ar-EG"/>
        </w:rPr>
        <w:t>respectively.</w:t>
      </w:r>
      <w:proofErr w:type="gramEnd"/>
      <w:r w:rsidRPr="00085C1E">
        <w:rPr>
          <w:sz w:val="20"/>
          <w:szCs w:val="20"/>
          <w:lang w:bidi="ar-EG"/>
        </w:rPr>
        <w:t xml:space="preserve"> In conclusion, DPI can be used to identify patients with colorectal cancer at high risk of recurrence who are in need of adjuvant treatment. This technique has the potential to provide </w:t>
      </w:r>
      <w:proofErr w:type="gramStart"/>
      <w:r w:rsidRPr="00085C1E">
        <w:rPr>
          <w:sz w:val="20"/>
          <w:szCs w:val="20"/>
          <w:lang w:bidi="ar-EG"/>
        </w:rPr>
        <w:t>a valuable methods</w:t>
      </w:r>
      <w:proofErr w:type="gramEnd"/>
      <w:r w:rsidRPr="00085C1E">
        <w:rPr>
          <w:sz w:val="20"/>
          <w:szCs w:val="20"/>
          <w:lang w:bidi="ar-EG"/>
        </w:rPr>
        <w:t xml:space="preserve"> for early detection of “occult lesions”. However, further studies with larger number of patients are needed to confirm these findings.</w:t>
      </w:r>
    </w:p>
    <w:p w:rsidR="00085C1E" w:rsidRPr="00085C1E" w:rsidRDefault="00085C1E" w:rsidP="00643B68">
      <w:pPr>
        <w:widowControl w:val="0"/>
        <w:tabs>
          <w:tab w:val="left" w:pos="90"/>
          <w:tab w:val="left" w:pos="220"/>
        </w:tabs>
        <w:autoSpaceDE w:val="0"/>
        <w:autoSpaceDN w:val="0"/>
        <w:bidi w:val="0"/>
        <w:adjustRightInd w:val="0"/>
        <w:jc w:val="both"/>
        <w:rPr>
          <w:b/>
          <w:bCs/>
          <w:sz w:val="20"/>
          <w:szCs w:val="20"/>
          <w:lang w:bidi="ar-EG"/>
        </w:rPr>
      </w:pPr>
    </w:p>
    <w:p w:rsidR="00085C1E" w:rsidRPr="00085C1E" w:rsidRDefault="00085C1E" w:rsidP="00643B68">
      <w:pPr>
        <w:widowControl w:val="0"/>
        <w:tabs>
          <w:tab w:val="left" w:pos="90"/>
          <w:tab w:val="left" w:pos="220"/>
        </w:tabs>
        <w:autoSpaceDE w:val="0"/>
        <w:autoSpaceDN w:val="0"/>
        <w:bidi w:val="0"/>
        <w:adjustRightInd w:val="0"/>
        <w:jc w:val="both"/>
        <w:rPr>
          <w:b/>
          <w:bCs/>
          <w:sz w:val="20"/>
          <w:szCs w:val="20"/>
          <w:lang w:bidi="ar-EG"/>
        </w:rPr>
      </w:pPr>
      <w:r w:rsidRPr="00085C1E">
        <w:rPr>
          <w:b/>
          <w:bCs/>
          <w:sz w:val="20"/>
          <w:szCs w:val="20"/>
          <w:lang w:bidi="ar-EG"/>
        </w:rPr>
        <w:t>References</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r w:rsidRPr="00643B68">
        <w:rPr>
          <w:bCs/>
          <w:sz w:val="20"/>
          <w:szCs w:val="20"/>
          <w:lang w:bidi="ar-EG"/>
        </w:rPr>
        <w:t xml:space="preserve">Boyle P, </w:t>
      </w:r>
      <w:proofErr w:type="spellStart"/>
      <w:r w:rsidRPr="00643B68">
        <w:rPr>
          <w:bCs/>
          <w:sz w:val="20"/>
          <w:szCs w:val="20"/>
          <w:lang w:bidi="ar-EG"/>
        </w:rPr>
        <w:t>Langman</w:t>
      </w:r>
      <w:proofErr w:type="spellEnd"/>
      <w:r w:rsidRPr="00643B68">
        <w:rPr>
          <w:bCs/>
          <w:sz w:val="20"/>
          <w:szCs w:val="20"/>
          <w:lang w:bidi="ar-EG"/>
        </w:rPr>
        <w:t xml:space="preserve"> JS. ABC </w:t>
      </w:r>
      <w:r w:rsidRPr="00643B68">
        <w:rPr>
          <w:sz w:val="20"/>
          <w:szCs w:val="20"/>
          <w:lang w:bidi="ar-EG"/>
        </w:rPr>
        <w:t>of colorectal cancer: Epidemiology. BMJ 2000</w:t>
      </w:r>
      <w:proofErr w:type="gramStart"/>
      <w:r w:rsidRPr="00643B68">
        <w:rPr>
          <w:sz w:val="20"/>
          <w:szCs w:val="20"/>
          <w:lang w:bidi="ar-EG"/>
        </w:rPr>
        <w:t>;321:805</w:t>
      </w:r>
      <w:proofErr w:type="gramEnd"/>
      <w:r w:rsidRPr="00643B68">
        <w:rPr>
          <w:sz w:val="20"/>
          <w:szCs w:val="20"/>
          <w:lang w:bidi="ar-EG"/>
        </w:rPr>
        <w:t>-8.</w:t>
      </w:r>
      <w:r w:rsidR="00312B46">
        <w:rPr>
          <w:sz w:val="20"/>
          <w:szCs w:val="20"/>
          <w:lang w:bidi="ar-EG"/>
        </w:rPr>
        <w:t xml:space="preserve"> </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rPr>
      </w:pPr>
      <w:proofErr w:type="spellStart"/>
      <w:r w:rsidRPr="00643B68">
        <w:rPr>
          <w:bCs/>
          <w:sz w:val="20"/>
          <w:szCs w:val="20"/>
        </w:rPr>
        <w:t>Kopljar</w:t>
      </w:r>
      <w:proofErr w:type="spellEnd"/>
      <w:r w:rsidRPr="00643B68">
        <w:rPr>
          <w:bCs/>
          <w:sz w:val="20"/>
          <w:szCs w:val="20"/>
        </w:rPr>
        <w:t xml:space="preserve"> M, </w:t>
      </w:r>
      <w:proofErr w:type="spellStart"/>
      <w:r w:rsidRPr="00643B68">
        <w:rPr>
          <w:bCs/>
          <w:sz w:val="20"/>
          <w:szCs w:val="20"/>
        </w:rPr>
        <w:t>Brkljacic</w:t>
      </w:r>
      <w:proofErr w:type="spellEnd"/>
      <w:r w:rsidRPr="00643B68">
        <w:rPr>
          <w:bCs/>
          <w:sz w:val="20"/>
          <w:szCs w:val="20"/>
        </w:rPr>
        <w:t xml:space="preserve"> B, </w:t>
      </w:r>
      <w:proofErr w:type="spellStart"/>
      <w:r w:rsidRPr="00643B68">
        <w:rPr>
          <w:bCs/>
          <w:sz w:val="20"/>
          <w:szCs w:val="20"/>
        </w:rPr>
        <w:t>Doko</w:t>
      </w:r>
      <w:proofErr w:type="spellEnd"/>
      <w:r w:rsidRPr="00643B68">
        <w:rPr>
          <w:bCs/>
          <w:sz w:val="20"/>
          <w:szCs w:val="20"/>
        </w:rPr>
        <w:t xml:space="preserve"> M, et al.</w:t>
      </w:r>
      <w:r w:rsidRPr="00643B68">
        <w:rPr>
          <w:sz w:val="20"/>
          <w:szCs w:val="20"/>
        </w:rPr>
        <w:t xml:space="preserve"> Nature of Doppler perfusion index changes in patients with colorectal cancer liver metastases. J Ultrasound Med 2004</w:t>
      </w:r>
      <w:proofErr w:type="gramStart"/>
      <w:r w:rsidRPr="00643B68">
        <w:rPr>
          <w:sz w:val="20"/>
          <w:szCs w:val="20"/>
        </w:rPr>
        <w:t>;23:1295</w:t>
      </w:r>
      <w:proofErr w:type="gramEnd"/>
      <w:r w:rsidRPr="00643B68">
        <w:rPr>
          <w:sz w:val="20"/>
          <w:szCs w:val="20"/>
        </w:rPr>
        <w:t>-300.</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Milas</w:t>
      </w:r>
      <w:proofErr w:type="spellEnd"/>
      <w:r w:rsidRPr="00643B68">
        <w:rPr>
          <w:bCs/>
          <w:sz w:val="20"/>
          <w:szCs w:val="20"/>
          <w:lang w:bidi="ar-EG"/>
        </w:rPr>
        <w:t xml:space="preserve"> J, </w:t>
      </w:r>
      <w:proofErr w:type="spellStart"/>
      <w:r w:rsidRPr="00643B68">
        <w:rPr>
          <w:bCs/>
          <w:sz w:val="20"/>
          <w:szCs w:val="20"/>
          <w:lang w:bidi="ar-EG"/>
        </w:rPr>
        <w:t>Samardzić</w:t>
      </w:r>
      <w:proofErr w:type="spellEnd"/>
      <w:r w:rsidRPr="00643B68">
        <w:rPr>
          <w:bCs/>
          <w:sz w:val="20"/>
          <w:szCs w:val="20"/>
          <w:lang w:bidi="ar-EG"/>
        </w:rPr>
        <w:t xml:space="preserve"> S, </w:t>
      </w:r>
      <w:proofErr w:type="spellStart"/>
      <w:r w:rsidRPr="00643B68">
        <w:rPr>
          <w:bCs/>
          <w:sz w:val="20"/>
          <w:szCs w:val="20"/>
          <w:lang w:bidi="ar-EG"/>
        </w:rPr>
        <w:t>Miskulin</w:t>
      </w:r>
      <w:proofErr w:type="spellEnd"/>
      <w:r w:rsidRPr="00643B68">
        <w:rPr>
          <w:bCs/>
          <w:sz w:val="20"/>
          <w:szCs w:val="20"/>
          <w:lang w:bidi="ar-EG"/>
        </w:rPr>
        <w:t xml:space="preserve"> M</w:t>
      </w:r>
      <w:r w:rsidRPr="00643B68">
        <w:rPr>
          <w:sz w:val="20"/>
          <w:szCs w:val="20"/>
          <w:lang w:bidi="ar-EG"/>
        </w:rPr>
        <w:t xml:space="preserve">. </w:t>
      </w:r>
      <w:proofErr w:type="spellStart"/>
      <w:r w:rsidRPr="00643B68">
        <w:rPr>
          <w:sz w:val="20"/>
          <w:szCs w:val="20"/>
          <w:lang w:bidi="ar-EG"/>
        </w:rPr>
        <w:t>Neoplasms</w:t>
      </w:r>
      <w:proofErr w:type="spellEnd"/>
      <w:r w:rsidRPr="00643B68">
        <w:rPr>
          <w:sz w:val="20"/>
          <w:szCs w:val="20"/>
          <w:lang w:bidi="ar-EG"/>
        </w:rPr>
        <w:t xml:space="preserve"> (C00-D48) in Osijek-</w:t>
      </w:r>
      <w:proofErr w:type="spellStart"/>
      <w:r w:rsidRPr="00643B68">
        <w:rPr>
          <w:sz w:val="20"/>
          <w:szCs w:val="20"/>
          <w:lang w:bidi="ar-EG"/>
        </w:rPr>
        <w:t>Baranja</w:t>
      </w:r>
      <w:proofErr w:type="spellEnd"/>
      <w:r w:rsidRPr="00643B68">
        <w:rPr>
          <w:sz w:val="20"/>
          <w:szCs w:val="20"/>
          <w:lang w:bidi="ar-EG"/>
        </w:rPr>
        <w:t xml:space="preserve"> County from 2001 to 2006, Croatia. </w:t>
      </w:r>
      <w:proofErr w:type="spellStart"/>
      <w:r w:rsidRPr="00643B68">
        <w:rPr>
          <w:sz w:val="20"/>
          <w:szCs w:val="20"/>
          <w:lang w:bidi="ar-EG"/>
        </w:rPr>
        <w:t>Coll</w:t>
      </w:r>
      <w:proofErr w:type="spellEnd"/>
      <w:r w:rsidRPr="00643B68">
        <w:rPr>
          <w:sz w:val="20"/>
          <w:szCs w:val="20"/>
          <w:lang w:bidi="ar-EG"/>
        </w:rPr>
        <w:t xml:space="preserve"> </w:t>
      </w:r>
      <w:proofErr w:type="spellStart"/>
      <w:r w:rsidRPr="00643B68">
        <w:rPr>
          <w:sz w:val="20"/>
          <w:szCs w:val="20"/>
          <w:lang w:bidi="ar-EG"/>
        </w:rPr>
        <w:t>Antropol</w:t>
      </w:r>
      <w:proofErr w:type="spellEnd"/>
      <w:r w:rsidRPr="00643B68">
        <w:rPr>
          <w:sz w:val="20"/>
          <w:szCs w:val="20"/>
          <w:lang w:bidi="ar-EG"/>
        </w:rPr>
        <w:t xml:space="preserve"> 2013;37:1209-22</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Samardzić</w:t>
      </w:r>
      <w:proofErr w:type="spellEnd"/>
      <w:r w:rsidRPr="00643B68">
        <w:rPr>
          <w:bCs/>
          <w:sz w:val="20"/>
          <w:szCs w:val="20"/>
          <w:lang w:bidi="ar-EG"/>
        </w:rPr>
        <w:t xml:space="preserve"> S, </w:t>
      </w:r>
      <w:proofErr w:type="spellStart"/>
      <w:r w:rsidRPr="00643B68">
        <w:rPr>
          <w:bCs/>
          <w:sz w:val="20"/>
          <w:szCs w:val="20"/>
          <w:lang w:bidi="ar-EG"/>
        </w:rPr>
        <w:t>Mihaljević</w:t>
      </w:r>
      <w:proofErr w:type="spellEnd"/>
      <w:r w:rsidRPr="00643B68">
        <w:rPr>
          <w:bCs/>
          <w:sz w:val="20"/>
          <w:szCs w:val="20"/>
          <w:lang w:bidi="ar-EG"/>
        </w:rPr>
        <w:t xml:space="preserve"> S, </w:t>
      </w:r>
      <w:proofErr w:type="spellStart"/>
      <w:r w:rsidRPr="00643B68">
        <w:rPr>
          <w:bCs/>
          <w:sz w:val="20"/>
          <w:szCs w:val="20"/>
          <w:lang w:bidi="ar-EG"/>
        </w:rPr>
        <w:t>Dmitrović</w:t>
      </w:r>
      <w:proofErr w:type="spellEnd"/>
      <w:r w:rsidRPr="00643B68">
        <w:rPr>
          <w:bCs/>
          <w:sz w:val="20"/>
          <w:szCs w:val="20"/>
          <w:lang w:bidi="ar-EG"/>
        </w:rPr>
        <w:t xml:space="preserve"> B, </w:t>
      </w:r>
      <w:r w:rsidRPr="00643B68">
        <w:rPr>
          <w:bCs/>
          <w:i/>
          <w:iCs/>
          <w:sz w:val="20"/>
          <w:szCs w:val="20"/>
          <w:lang w:bidi="ar-EG"/>
        </w:rPr>
        <w:t>et al</w:t>
      </w:r>
      <w:r w:rsidRPr="00643B68">
        <w:rPr>
          <w:i/>
          <w:iCs/>
          <w:sz w:val="20"/>
          <w:szCs w:val="20"/>
          <w:lang w:bidi="ar-EG"/>
        </w:rPr>
        <w:t>.</w:t>
      </w:r>
      <w:r w:rsidRPr="00643B68">
        <w:rPr>
          <w:sz w:val="20"/>
          <w:szCs w:val="20"/>
          <w:lang w:bidi="ar-EG"/>
        </w:rPr>
        <w:t xml:space="preserve"> First six years of implementing colorectal cancer screening in the Osijek-</w:t>
      </w:r>
      <w:proofErr w:type="spellStart"/>
      <w:r w:rsidRPr="00643B68">
        <w:rPr>
          <w:sz w:val="20"/>
          <w:szCs w:val="20"/>
          <w:lang w:bidi="ar-EG"/>
        </w:rPr>
        <w:t>Baranja</w:t>
      </w:r>
      <w:proofErr w:type="spellEnd"/>
      <w:r w:rsidRPr="00643B68">
        <w:rPr>
          <w:sz w:val="20"/>
          <w:szCs w:val="20"/>
          <w:lang w:bidi="ar-EG"/>
        </w:rPr>
        <w:t xml:space="preserve"> County, Croatia--can we do better? </w:t>
      </w:r>
      <w:proofErr w:type="spellStart"/>
      <w:r w:rsidRPr="00643B68">
        <w:rPr>
          <w:sz w:val="20"/>
          <w:szCs w:val="20"/>
          <w:lang w:bidi="ar-EG"/>
        </w:rPr>
        <w:t>Coll</w:t>
      </w:r>
      <w:proofErr w:type="spellEnd"/>
      <w:r w:rsidRPr="00643B68">
        <w:rPr>
          <w:sz w:val="20"/>
          <w:szCs w:val="20"/>
          <w:lang w:bidi="ar-EG"/>
        </w:rPr>
        <w:t xml:space="preserve"> </w:t>
      </w:r>
      <w:proofErr w:type="spellStart"/>
      <w:r w:rsidRPr="00643B68">
        <w:rPr>
          <w:sz w:val="20"/>
          <w:szCs w:val="20"/>
          <w:lang w:bidi="ar-EG"/>
        </w:rPr>
        <w:t>Antropol</w:t>
      </w:r>
      <w:proofErr w:type="spellEnd"/>
      <w:r w:rsidRPr="00643B68">
        <w:rPr>
          <w:sz w:val="20"/>
          <w:szCs w:val="20"/>
          <w:lang w:bidi="ar-EG"/>
        </w:rPr>
        <w:t xml:space="preserve"> 2013</w:t>
      </w:r>
      <w:proofErr w:type="gramStart"/>
      <w:r w:rsidRPr="00643B68">
        <w:rPr>
          <w:sz w:val="20"/>
          <w:szCs w:val="20"/>
          <w:lang w:bidi="ar-EG"/>
        </w:rPr>
        <w:t>;37:913</w:t>
      </w:r>
      <w:proofErr w:type="gramEnd"/>
      <w:r w:rsidRPr="00643B68">
        <w:rPr>
          <w:sz w:val="20"/>
          <w:szCs w:val="20"/>
          <w:lang w:bidi="ar-EG"/>
        </w:rPr>
        <w:t>-8.</w:t>
      </w:r>
    </w:p>
    <w:p w:rsidR="00085C1E" w:rsidRPr="00643B68" w:rsidRDefault="00085C1E" w:rsidP="00643B68">
      <w:pPr>
        <w:numPr>
          <w:ilvl w:val="0"/>
          <w:numId w:val="4"/>
        </w:numPr>
        <w:autoSpaceDE w:val="0"/>
        <w:autoSpaceDN w:val="0"/>
        <w:bidi w:val="0"/>
        <w:adjustRightInd w:val="0"/>
        <w:ind w:left="425" w:hanging="425"/>
        <w:jc w:val="both"/>
        <w:rPr>
          <w:rFonts w:ascii="JansonTextLT-Roman" w:hAnsi="JansonTextLT-Roman" w:cs="JansonTextLT-Roman"/>
          <w:sz w:val="20"/>
          <w:szCs w:val="20"/>
        </w:rPr>
      </w:pPr>
      <w:proofErr w:type="spellStart"/>
      <w:r w:rsidRPr="00643B68">
        <w:rPr>
          <w:rFonts w:ascii="JansonTextLT-Roman" w:hAnsi="JansonTextLT-Roman" w:cs="JansonTextLT-Roman"/>
          <w:bCs/>
          <w:sz w:val="20"/>
          <w:szCs w:val="20"/>
        </w:rPr>
        <w:t>Moertel</w:t>
      </w:r>
      <w:proofErr w:type="spellEnd"/>
      <w:r w:rsidRPr="00643B68">
        <w:rPr>
          <w:rFonts w:ascii="JansonTextLT-Roman" w:hAnsi="JansonTextLT-Roman" w:cs="JansonTextLT-Roman"/>
          <w:bCs/>
          <w:sz w:val="20"/>
          <w:szCs w:val="20"/>
        </w:rPr>
        <w:t xml:space="preserve"> CG, Fleming TR, Macdonald JS, et al</w:t>
      </w:r>
      <w:r w:rsidRPr="00643B68">
        <w:rPr>
          <w:rFonts w:ascii="JansonTextLT-Roman" w:hAnsi="JansonTextLT-Roman" w:cs="JansonTextLT-Roman"/>
          <w:sz w:val="20"/>
          <w:szCs w:val="20"/>
        </w:rPr>
        <w:t xml:space="preserve">. Fluorouracil plus </w:t>
      </w:r>
      <w:proofErr w:type="spellStart"/>
      <w:r w:rsidRPr="00643B68">
        <w:rPr>
          <w:rFonts w:ascii="JansonTextLT-Roman" w:hAnsi="JansonTextLT-Roman" w:cs="JansonTextLT-Roman"/>
          <w:sz w:val="20"/>
          <w:szCs w:val="20"/>
        </w:rPr>
        <w:t>levamisole</w:t>
      </w:r>
      <w:proofErr w:type="spellEnd"/>
      <w:r w:rsidRPr="00643B68">
        <w:rPr>
          <w:rFonts w:ascii="JansonTextLT-Roman" w:hAnsi="JansonTextLT-Roman" w:cs="JansonTextLT-Roman"/>
          <w:sz w:val="20"/>
          <w:szCs w:val="20"/>
        </w:rPr>
        <w:t xml:space="preserve"> as effective adjuvant therapy after resection of stage III colon carcinoma: a final report. Ann Intern Med 1995</w:t>
      </w:r>
      <w:proofErr w:type="gramStart"/>
      <w:r w:rsidRPr="00643B68">
        <w:rPr>
          <w:rFonts w:ascii="JansonTextLT-Roman" w:hAnsi="JansonTextLT-Roman" w:cs="JansonTextLT-Roman"/>
          <w:sz w:val="20"/>
          <w:szCs w:val="20"/>
        </w:rPr>
        <w:t>;122:321</w:t>
      </w:r>
      <w:proofErr w:type="gramEnd"/>
      <w:r w:rsidRPr="00643B68">
        <w:rPr>
          <w:rFonts w:ascii="JansonTextLT-Roman" w:hAnsi="JansonTextLT-Roman" w:cs="JansonTextLT-Roman"/>
          <w:sz w:val="20"/>
          <w:szCs w:val="20"/>
        </w:rPr>
        <w:t>-6.</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Doko</w:t>
      </w:r>
      <w:proofErr w:type="spellEnd"/>
      <w:r w:rsidRPr="00643B68">
        <w:rPr>
          <w:bCs/>
          <w:sz w:val="20"/>
          <w:szCs w:val="20"/>
          <w:lang w:bidi="ar-EG"/>
        </w:rPr>
        <w:t xml:space="preserve"> M, </w:t>
      </w:r>
      <w:proofErr w:type="spellStart"/>
      <w:r w:rsidRPr="00643B68">
        <w:rPr>
          <w:bCs/>
          <w:sz w:val="20"/>
          <w:szCs w:val="20"/>
          <w:lang w:bidi="ar-EG"/>
        </w:rPr>
        <w:t>Zovak</w:t>
      </w:r>
      <w:proofErr w:type="spellEnd"/>
      <w:r w:rsidRPr="00643B68">
        <w:rPr>
          <w:bCs/>
          <w:sz w:val="20"/>
          <w:szCs w:val="20"/>
          <w:lang w:bidi="ar-EG"/>
        </w:rPr>
        <w:t xml:space="preserve"> M, </w:t>
      </w:r>
      <w:proofErr w:type="spellStart"/>
      <w:r w:rsidRPr="00643B68">
        <w:rPr>
          <w:bCs/>
          <w:sz w:val="20"/>
          <w:szCs w:val="20"/>
          <w:lang w:bidi="ar-EG"/>
        </w:rPr>
        <w:t>Ledinsky</w:t>
      </w:r>
      <w:proofErr w:type="spellEnd"/>
      <w:r w:rsidRPr="00643B68">
        <w:rPr>
          <w:bCs/>
          <w:sz w:val="20"/>
          <w:szCs w:val="20"/>
          <w:lang w:bidi="ar-EG"/>
        </w:rPr>
        <w:t xml:space="preserve"> M, </w:t>
      </w:r>
      <w:r w:rsidRPr="00643B68">
        <w:rPr>
          <w:bCs/>
          <w:i/>
          <w:iCs/>
          <w:sz w:val="20"/>
          <w:szCs w:val="20"/>
          <w:lang w:bidi="ar-EG"/>
        </w:rPr>
        <w:t>et al</w:t>
      </w:r>
      <w:r w:rsidRPr="00643B68">
        <w:rPr>
          <w:i/>
          <w:iCs/>
          <w:sz w:val="20"/>
          <w:szCs w:val="20"/>
          <w:lang w:bidi="ar-EG"/>
        </w:rPr>
        <w:t>.</w:t>
      </w:r>
      <w:r w:rsidRPr="00643B68">
        <w:rPr>
          <w:sz w:val="20"/>
          <w:szCs w:val="20"/>
          <w:lang w:bidi="ar-EG"/>
        </w:rPr>
        <w:t xml:space="preserve"> Safety of simultaneous resections of colorectal cancer and liver metastases. </w:t>
      </w:r>
      <w:proofErr w:type="spellStart"/>
      <w:r w:rsidRPr="00643B68">
        <w:rPr>
          <w:sz w:val="20"/>
          <w:szCs w:val="20"/>
          <w:lang w:bidi="ar-EG"/>
        </w:rPr>
        <w:t>Coll</w:t>
      </w:r>
      <w:proofErr w:type="spellEnd"/>
      <w:r w:rsidRPr="00643B68">
        <w:rPr>
          <w:sz w:val="20"/>
          <w:szCs w:val="20"/>
          <w:lang w:bidi="ar-EG"/>
        </w:rPr>
        <w:t xml:space="preserve"> </w:t>
      </w:r>
      <w:proofErr w:type="spellStart"/>
      <w:r w:rsidRPr="00643B68">
        <w:rPr>
          <w:sz w:val="20"/>
          <w:szCs w:val="20"/>
          <w:lang w:bidi="ar-EG"/>
        </w:rPr>
        <w:t>Antropol</w:t>
      </w:r>
      <w:proofErr w:type="spellEnd"/>
      <w:r w:rsidRPr="00643B68">
        <w:rPr>
          <w:sz w:val="20"/>
          <w:szCs w:val="20"/>
          <w:lang w:bidi="ar-EG"/>
        </w:rPr>
        <w:t xml:space="preserve"> 2000;24:381-90</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Kopljar</w:t>
      </w:r>
      <w:proofErr w:type="spellEnd"/>
      <w:r w:rsidRPr="00643B68">
        <w:rPr>
          <w:bCs/>
          <w:sz w:val="20"/>
          <w:szCs w:val="20"/>
          <w:lang w:bidi="ar-EG"/>
        </w:rPr>
        <w:t xml:space="preserve"> M, </w:t>
      </w:r>
      <w:proofErr w:type="spellStart"/>
      <w:r w:rsidRPr="00643B68">
        <w:rPr>
          <w:bCs/>
          <w:sz w:val="20"/>
          <w:szCs w:val="20"/>
          <w:lang w:bidi="ar-EG"/>
        </w:rPr>
        <w:t>Brkljacic</w:t>
      </w:r>
      <w:proofErr w:type="spellEnd"/>
      <w:r w:rsidRPr="00643B68">
        <w:rPr>
          <w:bCs/>
          <w:sz w:val="20"/>
          <w:szCs w:val="20"/>
          <w:lang w:bidi="ar-EG"/>
        </w:rPr>
        <w:t xml:space="preserve"> B, </w:t>
      </w:r>
      <w:proofErr w:type="spellStart"/>
      <w:r w:rsidRPr="00643B68">
        <w:rPr>
          <w:bCs/>
          <w:sz w:val="20"/>
          <w:szCs w:val="20"/>
          <w:lang w:bidi="ar-EG"/>
        </w:rPr>
        <w:t>Doko</w:t>
      </w:r>
      <w:proofErr w:type="spellEnd"/>
      <w:r w:rsidRPr="00643B68">
        <w:rPr>
          <w:bCs/>
          <w:sz w:val="20"/>
          <w:szCs w:val="20"/>
          <w:lang w:bidi="ar-EG"/>
        </w:rPr>
        <w:t xml:space="preserve"> M, </w:t>
      </w:r>
      <w:r w:rsidRPr="00643B68">
        <w:rPr>
          <w:bCs/>
          <w:i/>
          <w:iCs/>
          <w:sz w:val="20"/>
          <w:szCs w:val="20"/>
          <w:lang w:bidi="ar-EG"/>
        </w:rPr>
        <w:t>et al</w:t>
      </w:r>
      <w:r w:rsidRPr="00643B68">
        <w:rPr>
          <w:i/>
          <w:iCs/>
          <w:sz w:val="20"/>
          <w:szCs w:val="20"/>
          <w:lang w:bidi="ar-EG"/>
        </w:rPr>
        <w:t>.</w:t>
      </w:r>
      <w:r w:rsidRPr="00643B68">
        <w:rPr>
          <w:sz w:val="20"/>
          <w:szCs w:val="20"/>
          <w:lang w:bidi="ar-EG"/>
        </w:rPr>
        <w:t xml:space="preserve"> Nature of Doppler perfusion index </w:t>
      </w:r>
      <w:proofErr w:type="gramStart"/>
      <w:r w:rsidRPr="00643B68">
        <w:rPr>
          <w:sz w:val="20"/>
          <w:szCs w:val="20"/>
          <w:lang w:bidi="ar-EG"/>
        </w:rPr>
        <w:t>changes</w:t>
      </w:r>
      <w:r w:rsidR="00312B46">
        <w:rPr>
          <w:sz w:val="20"/>
          <w:szCs w:val="20"/>
          <w:lang w:bidi="ar-EG"/>
        </w:rPr>
        <w:t xml:space="preserve">  </w:t>
      </w:r>
      <w:r w:rsidRPr="00643B68">
        <w:rPr>
          <w:sz w:val="20"/>
          <w:szCs w:val="20"/>
          <w:lang w:bidi="ar-EG"/>
        </w:rPr>
        <w:t>in</w:t>
      </w:r>
      <w:proofErr w:type="gramEnd"/>
      <w:r w:rsidRPr="00643B68">
        <w:rPr>
          <w:sz w:val="20"/>
          <w:szCs w:val="20"/>
          <w:lang w:bidi="ar-EG"/>
        </w:rPr>
        <w:t xml:space="preserve"> patients with colorectal cancer liver metastases. J Ultrasound Med 2004</w:t>
      </w:r>
      <w:proofErr w:type="gramStart"/>
      <w:r w:rsidRPr="00643B68">
        <w:rPr>
          <w:sz w:val="20"/>
          <w:szCs w:val="20"/>
          <w:lang w:bidi="ar-EG"/>
        </w:rPr>
        <w:t>;23:1295</w:t>
      </w:r>
      <w:proofErr w:type="gramEnd"/>
      <w:r w:rsidRPr="00643B68">
        <w:rPr>
          <w:sz w:val="20"/>
          <w:szCs w:val="20"/>
          <w:lang w:bidi="ar-EG"/>
        </w:rPr>
        <w:t>-300</w:t>
      </w:r>
      <w:r w:rsidR="00312B46">
        <w:rPr>
          <w:rFonts w:hint="eastAsia"/>
          <w:sz w:val="20"/>
          <w:szCs w:val="20"/>
          <w:lang w:eastAsia="zh-CN" w:bidi="ar-EG"/>
        </w:rPr>
        <w:t>.</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val="es-ES" w:bidi="ar-EG"/>
        </w:rPr>
      </w:pPr>
      <w:proofErr w:type="spellStart"/>
      <w:r w:rsidRPr="00643B68">
        <w:rPr>
          <w:bCs/>
          <w:sz w:val="20"/>
          <w:szCs w:val="20"/>
          <w:lang w:bidi="ar-EG"/>
        </w:rPr>
        <w:t>Totman</w:t>
      </w:r>
      <w:proofErr w:type="spellEnd"/>
      <w:r w:rsidRPr="00643B68">
        <w:rPr>
          <w:bCs/>
          <w:sz w:val="20"/>
          <w:szCs w:val="20"/>
          <w:lang w:bidi="ar-EG"/>
        </w:rPr>
        <w:t xml:space="preserve"> JJ, O’Gorman, Kane PA </w:t>
      </w:r>
      <w:r w:rsidRPr="00643B68">
        <w:rPr>
          <w:bCs/>
          <w:i/>
          <w:iCs/>
          <w:sz w:val="20"/>
          <w:szCs w:val="20"/>
          <w:lang w:bidi="ar-EG"/>
        </w:rPr>
        <w:t>et al</w:t>
      </w:r>
      <w:r w:rsidRPr="00643B68">
        <w:rPr>
          <w:i/>
          <w:iCs/>
          <w:sz w:val="20"/>
          <w:szCs w:val="20"/>
          <w:lang w:bidi="ar-EG"/>
        </w:rPr>
        <w:t>.</w:t>
      </w:r>
      <w:r w:rsidRPr="00643B68">
        <w:rPr>
          <w:sz w:val="20"/>
          <w:szCs w:val="20"/>
          <w:lang w:bidi="ar-EG"/>
        </w:rPr>
        <w:t xml:space="preserve"> Comparison of the hepatic perfusion index measured with </w:t>
      </w:r>
      <w:proofErr w:type="spellStart"/>
      <w:r w:rsidRPr="00643B68">
        <w:rPr>
          <w:sz w:val="20"/>
          <w:szCs w:val="20"/>
          <w:lang w:bidi="ar-EG"/>
        </w:rPr>
        <w:t>gadolinum</w:t>
      </w:r>
      <w:proofErr w:type="spellEnd"/>
      <w:r w:rsidRPr="00643B68">
        <w:rPr>
          <w:sz w:val="20"/>
          <w:szCs w:val="20"/>
          <w:lang w:bidi="ar-EG"/>
        </w:rPr>
        <w:t xml:space="preserve">-enhanced volumetric MRI in controls and in patients with colorectal cancer. </w:t>
      </w:r>
      <w:proofErr w:type="spellStart"/>
      <w:r w:rsidRPr="00643B68">
        <w:rPr>
          <w:sz w:val="20"/>
          <w:szCs w:val="20"/>
          <w:lang w:val="es-ES" w:bidi="ar-EG"/>
        </w:rPr>
        <w:t>Br.</w:t>
      </w:r>
      <w:proofErr w:type="spellEnd"/>
      <w:r w:rsidRPr="00643B68">
        <w:rPr>
          <w:sz w:val="20"/>
          <w:szCs w:val="20"/>
          <w:lang w:val="es-ES" w:bidi="ar-EG"/>
        </w:rPr>
        <w:t xml:space="preserve"> J. </w:t>
      </w:r>
      <w:proofErr w:type="spellStart"/>
      <w:r w:rsidRPr="00643B68">
        <w:rPr>
          <w:sz w:val="20"/>
          <w:szCs w:val="20"/>
          <w:lang w:val="es-ES" w:bidi="ar-EG"/>
        </w:rPr>
        <w:t>Rodiol</w:t>
      </w:r>
      <w:proofErr w:type="spellEnd"/>
      <w:r w:rsidRPr="00643B68">
        <w:rPr>
          <w:sz w:val="20"/>
          <w:szCs w:val="20"/>
          <w:lang w:val="es-ES" w:bidi="ar-EG"/>
        </w:rPr>
        <w:t xml:space="preserve"> 2005: 78, 105-109.</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r w:rsidRPr="00643B68">
        <w:rPr>
          <w:bCs/>
          <w:sz w:val="20"/>
          <w:szCs w:val="20"/>
          <w:lang w:val="es-ES" w:bidi="ar-EG"/>
        </w:rPr>
        <w:t xml:space="preserve">Leen E, </w:t>
      </w:r>
      <w:proofErr w:type="spellStart"/>
      <w:r w:rsidRPr="00643B68">
        <w:rPr>
          <w:bCs/>
          <w:sz w:val="20"/>
          <w:szCs w:val="20"/>
          <w:lang w:val="es-ES" w:bidi="ar-EG"/>
        </w:rPr>
        <w:t>Goldberg</w:t>
      </w:r>
      <w:proofErr w:type="spellEnd"/>
      <w:r w:rsidRPr="00643B68">
        <w:rPr>
          <w:bCs/>
          <w:sz w:val="20"/>
          <w:szCs w:val="20"/>
          <w:lang w:val="es-ES" w:bidi="ar-EG"/>
        </w:rPr>
        <w:t xml:space="preserve"> JA, </w:t>
      </w:r>
      <w:proofErr w:type="spellStart"/>
      <w:r w:rsidRPr="00643B68">
        <w:rPr>
          <w:bCs/>
          <w:sz w:val="20"/>
          <w:szCs w:val="20"/>
          <w:lang w:val="es-ES" w:bidi="ar-EG"/>
        </w:rPr>
        <w:t>Angerson</w:t>
      </w:r>
      <w:proofErr w:type="spellEnd"/>
      <w:r w:rsidRPr="00643B68">
        <w:rPr>
          <w:bCs/>
          <w:sz w:val="20"/>
          <w:szCs w:val="20"/>
          <w:lang w:val="es-ES" w:bidi="ar-EG"/>
        </w:rPr>
        <w:t xml:space="preserve"> WJ, </w:t>
      </w:r>
      <w:r w:rsidRPr="00643B68">
        <w:rPr>
          <w:bCs/>
          <w:i/>
          <w:iCs/>
          <w:sz w:val="20"/>
          <w:szCs w:val="20"/>
          <w:lang w:val="es-ES" w:bidi="ar-EG"/>
        </w:rPr>
        <w:t>et al</w:t>
      </w:r>
      <w:r w:rsidRPr="00643B68">
        <w:rPr>
          <w:i/>
          <w:iCs/>
          <w:sz w:val="20"/>
          <w:szCs w:val="20"/>
          <w:lang w:val="es-ES" w:bidi="ar-EG"/>
        </w:rPr>
        <w:t>.</w:t>
      </w:r>
      <w:r w:rsidRPr="00643B68">
        <w:rPr>
          <w:sz w:val="20"/>
          <w:szCs w:val="20"/>
          <w:lang w:val="es-ES" w:bidi="ar-EG"/>
        </w:rPr>
        <w:t xml:space="preserve"> </w:t>
      </w:r>
      <w:r w:rsidRPr="00643B68">
        <w:rPr>
          <w:sz w:val="20"/>
          <w:szCs w:val="20"/>
          <w:lang w:bidi="ar-EG"/>
        </w:rPr>
        <w:t xml:space="preserve">Potential role of </w:t>
      </w:r>
      <w:proofErr w:type="spellStart"/>
      <w:proofErr w:type="gramStart"/>
      <w:r w:rsidRPr="00643B68">
        <w:rPr>
          <w:sz w:val="20"/>
          <w:szCs w:val="20"/>
          <w:lang w:bidi="ar-EG"/>
        </w:rPr>
        <w:t>doppler</w:t>
      </w:r>
      <w:proofErr w:type="spellEnd"/>
      <w:proofErr w:type="gramEnd"/>
      <w:r w:rsidRPr="00643B68">
        <w:rPr>
          <w:sz w:val="20"/>
          <w:szCs w:val="20"/>
          <w:lang w:bidi="ar-EG"/>
        </w:rPr>
        <w:t xml:space="preserve"> perfusion index in </w:t>
      </w:r>
      <w:r w:rsidRPr="00643B68">
        <w:rPr>
          <w:sz w:val="20"/>
          <w:szCs w:val="20"/>
          <w:lang w:bidi="ar-EG"/>
        </w:rPr>
        <w:lastRenderedPageBreak/>
        <w:t xml:space="preserve">selection of patients with colorectal cancer for adjuvant chemotherapy. Lancet 2000; 355:34-7. </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Akhurst</w:t>
      </w:r>
      <w:proofErr w:type="spellEnd"/>
      <w:r w:rsidRPr="00643B68">
        <w:rPr>
          <w:bCs/>
          <w:sz w:val="20"/>
          <w:szCs w:val="20"/>
          <w:lang w:bidi="ar-EG"/>
        </w:rPr>
        <w:t xml:space="preserve"> T, </w:t>
      </w:r>
      <w:proofErr w:type="spellStart"/>
      <w:r w:rsidRPr="00643B68">
        <w:rPr>
          <w:bCs/>
          <w:sz w:val="20"/>
          <w:szCs w:val="20"/>
          <w:lang w:bidi="ar-EG"/>
        </w:rPr>
        <w:t>Kates</w:t>
      </w:r>
      <w:proofErr w:type="spellEnd"/>
      <w:r w:rsidRPr="00643B68">
        <w:rPr>
          <w:bCs/>
          <w:sz w:val="20"/>
          <w:szCs w:val="20"/>
          <w:lang w:bidi="ar-EG"/>
        </w:rPr>
        <w:t xml:space="preserve"> TJ, </w:t>
      </w:r>
      <w:proofErr w:type="spellStart"/>
      <w:r w:rsidRPr="00643B68">
        <w:rPr>
          <w:bCs/>
          <w:sz w:val="20"/>
          <w:szCs w:val="20"/>
          <w:lang w:bidi="ar-EG"/>
        </w:rPr>
        <w:t>Mazumdar</w:t>
      </w:r>
      <w:proofErr w:type="spellEnd"/>
      <w:r w:rsidRPr="00643B68">
        <w:rPr>
          <w:bCs/>
          <w:sz w:val="20"/>
          <w:szCs w:val="20"/>
          <w:lang w:bidi="ar-EG"/>
        </w:rPr>
        <w:t xml:space="preserve"> M, </w:t>
      </w:r>
      <w:r w:rsidRPr="00643B68">
        <w:rPr>
          <w:bCs/>
          <w:i/>
          <w:iCs/>
          <w:sz w:val="20"/>
          <w:szCs w:val="20"/>
          <w:lang w:bidi="ar-EG"/>
        </w:rPr>
        <w:t>et al</w:t>
      </w:r>
      <w:r w:rsidRPr="00643B68">
        <w:rPr>
          <w:i/>
          <w:iCs/>
          <w:sz w:val="20"/>
          <w:szCs w:val="20"/>
          <w:lang w:bidi="ar-EG"/>
        </w:rPr>
        <w:t>.</w:t>
      </w:r>
      <w:r w:rsidRPr="00643B68">
        <w:rPr>
          <w:sz w:val="20"/>
          <w:szCs w:val="20"/>
          <w:lang w:bidi="ar-EG"/>
        </w:rPr>
        <w:t xml:space="preserve"> Recent chemotherapy reduces the sensitivity of [18F</w:t>
      </w:r>
      <w:proofErr w:type="gramStart"/>
      <w:r w:rsidRPr="00643B68">
        <w:rPr>
          <w:sz w:val="20"/>
          <w:szCs w:val="20"/>
          <w:lang w:bidi="ar-EG"/>
        </w:rPr>
        <w:t>]</w:t>
      </w:r>
      <w:proofErr w:type="spellStart"/>
      <w:r w:rsidRPr="00643B68">
        <w:rPr>
          <w:sz w:val="20"/>
          <w:szCs w:val="20"/>
          <w:lang w:bidi="ar-EG"/>
        </w:rPr>
        <w:t>fluorodeoxyglucose</w:t>
      </w:r>
      <w:proofErr w:type="spellEnd"/>
      <w:proofErr w:type="gramEnd"/>
      <w:r w:rsidRPr="00643B68">
        <w:rPr>
          <w:sz w:val="20"/>
          <w:szCs w:val="20"/>
          <w:lang w:bidi="ar-EG"/>
        </w:rPr>
        <w:t xml:space="preserve"> positron emission tomography in the detection of colorectal metastases. J </w:t>
      </w:r>
      <w:proofErr w:type="spellStart"/>
      <w:r w:rsidRPr="00643B68">
        <w:rPr>
          <w:sz w:val="20"/>
          <w:szCs w:val="20"/>
          <w:lang w:bidi="ar-EG"/>
        </w:rPr>
        <w:t>Clin</w:t>
      </w:r>
      <w:proofErr w:type="spellEnd"/>
      <w:r w:rsidRPr="00643B68">
        <w:rPr>
          <w:sz w:val="20"/>
          <w:szCs w:val="20"/>
          <w:lang w:bidi="ar-EG"/>
        </w:rPr>
        <w:t xml:space="preserve"> </w:t>
      </w:r>
      <w:proofErr w:type="spellStart"/>
      <w:r w:rsidRPr="00643B68">
        <w:rPr>
          <w:sz w:val="20"/>
          <w:szCs w:val="20"/>
          <w:lang w:bidi="ar-EG"/>
        </w:rPr>
        <w:t>Oncol</w:t>
      </w:r>
      <w:proofErr w:type="spellEnd"/>
      <w:r w:rsidRPr="00643B68">
        <w:rPr>
          <w:sz w:val="20"/>
          <w:szCs w:val="20"/>
          <w:lang w:bidi="ar-EG"/>
        </w:rPr>
        <w:t xml:space="preserve"> 2005; 23:8713-6</w:t>
      </w:r>
      <w:r w:rsidR="00312B46">
        <w:rPr>
          <w:rFonts w:hint="eastAsia"/>
          <w:sz w:val="20"/>
          <w:szCs w:val="20"/>
          <w:lang w:eastAsia="zh-CN" w:bidi="ar-EG"/>
        </w:rPr>
        <w:t>.</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r w:rsidRPr="00643B68">
        <w:rPr>
          <w:bCs/>
          <w:sz w:val="20"/>
          <w:szCs w:val="20"/>
          <w:lang w:bidi="ar-EG"/>
        </w:rPr>
        <w:t xml:space="preserve">Harvey C and </w:t>
      </w:r>
      <w:proofErr w:type="spellStart"/>
      <w:r w:rsidRPr="00643B68">
        <w:rPr>
          <w:bCs/>
          <w:sz w:val="20"/>
          <w:szCs w:val="20"/>
          <w:lang w:bidi="ar-EG"/>
        </w:rPr>
        <w:t>Biomley</w:t>
      </w:r>
      <w:proofErr w:type="spellEnd"/>
      <w:r w:rsidRPr="00643B68">
        <w:rPr>
          <w:bCs/>
          <w:sz w:val="20"/>
          <w:szCs w:val="20"/>
          <w:lang w:bidi="ar-EG"/>
        </w:rPr>
        <w:t xml:space="preserve"> M.</w:t>
      </w:r>
      <w:r w:rsidRPr="00643B68">
        <w:rPr>
          <w:sz w:val="20"/>
          <w:szCs w:val="20"/>
          <w:lang w:bidi="ar-EG"/>
        </w:rPr>
        <w:t xml:space="preserve"> Imaging investigation of liver </w:t>
      </w:r>
      <w:proofErr w:type="spellStart"/>
      <w:r w:rsidRPr="00643B68">
        <w:rPr>
          <w:sz w:val="20"/>
          <w:szCs w:val="20"/>
          <w:lang w:bidi="ar-EG"/>
        </w:rPr>
        <w:t>haemodynamics</w:t>
      </w:r>
      <w:proofErr w:type="spellEnd"/>
      <w:r w:rsidRPr="00643B68">
        <w:rPr>
          <w:sz w:val="20"/>
          <w:szCs w:val="20"/>
          <w:lang w:bidi="ar-EG"/>
        </w:rPr>
        <w:t xml:space="preserve"> in patients at risk for hepatic metastatic disease. Br. J. </w:t>
      </w:r>
      <w:proofErr w:type="spellStart"/>
      <w:r w:rsidRPr="00643B68">
        <w:rPr>
          <w:sz w:val="20"/>
          <w:szCs w:val="20"/>
          <w:lang w:bidi="ar-EG"/>
        </w:rPr>
        <w:t>Radiol</w:t>
      </w:r>
      <w:proofErr w:type="spellEnd"/>
      <w:r w:rsidRPr="00643B68">
        <w:rPr>
          <w:sz w:val="20"/>
          <w:szCs w:val="20"/>
          <w:lang w:bidi="ar-EG"/>
        </w:rPr>
        <w:t>., February 1, 2005; 78 (926): 103-104.</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Parkin</w:t>
      </w:r>
      <w:proofErr w:type="spellEnd"/>
      <w:r w:rsidRPr="00643B68">
        <w:rPr>
          <w:bCs/>
          <w:sz w:val="20"/>
          <w:szCs w:val="20"/>
          <w:lang w:bidi="ar-EG"/>
        </w:rPr>
        <w:t xml:space="preserve"> A, Goldstone KE and Robinson PJ.</w:t>
      </w:r>
      <w:r w:rsidRPr="00643B68">
        <w:rPr>
          <w:sz w:val="20"/>
          <w:szCs w:val="20"/>
          <w:lang w:bidi="ar-EG"/>
        </w:rPr>
        <w:t xml:space="preserve"> Hepatic perfusion index measured using MRI and </w:t>
      </w:r>
      <w:proofErr w:type="spellStart"/>
      <w:r w:rsidRPr="00643B68">
        <w:rPr>
          <w:sz w:val="20"/>
          <w:szCs w:val="20"/>
          <w:lang w:bidi="ar-EG"/>
        </w:rPr>
        <w:t>scintigraphy</w:t>
      </w:r>
      <w:proofErr w:type="spellEnd"/>
      <w:r w:rsidRPr="00643B68">
        <w:rPr>
          <w:sz w:val="20"/>
          <w:szCs w:val="20"/>
          <w:lang w:bidi="ar-EG"/>
        </w:rPr>
        <w:t xml:space="preserve"> Br. J. </w:t>
      </w:r>
      <w:proofErr w:type="spellStart"/>
      <w:r w:rsidRPr="00643B68">
        <w:rPr>
          <w:sz w:val="20"/>
          <w:szCs w:val="20"/>
          <w:lang w:bidi="ar-EG"/>
        </w:rPr>
        <w:t>Radiol</w:t>
      </w:r>
      <w:proofErr w:type="spellEnd"/>
      <w:r w:rsidRPr="00643B68">
        <w:rPr>
          <w:sz w:val="20"/>
          <w:szCs w:val="20"/>
          <w:lang w:bidi="ar-EG"/>
        </w:rPr>
        <w:t xml:space="preserve">., December 1, 2005; 78 (936): 1118-1118. </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r w:rsidRPr="00643B68">
        <w:rPr>
          <w:bCs/>
          <w:sz w:val="20"/>
          <w:szCs w:val="20"/>
          <w:lang w:bidi="ar-EG"/>
        </w:rPr>
        <w:t xml:space="preserve">White MJ, O’Gorman RL, Charles-Edwards EM, </w:t>
      </w:r>
      <w:r w:rsidRPr="00643B68">
        <w:rPr>
          <w:bCs/>
          <w:i/>
          <w:iCs/>
          <w:sz w:val="20"/>
          <w:szCs w:val="20"/>
          <w:lang w:bidi="ar-EG"/>
        </w:rPr>
        <w:t>et al</w:t>
      </w:r>
      <w:r w:rsidRPr="00643B68">
        <w:rPr>
          <w:i/>
          <w:iCs/>
          <w:sz w:val="20"/>
          <w:szCs w:val="20"/>
          <w:lang w:bidi="ar-EG"/>
        </w:rPr>
        <w:t>.</w:t>
      </w:r>
      <w:r w:rsidRPr="00643B68">
        <w:rPr>
          <w:sz w:val="20"/>
          <w:szCs w:val="20"/>
          <w:lang w:bidi="ar-EG"/>
        </w:rPr>
        <w:t xml:space="preserve"> Parametric mapping of the hepatic perfusion index with gadolinium-enhanced volumetric MRI. Br. J. </w:t>
      </w:r>
      <w:proofErr w:type="spellStart"/>
      <w:r w:rsidRPr="00643B68">
        <w:rPr>
          <w:sz w:val="20"/>
          <w:szCs w:val="20"/>
          <w:lang w:bidi="ar-EG"/>
        </w:rPr>
        <w:t>Radiol</w:t>
      </w:r>
      <w:proofErr w:type="spellEnd"/>
      <w:r w:rsidRPr="00643B68">
        <w:rPr>
          <w:sz w:val="20"/>
          <w:szCs w:val="20"/>
          <w:lang w:bidi="ar-EG"/>
        </w:rPr>
        <w:t xml:space="preserve">., February 1, 2007; 80 (950): 113-120. </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r w:rsidRPr="00643B68">
        <w:rPr>
          <w:bCs/>
          <w:sz w:val="20"/>
          <w:szCs w:val="20"/>
          <w:lang w:bidi="ar-EG"/>
        </w:rPr>
        <w:t xml:space="preserve">Lee VS, Lavelle MT, </w:t>
      </w:r>
      <w:proofErr w:type="spellStart"/>
      <w:r w:rsidRPr="00643B68">
        <w:rPr>
          <w:bCs/>
          <w:sz w:val="20"/>
          <w:szCs w:val="20"/>
          <w:lang w:bidi="ar-EG"/>
        </w:rPr>
        <w:t>Rofsky</w:t>
      </w:r>
      <w:proofErr w:type="spellEnd"/>
      <w:r w:rsidRPr="00643B68">
        <w:rPr>
          <w:bCs/>
          <w:sz w:val="20"/>
          <w:szCs w:val="20"/>
          <w:lang w:bidi="ar-EG"/>
        </w:rPr>
        <w:t xml:space="preserve"> NM, </w:t>
      </w:r>
      <w:proofErr w:type="spellStart"/>
      <w:r w:rsidRPr="00643B68">
        <w:rPr>
          <w:bCs/>
          <w:sz w:val="20"/>
          <w:szCs w:val="20"/>
          <w:lang w:bidi="ar-EG"/>
        </w:rPr>
        <w:t>Laub</w:t>
      </w:r>
      <w:proofErr w:type="spellEnd"/>
      <w:r w:rsidRPr="00643B68">
        <w:rPr>
          <w:bCs/>
          <w:sz w:val="20"/>
          <w:szCs w:val="20"/>
          <w:lang w:bidi="ar-EG"/>
        </w:rPr>
        <w:t xml:space="preserve"> G, </w:t>
      </w:r>
      <w:proofErr w:type="spellStart"/>
      <w:r w:rsidRPr="00643B68">
        <w:rPr>
          <w:bCs/>
          <w:sz w:val="20"/>
          <w:szCs w:val="20"/>
          <w:lang w:bidi="ar-EG"/>
        </w:rPr>
        <w:t>Thomasson</w:t>
      </w:r>
      <w:proofErr w:type="spellEnd"/>
      <w:r w:rsidRPr="00643B68">
        <w:rPr>
          <w:bCs/>
          <w:sz w:val="20"/>
          <w:szCs w:val="20"/>
          <w:lang w:bidi="ar-EG"/>
        </w:rPr>
        <w:t xml:space="preserve"> DM, </w:t>
      </w:r>
      <w:proofErr w:type="spellStart"/>
      <w:r w:rsidRPr="00643B68">
        <w:rPr>
          <w:bCs/>
          <w:sz w:val="20"/>
          <w:szCs w:val="20"/>
          <w:lang w:bidi="ar-EG"/>
        </w:rPr>
        <w:t>Krinsky</w:t>
      </w:r>
      <w:proofErr w:type="spellEnd"/>
      <w:r w:rsidRPr="00643B68">
        <w:rPr>
          <w:bCs/>
          <w:sz w:val="20"/>
          <w:szCs w:val="20"/>
          <w:lang w:bidi="ar-EG"/>
        </w:rPr>
        <w:t xml:space="preserve"> GA, </w:t>
      </w:r>
      <w:r w:rsidRPr="00643B68">
        <w:rPr>
          <w:bCs/>
          <w:i/>
          <w:iCs/>
          <w:sz w:val="20"/>
          <w:szCs w:val="20"/>
          <w:lang w:bidi="ar-EG"/>
        </w:rPr>
        <w:t>et al</w:t>
      </w:r>
      <w:r w:rsidRPr="00643B68">
        <w:rPr>
          <w:i/>
          <w:iCs/>
          <w:sz w:val="20"/>
          <w:szCs w:val="20"/>
          <w:lang w:bidi="ar-EG"/>
        </w:rPr>
        <w:t>.</w:t>
      </w:r>
      <w:r w:rsidRPr="00643B68">
        <w:rPr>
          <w:sz w:val="20"/>
          <w:szCs w:val="20"/>
          <w:lang w:bidi="ar-EG"/>
        </w:rPr>
        <w:t xml:space="preserve"> Hepatic MR imaging with dynamic contrast enhanced isotropic volumetric breath hold examination: feasibility, reproducibility and technical quality. Radiology 2000; 215: 365-72.</w:t>
      </w:r>
    </w:p>
    <w:p w:rsidR="00085C1E" w:rsidRPr="00643B68" w:rsidRDefault="00085C1E" w:rsidP="00643B68">
      <w:pPr>
        <w:numPr>
          <w:ilvl w:val="0"/>
          <w:numId w:val="4"/>
        </w:numPr>
        <w:bidi w:val="0"/>
        <w:ind w:left="425" w:hanging="425"/>
        <w:jc w:val="both"/>
        <w:rPr>
          <w:bCs/>
          <w:sz w:val="20"/>
          <w:szCs w:val="20"/>
        </w:rPr>
      </w:pPr>
      <w:r w:rsidRPr="00643B68">
        <w:rPr>
          <w:bCs/>
          <w:sz w:val="20"/>
          <w:szCs w:val="20"/>
        </w:rPr>
        <w:t>Anton B,</w:t>
      </w:r>
      <w:r w:rsidRPr="00643B68">
        <w:rPr>
          <w:sz w:val="20"/>
          <w:szCs w:val="20"/>
        </w:rPr>
        <w:t xml:space="preserve"> Better detection of </w:t>
      </w:r>
      <w:r w:rsidRPr="00643B68">
        <w:rPr>
          <w:spacing w:val="-4"/>
          <w:sz w:val="20"/>
          <w:szCs w:val="20"/>
        </w:rPr>
        <w:t xml:space="preserve">colon cancer </w:t>
      </w:r>
      <w:proofErr w:type="spellStart"/>
      <w:r w:rsidRPr="00643B68">
        <w:rPr>
          <w:spacing w:val="-4"/>
          <w:sz w:val="20"/>
          <w:szCs w:val="20"/>
        </w:rPr>
        <w:t>micrometastases</w:t>
      </w:r>
      <w:proofErr w:type="spellEnd"/>
      <w:r w:rsidRPr="00643B68">
        <w:rPr>
          <w:spacing w:val="-4"/>
          <w:sz w:val="20"/>
          <w:szCs w:val="20"/>
        </w:rPr>
        <w:t>,</w:t>
      </w:r>
      <w:r w:rsidRPr="00643B68">
        <w:rPr>
          <w:sz w:val="20"/>
          <w:szCs w:val="20"/>
        </w:rPr>
        <w:t xml:space="preserve"> Ann </w:t>
      </w:r>
      <w:proofErr w:type="spellStart"/>
      <w:r w:rsidRPr="00643B68">
        <w:rPr>
          <w:sz w:val="20"/>
          <w:szCs w:val="20"/>
        </w:rPr>
        <w:t>Surg</w:t>
      </w:r>
      <w:proofErr w:type="spellEnd"/>
      <w:r w:rsidRPr="00643B68">
        <w:rPr>
          <w:sz w:val="20"/>
          <w:szCs w:val="20"/>
        </w:rPr>
        <w:t xml:space="preserve"> 2007; 246: 568-77.</w:t>
      </w:r>
    </w:p>
    <w:p w:rsidR="00085C1E" w:rsidRPr="00643B68" w:rsidRDefault="00085C1E" w:rsidP="00643B68">
      <w:pPr>
        <w:numPr>
          <w:ilvl w:val="0"/>
          <w:numId w:val="4"/>
        </w:numPr>
        <w:bidi w:val="0"/>
        <w:ind w:left="425" w:hanging="425"/>
        <w:jc w:val="both"/>
        <w:rPr>
          <w:sz w:val="20"/>
          <w:szCs w:val="20"/>
        </w:rPr>
      </w:pPr>
      <w:r w:rsidRPr="00643B68">
        <w:rPr>
          <w:bCs/>
          <w:sz w:val="20"/>
          <w:szCs w:val="20"/>
        </w:rPr>
        <w:t xml:space="preserve">Benson AB, </w:t>
      </w:r>
      <w:proofErr w:type="spellStart"/>
      <w:r w:rsidRPr="00643B68">
        <w:rPr>
          <w:bCs/>
          <w:sz w:val="20"/>
          <w:szCs w:val="20"/>
        </w:rPr>
        <w:t>Shrag</w:t>
      </w:r>
      <w:proofErr w:type="spellEnd"/>
      <w:r w:rsidRPr="00643B68">
        <w:rPr>
          <w:bCs/>
          <w:sz w:val="20"/>
          <w:szCs w:val="20"/>
        </w:rPr>
        <w:t xml:space="preserve"> D, </w:t>
      </w:r>
      <w:proofErr w:type="spellStart"/>
      <w:r w:rsidRPr="00643B68">
        <w:rPr>
          <w:bCs/>
          <w:sz w:val="20"/>
          <w:szCs w:val="20"/>
        </w:rPr>
        <w:t>Sorrerfield</w:t>
      </w:r>
      <w:proofErr w:type="spellEnd"/>
      <w:r w:rsidRPr="00643B68">
        <w:rPr>
          <w:bCs/>
          <w:sz w:val="20"/>
          <w:szCs w:val="20"/>
        </w:rPr>
        <w:t xml:space="preserve"> MR et al. </w:t>
      </w:r>
      <w:r w:rsidRPr="00643B68">
        <w:rPr>
          <w:sz w:val="20"/>
          <w:szCs w:val="20"/>
        </w:rPr>
        <w:t xml:space="preserve">American Society of Clinical Oncology recommendation on adjuvant chemotherapy for stage II colon cancer. J. </w:t>
      </w:r>
      <w:proofErr w:type="spellStart"/>
      <w:r w:rsidRPr="00643B68">
        <w:rPr>
          <w:sz w:val="20"/>
          <w:szCs w:val="20"/>
        </w:rPr>
        <w:t>Clin</w:t>
      </w:r>
      <w:proofErr w:type="spellEnd"/>
      <w:r w:rsidRPr="00643B68">
        <w:rPr>
          <w:sz w:val="20"/>
          <w:szCs w:val="20"/>
        </w:rPr>
        <w:t xml:space="preserve"> Oncology 2004; 22: 3408-3419.</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Totman</w:t>
      </w:r>
      <w:proofErr w:type="spellEnd"/>
      <w:r w:rsidRPr="00643B68">
        <w:rPr>
          <w:bCs/>
          <w:sz w:val="20"/>
          <w:szCs w:val="20"/>
          <w:lang w:bidi="ar-EG"/>
        </w:rPr>
        <w:t xml:space="preserve"> JJ, O’Gorman, Kane PA </w:t>
      </w:r>
      <w:r w:rsidRPr="00643B68">
        <w:rPr>
          <w:bCs/>
          <w:i/>
          <w:iCs/>
          <w:sz w:val="20"/>
          <w:szCs w:val="20"/>
          <w:lang w:bidi="ar-EG"/>
        </w:rPr>
        <w:t>et al</w:t>
      </w:r>
      <w:r w:rsidRPr="00643B68">
        <w:rPr>
          <w:i/>
          <w:iCs/>
          <w:sz w:val="20"/>
          <w:szCs w:val="20"/>
          <w:lang w:bidi="ar-EG"/>
        </w:rPr>
        <w:t>.</w:t>
      </w:r>
      <w:r w:rsidRPr="00643B68">
        <w:rPr>
          <w:sz w:val="20"/>
          <w:szCs w:val="20"/>
          <w:lang w:bidi="ar-EG"/>
        </w:rPr>
        <w:t xml:space="preserve"> Comparison of the hepatic perfusion index measured with </w:t>
      </w:r>
      <w:proofErr w:type="spellStart"/>
      <w:r w:rsidRPr="00643B68">
        <w:rPr>
          <w:sz w:val="20"/>
          <w:szCs w:val="20"/>
          <w:lang w:bidi="ar-EG"/>
        </w:rPr>
        <w:t>gadolinum</w:t>
      </w:r>
      <w:proofErr w:type="spellEnd"/>
      <w:r w:rsidRPr="00643B68">
        <w:rPr>
          <w:sz w:val="20"/>
          <w:szCs w:val="20"/>
          <w:lang w:bidi="ar-EG"/>
        </w:rPr>
        <w:t xml:space="preserve">-enhanced volumetric MRI in controls and in patients with colorectal cancer. Br. J. </w:t>
      </w:r>
      <w:proofErr w:type="spellStart"/>
      <w:r w:rsidRPr="00643B68">
        <w:rPr>
          <w:sz w:val="20"/>
          <w:szCs w:val="20"/>
          <w:lang w:bidi="ar-EG"/>
        </w:rPr>
        <w:t>Rodiol</w:t>
      </w:r>
      <w:proofErr w:type="spellEnd"/>
      <w:r w:rsidRPr="00643B68">
        <w:rPr>
          <w:sz w:val="20"/>
          <w:szCs w:val="20"/>
          <w:lang w:bidi="ar-EG"/>
        </w:rPr>
        <w:t xml:space="preserve"> 2005: 78, 105-109.</w:t>
      </w:r>
    </w:p>
    <w:p w:rsidR="00085C1E" w:rsidRPr="00643B68"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643B68">
        <w:rPr>
          <w:bCs/>
          <w:sz w:val="20"/>
          <w:szCs w:val="20"/>
          <w:lang w:bidi="ar-EG"/>
        </w:rPr>
        <w:t>Parkin</w:t>
      </w:r>
      <w:proofErr w:type="spellEnd"/>
      <w:r w:rsidRPr="00643B68">
        <w:rPr>
          <w:bCs/>
          <w:sz w:val="20"/>
          <w:szCs w:val="20"/>
          <w:lang w:bidi="ar-EG"/>
        </w:rPr>
        <w:t xml:space="preserve"> A, Goldstone KE and Robinson PJ.</w:t>
      </w:r>
      <w:r w:rsidRPr="00643B68">
        <w:rPr>
          <w:sz w:val="20"/>
          <w:szCs w:val="20"/>
          <w:lang w:bidi="ar-EG"/>
        </w:rPr>
        <w:t xml:space="preserve"> Hepatic perfusion index measured using MRI and </w:t>
      </w:r>
      <w:proofErr w:type="spellStart"/>
      <w:r w:rsidRPr="00643B68">
        <w:rPr>
          <w:sz w:val="20"/>
          <w:szCs w:val="20"/>
          <w:lang w:bidi="ar-EG"/>
        </w:rPr>
        <w:t>scintigraphy</w:t>
      </w:r>
      <w:proofErr w:type="spellEnd"/>
      <w:r w:rsidRPr="00643B68">
        <w:rPr>
          <w:sz w:val="20"/>
          <w:szCs w:val="20"/>
          <w:lang w:bidi="ar-EG"/>
        </w:rPr>
        <w:t xml:space="preserve"> Br. J. </w:t>
      </w:r>
      <w:proofErr w:type="spellStart"/>
      <w:r w:rsidRPr="00643B68">
        <w:rPr>
          <w:sz w:val="20"/>
          <w:szCs w:val="20"/>
          <w:lang w:bidi="ar-EG"/>
        </w:rPr>
        <w:t>Radiol</w:t>
      </w:r>
      <w:proofErr w:type="spellEnd"/>
      <w:r w:rsidRPr="00643B68">
        <w:rPr>
          <w:sz w:val="20"/>
          <w:szCs w:val="20"/>
          <w:lang w:bidi="ar-EG"/>
        </w:rPr>
        <w:t xml:space="preserve">., December 1, 2005; 78 (936): 1118-1118. </w:t>
      </w:r>
    </w:p>
    <w:p w:rsidR="00085C1E" w:rsidRPr="00241D7F" w:rsidRDefault="00085C1E" w:rsidP="00643B68">
      <w:pPr>
        <w:widowControl w:val="0"/>
        <w:numPr>
          <w:ilvl w:val="0"/>
          <w:numId w:val="4"/>
        </w:numPr>
        <w:autoSpaceDE w:val="0"/>
        <w:autoSpaceDN w:val="0"/>
        <w:bidi w:val="0"/>
        <w:adjustRightInd w:val="0"/>
        <w:ind w:left="425" w:hanging="425"/>
        <w:jc w:val="both"/>
        <w:rPr>
          <w:sz w:val="20"/>
          <w:szCs w:val="20"/>
          <w:lang w:bidi="ar-EG"/>
        </w:rPr>
      </w:pPr>
      <w:proofErr w:type="spellStart"/>
      <w:r w:rsidRPr="00241D7F">
        <w:rPr>
          <w:rFonts w:ascii="JansonTextLT-Roman" w:hAnsi="JansonTextLT-Roman" w:cs="JansonTextLT-Roman"/>
          <w:bCs/>
          <w:sz w:val="20"/>
          <w:szCs w:val="20"/>
        </w:rPr>
        <w:t>Roumen</w:t>
      </w:r>
      <w:proofErr w:type="spellEnd"/>
      <w:r w:rsidRPr="00241D7F">
        <w:rPr>
          <w:rFonts w:ascii="JansonTextLT-Roman" w:hAnsi="JansonTextLT-Roman" w:cs="JansonTextLT-Roman"/>
          <w:bCs/>
          <w:sz w:val="20"/>
          <w:szCs w:val="20"/>
        </w:rPr>
        <w:t xml:space="preserve"> RM, </w:t>
      </w:r>
      <w:proofErr w:type="spellStart"/>
      <w:r w:rsidRPr="00241D7F">
        <w:rPr>
          <w:rFonts w:ascii="JansonTextLT-Roman" w:hAnsi="JansonTextLT-Roman" w:cs="JansonTextLT-Roman"/>
          <w:bCs/>
          <w:sz w:val="20"/>
          <w:szCs w:val="20"/>
        </w:rPr>
        <w:t>Scheltinga</w:t>
      </w:r>
      <w:proofErr w:type="spellEnd"/>
      <w:r w:rsidRPr="00241D7F">
        <w:rPr>
          <w:rFonts w:ascii="JansonTextLT-Roman" w:hAnsi="JansonTextLT-Roman" w:cs="JansonTextLT-Roman"/>
          <w:bCs/>
          <w:sz w:val="20"/>
          <w:szCs w:val="20"/>
        </w:rPr>
        <w:t xml:space="preserve"> MR, </w:t>
      </w:r>
      <w:proofErr w:type="spellStart"/>
      <w:r w:rsidRPr="00241D7F">
        <w:rPr>
          <w:rFonts w:ascii="JansonTextLT-Roman" w:hAnsi="JansonTextLT-Roman" w:cs="JansonTextLT-Roman"/>
          <w:bCs/>
          <w:sz w:val="20"/>
          <w:szCs w:val="20"/>
        </w:rPr>
        <w:t>Slooter</w:t>
      </w:r>
      <w:proofErr w:type="spellEnd"/>
      <w:r w:rsidRPr="00241D7F">
        <w:rPr>
          <w:rFonts w:ascii="JansonTextLT-Roman" w:hAnsi="JansonTextLT-Roman" w:cs="JansonTextLT-Roman"/>
          <w:bCs/>
          <w:sz w:val="20"/>
          <w:szCs w:val="20"/>
        </w:rPr>
        <w:t xml:space="preserve"> GD, et al</w:t>
      </w:r>
      <w:r w:rsidRPr="00241D7F">
        <w:rPr>
          <w:rFonts w:ascii="JansonTextLT-Roman" w:hAnsi="JansonTextLT-Roman" w:cs="JansonTextLT-Roman"/>
          <w:sz w:val="20"/>
          <w:szCs w:val="20"/>
        </w:rPr>
        <w:t xml:space="preserve">. Doppler perfusion index fails to predict the presence of occult hepatic colorectal metastases. </w:t>
      </w:r>
      <w:proofErr w:type="spellStart"/>
      <w:r w:rsidRPr="00241D7F">
        <w:rPr>
          <w:rFonts w:ascii="JansonTextLT-Roman" w:hAnsi="JansonTextLT-Roman" w:cs="JansonTextLT-Roman"/>
          <w:sz w:val="20"/>
          <w:szCs w:val="20"/>
        </w:rPr>
        <w:t>Eur</w:t>
      </w:r>
      <w:proofErr w:type="spellEnd"/>
      <w:r w:rsidRPr="00241D7F">
        <w:rPr>
          <w:rFonts w:ascii="JansonTextLT-Roman" w:hAnsi="JansonTextLT-Roman" w:cs="JansonTextLT-Roman"/>
          <w:sz w:val="20"/>
          <w:szCs w:val="20"/>
        </w:rPr>
        <w:t xml:space="preserve"> J </w:t>
      </w:r>
      <w:proofErr w:type="spellStart"/>
      <w:r w:rsidRPr="00241D7F">
        <w:rPr>
          <w:rFonts w:ascii="JansonTextLT-Roman" w:hAnsi="JansonTextLT-Roman" w:cs="JansonTextLT-Roman"/>
          <w:sz w:val="20"/>
          <w:szCs w:val="20"/>
        </w:rPr>
        <w:t>Surg</w:t>
      </w:r>
      <w:proofErr w:type="spellEnd"/>
      <w:r w:rsidRPr="00241D7F">
        <w:rPr>
          <w:rFonts w:ascii="JansonTextLT-Roman" w:hAnsi="JansonTextLT-Roman" w:cs="JansonTextLT-Roman"/>
          <w:sz w:val="20"/>
          <w:szCs w:val="20"/>
        </w:rPr>
        <w:t xml:space="preserve"> </w:t>
      </w:r>
      <w:proofErr w:type="spellStart"/>
      <w:r w:rsidRPr="00241D7F">
        <w:rPr>
          <w:rFonts w:ascii="JansonTextLT-Roman" w:hAnsi="JansonTextLT-Roman" w:cs="JansonTextLT-Roman"/>
          <w:sz w:val="20"/>
          <w:szCs w:val="20"/>
        </w:rPr>
        <w:t>Oncol</w:t>
      </w:r>
      <w:proofErr w:type="spellEnd"/>
      <w:r w:rsidRPr="00241D7F">
        <w:rPr>
          <w:rFonts w:ascii="JansonTextLT-Roman" w:hAnsi="JansonTextLT-Roman" w:cs="JansonTextLT-Roman"/>
          <w:sz w:val="20"/>
          <w:szCs w:val="20"/>
        </w:rPr>
        <w:t xml:space="preserve"> 2005</w:t>
      </w:r>
      <w:proofErr w:type="gramStart"/>
      <w:r w:rsidRPr="00241D7F">
        <w:rPr>
          <w:rFonts w:ascii="JansonTextLT-Roman" w:hAnsi="JansonTextLT-Roman" w:cs="JansonTextLT-Roman"/>
          <w:sz w:val="20"/>
          <w:szCs w:val="20"/>
        </w:rPr>
        <w:t>;31:521</w:t>
      </w:r>
      <w:proofErr w:type="gramEnd"/>
      <w:r w:rsidRPr="00241D7F">
        <w:rPr>
          <w:rFonts w:ascii="JansonTextLT-Roman" w:hAnsi="JansonTextLT-Roman" w:cs="JansonTextLT-Roman"/>
          <w:sz w:val="20"/>
          <w:szCs w:val="20"/>
        </w:rPr>
        <w:t>-7.</w:t>
      </w:r>
      <w:r w:rsidR="00241D7F" w:rsidRPr="00241D7F">
        <w:rPr>
          <w:rFonts w:ascii="JansonTextLT-Roman" w:hAnsi="JansonTextLT-Roman" w:cs="JansonTextLT-Roman" w:hint="eastAsia"/>
          <w:sz w:val="20"/>
          <w:szCs w:val="20"/>
          <w:lang w:eastAsia="zh-CN"/>
        </w:rPr>
        <w:t xml:space="preserve"> </w:t>
      </w:r>
    </w:p>
    <w:p w:rsidR="00FF5491" w:rsidRPr="00643B68" w:rsidRDefault="00FF5491" w:rsidP="00643B68">
      <w:pPr>
        <w:widowControl w:val="0"/>
        <w:autoSpaceDE w:val="0"/>
        <w:autoSpaceDN w:val="0"/>
        <w:bidi w:val="0"/>
        <w:adjustRightInd w:val="0"/>
        <w:ind w:left="425" w:hanging="425"/>
        <w:jc w:val="both"/>
        <w:rPr>
          <w:sz w:val="20"/>
          <w:szCs w:val="20"/>
          <w:lang w:bidi="ar-EG"/>
        </w:rPr>
        <w:sectPr w:rsidR="00FF5491" w:rsidRPr="00643B68" w:rsidSect="00241D7F">
          <w:type w:val="continuous"/>
          <w:pgSz w:w="12240" w:h="15840" w:code="1"/>
          <w:pgMar w:top="1440" w:right="1440" w:bottom="1440" w:left="1440" w:header="720" w:footer="720" w:gutter="0"/>
          <w:cols w:num="2" w:space="576"/>
          <w:noEndnote/>
          <w:docGrid w:linePitch="326"/>
        </w:sectPr>
      </w:pPr>
    </w:p>
    <w:p w:rsidR="00E91096" w:rsidRPr="00643B68" w:rsidRDefault="00E91096" w:rsidP="00643B68">
      <w:pPr>
        <w:widowControl w:val="0"/>
        <w:autoSpaceDE w:val="0"/>
        <w:autoSpaceDN w:val="0"/>
        <w:bidi w:val="0"/>
        <w:adjustRightInd w:val="0"/>
        <w:ind w:left="425" w:hanging="425"/>
        <w:jc w:val="both"/>
        <w:rPr>
          <w:sz w:val="20"/>
          <w:szCs w:val="20"/>
          <w:lang w:bidi="ar-EG"/>
        </w:rPr>
      </w:pPr>
    </w:p>
    <w:p w:rsidR="00E91096" w:rsidRPr="00643B68" w:rsidRDefault="00E91096" w:rsidP="00643B68">
      <w:pPr>
        <w:widowControl w:val="0"/>
        <w:autoSpaceDE w:val="0"/>
        <w:autoSpaceDN w:val="0"/>
        <w:bidi w:val="0"/>
        <w:adjustRightInd w:val="0"/>
        <w:ind w:left="425" w:hanging="425"/>
        <w:jc w:val="both"/>
        <w:rPr>
          <w:sz w:val="20"/>
          <w:szCs w:val="20"/>
          <w:lang w:bidi="ar-EG"/>
        </w:rPr>
      </w:pPr>
    </w:p>
    <w:p w:rsidR="008A517E" w:rsidRPr="00643B68" w:rsidRDefault="008A517E" w:rsidP="00643B68">
      <w:pPr>
        <w:widowControl w:val="0"/>
        <w:tabs>
          <w:tab w:val="left" w:pos="90"/>
          <w:tab w:val="left" w:pos="220"/>
        </w:tabs>
        <w:autoSpaceDE w:val="0"/>
        <w:autoSpaceDN w:val="0"/>
        <w:bidi w:val="0"/>
        <w:adjustRightInd w:val="0"/>
        <w:ind w:left="425" w:hanging="425"/>
        <w:jc w:val="both"/>
        <w:rPr>
          <w:color w:val="262626"/>
          <w:sz w:val="20"/>
          <w:szCs w:val="20"/>
          <w:lang w:bidi="ar-EG"/>
        </w:rPr>
      </w:pPr>
    </w:p>
    <w:p w:rsidR="00E91096" w:rsidRPr="00643B68" w:rsidRDefault="008A517E" w:rsidP="00643B68">
      <w:pPr>
        <w:widowControl w:val="0"/>
        <w:tabs>
          <w:tab w:val="left" w:pos="90"/>
          <w:tab w:val="left" w:pos="220"/>
        </w:tabs>
        <w:autoSpaceDE w:val="0"/>
        <w:autoSpaceDN w:val="0"/>
        <w:bidi w:val="0"/>
        <w:adjustRightInd w:val="0"/>
        <w:ind w:left="425" w:hanging="425"/>
        <w:jc w:val="both"/>
        <w:rPr>
          <w:color w:val="262626"/>
          <w:sz w:val="20"/>
          <w:szCs w:val="20"/>
          <w:rtl/>
          <w:lang w:bidi="ar-EG"/>
        </w:rPr>
      </w:pPr>
      <w:r w:rsidRPr="00643B68">
        <w:rPr>
          <w:color w:val="262626"/>
          <w:sz w:val="20"/>
          <w:szCs w:val="20"/>
          <w:lang w:bidi="ar-EG"/>
        </w:rPr>
        <w:t>12/08/2015</w:t>
      </w:r>
    </w:p>
    <w:sectPr w:rsidR="00E91096" w:rsidRPr="00643B68" w:rsidSect="007E240D">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71" w:rsidRDefault="00FD5471" w:rsidP="00E0433A">
      <w:r>
        <w:separator/>
      </w:r>
    </w:p>
  </w:endnote>
  <w:endnote w:type="continuationSeparator" w:id="0">
    <w:p w:rsidR="00FD5471" w:rsidRDefault="00FD5471" w:rsidP="00E0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 w:name="JansonTextLT-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7E" w:rsidRPr="008A517E" w:rsidRDefault="00740168" w:rsidP="008A517E">
    <w:pPr>
      <w:bidi w:val="0"/>
      <w:jc w:val="center"/>
      <w:rPr>
        <w:sz w:val="20"/>
      </w:rPr>
    </w:pPr>
    <w:r w:rsidRPr="008A517E">
      <w:rPr>
        <w:sz w:val="20"/>
      </w:rPr>
      <w:fldChar w:fldCharType="begin"/>
    </w:r>
    <w:r w:rsidR="008A517E" w:rsidRPr="008A517E">
      <w:rPr>
        <w:sz w:val="20"/>
      </w:rPr>
      <w:instrText xml:space="preserve"> page </w:instrText>
    </w:r>
    <w:r w:rsidRPr="008A517E">
      <w:rPr>
        <w:sz w:val="20"/>
      </w:rPr>
      <w:fldChar w:fldCharType="separate"/>
    </w:r>
    <w:r w:rsidR="00312B46">
      <w:rPr>
        <w:noProof/>
        <w:sz w:val="20"/>
      </w:rPr>
      <w:t>74</w:t>
    </w:r>
    <w:r w:rsidRPr="008A517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71" w:rsidRDefault="00FD5471" w:rsidP="00E0433A">
      <w:r>
        <w:separator/>
      </w:r>
    </w:p>
  </w:footnote>
  <w:footnote w:type="continuationSeparator" w:id="0">
    <w:p w:rsidR="00FD5471" w:rsidRDefault="00FD5471" w:rsidP="00E04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7E" w:rsidRPr="008A517E" w:rsidRDefault="008A517E" w:rsidP="008A517E">
    <w:pPr>
      <w:pBdr>
        <w:bottom w:val="thinThickMediumGap" w:sz="12" w:space="1" w:color="auto"/>
      </w:pBdr>
      <w:tabs>
        <w:tab w:val="left" w:pos="851"/>
        <w:tab w:val="right" w:pos="8364"/>
      </w:tabs>
      <w:bidi w:val="0"/>
      <w:adjustRightInd w:val="0"/>
      <w:snapToGrid w:val="0"/>
      <w:jc w:val="both"/>
      <w:rPr>
        <w:iCs/>
        <w:color w:val="0000FF"/>
        <w:sz w:val="20"/>
      </w:rPr>
    </w:pPr>
    <w:r w:rsidRPr="008A517E">
      <w:rPr>
        <w:rFonts w:hint="eastAsia"/>
        <w:iCs/>
        <w:color w:val="000000"/>
        <w:sz w:val="20"/>
      </w:rPr>
      <w:tab/>
    </w:r>
    <w:r w:rsidRPr="008A517E">
      <w:rPr>
        <w:iCs/>
        <w:color w:val="000000"/>
        <w:sz w:val="20"/>
      </w:rPr>
      <w:t xml:space="preserve">Cancer Biology </w:t>
    </w:r>
    <w:r w:rsidRPr="008A517E">
      <w:rPr>
        <w:iCs/>
        <w:sz w:val="20"/>
      </w:rPr>
      <w:t>201</w:t>
    </w:r>
    <w:r w:rsidRPr="008A517E">
      <w:rPr>
        <w:rFonts w:hint="eastAsia"/>
        <w:iCs/>
        <w:sz w:val="20"/>
      </w:rPr>
      <w:t>5</w:t>
    </w:r>
    <w:proofErr w:type="gramStart"/>
    <w:r w:rsidRPr="008A517E">
      <w:rPr>
        <w:iCs/>
        <w:sz w:val="20"/>
      </w:rPr>
      <w:t>;</w:t>
    </w:r>
    <w:r w:rsidRPr="008A517E">
      <w:rPr>
        <w:rFonts w:hint="eastAsia"/>
        <w:iCs/>
        <w:sz w:val="20"/>
      </w:rPr>
      <w:t>5</w:t>
    </w:r>
    <w:proofErr w:type="gramEnd"/>
    <w:r w:rsidRPr="008A517E">
      <w:rPr>
        <w:iCs/>
        <w:sz w:val="20"/>
      </w:rPr>
      <w:t>(</w:t>
    </w:r>
    <w:r w:rsidRPr="008A517E">
      <w:rPr>
        <w:rFonts w:hint="eastAsia"/>
        <w:iCs/>
        <w:sz w:val="20"/>
      </w:rPr>
      <w:t>4</w:t>
    </w:r>
    <w:r w:rsidRPr="008A517E">
      <w:rPr>
        <w:iCs/>
        <w:sz w:val="20"/>
      </w:rPr>
      <w:t xml:space="preserve">)  </w:t>
    </w:r>
    <w:r w:rsidRPr="008A517E">
      <w:rPr>
        <w:rFonts w:hint="eastAsia"/>
        <w:iCs/>
        <w:sz w:val="20"/>
      </w:rPr>
      <w:t xml:space="preserve">   </w:t>
    </w:r>
    <w:r w:rsidRPr="008A517E">
      <w:rPr>
        <w:rFonts w:hint="eastAsia"/>
        <w:iCs/>
        <w:sz w:val="20"/>
      </w:rPr>
      <w:tab/>
      <w:t xml:space="preserve">     </w:t>
    </w:r>
    <w:r w:rsidRPr="008A517E">
      <w:rPr>
        <w:iCs/>
        <w:sz w:val="20"/>
      </w:rPr>
      <w:t xml:space="preserve"> </w:t>
    </w:r>
    <w:r w:rsidRPr="008A517E">
      <w:rPr>
        <w:sz w:val="20"/>
      </w:rPr>
      <w:t xml:space="preserve">  </w:t>
    </w:r>
    <w:hyperlink r:id="rId1" w:history="1">
      <w:r w:rsidRPr="008A517E">
        <w:rPr>
          <w:rStyle w:val="Hyperlink"/>
          <w:sz w:val="20"/>
        </w:rPr>
        <w:t>http://www.cancerbio.net</w:t>
      </w:r>
    </w:hyperlink>
  </w:p>
  <w:p w:rsidR="008A517E" w:rsidRPr="008A517E" w:rsidRDefault="008A517E" w:rsidP="008A517E">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2C4B12"/>
    <w:lvl w:ilvl="0">
      <w:numFmt w:val="bullet"/>
      <w:lvlText w:val="*"/>
      <w:lvlJc w:val="left"/>
    </w:lvl>
  </w:abstractNum>
  <w:abstractNum w:abstractNumId="1">
    <w:nsid w:val="01792B45"/>
    <w:multiLevelType w:val="hybridMultilevel"/>
    <w:tmpl w:val="75883C2C"/>
    <w:lvl w:ilvl="0" w:tplc="D4F66D5E">
      <w:start w:val="1"/>
      <w:numFmt w:val="decimal"/>
      <w:lvlText w:val="%1."/>
      <w:lvlJc w:val="left"/>
      <w:pPr>
        <w:ind w:left="720" w:hanging="360"/>
      </w:pPr>
      <w:rPr>
        <w:rFonts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53A04A1"/>
    <w:multiLevelType w:val="hybridMultilevel"/>
    <w:tmpl w:val="53289302"/>
    <w:lvl w:ilvl="0" w:tplc="04090001">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A90EAC"/>
    <w:multiLevelType w:val="hybridMultilevel"/>
    <w:tmpl w:val="7DA00372"/>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useFELayout/>
  </w:compat>
  <w:rsids>
    <w:rsidRoot w:val="00396A46"/>
    <w:rsid w:val="00000305"/>
    <w:rsid w:val="00001D52"/>
    <w:rsid w:val="000128E8"/>
    <w:rsid w:val="000220E4"/>
    <w:rsid w:val="00025D5A"/>
    <w:rsid w:val="00025EA5"/>
    <w:rsid w:val="000761A9"/>
    <w:rsid w:val="00081507"/>
    <w:rsid w:val="000817CF"/>
    <w:rsid w:val="0008506E"/>
    <w:rsid w:val="00085C1E"/>
    <w:rsid w:val="000A6B09"/>
    <w:rsid w:val="000C38BC"/>
    <w:rsid w:val="000C569D"/>
    <w:rsid w:val="000F5C6D"/>
    <w:rsid w:val="00107FAA"/>
    <w:rsid w:val="00122546"/>
    <w:rsid w:val="00152B83"/>
    <w:rsid w:val="00160942"/>
    <w:rsid w:val="001B29D3"/>
    <w:rsid w:val="002004C2"/>
    <w:rsid w:val="00205AAD"/>
    <w:rsid w:val="00223A66"/>
    <w:rsid w:val="00240340"/>
    <w:rsid w:val="002413E1"/>
    <w:rsid w:val="00241D7F"/>
    <w:rsid w:val="00260F17"/>
    <w:rsid w:val="0026134C"/>
    <w:rsid w:val="00262D96"/>
    <w:rsid w:val="0027263C"/>
    <w:rsid w:val="00276624"/>
    <w:rsid w:val="00281805"/>
    <w:rsid w:val="00284683"/>
    <w:rsid w:val="0029571A"/>
    <w:rsid w:val="002A3A88"/>
    <w:rsid w:val="002C4FC9"/>
    <w:rsid w:val="002F60A1"/>
    <w:rsid w:val="003004E3"/>
    <w:rsid w:val="003053C7"/>
    <w:rsid w:val="00312B46"/>
    <w:rsid w:val="003162E5"/>
    <w:rsid w:val="003224BE"/>
    <w:rsid w:val="00370615"/>
    <w:rsid w:val="00383516"/>
    <w:rsid w:val="00396A46"/>
    <w:rsid w:val="003A14F8"/>
    <w:rsid w:val="003A3432"/>
    <w:rsid w:val="003E3ECC"/>
    <w:rsid w:val="00407E9F"/>
    <w:rsid w:val="00412DAC"/>
    <w:rsid w:val="00436875"/>
    <w:rsid w:val="0044560E"/>
    <w:rsid w:val="00450A8A"/>
    <w:rsid w:val="004772FE"/>
    <w:rsid w:val="00477896"/>
    <w:rsid w:val="00480EE2"/>
    <w:rsid w:val="004A592E"/>
    <w:rsid w:val="004B5056"/>
    <w:rsid w:val="004C47E2"/>
    <w:rsid w:val="004D5F2F"/>
    <w:rsid w:val="004D7D29"/>
    <w:rsid w:val="004F1D52"/>
    <w:rsid w:val="004F5F21"/>
    <w:rsid w:val="00503EA1"/>
    <w:rsid w:val="00522608"/>
    <w:rsid w:val="00541EEC"/>
    <w:rsid w:val="00543497"/>
    <w:rsid w:val="00574819"/>
    <w:rsid w:val="00592F65"/>
    <w:rsid w:val="005B3703"/>
    <w:rsid w:val="005D071B"/>
    <w:rsid w:val="00620D37"/>
    <w:rsid w:val="00643B68"/>
    <w:rsid w:val="00645FAC"/>
    <w:rsid w:val="00657EA0"/>
    <w:rsid w:val="00677D8C"/>
    <w:rsid w:val="00685EFC"/>
    <w:rsid w:val="006E173E"/>
    <w:rsid w:val="006E7C36"/>
    <w:rsid w:val="006F3B90"/>
    <w:rsid w:val="007170D4"/>
    <w:rsid w:val="00740168"/>
    <w:rsid w:val="00765A9A"/>
    <w:rsid w:val="007867BA"/>
    <w:rsid w:val="007B562A"/>
    <w:rsid w:val="007E240D"/>
    <w:rsid w:val="007F0FF1"/>
    <w:rsid w:val="00800FA1"/>
    <w:rsid w:val="008109F3"/>
    <w:rsid w:val="00817545"/>
    <w:rsid w:val="00827719"/>
    <w:rsid w:val="00851A60"/>
    <w:rsid w:val="00853333"/>
    <w:rsid w:val="00855D60"/>
    <w:rsid w:val="008577FB"/>
    <w:rsid w:val="00866679"/>
    <w:rsid w:val="008A517E"/>
    <w:rsid w:val="008A6210"/>
    <w:rsid w:val="008C1450"/>
    <w:rsid w:val="009003CE"/>
    <w:rsid w:val="00904F81"/>
    <w:rsid w:val="00911763"/>
    <w:rsid w:val="00916924"/>
    <w:rsid w:val="00916A6E"/>
    <w:rsid w:val="00930A0C"/>
    <w:rsid w:val="00940354"/>
    <w:rsid w:val="00947D80"/>
    <w:rsid w:val="00972341"/>
    <w:rsid w:val="00996230"/>
    <w:rsid w:val="00996CF7"/>
    <w:rsid w:val="009C6C1B"/>
    <w:rsid w:val="009E2A09"/>
    <w:rsid w:val="00A061E2"/>
    <w:rsid w:val="00A12778"/>
    <w:rsid w:val="00A14140"/>
    <w:rsid w:val="00A268DA"/>
    <w:rsid w:val="00A32D67"/>
    <w:rsid w:val="00A46D08"/>
    <w:rsid w:val="00A53CC8"/>
    <w:rsid w:val="00A55A4B"/>
    <w:rsid w:val="00A8205C"/>
    <w:rsid w:val="00AE7933"/>
    <w:rsid w:val="00B03373"/>
    <w:rsid w:val="00B223E8"/>
    <w:rsid w:val="00B526CD"/>
    <w:rsid w:val="00B626B5"/>
    <w:rsid w:val="00BB0B00"/>
    <w:rsid w:val="00BB7ADA"/>
    <w:rsid w:val="00BF7C3C"/>
    <w:rsid w:val="00C01327"/>
    <w:rsid w:val="00C026E3"/>
    <w:rsid w:val="00C1644E"/>
    <w:rsid w:val="00C50ECF"/>
    <w:rsid w:val="00C52BF9"/>
    <w:rsid w:val="00C63CEA"/>
    <w:rsid w:val="00C71DEC"/>
    <w:rsid w:val="00C72EC8"/>
    <w:rsid w:val="00C87797"/>
    <w:rsid w:val="00CA2A13"/>
    <w:rsid w:val="00CD5C8C"/>
    <w:rsid w:val="00CD74E2"/>
    <w:rsid w:val="00CF3B06"/>
    <w:rsid w:val="00D06367"/>
    <w:rsid w:val="00D16E9F"/>
    <w:rsid w:val="00D60E52"/>
    <w:rsid w:val="00D611B6"/>
    <w:rsid w:val="00D77AE9"/>
    <w:rsid w:val="00D823A5"/>
    <w:rsid w:val="00D82444"/>
    <w:rsid w:val="00DC1BD8"/>
    <w:rsid w:val="00DD15ED"/>
    <w:rsid w:val="00E0187C"/>
    <w:rsid w:val="00E0433A"/>
    <w:rsid w:val="00E04965"/>
    <w:rsid w:val="00E375EC"/>
    <w:rsid w:val="00E50D6D"/>
    <w:rsid w:val="00E73504"/>
    <w:rsid w:val="00E74641"/>
    <w:rsid w:val="00E76D84"/>
    <w:rsid w:val="00E91096"/>
    <w:rsid w:val="00E92414"/>
    <w:rsid w:val="00ED5C99"/>
    <w:rsid w:val="00F24651"/>
    <w:rsid w:val="00F47296"/>
    <w:rsid w:val="00F7236C"/>
    <w:rsid w:val="00FA1F29"/>
    <w:rsid w:val="00FA404A"/>
    <w:rsid w:val="00FD5471"/>
    <w:rsid w:val="00FE63FF"/>
    <w:rsid w:val="00FF1B9E"/>
    <w:rsid w:val="00FF5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54"/>
    <w:pPr>
      <w:bidi/>
      <w:spacing w:after="0" w:line="240" w:lineRule="auto"/>
    </w:pPr>
    <w:rPr>
      <w:sz w:val="24"/>
      <w:szCs w:val="24"/>
      <w:lang w:eastAsia="en-US"/>
    </w:rPr>
  </w:style>
  <w:style w:type="paragraph" w:styleId="Heading2">
    <w:name w:val="heading 2"/>
    <w:basedOn w:val="Normal"/>
    <w:next w:val="Normal"/>
    <w:link w:val="Heading2Char"/>
    <w:uiPriority w:val="99"/>
    <w:qFormat/>
    <w:rsid w:val="004D5F2F"/>
    <w:pPr>
      <w:keepNext/>
      <w:bidi w:val="0"/>
      <w:spacing w:before="240" w:line="360" w:lineRule="auto"/>
      <w:jc w:val="lowKashida"/>
      <w:outlineLvl w:val="1"/>
    </w:pPr>
    <w:rPr>
      <w:rFonts w:cs="Traditional Arabic"/>
      <w:b/>
      <w:bCs/>
      <w:sz w:val="28"/>
    </w:rPr>
  </w:style>
  <w:style w:type="paragraph" w:styleId="Heading3">
    <w:name w:val="heading 3"/>
    <w:basedOn w:val="Normal"/>
    <w:next w:val="Normal"/>
    <w:link w:val="Heading3Char"/>
    <w:uiPriority w:val="99"/>
    <w:qFormat/>
    <w:rsid w:val="00A55A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D5F2F"/>
    <w:pPr>
      <w:keepNext/>
      <w:bidi w:val="0"/>
      <w:spacing w:before="40"/>
      <w:ind w:firstLine="567"/>
      <w:jc w:val="lowKashida"/>
      <w:outlineLvl w:val="3"/>
    </w:pPr>
    <w:rPr>
      <w:rFonts w:cs="Traditional Arabic"/>
      <w:sz w:val="28"/>
    </w:rPr>
  </w:style>
  <w:style w:type="paragraph" w:styleId="Heading5">
    <w:name w:val="heading 5"/>
    <w:basedOn w:val="Normal"/>
    <w:next w:val="Normal"/>
    <w:link w:val="Heading5Char"/>
    <w:uiPriority w:val="99"/>
    <w:qFormat/>
    <w:rsid w:val="00C8779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234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97234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972341"/>
    <w:rPr>
      <w:rFonts w:ascii="Calibri" w:hAnsi="Calibri" w:cs="Arial"/>
      <w:b/>
      <w:bCs/>
      <w:sz w:val="28"/>
      <w:szCs w:val="28"/>
      <w:lang w:val="en-US" w:eastAsia="en-US"/>
    </w:rPr>
  </w:style>
  <w:style w:type="character" w:customStyle="1" w:styleId="Heading5Char">
    <w:name w:val="Heading 5 Char"/>
    <w:basedOn w:val="DefaultParagraphFont"/>
    <w:link w:val="Heading5"/>
    <w:uiPriority w:val="99"/>
    <w:semiHidden/>
    <w:locked/>
    <w:rsid w:val="00972341"/>
    <w:rPr>
      <w:rFonts w:ascii="Calibri" w:hAnsi="Calibri" w:cs="Arial"/>
      <w:b/>
      <w:bCs/>
      <w:i/>
      <w:iCs/>
      <w:sz w:val="26"/>
      <w:szCs w:val="26"/>
      <w:lang w:val="en-US" w:eastAsia="en-US"/>
    </w:rPr>
  </w:style>
  <w:style w:type="paragraph" w:styleId="BodyText">
    <w:name w:val="Body Text"/>
    <w:basedOn w:val="Normal"/>
    <w:link w:val="BodyTextChar"/>
    <w:uiPriority w:val="99"/>
    <w:rsid w:val="004D5F2F"/>
    <w:pPr>
      <w:bidi w:val="0"/>
      <w:spacing w:before="240" w:line="360" w:lineRule="auto"/>
      <w:jc w:val="lowKashida"/>
    </w:pPr>
    <w:rPr>
      <w:rFonts w:cs="Traditional Arabic"/>
      <w:b/>
      <w:bCs/>
      <w:sz w:val="28"/>
    </w:rPr>
  </w:style>
  <w:style w:type="character" w:customStyle="1" w:styleId="BodyTextChar">
    <w:name w:val="Body Text Char"/>
    <w:basedOn w:val="DefaultParagraphFont"/>
    <w:link w:val="BodyText"/>
    <w:uiPriority w:val="99"/>
    <w:semiHidden/>
    <w:locked/>
    <w:rsid w:val="00972341"/>
    <w:rPr>
      <w:rFonts w:cs="Times New Roman"/>
      <w:sz w:val="24"/>
      <w:szCs w:val="24"/>
      <w:lang w:val="en-US" w:eastAsia="en-US"/>
    </w:rPr>
  </w:style>
  <w:style w:type="paragraph" w:styleId="BodyText3">
    <w:name w:val="Body Text 3"/>
    <w:basedOn w:val="Normal"/>
    <w:link w:val="BodyText3Char"/>
    <w:uiPriority w:val="99"/>
    <w:rsid w:val="008C1450"/>
    <w:pPr>
      <w:spacing w:after="120"/>
    </w:pPr>
    <w:rPr>
      <w:sz w:val="16"/>
      <w:szCs w:val="16"/>
    </w:rPr>
  </w:style>
  <w:style w:type="character" w:customStyle="1" w:styleId="BodyText3Char">
    <w:name w:val="Body Text 3 Char"/>
    <w:basedOn w:val="DefaultParagraphFont"/>
    <w:link w:val="BodyText3"/>
    <w:uiPriority w:val="99"/>
    <w:semiHidden/>
    <w:locked/>
    <w:rsid w:val="00972341"/>
    <w:rPr>
      <w:rFonts w:cs="Times New Roman"/>
      <w:sz w:val="16"/>
      <w:szCs w:val="16"/>
      <w:lang w:val="en-US" w:eastAsia="en-US"/>
    </w:rPr>
  </w:style>
  <w:style w:type="paragraph" w:styleId="Header">
    <w:name w:val="header"/>
    <w:basedOn w:val="Normal"/>
    <w:link w:val="HeaderChar"/>
    <w:uiPriority w:val="99"/>
    <w:rsid w:val="008C1450"/>
    <w:pPr>
      <w:tabs>
        <w:tab w:val="center" w:pos="4153"/>
        <w:tab w:val="right" w:pos="8306"/>
      </w:tabs>
    </w:pPr>
    <w:rPr>
      <w:rFonts w:cs="Traditional Arabic"/>
      <w:sz w:val="20"/>
    </w:rPr>
  </w:style>
  <w:style w:type="character" w:customStyle="1" w:styleId="HeaderChar">
    <w:name w:val="Header Char"/>
    <w:basedOn w:val="DefaultParagraphFont"/>
    <w:link w:val="Header"/>
    <w:uiPriority w:val="99"/>
    <w:semiHidden/>
    <w:locked/>
    <w:rsid w:val="00972341"/>
    <w:rPr>
      <w:rFonts w:cs="Times New Roman"/>
      <w:sz w:val="24"/>
      <w:szCs w:val="24"/>
      <w:lang w:val="en-US" w:eastAsia="en-US"/>
    </w:rPr>
  </w:style>
  <w:style w:type="character" w:styleId="CommentReference">
    <w:name w:val="annotation reference"/>
    <w:basedOn w:val="DefaultParagraphFont"/>
    <w:uiPriority w:val="99"/>
    <w:semiHidden/>
    <w:rsid w:val="003162E5"/>
    <w:rPr>
      <w:rFonts w:cs="Times New Roman"/>
      <w:sz w:val="16"/>
      <w:szCs w:val="16"/>
    </w:rPr>
  </w:style>
  <w:style w:type="paragraph" w:styleId="CommentText">
    <w:name w:val="annotation text"/>
    <w:basedOn w:val="Normal"/>
    <w:link w:val="CommentTextChar"/>
    <w:uiPriority w:val="99"/>
    <w:semiHidden/>
    <w:rsid w:val="003162E5"/>
    <w:rPr>
      <w:sz w:val="20"/>
      <w:szCs w:val="20"/>
    </w:rPr>
  </w:style>
  <w:style w:type="character" w:customStyle="1" w:styleId="CommentTextChar">
    <w:name w:val="Comment Text Char"/>
    <w:basedOn w:val="DefaultParagraphFont"/>
    <w:link w:val="CommentText"/>
    <w:uiPriority w:val="99"/>
    <w:semiHidden/>
    <w:locked/>
    <w:rsid w:val="003162E5"/>
    <w:rPr>
      <w:rFonts w:cs="Times New Roman"/>
      <w:sz w:val="20"/>
      <w:szCs w:val="20"/>
    </w:rPr>
  </w:style>
  <w:style w:type="paragraph" w:styleId="CommentSubject">
    <w:name w:val="annotation subject"/>
    <w:basedOn w:val="CommentText"/>
    <w:next w:val="CommentText"/>
    <w:link w:val="CommentSubjectChar"/>
    <w:uiPriority w:val="99"/>
    <w:semiHidden/>
    <w:rsid w:val="003162E5"/>
    <w:rPr>
      <w:b/>
      <w:bCs/>
    </w:rPr>
  </w:style>
  <w:style w:type="character" w:customStyle="1" w:styleId="CommentSubjectChar">
    <w:name w:val="Comment Subject Char"/>
    <w:basedOn w:val="CommentTextChar"/>
    <w:link w:val="CommentSubject"/>
    <w:uiPriority w:val="99"/>
    <w:semiHidden/>
    <w:locked/>
    <w:rsid w:val="003162E5"/>
    <w:rPr>
      <w:b/>
      <w:bCs/>
    </w:rPr>
  </w:style>
  <w:style w:type="paragraph" w:styleId="BalloonText">
    <w:name w:val="Balloon Text"/>
    <w:basedOn w:val="Normal"/>
    <w:link w:val="BalloonTextChar"/>
    <w:uiPriority w:val="99"/>
    <w:semiHidden/>
    <w:rsid w:val="003162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E5"/>
    <w:rPr>
      <w:rFonts w:ascii="Tahoma" w:hAnsi="Tahoma" w:cs="Tahoma"/>
      <w:sz w:val="16"/>
      <w:szCs w:val="16"/>
    </w:rPr>
  </w:style>
  <w:style w:type="paragraph" w:styleId="Footer">
    <w:name w:val="footer"/>
    <w:basedOn w:val="Normal"/>
    <w:link w:val="FooterChar"/>
    <w:uiPriority w:val="99"/>
    <w:rsid w:val="00E0433A"/>
    <w:pPr>
      <w:tabs>
        <w:tab w:val="center" w:pos="4153"/>
        <w:tab w:val="right" w:pos="8306"/>
      </w:tabs>
    </w:pPr>
  </w:style>
  <w:style w:type="character" w:customStyle="1" w:styleId="FooterChar">
    <w:name w:val="Footer Char"/>
    <w:basedOn w:val="DefaultParagraphFont"/>
    <w:link w:val="Footer"/>
    <w:uiPriority w:val="99"/>
    <w:locked/>
    <w:rsid w:val="00E0433A"/>
    <w:rPr>
      <w:rFonts w:cs="Times New Roman"/>
      <w:sz w:val="24"/>
      <w:szCs w:val="24"/>
    </w:rPr>
  </w:style>
  <w:style w:type="table" w:styleId="TableGrid">
    <w:name w:val="Table Grid"/>
    <w:basedOn w:val="TableNormal"/>
    <w:uiPriority w:val="99"/>
    <w:rsid w:val="00E0433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A061E2"/>
    <w:rPr>
      <w:rFonts w:cs="Times New Roman"/>
      <w:color w:val="0000FF"/>
      <w:u w:val="single"/>
    </w:rPr>
  </w:style>
  <w:style w:type="character" w:customStyle="1" w:styleId="NoSpacingChar">
    <w:name w:val="No Spacing Char"/>
    <w:link w:val="NoSpacing"/>
    <w:locked/>
    <w:rsid w:val="00A061E2"/>
    <w:rPr>
      <w:rFonts w:eastAsia="宋体"/>
      <w:sz w:val="24"/>
      <w:lang w:eastAsia="zh-CN"/>
    </w:rPr>
  </w:style>
  <w:style w:type="paragraph" w:styleId="NoSpacing">
    <w:name w:val="No Spacing"/>
    <w:basedOn w:val="Normal"/>
    <w:link w:val="NoSpacingChar"/>
    <w:qFormat/>
    <w:rsid w:val="00A061E2"/>
    <w:pPr>
      <w:bidi w:val="0"/>
      <w:spacing w:before="100" w:beforeAutospacing="1" w:after="100" w:afterAutospacing="1"/>
    </w:pPr>
    <w:rPr>
      <w:rFonts w:eastAsia="宋体"/>
      <w:lang w:eastAsia="zh-CN"/>
    </w:rPr>
  </w:style>
  <w:style w:type="character" w:customStyle="1" w:styleId="msonormal0">
    <w:name w:val="msonormal0"/>
    <w:rsid w:val="00A061E2"/>
  </w:style>
  <w:style w:type="character" w:customStyle="1" w:styleId="Absatz-Standardschriftart">
    <w:name w:val="Absatz-Standardschriftart"/>
    <w:rsid w:val="00A061E2"/>
  </w:style>
</w:styles>
</file>

<file path=word/webSettings.xml><?xml version="1.0" encoding="utf-8"?>
<w:webSettings xmlns:r="http://schemas.openxmlformats.org/officeDocument/2006/relationships" xmlns:w="http://schemas.openxmlformats.org/wordprocessingml/2006/main">
  <w:divs>
    <w:div w:id="667365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ahmedenbedo@hotmail.com" TargetMode="External"/><Relationship Id="rId12" Type="http://schemas.openxmlformats.org/officeDocument/2006/relationships/image" Target="media/image1.wmf"/><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cbj050415.08" TargetMode="Externa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3503</Words>
  <Characters>19342</Characters>
  <Application>Microsoft Office Word</Application>
  <DocSecurity>0</DocSecurity>
  <Lines>161</Lines>
  <Paragraphs>45</Paragraphs>
  <ScaleCrop>false</ScaleCrop>
  <Company>&lt;egyptian hak&gt;</Company>
  <LinksUpToDate>false</LinksUpToDate>
  <CharactersWithSpaces>22800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Prognostic Value of Doppler Perfusion Index in Early Colorectal Cancer for Adjuvant Chemotherapy</dc:title>
  <dc:creator>ldm</dc:creator>
  <cp:lastModifiedBy>Administrator</cp:lastModifiedBy>
  <cp:revision>6</cp:revision>
  <cp:lastPrinted>2015-12-10T01:34:00Z</cp:lastPrinted>
  <dcterms:created xsi:type="dcterms:W3CDTF">2015-12-10T12:50:00Z</dcterms:created>
  <dcterms:modified xsi:type="dcterms:W3CDTF">2015-12-10T02:35:00Z</dcterms:modified>
</cp:coreProperties>
</file>