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64" w:rsidRPr="00A37749" w:rsidRDefault="00EA5D64" w:rsidP="001F1FA9">
      <w:pPr>
        <w:autoSpaceDE w:val="0"/>
        <w:autoSpaceDN w:val="0"/>
        <w:adjustRightInd w:val="0"/>
        <w:spacing w:after="0" w:line="240" w:lineRule="auto"/>
        <w:jc w:val="center"/>
        <w:rPr>
          <w:rFonts w:asciiTheme="majorBidi" w:hAnsiTheme="majorBidi" w:cstheme="majorBidi"/>
          <w:b/>
          <w:bCs/>
          <w:sz w:val="20"/>
          <w:szCs w:val="20"/>
        </w:rPr>
      </w:pPr>
      <w:r w:rsidRPr="00A37749">
        <w:rPr>
          <w:rFonts w:asciiTheme="majorBidi" w:eastAsia="MS Mincho" w:hAnsiTheme="majorBidi" w:cstheme="majorBidi"/>
          <w:b/>
          <w:bCs/>
          <w:sz w:val="20"/>
          <w:szCs w:val="20"/>
          <w:lang w:eastAsia="ja-JP"/>
        </w:rPr>
        <w:t>Prognostic Impact of Lymph Node</w:t>
      </w:r>
      <w:r w:rsidR="009E25CF" w:rsidRPr="00A37749">
        <w:rPr>
          <w:rFonts w:asciiTheme="majorBidi" w:eastAsia="MS Mincho" w:hAnsiTheme="majorBidi" w:cstheme="majorBidi"/>
          <w:b/>
          <w:bCs/>
          <w:sz w:val="20"/>
          <w:szCs w:val="20"/>
          <w:lang w:eastAsia="ja-JP"/>
        </w:rPr>
        <w:t>s</w:t>
      </w:r>
      <w:r w:rsidRPr="00A37749">
        <w:rPr>
          <w:rFonts w:asciiTheme="majorBidi" w:eastAsia="MS Mincho" w:hAnsiTheme="majorBidi" w:cstheme="majorBidi"/>
          <w:b/>
          <w:bCs/>
          <w:sz w:val="20"/>
          <w:szCs w:val="20"/>
          <w:lang w:eastAsia="ja-JP"/>
        </w:rPr>
        <w:t xml:space="preserve"> Metasta</w:t>
      </w:r>
      <w:r w:rsidR="009E25CF" w:rsidRPr="00A37749">
        <w:rPr>
          <w:rFonts w:asciiTheme="majorBidi" w:eastAsia="MS Mincho" w:hAnsiTheme="majorBidi" w:cstheme="majorBidi"/>
          <w:b/>
          <w:bCs/>
          <w:color w:val="000000" w:themeColor="text1"/>
          <w:sz w:val="20"/>
          <w:szCs w:val="20"/>
          <w:lang w:eastAsia="ja-JP"/>
        </w:rPr>
        <w:t>ses</w:t>
      </w:r>
      <w:r w:rsidRPr="00A37749">
        <w:rPr>
          <w:rFonts w:asciiTheme="majorBidi" w:eastAsia="MS Mincho" w:hAnsiTheme="majorBidi" w:cstheme="majorBidi"/>
          <w:b/>
          <w:bCs/>
          <w:sz w:val="20"/>
          <w:szCs w:val="20"/>
          <w:lang w:eastAsia="ja-JP"/>
        </w:rPr>
        <w:t xml:space="preserve"> in Hepatocellular Carcinoma</w:t>
      </w:r>
    </w:p>
    <w:p w:rsidR="00913E71" w:rsidRPr="00A37749" w:rsidRDefault="00913E71" w:rsidP="00913E71">
      <w:pPr>
        <w:autoSpaceDE w:val="0"/>
        <w:autoSpaceDN w:val="0"/>
        <w:adjustRightInd w:val="0"/>
        <w:spacing w:after="0" w:line="240" w:lineRule="auto"/>
        <w:jc w:val="center"/>
        <w:rPr>
          <w:rFonts w:ascii="Times New Roman" w:eastAsia="Times New Roman+FPEF" w:hAnsi="Times New Roman" w:cs="Times New Roman"/>
          <w:b/>
          <w:bCs/>
          <w:color w:val="000000"/>
          <w:sz w:val="20"/>
          <w:szCs w:val="20"/>
          <w:lang w:eastAsia="ja-JP"/>
        </w:rPr>
      </w:pPr>
    </w:p>
    <w:p w:rsidR="00913E71" w:rsidRPr="00A37749" w:rsidRDefault="00913E71" w:rsidP="00913E71">
      <w:pPr>
        <w:autoSpaceDE w:val="0"/>
        <w:autoSpaceDN w:val="0"/>
        <w:adjustRightInd w:val="0"/>
        <w:spacing w:after="0" w:line="240" w:lineRule="auto"/>
        <w:jc w:val="center"/>
        <w:rPr>
          <w:rFonts w:ascii="Times New Roman" w:eastAsia="Times New Roman+FPEF" w:hAnsi="Times New Roman" w:cs="Times New Roman"/>
          <w:color w:val="000000"/>
          <w:sz w:val="20"/>
          <w:szCs w:val="20"/>
          <w:lang w:eastAsia="ja-JP"/>
        </w:rPr>
      </w:pPr>
      <w:proofErr w:type="spellStart"/>
      <w:proofErr w:type="gramStart"/>
      <w:r w:rsidRPr="00A37749">
        <w:rPr>
          <w:rFonts w:ascii="Times New Roman" w:eastAsia="Times New Roman+FPEF" w:hAnsi="Times New Roman" w:cs="Times New Roman"/>
          <w:color w:val="000000"/>
          <w:sz w:val="20"/>
          <w:szCs w:val="20"/>
          <w:lang w:eastAsia="ja-JP"/>
        </w:rPr>
        <w:t>Alaa</w:t>
      </w:r>
      <w:proofErr w:type="spellEnd"/>
      <w:r w:rsidRPr="00A37749">
        <w:rPr>
          <w:rFonts w:ascii="Times New Roman" w:eastAsia="Times New Roman+FPEF" w:hAnsi="Times New Roman" w:cs="Times New Roman"/>
          <w:color w:val="000000"/>
          <w:sz w:val="20"/>
          <w:szCs w:val="20"/>
          <w:lang w:eastAsia="ja-JP"/>
        </w:rPr>
        <w:t xml:space="preserve"> Maria and </w:t>
      </w:r>
      <w:proofErr w:type="spellStart"/>
      <w:r w:rsidRPr="00A37749">
        <w:rPr>
          <w:rFonts w:ascii="Times New Roman" w:eastAsia="Times New Roman+FPEF" w:hAnsi="Times New Roman" w:cs="Times New Roman"/>
          <w:color w:val="000000"/>
          <w:sz w:val="20"/>
          <w:szCs w:val="20"/>
          <w:lang w:eastAsia="ja-JP"/>
        </w:rPr>
        <w:t>Walid</w:t>
      </w:r>
      <w:proofErr w:type="spellEnd"/>
      <w:r w:rsidRPr="00A37749">
        <w:rPr>
          <w:rFonts w:ascii="Times New Roman" w:eastAsia="Times New Roman+FPEF" w:hAnsi="Times New Roman" w:cs="Times New Roman"/>
          <w:color w:val="000000"/>
          <w:sz w:val="20"/>
          <w:szCs w:val="20"/>
          <w:lang w:eastAsia="ja-JP"/>
        </w:rPr>
        <w:t xml:space="preserve"> Al-</w:t>
      </w:r>
      <w:proofErr w:type="spellStart"/>
      <w:r w:rsidRPr="00A37749">
        <w:rPr>
          <w:rFonts w:ascii="Times New Roman" w:eastAsia="Times New Roman+FPEF" w:hAnsi="Times New Roman" w:cs="Times New Roman"/>
          <w:color w:val="000000"/>
          <w:sz w:val="20"/>
          <w:szCs w:val="20"/>
          <w:lang w:eastAsia="ja-JP"/>
        </w:rPr>
        <w:t>Morsy</w:t>
      </w:r>
      <w:proofErr w:type="spellEnd"/>
      <w:r w:rsidR="0001311A" w:rsidRPr="00A37749">
        <w:rPr>
          <w:rFonts w:ascii="Times New Roman" w:eastAsia="Times New Roman+FPEF" w:hAnsi="Times New Roman" w:cs="Times New Roman"/>
          <w:color w:val="000000"/>
          <w:sz w:val="20"/>
          <w:szCs w:val="20"/>
          <w:lang w:eastAsia="ja-JP"/>
        </w:rPr>
        <w:t>.</w:t>
      </w:r>
      <w:proofErr w:type="gramEnd"/>
    </w:p>
    <w:p w:rsidR="00913E71" w:rsidRPr="00A37749" w:rsidRDefault="00913E71" w:rsidP="00913E71">
      <w:pPr>
        <w:autoSpaceDE w:val="0"/>
        <w:autoSpaceDN w:val="0"/>
        <w:adjustRightInd w:val="0"/>
        <w:spacing w:after="0" w:line="240" w:lineRule="auto"/>
        <w:jc w:val="center"/>
        <w:rPr>
          <w:rFonts w:ascii="Times New Roman" w:eastAsia="Times New Roman+FPEF" w:hAnsi="Times New Roman" w:cs="Times New Roman"/>
          <w:color w:val="000000"/>
          <w:sz w:val="20"/>
          <w:szCs w:val="20"/>
          <w:lang w:eastAsia="ja-JP"/>
        </w:rPr>
      </w:pPr>
      <w:r w:rsidRPr="00A37749">
        <w:rPr>
          <w:rFonts w:ascii="Times New Roman" w:eastAsia="Times New Roman+FPEF" w:hAnsi="Times New Roman" w:cs="Times New Roman"/>
          <w:color w:val="000000"/>
          <w:sz w:val="20"/>
          <w:szCs w:val="20"/>
          <w:lang w:eastAsia="ja-JP"/>
        </w:rPr>
        <w:t>Clinical Oncology Department, Faculty of Medicine, Tanta University, Egypt</w:t>
      </w:r>
    </w:p>
    <w:p w:rsidR="00EA5D64" w:rsidRPr="00A37749" w:rsidRDefault="00D060C0" w:rsidP="00913E71">
      <w:pPr>
        <w:autoSpaceDE w:val="0"/>
        <w:autoSpaceDN w:val="0"/>
        <w:adjustRightInd w:val="0"/>
        <w:spacing w:after="0" w:line="240" w:lineRule="auto"/>
        <w:jc w:val="center"/>
        <w:rPr>
          <w:rFonts w:asciiTheme="majorBidi" w:eastAsia="Times New Roman+FPEF" w:hAnsiTheme="majorBidi" w:cstheme="majorBidi"/>
          <w:color w:val="000000"/>
          <w:sz w:val="20"/>
          <w:szCs w:val="20"/>
          <w:lang w:eastAsia="ja-JP"/>
        </w:rPr>
      </w:pPr>
      <w:hyperlink r:id="rId8" w:history="1">
        <w:r w:rsidR="00913E71" w:rsidRPr="00A37749">
          <w:rPr>
            <w:rStyle w:val="Hyperlink"/>
            <w:rFonts w:ascii="Times New Roman" w:eastAsia="Times New Roman+FPEF" w:hAnsi="Times New Roman" w:cs="Times New Roman"/>
            <w:sz w:val="20"/>
            <w:szCs w:val="20"/>
            <w:lang w:eastAsia="ja-JP"/>
          </w:rPr>
          <w:t>alaamaria1@hotmail.com</w:t>
        </w:r>
      </w:hyperlink>
    </w:p>
    <w:p w:rsidR="00913E71" w:rsidRPr="00A37749" w:rsidRDefault="00913E71" w:rsidP="009E25CF">
      <w:pPr>
        <w:autoSpaceDE w:val="0"/>
        <w:autoSpaceDN w:val="0"/>
        <w:adjustRightInd w:val="0"/>
        <w:spacing w:after="0" w:line="240" w:lineRule="auto"/>
        <w:ind w:left="360" w:hanging="360"/>
        <w:jc w:val="lowKashida"/>
        <w:rPr>
          <w:rFonts w:asciiTheme="majorBidi" w:hAnsiTheme="majorBidi" w:cstheme="majorBidi"/>
          <w:b/>
          <w:bCs/>
          <w:i/>
          <w:iCs/>
          <w:sz w:val="20"/>
          <w:szCs w:val="20"/>
        </w:rPr>
      </w:pPr>
    </w:p>
    <w:p w:rsidR="00EA5D64" w:rsidRPr="00A37749" w:rsidRDefault="0001311A" w:rsidP="00CD72F1">
      <w:pPr>
        <w:autoSpaceDE w:val="0"/>
        <w:autoSpaceDN w:val="0"/>
        <w:adjustRightInd w:val="0"/>
        <w:spacing w:after="0" w:line="240" w:lineRule="auto"/>
        <w:jc w:val="lowKashida"/>
        <w:rPr>
          <w:rFonts w:asciiTheme="majorBidi" w:hAnsiTheme="majorBidi" w:cstheme="majorBidi"/>
          <w:sz w:val="20"/>
          <w:szCs w:val="20"/>
        </w:rPr>
      </w:pPr>
      <w:r w:rsidRPr="00A37749">
        <w:rPr>
          <w:rFonts w:asciiTheme="majorBidi" w:hAnsiTheme="majorBidi" w:cstheme="majorBidi"/>
          <w:b/>
          <w:bCs/>
          <w:i/>
          <w:iCs/>
          <w:sz w:val="20"/>
          <w:szCs w:val="20"/>
        </w:rPr>
        <w:t xml:space="preserve">Abstract: </w:t>
      </w:r>
      <w:r w:rsidR="00EA5D64" w:rsidRPr="00A37749">
        <w:rPr>
          <w:rFonts w:asciiTheme="majorBidi" w:hAnsiTheme="majorBidi" w:cstheme="majorBidi"/>
          <w:b/>
          <w:bCs/>
          <w:i/>
          <w:iCs/>
          <w:sz w:val="20"/>
          <w:szCs w:val="20"/>
        </w:rPr>
        <w:t xml:space="preserve">Purpose: </w:t>
      </w:r>
      <w:r w:rsidR="00EA5D64" w:rsidRPr="00A37749">
        <w:rPr>
          <w:rFonts w:asciiTheme="majorBidi" w:hAnsiTheme="majorBidi" w:cstheme="majorBidi"/>
          <w:sz w:val="20"/>
          <w:szCs w:val="20"/>
        </w:rPr>
        <w:t>E</w:t>
      </w:r>
      <w:r w:rsidR="00EA5D64" w:rsidRPr="00A37749">
        <w:rPr>
          <w:rFonts w:asciiTheme="majorBidi" w:hAnsiTheme="majorBidi" w:cstheme="majorBidi"/>
          <w:color w:val="1C1C1A"/>
          <w:sz w:val="20"/>
          <w:szCs w:val="20"/>
        </w:rPr>
        <w:t xml:space="preserve">xplore the </w:t>
      </w:r>
      <w:proofErr w:type="spellStart"/>
      <w:r w:rsidR="00EA5D64" w:rsidRPr="00A37749">
        <w:rPr>
          <w:rFonts w:asciiTheme="majorBidi" w:hAnsiTheme="majorBidi" w:cstheme="majorBidi"/>
          <w:color w:val="1C1C1A"/>
          <w:sz w:val="20"/>
          <w:szCs w:val="20"/>
        </w:rPr>
        <w:t>clinicopathological</w:t>
      </w:r>
      <w:proofErr w:type="spellEnd"/>
      <w:r w:rsidR="00EA5D64" w:rsidRPr="00A37749">
        <w:rPr>
          <w:rFonts w:asciiTheme="majorBidi" w:hAnsiTheme="majorBidi" w:cstheme="majorBidi"/>
          <w:color w:val="1C1C1A"/>
          <w:sz w:val="20"/>
          <w:szCs w:val="20"/>
        </w:rPr>
        <w:t xml:space="preserve"> characteristics of HCC patients and </w:t>
      </w:r>
      <w:r w:rsidR="009E25CF" w:rsidRPr="00A37749">
        <w:rPr>
          <w:rFonts w:asciiTheme="majorBidi" w:hAnsiTheme="majorBidi" w:cstheme="majorBidi"/>
          <w:color w:val="000000" w:themeColor="text1"/>
          <w:sz w:val="20"/>
          <w:szCs w:val="20"/>
        </w:rPr>
        <w:t>evaluate</w:t>
      </w:r>
      <w:r w:rsidR="00EA5D64" w:rsidRPr="00A37749">
        <w:rPr>
          <w:rFonts w:asciiTheme="majorBidi" w:hAnsiTheme="majorBidi" w:cstheme="majorBidi"/>
          <w:color w:val="1C1C1A"/>
          <w:sz w:val="20"/>
          <w:szCs w:val="20"/>
        </w:rPr>
        <w:t xml:space="preserve"> the impactof LN metastasis on survival.</w:t>
      </w:r>
      <w:r w:rsidR="00A37749" w:rsidRPr="00A37749">
        <w:rPr>
          <w:rFonts w:asciiTheme="majorBidi" w:hAnsiTheme="majorBidi" w:cstheme="majorBidi"/>
          <w:b/>
          <w:bCs/>
          <w:i/>
          <w:iCs/>
          <w:sz w:val="20"/>
          <w:szCs w:val="20"/>
        </w:rPr>
        <w:t xml:space="preserve"> </w:t>
      </w:r>
      <w:r w:rsidR="00EA5D64" w:rsidRPr="00A37749">
        <w:rPr>
          <w:rFonts w:asciiTheme="majorBidi" w:hAnsiTheme="majorBidi" w:cstheme="majorBidi"/>
          <w:b/>
          <w:bCs/>
          <w:i/>
          <w:iCs/>
          <w:sz w:val="20"/>
          <w:szCs w:val="20"/>
        </w:rPr>
        <w:t>Material and Methods:</w:t>
      </w:r>
      <w:r w:rsidR="00A37749" w:rsidRPr="00A37749">
        <w:rPr>
          <w:rFonts w:asciiTheme="majorBidi" w:hAnsiTheme="majorBidi" w:cstheme="majorBidi"/>
          <w:sz w:val="20"/>
          <w:szCs w:val="20"/>
        </w:rPr>
        <w:t xml:space="preserve"> </w:t>
      </w:r>
      <w:r w:rsidR="00EA5D64" w:rsidRPr="00A37749">
        <w:rPr>
          <w:rFonts w:asciiTheme="majorBidi" w:hAnsiTheme="majorBidi" w:cstheme="majorBidi"/>
          <w:sz w:val="20"/>
          <w:szCs w:val="20"/>
        </w:rPr>
        <w:t>C</w:t>
      </w:r>
      <w:r w:rsidR="00EA5D64" w:rsidRPr="00A37749">
        <w:rPr>
          <w:rFonts w:asciiTheme="majorBidi" w:hAnsiTheme="majorBidi" w:cstheme="majorBidi"/>
          <w:color w:val="1C1C1A"/>
          <w:sz w:val="20"/>
          <w:szCs w:val="20"/>
        </w:rPr>
        <w:t xml:space="preserve">linical data of </w:t>
      </w:r>
      <w:r w:rsidR="00EA5D64" w:rsidRPr="00A37749">
        <w:rPr>
          <w:rFonts w:asciiTheme="majorBidi" w:hAnsiTheme="majorBidi" w:cstheme="majorBidi"/>
          <w:sz w:val="20"/>
          <w:szCs w:val="20"/>
        </w:rPr>
        <w:t xml:space="preserve">261 HCC patients treated at Clinical Oncology Department, Tanta University </w:t>
      </w:r>
      <w:r w:rsidR="00EA5D64" w:rsidRPr="00A37749">
        <w:rPr>
          <w:rFonts w:asciiTheme="majorBidi" w:hAnsiTheme="majorBidi" w:cstheme="majorBidi"/>
          <w:color w:val="1C1C1A"/>
          <w:sz w:val="20"/>
          <w:szCs w:val="20"/>
        </w:rPr>
        <w:t>were retrieved from the collected database. Patients with LN</w:t>
      </w:r>
      <w:r w:rsidR="00E966D4" w:rsidRPr="00A37749">
        <w:rPr>
          <w:rFonts w:asciiTheme="majorBidi" w:hAnsiTheme="majorBidi" w:cstheme="majorBidi"/>
          <w:color w:val="1C1C1A"/>
          <w:sz w:val="20"/>
          <w:szCs w:val="20"/>
        </w:rPr>
        <w:t>s</w:t>
      </w:r>
      <w:r w:rsidR="00EA5D64" w:rsidRPr="00A37749">
        <w:rPr>
          <w:rFonts w:asciiTheme="majorBidi" w:hAnsiTheme="majorBidi" w:cstheme="majorBidi"/>
          <w:color w:val="000000" w:themeColor="text1"/>
          <w:sz w:val="20"/>
          <w:szCs w:val="20"/>
        </w:rPr>
        <w:t>metasta</w:t>
      </w:r>
      <w:r w:rsidR="009E25CF" w:rsidRPr="00A37749">
        <w:rPr>
          <w:rFonts w:asciiTheme="majorBidi" w:hAnsiTheme="majorBidi" w:cstheme="majorBidi"/>
          <w:color w:val="000000" w:themeColor="text1"/>
          <w:sz w:val="20"/>
          <w:szCs w:val="20"/>
        </w:rPr>
        <w:t>ses</w:t>
      </w:r>
      <w:r w:rsidR="00EA5D64" w:rsidRPr="00A37749">
        <w:rPr>
          <w:rFonts w:asciiTheme="majorBidi" w:hAnsiTheme="majorBidi" w:cstheme="majorBidi"/>
          <w:color w:val="1C1C1A"/>
          <w:sz w:val="20"/>
          <w:szCs w:val="20"/>
        </w:rPr>
        <w:t xml:space="preserve"> were compared with those without </w:t>
      </w:r>
      <w:proofErr w:type="spellStart"/>
      <w:r w:rsidR="00EA5D64" w:rsidRPr="00A37749">
        <w:rPr>
          <w:rFonts w:asciiTheme="majorBidi" w:hAnsiTheme="majorBidi" w:cstheme="majorBidi"/>
          <w:color w:val="1C1C1A"/>
          <w:sz w:val="20"/>
          <w:szCs w:val="20"/>
        </w:rPr>
        <w:t>LN</w:t>
      </w:r>
      <w:r w:rsidR="009E25CF" w:rsidRPr="00A37749">
        <w:rPr>
          <w:rFonts w:asciiTheme="majorBidi" w:hAnsiTheme="majorBidi" w:cstheme="majorBidi"/>
          <w:color w:val="1C1C1A"/>
          <w:sz w:val="20"/>
          <w:szCs w:val="20"/>
        </w:rPr>
        <w:t>s</w:t>
      </w:r>
      <w:r w:rsidR="00EA5D64" w:rsidRPr="00A37749">
        <w:rPr>
          <w:rFonts w:asciiTheme="majorBidi" w:hAnsiTheme="majorBidi" w:cstheme="majorBidi"/>
          <w:color w:val="000000" w:themeColor="text1"/>
          <w:sz w:val="20"/>
          <w:szCs w:val="20"/>
        </w:rPr>
        <w:t>metasta</w:t>
      </w:r>
      <w:r w:rsidR="009E25CF" w:rsidRPr="00A37749">
        <w:rPr>
          <w:rFonts w:asciiTheme="majorBidi" w:hAnsiTheme="majorBidi" w:cstheme="majorBidi"/>
          <w:color w:val="000000" w:themeColor="text1"/>
          <w:sz w:val="20"/>
          <w:szCs w:val="20"/>
        </w:rPr>
        <w:t>ses</w:t>
      </w:r>
      <w:proofErr w:type="spellEnd"/>
      <w:r w:rsidR="00EA5D64" w:rsidRPr="00A37749">
        <w:rPr>
          <w:rFonts w:asciiTheme="majorBidi" w:hAnsiTheme="majorBidi" w:cstheme="majorBidi"/>
          <w:color w:val="000000" w:themeColor="text1"/>
          <w:sz w:val="20"/>
          <w:szCs w:val="20"/>
        </w:rPr>
        <w:t>.</w:t>
      </w:r>
      <w:r w:rsidR="00A37749" w:rsidRPr="00A37749">
        <w:rPr>
          <w:rFonts w:asciiTheme="majorBidi" w:hAnsiTheme="majorBidi" w:cstheme="majorBidi"/>
          <w:b/>
          <w:bCs/>
          <w:i/>
          <w:iCs/>
          <w:sz w:val="20"/>
          <w:szCs w:val="20"/>
        </w:rPr>
        <w:t xml:space="preserve"> </w:t>
      </w:r>
      <w:r w:rsidR="00EA5D64" w:rsidRPr="00A37749">
        <w:rPr>
          <w:rFonts w:asciiTheme="majorBidi" w:hAnsiTheme="majorBidi" w:cstheme="majorBidi"/>
          <w:b/>
          <w:bCs/>
          <w:i/>
          <w:iCs/>
          <w:sz w:val="20"/>
          <w:szCs w:val="20"/>
        </w:rPr>
        <w:t>Results:</w:t>
      </w:r>
      <w:r w:rsidR="00A37749" w:rsidRPr="00A37749">
        <w:rPr>
          <w:rFonts w:asciiTheme="majorBidi" w:hAnsiTheme="majorBidi" w:cstheme="majorBidi"/>
          <w:sz w:val="20"/>
          <w:szCs w:val="20"/>
        </w:rPr>
        <w:t xml:space="preserve"> </w:t>
      </w:r>
      <w:r w:rsidR="00EA5D64" w:rsidRPr="00A37749">
        <w:rPr>
          <w:rFonts w:asciiTheme="majorBidi" w:hAnsiTheme="majorBidi" w:cstheme="majorBidi"/>
          <w:sz w:val="20"/>
          <w:szCs w:val="20"/>
        </w:rPr>
        <w:t>Patients without LN</w:t>
      </w:r>
      <w:r w:rsidR="009E25CF" w:rsidRPr="00A37749">
        <w:rPr>
          <w:rFonts w:asciiTheme="majorBidi" w:hAnsiTheme="majorBidi" w:cstheme="majorBidi"/>
          <w:sz w:val="20"/>
          <w:szCs w:val="20"/>
        </w:rPr>
        <w:t>s metastases</w:t>
      </w:r>
      <w:r w:rsidR="00EA5D64" w:rsidRPr="00A37749">
        <w:rPr>
          <w:rFonts w:asciiTheme="majorBidi" w:hAnsiTheme="majorBidi" w:cstheme="majorBidi"/>
          <w:sz w:val="20"/>
          <w:szCs w:val="20"/>
        </w:rPr>
        <w:t xml:space="preserve"> had a significantly better Child-Pugh score (</w:t>
      </w:r>
      <w:r w:rsidR="00EA5D64" w:rsidRPr="00A37749">
        <w:rPr>
          <w:rFonts w:asciiTheme="majorBidi" w:hAnsiTheme="majorBidi" w:cstheme="majorBidi"/>
          <w:i/>
          <w:iCs/>
          <w:sz w:val="20"/>
          <w:szCs w:val="20"/>
        </w:rPr>
        <w:t>p</w:t>
      </w:r>
      <w:r w:rsidR="00EA5D64" w:rsidRPr="00A37749">
        <w:rPr>
          <w:rFonts w:asciiTheme="majorBidi" w:hAnsiTheme="majorBidi" w:cstheme="majorBidi"/>
          <w:sz w:val="20"/>
          <w:szCs w:val="20"/>
        </w:rPr>
        <w:t xml:space="preserve">=0.004), smaller size of intra-hepatic focal lesion and better </w:t>
      </w:r>
      <w:r w:rsidR="00EA5D64" w:rsidRPr="00A37749">
        <w:rPr>
          <w:rFonts w:asciiTheme="majorBidi" w:hAnsiTheme="majorBidi" w:cstheme="majorBidi"/>
          <w:color w:val="000000" w:themeColor="text1"/>
          <w:sz w:val="20"/>
          <w:szCs w:val="20"/>
        </w:rPr>
        <w:t>tumor morphology</w:t>
      </w:r>
      <w:r w:rsidR="00EA5D64" w:rsidRPr="00A37749">
        <w:rPr>
          <w:rFonts w:asciiTheme="majorBidi" w:hAnsiTheme="majorBidi" w:cstheme="majorBidi"/>
          <w:sz w:val="20"/>
          <w:szCs w:val="20"/>
        </w:rPr>
        <w:t xml:space="preserve"> (</w:t>
      </w:r>
      <w:r w:rsidR="00EA5D64" w:rsidRPr="00A37749">
        <w:rPr>
          <w:rFonts w:asciiTheme="majorBidi" w:hAnsiTheme="majorBidi" w:cstheme="majorBidi"/>
          <w:i/>
          <w:iCs/>
          <w:sz w:val="20"/>
          <w:szCs w:val="20"/>
        </w:rPr>
        <w:t>p</w:t>
      </w:r>
      <w:r w:rsidR="00EA5D64" w:rsidRPr="00A37749">
        <w:rPr>
          <w:rFonts w:asciiTheme="majorBidi" w:hAnsiTheme="majorBidi" w:cstheme="majorBidi"/>
          <w:sz w:val="20"/>
          <w:szCs w:val="20"/>
        </w:rPr>
        <w:t>=0.003). The most frequent extra-hepatic metastases sites were LNs (44.4%) and bone (43.3%). The most common metastatic LNs were the para-aortic (</w:t>
      </w:r>
      <w:r w:rsidR="00CD72F1" w:rsidRPr="00A37749">
        <w:rPr>
          <w:rFonts w:asciiTheme="majorBidi" w:hAnsiTheme="majorBidi" w:cstheme="majorBidi"/>
          <w:sz w:val="20"/>
          <w:szCs w:val="20"/>
        </w:rPr>
        <w:t>25.7</w:t>
      </w:r>
      <w:r w:rsidR="00EA5D64" w:rsidRPr="00A37749">
        <w:rPr>
          <w:rFonts w:asciiTheme="majorBidi" w:hAnsiTheme="majorBidi" w:cstheme="majorBidi"/>
          <w:sz w:val="20"/>
          <w:szCs w:val="20"/>
        </w:rPr>
        <w:t>%), porta</w:t>
      </w:r>
      <w:r w:rsidR="002D540D" w:rsidRPr="00A37749">
        <w:rPr>
          <w:rFonts w:asciiTheme="majorBidi" w:hAnsiTheme="majorBidi" w:cstheme="majorBidi" w:hint="cs"/>
          <w:sz w:val="20"/>
          <w:szCs w:val="20"/>
          <w:rtl/>
        </w:rPr>
        <w:t>-</w:t>
      </w:r>
      <w:proofErr w:type="spellStart"/>
      <w:r w:rsidR="00EA5D64" w:rsidRPr="00A37749">
        <w:rPr>
          <w:rFonts w:asciiTheme="majorBidi" w:hAnsiTheme="majorBidi" w:cstheme="majorBidi"/>
          <w:sz w:val="20"/>
          <w:szCs w:val="20"/>
        </w:rPr>
        <w:t>hepatis</w:t>
      </w:r>
      <w:proofErr w:type="spellEnd"/>
      <w:r w:rsidR="00EA5D64" w:rsidRPr="00A37749">
        <w:rPr>
          <w:rFonts w:asciiTheme="majorBidi" w:hAnsiTheme="majorBidi" w:cstheme="majorBidi"/>
          <w:sz w:val="20"/>
          <w:szCs w:val="20"/>
        </w:rPr>
        <w:t xml:space="preserve"> (</w:t>
      </w:r>
      <w:r w:rsidR="00CD72F1" w:rsidRPr="00A37749">
        <w:rPr>
          <w:rFonts w:asciiTheme="majorBidi" w:hAnsiTheme="majorBidi" w:cstheme="majorBidi"/>
          <w:sz w:val="20"/>
          <w:szCs w:val="20"/>
        </w:rPr>
        <w:t>21.8</w:t>
      </w:r>
      <w:r w:rsidR="00EA5D64" w:rsidRPr="00A37749">
        <w:rPr>
          <w:rFonts w:asciiTheme="majorBidi" w:hAnsiTheme="majorBidi" w:cstheme="majorBidi"/>
          <w:sz w:val="20"/>
          <w:szCs w:val="20"/>
        </w:rPr>
        <w:t>%). Patients received active treatment to control intra-hepatic disease had significantly higher median survival than patients underwent only supportive and palliative measures (</w:t>
      </w:r>
      <w:r w:rsidR="00EA5D64" w:rsidRPr="00A37749">
        <w:rPr>
          <w:rFonts w:asciiTheme="majorBidi" w:hAnsiTheme="majorBidi" w:cstheme="majorBidi"/>
          <w:i/>
          <w:iCs/>
          <w:sz w:val="20"/>
          <w:szCs w:val="20"/>
        </w:rPr>
        <w:t>p</w:t>
      </w:r>
      <w:r w:rsidR="00EA5D64" w:rsidRPr="00A37749">
        <w:rPr>
          <w:rFonts w:asciiTheme="majorBidi" w:hAnsiTheme="majorBidi" w:cstheme="majorBidi"/>
          <w:sz w:val="20"/>
          <w:szCs w:val="20"/>
        </w:rPr>
        <w:t>&lt;0.001). The cumulative survival rates at 1- and 2-years after initial diagnosis of HCC were 28.7% and 5.3%, respectively. Five risk factors (performance status, size of primary intra-hepatic tumor, ascites, Child-Pugh score and L</w:t>
      </w:r>
      <w:r w:rsidR="009E25CF" w:rsidRPr="00A37749">
        <w:rPr>
          <w:rFonts w:asciiTheme="majorBidi" w:hAnsiTheme="majorBidi" w:cstheme="majorBidi"/>
          <w:sz w:val="20"/>
          <w:szCs w:val="20"/>
        </w:rPr>
        <w:t>.</w:t>
      </w:r>
      <w:r w:rsidR="00EA5D64" w:rsidRPr="00A37749">
        <w:rPr>
          <w:rFonts w:asciiTheme="majorBidi" w:hAnsiTheme="majorBidi" w:cstheme="majorBidi"/>
          <w:sz w:val="20"/>
          <w:szCs w:val="20"/>
        </w:rPr>
        <w:t>N</w:t>
      </w:r>
      <w:r w:rsidR="009E25CF" w:rsidRPr="00A37749">
        <w:rPr>
          <w:rFonts w:asciiTheme="majorBidi" w:hAnsiTheme="majorBidi" w:cstheme="majorBidi"/>
          <w:sz w:val="20"/>
          <w:szCs w:val="20"/>
        </w:rPr>
        <w:t>s</w:t>
      </w:r>
      <w:r w:rsidR="00EA5D64" w:rsidRPr="00A37749">
        <w:rPr>
          <w:rFonts w:asciiTheme="majorBidi" w:hAnsiTheme="majorBidi" w:cstheme="majorBidi"/>
          <w:color w:val="000000" w:themeColor="text1"/>
          <w:sz w:val="20"/>
          <w:szCs w:val="20"/>
        </w:rPr>
        <w:t>metasta</w:t>
      </w:r>
      <w:r w:rsidR="009E25CF" w:rsidRPr="00A37749">
        <w:rPr>
          <w:rFonts w:asciiTheme="majorBidi" w:hAnsiTheme="majorBidi" w:cstheme="majorBidi"/>
          <w:color w:val="000000" w:themeColor="text1"/>
          <w:sz w:val="20"/>
          <w:szCs w:val="20"/>
        </w:rPr>
        <w:t>se</w:t>
      </w:r>
      <w:r w:rsidR="00EA5D64" w:rsidRPr="00A37749">
        <w:rPr>
          <w:rFonts w:asciiTheme="majorBidi" w:hAnsiTheme="majorBidi" w:cstheme="majorBidi"/>
          <w:color w:val="000000" w:themeColor="text1"/>
          <w:sz w:val="20"/>
          <w:szCs w:val="20"/>
        </w:rPr>
        <w:t>s</w:t>
      </w:r>
      <w:r w:rsidR="00EA5D64" w:rsidRPr="00A37749">
        <w:rPr>
          <w:rFonts w:asciiTheme="majorBidi" w:hAnsiTheme="majorBidi" w:cstheme="majorBidi"/>
          <w:sz w:val="20"/>
          <w:szCs w:val="20"/>
        </w:rPr>
        <w:t>) were associated with significant effect on overall survival in univariate analysis (</w:t>
      </w:r>
      <w:r w:rsidR="00EA5D64" w:rsidRPr="00A37749">
        <w:rPr>
          <w:rFonts w:asciiTheme="majorBidi" w:hAnsiTheme="majorBidi" w:cstheme="majorBidi"/>
          <w:i/>
          <w:iCs/>
          <w:sz w:val="20"/>
          <w:szCs w:val="20"/>
        </w:rPr>
        <w:t>p</w:t>
      </w:r>
      <w:r w:rsidR="00EA5D64" w:rsidRPr="00A37749">
        <w:rPr>
          <w:rFonts w:asciiTheme="majorBidi" w:hAnsiTheme="majorBidi" w:cstheme="majorBidi"/>
          <w:sz w:val="20"/>
          <w:szCs w:val="20"/>
        </w:rPr>
        <w:t xml:space="preserve">&lt;0.001, =0.001, &lt;0.001, &lt;0.001 and &lt;0.001, respectively). On multivariate analysis, performance status, ascites and LN </w:t>
      </w:r>
      <w:r w:rsidR="00EA5D64" w:rsidRPr="00A37749">
        <w:rPr>
          <w:rFonts w:asciiTheme="majorBidi" w:hAnsiTheme="majorBidi" w:cstheme="majorBidi"/>
          <w:color w:val="000000" w:themeColor="text1"/>
          <w:sz w:val="20"/>
          <w:szCs w:val="20"/>
        </w:rPr>
        <w:t>metasta</w:t>
      </w:r>
      <w:r w:rsidR="009E25CF" w:rsidRPr="00A37749">
        <w:rPr>
          <w:rFonts w:asciiTheme="majorBidi" w:hAnsiTheme="majorBidi" w:cstheme="majorBidi"/>
          <w:color w:val="000000" w:themeColor="text1"/>
          <w:sz w:val="20"/>
          <w:szCs w:val="20"/>
        </w:rPr>
        <w:t>se</w:t>
      </w:r>
      <w:r w:rsidR="00EA5D64" w:rsidRPr="00A37749">
        <w:rPr>
          <w:rFonts w:asciiTheme="majorBidi" w:hAnsiTheme="majorBidi" w:cstheme="majorBidi"/>
          <w:color w:val="000000" w:themeColor="text1"/>
          <w:sz w:val="20"/>
          <w:szCs w:val="20"/>
        </w:rPr>
        <w:t>s</w:t>
      </w:r>
      <w:r w:rsidR="00EA5D64" w:rsidRPr="00A37749">
        <w:rPr>
          <w:rFonts w:asciiTheme="majorBidi" w:hAnsiTheme="majorBidi" w:cstheme="majorBidi"/>
          <w:sz w:val="20"/>
          <w:szCs w:val="20"/>
        </w:rPr>
        <w:t xml:space="preserve"> were independent risk factor of overall survival (</w:t>
      </w:r>
      <w:r w:rsidR="00EA5D64" w:rsidRPr="00A37749">
        <w:rPr>
          <w:rFonts w:asciiTheme="majorBidi" w:hAnsiTheme="majorBidi" w:cstheme="majorBidi"/>
          <w:i/>
          <w:iCs/>
          <w:sz w:val="20"/>
          <w:szCs w:val="20"/>
        </w:rPr>
        <w:t>p</w:t>
      </w:r>
      <w:r w:rsidR="00EA5D64" w:rsidRPr="00A37749">
        <w:rPr>
          <w:rFonts w:asciiTheme="majorBidi" w:hAnsiTheme="majorBidi" w:cstheme="majorBidi"/>
          <w:sz w:val="20"/>
          <w:szCs w:val="20"/>
        </w:rPr>
        <w:t xml:space="preserve">&lt;0.001, =0.022 and =0.013 respectively). </w:t>
      </w:r>
      <w:r w:rsidR="00EA5D64" w:rsidRPr="00A37749">
        <w:rPr>
          <w:rFonts w:asciiTheme="majorBidi" w:hAnsiTheme="majorBidi" w:cstheme="majorBidi"/>
          <w:b/>
          <w:bCs/>
          <w:i/>
          <w:iCs/>
          <w:sz w:val="20"/>
          <w:szCs w:val="20"/>
        </w:rPr>
        <w:t>Conclusion:</w:t>
      </w:r>
      <w:r w:rsidR="00EA5D64" w:rsidRPr="00A37749">
        <w:rPr>
          <w:rFonts w:asciiTheme="majorBidi" w:eastAsia="*HCI-Tulip-Identity-H" w:hAnsiTheme="majorBidi" w:cstheme="majorBidi"/>
          <w:sz w:val="20"/>
          <w:szCs w:val="20"/>
        </w:rPr>
        <w:t xml:space="preserve"> L</w:t>
      </w:r>
      <w:r w:rsidR="00EA5D64" w:rsidRPr="00A37749">
        <w:rPr>
          <w:rFonts w:asciiTheme="majorBidi" w:hAnsiTheme="majorBidi" w:cstheme="majorBidi"/>
          <w:sz w:val="20"/>
          <w:szCs w:val="20"/>
        </w:rPr>
        <w:t>ymph node</w:t>
      </w:r>
      <w:r w:rsidR="00EA5D64" w:rsidRPr="00A37749">
        <w:rPr>
          <w:rFonts w:asciiTheme="majorBidi" w:hAnsiTheme="majorBidi" w:cstheme="majorBidi"/>
          <w:color w:val="000000" w:themeColor="text1"/>
          <w:sz w:val="20"/>
          <w:szCs w:val="20"/>
        </w:rPr>
        <w:t>metasta</w:t>
      </w:r>
      <w:r w:rsidR="009E25CF" w:rsidRPr="00A37749">
        <w:rPr>
          <w:rFonts w:asciiTheme="majorBidi" w:hAnsiTheme="majorBidi" w:cstheme="majorBidi"/>
          <w:color w:val="000000" w:themeColor="text1"/>
          <w:sz w:val="20"/>
          <w:szCs w:val="20"/>
        </w:rPr>
        <w:t>s</w:t>
      </w:r>
      <w:r w:rsidR="008367EF" w:rsidRPr="00A37749">
        <w:rPr>
          <w:rFonts w:asciiTheme="majorBidi" w:hAnsiTheme="majorBidi" w:cstheme="majorBidi"/>
          <w:color w:val="000000" w:themeColor="text1"/>
          <w:sz w:val="20"/>
          <w:szCs w:val="20"/>
        </w:rPr>
        <w:t>i</w:t>
      </w:r>
      <w:r w:rsidR="00EA5D64" w:rsidRPr="00A37749">
        <w:rPr>
          <w:rFonts w:asciiTheme="majorBidi" w:hAnsiTheme="majorBidi" w:cstheme="majorBidi"/>
          <w:color w:val="000000" w:themeColor="text1"/>
          <w:sz w:val="20"/>
          <w:szCs w:val="20"/>
        </w:rPr>
        <w:t>s</w:t>
      </w:r>
      <w:r w:rsidR="00EA5D64" w:rsidRPr="00A37749">
        <w:rPr>
          <w:rFonts w:asciiTheme="majorBidi" w:hAnsiTheme="majorBidi" w:cstheme="majorBidi"/>
          <w:sz w:val="20"/>
          <w:szCs w:val="20"/>
        </w:rPr>
        <w:t xml:space="preserve"> was the commonest site of extra-hepatic metastases of primary HCC and</w:t>
      </w:r>
      <w:r w:rsidR="00EA5D64" w:rsidRPr="00A37749">
        <w:rPr>
          <w:rFonts w:asciiTheme="majorBidi" w:hAnsiTheme="majorBidi" w:cstheme="majorBidi"/>
          <w:color w:val="1C1C1A"/>
          <w:sz w:val="20"/>
          <w:szCs w:val="20"/>
        </w:rPr>
        <w:t xml:space="preserve"> presented with a multifocal, large tumor size (</w:t>
      </w:r>
      <w:r w:rsidR="00EA5D64" w:rsidRPr="00A37749">
        <w:rPr>
          <w:rFonts w:asciiTheme="majorBidi" w:eastAsia="Symbol-PSA" w:hAnsiTheme="majorBidi" w:cstheme="majorBidi"/>
          <w:color w:val="1C1C1A"/>
          <w:sz w:val="20"/>
          <w:szCs w:val="20"/>
        </w:rPr>
        <w:t xml:space="preserve">≥ </w:t>
      </w:r>
      <w:r w:rsidR="00EA5D64" w:rsidRPr="00A37749">
        <w:rPr>
          <w:rFonts w:asciiTheme="majorBidi" w:hAnsiTheme="majorBidi" w:cstheme="majorBidi"/>
          <w:color w:val="1C1C1A"/>
          <w:sz w:val="20"/>
          <w:szCs w:val="20"/>
        </w:rPr>
        <w:t>5 cm) with poor Child-Pugh score and</w:t>
      </w:r>
      <w:r w:rsidR="00EA5D64" w:rsidRPr="00A37749">
        <w:rPr>
          <w:rFonts w:asciiTheme="majorBidi" w:hAnsiTheme="majorBidi" w:cstheme="majorBidi"/>
          <w:sz w:val="20"/>
          <w:szCs w:val="20"/>
        </w:rPr>
        <w:t xml:space="preserve"> was one of the independent risk factors affecting overall survival. </w:t>
      </w:r>
      <w:r w:rsidR="00EA5D64" w:rsidRPr="00A37749">
        <w:rPr>
          <w:rFonts w:asciiTheme="majorBidi" w:hAnsiTheme="majorBidi" w:cstheme="majorBidi"/>
          <w:color w:val="000000" w:themeColor="text1"/>
          <w:sz w:val="20"/>
          <w:szCs w:val="20"/>
        </w:rPr>
        <w:t>Effective</w:t>
      </w:r>
      <w:r w:rsidR="00EA5D64" w:rsidRPr="00A37749">
        <w:rPr>
          <w:rFonts w:asciiTheme="majorBidi" w:hAnsiTheme="majorBidi" w:cstheme="majorBidi"/>
          <w:sz w:val="20"/>
          <w:szCs w:val="20"/>
        </w:rPr>
        <w:t>treatment for intra-hepatic lesions would benefit HCC patients with extra-hepatic metastases.</w:t>
      </w:r>
    </w:p>
    <w:p w:rsidR="00F847D9" w:rsidRPr="00A37749" w:rsidRDefault="00913E71" w:rsidP="006501C2">
      <w:pPr>
        <w:autoSpaceDE w:val="0"/>
        <w:autoSpaceDN w:val="0"/>
        <w:adjustRightInd w:val="0"/>
        <w:spacing w:after="0" w:line="240" w:lineRule="auto"/>
        <w:jc w:val="both"/>
        <w:rPr>
          <w:rFonts w:ascii="Times New Roman" w:eastAsia="Times New Roman+FPEF" w:hAnsi="Times New Roman" w:cs="Times New Roman"/>
          <w:sz w:val="20"/>
          <w:szCs w:val="20"/>
        </w:rPr>
      </w:pPr>
      <w:proofErr w:type="gramStart"/>
      <w:r w:rsidRPr="00A37749">
        <w:rPr>
          <w:rFonts w:asciiTheme="majorBidi" w:eastAsia="Times New Roman+FPEF" w:hAnsiTheme="majorBidi" w:cstheme="majorBidi"/>
          <w:color w:val="000000"/>
          <w:sz w:val="20"/>
          <w:szCs w:val="20"/>
          <w:lang w:eastAsia="ja-JP"/>
        </w:rPr>
        <w:t>[</w:t>
      </w:r>
      <w:proofErr w:type="spellStart"/>
      <w:r w:rsidRPr="00A37749">
        <w:rPr>
          <w:rFonts w:asciiTheme="majorBidi" w:eastAsia="Times New Roman+FPEF" w:hAnsiTheme="majorBidi" w:cstheme="majorBidi"/>
          <w:color w:val="000000"/>
          <w:sz w:val="20"/>
          <w:szCs w:val="20"/>
          <w:lang w:eastAsia="ja-JP"/>
        </w:rPr>
        <w:t>Alaa</w:t>
      </w:r>
      <w:proofErr w:type="spellEnd"/>
      <w:r w:rsidRPr="00A37749">
        <w:rPr>
          <w:rFonts w:asciiTheme="majorBidi" w:eastAsia="Times New Roman+FPEF" w:hAnsiTheme="majorBidi" w:cstheme="majorBidi"/>
          <w:color w:val="000000"/>
          <w:sz w:val="20"/>
          <w:szCs w:val="20"/>
          <w:lang w:eastAsia="ja-JP"/>
        </w:rPr>
        <w:t xml:space="preserve"> Maria and </w:t>
      </w:r>
      <w:proofErr w:type="spellStart"/>
      <w:r w:rsidRPr="00A37749">
        <w:rPr>
          <w:rFonts w:asciiTheme="majorBidi" w:eastAsia="Times New Roman+FPEF" w:hAnsiTheme="majorBidi" w:cstheme="majorBidi"/>
          <w:color w:val="000000"/>
          <w:sz w:val="20"/>
          <w:szCs w:val="20"/>
          <w:lang w:eastAsia="ja-JP"/>
        </w:rPr>
        <w:t>Walid</w:t>
      </w:r>
      <w:proofErr w:type="spellEnd"/>
      <w:r w:rsidRPr="00A37749">
        <w:rPr>
          <w:rFonts w:asciiTheme="majorBidi" w:eastAsia="Times New Roman+FPEF" w:hAnsiTheme="majorBidi" w:cstheme="majorBidi"/>
          <w:color w:val="000000"/>
          <w:sz w:val="20"/>
          <w:szCs w:val="20"/>
          <w:lang w:eastAsia="ja-JP"/>
        </w:rPr>
        <w:t xml:space="preserve"> Al-</w:t>
      </w:r>
      <w:proofErr w:type="spellStart"/>
      <w:r w:rsidRPr="00A37749">
        <w:rPr>
          <w:rFonts w:asciiTheme="majorBidi" w:eastAsia="Times New Roman+FPEF" w:hAnsiTheme="majorBidi" w:cstheme="majorBidi"/>
          <w:color w:val="000000"/>
          <w:sz w:val="20"/>
          <w:szCs w:val="20"/>
          <w:lang w:eastAsia="ja-JP"/>
        </w:rPr>
        <w:t>Morsy</w:t>
      </w:r>
      <w:proofErr w:type="spellEnd"/>
      <w:r w:rsidRPr="00A37749">
        <w:rPr>
          <w:rFonts w:asciiTheme="majorBidi" w:eastAsia="Times New Roman+FPEF" w:hAnsiTheme="majorBidi" w:cstheme="majorBidi"/>
          <w:sz w:val="20"/>
          <w:szCs w:val="20"/>
          <w:lang w:eastAsia="ja-JP"/>
        </w:rPr>
        <w:t>.</w:t>
      </w:r>
      <w:proofErr w:type="gramEnd"/>
      <w:r w:rsidR="006501C2" w:rsidRPr="00A37749">
        <w:rPr>
          <w:rFonts w:asciiTheme="majorBidi" w:eastAsia="MS Mincho" w:hAnsiTheme="majorBidi" w:cstheme="majorBidi"/>
          <w:b/>
          <w:bCs/>
          <w:sz w:val="20"/>
          <w:szCs w:val="20"/>
          <w:lang w:eastAsia="ja-JP"/>
        </w:rPr>
        <w:t xml:space="preserve"> </w:t>
      </w:r>
      <w:proofErr w:type="gramStart"/>
      <w:r w:rsidRPr="00A37749">
        <w:rPr>
          <w:rFonts w:asciiTheme="majorBidi" w:eastAsia="MS Mincho" w:hAnsiTheme="majorBidi" w:cstheme="majorBidi"/>
          <w:b/>
          <w:bCs/>
          <w:sz w:val="20"/>
          <w:szCs w:val="20"/>
          <w:lang w:eastAsia="ja-JP"/>
        </w:rPr>
        <w:t>Prognostic Impact of Lymph Node</w:t>
      </w:r>
      <w:r w:rsidR="00401574" w:rsidRPr="00A37749">
        <w:rPr>
          <w:rFonts w:asciiTheme="majorBidi" w:eastAsia="MS Mincho" w:hAnsiTheme="majorBidi" w:cstheme="majorBidi"/>
          <w:b/>
          <w:bCs/>
          <w:sz w:val="20"/>
          <w:szCs w:val="20"/>
          <w:lang w:eastAsia="ja-JP"/>
        </w:rPr>
        <w:t>s</w:t>
      </w:r>
      <w:r w:rsidRPr="00A37749">
        <w:rPr>
          <w:rFonts w:asciiTheme="majorBidi" w:eastAsia="MS Mincho" w:hAnsiTheme="majorBidi" w:cstheme="majorBidi"/>
          <w:b/>
          <w:bCs/>
          <w:sz w:val="20"/>
          <w:szCs w:val="20"/>
          <w:lang w:eastAsia="ja-JP"/>
        </w:rPr>
        <w:t xml:space="preserve"> Metastas</w:t>
      </w:r>
      <w:r w:rsidR="00401574" w:rsidRPr="00A37749">
        <w:rPr>
          <w:rFonts w:asciiTheme="majorBidi" w:eastAsia="MS Mincho" w:hAnsiTheme="majorBidi" w:cstheme="majorBidi"/>
          <w:b/>
          <w:bCs/>
          <w:sz w:val="20"/>
          <w:szCs w:val="20"/>
          <w:lang w:eastAsia="ja-JP"/>
        </w:rPr>
        <w:t>e</w:t>
      </w:r>
      <w:r w:rsidRPr="00A37749">
        <w:rPr>
          <w:rFonts w:asciiTheme="majorBidi" w:eastAsia="MS Mincho" w:hAnsiTheme="majorBidi" w:cstheme="majorBidi"/>
          <w:b/>
          <w:bCs/>
          <w:sz w:val="20"/>
          <w:szCs w:val="20"/>
          <w:lang w:eastAsia="ja-JP"/>
        </w:rPr>
        <w:t>s in Hepatocellular Carcinoma</w:t>
      </w:r>
      <w:r w:rsidR="0001311A" w:rsidRPr="00A37749">
        <w:rPr>
          <w:rFonts w:asciiTheme="majorBidi" w:eastAsia="MS Mincho" w:hAnsiTheme="majorBidi" w:cstheme="majorBidi"/>
          <w:b/>
          <w:bCs/>
          <w:sz w:val="20"/>
          <w:szCs w:val="20"/>
          <w:lang w:eastAsia="ja-JP"/>
        </w:rPr>
        <w:t>.</w:t>
      </w:r>
      <w:proofErr w:type="gramEnd"/>
      <w:r w:rsidR="006501C2" w:rsidRPr="00A37749">
        <w:rPr>
          <w:rFonts w:ascii="Times New Roman" w:hAnsi="Times New Roman" w:cs="Times New Roman"/>
          <w:i/>
          <w:iCs/>
          <w:color w:val="000000"/>
          <w:sz w:val="20"/>
          <w:szCs w:val="20"/>
          <w:shd w:val="clear" w:color="auto" w:fill="FFFFFF"/>
        </w:rPr>
        <w:t xml:space="preserve"> </w:t>
      </w:r>
      <w:r w:rsidR="00F847D9" w:rsidRPr="00A37749">
        <w:rPr>
          <w:rFonts w:ascii="Times New Roman" w:hAnsi="Times New Roman" w:cs="Times New Roman"/>
          <w:i/>
          <w:iCs/>
          <w:color w:val="000000"/>
          <w:sz w:val="20"/>
          <w:szCs w:val="20"/>
          <w:shd w:val="clear" w:color="auto" w:fill="FFFFFF"/>
        </w:rPr>
        <w:t>Cancer Biology</w:t>
      </w:r>
      <w:r w:rsidR="00F847D9" w:rsidRPr="00A37749">
        <w:rPr>
          <w:rStyle w:val="apple-converted-space"/>
          <w:rFonts w:ascii="Times New Roman" w:hAnsi="Times New Roman" w:cs="Times New Roman"/>
          <w:sz w:val="20"/>
          <w:szCs w:val="20"/>
          <w:shd w:val="clear" w:color="auto" w:fill="FFFFFF"/>
        </w:rPr>
        <w:t> </w:t>
      </w:r>
      <w:r w:rsidR="00F847D9" w:rsidRPr="00A37749">
        <w:rPr>
          <w:rFonts w:ascii="Times New Roman" w:hAnsi="Times New Roman" w:cs="Times New Roman"/>
          <w:color w:val="000000"/>
          <w:sz w:val="20"/>
          <w:szCs w:val="20"/>
          <w:shd w:val="clear" w:color="auto" w:fill="FFFFFF"/>
        </w:rPr>
        <w:t>2015</w:t>
      </w:r>
      <w:proofErr w:type="gramStart"/>
      <w:r w:rsidR="00F847D9" w:rsidRPr="00A37749">
        <w:rPr>
          <w:rFonts w:ascii="Times New Roman" w:hAnsi="Times New Roman" w:cs="Times New Roman"/>
          <w:color w:val="000000"/>
          <w:sz w:val="20"/>
          <w:szCs w:val="20"/>
          <w:shd w:val="clear" w:color="auto" w:fill="FFFFFF"/>
        </w:rPr>
        <w:t>;</w:t>
      </w:r>
      <w:r w:rsidR="001D6B6A" w:rsidRPr="00A37749">
        <w:rPr>
          <w:rFonts w:ascii="Times New Roman" w:hAnsi="Times New Roman" w:cs="Times New Roman"/>
          <w:sz w:val="20"/>
          <w:szCs w:val="20"/>
        </w:rPr>
        <w:t>5</w:t>
      </w:r>
      <w:proofErr w:type="gramEnd"/>
      <w:r w:rsidR="001D6B6A" w:rsidRPr="00A37749">
        <w:rPr>
          <w:rFonts w:ascii="Times New Roman" w:hAnsi="Times New Roman" w:cs="Times New Roman"/>
          <w:sz w:val="20"/>
          <w:szCs w:val="20"/>
        </w:rPr>
        <w:t>(4):87-93</w:t>
      </w:r>
      <w:r w:rsidR="00F847D9" w:rsidRPr="00A37749">
        <w:rPr>
          <w:rFonts w:ascii="Times New Roman" w:hAnsi="Times New Roman" w:cs="Times New Roman"/>
          <w:color w:val="000000"/>
          <w:sz w:val="20"/>
          <w:szCs w:val="20"/>
          <w:shd w:val="clear" w:color="auto" w:fill="FFFFFF"/>
        </w:rPr>
        <w:t>]. (ISSN:</w:t>
      </w:r>
      <w:r w:rsidR="00F847D9" w:rsidRPr="00A37749">
        <w:rPr>
          <w:rStyle w:val="apple-converted-space"/>
          <w:rFonts w:ascii="Times New Roman" w:hAnsi="Times New Roman" w:cs="Times New Roman"/>
          <w:b/>
          <w:bCs/>
          <w:sz w:val="20"/>
          <w:szCs w:val="20"/>
          <w:shd w:val="clear" w:color="auto" w:fill="FFFFFF"/>
        </w:rPr>
        <w:t> </w:t>
      </w:r>
      <w:r w:rsidR="00F847D9" w:rsidRPr="00A37749">
        <w:rPr>
          <w:rStyle w:val="msonormal0"/>
          <w:rFonts w:ascii="Times New Roman" w:hAnsi="Times New Roman" w:cs="Times New Roman"/>
          <w:color w:val="000000"/>
          <w:sz w:val="20"/>
          <w:szCs w:val="20"/>
          <w:shd w:val="clear" w:color="auto" w:fill="FFFFFF"/>
        </w:rPr>
        <w:t>2150-1041</w:t>
      </w:r>
      <w:r w:rsidR="00F847D9" w:rsidRPr="00A37749">
        <w:rPr>
          <w:rFonts w:ascii="Times New Roman" w:hAnsi="Times New Roman" w:cs="Times New Roman"/>
          <w:color w:val="000000"/>
          <w:sz w:val="20"/>
          <w:szCs w:val="20"/>
          <w:shd w:val="clear" w:color="auto" w:fill="FFFFFF"/>
        </w:rPr>
        <w:t>).</w:t>
      </w:r>
      <w:hyperlink r:id="rId9" w:history="1">
        <w:r w:rsidR="00F847D9" w:rsidRPr="00A37749">
          <w:rPr>
            <w:rStyle w:val="Hyperlink"/>
            <w:rFonts w:ascii="Times New Roman" w:hAnsi="Times New Roman" w:cs="Times New Roman"/>
            <w:sz w:val="20"/>
            <w:szCs w:val="20"/>
            <w:shd w:val="clear" w:color="auto" w:fill="FFFFFF"/>
          </w:rPr>
          <w:t>http://www.cancerbio.net</w:t>
        </w:r>
      </w:hyperlink>
      <w:r w:rsidR="00F847D9" w:rsidRPr="00A37749">
        <w:rPr>
          <w:rFonts w:ascii="Times New Roman" w:hAnsi="Times New Roman" w:cs="Times New Roman"/>
          <w:color w:val="000000"/>
          <w:sz w:val="20"/>
          <w:szCs w:val="20"/>
          <w:shd w:val="clear" w:color="auto" w:fill="FFFFFF"/>
        </w:rPr>
        <w:t>.</w:t>
      </w:r>
      <w:r w:rsidR="00910DCE" w:rsidRPr="00A37749">
        <w:rPr>
          <w:rFonts w:ascii="Times New Roman" w:hAnsi="Times New Roman" w:cs="Times New Roman"/>
          <w:color w:val="000000"/>
          <w:sz w:val="20"/>
          <w:szCs w:val="20"/>
        </w:rPr>
        <w:t>11. doi:</w:t>
      </w:r>
      <w:r w:rsidR="00910DCE" w:rsidRPr="00A37749">
        <w:rPr>
          <w:rFonts w:ascii="Times New Roman" w:hAnsi="Times New Roman" w:cs="Times New Roman"/>
          <w:color w:val="0000FF"/>
          <w:sz w:val="20"/>
          <w:szCs w:val="20"/>
        </w:rPr>
        <w:t>10.7537/marscbj050415.11</w:t>
      </w:r>
      <w:r w:rsidR="00910DCE" w:rsidRPr="00A37749">
        <w:rPr>
          <w:rFonts w:ascii="Times New Roman" w:hAnsi="Times New Roman" w:cs="Times New Roman"/>
          <w:color w:val="000000"/>
          <w:sz w:val="20"/>
          <w:szCs w:val="20"/>
        </w:rPr>
        <w:t>.</w:t>
      </w:r>
    </w:p>
    <w:p w:rsidR="0001311A" w:rsidRPr="00A37749" w:rsidRDefault="0001311A" w:rsidP="001F1FA9">
      <w:pPr>
        <w:autoSpaceDE w:val="0"/>
        <w:autoSpaceDN w:val="0"/>
        <w:adjustRightInd w:val="0"/>
        <w:spacing w:after="0" w:line="240" w:lineRule="auto"/>
        <w:ind w:left="360" w:hanging="360"/>
        <w:jc w:val="lowKashida"/>
        <w:rPr>
          <w:rFonts w:asciiTheme="majorBidi" w:eastAsia="*HCI-Tulip-Identity-H" w:hAnsiTheme="majorBidi" w:cstheme="majorBidi"/>
          <w:b/>
          <w:bCs/>
          <w:sz w:val="20"/>
          <w:szCs w:val="20"/>
        </w:rPr>
      </w:pPr>
    </w:p>
    <w:p w:rsidR="00EA5D64" w:rsidRPr="00A37749" w:rsidRDefault="00EA5D64" w:rsidP="001F1FA9">
      <w:pPr>
        <w:autoSpaceDE w:val="0"/>
        <w:autoSpaceDN w:val="0"/>
        <w:adjustRightInd w:val="0"/>
        <w:spacing w:after="0" w:line="240" w:lineRule="auto"/>
        <w:ind w:left="360" w:hanging="360"/>
        <w:jc w:val="lowKashida"/>
        <w:rPr>
          <w:rFonts w:asciiTheme="majorBidi" w:eastAsia="*HCI-Tulip-Identity-H" w:hAnsiTheme="majorBidi" w:cstheme="majorBidi"/>
          <w:b/>
          <w:bCs/>
          <w:sz w:val="20"/>
          <w:szCs w:val="20"/>
        </w:rPr>
      </w:pPr>
      <w:r w:rsidRPr="00A37749">
        <w:rPr>
          <w:rFonts w:asciiTheme="majorBidi" w:eastAsia="*HCI-Tulip-Identity-H" w:hAnsiTheme="majorBidi" w:cstheme="majorBidi"/>
          <w:b/>
          <w:bCs/>
          <w:sz w:val="20"/>
          <w:szCs w:val="20"/>
        </w:rPr>
        <w:t xml:space="preserve">Key words: </w:t>
      </w:r>
      <w:r w:rsidRPr="00A37749">
        <w:rPr>
          <w:rFonts w:asciiTheme="majorBidi" w:eastAsia="*HCI-Tulip-Identity-H" w:hAnsiTheme="majorBidi" w:cstheme="majorBidi"/>
          <w:sz w:val="20"/>
          <w:szCs w:val="20"/>
        </w:rPr>
        <w:t>Hepatocellular carcinoma, lymph node</w:t>
      </w:r>
      <w:r w:rsidR="009E25CF" w:rsidRPr="00A37749">
        <w:rPr>
          <w:rFonts w:asciiTheme="majorBidi" w:eastAsia="*HCI-Tulip-Identity-H" w:hAnsiTheme="majorBidi" w:cstheme="majorBidi"/>
          <w:sz w:val="20"/>
          <w:szCs w:val="20"/>
        </w:rPr>
        <w:t>s</w:t>
      </w:r>
      <w:r w:rsidRPr="00A37749">
        <w:rPr>
          <w:rFonts w:asciiTheme="majorBidi" w:eastAsia="*HCI-Tulip-Identity-H" w:hAnsiTheme="majorBidi" w:cstheme="majorBidi"/>
          <w:color w:val="000000" w:themeColor="text1"/>
          <w:sz w:val="20"/>
          <w:szCs w:val="20"/>
        </w:rPr>
        <w:t>metasta</w:t>
      </w:r>
      <w:r w:rsidR="009E25CF" w:rsidRPr="00A37749">
        <w:rPr>
          <w:rFonts w:asciiTheme="majorBidi" w:eastAsia="*HCI-Tulip-Identity-H" w:hAnsiTheme="majorBidi" w:cstheme="majorBidi"/>
          <w:color w:val="000000" w:themeColor="text1"/>
          <w:sz w:val="20"/>
          <w:szCs w:val="20"/>
        </w:rPr>
        <w:t>se</w:t>
      </w:r>
      <w:r w:rsidRPr="00A37749">
        <w:rPr>
          <w:rFonts w:asciiTheme="majorBidi" w:eastAsia="*HCI-Tulip-Identity-H" w:hAnsiTheme="majorBidi" w:cstheme="majorBidi"/>
          <w:color w:val="000000" w:themeColor="text1"/>
          <w:sz w:val="20"/>
          <w:szCs w:val="20"/>
        </w:rPr>
        <w:t>s</w:t>
      </w:r>
      <w:r w:rsidRPr="00A37749">
        <w:rPr>
          <w:rFonts w:asciiTheme="majorBidi" w:eastAsia="*HCI-Tulip-Identity-H" w:hAnsiTheme="majorBidi" w:cstheme="majorBidi"/>
          <w:sz w:val="20"/>
          <w:szCs w:val="20"/>
        </w:rPr>
        <w:t>, prognostic factors.</w:t>
      </w:r>
    </w:p>
    <w:p w:rsidR="00EA5D64" w:rsidRPr="00A37749" w:rsidRDefault="00EA5D64" w:rsidP="001F1FA9">
      <w:pPr>
        <w:spacing w:after="0" w:line="240" w:lineRule="auto"/>
        <w:jc w:val="both"/>
        <w:rPr>
          <w:rFonts w:asciiTheme="majorBidi" w:hAnsiTheme="majorBidi" w:cstheme="majorBidi"/>
          <w:sz w:val="20"/>
          <w:szCs w:val="20"/>
        </w:rPr>
      </w:pPr>
    </w:p>
    <w:p w:rsidR="00FD7FD2" w:rsidRPr="00A37749" w:rsidRDefault="00FD7FD2" w:rsidP="001F1FA9">
      <w:pPr>
        <w:spacing w:after="0" w:line="240" w:lineRule="auto"/>
        <w:jc w:val="both"/>
        <w:rPr>
          <w:rFonts w:asciiTheme="majorBidi" w:hAnsiTheme="majorBidi" w:cstheme="majorBidi"/>
          <w:b/>
          <w:bCs/>
          <w:sz w:val="20"/>
          <w:szCs w:val="20"/>
        </w:rPr>
        <w:sectPr w:rsidR="00FD7FD2" w:rsidRPr="00A37749" w:rsidSect="00910DCE">
          <w:headerReference w:type="default" r:id="rId10"/>
          <w:footerReference w:type="default" r:id="rId11"/>
          <w:pgSz w:w="12240" w:h="15840"/>
          <w:pgMar w:top="1440" w:right="1440" w:bottom="1440" w:left="1440" w:header="720" w:footer="720" w:gutter="0"/>
          <w:pgNumType w:start="87"/>
          <w:cols w:space="720"/>
          <w:docGrid w:linePitch="360"/>
        </w:sectPr>
      </w:pPr>
    </w:p>
    <w:p w:rsidR="00EA5D64" w:rsidRPr="00A37749" w:rsidRDefault="0001311A" w:rsidP="001F1FA9">
      <w:pPr>
        <w:spacing w:after="0" w:line="240" w:lineRule="auto"/>
        <w:jc w:val="both"/>
        <w:rPr>
          <w:rFonts w:asciiTheme="majorBidi" w:hAnsiTheme="majorBidi" w:cstheme="majorBidi"/>
          <w:b/>
          <w:bCs/>
          <w:sz w:val="20"/>
          <w:szCs w:val="20"/>
        </w:rPr>
      </w:pPr>
      <w:r w:rsidRPr="00A37749">
        <w:rPr>
          <w:rFonts w:asciiTheme="majorBidi" w:hAnsiTheme="majorBidi" w:cstheme="majorBidi"/>
          <w:b/>
          <w:bCs/>
          <w:sz w:val="20"/>
          <w:szCs w:val="20"/>
        </w:rPr>
        <w:lastRenderedPageBreak/>
        <w:t xml:space="preserve">1. </w:t>
      </w:r>
      <w:r w:rsidR="00EA5D64" w:rsidRPr="00A37749">
        <w:rPr>
          <w:rFonts w:asciiTheme="majorBidi" w:hAnsiTheme="majorBidi" w:cstheme="majorBidi"/>
          <w:b/>
          <w:bCs/>
          <w:sz w:val="20"/>
          <w:szCs w:val="20"/>
        </w:rPr>
        <w:t>Introduction</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Hepatocellular carcinoma (HCC) is the commonest primary liver tumor and the third leading cause of cancer-related death </w:t>
      </w:r>
      <w:r w:rsidRPr="00A37749">
        <w:rPr>
          <w:rFonts w:asciiTheme="majorBidi" w:hAnsiTheme="majorBidi" w:cstheme="majorBidi"/>
          <w:sz w:val="20"/>
          <w:szCs w:val="20"/>
          <w:vertAlign w:val="superscript"/>
        </w:rPr>
        <w:t>(1, 2)</w:t>
      </w:r>
      <w:r w:rsidRPr="00A37749">
        <w:rPr>
          <w:rFonts w:asciiTheme="majorBidi" w:hAnsiTheme="majorBidi" w:cstheme="majorBidi"/>
          <w:sz w:val="20"/>
          <w:szCs w:val="20"/>
        </w:rPr>
        <w:t>.</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HCC is an aggressive tumor known for its tendency to directly invade the portal and hepatic veins, with most extra-hepatic HCC occurs in patients with an advanced intra-hepatic tumor stage. A measurable number of patients develop extra-hepatic distant metastases, most commonly to the lungs, abdominal lymph nodes, bones, adrenal glands, and diaphragmatic surface. So, it is critical to detect extra-hepatic sites of metastasis before any therapeutic intervention to avoid unnecessary maneuvers as well as to evaluate for recurrence </w:t>
      </w:r>
      <w:r w:rsidRPr="00A37749">
        <w:rPr>
          <w:rFonts w:asciiTheme="majorBidi" w:hAnsiTheme="majorBidi" w:cstheme="majorBidi"/>
          <w:sz w:val="20"/>
          <w:szCs w:val="20"/>
          <w:vertAlign w:val="superscript"/>
        </w:rPr>
        <w:t>(3, 4)</w:t>
      </w:r>
      <w:r w:rsidRPr="00A37749">
        <w:rPr>
          <w:rFonts w:asciiTheme="majorBidi" w:hAnsiTheme="majorBidi" w:cstheme="majorBidi"/>
          <w:sz w:val="20"/>
          <w:szCs w:val="20"/>
        </w:rPr>
        <w:t xml:space="preserve">.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According to the TNM staging system, the presence of extra-hepatic spread from HCC is categorized as advanced cancer. Greater than 70% of patients presenting with advanced HCC may not benefit from surgery and may instead be more suitable for </w:t>
      </w:r>
      <w:proofErr w:type="spellStart"/>
      <w:r w:rsidRPr="00A37749">
        <w:rPr>
          <w:rFonts w:asciiTheme="majorBidi" w:hAnsiTheme="majorBidi" w:cstheme="majorBidi"/>
          <w:sz w:val="20"/>
          <w:szCs w:val="20"/>
        </w:rPr>
        <w:t>locoregional</w:t>
      </w:r>
      <w:proofErr w:type="spellEnd"/>
      <w:r w:rsidRPr="00A37749">
        <w:rPr>
          <w:rFonts w:asciiTheme="majorBidi" w:hAnsiTheme="majorBidi" w:cstheme="majorBidi"/>
          <w:sz w:val="20"/>
          <w:szCs w:val="20"/>
        </w:rPr>
        <w:t xml:space="preserve"> therapies </w:t>
      </w:r>
      <w:r w:rsidRPr="00A37749">
        <w:rPr>
          <w:rFonts w:asciiTheme="majorBidi" w:hAnsiTheme="majorBidi" w:cstheme="majorBidi"/>
          <w:sz w:val="20"/>
          <w:szCs w:val="20"/>
          <w:vertAlign w:val="superscript"/>
        </w:rPr>
        <w:t>(5, 6)</w:t>
      </w:r>
      <w:r w:rsidRPr="00A37749">
        <w:rPr>
          <w:rFonts w:asciiTheme="majorBidi" w:hAnsiTheme="majorBidi" w:cstheme="majorBidi"/>
          <w:sz w:val="20"/>
          <w:szCs w:val="20"/>
        </w:rPr>
        <w:t>.</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A37749">
        <w:rPr>
          <w:rFonts w:asciiTheme="majorBidi" w:hAnsiTheme="majorBidi" w:cstheme="majorBidi"/>
          <w:sz w:val="20"/>
          <w:szCs w:val="20"/>
        </w:rPr>
        <w:t xml:space="preserve">Lymph node metastasis was rarely reported in early cases of HCC underwent surgical resection (1.2-7.5%) </w:t>
      </w:r>
      <w:r w:rsidRPr="00A37749">
        <w:rPr>
          <w:rFonts w:asciiTheme="majorBidi" w:hAnsiTheme="majorBidi" w:cstheme="majorBidi"/>
          <w:sz w:val="20"/>
          <w:szCs w:val="20"/>
          <w:vertAlign w:val="superscript"/>
        </w:rPr>
        <w:t>(7-10)</w:t>
      </w:r>
      <w:r w:rsidRPr="00A37749">
        <w:rPr>
          <w:rFonts w:asciiTheme="majorBidi" w:hAnsiTheme="majorBidi" w:cstheme="majorBidi"/>
          <w:sz w:val="20"/>
          <w:szCs w:val="20"/>
        </w:rPr>
        <w:t xml:space="preserve"> while detected in 27-42% in autopsy studies of advanced cases </w:t>
      </w:r>
      <w:r w:rsidRPr="00A37749">
        <w:rPr>
          <w:rFonts w:asciiTheme="majorBidi" w:hAnsiTheme="majorBidi" w:cstheme="majorBidi"/>
          <w:sz w:val="20"/>
          <w:szCs w:val="20"/>
          <w:vertAlign w:val="superscript"/>
        </w:rPr>
        <w:t>(11, 12)</w:t>
      </w:r>
      <w:r w:rsidRPr="00A37749">
        <w:rPr>
          <w:rFonts w:asciiTheme="majorBidi" w:hAnsiTheme="majorBidi" w:cstheme="majorBidi"/>
          <w:sz w:val="20"/>
          <w:szCs w:val="20"/>
        </w:rPr>
        <w:t xml:space="preserve">. The most common spread is regional, particularly in </w:t>
      </w:r>
      <w:proofErr w:type="spellStart"/>
      <w:r w:rsidRPr="00A37749">
        <w:rPr>
          <w:rFonts w:asciiTheme="majorBidi" w:hAnsiTheme="majorBidi" w:cstheme="majorBidi"/>
          <w:sz w:val="20"/>
          <w:szCs w:val="20"/>
        </w:rPr>
        <w:t>peri</w:t>
      </w:r>
      <w:proofErr w:type="spellEnd"/>
      <w:r w:rsidRPr="00A37749">
        <w:rPr>
          <w:rFonts w:asciiTheme="majorBidi" w:hAnsiTheme="majorBidi" w:cstheme="majorBidi"/>
          <w:sz w:val="20"/>
          <w:szCs w:val="20"/>
        </w:rPr>
        <w:t xml:space="preserve">-hepatic, </w:t>
      </w:r>
      <w:proofErr w:type="spellStart"/>
      <w:r w:rsidRPr="00A37749">
        <w:rPr>
          <w:rFonts w:asciiTheme="majorBidi" w:hAnsiTheme="majorBidi" w:cstheme="majorBidi"/>
          <w:sz w:val="20"/>
          <w:szCs w:val="20"/>
        </w:rPr>
        <w:t>peri</w:t>
      </w:r>
      <w:proofErr w:type="spellEnd"/>
      <w:r w:rsidRPr="00A37749">
        <w:rPr>
          <w:rFonts w:asciiTheme="majorBidi" w:hAnsiTheme="majorBidi" w:cstheme="majorBidi"/>
          <w:sz w:val="20"/>
          <w:szCs w:val="20"/>
        </w:rPr>
        <w:t>-pancreatic, and retro</w:t>
      </w:r>
      <w:r w:rsidR="001B569A" w:rsidRPr="00A37749">
        <w:rPr>
          <w:rFonts w:asciiTheme="majorBidi" w:hAnsiTheme="majorBidi" w:cstheme="majorBidi"/>
          <w:sz w:val="20"/>
          <w:szCs w:val="20"/>
        </w:rPr>
        <w:t>peritoneal locations, but distant</w:t>
      </w:r>
      <w:r w:rsidRPr="00A37749">
        <w:rPr>
          <w:rFonts w:asciiTheme="majorBidi" w:hAnsiTheme="majorBidi" w:cstheme="majorBidi"/>
          <w:sz w:val="20"/>
          <w:szCs w:val="20"/>
        </w:rPr>
        <w:t xml:space="preserve"> lymph node</w:t>
      </w:r>
      <w:r w:rsidR="001B569A" w:rsidRPr="00A37749">
        <w:rPr>
          <w:rFonts w:asciiTheme="majorBidi" w:hAnsiTheme="majorBidi" w:cstheme="majorBidi"/>
          <w:sz w:val="20"/>
          <w:szCs w:val="20"/>
        </w:rPr>
        <w:t>s</w:t>
      </w:r>
      <w:r w:rsidRPr="00A37749">
        <w:rPr>
          <w:rFonts w:asciiTheme="majorBidi" w:hAnsiTheme="majorBidi" w:cstheme="majorBidi"/>
          <w:sz w:val="20"/>
          <w:szCs w:val="20"/>
        </w:rPr>
        <w:t xml:space="preserve"> metastases may also be seen. </w:t>
      </w:r>
      <w:r w:rsidRPr="00A37749">
        <w:rPr>
          <w:rFonts w:asciiTheme="majorBidi" w:hAnsiTheme="majorBidi" w:cstheme="majorBidi"/>
          <w:color w:val="000000"/>
          <w:sz w:val="20"/>
          <w:szCs w:val="20"/>
        </w:rPr>
        <w:t xml:space="preserve">No </w:t>
      </w:r>
      <w:r w:rsidRPr="00A37749">
        <w:rPr>
          <w:rFonts w:asciiTheme="majorBidi" w:hAnsiTheme="majorBidi" w:cstheme="majorBidi"/>
          <w:color w:val="000000"/>
          <w:sz w:val="20"/>
          <w:szCs w:val="20"/>
        </w:rPr>
        <w:lastRenderedPageBreak/>
        <w:t>consensus has yet been reached on the treatment strategy for LN</w:t>
      </w:r>
      <w:r w:rsidR="001B569A" w:rsidRPr="00A37749">
        <w:rPr>
          <w:rFonts w:asciiTheme="majorBidi" w:hAnsiTheme="majorBidi" w:cstheme="majorBidi"/>
          <w:color w:val="000000"/>
          <w:sz w:val="20"/>
          <w:szCs w:val="20"/>
        </w:rPr>
        <w:t>s</w:t>
      </w:r>
      <w:r w:rsidRPr="00A37749">
        <w:rPr>
          <w:rFonts w:asciiTheme="majorBidi" w:hAnsiTheme="majorBidi" w:cstheme="majorBidi"/>
          <w:color w:val="000000"/>
          <w:sz w:val="20"/>
          <w:szCs w:val="20"/>
        </w:rPr>
        <w:t xml:space="preserve"> metastases from HCC </w:t>
      </w:r>
      <w:r w:rsidRPr="00A37749">
        <w:rPr>
          <w:rFonts w:asciiTheme="majorBidi" w:hAnsiTheme="majorBidi" w:cstheme="majorBidi"/>
          <w:color w:val="000000"/>
          <w:sz w:val="20"/>
          <w:szCs w:val="20"/>
          <w:vertAlign w:val="superscript"/>
        </w:rPr>
        <w:t xml:space="preserve">(9, 13, </w:t>
      </w:r>
      <w:proofErr w:type="gramStart"/>
      <w:r w:rsidRPr="00A37749">
        <w:rPr>
          <w:rFonts w:asciiTheme="majorBidi" w:hAnsiTheme="majorBidi" w:cstheme="majorBidi"/>
          <w:color w:val="000000"/>
          <w:sz w:val="20"/>
          <w:szCs w:val="20"/>
          <w:vertAlign w:val="superscript"/>
        </w:rPr>
        <w:t>14</w:t>
      </w:r>
      <w:proofErr w:type="gramEnd"/>
      <w:r w:rsidRPr="00A37749">
        <w:rPr>
          <w:rFonts w:asciiTheme="majorBidi" w:hAnsiTheme="majorBidi" w:cstheme="majorBidi"/>
          <w:color w:val="000000"/>
          <w:sz w:val="20"/>
          <w:szCs w:val="20"/>
          <w:vertAlign w:val="superscript"/>
        </w:rPr>
        <w:t>)</w:t>
      </w:r>
      <w:r w:rsidRPr="00A37749">
        <w:rPr>
          <w:rFonts w:asciiTheme="majorBidi" w:hAnsiTheme="majorBidi" w:cstheme="majorBidi"/>
          <w:color w:val="000000"/>
          <w:sz w:val="20"/>
          <w:szCs w:val="20"/>
        </w:rPr>
        <w:t>.</w:t>
      </w:r>
    </w:p>
    <w:p w:rsidR="00EA5D64" w:rsidRPr="00A37749" w:rsidRDefault="001B569A"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color w:val="1C1C1A"/>
          <w:sz w:val="20"/>
          <w:szCs w:val="20"/>
        </w:rPr>
        <w:t>The</w:t>
      </w:r>
      <w:r w:rsidR="00EA5D64" w:rsidRPr="00A37749">
        <w:rPr>
          <w:rFonts w:asciiTheme="majorBidi" w:hAnsiTheme="majorBidi" w:cstheme="majorBidi"/>
          <w:color w:val="1C1C1A"/>
          <w:sz w:val="20"/>
          <w:szCs w:val="20"/>
        </w:rPr>
        <w:t xml:space="preserve"> seventh edition</w:t>
      </w:r>
      <w:r w:rsidRPr="00A37749">
        <w:rPr>
          <w:rFonts w:asciiTheme="majorBidi" w:hAnsiTheme="majorBidi" w:cstheme="majorBidi"/>
          <w:color w:val="1C1C1A"/>
          <w:sz w:val="20"/>
          <w:szCs w:val="20"/>
        </w:rPr>
        <w:t xml:space="preserve"> (2010)</w:t>
      </w:r>
      <w:r w:rsidR="00EA5D64" w:rsidRPr="00A37749">
        <w:rPr>
          <w:rFonts w:asciiTheme="majorBidi" w:hAnsiTheme="majorBidi" w:cstheme="majorBidi"/>
          <w:color w:val="1C1C1A"/>
          <w:sz w:val="20"/>
          <w:szCs w:val="20"/>
        </w:rPr>
        <w:t xml:space="preserve"> of American Joint Committee on Cancer (AJCC) Cancer Staging Manual has classified N1 diseases into stage </w:t>
      </w:r>
      <w:proofErr w:type="spellStart"/>
      <w:r w:rsidR="00EA5D64" w:rsidRPr="00A37749">
        <w:rPr>
          <w:rFonts w:asciiTheme="majorBidi" w:hAnsiTheme="majorBidi" w:cstheme="majorBidi"/>
          <w:color w:val="1C1C1A"/>
          <w:sz w:val="20"/>
          <w:szCs w:val="20"/>
        </w:rPr>
        <w:t>IVa</w:t>
      </w:r>
      <w:proofErr w:type="spellEnd"/>
      <w:r w:rsidR="00EA5D64" w:rsidRPr="00A37749">
        <w:rPr>
          <w:rFonts w:asciiTheme="majorBidi" w:hAnsiTheme="majorBidi" w:cstheme="majorBidi"/>
          <w:color w:val="1C1C1A"/>
          <w:sz w:val="20"/>
          <w:szCs w:val="20"/>
        </w:rPr>
        <w:t xml:space="preserve"> because the survival of N1 disease is associated with a dismal prognosis comparable with that of M1 disease </w:t>
      </w:r>
      <w:r w:rsidR="00EA5D64" w:rsidRPr="00A37749">
        <w:rPr>
          <w:rFonts w:asciiTheme="majorBidi" w:hAnsiTheme="majorBidi" w:cstheme="majorBidi"/>
          <w:color w:val="1C1C1A"/>
          <w:sz w:val="20"/>
          <w:szCs w:val="20"/>
          <w:vertAlign w:val="superscript"/>
        </w:rPr>
        <w:t>(15)</w:t>
      </w:r>
      <w:r w:rsidR="00EA5D64" w:rsidRPr="00A37749">
        <w:rPr>
          <w:rFonts w:asciiTheme="majorBidi" w:hAnsiTheme="majorBidi" w:cstheme="majorBidi"/>
          <w:color w:val="1C1C1A"/>
          <w:sz w:val="20"/>
          <w:szCs w:val="20"/>
        </w:rPr>
        <w:t xml:space="preserve">. </w:t>
      </w:r>
      <w:r w:rsidR="00EA5D64" w:rsidRPr="00A37749">
        <w:rPr>
          <w:rFonts w:asciiTheme="majorBidi" w:hAnsiTheme="majorBidi" w:cstheme="majorBidi"/>
          <w:sz w:val="20"/>
          <w:szCs w:val="20"/>
        </w:rPr>
        <w:t>The prognosis of patients with extra-hepatic metastases is generally very poor (</w:t>
      </w:r>
      <w:r w:rsidR="00EA5D64" w:rsidRPr="00A37749">
        <w:rPr>
          <w:rFonts w:asciiTheme="majorBidi" w:hAnsiTheme="majorBidi" w:cstheme="majorBidi"/>
          <w:color w:val="000000"/>
          <w:sz w:val="20"/>
          <w:szCs w:val="20"/>
        </w:rPr>
        <w:t xml:space="preserve">5-year overall survival rate of 12% </w:t>
      </w:r>
      <w:r w:rsidR="00EA5D64" w:rsidRPr="00A37749">
        <w:rPr>
          <w:rFonts w:asciiTheme="majorBidi" w:hAnsiTheme="majorBidi" w:cstheme="majorBidi"/>
          <w:sz w:val="20"/>
          <w:szCs w:val="20"/>
        </w:rPr>
        <w:t xml:space="preserve">and median survival </w:t>
      </w:r>
      <w:r w:rsidR="00EA5D64" w:rsidRPr="00A37749">
        <w:rPr>
          <w:rFonts w:asciiTheme="majorBidi" w:hAnsiTheme="majorBidi" w:cstheme="majorBidi"/>
          <w:color w:val="000000"/>
          <w:sz w:val="20"/>
          <w:szCs w:val="20"/>
        </w:rPr>
        <w:t>following diagnosis ranging from 6 to 20 months</w:t>
      </w:r>
      <w:r w:rsidR="00EA5D64" w:rsidRPr="00A37749">
        <w:rPr>
          <w:rFonts w:asciiTheme="majorBidi" w:hAnsiTheme="majorBidi" w:cstheme="majorBidi"/>
          <w:sz w:val="20"/>
          <w:szCs w:val="20"/>
        </w:rPr>
        <w:t xml:space="preserve">) </w:t>
      </w:r>
      <w:r w:rsidR="00EA5D64" w:rsidRPr="00A37749">
        <w:rPr>
          <w:rFonts w:asciiTheme="majorBidi" w:hAnsiTheme="majorBidi" w:cstheme="majorBidi"/>
          <w:sz w:val="20"/>
          <w:szCs w:val="20"/>
          <w:vertAlign w:val="superscript"/>
        </w:rPr>
        <w:t>(16)</w:t>
      </w:r>
      <w:r w:rsidR="00EA5D64" w:rsidRPr="00A37749">
        <w:rPr>
          <w:rFonts w:asciiTheme="majorBidi" w:hAnsiTheme="majorBidi" w:cstheme="majorBidi"/>
          <w:sz w:val="20"/>
          <w:szCs w:val="20"/>
        </w:rPr>
        <w:t>.</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A37749">
        <w:rPr>
          <w:rFonts w:asciiTheme="majorBidi" w:hAnsiTheme="majorBidi" w:cstheme="majorBidi"/>
          <w:color w:val="1C1C1A"/>
          <w:sz w:val="20"/>
          <w:szCs w:val="20"/>
        </w:rPr>
        <w:t xml:space="preserve">We aimed to explore the </w:t>
      </w:r>
      <w:proofErr w:type="spellStart"/>
      <w:r w:rsidRPr="00A37749">
        <w:rPr>
          <w:rFonts w:asciiTheme="majorBidi" w:hAnsiTheme="majorBidi" w:cstheme="majorBidi"/>
          <w:color w:val="1C1C1A"/>
          <w:sz w:val="20"/>
          <w:szCs w:val="20"/>
        </w:rPr>
        <w:t>clinicopathological</w:t>
      </w:r>
      <w:proofErr w:type="spellEnd"/>
      <w:r w:rsidRPr="00A37749">
        <w:rPr>
          <w:rFonts w:asciiTheme="majorBidi" w:hAnsiTheme="majorBidi" w:cstheme="majorBidi"/>
          <w:color w:val="1C1C1A"/>
          <w:sz w:val="20"/>
          <w:szCs w:val="20"/>
        </w:rPr>
        <w:t xml:space="preserve"> character</w:t>
      </w:r>
      <w:r w:rsidR="001B569A" w:rsidRPr="00A37749">
        <w:rPr>
          <w:rFonts w:asciiTheme="majorBidi" w:hAnsiTheme="majorBidi" w:cstheme="majorBidi"/>
          <w:color w:val="1C1C1A"/>
          <w:sz w:val="20"/>
          <w:szCs w:val="20"/>
        </w:rPr>
        <w:t>istics of HCC patients and evaluate</w:t>
      </w:r>
      <w:r w:rsidRPr="00A37749">
        <w:rPr>
          <w:rFonts w:asciiTheme="majorBidi" w:hAnsiTheme="majorBidi" w:cstheme="majorBidi"/>
          <w:color w:val="1C1C1A"/>
          <w:sz w:val="20"/>
          <w:szCs w:val="20"/>
        </w:rPr>
        <w:t xml:space="preserve"> the impact of LN</w:t>
      </w:r>
      <w:r w:rsidR="001B569A" w:rsidRPr="00A37749">
        <w:rPr>
          <w:rFonts w:asciiTheme="majorBidi" w:hAnsiTheme="majorBidi" w:cstheme="majorBidi"/>
          <w:color w:val="1C1C1A"/>
          <w:sz w:val="20"/>
          <w:szCs w:val="20"/>
        </w:rPr>
        <w:t>s metastase</w:t>
      </w:r>
      <w:r w:rsidRPr="00A37749">
        <w:rPr>
          <w:rFonts w:asciiTheme="majorBidi" w:hAnsiTheme="majorBidi" w:cstheme="majorBidi"/>
          <w:color w:val="1C1C1A"/>
          <w:sz w:val="20"/>
          <w:szCs w:val="20"/>
        </w:rPr>
        <w:t>s on survival.</w:t>
      </w:r>
    </w:p>
    <w:p w:rsidR="00EA5D64" w:rsidRPr="00A37749" w:rsidRDefault="00EA5D64" w:rsidP="001F1FA9">
      <w:pPr>
        <w:spacing w:after="0" w:line="240" w:lineRule="auto"/>
        <w:ind w:left="360" w:hanging="360"/>
        <w:rPr>
          <w:rFonts w:asciiTheme="majorBidi" w:hAnsiTheme="majorBidi" w:cstheme="majorBidi"/>
          <w:b/>
          <w:bCs/>
          <w:sz w:val="20"/>
          <w:szCs w:val="20"/>
        </w:rPr>
      </w:pPr>
    </w:p>
    <w:p w:rsidR="00EA5D64" w:rsidRPr="00A37749" w:rsidRDefault="0001311A" w:rsidP="008123D8">
      <w:pPr>
        <w:spacing w:after="0" w:line="240" w:lineRule="auto"/>
        <w:ind w:left="360" w:hanging="360"/>
        <w:rPr>
          <w:rFonts w:asciiTheme="majorBidi" w:hAnsiTheme="majorBidi" w:cstheme="majorBidi"/>
          <w:b/>
          <w:bCs/>
          <w:sz w:val="20"/>
          <w:szCs w:val="20"/>
        </w:rPr>
      </w:pPr>
      <w:r w:rsidRPr="00A37749">
        <w:rPr>
          <w:rFonts w:asciiTheme="majorBidi" w:hAnsiTheme="majorBidi" w:cstheme="majorBidi"/>
          <w:b/>
          <w:bCs/>
          <w:sz w:val="20"/>
          <w:szCs w:val="20"/>
        </w:rPr>
        <w:t xml:space="preserve">2. </w:t>
      </w:r>
      <w:r w:rsidR="00F847D9" w:rsidRPr="00A37749">
        <w:rPr>
          <w:rFonts w:asciiTheme="majorBidi" w:hAnsiTheme="majorBidi" w:cstheme="majorBidi"/>
          <w:b/>
          <w:bCs/>
          <w:sz w:val="20"/>
          <w:szCs w:val="20"/>
        </w:rPr>
        <w:t>Material</w:t>
      </w:r>
      <w:r w:rsidR="00EA5D64" w:rsidRPr="00A37749">
        <w:rPr>
          <w:rFonts w:asciiTheme="majorBidi" w:hAnsiTheme="majorBidi" w:cstheme="majorBidi"/>
          <w:b/>
          <w:bCs/>
          <w:sz w:val="20"/>
          <w:szCs w:val="20"/>
        </w:rPr>
        <w:t xml:space="preserve"> and Methods</w:t>
      </w:r>
    </w:p>
    <w:p w:rsidR="00EA5D64" w:rsidRPr="00A37749" w:rsidRDefault="00EA5D64" w:rsidP="004E37D4">
      <w:pPr>
        <w:autoSpaceDE w:val="0"/>
        <w:autoSpaceDN w:val="0"/>
        <w:adjustRightInd w:val="0"/>
        <w:spacing w:after="0" w:line="240" w:lineRule="auto"/>
        <w:ind w:firstLine="360"/>
        <w:jc w:val="both"/>
        <w:rPr>
          <w:rFonts w:asciiTheme="majorBidi" w:hAnsiTheme="majorBidi" w:cstheme="majorBidi"/>
          <w:color w:val="1C1C1A"/>
          <w:sz w:val="20"/>
          <w:szCs w:val="20"/>
        </w:rPr>
      </w:pPr>
      <w:r w:rsidRPr="00A37749">
        <w:rPr>
          <w:rFonts w:asciiTheme="majorBidi" w:hAnsiTheme="majorBidi" w:cstheme="majorBidi"/>
          <w:sz w:val="20"/>
          <w:szCs w:val="20"/>
        </w:rPr>
        <w:t>Throughout the peri</w:t>
      </w:r>
      <w:r w:rsidR="00BD56E7" w:rsidRPr="00A37749">
        <w:rPr>
          <w:rFonts w:asciiTheme="majorBidi" w:hAnsiTheme="majorBidi" w:cstheme="majorBidi"/>
          <w:sz w:val="20"/>
          <w:szCs w:val="20"/>
        </w:rPr>
        <w:t>od between January 2011 and December</w:t>
      </w:r>
      <w:r w:rsidRPr="00A37749">
        <w:rPr>
          <w:rFonts w:asciiTheme="majorBidi" w:hAnsiTheme="majorBidi" w:cstheme="majorBidi"/>
          <w:sz w:val="20"/>
          <w:szCs w:val="20"/>
        </w:rPr>
        <w:t xml:space="preserve"> 2014, 261 available patients diagnosed with HCC were treated at Clinical Oncology Department, Tanta University. T</w:t>
      </w:r>
      <w:r w:rsidRPr="00A37749">
        <w:rPr>
          <w:rFonts w:asciiTheme="majorBidi" w:hAnsiTheme="majorBidi" w:cstheme="majorBidi"/>
          <w:color w:val="1C1C1A"/>
          <w:sz w:val="20"/>
          <w:szCs w:val="20"/>
        </w:rPr>
        <w:t xml:space="preserve">heir clinical data were retrieved from the collected database. The following variables were included in the analyses: age, gender, </w:t>
      </w:r>
      <w:r w:rsidRPr="00A37749">
        <w:rPr>
          <w:rFonts w:asciiTheme="majorBidi" w:hAnsiTheme="majorBidi" w:cstheme="majorBidi"/>
          <w:sz w:val="20"/>
          <w:szCs w:val="20"/>
        </w:rPr>
        <w:t>performance status according to the Eastern Cooperative Oncology Group (ECOG),</w:t>
      </w:r>
      <w:r w:rsidRPr="00A37749">
        <w:rPr>
          <w:rFonts w:asciiTheme="majorBidi" w:hAnsiTheme="majorBidi" w:cstheme="majorBidi"/>
          <w:color w:val="1C1C1A"/>
          <w:sz w:val="20"/>
          <w:szCs w:val="20"/>
        </w:rPr>
        <w:t xml:space="preserve"> duration of complaint, date of diagnosis, </w:t>
      </w:r>
      <w:r w:rsidRPr="00A37749">
        <w:rPr>
          <w:rFonts w:asciiTheme="majorBidi" w:hAnsiTheme="majorBidi" w:cstheme="majorBidi"/>
          <w:sz w:val="20"/>
          <w:szCs w:val="20"/>
        </w:rPr>
        <w:t>hepatitis-C antibody</w:t>
      </w:r>
      <w:r w:rsidRPr="00A37749">
        <w:rPr>
          <w:rFonts w:asciiTheme="majorBidi" w:hAnsiTheme="majorBidi" w:cstheme="majorBidi"/>
          <w:color w:val="1C1C1A"/>
          <w:sz w:val="20"/>
          <w:szCs w:val="20"/>
        </w:rPr>
        <w:t xml:space="preserve">, albumin level, bilirubin level, serum alpha-fetoprotein (AFP) level, </w:t>
      </w:r>
      <w:r w:rsidR="00BD56E7" w:rsidRPr="00A37749">
        <w:rPr>
          <w:rFonts w:asciiTheme="majorBidi" w:hAnsiTheme="majorBidi" w:cstheme="majorBidi"/>
          <w:sz w:val="20"/>
          <w:szCs w:val="20"/>
        </w:rPr>
        <w:t>Child–Pugh score</w:t>
      </w:r>
      <w:r w:rsidRPr="00A37749">
        <w:rPr>
          <w:rFonts w:asciiTheme="majorBidi" w:hAnsiTheme="majorBidi" w:cstheme="majorBidi"/>
          <w:sz w:val="20"/>
          <w:szCs w:val="20"/>
        </w:rPr>
        <w:t xml:space="preserve">, intra-hepatic tumor </w:t>
      </w:r>
      <w:r w:rsidRPr="00A37749">
        <w:rPr>
          <w:rFonts w:asciiTheme="majorBidi" w:hAnsiTheme="majorBidi" w:cstheme="majorBidi"/>
          <w:sz w:val="20"/>
          <w:szCs w:val="20"/>
        </w:rPr>
        <w:lastRenderedPageBreak/>
        <w:t>status, extra-hepatic spread</w:t>
      </w:r>
      <w:r w:rsidRPr="00A37749">
        <w:rPr>
          <w:rFonts w:asciiTheme="majorBidi" w:hAnsiTheme="majorBidi" w:cstheme="majorBidi"/>
          <w:color w:val="1C1C1A"/>
          <w:sz w:val="20"/>
          <w:szCs w:val="20"/>
        </w:rPr>
        <w:t xml:space="preserve">, pathological data, lines of treatment and survival status.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The diagnosis of HCC was made when two different imaging examinations revealed typical hyper-vascular radiological features of hepatic focal lesion (arterial hyper-enhancement and washes out at venous phase) on top of cirrhosis with or without an elevated serum alpha-fetoprotein level or when there was a histopathological diagnosis either from primary or metastatic lesions.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A37749">
        <w:rPr>
          <w:rFonts w:asciiTheme="majorBidi" w:hAnsiTheme="majorBidi" w:cstheme="majorBidi"/>
          <w:color w:val="000000"/>
          <w:sz w:val="20"/>
          <w:szCs w:val="20"/>
        </w:rPr>
        <w:t xml:space="preserve">The staging of tumors were assessed by contrast-enhanced computed tomography (CT) scans, magnetic resonance imaging (MRI), ultrasounds, chest X-rays, </w:t>
      </w:r>
      <w:r w:rsidRPr="00A37749">
        <w:rPr>
          <w:rFonts w:asciiTheme="majorBidi" w:hAnsiTheme="majorBidi" w:cstheme="majorBidi"/>
          <w:sz w:val="20"/>
          <w:szCs w:val="20"/>
        </w:rPr>
        <w:t>bone scintigraphy</w:t>
      </w:r>
      <w:r w:rsidR="00A37749" w:rsidRPr="00A37749">
        <w:rPr>
          <w:rFonts w:asciiTheme="majorBidi" w:hAnsiTheme="majorBidi" w:cstheme="majorBidi"/>
          <w:sz w:val="20"/>
          <w:szCs w:val="20"/>
        </w:rPr>
        <w:t xml:space="preserve"> </w:t>
      </w:r>
      <w:r w:rsidRPr="00A37749">
        <w:rPr>
          <w:rFonts w:asciiTheme="majorBidi" w:hAnsiTheme="majorBidi" w:cstheme="majorBidi"/>
          <w:color w:val="000000"/>
          <w:sz w:val="20"/>
          <w:szCs w:val="20"/>
        </w:rPr>
        <w:t>and</w:t>
      </w:r>
      <w:r w:rsidRPr="00A37749">
        <w:rPr>
          <w:rFonts w:asciiTheme="majorBidi" w:hAnsiTheme="majorBidi" w:cstheme="majorBidi"/>
          <w:sz w:val="20"/>
          <w:szCs w:val="20"/>
        </w:rPr>
        <w:t xml:space="preserve"> metastatic lesion biopsy, which is performed if the diagnosis of HCC metastases was critical for the decision of treatment or other malignancies needed to be ruled out.</w:t>
      </w:r>
    </w:p>
    <w:p w:rsidR="00EA5D64" w:rsidRPr="00A37749" w:rsidRDefault="00EA5D64" w:rsidP="001F1FA9">
      <w:pPr>
        <w:autoSpaceDE w:val="0"/>
        <w:autoSpaceDN w:val="0"/>
        <w:adjustRightInd w:val="0"/>
        <w:spacing w:after="0" w:line="240" w:lineRule="auto"/>
        <w:ind w:left="360" w:hanging="360"/>
        <w:jc w:val="both"/>
        <w:rPr>
          <w:rFonts w:asciiTheme="majorBidi" w:hAnsiTheme="majorBidi" w:cstheme="majorBidi"/>
          <w:b/>
          <w:bCs/>
          <w:sz w:val="20"/>
          <w:szCs w:val="20"/>
        </w:rPr>
      </w:pPr>
      <w:r w:rsidRPr="00A37749">
        <w:rPr>
          <w:rFonts w:asciiTheme="majorBidi" w:hAnsiTheme="majorBidi" w:cstheme="majorBidi"/>
          <w:b/>
          <w:bCs/>
          <w:sz w:val="20"/>
          <w:szCs w:val="20"/>
        </w:rPr>
        <w:t>Statistical Analysis</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The overall survival was defined as the time interval from the date of diagnosis of HCC to the date of death from any cause or to the last visit before the date of cen</w:t>
      </w:r>
      <w:r w:rsidR="00BD56E7" w:rsidRPr="00A37749">
        <w:rPr>
          <w:rFonts w:asciiTheme="majorBidi" w:hAnsiTheme="majorBidi" w:cstheme="majorBidi"/>
          <w:sz w:val="20"/>
          <w:szCs w:val="20"/>
        </w:rPr>
        <w:t>sor of this study on June 30</w:t>
      </w:r>
      <w:r w:rsidRPr="00A37749">
        <w:rPr>
          <w:rFonts w:asciiTheme="majorBidi" w:hAnsiTheme="majorBidi" w:cstheme="majorBidi"/>
          <w:sz w:val="20"/>
          <w:szCs w:val="20"/>
        </w:rPr>
        <w:t>, 201</w:t>
      </w:r>
      <w:r w:rsidR="00E14F3B" w:rsidRPr="00A37749">
        <w:rPr>
          <w:rFonts w:asciiTheme="majorBidi" w:hAnsiTheme="majorBidi" w:cstheme="majorBidi"/>
          <w:sz w:val="20"/>
          <w:szCs w:val="20"/>
        </w:rPr>
        <w:t>5</w:t>
      </w:r>
      <w:r w:rsidRPr="00A37749">
        <w:rPr>
          <w:rFonts w:asciiTheme="majorBidi" w:hAnsiTheme="majorBidi" w:cstheme="majorBidi"/>
          <w:sz w:val="20"/>
          <w:szCs w:val="20"/>
        </w:rPr>
        <w:t xml:space="preserve">. The survival rate and the median survival time were estimated by the Kaplan-Meier survival analysis. </w:t>
      </w:r>
      <w:r w:rsidRPr="00A37749">
        <w:rPr>
          <w:rFonts w:asciiTheme="majorBidi" w:hAnsiTheme="majorBidi" w:cstheme="majorBidi"/>
          <w:color w:val="000000"/>
          <w:sz w:val="20"/>
          <w:szCs w:val="20"/>
        </w:rPr>
        <w:t xml:space="preserve">Factors related to survival were analyzed with the Cox proportional hazards regression model. </w:t>
      </w:r>
      <w:r w:rsidRPr="00A37749">
        <w:rPr>
          <w:rFonts w:asciiTheme="majorBidi" w:hAnsiTheme="majorBidi" w:cstheme="majorBidi"/>
          <w:sz w:val="20"/>
          <w:szCs w:val="20"/>
        </w:rPr>
        <w:t xml:space="preserve">Difference in survival between the groups was assessed by the log-rank test. All the statistical analysis was performed with </w:t>
      </w:r>
      <w:r w:rsidRPr="00A37749">
        <w:rPr>
          <w:rFonts w:asciiTheme="majorBidi" w:eastAsia="*HCI-Tulip-Identity-H" w:hAnsiTheme="majorBidi" w:cstheme="majorBidi"/>
          <w:sz w:val="20"/>
          <w:szCs w:val="20"/>
        </w:rPr>
        <w:t>Statistical Package for the Social Science</w:t>
      </w:r>
      <w:r w:rsidRPr="00A37749">
        <w:rPr>
          <w:rFonts w:asciiTheme="majorBidi" w:hAnsiTheme="majorBidi" w:cstheme="majorBidi"/>
          <w:sz w:val="20"/>
          <w:szCs w:val="20"/>
        </w:rPr>
        <w:t xml:space="preserve"> V.21.0 for Windows (SPSS Inc., Chicago, IL, USA), and a </w:t>
      </w:r>
      <w:r w:rsidRPr="00A37749">
        <w:rPr>
          <w:rFonts w:asciiTheme="majorBidi" w:hAnsiTheme="majorBidi" w:cstheme="majorBidi"/>
          <w:i/>
          <w:iCs/>
          <w:color w:val="000000"/>
          <w:sz w:val="20"/>
          <w:szCs w:val="20"/>
        </w:rPr>
        <w:t>p</w:t>
      </w:r>
      <w:r w:rsidRPr="00A37749">
        <w:rPr>
          <w:rFonts w:asciiTheme="majorBidi" w:hAnsiTheme="majorBidi" w:cstheme="majorBidi"/>
          <w:color w:val="000000"/>
          <w:sz w:val="20"/>
          <w:szCs w:val="20"/>
        </w:rPr>
        <w:t xml:space="preserve">-values &lt;0.05 </w:t>
      </w:r>
      <w:r w:rsidRPr="00A37749">
        <w:rPr>
          <w:rFonts w:asciiTheme="majorBidi" w:hAnsiTheme="majorBidi" w:cstheme="majorBidi"/>
          <w:sz w:val="20"/>
          <w:szCs w:val="20"/>
        </w:rPr>
        <w:t xml:space="preserve">was considered </w:t>
      </w:r>
      <w:r w:rsidRPr="00A37749">
        <w:rPr>
          <w:rFonts w:asciiTheme="majorBidi" w:hAnsiTheme="majorBidi" w:cstheme="majorBidi"/>
          <w:color w:val="000000"/>
          <w:sz w:val="20"/>
          <w:szCs w:val="20"/>
        </w:rPr>
        <w:t xml:space="preserve">to be </w:t>
      </w:r>
      <w:r w:rsidRPr="00A37749">
        <w:rPr>
          <w:rFonts w:asciiTheme="majorBidi" w:hAnsiTheme="majorBidi" w:cstheme="majorBidi"/>
          <w:sz w:val="20"/>
          <w:szCs w:val="20"/>
        </w:rPr>
        <w:t>statistically significant.</w:t>
      </w:r>
    </w:p>
    <w:p w:rsidR="00EA5D64" w:rsidRPr="00A37749" w:rsidRDefault="00EA5D64" w:rsidP="001F1FA9">
      <w:pPr>
        <w:autoSpaceDE w:val="0"/>
        <w:autoSpaceDN w:val="0"/>
        <w:adjustRightInd w:val="0"/>
        <w:spacing w:after="0" w:line="240" w:lineRule="auto"/>
        <w:ind w:left="360" w:hanging="360"/>
        <w:jc w:val="both"/>
        <w:rPr>
          <w:rFonts w:asciiTheme="majorBidi" w:hAnsiTheme="majorBidi" w:cstheme="majorBidi"/>
          <w:b/>
          <w:bCs/>
          <w:sz w:val="20"/>
          <w:szCs w:val="20"/>
        </w:rPr>
      </w:pPr>
    </w:p>
    <w:p w:rsidR="00EA5D64" w:rsidRPr="00A37749" w:rsidRDefault="0001311A" w:rsidP="001F1FA9">
      <w:pPr>
        <w:autoSpaceDE w:val="0"/>
        <w:autoSpaceDN w:val="0"/>
        <w:adjustRightInd w:val="0"/>
        <w:spacing w:after="0" w:line="240" w:lineRule="auto"/>
        <w:ind w:left="360" w:hanging="360"/>
        <w:jc w:val="both"/>
        <w:rPr>
          <w:rFonts w:asciiTheme="majorBidi" w:hAnsiTheme="majorBidi" w:cstheme="majorBidi"/>
          <w:b/>
          <w:bCs/>
          <w:sz w:val="20"/>
          <w:szCs w:val="20"/>
        </w:rPr>
      </w:pPr>
      <w:r w:rsidRPr="00A37749">
        <w:rPr>
          <w:rFonts w:asciiTheme="majorBidi" w:hAnsiTheme="majorBidi" w:cstheme="majorBidi"/>
          <w:b/>
          <w:bCs/>
          <w:sz w:val="20"/>
          <w:szCs w:val="20"/>
        </w:rPr>
        <w:t xml:space="preserve">3. </w:t>
      </w:r>
      <w:r w:rsidR="00EA5D64" w:rsidRPr="00A37749">
        <w:rPr>
          <w:rFonts w:asciiTheme="majorBidi" w:hAnsiTheme="majorBidi" w:cstheme="majorBidi"/>
          <w:b/>
          <w:bCs/>
          <w:sz w:val="20"/>
          <w:szCs w:val="20"/>
        </w:rPr>
        <w:t>Results</w:t>
      </w:r>
    </w:p>
    <w:p w:rsidR="00FD7FD2" w:rsidRPr="00A37749" w:rsidRDefault="00EA5D64" w:rsidP="00FD7FD2">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Of 261 available patients diagnosed to have HCC during the study period, there were 218 (83.5%) male and 43 (16.5%) female </w:t>
      </w:r>
      <w:r w:rsidR="008123D8" w:rsidRPr="00A37749">
        <w:rPr>
          <w:rFonts w:asciiTheme="majorBidi" w:hAnsiTheme="majorBidi" w:cstheme="majorBidi"/>
          <w:sz w:val="20"/>
          <w:szCs w:val="20"/>
        </w:rPr>
        <w:t xml:space="preserve">patients </w:t>
      </w:r>
      <w:r w:rsidRPr="00A37749">
        <w:rPr>
          <w:rFonts w:asciiTheme="majorBidi" w:hAnsiTheme="majorBidi" w:cstheme="majorBidi"/>
          <w:sz w:val="20"/>
          <w:szCs w:val="20"/>
        </w:rPr>
        <w:t>with a ratio 5: 1. The median age was 59 years (range 30–85 years). The hepatic reserve was calculated using the Child–</w:t>
      </w:r>
      <w:proofErr w:type="spellStart"/>
      <w:r w:rsidRPr="00A37749">
        <w:rPr>
          <w:rFonts w:asciiTheme="majorBidi" w:hAnsiTheme="majorBidi" w:cstheme="majorBidi"/>
          <w:sz w:val="20"/>
          <w:szCs w:val="20"/>
        </w:rPr>
        <w:t>Turcotte</w:t>
      </w:r>
      <w:proofErr w:type="spellEnd"/>
      <w:r w:rsidRPr="00A37749">
        <w:rPr>
          <w:rFonts w:asciiTheme="majorBidi" w:hAnsiTheme="majorBidi" w:cstheme="majorBidi"/>
          <w:sz w:val="20"/>
          <w:szCs w:val="20"/>
        </w:rPr>
        <w:t>–Pugh (CTP) score</w:t>
      </w:r>
      <w:r w:rsidRPr="00A37749">
        <w:rPr>
          <w:rFonts w:asciiTheme="majorBidi" w:hAnsiTheme="majorBidi" w:cstheme="majorBidi"/>
          <w:sz w:val="20"/>
          <w:szCs w:val="20"/>
          <w:vertAlign w:val="superscript"/>
        </w:rPr>
        <w:t xml:space="preserve"> (17)</w:t>
      </w:r>
      <w:r w:rsidRPr="00A37749">
        <w:rPr>
          <w:rFonts w:asciiTheme="majorBidi" w:hAnsiTheme="majorBidi" w:cstheme="majorBidi"/>
          <w:sz w:val="20"/>
          <w:szCs w:val="20"/>
        </w:rPr>
        <w:t>. Evaluation</w:t>
      </w:r>
      <w:r w:rsidR="00BD56E7" w:rsidRPr="00A37749">
        <w:rPr>
          <w:rFonts w:asciiTheme="majorBidi" w:hAnsiTheme="majorBidi" w:cstheme="majorBidi"/>
          <w:sz w:val="20"/>
          <w:szCs w:val="20"/>
        </w:rPr>
        <w:t xml:space="preserve"> of</w:t>
      </w:r>
      <w:r w:rsidRPr="00A37749">
        <w:rPr>
          <w:rFonts w:asciiTheme="majorBidi" w:hAnsiTheme="majorBidi" w:cstheme="majorBidi"/>
          <w:sz w:val="20"/>
          <w:szCs w:val="20"/>
        </w:rPr>
        <w:t xml:space="preserve"> the primary tumor stage was done according to the Cancer of the Liver Italian Program Score (CLIP score) </w:t>
      </w:r>
      <w:r w:rsidRPr="00A37749">
        <w:rPr>
          <w:rFonts w:asciiTheme="majorBidi" w:hAnsiTheme="majorBidi" w:cstheme="majorBidi"/>
          <w:sz w:val="20"/>
          <w:szCs w:val="20"/>
          <w:vertAlign w:val="superscript"/>
        </w:rPr>
        <w:t>(18)</w:t>
      </w:r>
      <w:r w:rsidRPr="00A37749">
        <w:rPr>
          <w:rFonts w:asciiTheme="majorBidi" w:hAnsiTheme="majorBidi" w:cstheme="majorBidi"/>
          <w:sz w:val="20"/>
          <w:szCs w:val="20"/>
        </w:rPr>
        <w:t xml:space="preserve">, that incorporates measures of tumor size, vascular invasion, Alpha-fetoprotein (AFP) level, and hepatic function as measured by Child–Pugh score. A comparison of the </w:t>
      </w:r>
      <w:proofErr w:type="spellStart"/>
      <w:r w:rsidRPr="00A37749">
        <w:rPr>
          <w:rFonts w:asciiTheme="majorBidi" w:hAnsiTheme="majorBidi" w:cstheme="majorBidi"/>
          <w:sz w:val="20"/>
          <w:szCs w:val="20"/>
        </w:rPr>
        <w:t>clinico</w:t>
      </w:r>
      <w:proofErr w:type="spellEnd"/>
      <w:r w:rsidRPr="00A37749">
        <w:rPr>
          <w:rFonts w:asciiTheme="majorBidi" w:hAnsiTheme="majorBidi" w:cstheme="majorBidi"/>
          <w:sz w:val="20"/>
          <w:szCs w:val="20"/>
        </w:rPr>
        <w:t>-pathological data between patients with or without lymph node</w:t>
      </w:r>
      <w:r w:rsidR="00BD56E7" w:rsidRPr="00A37749">
        <w:rPr>
          <w:rFonts w:asciiTheme="majorBidi" w:hAnsiTheme="majorBidi" w:cstheme="majorBidi"/>
          <w:sz w:val="20"/>
          <w:szCs w:val="20"/>
        </w:rPr>
        <w:t>s metastase</w:t>
      </w:r>
      <w:r w:rsidRPr="00A37749">
        <w:rPr>
          <w:rFonts w:asciiTheme="majorBidi" w:hAnsiTheme="majorBidi" w:cstheme="majorBidi"/>
          <w:sz w:val="20"/>
          <w:szCs w:val="20"/>
        </w:rPr>
        <w:t>s revealed that the group of patients without lymph node</w:t>
      </w:r>
      <w:r w:rsidR="00BD56E7" w:rsidRPr="00A37749">
        <w:rPr>
          <w:rFonts w:asciiTheme="majorBidi" w:hAnsiTheme="majorBidi" w:cstheme="majorBidi"/>
          <w:sz w:val="20"/>
          <w:szCs w:val="20"/>
        </w:rPr>
        <w:t>s metastase</w:t>
      </w:r>
      <w:r w:rsidRPr="00A37749">
        <w:rPr>
          <w:rFonts w:asciiTheme="majorBidi" w:hAnsiTheme="majorBidi" w:cstheme="majorBidi"/>
          <w:sz w:val="20"/>
          <w:szCs w:val="20"/>
        </w:rPr>
        <w:t>s had a significantly better Child-Pugh score (</w:t>
      </w:r>
      <w:r w:rsidRPr="00A37749">
        <w:rPr>
          <w:rFonts w:asciiTheme="majorBidi" w:hAnsiTheme="majorBidi" w:cstheme="majorBidi"/>
          <w:i/>
          <w:iCs/>
          <w:sz w:val="20"/>
          <w:szCs w:val="20"/>
        </w:rPr>
        <w:t>p</w:t>
      </w:r>
      <w:r w:rsidRPr="00A37749">
        <w:rPr>
          <w:rFonts w:asciiTheme="majorBidi" w:hAnsiTheme="majorBidi" w:cstheme="majorBidi"/>
          <w:sz w:val="20"/>
          <w:szCs w:val="20"/>
        </w:rPr>
        <w:t>=0.004), a significantly smaller size of intra-hepatic focal lesion and better tumor morphology (</w:t>
      </w:r>
      <w:r w:rsidRPr="00A37749">
        <w:rPr>
          <w:rFonts w:asciiTheme="majorBidi" w:hAnsiTheme="majorBidi" w:cstheme="majorBidi"/>
          <w:i/>
          <w:iCs/>
          <w:sz w:val="20"/>
          <w:szCs w:val="20"/>
        </w:rPr>
        <w:t>p</w:t>
      </w:r>
      <w:r w:rsidRPr="00A37749">
        <w:rPr>
          <w:rFonts w:asciiTheme="majorBidi" w:hAnsiTheme="majorBidi" w:cstheme="majorBidi"/>
          <w:sz w:val="20"/>
          <w:szCs w:val="20"/>
        </w:rPr>
        <w:t>=0.003). Table 1 summarizes the clinical data of all patients.</w:t>
      </w:r>
    </w:p>
    <w:p w:rsidR="00FD7FD2" w:rsidRPr="00A37749" w:rsidRDefault="00FD7FD2" w:rsidP="00FD7FD2">
      <w:pPr>
        <w:autoSpaceDE w:val="0"/>
        <w:autoSpaceDN w:val="0"/>
        <w:adjustRightInd w:val="0"/>
        <w:spacing w:after="0" w:line="240" w:lineRule="auto"/>
        <w:ind w:left="360" w:hanging="360"/>
        <w:jc w:val="both"/>
        <w:rPr>
          <w:rFonts w:asciiTheme="majorBidi" w:hAnsiTheme="majorBidi" w:cstheme="majorBidi"/>
          <w:b/>
          <w:bCs/>
          <w:sz w:val="20"/>
          <w:szCs w:val="20"/>
        </w:rPr>
      </w:pPr>
      <w:r w:rsidRPr="00A37749">
        <w:rPr>
          <w:rFonts w:asciiTheme="majorBidi" w:hAnsiTheme="majorBidi" w:cstheme="majorBidi"/>
          <w:b/>
          <w:bCs/>
          <w:sz w:val="20"/>
          <w:szCs w:val="20"/>
        </w:rPr>
        <w:t>Sites of Extra-hepatic Metastases</w:t>
      </w:r>
    </w:p>
    <w:p w:rsidR="00FD7FD2" w:rsidRPr="00A37749" w:rsidRDefault="00FD7FD2" w:rsidP="00FD7FD2">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A reported 197 (75.5%) patients were found to have extra-hepatic metastases including LNs &amp;distant </w:t>
      </w:r>
      <w:r w:rsidRPr="00A37749">
        <w:rPr>
          <w:rFonts w:asciiTheme="majorBidi" w:hAnsiTheme="majorBidi" w:cstheme="majorBidi"/>
          <w:sz w:val="20"/>
          <w:szCs w:val="20"/>
        </w:rPr>
        <w:lastRenderedPageBreak/>
        <w:t xml:space="preserve">metastases. Pathological confirmation of </w:t>
      </w:r>
      <w:proofErr w:type="spellStart"/>
      <w:r w:rsidRPr="00A37749">
        <w:rPr>
          <w:rFonts w:asciiTheme="majorBidi" w:hAnsiTheme="majorBidi" w:cstheme="majorBidi"/>
          <w:sz w:val="20"/>
          <w:szCs w:val="20"/>
        </w:rPr>
        <w:t>non metastatic</w:t>
      </w:r>
      <w:proofErr w:type="spellEnd"/>
      <w:r w:rsidRPr="00A37749">
        <w:rPr>
          <w:rFonts w:asciiTheme="majorBidi" w:hAnsiTheme="majorBidi" w:cstheme="majorBidi"/>
          <w:sz w:val="20"/>
          <w:szCs w:val="20"/>
        </w:rPr>
        <w:t xml:space="preserve"> HCC was performed in 31 out of 64 patients (48.4%), and extra-hepatic metastatic disease were biopsy proved in 19 out of 197 patients (10.6%) and other sites were detected through radiological studies. The sites of metastases are summarized in Table 2 &amp; 3. The most frequent sites were lymph nodes in 116 (44.4%) patients, bone in 113 (43.3%) patients and lung in 42 (16.1%) patients. </w:t>
      </w:r>
    </w:p>
    <w:p w:rsidR="00FD7FD2" w:rsidRPr="00A37749" w:rsidRDefault="00FD7FD2" w:rsidP="00FD7FD2">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The 116 patients with lymph nodes metastases involved 219 metastatic l</w:t>
      </w:r>
      <w:r w:rsidR="008367EF" w:rsidRPr="00A37749">
        <w:rPr>
          <w:rFonts w:asciiTheme="majorBidi" w:hAnsiTheme="majorBidi" w:cstheme="majorBidi"/>
          <w:sz w:val="20"/>
          <w:szCs w:val="20"/>
        </w:rPr>
        <w:t>ymph node</w:t>
      </w:r>
      <w:r w:rsidRPr="00A37749">
        <w:rPr>
          <w:rFonts w:asciiTheme="majorBidi" w:hAnsiTheme="majorBidi" w:cstheme="majorBidi"/>
          <w:sz w:val="20"/>
          <w:szCs w:val="20"/>
        </w:rPr>
        <w:t xml:space="preserve"> regions. The most common metastatic lymph nodes were the para-aortic in 67 (25.7%) patients, followed by the porta</w:t>
      </w:r>
      <w:r w:rsidR="008367EF" w:rsidRPr="00A37749">
        <w:rPr>
          <w:rFonts w:asciiTheme="majorBidi" w:hAnsiTheme="majorBidi" w:cstheme="majorBidi"/>
          <w:sz w:val="20"/>
          <w:szCs w:val="20"/>
        </w:rPr>
        <w:t>-</w:t>
      </w:r>
      <w:proofErr w:type="spellStart"/>
      <w:r w:rsidRPr="00A37749">
        <w:rPr>
          <w:rFonts w:asciiTheme="majorBidi" w:hAnsiTheme="majorBidi" w:cstheme="majorBidi"/>
          <w:sz w:val="20"/>
          <w:szCs w:val="20"/>
        </w:rPr>
        <w:t>hepatis</w:t>
      </w:r>
      <w:proofErr w:type="spellEnd"/>
      <w:r w:rsidRPr="00A37749">
        <w:rPr>
          <w:rFonts w:asciiTheme="majorBidi" w:hAnsiTheme="majorBidi" w:cstheme="majorBidi"/>
          <w:sz w:val="20"/>
          <w:szCs w:val="20"/>
        </w:rPr>
        <w:t xml:space="preserve"> in 57 (21.8%) patients.</w:t>
      </w:r>
    </w:p>
    <w:p w:rsidR="00FD7FD2" w:rsidRPr="00A37749" w:rsidRDefault="00FD7FD2" w:rsidP="002D540D">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The enlarged nodes were 2–3.5 cm in diameter </w:t>
      </w:r>
      <w:r w:rsidRPr="00A37749">
        <w:rPr>
          <w:rFonts w:asciiTheme="majorBidi" w:hAnsiTheme="majorBidi" w:cstheme="majorBidi"/>
          <w:color w:val="000000" w:themeColor="text1"/>
          <w:sz w:val="20"/>
          <w:szCs w:val="20"/>
        </w:rPr>
        <w:t xml:space="preserve">with arterial phase enhancement and interval size increase was seen on repeated </w:t>
      </w:r>
      <w:proofErr w:type="spellStart"/>
      <w:r w:rsidRPr="00A37749">
        <w:rPr>
          <w:rFonts w:asciiTheme="majorBidi" w:hAnsiTheme="majorBidi" w:cstheme="majorBidi"/>
          <w:color w:val="000000" w:themeColor="text1"/>
          <w:sz w:val="20"/>
          <w:szCs w:val="20"/>
        </w:rPr>
        <w:t>investigations.</w:t>
      </w:r>
      <w:r w:rsidRPr="00A37749">
        <w:rPr>
          <w:rFonts w:asciiTheme="majorBidi" w:hAnsiTheme="majorBidi" w:cstheme="majorBidi"/>
          <w:sz w:val="20"/>
          <w:szCs w:val="20"/>
        </w:rPr>
        <w:t>Histopathological</w:t>
      </w:r>
      <w:proofErr w:type="spellEnd"/>
      <w:r w:rsidRPr="00A37749">
        <w:rPr>
          <w:rFonts w:asciiTheme="majorBidi" w:hAnsiTheme="majorBidi" w:cstheme="majorBidi"/>
          <w:sz w:val="20"/>
          <w:szCs w:val="20"/>
        </w:rPr>
        <w:t xml:space="preserve"> confirmation of malignancy within the LNs was performed in 11 patients.</w:t>
      </w:r>
    </w:p>
    <w:p w:rsidR="00FD7FD2" w:rsidRPr="00A37749" w:rsidRDefault="00FD7FD2" w:rsidP="00FD7FD2">
      <w:pPr>
        <w:autoSpaceDE w:val="0"/>
        <w:autoSpaceDN w:val="0"/>
        <w:adjustRightInd w:val="0"/>
        <w:spacing w:after="0" w:line="240" w:lineRule="auto"/>
        <w:ind w:left="360" w:hanging="360"/>
        <w:jc w:val="both"/>
        <w:rPr>
          <w:rFonts w:asciiTheme="majorBidi" w:hAnsiTheme="majorBidi" w:cstheme="majorBidi"/>
          <w:b/>
          <w:bCs/>
          <w:sz w:val="20"/>
          <w:szCs w:val="20"/>
        </w:rPr>
      </w:pPr>
      <w:r w:rsidRPr="00A37749">
        <w:rPr>
          <w:rFonts w:asciiTheme="majorBidi" w:hAnsiTheme="majorBidi" w:cstheme="majorBidi"/>
          <w:b/>
          <w:bCs/>
          <w:sz w:val="20"/>
          <w:szCs w:val="20"/>
        </w:rPr>
        <w:t>Treatment</w:t>
      </w:r>
    </w:p>
    <w:p w:rsidR="00FD7FD2" w:rsidRPr="00A37749" w:rsidRDefault="00FD7FD2" w:rsidP="002D540D">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Active treatment to control intra-hepatic disease was carried out including liver resection (n=6), radio-frequency (RF) ablation (n=16), trans-arterial chemo-embolization (TACE) (n=20) and combined TACE &amp; RF (n=7). Chemotherapy was given for 30 patients in a trial to control the disease with the most common chemotherapeutic agents used was </w:t>
      </w:r>
      <w:proofErr w:type="spellStart"/>
      <w:r w:rsidRPr="00A37749">
        <w:rPr>
          <w:rFonts w:asciiTheme="majorBidi" w:hAnsiTheme="majorBidi" w:cstheme="majorBidi"/>
          <w:sz w:val="20"/>
          <w:szCs w:val="20"/>
        </w:rPr>
        <w:t>Capecitabin</w:t>
      </w:r>
      <w:proofErr w:type="spellEnd"/>
      <w:r w:rsidRPr="00A37749">
        <w:rPr>
          <w:rFonts w:asciiTheme="majorBidi" w:hAnsiTheme="majorBidi" w:cstheme="majorBidi"/>
          <w:sz w:val="20"/>
          <w:szCs w:val="20"/>
        </w:rPr>
        <w:t xml:space="preserve"> (</w:t>
      </w:r>
      <w:proofErr w:type="spellStart"/>
      <w:r w:rsidRPr="00A37749">
        <w:rPr>
          <w:rFonts w:asciiTheme="majorBidi" w:hAnsiTheme="majorBidi" w:cstheme="majorBidi"/>
          <w:sz w:val="20"/>
          <w:szCs w:val="20"/>
        </w:rPr>
        <w:t>Xeloda</w:t>
      </w:r>
      <w:proofErr w:type="spellEnd"/>
      <w:r w:rsidRPr="00A37749">
        <w:rPr>
          <w:rFonts w:asciiTheme="majorBidi" w:hAnsiTheme="majorBidi" w:cstheme="majorBidi"/>
          <w:sz w:val="20"/>
          <w:szCs w:val="20"/>
        </w:rPr>
        <w:t>) that was given for 2-5 cycles. Other patients received supportive and palliative treatment.</w:t>
      </w:r>
    </w:p>
    <w:p w:rsidR="00FD7FD2" w:rsidRPr="00A37749" w:rsidRDefault="00FD7FD2" w:rsidP="00FD7FD2">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Patients with directed treatment to intra-hepatic lesion (surgery, TACE, RF or combined TACE/RF) had median survival of 10, 12, </w:t>
      </w:r>
      <w:proofErr w:type="gramStart"/>
      <w:r w:rsidRPr="00A37749">
        <w:rPr>
          <w:rFonts w:asciiTheme="majorBidi" w:hAnsiTheme="majorBidi" w:cstheme="majorBidi"/>
          <w:sz w:val="20"/>
          <w:szCs w:val="20"/>
        </w:rPr>
        <w:t>14</w:t>
      </w:r>
      <w:proofErr w:type="gramEnd"/>
      <w:r w:rsidRPr="00A37749">
        <w:rPr>
          <w:rFonts w:asciiTheme="majorBidi" w:hAnsiTheme="majorBidi" w:cstheme="majorBidi"/>
          <w:sz w:val="20"/>
          <w:szCs w:val="20"/>
        </w:rPr>
        <w:t>&amp; 13 months respectively, while patients underwent only supportive and palliative measures had median survival of 8 months. The prognosis of HCC patients with active intra-hepatic lesions associated with extra-hepatic metastases treated with palliative measures and received supportive treatment was significantly poor (</w:t>
      </w:r>
      <w:r w:rsidRPr="00A37749">
        <w:rPr>
          <w:rFonts w:asciiTheme="majorBidi" w:hAnsiTheme="majorBidi" w:cstheme="majorBidi"/>
          <w:i/>
          <w:iCs/>
          <w:sz w:val="20"/>
          <w:szCs w:val="20"/>
        </w:rPr>
        <w:t>p</w:t>
      </w:r>
      <w:r w:rsidRPr="00A37749">
        <w:rPr>
          <w:rFonts w:asciiTheme="majorBidi" w:hAnsiTheme="majorBidi" w:cstheme="majorBidi"/>
          <w:sz w:val="20"/>
          <w:szCs w:val="20"/>
        </w:rPr>
        <w:t xml:space="preserve">&lt;0.001). </w:t>
      </w:r>
    </w:p>
    <w:p w:rsidR="00FD7FD2" w:rsidRPr="00A37749" w:rsidRDefault="00FD7FD2" w:rsidP="00F74F9C">
      <w:pPr>
        <w:autoSpaceDE w:val="0"/>
        <w:autoSpaceDN w:val="0"/>
        <w:adjustRightInd w:val="0"/>
        <w:spacing w:after="0" w:line="240" w:lineRule="auto"/>
        <w:jc w:val="both"/>
        <w:rPr>
          <w:rFonts w:asciiTheme="majorBidi" w:hAnsiTheme="majorBidi" w:cstheme="majorBidi"/>
          <w:b/>
          <w:bCs/>
          <w:sz w:val="20"/>
          <w:szCs w:val="20"/>
        </w:rPr>
      </w:pPr>
      <w:r w:rsidRPr="00A37749">
        <w:rPr>
          <w:rFonts w:asciiTheme="majorBidi" w:hAnsiTheme="majorBidi" w:cstheme="majorBidi"/>
          <w:b/>
          <w:bCs/>
          <w:sz w:val="20"/>
          <w:szCs w:val="20"/>
        </w:rPr>
        <w:t>Prognosis of HCC patients with extra-hepatic metastases</w:t>
      </w:r>
    </w:p>
    <w:p w:rsidR="00EB159C" w:rsidRPr="00A37749" w:rsidRDefault="00FD7FD2" w:rsidP="00EB159C">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The risk factors affecting overall survival for all the patients were analyzed using previously reported clinical variables. Table 4 shows the results of the univariate and multivariate analyses. Six risk factors (performance status, size of primary intra-hepatic tumor, ascites, Child-Pugh score, portal vein thrombosis and lymph node</w:t>
      </w:r>
      <w:r w:rsidR="00F74F9C" w:rsidRPr="00A37749">
        <w:rPr>
          <w:rFonts w:asciiTheme="majorBidi" w:hAnsiTheme="majorBidi" w:cstheme="majorBidi"/>
          <w:sz w:val="20"/>
          <w:szCs w:val="20"/>
        </w:rPr>
        <w:t>s</w:t>
      </w:r>
      <w:r w:rsidRPr="00A37749">
        <w:rPr>
          <w:rFonts w:asciiTheme="majorBidi" w:hAnsiTheme="majorBidi" w:cstheme="majorBidi"/>
          <w:sz w:val="20"/>
          <w:szCs w:val="20"/>
        </w:rPr>
        <w:t xml:space="preserve"> metastases) were associated  with significant effect on overall survival in univariate analysis (</w:t>
      </w:r>
      <w:r w:rsidRPr="00A37749">
        <w:rPr>
          <w:rFonts w:asciiTheme="majorBidi" w:hAnsiTheme="majorBidi" w:cstheme="majorBidi"/>
          <w:i/>
          <w:iCs/>
          <w:sz w:val="20"/>
          <w:szCs w:val="20"/>
        </w:rPr>
        <w:t>p</w:t>
      </w:r>
      <w:r w:rsidRPr="00A37749">
        <w:rPr>
          <w:rFonts w:asciiTheme="majorBidi" w:hAnsiTheme="majorBidi" w:cstheme="majorBidi"/>
          <w:sz w:val="20"/>
          <w:szCs w:val="20"/>
        </w:rPr>
        <w:t>&lt;0.001, =0.001, &lt;0.001, &lt;0.001, =0.048 and &lt;0.001, respectively). On multivariate analysis, performance status, ascites and lymph nodes metastases were independent risk factor of overall survival (</w:t>
      </w:r>
      <w:r w:rsidRPr="00A37749">
        <w:rPr>
          <w:rFonts w:asciiTheme="majorBidi" w:hAnsiTheme="majorBidi" w:cstheme="majorBidi"/>
          <w:i/>
          <w:iCs/>
          <w:sz w:val="20"/>
          <w:szCs w:val="20"/>
        </w:rPr>
        <w:t>p</w:t>
      </w:r>
      <w:r w:rsidRPr="00A37749">
        <w:rPr>
          <w:rFonts w:asciiTheme="majorBidi" w:hAnsiTheme="majorBidi" w:cstheme="majorBidi"/>
          <w:sz w:val="20"/>
          <w:szCs w:val="20"/>
        </w:rPr>
        <w:t>&lt;0.001, =0.017 and =0.008 respectively).</w:t>
      </w:r>
    </w:p>
    <w:p w:rsidR="00FD7FD2" w:rsidRPr="00A37749" w:rsidRDefault="00FD7FD2" w:rsidP="00EB159C">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lastRenderedPageBreak/>
        <w:t>The cumulative overall survival rates for the whole group at 1- and 2-years after initial diagnosis of HCC were 28.7% and 5.3%, respectively (Figure 1). Figures 2 &amp; 3 showed the overall survival according to performance status (</w:t>
      </w:r>
      <w:r w:rsidRPr="00A37749">
        <w:rPr>
          <w:rFonts w:asciiTheme="majorBidi" w:hAnsiTheme="majorBidi" w:cstheme="majorBidi"/>
          <w:i/>
          <w:iCs/>
          <w:sz w:val="20"/>
          <w:szCs w:val="20"/>
        </w:rPr>
        <w:t>p</w:t>
      </w:r>
      <w:r w:rsidRPr="00A37749">
        <w:rPr>
          <w:rFonts w:asciiTheme="majorBidi" w:hAnsiTheme="majorBidi" w:cstheme="majorBidi"/>
          <w:sz w:val="20"/>
          <w:szCs w:val="20"/>
        </w:rPr>
        <w:t>&lt;0.001) and ascites (</w:t>
      </w:r>
      <w:r w:rsidRPr="00A37749">
        <w:rPr>
          <w:rFonts w:asciiTheme="majorBidi" w:hAnsiTheme="majorBidi" w:cstheme="majorBidi"/>
          <w:i/>
          <w:iCs/>
          <w:sz w:val="20"/>
          <w:szCs w:val="20"/>
        </w:rPr>
        <w:t>p</w:t>
      </w:r>
      <w:r w:rsidRPr="00A37749">
        <w:rPr>
          <w:rFonts w:asciiTheme="majorBidi" w:hAnsiTheme="majorBidi" w:cstheme="majorBidi"/>
          <w:sz w:val="20"/>
          <w:szCs w:val="20"/>
        </w:rPr>
        <w:t xml:space="preserve">=0.017). </w:t>
      </w:r>
      <w:r w:rsidRPr="00A37749">
        <w:rPr>
          <w:rFonts w:asciiTheme="majorBidi" w:hAnsiTheme="majorBidi" w:cstheme="majorBidi"/>
          <w:sz w:val="20"/>
          <w:szCs w:val="20"/>
        </w:rPr>
        <w:lastRenderedPageBreak/>
        <w:t>With median survival time 9 (range 1-48) months, the median survival time for patients with or without lymphatic metastases were 8 (range 1-24) months and 10.5 (range 1-48) months, respectively, (</w:t>
      </w:r>
      <w:r w:rsidRPr="00A37749">
        <w:rPr>
          <w:rFonts w:asciiTheme="majorBidi" w:hAnsiTheme="majorBidi" w:cstheme="majorBidi"/>
          <w:i/>
          <w:iCs/>
          <w:sz w:val="20"/>
          <w:szCs w:val="20"/>
        </w:rPr>
        <w:t>p=</w:t>
      </w:r>
      <w:r w:rsidRPr="00A37749">
        <w:rPr>
          <w:rFonts w:asciiTheme="majorBidi" w:hAnsiTheme="majorBidi" w:cstheme="majorBidi"/>
          <w:sz w:val="20"/>
          <w:szCs w:val="20"/>
        </w:rPr>
        <w:t>0.008, Figure 4).</w:t>
      </w:r>
    </w:p>
    <w:p w:rsidR="00F74F9C" w:rsidRPr="00A37749" w:rsidRDefault="00F74F9C" w:rsidP="00F74F9C">
      <w:pPr>
        <w:autoSpaceDE w:val="0"/>
        <w:autoSpaceDN w:val="0"/>
        <w:adjustRightInd w:val="0"/>
        <w:spacing w:after="0" w:line="240" w:lineRule="auto"/>
        <w:jc w:val="both"/>
        <w:rPr>
          <w:rFonts w:asciiTheme="majorBidi" w:hAnsiTheme="majorBidi" w:cstheme="majorBidi"/>
          <w:b/>
          <w:bCs/>
          <w:sz w:val="20"/>
          <w:szCs w:val="20"/>
        </w:rPr>
        <w:sectPr w:rsidR="00F74F9C" w:rsidRPr="00A37749" w:rsidSect="00EB159C">
          <w:type w:val="continuous"/>
          <w:pgSz w:w="12240" w:h="15840"/>
          <w:pgMar w:top="1440" w:right="1440" w:bottom="1440" w:left="1440" w:header="720" w:footer="720" w:gutter="0"/>
          <w:cols w:num="2" w:space="540"/>
          <w:docGrid w:linePitch="360"/>
        </w:sectPr>
      </w:pPr>
    </w:p>
    <w:p w:rsidR="00FD7FD2" w:rsidRPr="00A37749" w:rsidRDefault="00FD7FD2" w:rsidP="001F1FA9">
      <w:pPr>
        <w:autoSpaceDE w:val="0"/>
        <w:autoSpaceDN w:val="0"/>
        <w:adjustRightInd w:val="0"/>
        <w:spacing w:after="0" w:line="240" w:lineRule="auto"/>
        <w:jc w:val="center"/>
        <w:rPr>
          <w:rFonts w:asciiTheme="majorBidi" w:hAnsiTheme="majorBidi" w:cstheme="majorBidi"/>
          <w:b/>
          <w:bCs/>
          <w:sz w:val="20"/>
          <w:szCs w:val="20"/>
        </w:rPr>
      </w:pPr>
    </w:p>
    <w:p w:rsidR="00A37749" w:rsidRPr="00A37749" w:rsidRDefault="00A37749" w:rsidP="001F1FA9">
      <w:pPr>
        <w:autoSpaceDE w:val="0"/>
        <w:autoSpaceDN w:val="0"/>
        <w:adjustRightInd w:val="0"/>
        <w:spacing w:after="0" w:line="240" w:lineRule="auto"/>
        <w:jc w:val="center"/>
        <w:rPr>
          <w:rFonts w:asciiTheme="majorBidi" w:hAnsiTheme="majorBidi" w:cstheme="majorBidi"/>
          <w:b/>
          <w:bCs/>
          <w:sz w:val="20"/>
          <w:szCs w:val="20"/>
        </w:rPr>
      </w:pPr>
    </w:p>
    <w:p w:rsidR="001F1FA9" w:rsidRPr="00A37749" w:rsidRDefault="001F1FA9" w:rsidP="001F1FA9">
      <w:pPr>
        <w:autoSpaceDE w:val="0"/>
        <w:autoSpaceDN w:val="0"/>
        <w:adjustRightInd w:val="0"/>
        <w:spacing w:after="0" w:line="240" w:lineRule="auto"/>
        <w:jc w:val="center"/>
        <w:rPr>
          <w:rFonts w:asciiTheme="majorBidi" w:hAnsiTheme="majorBidi" w:cstheme="majorBidi"/>
          <w:b/>
          <w:bCs/>
          <w:sz w:val="20"/>
          <w:szCs w:val="20"/>
        </w:rPr>
      </w:pPr>
      <w:r w:rsidRPr="00A37749">
        <w:rPr>
          <w:rFonts w:asciiTheme="majorBidi" w:hAnsiTheme="majorBidi" w:cstheme="majorBidi"/>
          <w:b/>
          <w:bCs/>
          <w:sz w:val="20"/>
          <w:szCs w:val="20"/>
        </w:rPr>
        <w:t>Table (1): Characteristics of 261 patients with HCC according to LN status</w:t>
      </w:r>
    </w:p>
    <w:tbl>
      <w:tblPr>
        <w:tblStyle w:val="TableGrid"/>
        <w:tblW w:w="9378" w:type="dxa"/>
        <w:tblLook w:val="04A0" w:firstRow="1" w:lastRow="0" w:firstColumn="1" w:lastColumn="0" w:noHBand="0" w:noVBand="1"/>
      </w:tblPr>
      <w:tblGrid>
        <w:gridCol w:w="2988"/>
        <w:gridCol w:w="1710"/>
        <w:gridCol w:w="2070"/>
        <w:gridCol w:w="990"/>
        <w:gridCol w:w="1620"/>
      </w:tblGrid>
      <w:tr w:rsidR="001F1FA9" w:rsidRPr="00A37749" w:rsidTr="00EA5890">
        <w:trPr>
          <w:trHeight w:val="368"/>
        </w:trPr>
        <w:tc>
          <w:tcPr>
            <w:tcW w:w="2988" w:type="dxa"/>
            <w:vAlign w:val="center"/>
          </w:tcPr>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Characters</w:t>
            </w:r>
          </w:p>
        </w:tc>
        <w:tc>
          <w:tcPr>
            <w:tcW w:w="1710" w:type="dxa"/>
          </w:tcPr>
          <w:p w:rsidR="001F1FA9" w:rsidRPr="00A37749" w:rsidRDefault="00BD56E7" w:rsidP="00BD56E7">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LNs metastase</w:t>
            </w:r>
            <w:r w:rsidR="001F1FA9" w:rsidRPr="00A37749">
              <w:rPr>
                <w:rFonts w:asciiTheme="majorBidi" w:hAnsiTheme="majorBidi" w:cstheme="majorBidi"/>
                <w:b/>
                <w:bCs/>
                <w:sz w:val="20"/>
                <w:szCs w:val="20"/>
              </w:rPr>
              <w:t xml:space="preserve">s </w:t>
            </w:r>
          </w:p>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116 (44.4%)</w:t>
            </w:r>
          </w:p>
        </w:tc>
        <w:tc>
          <w:tcPr>
            <w:tcW w:w="2070" w:type="dxa"/>
          </w:tcPr>
          <w:p w:rsidR="001F1FA9" w:rsidRPr="00A37749" w:rsidRDefault="00BD56E7"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No LNs metastase</w:t>
            </w:r>
            <w:r w:rsidR="001F1FA9" w:rsidRPr="00A37749">
              <w:rPr>
                <w:rFonts w:asciiTheme="majorBidi" w:hAnsiTheme="majorBidi" w:cstheme="majorBidi"/>
                <w:b/>
                <w:bCs/>
                <w:sz w:val="20"/>
                <w:szCs w:val="20"/>
              </w:rPr>
              <w:t xml:space="preserve">s </w:t>
            </w:r>
          </w:p>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145 (55.6%)</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i/>
                <w:iCs/>
                <w:sz w:val="20"/>
                <w:szCs w:val="20"/>
              </w:rPr>
              <w:t>p</w:t>
            </w:r>
            <w:r w:rsidRPr="00A37749">
              <w:rPr>
                <w:rFonts w:asciiTheme="majorBidi" w:hAnsiTheme="majorBidi" w:cstheme="majorBidi"/>
                <w:b/>
                <w:bCs/>
                <w:sz w:val="20"/>
                <w:szCs w:val="20"/>
              </w:rPr>
              <w:t>-value</w:t>
            </w:r>
          </w:p>
        </w:tc>
        <w:tc>
          <w:tcPr>
            <w:tcW w:w="1620" w:type="dxa"/>
          </w:tcPr>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Whole patients</w:t>
            </w:r>
          </w:p>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261 (100%)</w:t>
            </w:r>
          </w:p>
        </w:tc>
      </w:tr>
      <w:tr w:rsidR="001F1FA9" w:rsidRPr="00A37749" w:rsidTr="00EA5890">
        <w:tc>
          <w:tcPr>
            <w:tcW w:w="9378" w:type="dxa"/>
            <w:gridSpan w:val="5"/>
          </w:tcPr>
          <w:p w:rsidR="001F1FA9" w:rsidRPr="00A37749" w:rsidRDefault="001F1FA9" w:rsidP="00D925DA">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Age</w:t>
            </w:r>
            <w:r w:rsidR="00D925DA" w:rsidRPr="00A37749">
              <w:rPr>
                <w:rFonts w:asciiTheme="majorBidi" w:hAnsiTheme="majorBidi" w:cstheme="majorBidi"/>
                <w:b/>
                <w:bCs/>
                <w:sz w:val="20"/>
                <w:szCs w:val="20"/>
              </w:rPr>
              <w:t xml:space="preserve">: </w:t>
            </w:r>
            <w:r w:rsidR="00BD56E7" w:rsidRPr="00A37749">
              <w:rPr>
                <w:rFonts w:asciiTheme="majorBidi" w:hAnsiTheme="majorBidi" w:cstheme="majorBidi"/>
                <w:sz w:val="20"/>
                <w:szCs w:val="20"/>
              </w:rPr>
              <w:t>Median 59 years, range 30-85 years</w:t>
            </w:r>
          </w:p>
        </w:tc>
      </w:tr>
      <w:tr w:rsidR="001F1FA9" w:rsidRPr="00A37749" w:rsidTr="00F17B4F">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&lt;60</w:t>
            </w:r>
          </w:p>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sz w:val="20"/>
                <w:szCs w:val="20"/>
              </w:rPr>
              <w:t>≥60</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63 (47.7)</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53 (41.1)</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69 (52.3)</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76 (58.9)</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0.280</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132 (50.6)</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129 (49.4)</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Sex</w:t>
            </w:r>
          </w:p>
        </w:tc>
      </w:tr>
      <w:tr w:rsidR="001F1FA9" w:rsidRPr="00A37749" w:rsidTr="00F17B4F">
        <w:trPr>
          <w:trHeight w:val="359"/>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Male</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Female</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96 (44)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20 (46.5)</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122 (56)</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23 (53.5)</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0.765</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218 (83.5)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43 (16.5)</w:t>
            </w:r>
          </w:p>
        </w:tc>
      </w:tr>
      <w:tr w:rsidR="001F1FA9" w:rsidRPr="00A37749" w:rsidTr="00EA5890">
        <w:trPr>
          <w:trHeight w:val="134"/>
        </w:trPr>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HCV</w:t>
            </w:r>
          </w:p>
        </w:tc>
      </w:tr>
      <w:tr w:rsidR="001F1FA9" w:rsidRPr="00A37749" w:rsidTr="00F17B4F">
        <w:trPr>
          <w:trHeight w:val="562"/>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Yes</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No</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Unknown</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95 (43.4)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 (66.7)</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17 (47.2)</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124 (56.6)</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 (33.3)</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19 (52.8)</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0.493</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219 (83.9)</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 (2.3)</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36 (13.8)</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Performance Status</w:t>
            </w:r>
          </w:p>
        </w:tc>
      </w:tr>
      <w:tr w:rsidR="001F1FA9" w:rsidRPr="00A37749" w:rsidTr="00F17B4F">
        <w:trPr>
          <w:trHeight w:val="413"/>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0-1</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&gt;1</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45 (42.9)</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71 (45.5)</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60 (57.1)</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85 (54.5)</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0.672</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105 (40.2)</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156 (59.8)</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Primary tumor location</w:t>
            </w:r>
          </w:p>
        </w:tc>
      </w:tr>
      <w:tr w:rsidR="001F1FA9" w:rsidRPr="00A37749" w:rsidTr="00F17B4F">
        <w:trPr>
          <w:trHeight w:val="562"/>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Right lobe</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Left lobe</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Both lobes</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44 (40)</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21 (58.3)</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51 (44.3)</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66 (60)</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15 (41.7)</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64 (55.7)</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0.158</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110 (42.1)</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36 (13.8)</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115 (44.1)</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Number of primary tumor</w:t>
            </w:r>
          </w:p>
        </w:tc>
      </w:tr>
      <w:tr w:rsidR="001F1FA9" w:rsidRPr="00A37749" w:rsidTr="00F17B4F">
        <w:trPr>
          <w:trHeight w:val="395"/>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Solitary</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Multiple</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49 (44.5)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67 (44.4)</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61 (55.5)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84 (55.6)</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0.978</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110 (42.1)</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151 (57.9)</w:t>
            </w:r>
          </w:p>
        </w:tc>
      </w:tr>
      <w:tr w:rsidR="001F1FA9" w:rsidRPr="00A37749" w:rsidTr="00EA5890">
        <w:trPr>
          <w:trHeight w:val="188"/>
        </w:trPr>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Size of focal lesion</w:t>
            </w:r>
            <w:r w:rsidR="00BD56E7" w:rsidRPr="00A37749">
              <w:rPr>
                <w:rFonts w:asciiTheme="majorBidi" w:hAnsiTheme="majorBidi" w:cstheme="majorBidi"/>
                <w:b/>
                <w:bCs/>
                <w:sz w:val="20"/>
                <w:szCs w:val="20"/>
              </w:rPr>
              <w:t>(s)</w:t>
            </w:r>
          </w:p>
        </w:tc>
      </w:tr>
      <w:tr w:rsidR="001F1FA9" w:rsidRPr="00A37749" w:rsidTr="00F17B4F">
        <w:trPr>
          <w:trHeight w:val="440"/>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&lt;5 cm</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≥5 cm</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23 (30.3)</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93 (50.3)</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53 (69.7)</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92 (49.7)</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0.003</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76 (29.1)</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185 (70.9)</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Ascites</w:t>
            </w:r>
          </w:p>
        </w:tc>
      </w:tr>
      <w:tr w:rsidR="001F1FA9" w:rsidRPr="00A37749" w:rsidTr="00F17B4F">
        <w:trPr>
          <w:trHeight w:val="674"/>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No</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Mild</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Moderate</w:t>
            </w:r>
            <w:r w:rsidR="00BD56E7" w:rsidRPr="00A37749">
              <w:rPr>
                <w:rFonts w:asciiTheme="majorBidi" w:hAnsiTheme="majorBidi" w:cstheme="majorBidi"/>
                <w:sz w:val="20"/>
                <w:szCs w:val="20"/>
              </w:rPr>
              <w:t>/severe</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73 (42.4)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25 (45.5)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18 (52.9)</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99 (57.6)</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30 (54.5)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16 (47.1)</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0.523</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172 (65.9)</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55 (21.1)</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34 (13.0)</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Bilirubin mg/</w:t>
            </w:r>
            <w:proofErr w:type="spellStart"/>
            <w:r w:rsidRPr="00A37749">
              <w:rPr>
                <w:rFonts w:asciiTheme="majorBidi" w:hAnsiTheme="majorBidi" w:cstheme="majorBidi"/>
                <w:b/>
                <w:bCs/>
                <w:sz w:val="20"/>
                <w:szCs w:val="20"/>
              </w:rPr>
              <w:t>dL</w:t>
            </w:r>
            <w:proofErr w:type="spellEnd"/>
            <w:r w:rsidRPr="00A37749">
              <w:rPr>
                <w:rFonts w:asciiTheme="majorBidi" w:hAnsiTheme="majorBidi" w:cstheme="majorBidi"/>
                <w:b/>
                <w:bCs/>
                <w:sz w:val="20"/>
                <w:szCs w:val="20"/>
              </w:rPr>
              <w:t xml:space="preserve">: </w:t>
            </w:r>
            <w:r w:rsidRPr="00A37749">
              <w:rPr>
                <w:rFonts w:asciiTheme="majorBidi" w:hAnsiTheme="majorBidi" w:cstheme="majorBidi"/>
                <w:sz w:val="20"/>
                <w:szCs w:val="20"/>
              </w:rPr>
              <w:t>Median 1.0 (range 0.6-3.6)</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Albumin g/</w:t>
            </w:r>
            <w:proofErr w:type="spellStart"/>
            <w:r w:rsidRPr="00A37749">
              <w:rPr>
                <w:rFonts w:asciiTheme="majorBidi" w:hAnsiTheme="majorBidi" w:cstheme="majorBidi"/>
                <w:b/>
                <w:bCs/>
                <w:sz w:val="20"/>
                <w:szCs w:val="20"/>
              </w:rPr>
              <w:t>dL</w:t>
            </w:r>
            <w:proofErr w:type="spellEnd"/>
            <w:r w:rsidRPr="00A37749">
              <w:rPr>
                <w:rFonts w:asciiTheme="majorBidi" w:hAnsiTheme="majorBidi" w:cstheme="majorBidi"/>
                <w:b/>
                <w:bCs/>
                <w:sz w:val="20"/>
                <w:szCs w:val="20"/>
              </w:rPr>
              <w:t xml:space="preserve">: </w:t>
            </w:r>
            <w:r w:rsidRPr="00A37749">
              <w:rPr>
                <w:rFonts w:asciiTheme="majorBidi" w:hAnsiTheme="majorBidi" w:cstheme="majorBidi"/>
                <w:sz w:val="20"/>
                <w:szCs w:val="20"/>
              </w:rPr>
              <w:t>Median 3.1 (range 2.1-4.4)</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Child-Pugh Score</w:t>
            </w:r>
          </w:p>
        </w:tc>
      </w:tr>
      <w:tr w:rsidR="001F1FA9" w:rsidRPr="00A37749" w:rsidTr="00F17B4F">
        <w:trPr>
          <w:trHeight w:val="431"/>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A</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B &amp; C</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52 (36.4)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64 (54.2)</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91 (63.6)</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54 (45.8)</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0.004</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143 (54.8)</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118 (45.2)</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Tumor morphology</w:t>
            </w:r>
          </w:p>
        </w:tc>
      </w:tr>
      <w:tr w:rsidR="001F1FA9" w:rsidRPr="00A37749" w:rsidTr="00F17B4F">
        <w:trPr>
          <w:trHeight w:val="539"/>
        </w:trPr>
        <w:tc>
          <w:tcPr>
            <w:tcW w:w="2988" w:type="dxa"/>
          </w:tcPr>
          <w:p w:rsidR="001F1FA9" w:rsidRPr="00A37749" w:rsidRDefault="001F1FA9" w:rsidP="009E25CF">
            <w:pPr>
              <w:autoSpaceDE w:val="0"/>
              <w:autoSpaceDN w:val="0"/>
              <w:adjustRightInd w:val="0"/>
              <w:ind w:left="360" w:hanging="360"/>
              <w:rPr>
                <w:rFonts w:asciiTheme="majorBidi" w:hAnsiTheme="majorBidi" w:cstheme="majorBidi"/>
                <w:sz w:val="20"/>
                <w:szCs w:val="20"/>
              </w:rPr>
            </w:pPr>
            <w:r w:rsidRPr="00A37749">
              <w:rPr>
                <w:rFonts w:asciiTheme="majorBidi" w:hAnsiTheme="majorBidi" w:cstheme="majorBidi"/>
                <w:sz w:val="20"/>
                <w:szCs w:val="20"/>
              </w:rPr>
              <w:t>Single nodule &amp; ≤50% area</w:t>
            </w:r>
          </w:p>
          <w:p w:rsidR="001F1FA9" w:rsidRPr="00A37749" w:rsidRDefault="001F1FA9" w:rsidP="009E25CF">
            <w:pPr>
              <w:autoSpaceDE w:val="0"/>
              <w:autoSpaceDN w:val="0"/>
              <w:adjustRightInd w:val="0"/>
              <w:ind w:left="360" w:hanging="360"/>
              <w:rPr>
                <w:rFonts w:asciiTheme="majorBidi" w:hAnsiTheme="majorBidi" w:cstheme="majorBidi"/>
                <w:sz w:val="20"/>
                <w:szCs w:val="20"/>
              </w:rPr>
            </w:pPr>
            <w:r w:rsidRPr="00A37749">
              <w:rPr>
                <w:rFonts w:asciiTheme="majorBidi" w:hAnsiTheme="majorBidi" w:cstheme="majorBidi"/>
                <w:sz w:val="20"/>
                <w:szCs w:val="20"/>
              </w:rPr>
              <w:t>Multiple nodules &amp; ≤50% area</w:t>
            </w:r>
          </w:p>
          <w:p w:rsidR="001F1FA9" w:rsidRPr="00A37749" w:rsidRDefault="001F1FA9" w:rsidP="009E25CF">
            <w:pPr>
              <w:autoSpaceDE w:val="0"/>
              <w:autoSpaceDN w:val="0"/>
              <w:adjustRightInd w:val="0"/>
              <w:ind w:left="360" w:hanging="360"/>
              <w:rPr>
                <w:rFonts w:asciiTheme="majorBidi" w:hAnsiTheme="majorBidi" w:cstheme="majorBidi"/>
                <w:sz w:val="20"/>
                <w:szCs w:val="20"/>
              </w:rPr>
            </w:pPr>
            <w:r w:rsidRPr="00A37749">
              <w:rPr>
                <w:rFonts w:asciiTheme="majorBidi" w:hAnsiTheme="majorBidi" w:cstheme="majorBidi"/>
                <w:sz w:val="20"/>
                <w:szCs w:val="20"/>
              </w:rPr>
              <w:t>Massive or &gt;50% area</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49 (44.5)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40 (36.0)</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27 (67.5)</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61 (55.5)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71 (64.0)</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13 (32.5)</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b/>
                <w:bCs/>
                <w:sz w:val="20"/>
                <w:szCs w:val="20"/>
              </w:rPr>
            </w:pPr>
            <w:r w:rsidRPr="00A37749">
              <w:rPr>
                <w:rFonts w:asciiTheme="majorBidi" w:hAnsiTheme="majorBidi" w:cstheme="majorBidi"/>
                <w:b/>
                <w:bCs/>
                <w:sz w:val="20"/>
                <w:szCs w:val="20"/>
              </w:rPr>
              <w:t>0.003</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110 (42.1)</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111 (42.5)</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40 (15.3)</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Alpha-Fetoprotein</w:t>
            </w:r>
          </w:p>
        </w:tc>
      </w:tr>
      <w:tr w:rsidR="001F1FA9" w:rsidRPr="00A37749" w:rsidTr="00F17B4F">
        <w:trPr>
          <w:trHeight w:val="440"/>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&lt;400</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≥400</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43 (39.8)</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73 (47.7)</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65 (60.2)</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80 (52.3)</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0.206</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108 (41.4)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153 (58.6)</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Portal vein thrombosis</w:t>
            </w:r>
          </w:p>
        </w:tc>
      </w:tr>
      <w:tr w:rsidR="001F1FA9" w:rsidRPr="00A37749" w:rsidTr="00F17B4F">
        <w:trPr>
          <w:trHeight w:val="431"/>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No</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Yes</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90 (44.6)</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26 (44.1)</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112 (55.4)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33 (55.9)</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0.947</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202 (77.4)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59 (22.6)</w:t>
            </w:r>
          </w:p>
        </w:tc>
      </w:tr>
      <w:tr w:rsidR="001F1FA9" w:rsidRPr="00A37749" w:rsidTr="00EA5890">
        <w:tc>
          <w:tcPr>
            <w:tcW w:w="9378" w:type="dxa"/>
            <w:gridSpan w:val="5"/>
          </w:tcPr>
          <w:p w:rsidR="001F1FA9" w:rsidRPr="00A37749" w:rsidRDefault="001F1FA9" w:rsidP="009E25CF">
            <w:pPr>
              <w:autoSpaceDE w:val="0"/>
              <w:autoSpaceDN w:val="0"/>
              <w:adjustRightInd w:val="0"/>
              <w:rPr>
                <w:rFonts w:asciiTheme="majorBidi" w:hAnsiTheme="majorBidi" w:cstheme="majorBidi"/>
                <w:b/>
                <w:bCs/>
                <w:sz w:val="20"/>
                <w:szCs w:val="20"/>
              </w:rPr>
            </w:pPr>
            <w:r w:rsidRPr="00A37749">
              <w:rPr>
                <w:rFonts w:asciiTheme="majorBidi" w:hAnsiTheme="majorBidi" w:cstheme="majorBidi"/>
                <w:b/>
                <w:bCs/>
                <w:sz w:val="20"/>
                <w:szCs w:val="20"/>
              </w:rPr>
              <w:t xml:space="preserve">Cancer of the Liver Italian Program (CLIP) Score </w:t>
            </w:r>
          </w:p>
        </w:tc>
      </w:tr>
      <w:tr w:rsidR="001F1FA9" w:rsidRPr="00A37749" w:rsidTr="00F17B4F">
        <w:trPr>
          <w:trHeight w:val="269"/>
        </w:trPr>
        <w:tc>
          <w:tcPr>
            <w:tcW w:w="2988" w:type="dxa"/>
          </w:tcPr>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&lt;4</w:t>
            </w:r>
          </w:p>
          <w:p w:rsidR="001F1FA9" w:rsidRPr="00A37749" w:rsidRDefault="001F1FA9" w:rsidP="009E25CF">
            <w:pPr>
              <w:autoSpaceDE w:val="0"/>
              <w:autoSpaceDN w:val="0"/>
              <w:adjustRightInd w:val="0"/>
              <w:rPr>
                <w:rFonts w:asciiTheme="majorBidi" w:hAnsiTheme="majorBidi" w:cstheme="majorBidi"/>
                <w:sz w:val="20"/>
                <w:szCs w:val="20"/>
              </w:rPr>
            </w:pPr>
            <w:r w:rsidRPr="00A37749">
              <w:rPr>
                <w:rFonts w:asciiTheme="majorBidi" w:hAnsiTheme="majorBidi" w:cstheme="majorBidi"/>
                <w:sz w:val="20"/>
                <w:szCs w:val="20"/>
              </w:rPr>
              <w:t>≥4</w:t>
            </w:r>
          </w:p>
        </w:tc>
        <w:tc>
          <w:tcPr>
            <w:tcW w:w="171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101 (44.3)</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15 (45.5)</w:t>
            </w:r>
          </w:p>
        </w:tc>
        <w:tc>
          <w:tcPr>
            <w:tcW w:w="207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127 (55.7)</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18 (54.5)</w:t>
            </w:r>
          </w:p>
        </w:tc>
        <w:tc>
          <w:tcPr>
            <w:tcW w:w="990" w:type="dxa"/>
            <w:vAlign w:val="center"/>
          </w:tcPr>
          <w:p w:rsidR="001F1FA9" w:rsidRPr="00A37749" w:rsidRDefault="001F1FA9" w:rsidP="009E25C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0.901</w:t>
            </w:r>
          </w:p>
        </w:tc>
        <w:tc>
          <w:tcPr>
            <w:tcW w:w="1620" w:type="dxa"/>
            <w:vAlign w:val="center"/>
          </w:tcPr>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228 (87.4)</w:t>
            </w:r>
          </w:p>
          <w:p w:rsidR="001F1FA9" w:rsidRPr="00A37749" w:rsidRDefault="001F1FA9" w:rsidP="00F17B4F">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33 (12.6)</w:t>
            </w:r>
          </w:p>
        </w:tc>
      </w:tr>
    </w:tbl>
    <w:p w:rsidR="00EA5D64" w:rsidRPr="00A37749" w:rsidRDefault="00EA5D64" w:rsidP="001F1FA9">
      <w:pPr>
        <w:autoSpaceDE w:val="0"/>
        <w:autoSpaceDN w:val="0"/>
        <w:adjustRightInd w:val="0"/>
        <w:spacing w:after="0" w:line="240" w:lineRule="auto"/>
        <w:ind w:left="360" w:hanging="360"/>
        <w:jc w:val="center"/>
        <w:rPr>
          <w:rFonts w:asciiTheme="majorBidi" w:hAnsiTheme="majorBidi" w:cstheme="majorBidi"/>
          <w:b/>
          <w:bCs/>
          <w:sz w:val="18"/>
          <w:szCs w:val="18"/>
        </w:rPr>
      </w:pPr>
      <w:r w:rsidRPr="00A37749">
        <w:rPr>
          <w:rFonts w:asciiTheme="majorBidi" w:hAnsiTheme="majorBidi" w:cstheme="majorBidi"/>
          <w:b/>
          <w:bCs/>
          <w:sz w:val="18"/>
          <w:szCs w:val="18"/>
        </w:rPr>
        <w:lastRenderedPageBreak/>
        <w:t>Table (2): Sites of LN</w:t>
      </w:r>
      <w:r w:rsidR="00BD56E7" w:rsidRPr="00A37749">
        <w:rPr>
          <w:rFonts w:asciiTheme="majorBidi" w:hAnsiTheme="majorBidi" w:cstheme="majorBidi"/>
          <w:b/>
          <w:bCs/>
          <w:sz w:val="18"/>
          <w:szCs w:val="18"/>
        </w:rPr>
        <w:t>s metastase</w:t>
      </w:r>
      <w:r w:rsidRPr="00A37749">
        <w:rPr>
          <w:rFonts w:asciiTheme="majorBidi" w:hAnsiTheme="majorBidi" w:cstheme="majorBidi"/>
          <w:b/>
          <w:bCs/>
          <w:sz w:val="18"/>
          <w:szCs w:val="18"/>
        </w:rPr>
        <w:t>s</w:t>
      </w:r>
    </w:p>
    <w:tbl>
      <w:tblPr>
        <w:tblStyle w:val="TableGrid"/>
        <w:tblW w:w="8612" w:type="dxa"/>
        <w:jc w:val="center"/>
        <w:tblInd w:w="-55" w:type="dxa"/>
        <w:tblLook w:val="04A0" w:firstRow="1" w:lastRow="0" w:firstColumn="1" w:lastColumn="0" w:noHBand="0" w:noVBand="1"/>
      </w:tblPr>
      <w:tblGrid>
        <w:gridCol w:w="3885"/>
        <w:gridCol w:w="4727"/>
      </w:tblGrid>
      <w:tr w:rsidR="00EA5D64" w:rsidRPr="00A37749" w:rsidTr="00A37749">
        <w:trPr>
          <w:trHeight w:val="132"/>
          <w:jc w:val="center"/>
        </w:trPr>
        <w:tc>
          <w:tcPr>
            <w:tcW w:w="3885" w:type="dxa"/>
            <w:vAlign w:val="center"/>
          </w:tcPr>
          <w:p w:rsidR="00EA5D64" w:rsidRPr="00A37749" w:rsidRDefault="00EA5D64" w:rsidP="001F1FA9">
            <w:pPr>
              <w:autoSpaceDE w:val="0"/>
              <w:autoSpaceDN w:val="0"/>
              <w:adjustRightInd w:val="0"/>
              <w:jc w:val="center"/>
              <w:rPr>
                <w:rFonts w:asciiTheme="majorBidi" w:hAnsiTheme="majorBidi" w:cstheme="majorBidi"/>
                <w:b/>
                <w:bCs/>
                <w:sz w:val="18"/>
                <w:szCs w:val="18"/>
              </w:rPr>
            </w:pPr>
            <w:bookmarkStart w:id="0" w:name="_GoBack"/>
            <w:bookmarkEnd w:id="0"/>
            <w:r w:rsidRPr="00A37749">
              <w:rPr>
                <w:rFonts w:asciiTheme="majorBidi" w:hAnsiTheme="majorBidi" w:cstheme="majorBidi"/>
                <w:b/>
                <w:bCs/>
                <w:sz w:val="18"/>
                <w:szCs w:val="18"/>
              </w:rPr>
              <w:t>Characters</w:t>
            </w:r>
          </w:p>
        </w:tc>
        <w:tc>
          <w:tcPr>
            <w:tcW w:w="4727" w:type="dxa"/>
            <w:vAlign w:val="center"/>
          </w:tcPr>
          <w:p w:rsidR="00EA5D64" w:rsidRPr="00A37749" w:rsidRDefault="00EA5D64" w:rsidP="001F1FA9">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LN</w:t>
            </w:r>
            <w:r w:rsidR="00BD56E7" w:rsidRPr="00A37749">
              <w:rPr>
                <w:rFonts w:asciiTheme="majorBidi" w:hAnsiTheme="majorBidi" w:cstheme="majorBidi"/>
                <w:b/>
                <w:bCs/>
                <w:sz w:val="18"/>
                <w:szCs w:val="18"/>
              </w:rPr>
              <w:t>s metastase</w:t>
            </w:r>
            <w:r w:rsidRPr="00A37749">
              <w:rPr>
                <w:rFonts w:asciiTheme="majorBidi" w:hAnsiTheme="majorBidi" w:cstheme="majorBidi"/>
                <w:b/>
                <w:bCs/>
                <w:sz w:val="18"/>
                <w:szCs w:val="18"/>
              </w:rPr>
              <w:t>s 116/261 (44.4%)</w:t>
            </w:r>
          </w:p>
        </w:tc>
      </w:tr>
      <w:tr w:rsidR="00EA5D64" w:rsidRPr="00A37749" w:rsidTr="00A37749">
        <w:trPr>
          <w:trHeight w:val="106"/>
          <w:jc w:val="center"/>
        </w:trPr>
        <w:tc>
          <w:tcPr>
            <w:tcW w:w="8612" w:type="dxa"/>
            <w:gridSpan w:val="2"/>
          </w:tcPr>
          <w:p w:rsidR="00EA5D64" w:rsidRPr="00A37749" w:rsidRDefault="00EA5D64" w:rsidP="001F1FA9">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Lymph node</w:t>
            </w:r>
            <w:r w:rsidR="00BD56E7" w:rsidRPr="00A37749">
              <w:rPr>
                <w:rFonts w:asciiTheme="majorBidi" w:hAnsiTheme="majorBidi" w:cstheme="majorBidi"/>
                <w:b/>
                <w:bCs/>
                <w:sz w:val="18"/>
                <w:szCs w:val="18"/>
              </w:rPr>
              <w:t>s metastase</w:t>
            </w:r>
            <w:r w:rsidRPr="00A37749">
              <w:rPr>
                <w:rFonts w:asciiTheme="majorBidi" w:hAnsiTheme="majorBidi" w:cstheme="majorBidi"/>
                <w:b/>
                <w:bCs/>
                <w:sz w:val="18"/>
                <w:szCs w:val="18"/>
              </w:rPr>
              <w:t>s</w:t>
            </w:r>
          </w:p>
        </w:tc>
      </w:tr>
      <w:tr w:rsidR="00EA5D64" w:rsidRPr="00A37749" w:rsidTr="00A37749">
        <w:trPr>
          <w:trHeight w:val="89"/>
          <w:jc w:val="center"/>
        </w:trPr>
        <w:tc>
          <w:tcPr>
            <w:tcW w:w="3885" w:type="dxa"/>
          </w:tcPr>
          <w:p w:rsidR="00EA5D64" w:rsidRPr="00A37749" w:rsidRDefault="00EA5D64" w:rsidP="001F1FA9">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Solitary site</w:t>
            </w:r>
          </w:p>
          <w:p w:rsidR="00EA5D64" w:rsidRPr="00A37749" w:rsidRDefault="00EA5D64" w:rsidP="001F1FA9">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Multiple sites</w:t>
            </w:r>
          </w:p>
        </w:tc>
        <w:tc>
          <w:tcPr>
            <w:tcW w:w="4727" w:type="dxa"/>
          </w:tcPr>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63 (24.1)</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53 (20.3)</w:t>
            </w:r>
          </w:p>
        </w:tc>
      </w:tr>
      <w:tr w:rsidR="00EA5D64" w:rsidRPr="00A37749" w:rsidTr="00A37749">
        <w:trPr>
          <w:trHeight w:val="106"/>
          <w:jc w:val="center"/>
        </w:trPr>
        <w:tc>
          <w:tcPr>
            <w:tcW w:w="8612" w:type="dxa"/>
            <w:gridSpan w:val="2"/>
          </w:tcPr>
          <w:p w:rsidR="00EA5D64" w:rsidRPr="00A37749" w:rsidRDefault="00EA5D64" w:rsidP="001F1FA9">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Sites of Lymph node</w:t>
            </w:r>
            <w:r w:rsidR="00BD56E7" w:rsidRPr="00A37749">
              <w:rPr>
                <w:rFonts w:asciiTheme="majorBidi" w:hAnsiTheme="majorBidi" w:cstheme="majorBidi"/>
                <w:b/>
                <w:bCs/>
                <w:sz w:val="18"/>
                <w:szCs w:val="18"/>
              </w:rPr>
              <w:t>s metastase</w:t>
            </w:r>
            <w:r w:rsidRPr="00A37749">
              <w:rPr>
                <w:rFonts w:asciiTheme="majorBidi" w:hAnsiTheme="majorBidi" w:cstheme="majorBidi"/>
                <w:b/>
                <w:bCs/>
                <w:sz w:val="18"/>
                <w:szCs w:val="18"/>
              </w:rPr>
              <w:t>s</w:t>
            </w:r>
          </w:p>
        </w:tc>
      </w:tr>
      <w:tr w:rsidR="00EA5D64" w:rsidRPr="00A37749" w:rsidTr="00A37749">
        <w:trPr>
          <w:trHeight w:val="293"/>
          <w:jc w:val="center"/>
        </w:trPr>
        <w:tc>
          <w:tcPr>
            <w:tcW w:w="3885" w:type="dxa"/>
          </w:tcPr>
          <w:p w:rsidR="00EA5D64" w:rsidRPr="00A37749" w:rsidRDefault="00EA5D64" w:rsidP="001F1FA9">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Regional  LNs</w:t>
            </w:r>
          </w:p>
          <w:p w:rsidR="00EA5D64" w:rsidRPr="00A37749" w:rsidRDefault="00EA5D64" w:rsidP="008123D8">
            <w:pPr>
              <w:autoSpaceDE w:val="0"/>
              <w:autoSpaceDN w:val="0"/>
              <w:adjustRightInd w:val="0"/>
              <w:ind w:left="349"/>
              <w:rPr>
                <w:rFonts w:asciiTheme="majorBidi" w:hAnsiTheme="majorBidi" w:cstheme="majorBidi"/>
                <w:sz w:val="18"/>
                <w:szCs w:val="18"/>
              </w:rPr>
            </w:pPr>
            <w:r w:rsidRPr="00A37749">
              <w:rPr>
                <w:rFonts w:asciiTheme="majorBidi" w:hAnsiTheme="majorBidi" w:cstheme="majorBidi"/>
                <w:sz w:val="18"/>
                <w:szCs w:val="18"/>
              </w:rPr>
              <w:t>Para-aortic</w:t>
            </w:r>
          </w:p>
          <w:p w:rsidR="00EA5D64" w:rsidRPr="00A37749" w:rsidRDefault="00EA5D64" w:rsidP="008123D8">
            <w:pPr>
              <w:autoSpaceDE w:val="0"/>
              <w:autoSpaceDN w:val="0"/>
              <w:adjustRightInd w:val="0"/>
              <w:ind w:left="349"/>
              <w:rPr>
                <w:rFonts w:asciiTheme="majorBidi" w:hAnsiTheme="majorBidi" w:cstheme="majorBidi"/>
                <w:sz w:val="18"/>
                <w:szCs w:val="18"/>
              </w:rPr>
            </w:pPr>
            <w:r w:rsidRPr="00A37749">
              <w:rPr>
                <w:rFonts w:asciiTheme="majorBidi" w:hAnsiTheme="majorBidi" w:cstheme="majorBidi"/>
                <w:sz w:val="18"/>
                <w:szCs w:val="18"/>
              </w:rPr>
              <w:t>Porta-</w:t>
            </w:r>
            <w:proofErr w:type="spellStart"/>
            <w:r w:rsidRPr="00A37749">
              <w:rPr>
                <w:rFonts w:asciiTheme="majorBidi" w:hAnsiTheme="majorBidi" w:cstheme="majorBidi"/>
                <w:sz w:val="18"/>
                <w:szCs w:val="18"/>
              </w:rPr>
              <w:t>hepatis</w:t>
            </w:r>
            <w:proofErr w:type="spellEnd"/>
          </w:p>
          <w:p w:rsidR="00EA5D64" w:rsidRPr="00A37749" w:rsidRDefault="00EA5D64" w:rsidP="008123D8">
            <w:pPr>
              <w:autoSpaceDE w:val="0"/>
              <w:autoSpaceDN w:val="0"/>
              <w:adjustRightInd w:val="0"/>
              <w:ind w:left="349"/>
              <w:rPr>
                <w:rFonts w:asciiTheme="majorBidi" w:hAnsiTheme="majorBidi" w:cstheme="majorBidi"/>
                <w:sz w:val="18"/>
                <w:szCs w:val="18"/>
              </w:rPr>
            </w:pPr>
            <w:r w:rsidRPr="00A37749">
              <w:rPr>
                <w:rFonts w:asciiTheme="majorBidi" w:hAnsiTheme="majorBidi" w:cstheme="majorBidi"/>
                <w:sz w:val="18"/>
                <w:szCs w:val="18"/>
              </w:rPr>
              <w:t>Celiac</w:t>
            </w:r>
          </w:p>
          <w:p w:rsidR="00EA5D64" w:rsidRPr="00A37749" w:rsidRDefault="00EA5D64" w:rsidP="008123D8">
            <w:pPr>
              <w:autoSpaceDE w:val="0"/>
              <w:autoSpaceDN w:val="0"/>
              <w:adjustRightInd w:val="0"/>
              <w:ind w:left="349"/>
              <w:rPr>
                <w:rFonts w:asciiTheme="majorBidi" w:hAnsiTheme="majorBidi" w:cstheme="majorBidi"/>
                <w:sz w:val="18"/>
                <w:szCs w:val="18"/>
              </w:rPr>
            </w:pPr>
            <w:proofErr w:type="spellStart"/>
            <w:r w:rsidRPr="00A37749">
              <w:rPr>
                <w:rFonts w:asciiTheme="majorBidi" w:hAnsiTheme="majorBidi" w:cstheme="majorBidi"/>
                <w:sz w:val="18"/>
                <w:szCs w:val="18"/>
              </w:rPr>
              <w:t>Peripancreatic</w:t>
            </w:r>
            <w:proofErr w:type="spellEnd"/>
          </w:p>
          <w:p w:rsidR="00EA5D64" w:rsidRPr="00A37749" w:rsidRDefault="00EA5D64" w:rsidP="008123D8">
            <w:pPr>
              <w:autoSpaceDE w:val="0"/>
              <w:autoSpaceDN w:val="0"/>
              <w:adjustRightInd w:val="0"/>
              <w:ind w:left="349"/>
              <w:rPr>
                <w:rFonts w:asciiTheme="majorBidi" w:hAnsiTheme="majorBidi" w:cstheme="majorBidi"/>
                <w:sz w:val="18"/>
                <w:szCs w:val="18"/>
              </w:rPr>
            </w:pPr>
            <w:proofErr w:type="spellStart"/>
            <w:r w:rsidRPr="00A37749">
              <w:rPr>
                <w:rFonts w:asciiTheme="majorBidi" w:hAnsiTheme="majorBidi" w:cstheme="majorBidi"/>
                <w:sz w:val="18"/>
                <w:szCs w:val="18"/>
              </w:rPr>
              <w:t>Aortocaval&amp;</w:t>
            </w:r>
            <w:r w:rsidR="008123D8" w:rsidRPr="00A37749">
              <w:rPr>
                <w:rFonts w:asciiTheme="majorBidi" w:hAnsiTheme="majorBidi" w:cstheme="majorBidi"/>
                <w:sz w:val="18"/>
                <w:szCs w:val="18"/>
              </w:rPr>
              <w:t>R</w:t>
            </w:r>
            <w:r w:rsidRPr="00A37749">
              <w:rPr>
                <w:rFonts w:asciiTheme="majorBidi" w:hAnsiTheme="majorBidi" w:cstheme="majorBidi"/>
                <w:sz w:val="18"/>
                <w:szCs w:val="18"/>
              </w:rPr>
              <w:t>etrocaval</w:t>
            </w:r>
            <w:proofErr w:type="spellEnd"/>
          </w:p>
          <w:p w:rsidR="00EA5D64" w:rsidRPr="00A37749" w:rsidRDefault="00EA5D64" w:rsidP="001F1FA9">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Distant LNs</w:t>
            </w:r>
          </w:p>
          <w:p w:rsidR="00EA5D64" w:rsidRPr="00A37749" w:rsidRDefault="00EA5D64" w:rsidP="008123D8">
            <w:pPr>
              <w:autoSpaceDE w:val="0"/>
              <w:autoSpaceDN w:val="0"/>
              <w:adjustRightInd w:val="0"/>
              <w:ind w:left="349"/>
              <w:jc w:val="both"/>
              <w:rPr>
                <w:rFonts w:asciiTheme="majorBidi" w:hAnsiTheme="majorBidi" w:cstheme="majorBidi"/>
                <w:sz w:val="18"/>
                <w:szCs w:val="18"/>
              </w:rPr>
            </w:pPr>
            <w:r w:rsidRPr="00A37749">
              <w:rPr>
                <w:rFonts w:asciiTheme="majorBidi" w:hAnsiTheme="majorBidi" w:cstheme="majorBidi"/>
                <w:sz w:val="18"/>
                <w:szCs w:val="18"/>
              </w:rPr>
              <w:t>Mediastinal</w:t>
            </w:r>
          </w:p>
          <w:p w:rsidR="00EA5D64" w:rsidRPr="00A37749" w:rsidRDefault="00EA5D64" w:rsidP="008123D8">
            <w:pPr>
              <w:autoSpaceDE w:val="0"/>
              <w:autoSpaceDN w:val="0"/>
              <w:adjustRightInd w:val="0"/>
              <w:ind w:left="349"/>
              <w:jc w:val="both"/>
              <w:rPr>
                <w:rFonts w:asciiTheme="majorBidi" w:hAnsiTheme="majorBidi" w:cstheme="majorBidi"/>
                <w:sz w:val="18"/>
                <w:szCs w:val="18"/>
              </w:rPr>
            </w:pPr>
            <w:r w:rsidRPr="00A37749">
              <w:rPr>
                <w:rFonts w:asciiTheme="majorBidi" w:hAnsiTheme="majorBidi" w:cstheme="majorBidi"/>
                <w:sz w:val="18"/>
                <w:szCs w:val="18"/>
              </w:rPr>
              <w:t xml:space="preserve">Supraclavicular </w:t>
            </w:r>
          </w:p>
          <w:p w:rsidR="00EA5D64" w:rsidRPr="00A37749" w:rsidRDefault="00EA5D64" w:rsidP="008123D8">
            <w:pPr>
              <w:autoSpaceDE w:val="0"/>
              <w:autoSpaceDN w:val="0"/>
              <w:adjustRightInd w:val="0"/>
              <w:ind w:left="349"/>
              <w:jc w:val="both"/>
              <w:rPr>
                <w:rFonts w:asciiTheme="majorBidi" w:hAnsiTheme="majorBidi" w:cstheme="majorBidi"/>
                <w:sz w:val="18"/>
                <w:szCs w:val="18"/>
              </w:rPr>
            </w:pPr>
            <w:r w:rsidRPr="00A37749">
              <w:rPr>
                <w:rFonts w:asciiTheme="majorBidi" w:hAnsiTheme="majorBidi" w:cstheme="majorBidi"/>
                <w:sz w:val="18"/>
                <w:szCs w:val="18"/>
              </w:rPr>
              <w:t>Cervical</w:t>
            </w:r>
          </w:p>
          <w:p w:rsidR="00EA5D64" w:rsidRPr="00A37749" w:rsidRDefault="00EA5D64" w:rsidP="008123D8">
            <w:pPr>
              <w:autoSpaceDE w:val="0"/>
              <w:autoSpaceDN w:val="0"/>
              <w:adjustRightInd w:val="0"/>
              <w:ind w:left="349"/>
              <w:jc w:val="both"/>
              <w:rPr>
                <w:rFonts w:asciiTheme="majorBidi" w:hAnsiTheme="majorBidi" w:cstheme="majorBidi"/>
                <w:sz w:val="18"/>
                <w:szCs w:val="18"/>
              </w:rPr>
            </w:pPr>
            <w:r w:rsidRPr="00A37749">
              <w:rPr>
                <w:rFonts w:asciiTheme="majorBidi" w:hAnsiTheme="majorBidi" w:cstheme="majorBidi"/>
                <w:sz w:val="18"/>
                <w:szCs w:val="18"/>
              </w:rPr>
              <w:t>Hilar</w:t>
            </w:r>
          </w:p>
          <w:p w:rsidR="00EA5D64" w:rsidRPr="00A37749" w:rsidRDefault="00EA5D64" w:rsidP="008123D8">
            <w:pPr>
              <w:autoSpaceDE w:val="0"/>
              <w:autoSpaceDN w:val="0"/>
              <w:adjustRightInd w:val="0"/>
              <w:ind w:left="349"/>
              <w:jc w:val="both"/>
              <w:rPr>
                <w:rFonts w:asciiTheme="majorBidi" w:hAnsiTheme="majorBidi" w:cstheme="majorBidi"/>
                <w:sz w:val="18"/>
                <w:szCs w:val="18"/>
              </w:rPr>
            </w:pPr>
            <w:r w:rsidRPr="00A37749">
              <w:rPr>
                <w:rFonts w:asciiTheme="majorBidi" w:hAnsiTheme="majorBidi" w:cstheme="majorBidi"/>
                <w:sz w:val="18"/>
                <w:szCs w:val="18"/>
              </w:rPr>
              <w:t>Iliac</w:t>
            </w:r>
          </w:p>
        </w:tc>
        <w:tc>
          <w:tcPr>
            <w:tcW w:w="4727" w:type="dxa"/>
          </w:tcPr>
          <w:p w:rsidR="00EA5D64" w:rsidRPr="00A37749" w:rsidRDefault="00EA5D64" w:rsidP="001F1FA9">
            <w:pPr>
              <w:autoSpaceDE w:val="0"/>
              <w:autoSpaceDN w:val="0"/>
              <w:adjustRightInd w:val="0"/>
              <w:jc w:val="both"/>
              <w:rPr>
                <w:rFonts w:asciiTheme="majorBidi" w:hAnsiTheme="majorBidi" w:cstheme="majorBidi"/>
                <w:sz w:val="18"/>
                <w:szCs w:val="18"/>
              </w:rPr>
            </w:pP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67 (25.7)</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57 (21.8)</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36 (13.8)</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15 (5.7)</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10 (3.8)</w:t>
            </w:r>
          </w:p>
          <w:p w:rsidR="00EA5D64" w:rsidRPr="00A37749" w:rsidRDefault="00EA5D64" w:rsidP="001F1FA9">
            <w:pPr>
              <w:autoSpaceDE w:val="0"/>
              <w:autoSpaceDN w:val="0"/>
              <w:adjustRightInd w:val="0"/>
              <w:jc w:val="both"/>
              <w:rPr>
                <w:rFonts w:asciiTheme="majorBidi" w:hAnsiTheme="majorBidi" w:cstheme="majorBidi"/>
                <w:sz w:val="18"/>
                <w:szCs w:val="18"/>
              </w:rPr>
            </w:pPr>
          </w:p>
          <w:p w:rsidR="00EA5D64" w:rsidRPr="00A37749" w:rsidRDefault="00BD56E7"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19</w:t>
            </w:r>
            <w:r w:rsidR="00EA5D64" w:rsidRPr="00A37749">
              <w:rPr>
                <w:rFonts w:asciiTheme="majorBidi" w:hAnsiTheme="majorBidi" w:cstheme="majorBidi"/>
                <w:sz w:val="18"/>
                <w:szCs w:val="18"/>
              </w:rPr>
              <w:t xml:space="preserve"> (7.3)</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10 (3.8)</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2 (0.8)</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2 (0.8)</w:t>
            </w:r>
          </w:p>
          <w:p w:rsidR="00EA5D64" w:rsidRPr="00A37749" w:rsidRDefault="00EA5D64" w:rsidP="001F1FA9">
            <w:pPr>
              <w:autoSpaceDE w:val="0"/>
              <w:autoSpaceDN w:val="0"/>
              <w:adjustRightInd w:val="0"/>
              <w:jc w:val="both"/>
              <w:rPr>
                <w:rFonts w:asciiTheme="majorBidi" w:hAnsiTheme="majorBidi" w:cstheme="majorBidi"/>
                <w:sz w:val="18"/>
                <w:szCs w:val="18"/>
              </w:rPr>
            </w:pPr>
            <w:r w:rsidRPr="00A37749">
              <w:rPr>
                <w:rFonts w:asciiTheme="majorBidi" w:hAnsiTheme="majorBidi" w:cstheme="majorBidi"/>
                <w:sz w:val="18"/>
                <w:szCs w:val="18"/>
              </w:rPr>
              <w:t>1 (0.4)</w:t>
            </w:r>
          </w:p>
        </w:tc>
      </w:tr>
    </w:tbl>
    <w:p w:rsidR="00EA5D64" w:rsidRPr="00A37749" w:rsidRDefault="00EA5D64" w:rsidP="001F1FA9">
      <w:pPr>
        <w:autoSpaceDE w:val="0"/>
        <w:autoSpaceDN w:val="0"/>
        <w:adjustRightInd w:val="0"/>
        <w:spacing w:after="0" w:line="240" w:lineRule="auto"/>
        <w:jc w:val="center"/>
        <w:rPr>
          <w:rFonts w:asciiTheme="majorBidi" w:hAnsiTheme="majorBidi" w:cstheme="majorBidi"/>
          <w:b/>
          <w:bCs/>
          <w:sz w:val="18"/>
          <w:szCs w:val="18"/>
        </w:rPr>
      </w:pPr>
    </w:p>
    <w:p w:rsidR="00EA5D64" w:rsidRPr="00A37749" w:rsidRDefault="00EA5D64" w:rsidP="001F1FA9">
      <w:pPr>
        <w:autoSpaceDE w:val="0"/>
        <w:autoSpaceDN w:val="0"/>
        <w:adjustRightInd w:val="0"/>
        <w:spacing w:after="0" w:line="240" w:lineRule="auto"/>
        <w:jc w:val="center"/>
        <w:rPr>
          <w:rFonts w:asciiTheme="majorBidi" w:hAnsiTheme="majorBidi" w:cstheme="majorBidi"/>
          <w:b/>
          <w:bCs/>
          <w:sz w:val="18"/>
          <w:szCs w:val="18"/>
        </w:rPr>
      </w:pPr>
      <w:r w:rsidRPr="00A37749">
        <w:rPr>
          <w:rFonts w:asciiTheme="majorBidi" w:hAnsiTheme="majorBidi" w:cstheme="majorBidi"/>
          <w:b/>
          <w:bCs/>
          <w:sz w:val="18"/>
          <w:szCs w:val="18"/>
        </w:rPr>
        <w:t>Table (3): Sites of extra-hepatic metastases</w:t>
      </w:r>
    </w:p>
    <w:tbl>
      <w:tblPr>
        <w:tblStyle w:val="TableGrid"/>
        <w:tblW w:w="9082" w:type="dxa"/>
        <w:jc w:val="center"/>
        <w:tblLook w:val="04A0" w:firstRow="1" w:lastRow="0" w:firstColumn="1" w:lastColumn="0" w:noHBand="0" w:noVBand="1"/>
      </w:tblPr>
      <w:tblGrid>
        <w:gridCol w:w="2042"/>
        <w:gridCol w:w="1905"/>
        <w:gridCol w:w="1903"/>
        <w:gridCol w:w="1458"/>
        <w:gridCol w:w="1774"/>
      </w:tblGrid>
      <w:tr w:rsidR="00EA5D64" w:rsidRPr="00A37749" w:rsidTr="00A37749">
        <w:trPr>
          <w:trHeight w:val="304"/>
          <w:jc w:val="center"/>
        </w:trPr>
        <w:tc>
          <w:tcPr>
            <w:tcW w:w="2042" w:type="dxa"/>
            <w:vAlign w:val="center"/>
          </w:tcPr>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Characters</w:t>
            </w:r>
          </w:p>
        </w:tc>
        <w:tc>
          <w:tcPr>
            <w:tcW w:w="1905" w:type="dxa"/>
            <w:vAlign w:val="center"/>
          </w:tcPr>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LN metastasis</w:t>
            </w:r>
          </w:p>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116 (44.4%)</w:t>
            </w:r>
          </w:p>
        </w:tc>
        <w:tc>
          <w:tcPr>
            <w:tcW w:w="1903" w:type="dxa"/>
            <w:vAlign w:val="center"/>
          </w:tcPr>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No LN metastasis</w:t>
            </w:r>
          </w:p>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145 (55.6%)</w:t>
            </w:r>
          </w:p>
        </w:tc>
        <w:tc>
          <w:tcPr>
            <w:tcW w:w="1458" w:type="dxa"/>
            <w:vAlign w:val="center"/>
          </w:tcPr>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i/>
                <w:iCs/>
                <w:sz w:val="18"/>
                <w:szCs w:val="18"/>
              </w:rPr>
              <w:t>p</w:t>
            </w:r>
            <w:r w:rsidRPr="00A37749">
              <w:rPr>
                <w:rFonts w:asciiTheme="majorBidi" w:hAnsiTheme="majorBidi" w:cstheme="majorBidi"/>
                <w:b/>
                <w:bCs/>
                <w:sz w:val="18"/>
                <w:szCs w:val="18"/>
              </w:rPr>
              <w:t>-value</w:t>
            </w:r>
          </w:p>
        </w:tc>
        <w:tc>
          <w:tcPr>
            <w:tcW w:w="1774" w:type="dxa"/>
            <w:vAlign w:val="center"/>
          </w:tcPr>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Whole patients</w:t>
            </w:r>
          </w:p>
          <w:p w:rsidR="00EA5D64" w:rsidRPr="00A37749" w:rsidRDefault="00EA5D64" w:rsidP="00F17B4F">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261 (100%)</w:t>
            </w:r>
          </w:p>
        </w:tc>
      </w:tr>
      <w:tr w:rsidR="00EA5D64" w:rsidRPr="00A37749" w:rsidTr="00A37749">
        <w:trPr>
          <w:trHeight w:val="184"/>
          <w:jc w:val="center"/>
        </w:trPr>
        <w:tc>
          <w:tcPr>
            <w:tcW w:w="9081" w:type="dxa"/>
            <w:gridSpan w:val="5"/>
            <w:vAlign w:val="center"/>
          </w:tcPr>
          <w:p w:rsidR="00EA5D64" w:rsidRPr="00A37749" w:rsidRDefault="00EA5D64" w:rsidP="00F17B4F">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Distant extra-hepatic metastasis</w:t>
            </w:r>
          </w:p>
        </w:tc>
      </w:tr>
      <w:tr w:rsidR="00EA5D64" w:rsidRPr="00A37749" w:rsidTr="00A37749">
        <w:trPr>
          <w:trHeight w:val="355"/>
          <w:jc w:val="center"/>
        </w:trPr>
        <w:tc>
          <w:tcPr>
            <w:tcW w:w="2042"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Yes</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No</w:t>
            </w:r>
          </w:p>
        </w:tc>
        <w:tc>
          <w:tcPr>
            <w:tcW w:w="1905"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63 (43.8)</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53 (45.3)</w:t>
            </w:r>
          </w:p>
        </w:tc>
        <w:tc>
          <w:tcPr>
            <w:tcW w:w="1903"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81 (56.3)</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64 (54.7)</w:t>
            </w:r>
          </w:p>
        </w:tc>
        <w:tc>
          <w:tcPr>
            <w:tcW w:w="1458" w:type="dxa"/>
            <w:vAlign w:val="center"/>
          </w:tcPr>
          <w:p w:rsidR="00EA5D64" w:rsidRPr="00A37749" w:rsidRDefault="00EA5D64" w:rsidP="001F1FA9">
            <w:pPr>
              <w:autoSpaceDE w:val="0"/>
              <w:autoSpaceDN w:val="0"/>
              <w:adjustRightInd w:val="0"/>
              <w:jc w:val="center"/>
              <w:rPr>
                <w:rFonts w:asciiTheme="majorBidi" w:hAnsiTheme="majorBidi" w:cstheme="majorBidi"/>
                <w:sz w:val="18"/>
                <w:szCs w:val="18"/>
              </w:rPr>
            </w:pPr>
            <w:r w:rsidRPr="00A37749">
              <w:rPr>
                <w:rFonts w:asciiTheme="majorBidi" w:hAnsiTheme="majorBidi" w:cstheme="majorBidi"/>
                <w:sz w:val="18"/>
                <w:szCs w:val="18"/>
              </w:rPr>
              <w:t>0.802</w:t>
            </w:r>
          </w:p>
        </w:tc>
        <w:tc>
          <w:tcPr>
            <w:tcW w:w="1774"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144 (55.2)</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117 (44.8)</w:t>
            </w:r>
          </w:p>
        </w:tc>
      </w:tr>
      <w:tr w:rsidR="00EA5D64" w:rsidRPr="00A37749" w:rsidTr="00A37749">
        <w:trPr>
          <w:trHeight w:val="184"/>
          <w:jc w:val="center"/>
        </w:trPr>
        <w:tc>
          <w:tcPr>
            <w:tcW w:w="9081" w:type="dxa"/>
            <w:gridSpan w:val="5"/>
            <w:vAlign w:val="center"/>
          </w:tcPr>
          <w:p w:rsidR="00EA5D64" w:rsidRPr="00A37749" w:rsidRDefault="00EA5D64" w:rsidP="008367EF">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Sites of Metastas</w:t>
            </w:r>
            <w:r w:rsidR="008367EF" w:rsidRPr="00A37749">
              <w:rPr>
                <w:rFonts w:asciiTheme="majorBidi" w:hAnsiTheme="majorBidi" w:cstheme="majorBidi"/>
                <w:b/>
                <w:bCs/>
                <w:sz w:val="18"/>
                <w:szCs w:val="18"/>
              </w:rPr>
              <w:t>e</w:t>
            </w:r>
            <w:r w:rsidRPr="00A37749">
              <w:rPr>
                <w:rFonts w:asciiTheme="majorBidi" w:hAnsiTheme="majorBidi" w:cstheme="majorBidi"/>
                <w:b/>
                <w:bCs/>
                <w:sz w:val="18"/>
                <w:szCs w:val="18"/>
              </w:rPr>
              <w:t>s</w:t>
            </w:r>
          </w:p>
        </w:tc>
      </w:tr>
      <w:tr w:rsidR="00EA5D64" w:rsidRPr="00A37749" w:rsidTr="00A37749">
        <w:trPr>
          <w:trHeight w:val="808"/>
          <w:jc w:val="center"/>
        </w:trPr>
        <w:tc>
          <w:tcPr>
            <w:tcW w:w="2042"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Bone</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Lung</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Adrenal</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Skin</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Brain</w:t>
            </w:r>
          </w:p>
        </w:tc>
        <w:tc>
          <w:tcPr>
            <w:tcW w:w="1905"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43 (38.1)</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29 (69.0)</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7 (63.6)</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3 (100)</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0 (0)</w:t>
            </w:r>
          </w:p>
        </w:tc>
        <w:tc>
          <w:tcPr>
            <w:tcW w:w="1903"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70 (61.9)</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13 (31.0)</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4 (36.4)</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0 (0)</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3 (100)</w:t>
            </w:r>
          </w:p>
        </w:tc>
        <w:tc>
          <w:tcPr>
            <w:tcW w:w="1458" w:type="dxa"/>
            <w:vAlign w:val="center"/>
          </w:tcPr>
          <w:p w:rsidR="00EA5D64" w:rsidRPr="00A37749" w:rsidRDefault="00EA5D64" w:rsidP="001F1FA9">
            <w:pPr>
              <w:autoSpaceDE w:val="0"/>
              <w:autoSpaceDN w:val="0"/>
              <w:adjustRightInd w:val="0"/>
              <w:jc w:val="center"/>
              <w:rPr>
                <w:rFonts w:asciiTheme="majorBidi" w:hAnsiTheme="majorBidi" w:cstheme="majorBidi"/>
                <w:sz w:val="18"/>
                <w:szCs w:val="18"/>
              </w:rPr>
            </w:pPr>
            <w:r w:rsidRPr="00A37749">
              <w:rPr>
                <w:rFonts w:asciiTheme="majorBidi" w:hAnsiTheme="majorBidi" w:cstheme="majorBidi"/>
                <w:sz w:val="18"/>
                <w:szCs w:val="18"/>
              </w:rPr>
              <w:t>0.069</w:t>
            </w:r>
          </w:p>
          <w:p w:rsidR="00EA5D64" w:rsidRPr="00A37749" w:rsidRDefault="00EA5D64" w:rsidP="001F1FA9">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&lt;0.001</w:t>
            </w:r>
          </w:p>
          <w:p w:rsidR="00EA5D64" w:rsidRPr="00A37749" w:rsidRDefault="00EA5D64" w:rsidP="001F1FA9">
            <w:pPr>
              <w:autoSpaceDE w:val="0"/>
              <w:autoSpaceDN w:val="0"/>
              <w:adjustRightInd w:val="0"/>
              <w:jc w:val="center"/>
              <w:rPr>
                <w:rFonts w:asciiTheme="majorBidi" w:hAnsiTheme="majorBidi" w:cstheme="majorBidi"/>
                <w:sz w:val="18"/>
                <w:szCs w:val="18"/>
              </w:rPr>
            </w:pPr>
            <w:r w:rsidRPr="00A37749">
              <w:rPr>
                <w:rFonts w:asciiTheme="majorBidi" w:hAnsiTheme="majorBidi" w:cstheme="majorBidi"/>
                <w:sz w:val="18"/>
                <w:szCs w:val="18"/>
              </w:rPr>
              <w:t>0.191</w:t>
            </w:r>
          </w:p>
          <w:p w:rsidR="00EA5D64" w:rsidRPr="00A37749" w:rsidRDefault="00EA5D64" w:rsidP="001F1FA9">
            <w:pPr>
              <w:autoSpaceDE w:val="0"/>
              <w:autoSpaceDN w:val="0"/>
              <w:adjustRightInd w:val="0"/>
              <w:jc w:val="center"/>
              <w:rPr>
                <w:rFonts w:asciiTheme="majorBidi" w:hAnsiTheme="majorBidi" w:cstheme="majorBidi"/>
                <w:sz w:val="18"/>
                <w:szCs w:val="18"/>
              </w:rPr>
            </w:pPr>
            <w:r w:rsidRPr="00A37749">
              <w:rPr>
                <w:rFonts w:asciiTheme="majorBidi" w:hAnsiTheme="majorBidi" w:cstheme="majorBidi"/>
                <w:sz w:val="18"/>
                <w:szCs w:val="18"/>
              </w:rPr>
              <w:t>0.051</w:t>
            </w:r>
          </w:p>
          <w:p w:rsidR="00EA5D64" w:rsidRPr="00A37749" w:rsidRDefault="00EA5D64" w:rsidP="001F1FA9">
            <w:pPr>
              <w:autoSpaceDE w:val="0"/>
              <w:autoSpaceDN w:val="0"/>
              <w:adjustRightInd w:val="0"/>
              <w:jc w:val="center"/>
              <w:rPr>
                <w:rFonts w:asciiTheme="majorBidi" w:hAnsiTheme="majorBidi" w:cstheme="majorBidi"/>
                <w:sz w:val="18"/>
                <w:szCs w:val="18"/>
              </w:rPr>
            </w:pPr>
            <w:r w:rsidRPr="00A37749">
              <w:rPr>
                <w:rFonts w:asciiTheme="majorBidi" w:hAnsiTheme="majorBidi" w:cstheme="majorBidi"/>
                <w:sz w:val="18"/>
                <w:szCs w:val="18"/>
              </w:rPr>
              <w:t>0.119</w:t>
            </w:r>
          </w:p>
        </w:tc>
        <w:tc>
          <w:tcPr>
            <w:tcW w:w="1774"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113 (43.3)</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42 (16.1)</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11 (4.2)</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3 (1.1)</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3 (1.1)</w:t>
            </w:r>
          </w:p>
        </w:tc>
      </w:tr>
      <w:tr w:rsidR="00EA5D64" w:rsidRPr="00A37749" w:rsidTr="00A37749">
        <w:trPr>
          <w:trHeight w:val="184"/>
          <w:jc w:val="center"/>
        </w:trPr>
        <w:tc>
          <w:tcPr>
            <w:tcW w:w="9081" w:type="dxa"/>
            <w:gridSpan w:val="5"/>
            <w:vAlign w:val="center"/>
          </w:tcPr>
          <w:p w:rsidR="00EA5D64" w:rsidRPr="00A37749" w:rsidRDefault="00EA5D64" w:rsidP="00F17B4F">
            <w:pPr>
              <w:autoSpaceDE w:val="0"/>
              <w:autoSpaceDN w:val="0"/>
              <w:adjustRightInd w:val="0"/>
              <w:rPr>
                <w:rFonts w:asciiTheme="majorBidi" w:hAnsiTheme="majorBidi" w:cstheme="majorBidi"/>
                <w:b/>
                <w:bCs/>
                <w:sz w:val="18"/>
                <w:szCs w:val="18"/>
              </w:rPr>
            </w:pPr>
            <w:r w:rsidRPr="00A37749">
              <w:rPr>
                <w:rFonts w:asciiTheme="majorBidi" w:hAnsiTheme="majorBidi" w:cstheme="majorBidi"/>
                <w:b/>
                <w:bCs/>
                <w:sz w:val="18"/>
                <w:szCs w:val="18"/>
              </w:rPr>
              <w:t>Number of Metastatic organs</w:t>
            </w:r>
          </w:p>
        </w:tc>
      </w:tr>
      <w:tr w:rsidR="00EA5D64" w:rsidRPr="00A37749" w:rsidTr="00A37749">
        <w:trPr>
          <w:trHeight w:val="463"/>
          <w:jc w:val="center"/>
        </w:trPr>
        <w:tc>
          <w:tcPr>
            <w:tcW w:w="2042"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Single organ</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Multiple organs</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No</w:t>
            </w:r>
          </w:p>
        </w:tc>
        <w:tc>
          <w:tcPr>
            <w:tcW w:w="1905"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45 (38.5)</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18 (66.7)</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53 (45.3)</w:t>
            </w:r>
          </w:p>
        </w:tc>
        <w:tc>
          <w:tcPr>
            <w:tcW w:w="1903"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72 (61.5)</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9 (33.3)</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64 (54.7)</w:t>
            </w:r>
          </w:p>
        </w:tc>
        <w:tc>
          <w:tcPr>
            <w:tcW w:w="1458" w:type="dxa"/>
            <w:vAlign w:val="center"/>
          </w:tcPr>
          <w:p w:rsidR="00EA5D64" w:rsidRPr="00A37749" w:rsidRDefault="00EA5D64" w:rsidP="001F1FA9">
            <w:pPr>
              <w:autoSpaceDE w:val="0"/>
              <w:autoSpaceDN w:val="0"/>
              <w:adjustRightInd w:val="0"/>
              <w:jc w:val="center"/>
              <w:rPr>
                <w:rFonts w:asciiTheme="majorBidi" w:hAnsiTheme="majorBidi" w:cstheme="majorBidi"/>
                <w:b/>
                <w:bCs/>
                <w:sz w:val="18"/>
                <w:szCs w:val="18"/>
              </w:rPr>
            </w:pPr>
            <w:r w:rsidRPr="00A37749">
              <w:rPr>
                <w:rFonts w:asciiTheme="majorBidi" w:hAnsiTheme="majorBidi" w:cstheme="majorBidi"/>
                <w:b/>
                <w:bCs/>
                <w:sz w:val="18"/>
                <w:szCs w:val="18"/>
              </w:rPr>
              <w:t>0.028</w:t>
            </w:r>
          </w:p>
        </w:tc>
        <w:tc>
          <w:tcPr>
            <w:tcW w:w="1774" w:type="dxa"/>
            <w:vAlign w:val="center"/>
          </w:tcPr>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117 (44.8)</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27 (10.4)</w:t>
            </w:r>
          </w:p>
          <w:p w:rsidR="00EA5D64" w:rsidRPr="00A37749" w:rsidRDefault="00EA5D64" w:rsidP="00F17B4F">
            <w:pPr>
              <w:autoSpaceDE w:val="0"/>
              <w:autoSpaceDN w:val="0"/>
              <w:adjustRightInd w:val="0"/>
              <w:rPr>
                <w:rFonts w:asciiTheme="majorBidi" w:hAnsiTheme="majorBidi" w:cstheme="majorBidi"/>
                <w:sz w:val="18"/>
                <w:szCs w:val="18"/>
              </w:rPr>
            </w:pPr>
            <w:r w:rsidRPr="00A37749">
              <w:rPr>
                <w:rFonts w:asciiTheme="majorBidi" w:hAnsiTheme="majorBidi" w:cstheme="majorBidi"/>
                <w:sz w:val="18"/>
                <w:szCs w:val="18"/>
              </w:rPr>
              <w:t>117 (44.8)</w:t>
            </w:r>
          </w:p>
        </w:tc>
      </w:tr>
    </w:tbl>
    <w:p w:rsidR="00EA5D64" w:rsidRPr="00A37749" w:rsidRDefault="00EA5D64" w:rsidP="001F1FA9">
      <w:pPr>
        <w:spacing w:after="0" w:line="240" w:lineRule="auto"/>
        <w:rPr>
          <w:rFonts w:asciiTheme="majorBidi" w:eastAsia="*HCI-Tulip,Bold-Identity-H" w:hAnsiTheme="majorBidi" w:cstheme="majorBidi"/>
          <w:b/>
          <w:bCs/>
          <w:sz w:val="18"/>
          <w:szCs w:val="18"/>
        </w:rPr>
      </w:pPr>
    </w:p>
    <w:p w:rsidR="00EA5D64" w:rsidRPr="00A37749" w:rsidRDefault="00EA5D64" w:rsidP="001F1FA9">
      <w:pPr>
        <w:autoSpaceDE w:val="0"/>
        <w:autoSpaceDN w:val="0"/>
        <w:adjustRightInd w:val="0"/>
        <w:spacing w:after="0" w:line="240" w:lineRule="auto"/>
        <w:ind w:left="360" w:hanging="36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Table (4): Univariate and multivariate analysis of prognostic factors predicting survival for HCC patients</w:t>
      </w:r>
    </w:p>
    <w:tbl>
      <w:tblPr>
        <w:tblStyle w:val="TableGrid"/>
        <w:tblW w:w="7927" w:type="dxa"/>
        <w:jc w:val="center"/>
        <w:tblInd w:w="-298" w:type="dxa"/>
        <w:tblLayout w:type="fixed"/>
        <w:tblLook w:val="04A0" w:firstRow="1" w:lastRow="0" w:firstColumn="1" w:lastColumn="0" w:noHBand="0" w:noVBand="1"/>
      </w:tblPr>
      <w:tblGrid>
        <w:gridCol w:w="3984"/>
        <w:gridCol w:w="1385"/>
        <w:gridCol w:w="1492"/>
        <w:gridCol w:w="1066"/>
      </w:tblGrid>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Variable</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Odd Ratio</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95% CI</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i/>
                <w:iCs/>
                <w:sz w:val="18"/>
                <w:szCs w:val="18"/>
              </w:rPr>
              <w:t>p</w:t>
            </w:r>
            <w:r w:rsidRPr="00A37749">
              <w:rPr>
                <w:rFonts w:asciiTheme="majorBidi" w:eastAsia="*HCI-Tulip,Bold-Identity-H" w:hAnsiTheme="majorBidi" w:cstheme="majorBidi"/>
                <w:b/>
                <w:bCs/>
                <w:sz w:val="18"/>
                <w:szCs w:val="18"/>
              </w:rPr>
              <w:t>-value</w:t>
            </w:r>
          </w:p>
        </w:tc>
      </w:tr>
      <w:tr w:rsidR="00EA5D64" w:rsidRPr="00A37749" w:rsidTr="00A37749">
        <w:trPr>
          <w:trHeight w:val="205"/>
          <w:jc w:val="center"/>
        </w:trPr>
        <w:tc>
          <w:tcPr>
            <w:tcW w:w="7927" w:type="dxa"/>
            <w:gridSpan w:val="4"/>
            <w:vAlign w:val="center"/>
          </w:tcPr>
          <w:p w:rsidR="00EA5D64" w:rsidRPr="00A37749" w:rsidRDefault="00EA5D64" w:rsidP="00F17B4F">
            <w:pPr>
              <w:autoSpaceDE w:val="0"/>
              <w:autoSpaceDN w:val="0"/>
              <w:adjustRightInd w:val="0"/>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Univariate analysis</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Sex (M vs. F)</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1.058</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0.756-1.483</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0.741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Smoking (yes vs. no)</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0.984</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0.759-1.274</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0.900</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Age (≤60 vs. &gt; 60 years)</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1.082</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0.840-1.396</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0.541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Performance status (0-1 vs. &gt;1)</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2.733</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2.088-3.579</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&lt;0.001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Number of primary tumor (solitary vs. multiple)</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1.117</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0.865-1.444</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0.395</w:t>
            </w:r>
          </w:p>
        </w:tc>
      </w:tr>
      <w:tr w:rsidR="00EA5D64" w:rsidRPr="00A37749" w:rsidTr="00A37749">
        <w:trPr>
          <w:trHeight w:val="205"/>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Size of primary tumor (&lt;5 cm vs. ≥5 cm)</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1.655</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1.240-2.209</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0.001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Ascites (No vs. yes)</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1.982</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1.518-2.587</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&lt;0.001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Serum albumin (≤3.5 vs. &gt;3.5 g/</w:t>
            </w:r>
            <w:proofErr w:type="spellStart"/>
            <w:r w:rsidRPr="00A37749">
              <w:rPr>
                <w:rFonts w:asciiTheme="majorBidi" w:eastAsia="*HCI-Tulip,Bold-Identity-H" w:hAnsiTheme="majorBidi" w:cstheme="majorBidi"/>
                <w:sz w:val="18"/>
                <w:szCs w:val="18"/>
              </w:rPr>
              <w:t>dL</w:t>
            </w:r>
            <w:proofErr w:type="spellEnd"/>
            <w:r w:rsidRPr="00A37749">
              <w:rPr>
                <w:rFonts w:asciiTheme="majorBidi" w:eastAsia="*HCI-Tulip,Bold-Identity-H" w:hAnsiTheme="majorBidi" w:cstheme="majorBidi"/>
                <w:sz w:val="18"/>
                <w:szCs w:val="18"/>
              </w:rPr>
              <w:t>)</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0.811</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0.564-1.166</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0.258</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Total bilirubin (&lt;2 vs. ≥2 mg/</w:t>
            </w:r>
            <w:proofErr w:type="spellStart"/>
            <w:r w:rsidRPr="00A37749">
              <w:rPr>
                <w:rFonts w:asciiTheme="majorBidi" w:eastAsia="*HCI-Tulip,Bold-Identity-H" w:hAnsiTheme="majorBidi" w:cstheme="majorBidi"/>
                <w:sz w:val="18"/>
                <w:szCs w:val="18"/>
              </w:rPr>
              <w:t>dL</w:t>
            </w:r>
            <w:proofErr w:type="spellEnd"/>
            <w:r w:rsidRPr="00A37749">
              <w:rPr>
                <w:rFonts w:asciiTheme="majorBidi" w:eastAsia="*HCI-Tulip,Bold-Identity-H" w:hAnsiTheme="majorBidi" w:cstheme="majorBidi"/>
                <w:sz w:val="18"/>
                <w:szCs w:val="18"/>
              </w:rPr>
              <w:t>)</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1.117</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0.865-1.444</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0.395</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AFP (≤400 vs. &gt;400 ng/mL)</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1.236</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0.956-1.597</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0.106</w:t>
            </w:r>
          </w:p>
        </w:tc>
      </w:tr>
      <w:tr w:rsidR="00EA5D64" w:rsidRPr="00A37749" w:rsidTr="00A37749">
        <w:trPr>
          <w:trHeight w:val="205"/>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Child-Pugh score (A vs. B &amp; C)</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1.805</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1.384-2.354</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&lt;0.001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Portal vein thrombosis (yes vs. no)</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1.349</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1.003-1.813</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0.048</w:t>
            </w:r>
          </w:p>
        </w:tc>
      </w:tr>
      <w:tr w:rsidR="00EA5D64" w:rsidRPr="00A37749" w:rsidTr="00A37749">
        <w:trPr>
          <w:trHeight w:val="241"/>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CLIP score (&lt;4 vs. ≥4)</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1.401</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0.936-2.096</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0.101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Lymph node metastasis (yes vs. no)</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0.575</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0.438-0.756</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&lt;0.001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Distant metastases (yes vs. no)</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0.870</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0.673-1.124</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0.287</w:t>
            </w:r>
          </w:p>
        </w:tc>
      </w:tr>
      <w:tr w:rsidR="00EA5D64" w:rsidRPr="00A37749" w:rsidTr="00A37749">
        <w:trPr>
          <w:trHeight w:val="205"/>
          <w:jc w:val="center"/>
        </w:trPr>
        <w:tc>
          <w:tcPr>
            <w:tcW w:w="7927" w:type="dxa"/>
            <w:gridSpan w:val="4"/>
            <w:vAlign w:val="center"/>
          </w:tcPr>
          <w:p w:rsidR="00EA5D64" w:rsidRPr="00A37749" w:rsidRDefault="00EA5D64" w:rsidP="00F17B4F">
            <w:pPr>
              <w:autoSpaceDE w:val="0"/>
              <w:autoSpaceDN w:val="0"/>
              <w:adjustRightInd w:val="0"/>
              <w:rPr>
                <w:rFonts w:asciiTheme="majorBidi" w:eastAsia="*HCI-Tulip,Bold-Identity-H" w:hAnsiTheme="majorBidi" w:cstheme="majorBidi"/>
                <w:b/>
                <w:bCs/>
                <w:sz w:val="18"/>
                <w:szCs w:val="18"/>
              </w:rPr>
            </w:pPr>
            <w:r w:rsidRPr="00A37749">
              <w:rPr>
                <w:rFonts w:asciiTheme="majorBidi" w:eastAsia="*HCI-Tulip,Bold-Identity-H" w:hAnsiTheme="majorBidi" w:cstheme="majorBidi"/>
                <w:b/>
                <w:bCs/>
                <w:sz w:val="18"/>
                <w:szCs w:val="18"/>
              </w:rPr>
              <w:t>Multivariate analysis</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Performance status (0-1 vs. &gt;1)</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2.356</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1.741-3.189</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&lt;0.001</w:t>
            </w:r>
          </w:p>
        </w:tc>
      </w:tr>
      <w:tr w:rsidR="00EA5D64" w:rsidRPr="00A37749" w:rsidTr="00A37749">
        <w:trPr>
          <w:trHeight w:val="222"/>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Ascites (no vs. yes)</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1.664</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1.094-2.530</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0.017</w:t>
            </w:r>
          </w:p>
        </w:tc>
      </w:tr>
      <w:tr w:rsidR="00EA5D64" w:rsidRPr="00A37749" w:rsidTr="00A37749">
        <w:trPr>
          <w:trHeight w:val="241"/>
          <w:jc w:val="center"/>
        </w:trPr>
        <w:tc>
          <w:tcPr>
            <w:tcW w:w="3984" w:type="dxa"/>
            <w:vAlign w:val="center"/>
          </w:tcPr>
          <w:p w:rsidR="00EA5D64" w:rsidRPr="00A37749" w:rsidRDefault="00EA5D64" w:rsidP="00F17B4F">
            <w:pPr>
              <w:autoSpaceDE w:val="0"/>
              <w:autoSpaceDN w:val="0"/>
              <w:adjustRightInd w:val="0"/>
              <w:ind w:left="125"/>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Lymph node metastasis (yes vs. no)</w:t>
            </w:r>
          </w:p>
        </w:tc>
        <w:tc>
          <w:tcPr>
            <w:tcW w:w="1385"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0.672</w:t>
            </w:r>
          </w:p>
        </w:tc>
        <w:tc>
          <w:tcPr>
            <w:tcW w:w="1492"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0.500-0.902</w:t>
            </w:r>
          </w:p>
        </w:tc>
        <w:tc>
          <w:tcPr>
            <w:tcW w:w="1066" w:type="dxa"/>
            <w:vAlign w:val="center"/>
          </w:tcPr>
          <w:p w:rsidR="00EA5D64" w:rsidRPr="00A37749" w:rsidRDefault="00EA5D64" w:rsidP="00F17B4F">
            <w:pPr>
              <w:autoSpaceDE w:val="0"/>
              <w:autoSpaceDN w:val="0"/>
              <w:adjustRightInd w:val="0"/>
              <w:jc w:val="center"/>
              <w:rPr>
                <w:rFonts w:asciiTheme="majorBidi" w:eastAsia="*HCI-Tulip,Bold-Identity-H" w:hAnsiTheme="majorBidi" w:cstheme="majorBidi"/>
                <w:sz w:val="18"/>
                <w:szCs w:val="18"/>
              </w:rPr>
            </w:pPr>
            <w:r w:rsidRPr="00A37749">
              <w:rPr>
                <w:rFonts w:asciiTheme="majorBidi" w:eastAsia="*HCI-Tulip,Bold-Identity-H" w:hAnsiTheme="majorBidi" w:cstheme="majorBidi"/>
                <w:sz w:val="18"/>
                <w:szCs w:val="18"/>
              </w:rPr>
              <w:t>0.008</w:t>
            </w:r>
          </w:p>
        </w:tc>
      </w:tr>
    </w:tbl>
    <w:p w:rsidR="00EA5D64" w:rsidRPr="00A37749" w:rsidRDefault="00EA5D64" w:rsidP="001F1FA9">
      <w:pPr>
        <w:autoSpaceDE w:val="0"/>
        <w:autoSpaceDN w:val="0"/>
        <w:adjustRightInd w:val="0"/>
        <w:spacing w:after="0" w:line="240" w:lineRule="auto"/>
        <w:ind w:left="360" w:hanging="360"/>
        <w:jc w:val="both"/>
        <w:rPr>
          <w:rFonts w:asciiTheme="majorBidi" w:hAnsiTheme="majorBidi" w:cstheme="majorBidi"/>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6"/>
      </w:tblGrid>
      <w:tr w:rsidR="00EA5D64" w:rsidRPr="00A37749" w:rsidTr="009E25CF">
        <w:tc>
          <w:tcPr>
            <w:tcW w:w="4248" w:type="dxa"/>
          </w:tcPr>
          <w:p w:rsidR="00EA5D64" w:rsidRPr="00A37749" w:rsidRDefault="00EA5D64" w:rsidP="001F1FA9">
            <w:pPr>
              <w:autoSpaceDE w:val="0"/>
              <w:autoSpaceDN w:val="0"/>
              <w:adjustRightInd w:val="0"/>
              <w:rPr>
                <w:rFonts w:asciiTheme="majorBidi" w:hAnsiTheme="majorBidi" w:cstheme="majorBidi"/>
                <w:sz w:val="20"/>
                <w:szCs w:val="20"/>
              </w:rPr>
            </w:pPr>
            <w:r w:rsidRPr="00A37749">
              <w:rPr>
                <w:rFonts w:asciiTheme="majorBidi" w:hAnsiTheme="majorBidi" w:cstheme="majorBidi"/>
                <w:noProof/>
                <w:sz w:val="20"/>
                <w:szCs w:val="20"/>
              </w:rPr>
              <w:lastRenderedPageBreak/>
              <w:drawing>
                <wp:inline distT="0" distB="0" distL="0" distR="0" wp14:anchorId="03067349" wp14:editId="29817B7B">
                  <wp:extent cx="2630951" cy="2605178"/>
                  <wp:effectExtent l="19050" t="0" r="0" b="0"/>
                  <wp:docPr id="2" name="Picture 1" descr="C:\Users\hp\Desktop\ScreenHunter_05 Mar. 13 2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creenHunter_05 Mar. 13 20.40.gif"/>
                          <pic:cNvPicPr>
                            <a:picLocks noChangeAspect="1" noChangeArrowheads="1"/>
                          </pic:cNvPicPr>
                        </pic:nvPicPr>
                        <pic:blipFill>
                          <a:blip r:embed="rId12"/>
                          <a:srcRect/>
                          <a:stretch>
                            <a:fillRect/>
                          </a:stretch>
                        </pic:blipFill>
                        <pic:spPr bwMode="auto">
                          <a:xfrm>
                            <a:off x="0" y="0"/>
                            <a:ext cx="2640656" cy="2614787"/>
                          </a:xfrm>
                          <a:prstGeom prst="rect">
                            <a:avLst/>
                          </a:prstGeom>
                          <a:noFill/>
                          <a:ln w="9525">
                            <a:noFill/>
                            <a:miter lim="800000"/>
                            <a:headEnd/>
                            <a:tailEnd/>
                          </a:ln>
                        </pic:spPr>
                      </pic:pic>
                    </a:graphicData>
                  </a:graphic>
                </wp:inline>
              </w:drawing>
            </w:r>
          </w:p>
          <w:p w:rsidR="00EA5D64" w:rsidRPr="00A37749" w:rsidRDefault="00EA5D64" w:rsidP="001F1FA9">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Fig (1): Overall survival for the whole group</w:t>
            </w:r>
          </w:p>
          <w:p w:rsidR="00EA5D64" w:rsidRPr="00A37749" w:rsidRDefault="00EA5D64" w:rsidP="001F1FA9">
            <w:pPr>
              <w:autoSpaceDE w:val="0"/>
              <w:autoSpaceDN w:val="0"/>
              <w:adjustRightInd w:val="0"/>
              <w:jc w:val="center"/>
              <w:rPr>
                <w:rFonts w:asciiTheme="majorBidi" w:hAnsiTheme="majorBidi" w:cstheme="majorBidi"/>
                <w:sz w:val="20"/>
                <w:szCs w:val="20"/>
              </w:rPr>
            </w:pPr>
          </w:p>
        </w:tc>
        <w:tc>
          <w:tcPr>
            <w:tcW w:w="4248" w:type="dxa"/>
          </w:tcPr>
          <w:p w:rsidR="00EA5D64" w:rsidRPr="00A37749" w:rsidRDefault="00EA5D64" w:rsidP="001F1FA9">
            <w:pPr>
              <w:autoSpaceDE w:val="0"/>
              <w:autoSpaceDN w:val="0"/>
              <w:adjustRightInd w:val="0"/>
              <w:jc w:val="both"/>
              <w:rPr>
                <w:rFonts w:asciiTheme="majorBidi" w:hAnsiTheme="majorBidi" w:cstheme="majorBidi"/>
                <w:sz w:val="20"/>
                <w:szCs w:val="20"/>
              </w:rPr>
            </w:pPr>
            <w:r w:rsidRPr="00A37749">
              <w:rPr>
                <w:rFonts w:asciiTheme="majorBidi" w:hAnsiTheme="majorBidi" w:cstheme="majorBidi"/>
                <w:noProof/>
                <w:sz w:val="20"/>
                <w:szCs w:val="20"/>
              </w:rPr>
              <w:drawing>
                <wp:inline distT="0" distB="0" distL="0" distR="0" wp14:anchorId="676AEDDB" wp14:editId="0C33E90B">
                  <wp:extent cx="2635813" cy="2605177"/>
                  <wp:effectExtent l="19050" t="0" r="0" b="0"/>
                  <wp:docPr id="6" name="Picture 4" descr="D:\Medical papers\GIT\Liver\LN mets in HCC\Prognostic impact of LN metastases in HCC\OS 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dical papers\GIT\Liver\LN mets in HCC\Prognostic impact of LN metastases in HCC\OS PS.gif"/>
                          <pic:cNvPicPr>
                            <a:picLocks noChangeAspect="1" noChangeArrowheads="1"/>
                          </pic:cNvPicPr>
                        </pic:nvPicPr>
                        <pic:blipFill>
                          <a:blip r:embed="rId13"/>
                          <a:srcRect/>
                          <a:stretch>
                            <a:fillRect/>
                          </a:stretch>
                        </pic:blipFill>
                        <pic:spPr bwMode="auto">
                          <a:xfrm>
                            <a:off x="0" y="0"/>
                            <a:ext cx="2638713" cy="2608043"/>
                          </a:xfrm>
                          <a:prstGeom prst="rect">
                            <a:avLst/>
                          </a:prstGeom>
                          <a:noFill/>
                          <a:ln w="9525">
                            <a:noFill/>
                            <a:miter lim="800000"/>
                            <a:headEnd/>
                            <a:tailEnd/>
                          </a:ln>
                        </pic:spPr>
                      </pic:pic>
                    </a:graphicData>
                  </a:graphic>
                </wp:inline>
              </w:drawing>
            </w:r>
          </w:p>
          <w:p w:rsidR="00EA5D64" w:rsidRPr="00A37749" w:rsidRDefault="00EA5D64" w:rsidP="001F1FA9">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Fig (2): Overall survival according to performance status</w:t>
            </w:r>
          </w:p>
          <w:p w:rsidR="00EA5D64" w:rsidRPr="00A37749" w:rsidRDefault="00EA5D64" w:rsidP="001F1FA9">
            <w:pPr>
              <w:autoSpaceDE w:val="0"/>
              <w:autoSpaceDN w:val="0"/>
              <w:adjustRightInd w:val="0"/>
              <w:jc w:val="center"/>
              <w:rPr>
                <w:rFonts w:asciiTheme="majorBidi" w:hAnsiTheme="majorBidi" w:cstheme="majorBidi"/>
                <w:sz w:val="20"/>
                <w:szCs w:val="20"/>
              </w:rPr>
            </w:pPr>
          </w:p>
        </w:tc>
      </w:tr>
      <w:tr w:rsidR="00EA5D64" w:rsidRPr="00A37749" w:rsidTr="009E25CF">
        <w:tc>
          <w:tcPr>
            <w:tcW w:w="4248" w:type="dxa"/>
          </w:tcPr>
          <w:p w:rsidR="00EA5D64" w:rsidRPr="00A37749" w:rsidRDefault="00EA5D64" w:rsidP="001F1FA9">
            <w:pPr>
              <w:autoSpaceDE w:val="0"/>
              <w:autoSpaceDN w:val="0"/>
              <w:adjustRightInd w:val="0"/>
              <w:rPr>
                <w:rFonts w:asciiTheme="majorBidi" w:hAnsiTheme="majorBidi" w:cstheme="majorBidi"/>
                <w:sz w:val="20"/>
                <w:szCs w:val="20"/>
              </w:rPr>
            </w:pPr>
            <w:r w:rsidRPr="00A37749">
              <w:rPr>
                <w:rFonts w:asciiTheme="majorBidi" w:hAnsiTheme="majorBidi" w:cstheme="majorBidi"/>
                <w:noProof/>
                <w:sz w:val="20"/>
                <w:szCs w:val="20"/>
              </w:rPr>
              <w:drawing>
                <wp:inline distT="0" distB="0" distL="0" distR="0" wp14:anchorId="3E7FEF7D" wp14:editId="4D13537E">
                  <wp:extent cx="2563628" cy="2543723"/>
                  <wp:effectExtent l="19050" t="0" r="8122" b="0"/>
                  <wp:docPr id="10" name="Picture 8" descr="D:\Medical papers\GIT\Liver\LN mets in HCC\Prognostic impact of LN metastases in HCC\OS Asc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edical papers\GIT\Liver\LN mets in HCC\Prognostic impact of LN metastases in HCC\OS Ascites.jpg"/>
                          <pic:cNvPicPr>
                            <a:picLocks noChangeAspect="1" noChangeArrowheads="1"/>
                          </pic:cNvPicPr>
                        </pic:nvPicPr>
                        <pic:blipFill>
                          <a:blip r:embed="rId14"/>
                          <a:srcRect/>
                          <a:stretch>
                            <a:fillRect/>
                          </a:stretch>
                        </pic:blipFill>
                        <pic:spPr bwMode="auto">
                          <a:xfrm>
                            <a:off x="0" y="0"/>
                            <a:ext cx="2563579" cy="2543674"/>
                          </a:xfrm>
                          <a:prstGeom prst="rect">
                            <a:avLst/>
                          </a:prstGeom>
                          <a:noFill/>
                          <a:ln w="9525">
                            <a:noFill/>
                            <a:miter lim="800000"/>
                            <a:headEnd/>
                            <a:tailEnd/>
                          </a:ln>
                        </pic:spPr>
                      </pic:pic>
                    </a:graphicData>
                  </a:graphic>
                </wp:inline>
              </w:drawing>
            </w:r>
          </w:p>
          <w:p w:rsidR="00EA5D64" w:rsidRPr="00A37749" w:rsidRDefault="00EA5D64" w:rsidP="001F1FA9">
            <w:pPr>
              <w:autoSpaceDE w:val="0"/>
              <w:autoSpaceDN w:val="0"/>
              <w:adjustRightInd w:val="0"/>
              <w:jc w:val="center"/>
              <w:rPr>
                <w:rFonts w:asciiTheme="majorBidi" w:hAnsiTheme="majorBidi" w:cstheme="majorBidi"/>
                <w:sz w:val="20"/>
                <w:szCs w:val="20"/>
              </w:rPr>
            </w:pPr>
            <w:r w:rsidRPr="00A37749">
              <w:rPr>
                <w:rFonts w:asciiTheme="majorBidi" w:hAnsiTheme="majorBidi" w:cstheme="majorBidi"/>
                <w:sz w:val="20"/>
                <w:szCs w:val="20"/>
              </w:rPr>
              <w:t>Fig (3): Overall survival according to presence of ascites.</w:t>
            </w:r>
          </w:p>
        </w:tc>
        <w:tc>
          <w:tcPr>
            <w:tcW w:w="4248" w:type="dxa"/>
          </w:tcPr>
          <w:p w:rsidR="00EA5D64" w:rsidRPr="00A37749" w:rsidRDefault="00EA5D64" w:rsidP="001F1FA9">
            <w:pPr>
              <w:autoSpaceDE w:val="0"/>
              <w:autoSpaceDN w:val="0"/>
              <w:adjustRightInd w:val="0"/>
              <w:rPr>
                <w:rFonts w:asciiTheme="majorBidi" w:hAnsiTheme="majorBidi" w:cstheme="majorBidi"/>
                <w:noProof/>
                <w:sz w:val="20"/>
                <w:szCs w:val="20"/>
              </w:rPr>
            </w:pPr>
            <w:r w:rsidRPr="00A37749">
              <w:rPr>
                <w:rFonts w:asciiTheme="majorBidi" w:hAnsiTheme="majorBidi" w:cstheme="majorBidi"/>
                <w:noProof/>
                <w:sz w:val="20"/>
                <w:szCs w:val="20"/>
              </w:rPr>
              <w:drawing>
                <wp:inline distT="0" distB="0" distL="0" distR="0" wp14:anchorId="7976F4BE" wp14:editId="63981369">
                  <wp:extent cx="2554627" cy="2530017"/>
                  <wp:effectExtent l="19050" t="0" r="0" b="0"/>
                  <wp:docPr id="9" name="Picture 7" descr="D:\Medical papers\GIT\Liver\LN mets in HCC\Prognostic impact of LN metastases in HCC\OS 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edical papers\GIT\Liver\LN mets in HCC\Prognostic impact of LN metastases in HCC\OS LN.jpg"/>
                          <pic:cNvPicPr>
                            <a:picLocks noChangeAspect="1" noChangeArrowheads="1"/>
                          </pic:cNvPicPr>
                        </pic:nvPicPr>
                        <pic:blipFill>
                          <a:blip r:embed="rId15"/>
                          <a:srcRect/>
                          <a:stretch>
                            <a:fillRect/>
                          </a:stretch>
                        </pic:blipFill>
                        <pic:spPr bwMode="auto">
                          <a:xfrm>
                            <a:off x="0" y="0"/>
                            <a:ext cx="2554795" cy="2530183"/>
                          </a:xfrm>
                          <a:prstGeom prst="rect">
                            <a:avLst/>
                          </a:prstGeom>
                          <a:noFill/>
                          <a:ln w="9525">
                            <a:noFill/>
                            <a:miter lim="800000"/>
                            <a:headEnd/>
                            <a:tailEnd/>
                          </a:ln>
                        </pic:spPr>
                      </pic:pic>
                    </a:graphicData>
                  </a:graphic>
                </wp:inline>
              </w:drawing>
            </w:r>
          </w:p>
          <w:p w:rsidR="00EA5D64" w:rsidRPr="00A37749" w:rsidRDefault="00EA5D64" w:rsidP="001F1FA9">
            <w:pPr>
              <w:autoSpaceDE w:val="0"/>
              <w:autoSpaceDN w:val="0"/>
              <w:adjustRightInd w:val="0"/>
              <w:jc w:val="center"/>
              <w:rPr>
                <w:rFonts w:asciiTheme="majorBidi" w:hAnsiTheme="majorBidi" w:cstheme="majorBidi"/>
                <w:sz w:val="20"/>
                <w:szCs w:val="20"/>
                <w:rtl/>
              </w:rPr>
            </w:pPr>
            <w:r w:rsidRPr="00A37749">
              <w:rPr>
                <w:rFonts w:asciiTheme="majorBidi" w:hAnsiTheme="majorBidi" w:cstheme="majorBidi"/>
                <w:noProof/>
                <w:sz w:val="20"/>
                <w:szCs w:val="20"/>
              </w:rPr>
              <w:t xml:space="preserve">Fig (4): </w:t>
            </w:r>
            <w:r w:rsidRPr="00A37749">
              <w:rPr>
                <w:rFonts w:asciiTheme="majorBidi" w:hAnsiTheme="majorBidi" w:cstheme="majorBidi"/>
                <w:sz w:val="20"/>
                <w:szCs w:val="20"/>
              </w:rPr>
              <w:t xml:space="preserve">Overall survival according to </w:t>
            </w:r>
          </w:p>
          <w:p w:rsidR="00EA5D64" w:rsidRPr="00A37749" w:rsidRDefault="00EA5D64" w:rsidP="001F1FA9">
            <w:pPr>
              <w:autoSpaceDE w:val="0"/>
              <w:autoSpaceDN w:val="0"/>
              <w:adjustRightInd w:val="0"/>
              <w:jc w:val="center"/>
              <w:rPr>
                <w:rFonts w:asciiTheme="majorBidi" w:hAnsiTheme="majorBidi" w:cstheme="majorBidi"/>
                <w:noProof/>
                <w:sz w:val="20"/>
                <w:szCs w:val="20"/>
              </w:rPr>
            </w:pPr>
            <w:proofErr w:type="gramStart"/>
            <w:r w:rsidRPr="00A37749">
              <w:rPr>
                <w:rFonts w:asciiTheme="majorBidi" w:hAnsiTheme="majorBidi" w:cstheme="majorBidi"/>
                <w:sz w:val="20"/>
                <w:szCs w:val="20"/>
              </w:rPr>
              <w:t>lymph</w:t>
            </w:r>
            <w:proofErr w:type="gramEnd"/>
            <w:r w:rsidRPr="00A37749">
              <w:rPr>
                <w:rFonts w:asciiTheme="majorBidi" w:hAnsiTheme="majorBidi" w:cstheme="majorBidi"/>
                <w:sz w:val="20"/>
                <w:szCs w:val="20"/>
              </w:rPr>
              <w:t xml:space="preserve"> node</w:t>
            </w:r>
            <w:r w:rsidR="00224DB9" w:rsidRPr="00A37749">
              <w:rPr>
                <w:rFonts w:asciiTheme="majorBidi" w:hAnsiTheme="majorBidi" w:cstheme="majorBidi"/>
                <w:sz w:val="20"/>
                <w:szCs w:val="20"/>
              </w:rPr>
              <w:t>s metastase</w:t>
            </w:r>
            <w:r w:rsidRPr="00A37749">
              <w:rPr>
                <w:rFonts w:asciiTheme="majorBidi" w:hAnsiTheme="majorBidi" w:cstheme="majorBidi"/>
                <w:sz w:val="20"/>
                <w:szCs w:val="20"/>
              </w:rPr>
              <w:t>s.</w:t>
            </w:r>
          </w:p>
        </w:tc>
      </w:tr>
    </w:tbl>
    <w:p w:rsidR="00EA5D64" w:rsidRPr="00A37749" w:rsidRDefault="00EA5D64" w:rsidP="001F1FA9">
      <w:pPr>
        <w:autoSpaceDE w:val="0"/>
        <w:autoSpaceDN w:val="0"/>
        <w:adjustRightInd w:val="0"/>
        <w:spacing w:after="0" w:line="240" w:lineRule="auto"/>
        <w:ind w:left="360" w:hanging="360"/>
        <w:jc w:val="both"/>
        <w:rPr>
          <w:rFonts w:asciiTheme="majorBidi" w:hAnsiTheme="majorBidi" w:cstheme="majorBidi"/>
          <w:sz w:val="20"/>
          <w:szCs w:val="20"/>
        </w:rPr>
      </w:pPr>
    </w:p>
    <w:p w:rsidR="00FD7FD2" w:rsidRPr="00A37749" w:rsidRDefault="00FD7FD2" w:rsidP="001F1FA9">
      <w:pPr>
        <w:autoSpaceDE w:val="0"/>
        <w:autoSpaceDN w:val="0"/>
        <w:adjustRightInd w:val="0"/>
        <w:spacing w:after="0" w:line="240" w:lineRule="auto"/>
        <w:ind w:left="360" w:hanging="360"/>
        <w:jc w:val="both"/>
        <w:rPr>
          <w:rFonts w:asciiTheme="majorBidi" w:hAnsiTheme="majorBidi" w:cstheme="majorBidi"/>
          <w:b/>
          <w:bCs/>
          <w:sz w:val="20"/>
          <w:szCs w:val="20"/>
        </w:rPr>
        <w:sectPr w:rsidR="00FD7FD2" w:rsidRPr="00A37749" w:rsidSect="00FD7FD2">
          <w:type w:val="continuous"/>
          <w:pgSz w:w="12240" w:h="15840"/>
          <w:pgMar w:top="1440" w:right="1440" w:bottom="1440" w:left="1440" w:header="720" w:footer="720" w:gutter="0"/>
          <w:cols w:space="720"/>
          <w:docGrid w:linePitch="360"/>
        </w:sectPr>
      </w:pPr>
    </w:p>
    <w:p w:rsidR="00EA5D64" w:rsidRPr="00A37749" w:rsidRDefault="0001311A" w:rsidP="001F1FA9">
      <w:pPr>
        <w:autoSpaceDE w:val="0"/>
        <w:autoSpaceDN w:val="0"/>
        <w:adjustRightInd w:val="0"/>
        <w:spacing w:after="0" w:line="240" w:lineRule="auto"/>
        <w:ind w:left="360" w:hanging="360"/>
        <w:jc w:val="both"/>
        <w:rPr>
          <w:rFonts w:asciiTheme="majorBidi" w:hAnsiTheme="majorBidi" w:cstheme="majorBidi"/>
          <w:b/>
          <w:bCs/>
          <w:sz w:val="20"/>
          <w:szCs w:val="20"/>
        </w:rPr>
      </w:pPr>
      <w:r w:rsidRPr="00A37749">
        <w:rPr>
          <w:rFonts w:asciiTheme="majorBidi" w:hAnsiTheme="majorBidi" w:cstheme="majorBidi"/>
          <w:b/>
          <w:bCs/>
          <w:sz w:val="20"/>
          <w:szCs w:val="20"/>
        </w:rPr>
        <w:lastRenderedPageBreak/>
        <w:t xml:space="preserve">4. </w:t>
      </w:r>
      <w:r w:rsidR="00EA5D64" w:rsidRPr="00A37749">
        <w:rPr>
          <w:rFonts w:asciiTheme="majorBidi" w:hAnsiTheme="majorBidi" w:cstheme="majorBidi"/>
          <w:b/>
          <w:bCs/>
          <w:sz w:val="20"/>
          <w:szCs w:val="20"/>
        </w:rPr>
        <w:t>Discussion</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A37749">
        <w:rPr>
          <w:rFonts w:asciiTheme="majorBidi" w:hAnsiTheme="majorBidi" w:cstheme="majorBidi"/>
          <w:sz w:val="20"/>
          <w:szCs w:val="20"/>
        </w:rPr>
        <w:t>HCC is one of the most aggressive neopl</w:t>
      </w:r>
      <w:r w:rsidR="00224DB9" w:rsidRPr="00A37749">
        <w:rPr>
          <w:rFonts w:asciiTheme="majorBidi" w:hAnsiTheme="majorBidi" w:cstheme="majorBidi"/>
          <w:sz w:val="20"/>
          <w:szCs w:val="20"/>
        </w:rPr>
        <w:t>asm with extra-hepatic metastases are</w:t>
      </w:r>
      <w:r w:rsidRPr="00A37749">
        <w:rPr>
          <w:rFonts w:asciiTheme="majorBidi" w:hAnsiTheme="majorBidi" w:cstheme="majorBidi"/>
          <w:sz w:val="20"/>
          <w:szCs w:val="20"/>
        </w:rPr>
        <w:t xml:space="preserve"> common at the time of initial diagnosis </w:t>
      </w:r>
      <w:r w:rsidRPr="00A37749">
        <w:rPr>
          <w:rFonts w:asciiTheme="majorBidi" w:hAnsiTheme="majorBidi" w:cstheme="majorBidi"/>
          <w:sz w:val="20"/>
          <w:szCs w:val="20"/>
          <w:vertAlign w:val="superscript"/>
        </w:rPr>
        <w:t>(19, 20)</w:t>
      </w:r>
      <w:r w:rsidRPr="00A37749">
        <w:rPr>
          <w:rFonts w:asciiTheme="majorBidi" w:hAnsiTheme="majorBidi" w:cstheme="majorBidi"/>
          <w:sz w:val="20"/>
          <w:szCs w:val="20"/>
        </w:rPr>
        <w:t>. In the present study, the most frequent extra-hepatic metastatic sites were lymph nodes, bone and lung. Survival analysis showed lymph node</w:t>
      </w:r>
      <w:r w:rsidR="00224DB9" w:rsidRPr="00A37749">
        <w:rPr>
          <w:rFonts w:asciiTheme="majorBidi" w:hAnsiTheme="majorBidi" w:cstheme="majorBidi"/>
          <w:sz w:val="20"/>
          <w:szCs w:val="20"/>
        </w:rPr>
        <w:t>s</w:t>
      </w:r>
      <w:r w:rsidRPr="00A37749">
        <w:rPr>
          <w:rFonts w:asciiTheme="majorBidi" w:hAnsiTheme="majorBidi" w:cstheme="majorBidi"/>
          <w:sz w:val="20"/>
          <w:szCs w:val="20"/>
        </w:rPr>
        <w:t xml:space="preserve"> metastases to be one of the risk factor affecting overall survival indicating that HCC patients with lymph node</w:t>
      </w:r>
      <w:r w:rsidR="00224DB9" w:rsidRPr="00A37749">
        <w:rPr>
          <w:rFonts w:asciiTheme="majorBidi" w:hAnsiTheme="majorBidi" w:cstheme="majorBidi"/>
          <w:sz w:val="20"/>
          <w:szCs w:val="20"/>
        </w:rPr>
        <w:t>s</w:t>
      </w:r>
      <w:r w:rsidRPr="00A37749">
        <w:rPr>
          <w:rFonts w:asciiTheme="majorBidi" w:hAnsiTheme="majorBidi" w:cstheme="majorBidi"/>
          <w:sz w:val="20"/>
          <w:szCs w:val="20"/>
        </w:rPr>
        <w:t xml:space="preserve"> metastases had poor prognosis. </w:t>
      </w:r>
    </w:p>
    <w:p w:rsidR="00224DB9" w:rsidRPr="00A37749" w:rsidRDefault="00EA5D64" w:rsidP="009A4FB3">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Lymp</w:t>
      </w:r>
      <w:r w:rsidR="009A4FB3" w:rsidRPr="00A37749">
        <w:rPr>
          <w:rFonts w:asciiTheme="majorBidi" w:hAnsiTheme="majorBidi" w:cstheme="majorBidi"/>
          <w:sz w:val="20"/>
          <w:szCs w:val="20"/>
        </w:rPr>
        <w:t xml:space="preserve">hatic spread of HCC </w:t>
      </w:r>
      <w:proofErr w:type="spellStart"/>
      <w:r w:rsidR="009A4FB3" w:rsidRPr="00A37749">
        <w:rPr>
          <w:rFonts w:asciiTheme="majorBidi" w:hAnsiTheme="majorBidi" w:cstheme="majorBidi"/>
          <w:sz w:val="20"/>
          <w:szCs w:val="20"/>
        </w:rPr>
        <w:t>wascommon.</w:t>
      </w:r>
      <w:r w:rsidRPr="00A37749">
        <w:rPr>
          <w:rFonts w:asciiTheme="majorBidi" w:hAnsiTheme="majorBidi" w:cstheme="majorBidi"/>
          <w:sz w:val="20"/>
          <w:szCs w:val="20"/>
        </w:rPr>
        <w:t>Regional</w:t>
      </w:r>
      <w:proofErr w:type="spellEnd"/>
      <w:r w:rsidRPr="00A37749">
        <w:rPr>
          <w:rFonts w:asciiTheme="majorBidi" w:hAnsiTheme="majorBidi" w:cstheme="majorBidi"/>
          <w:sz w:val="20"/>
          <w:szCs w:val="20"/>
        </w:rPr>
        <w:t xml:space="preserve"> lymphadenopathy included porta-hepatic, </w:t>
      </w:r>
      <w:proofErr w:type="spellStart"/>
      <w:r w:rsidRPr="00A37749">
        <w:rPr>
          <w:rFonts w:asciiTheme="majorBidi" w:hAnsiTheme="majorBidi" w:cstheme="majorBidi"/>
          <w:sz w:val="20"/>
          <w:szCs w:val="20"/>
        </w:rPr>
        <w:t>peri</w:t>
      </w:r>
      <w:proofErr w:type="spellEnd"/>
      <w:r w:rsidRPr="00A37749">
        <w:rPr>
          <w:rFonts w:asciiTheme="majorBidi" w:hAnsiTheme="majorBidi" w:cstheme="majorBidi"/>
          <w:sz w:val="20"/>
          <w:szCs w:val="20"/>
        </w:rPr>
        <w:t xml:space="preserve">-pancreatic, gastroduodenal, </w:t>
      </w:r>
      <w:proofErr w:type="spellStart"/>
      <w:r w:rsidRPr="00A37749">
        <w:rPr>
          <w:rFonts w:asciiTheme="majorBidi" w:hAnsiTheme="majorBidi" w:cstheme="majorBidi"/>
          <w:sz w:val="20"/>
          <w:szCs w:val="20"/>
        </w:rPr>
        <w:t>portocaval</w:t>
      </w:r>
      <w:proofErr w:type="gramStart"/>
      <w:r w:rsidRPr="00A37749">
        <w:rPr>
          <w:rFonts w:asciiTheme="majorBidi" w:hAnsiTheme="majorBidi" w:cstheme="majorBidi"/>
          <w:sz w:val="20"/>
          <w:szCs w:val="20"/>
        </w:rPr>
        <w:t>,aortocaval</w:t>
      </w:r>
      <w:proofErr w:type="spellEnd"/>
      <w:proofErr w:type="gramEnd"/>
      <w:r w:rsidRPr="00A37749">
        <w:rPr>
          <w:rFonts w:asciiTheme="majorBidi" w:hAnsiTheme="majorBidi" w:cstheme="majorBidi"/>
          <w:sz w:val="20"/>
          <w:szCs w:val="20"/>
        </w:rPr>
        <w:t xml:space="preserve">, and para-aortic nodal groups </w:t>
      </w:r>
      <w:r w:rsidRPr="00A37749">
        <w:rPr>
          <w:rFonts w:asciiTheme="majorBidi" w:hAnsiTheme="majorBidi" w:cstheme="majorBidi"/>
          <w:sz w:val="20"/>
          <w:szCs w:val="20"/>
          <w:vertAlign w:val="superscript"/>
        </w:rPr>
        <w:t>(21)</w:t>
      </w:r>
      <w:r w:rsidRPr="00A37749">
        <w:rPr>
          <w:rFonts w:asciiTheme="majorBidi" w:hAnsiTheme="majorBidi" w:cstheme="majorBidi"/>
          <w:sz w:val="20"/>
          <w:szCs w:val="20"/>
        </w:rPr>
        <w:t xml:space="preserve">. Tri-phasic CT scanning can be helpful in differentiating malignant from benign lymphadenopathy when arterial phase </w:t>
      </w:r>
      <w:r w:rsidRPr="00A37749">
        <w:rPr>
          <w:rFonts w:asciiTheme="majorBidi" w:hAnsiTheme="majorBidi" w:cstheme="majorBidi"/>
          <w:sz w:val="20"/>
          <w:szCs w:val="20"/>
        </w:rPr>
        <w:lastRenderedPageBreak/>
        <w:t xml:space="preserve">enhancement of the lymph nodes is seen or there is interval size increase on repeated investigations. The size of the malignant lymph nodes was not a reliable criterion of malignancy, as reported by Dodd </w:t>
      </w:r>
      <w:r w:rsidRPr="00A37749">
        <w:rPr>
          <w:rFonts w:asciiTheme="majorBidi" w:hAnsiTheme="majorBidi" w:cstheme="majorBidi"/>
          <w:i/>
          <w:iCs/>
          <w:sz w:val="20"/>
          <w:szCs w:val="20"/>
        </w:rPr>
        <w:t>et al</w:t>
      </w:r>
      <w:proofErr w:type="gramStart"/>
      <w:r w:rsidR="00B67BF8" w:rsidRPr="00A37749">
        <w:rPr>
          <w:rFonts w:asciiTheme="majorBidi" w:hAnsiTheme="majorBidi" w:cstheme="majorBidi"/>
          <w:i/>
          <w:iCs/>
          <w:sz w:val="20"/>
          <w:szCs w:val="20"/>
        </w:rPr>
        <w:t>.</w:t>
      </w:r>
      <w:r w:rsidRPr="00A37749">
        <w:rPr>
          <w:rFonts w:asciiTheme="majorBidi" w:hAnsiTheme="majorBidi" w:cstheme="majorBidi"/>
          <w:sz w:val="20"/>
          <w:szCs w:val="20"/>
          <w:vertAlign w:val="superscript"/>
        </w:rPr>
        <w:t>(</w:t>
      </w:r>
      <w:proofErr w:type="gramEnd"/>
      <w:r w:rsidRPr="00A37749">
        <w:rPr>
          <w:rFonts w:asciiTheme="majorBidi" w:hAnsiTheme="majorBidi" w:cstheme="majorBidi"/>
          <w:sz w:val="20"/>
          <w:szCs w:val="20"/>
          <w:vertAlign w:val="superscript"/>
        </w:rPr>
        <w:t>22)</w:t>
      </w:r>
      <w:r w:rsidRPr="00A37749">
        <w:rPr>
          <w:rFonts w:asciiTheme="majorBidi" w:hAnsiTheme="majorBidi" w:cstheme="majorBidi"/>
          <w:sz w:val="20"/>
          <w:szCs w:val="20"/>
        </w:rPr>
        <w:t xml:space="preserve">. Therefore, arterial phase enhancement, interval size increase, or proof of malignant cells within lymph nodes at biopsy should be the only criterion used to document malignant lymph node involvement. </w:t>
      </w:r>
    </w:p>
    <w:p w:rsidR="00EA5D64" w:rsidRPr="00A37749" w:rsidRDefault="00EA5D64" w:rsidP="00B67BF8">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Previous reports have showed that lung, abdominal lymph nodes, and bone were the most common sites of extra-hepatic metastases of HCC </w:t>
      </w:r>
      <w:r w:rsidRPr="00A37749">
        <w:rPr>
          <w:rFonts w:asciiTheme="majorBidi" w:hAnsiTheme="majorBidi" w:cstheme="majorBidi"/>
          <w:sz w:val="20"/>
          <w:szCs w:val="20"/>
          <w:vertAlign w:val="superscript"/>
        </w:rPr>
        <w:t xml:space="preserve">(4, 23, </w:t>
      </w:r>
      <w:proofErr w:type="gramStart"/>
      <w:r w:rsidRPr="00A37749">
        <w:rPr>
          <w:rFonts w:asciiTheme="majorBidi" w:hAnsiTheme="majorBidi" w:cstheme="majorBidi"/>
          <w:sz w:val="20"/>
          <w:szCs w:val="20"/>
          <w:vertAlign w:val="superscript"/>
        </w:rPr>
        <w:t>24</w:t>
      </w:r>
      <w:proofErr w:type="gramEnd"/>
      <w:r w:rsidRPr="00A37749">
        <w:rPr>
          <w:rFonts w:asciiTheme="majorBidi" w:hAnsiTheme="majorBidi" w:cstheme="majorBidi"/>
          <w:sz w:val="20"/>
          <w:szCs w:val="20"/>
          <w:vertAlign w:val="superscript"/>
        </w:rPr>
        <w:t>)</w:t>
      </w:r>
      <w:r w:rsidRPr="00A37749">
        <w:rPr>
          <w:rFonts w:asciiTheme="majorBidi" w:hAnsiTheme="majorBidi" w:cstheme="majorBidi"/>
          <w:sz w:val="20"/>
          <w:szCs w:val="20"/>
        </w:rPr>
        <w:t xml:space="preserve">. Sun </w:t>
      </w:r>
      <w:proofErr w:type="gramStart"/>
      <w:r w:rsidR="00B67BF8" w:rsidRPr="00A37749">
        <w:rPr>
          <w:rFonts w:asciiTheme="majorBidi" w:hAnsiTheme="majorBidi" w:cstheme="majorBidi"/>
          <w:i/>
          <w:iCs/>
          <w:sz w:val="20"/>
          <w:szCs w:val="20"/>
        </w:rPr>
        <w:t>et</w:t>
      </w:r>
      <w:proofErr w:type="gramEnd"/>
      <w:r w:rsidR="00B67BF8" w:rsidRPr="00A37749">
        <w:rPr>
          <w:rFonts w:asciiTheme="majorBidi" w:hAnsiTheme="majorBidi" w:cstheme="majorBidi"/>
          <w:i/>
          <w:iCs/>
          <w:sz w:val="20"/>
          <w:szCs w:val="20"/>
        </w:rPr>
        <w:t xml:space="preserve"> al.</w:t>
      </w:r>
      <w:r w:rsidRPr="00A37749">
        <w:rPr>
          <w:rFonts w:asciiTheme="majorBidi" w:hAnsiTheme="majorBidi" w:cstheme="majorBidi"/>
          <w:sz w:val="20"/>
          <w:szCs w:val="20"/>
        </w:rPr>
        <w:t>indicated that the incidence of loco-regional lymph node</w:t>
      </w:r>
      <w:r w:rsidR="00224DB9" w:rsidRPr="00A37749">
        <w:rPr>
          <w:rFonts w:asciiTheme="majorBidi" w:hAnsiTheme="majorBidi" w:cstheme="majorBidi"/>
          <w:sz w:val="20"/>
          <w:szCs w:val="20"/>
        </w:rPr>
        <w:t>s metastase</w:t>
      </w:r>
      <w:r w:rsidRPr="00A37749">
        <w:rPr>
          <w:rFonts w:asciiTheme="majorBidi" w:hAnsiTheme="majorBidi" w:cstheme="majorBidi"/>
          <w:sz w:val="20"/>
          <w:szCs w:val="20"/>
        </w:rPr>
        <w:t xml:space="preserve">s was 5.1% (49/968) in a study which evaluated the value of routine lymphadenectomy in resectable HCC </w:t>
      </w:r>
      <w:r w:rsidRPr="00A37749">
        <w:rPr>
          <w:rFonts w:asciiTheme="majorBidi" w:hAnsiTheme="majorBidi" w:cstheme="majorBidi"/>
          <w:sz w:val="20"/>
          <w:szCs w:val="20"/>
          <w:vertAlign w:val="superscript"/>
        </w:rPr>
        <w:t>(9)</w:t>
      </w:r>
      <w:r w:rsidRPr="00A37749">
        <w:rPr>
          <w:rFonts w:asciiTheme="majorBidi" w:hAnsiTheme="majorBidi" w:cstheme="majorBidi"/>
          <w:sz w:val="20"/>
          <w:szCs w:val="20"/>
        </w:rPr>
        <w:t xml:space="preserve">. According to </w:t>
      </w:r>
      <w:r w:rsidRPr="00A37749">
        <w:rPr>
          <w:rFonts w:asciiTheme="majorBidi" w:hAnsiTheme="majorBidi" w:cstheme="majorBidi"/>
          <w:sz w:val="20"/>
          <w:szCs w:val="20"/>
        </w:rPr>
        <w:lastRenderedPageBreak/>
        <w:t>the study performed by the Liver Cancer Study Group of Japan, 417 of 1374 patients had lymph node</w:t>
      </w:r>
      <w:r w:rsidR="00224DB9" w:rsidRPr="00A37749">
        <w:rPr>
          <w:rFonts w:asciiTheme="majorBidi" w:hAnsiTheme="majorBidi" w:cstheme="majorBidi"/>
          <w:sz w:val="20"/>
          <w:szCs w:val="20"/>
        </w:rPr>
        <w:t>s metastase</w:t>
      </w:r>
      <w:r w:rsidRPr="00A37749">
        <w:rPr>
          <w:rFonts w:asciiTheme="majorBidi" w:hAnsiTheme="majorBidi" w:cstheme="majorBidi"/>
          <w:sz w:val="20"/>
          <w:szCs w:val="20"/>
        </w:rPr>
        <w:t xml:space="preserve">s (30.3%) in autopsy series </w:t>
      </w:r>
      <w:r w:rsidRPr="00A37749">
        <w:rPr>
          <w:rFonts w:asciiTheme="majorBidi" w:hAnsiTheme="majorBidi" w:cstheme="majorBidi"/>
          <w:sz w:val="20"/>
          <w:szCs w:val="20"/>
          <w:vertAlign w:val="superscript"/>
        </w:rPr>
        <w:t>(25)</w:t>
      </w:r>
      <w:r w:rsidRPr="00A37749">
        <w:rPr>
          <w:rFonts w:asciiTheme="majorBidi" w:hAnsiTheme="majorBidi" w:cstheme="majorBidi"/>
          <w:sz w:val="20"/>
          <w:szCs w:val="20"/>
        </w:rPr>
        <w:t xml:space="preserve">. These reported series were based on conventional workup using CT, MRI, chest X-ray and bone scintigraphy, or by histopathological examination of surgically resected specimens or by autopsy.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Recently published report compared PET/CT with conventional medical imaging in the dete</w:t>
      </w:r>
      <w:r w:rsidR="00224DB9" w:rsidRPr="00A37749">
        <w:rPr>
          <w:rFonts w:asciiTheme="majorBidi" w:hAnsiTheme="majorBidi" w:cstheme="majorBidi"/>
          <w:sz w:val="20"/>
          <w:szCs w:val="20"/>
        </w:rPr>
        <w:t>ction of extra-hepatic metastase</w:t>
      </w:r>
      <w:r w:rsidRPr="00A37749">
        <w:rPr>
          <w:rFonts w:asciiTheme="majorBidi" w:hAnsiTheme="majorBidi" w:cstheme="majorBidi"/>
          <w:sz w:val="20"/>
          <w:szCs w:val="20"/>
        </w:rPr>
        <w:t>s of HCC concluded that 18F-FDG PET/CT has a higher</w:t>
      </w:r>
      <w:r w:rsidR="00224DB9" w:rsidRPr="00A37749">
        <w:rPr>
          <w:rFonts w:asciiTheme="majorBidi" w:hAnsiTheme="majorBidi" w:cstheme="majorBidi"/>
          <w:sz w:val="20"/>
          <w:szCs w:val="20"/>
        </w:rPr>
        <w:t xml:space="preserve"> sensitivity to detect metastase</w:t>
      </w:r>
      <w:r w:rsidRPr="00A37749">
        <w:rPr>
          <w:rFonts w:asciiTheme="majorBidi" w:hAnsiTheme="majorBidi" w:cstheme="majorBidi"/>
          <w:sz w:val="20"/>
          <w:szCs w:val="20"/>
        </w:rPr>
        <w:t>s as some lymph node</w:t>
      </w:r>
      <w:r w:rsidR="00224DB9" w:rsidRPr="00A37749">
        <w:rPr>
          <w:rFonts w:asciiTheme="majorBidi" w:hAnsiTheme="majorBidi" w:cstheme="majorBidi"/>
          <w:sz w:val="20"/>
          <w:szCs w:val="20"/>
        </w:rPr>
        <w:t>s</w:t>
      </w:r>
      <w:r w:rsidRPr="00A37749">
        <w:rPr>
          <w:rFonts w:asciiTheme="majorBidi" w:hAnsiTheme="majorBidi" w:cstheme="majorBidi"/>
          <w:sz w:val="20"/>
          <w:szCs w:val="20"/>
        </w:rPr>
        <w:t xml:space="preserve"> metastases were negative on conventional imaging but were positive on 18F-FDG PET/CT. However, carefully selected non-diabetic patients with normal range glucose should be chosen with this imaging modality </w:t>
      </w:r>
      <w:r w:rsidRPr="00A37749">
        <w:rPr>
          <w:rFonts w:asciiTheme="majorBidi" w:hAnsiTheme="majorBidi" w:cstheme="majorBidi"/>
          <w:sz w:val="20"/>
          <w:szCs w:val="20"/>
          <w:vertAlign w:val="superscript"/>
        </w:rPr>
        <w:t>(26)</w:t>
      </w:r>
      <w:r w:rsidRPr="00A37749">
        <w:rPr>
          <w:rFonts w:asciiTheme="majorBidi" w:hAnsiTheme="majorBidi" w:cstheme="majorBidi"/>
          <w:sz w:val="20"/>
          <w:szCs w:val="20"/>
        </w:rPr>
        <w:t>.</w:t>
      </w:r>
    </w:p>
    <w:p w:rsidR="00EA5D64" w:rsidRPr="00A37749" w:rsidRDefault="00224DB9" w:rsidP="00F74F9C">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The most frequent nodal metastase</w:t>
      </w:r>
      <w:r w:rsidR="00EA5D64" w:rsidRPr="00A37749">
        <w:rPr>
          <w:rFonts w:asciiTheme="majorBidi" w:hAnsiTheme="majorBidi" w:cstheme="majorBidi"/>
          <w:sz w:val="20"/>
          <w:szCs w:val="20"/>
        </w:rPr>
        <w:t>s w</w:t>
      </w:r>
      <w:r w:rsidR="00F74F9C" w:rsidRPr="00A37749">
        <w:rPr>
          <w:rFonts w:asciiTheme="majorBidi" w:hAnsiTheme="majorBidi" w:cstheme="majorBidi"/>
          <w:sz w:val="20"/>
          <w:szCs w:val="20"/>
        </w:rPr>
        <w:t xml:space="preserve">ere </w:t>
      </w:r>
      <w:r w:rsidR="00EA5D64" w:rsidRPr="00A37749">
        <w:rPr>
          <w:rFonts w:asciiTheme="majorBidi" w:hAnsiTheme="majorBidi" w:cstheme="majorBidi"/>
          <w:sz w:val="20"/>
          <w:szCs w:val="20"/>
        </w:rPr>
        <w:t>para-aortic lymph nodes. On survival analyses, HCC patients with lymph node</w:t>
      </w:r>
      <w:r w:rsidRPr="00A37749">
        <w:rPr>
          <w:rFonts w:asciiTheme="majorBidi" w:hAnsiTheme="majorBidi" w:cstheme="majorBidi"/>
          <w:sz w:val="20"/>
          <w:szCs w:val="20"/>
        </w:rPr>
        <w:t>s metastase</w:t>
      </w:r>
      <w:r w:rsidR="00EA5D64" w:rsidRPr="00A37749">
        <w:rPr>
          <w:rFonts w:asciiTheme="majorBidi" w:hAnsiTheme="majorBidi" w:cstheme="majorBidi"/>
          <w:sz w:val="20"/>
          <w:szCs w:val="20"/>
        </w:rPr>
        <w:t>s had a significantly worse overall survival than patients without lymph node</w:t>
      </w:r>
      <w:r w:rsidRPr="00A37749">
        <w:rPr>
          <w:rFonts w:asciiTheme="majorBidi" w:hAnsiTheme="majorBidi" w:cstheme="majorBidi"/>
          <w:sz w:val="20"/>
          <w:szCs w:val="20"/>
        </w:rPr>
        <w:t>s metastase</w:t>
      </w:r>
      <w:r w:rsidR="00EA5D64" w:rsidRPr="00A37749">
        <w:rPr>
          <w:rFonts w:asciiTheme="majorBidi" w:hAnsiTheme="majorBidi" w:cstheme="majorBidi"/>
          <w:sz w:val="20"/>
          <w:szCs w:val="20"/>
        </w:rPr>
        <w:t>s and correlated significantly with multifocal, large tumor size (≥5 cm) with poor Child-Pugh score. This result agrees with the results of other studies that HCC with lymph node</w:t>
      </w:r>
      <w:r w:rsidRPr="00A37749">
        <w:rPr>
          <w:rFonts w:asciiTheme="majorBidi" w:hAnsiTheme="majorBidi" w:cstheme="majorBidi"/>
          <w:sz w:val="20"/>
          <w:szCs w:val="20"/>
        </w:rPr>
        <w:t>s metastase</w:t>
      </w:r>
      <w:r w:rsidR="00EA5D64" w:rsidRPr="00A37749">
        <w:rPr>
          <w:rFonts w:asciiTheme="majorBidi" w:hAnsiTheme="majorBidi" w:cstheme="majorBidi"/>
          <w:sz w:val="20"/>
          <w:szCs w:val="20"/>
        </w:rPr>
        <w:t xml:space="preserve">s shortened the overall survival of the patients </w:t>
      </w:r>
      <w:r w:rsidR="00EA5D64" w:rsidRPr="00A37749">
        <w:rPr>
          <w:rFonts w:asciiTheme="majorBidi" w:hAnsiTheme="majorBidi" w:cstheme="majorBidi"/>
          <w:sz w:val="20"/>
          <w:szCs w:val="20"/>
          <w:vertAlign w:val="superscript"/>
        </w:rPr>
        <w:t>(7, 10</w:t>
      </w:r>
      <w:proofErr w:type="gramStart"/>
      <w:r w:rsidR="00EA5D64" w:rsidRPr="00A37749">
        <w:rPr>
          <w:rFonts w:asciiTheme="majorBidi" w:hAnsiTheme="majorBidi" w:cstheme="majorBidi"/>
          <w:sz w:val="20"/>
          <w:szCs w:val="20"/>
          <w:vertAlign w:val="superscript"/>
        </w:rPr>
        <w:t>,  27</w:t>
      </w:r>
      <w:proofErr w:type="gramEnd"/>
      <w:r w:rsidR="00EA5D64" w:rsidRPr="00A37749">
        <w:rPr>
          <w:rFonts w:asciiTheme="majorBidi" w:hAnsiTheme="majorBidi" w:cstheme="majorBidi"/>
          <w:sz w:val="20"/>
          <w:szCs w:val="20"/>
          <w:vertAlign w:val="superscript"/>
        </w:rPr>
        <w:t>)</w:t>
      </w:r>
      <w:r w:rsidR="00EA5D64" w:rsidRPr="00A37749">
        <w:rPr>
          <w:rFonts w:asciiTheme="majorBidi" w:hAnsiTheme="majorBidi" w:cstheme="majorBidi"/>
          <w:sz w:val="20"/>
          <w:szCs w:val="20"/>
        </w:rPr>
        <w:t xml:space="preserve">.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t xml:space="preserve">Patients who received directed treatment to the intra-hepatic lesion had significant better survival than patients who received just </w:t>
      </w:r>
      <w:r w:rsidR="00224DB9" w:rsidRPr="00A37749">
        <w:rPr>
          <w:rFonts w:asciiTheme="majorBidi" w:hAnsiTheme="majorBidi" w:cstheme="majorBidi"/>
          <w:sz w:val="20"/>
          <w:szCs w:val="20"/>
        </w:rPr>
        <w:t>palliative or supportive treatment</w:t>
      </w:r>
      <w:r w:rsidRPr="00A37749">
        <w:rPr>
          <w:rFonts w:asciiTheme="majorBidi" w:hAnsiTheme="majorBidi" w:cstheme="majorBidi"/>
          <w:sz w:val="20"/>
          <w:szCs w:val="20"/>
        </w:rPr>
        <w:t xml:space="preserve"> (</w:t>
      </w:r>
      <w:r w:rsidRPr="00A37749">
        <w:rPr>
          <w:rFonts w:asciiTheme="majorBidi" w:hAnsiTheme="majorBidi" w:cstheme="majorBidi"/>
          <w:i/>
          <w:iCs/>
          <w:sz w:val="20"/>
          <w:szCs w:val="20"/>
        </w:rPr>
        <w:t>p</w:t>
      </w:r>
      <w:r w:rsidRPr="00A37749">
        <w:rPr>
          <w:rFonts w:asciiTheme="majorBidi" w:hAnsiTheme="majorBidi" w:cstheme="majorBidi"/>
          <w:sz w:val="20"/>
          <w:szCs w:val="20"/>
        </w:rPr>
        <w:t xml:space="preserve">&lt;0.001). The </w:t>
      </w:r>
      <w:proofErr w:type="gramStart"/>
      <w:r w:rsidRPr="00A37749">
        <w:rPr>
          <w:rFonts w:asciiTheme="majorBidi" w:hAnsiTheme="majorBidi" w:cstheme="majorBidi"/>
          <w:sz w:val="20"/>
          <w:szCs w:val="20"/>
        </w:rPr>
        <w:t>majority of HCC patie</w:t>
      </w:r>
      <w:r w:rsidR="00224DB9" w:rsidRPr="00A37749">
        <w:rPr>
          <w:rFonts w:asciiTheme="majorBidi" w:hAnsiTheme="majorBidi" w:cstheme="majorBidi"/>
          <w:sz w:val="20"/>
          <w:szCs w:val="20"/>
        </w:rPr>
        <w:t>nts with extra-hepatic metastases do</w:t>
      </w:r>
      <w:proofErr w:type="gramEnd"/>
      <w:r w:rsidRPr="00A37749">
        <w:rPr>
          <w:rFonts w:asciiTheme="majorBidi" w:hAnsiTheme="majorBidi" w:cstheme="majorBidi"/>
          <w:sz w:val="20"/>
          <w:szCs w:val="20"/>
        </w:rPr>
        <w:t xml:space="preserve"> not die of metastatic dissemination but rather die of hepatic failure due to progression of intra-hepatic HCC. Therefore, treatment of intra-hepatic HCC is almost always required to improve survival when hepatic function and extent of disease permit </w:t>
      </w:r>
      <w:r w:rsidRPr="00A37749">
        <w:rPr>
          <w:rFonts w:asciiTheme="majorBidi" w:hAnsiTheme="majorBidi" w:cstheme="majorBidi"/>
          <w:sz w:val="20"/>
          <w:szCs w:val="20"/>
          <w:vertAlign w:val="superscript"/>
        </w:rPr>
        <w:t xml:space="preserve">(4, 23, </w:t>
      </w:r>
      <w:proofErr w:type="gramStart"/>
      <w:r w:rsidRPr="00A37749">
        <w:rPr>
          <w:rFonts w:asciiTheme="majorBidi" w:hAnsiTheme="majorBidi" w:cstheme="majorBidi"/>
          <w:sz w:val="20"/>
          <w:szCs w:val="20"/>
          <w:vertAlign w:val="superscript"/>
        </w:rPr>
        <w:t>26</w:t>
      </w:r>
      <w:proofErr w:type="gramEnd"/>
      <w:r w:rsidRPr="00A37749">
        <w:rPr>
          <w:rFonts w:asciiTheme="majorBidi" w:hAnsiTheme="majorBidi" w:cstheme="majorBidi"/>
          <w:sz w:val="20"/>
          <w:szCs w:val="20"/>
          <w:vertAlign w:val="superscript"/>
        </w:rPr>
        <w:t>)</w:t>
      </w:r>
      <w:r w:rsidRPr="00A37749">
        <w:rPr>
          <w:rFonts w:asciiTheme="majorBidi" w:hAnsiTheme="majorBidi" w:cstheme="majorBidi"/>
          <w:sz w:val="20"/>
          <w:szCs w:val="20"/>
        </w:rPr>
        <w:t xml:space="preserve">.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A37749">
        <w:rPr>
          <w:rFonts w:asciiTheme="majorBidi" w:hAnsiTheme="majorBidi" w:cstheme="majorBidi"/>
          <w:color w:val="000000"/>
          <w:sz w:val="20"/>
          <w:szCs w:val="20"/>
        </w:rPr>
        <w:t xml:space="preserve">A newer molecular targeting agent, </w:t>
      </w:r>
      <w:proofErr w:type="spellStart"/>
      <w:r w:rsidRPr="00A37749">
        <w:rPr>
          <w:rFonts w:asciiTheme="majorBidi" w:hAnsiTheme="majorBidi" w:cstheme="majorBidi"/>
          <w:color w:val="000000"/>
          <w:sz w:val="20"/>
          <w:szCs w:val="20"/>
        </w:rPr>
        <w:t>Sorafenib</w:t>
      </w:r>
      <w:proofErr w:type="spellEnd"/>
      <w:r w:rsidRPr="00A37749">
        <w:rPr>
          <w:rFonts w:asciiTheme="majorBidi" w:hAnsiTheme="majorBidi" w:cstheme="majorBidi"/>
          <w:color w:val="000000"/>
          <w:sz w:val="20"/>
          <w:szCs w:val="20"/>
        </w:rPr>
        <w:t xml:space="preserve"> (</w:t>
      </w:r>
      <w:proofErr w:type="spellStart"/>
      <w:r w:rsidRPr="00A37749">
        <w:rPr>
          <w:rFonts w:asciiTheme="majorBidi" w:hAnsiTheme="majorBidi" w:cstheme="majorBidi"/>
          <w:color w:val="000000"/>
          <w:sz w:val="20"/>
          <w:szCs w:val="20"/>
        </w:rPr>
        <w:t>Nexavar</w:t>
      </w:r>
      <w:proofErr w:type="spellEnd"/>
      <w:r w:rsidRPr="00A37749">
        <w:rPr>
          <w:rFonts w:asciiTheme="majorBidi" w:hAnsiTheme="majorBidi" w:cstheme="majorBidi"/>
          <w:color w:val="000000"/>
          <w:sz w:val="20"/>
          <w:szCs w:val="20"/>
        </w:rPr>
        <w:t>; Bayer HealthCare Pharmaceuticals, Basel, Switzerland), has been recently shown to prolong survival in patients with advanced HCC. However, a survival benefit was not demonstrated in the sub-group analysis of patie</w:t>
      </w:r>
      <w:r w:rsidR="00224DB9" w:rsidRPr="00A37749">
        <w:rPr>
          <w:rFonts w:asciiTheme="majorBidi" w:hAnsiTheme="majorBidi" w:cstheme="majorBidi"/>
          <w:color w:val="000000"/>
          <w:sz w:val="20"/>
          <w:szCs w:val="20"/>
        </w:rPr>
        <w:t>nts with extra-hepatic metastase</w:t>
      </w:r>
      <w:r w:rsidRPr="00A37749">
        <w:rPr>
          <w:rFonts w:asciiTheme="majorBidi" w:hAnsiTheme="majorBidi" w:cstheme="majorBidi"/>
          <w:color w:val="000000"/>
          <w:sz w:val="20"/>
          <w:szCs w:val="20"/>
        </w:rPr>
        <w:t xml:space="preserve">s </w:t>
      </w:r>
      <w:r w:rsidRPr="00A37749">
        <w:rPr>
          <w:rFonts w:asciiTheme="majorBidi" w:hAnsiTheme="majorBidi" w:cstheme="majorBidi"/>
          <w:color w:val="000000"/>
          <w:sz w:val="20"/>
          <w:szCs w:val="20"/>
          <w:vertAlign w:val="superscript"/>
        </w:rPr>
        <w:t>(28)</w:t>
      </w:r>
      <w:r w:rsidRPr="00A37749">
        <w:rPr>
          <w:rFonts w:asciiTheme="majorBidi" w:hAnsiTheme="majorBidi" w:cstheme="majorBidi"/>
          <w:color w:val="000000"/>
          <w:sz w:val="20"/>
          <w:szCs w:val="20"/>
        </w:rPr>
        <w:t xml:space="preserve">. </w:t>
      </w: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A37749">
        <w:rPr>
          <w:rFonts w:asciiTheme="majorBidi" w:hAnsiTheme="majorBidi" w:cstheme="majorBidi"/>
          <w:sz w:val="20"/>
          <w:szCs w:val="20"/>
        </w:rPr>
        <w:t>There are some limitations in the present study. First</w:t>
      </w:r>
      <w:r w:rsidR="00224DB9" w:rsidRPr="00A37749">
        <w:rPr>
          <w:rFonts w:asciiTheme="majorBidi" w:hAnsiTheme="majorBidi" w:cstheme="majorBidi"/>
          <w:sz w:val="20"/>
          <w:szCs w:val="20"/>
        </w:rPr>
        <w:t>ly</w:t>
      </w:r>
      <w:r w:rsidRPr="00A37749">
        <w:rPr>
          <w:rFonts w:asciiTheme="majorBidi" w:hAnsiTheme="majorBidi" w:cstheme="majorBidi"/>
          <w:sz w:val="20"/>
          <w:szCs w:val="20"/>
        </w:rPr>
        <w:t>, i</w:t>
      </w:r>
      <w:r w:rsidRPr="00A37749">
        <w:rPr>
          <w:rFonts w:asciiTheme="majorBidi" w:hAnsiTheme="majorBidi" w:cstheme="majorBidi"/>
          <w:color w:val="000000"/>
          <w:sz w:val="20"/>
          <w:szCs w:val="20"/>
        </w:rPr>
        <w:t>t is a single institutional study with</w:t>
      </w:r>
      <w:r w:rsidRPr="00A37749">
        <w:rPr>
          <w:rFonts w:asciiTheme="majorBidi" w:hAnsiTheme="majorBidi" w:cstheme="majorBidi"/>
          <w:sz w:val="20"/>
          <w:szCs w:val="20"/>
        </w:rPr>
        <w:t xml:space="preserve"> the population size is relatively small. A multicenter study is needed to include more patients into such a type of study. Second</w:t>
      </w:r>
      <w:r w:rsidR="00224DB9" w:rsidRPr="00A37749">
        <w:rPr>
          <w:rFonts w:asciiTheme="majorBidi" w:hAnsiTheme="majorBidi" w:cstheme="majorBidi"/>
          <w:sz w:val="20"/>
          <w:szCs w:val="20"/>
        </w:rPr>
        <w:t>ly</w:t>
      </w:r>
      <w:r w:rsidRPr="00A37749">
        <w:rPr>
          <w:rFonts w:asciiTheme="majorBidi" w:hAnsiTheme="majorBidi" w:cstheme="majorBidi"/>
          <w:sz w:val="20"/>
          <w:szCs w:val="20"/>
        </w:rPr>
        <w:t xml:space="preserve">, not all extra-hepatic metastases especially LNs had histopathologic confirmation, although the diagnosis was based on clinical characteristics and imaging studies. </w:t>
      </w:r>
      <w:r w:rsidRPr="00A37749">
        <w:rPr>
          <w:rFonts w:asciiTheme="majorBidi" w:hAnsiTheme="majorBidi" w:cstheme="majorBidi"/>
          <w:color w:val="000000"/>
          <w:sz w:val="20"/>
          <w:szCs w:val="20"/>
        </w:rPr>
        <w:t xml:space="preserve">Our future perspective is to conduct a prospective study in a multi-institutional setting focusing on </w:t>
      </w:r>
      <w:r w:rsidRPr="00A37749">
        <w:rPr>
          <w:rFonts w:asciiTheme="majorBidi" w:hAnsiTheme="majorBidi" w:cstheme="majorBidi"/>
          <w:sz w:val="20"/>
          <w:szCs w:val="20"/>
        </w:rPr>
        <w:t>histopathologic confirmation of metastases,</w:t>
      </w:r>
      <w:r w:rsidRPr="00A37749">
        <w:rPr>
          <w:rFonts w:asciiTheme="majorBidi" w:hAnsiTheme="majorBidi" w:cstheme="majorBidi"/>
          <w:color w:val="000000"/>
          <w:sz w:val="20"/>
          <w:szCs w:val="20"/>
        </w:rPr>
        <w:t xml:space="preserve"> selective intra-hepatic interference and use of newer targeted therapy. </w:t>
      </w:r>
    </w:p>
    <w:p w:rsidR="007C3F02" w:rsidRPr="00A37749" w:rsidRDefault="007C3F02" w:rsidP="00EA5890">
      <w:pPr>
        <w:autoSpaceDE w:val="0"/>
        <w:autoSpaceDN w:val="0"/>
        <w:adjustRightInd w:val="0"/>
        <w:spacing w:after="0" w:line="240" w:lineRule="auto"/>
        <w:ind w:firstLine="360"/>
        <w:jc w:val="both"/>
        <w:rPr>
          <w:rFonts w:asciiTheme="majorBidi" w:hAnsiTheme="majorBidi" w:cstheme="majorBidi"/>
          <w:sz w:val="20"/>
          <w:szCs w:val="20"/>
        </w:rPr>
      </w:pPr>
    </w:p>
    <w:p w:rsidR="00EA5D64" w:rsidRPr="00A37749"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A37749">
        <w:rPr>
          <w:rFonts w:asciiTheme="majorBidi" w:hAnsiTheme="majorBidi" w:cstheme="majorBidi"/>
          <w:sz w:val="20"/>
          <w:szCs w:val="20"/>
        </w:rPr>
        <w:lastRenderedPageBreak/>
        <w:t>In conclusion, our present study indicated that lymph node</w:t>
      </w:r>
      <w:r w:rsidR="00224DB9" w:rsidRPr="00A37749">
        <w:rPr>
          <w:rFonts w:asciiTheme="majorBidi" w:hAnsiTheme="majorBidi" w:cstheme="majorBidi"/>
          <w:sz w:val="20"/>
          <w:szCs w:val="20"/>
        </w:rPr>
        <w:t>s metastases were</w:t>
      </w:r>
      <w:r w:rsidRPr="00A37749">
        <w:rPr>
          <w:rFonts w:asciiTheme="majorBidi" w:hAnsiTheme="majorBidi" w:cstheme="majorBidi"/>
          <w:sz w:val="20"/>
          <w:szCs w:val="20"/>
        </w:rPr>
        <w:t xml:space="preserve"> the most frequent site of extra-hepatic metastases of primary HCC. </w:t>
      </w:r>
      <w:r w:rsidRPr="00A37749">
        <w:rPr>
          <w:rFonts w:asciiTheme="majorBidi" w:hAnsiTheme="majorBidi" w:cstheme="majorBidi"/>
          <w:color w:val="1C1C1A"/>
          <w:sz w:val="20"/>
          <w:szCs w:val="20"/>
        </w:rPr>
        <w:t>HCC with LN</w:t>
      </w:r>
      <w:r w:rsidR="00224DB9" w:rsidRPr="00A37749">
        <w:rPr>
          <w:rFonts w:asciiTheme="majorBidi" w:hAnsiTheme="majorBidi" w:cstheme="majorBidi"/>
          <w:color w:val="1C1C1A"/>
          <w:sz w:val="20"/>
          <w:szCs w:val="20"/>
        </w:rPr>
        <w:t>s</w:t>
      </w:r>
      <w:r w:rsidRPr="00A37749">
        <w:rPr>
          <w:rFonts w:asciiTheme="majorBidi" w:hAnsiTheme="majorBidi" w:cstheme="majorBidi"/>
          <w:color w:val="1C1C1A"/>
          <w:sz w:val="20"/>
          <w:szCs w:val="20"/>
        </w:rPr>
        <w:t xml:space="preserve"> metastases tends to be with a multifocal, larger tumor size (</w:t>
      </w:r>
      <w:r w:rsidRPr="00A37749">
        <w:rPr>
          <w:rFonts w:asciiTheme="majorBidi" w:eastAsia="Symbol-PSA" w:hAnsiTheme="majorBidi" w:cstheme="majorBidi"/>
          <w:color w:val="1C1C1A"/>
          <w:sz w:val="20"/>
          <w:szCs w:val="20"/>
        </w:rPr>
        <w:t xml:space="preserve">≥ </w:t>
      </w:r>
      <w:r w:rsidRPr="00A37749">
        <w:rPr>
          <w:rFonts w:asciiTheme="majorBidi" w:hAnsiTheme="majorBidi" w:cstheme="majorBidi"/>
          <w:color w:val="1C1C1A"/>
          <w:sz w:val="20"/>
          <w:szCs w:val="20"/>
        </w:rPr>
        <w:t xml:space="preserve">5 cm) with poor Child-Pugh score. </w:t>
      </w:r>
      <w:r w:rsidRPr="00A37749">
        <w:rPr>
          <w:rFonts w:asciiTheme="majorBidi" w:hAnsiTheme="majorBidi" w:cstheme="majorBidi"/>
          <w:sz w:val="20"/>
          <w:szCs w:val="20"/>
        </w:rPr>
        <w:t>Lymph node</w:t>
      </w:r>
      <w:r w:rsidR="00224DB9" w:rsidRPr="00A37749">
        <w:rPr>
          <w:rFonts w:asciiTheme="majorBidi" w:hAnsiTheme="majorBidi" w:cstheme="majorBidi"/>
          <w:sz w:val="20"/>
          <w:szCs w:val="20"/>
        </w:rPr>
        <w:t>metastasis was</w:t>
      </w:r>
      <w:r w:rsidRPr="00A37749">
        <w:rPr>
          <w:rFonts w:asciiTheme="majorBidi" w:hAnsiTheme="majorBidi" w:cstheme="majorBidi"/>
          <w:sz w:val="20"/>
          <w:szCs w:val="20"/>
        </w:rPr>
        <w:t>one of</w:t>
      </w:r>
      <w:r w:rsidR="00224DB9" w:rsidRPr="00A37749">
        <w:rPr>
          <w:rFonts w:asciiTheme="majorBidi" w:hAnsiTheme="majorBidi" w:cstheme="majorBidi"/>
          <w:sz w:val="20"/>
          <w:szCs w:val="20"/>
        </w:rPr>
        <w:t xml:space="preserve"> the main prognostic factors significantly affecting </w:t>
      </w:r>
      <w:r w:rsidRPr="00A37749">
        <w:rPr>
          <w:rFonts w:asciiTheme="majorBidi" w:hAnsiTheme="majorBidi" w:cstheme="majorBidi"/>
          <w:sz w:val="20"/>
          <w:szCs w:val="20"/>
        </w:rPr>
        <w:t>overall survival in HCC patients. Effective treatment for intra-hepatic lesions would benefit selected patients with extra-hepatic metastases.</w:t>
      </w:r>
    </w:p>
    <w:p w:rsidR="00EA5D64" w:rsidRPr="00A37749" w:rsidRDefault="00EA5D64" w:rsidP="001F1FA9">
      <w:pPr>
        <w:spacing w:after="0" w:line="240" w:lineRule="auto"/>
        <w:jc w:val="lowKashida"/>
        <w:rPr>
          <w:rStyle w:val="apple-style-span"/>
          <w:rFonts w:asciiTheme="majorBidi" w:hAnsiTheme="majorBidi" w:cstheme="majorBidi"/>
          <w:b/>
          <w:bCs/>
          <w:sz w:val="20"/>
          <w:szCs w:val="20"/>
        </w:rPr>
      </w:pPr>
    </w:p>
    <w:p w:rsidR="00EA5D64" w:rsidRPr="00A37749" w:rsidRDefault="0001311A" w:rsidP="001F1FA9">
      <w:pPr>
        <w:spacing w:after="0" w:line="240" w:lineRule="auto"/>
        <w:jc w:val="lowKashida"/>
        <w:rPr>
          <w:rStyle w:val="A6"/>
          <w:rFonts w:asciiTheme="majorBidi" w:hAnsiTheme="majorBidi" w:cstheme="majorBidi"/>
          <w:b/>
          <w:bCs/>
          <w:sz w:val="20"/>
          <w:szCs w:val="20"/>
          <w:lang w:val="pt-BR"/>
        </w:rPr>
      </w:pPr>
      <w:r w:rsidRPr="00A37749">
        <w:rPr>
          <w:rStyle w:val="apple-style-span"/>
          <w:rFonts w:asciiTheme="majorBidi" w:hAnsiTheme="majorBidi" w:cstheme="majorBidi"/>
          <w:b/>
          <w:bCs/>
          <w:sz w:val="20"/>
          <w:szCs w:val="20"/>
        </w:rPr>
        <w:t xml:space="preserve">5. </w:t>
      </w:r>
      <w:r w:rsidR="00EA5D64" w:rsidRPr="00A37749">
        <w:rPr>
          <w:rStyle w:val="apple-style-span"/>
          <w:rFonts w:asciiTheme="majorBidi" w:hAnsiTheme="majorBidi" w:cstheme="majorBidi"/>
          <w:b/>
          <w:bCs/>
          <w:sz w:val="20"/>
          <w:szCs w:val="20"/>
        </w:rPr>
        <w:t>Conflict of Interest:</w:t>
      </w:r>
      <w:r w:rsidR="00EA5D64" w:rsidRPr="00A37749">
        <w:rPr>
          <w:rStyle w:val="apple-style-span"/>
          <w:rFonts w:asciiTheme="majorBidi" w:hAnsiTheme="majorBidi" w:cstheme="majorBidi"/>
          <w:sz w:val="20"/>
          <w:szCs w:val="20"/>
        </w:rPr>
        <w:t xml:space="preserve"> None</w:t>
      </w:r>
    </w:p>
    <w:p w:rsidR="00913E71" w:rsidRPr="00A37749" w:rsidRDefault="00913E71" w:rsidP="00913E71">
      <w:pPr>
        <w:spacing w:after="0" w:line="240" w:lineRule="auto"/>
        <w:jc w:val="lowKashida"/>
        <w:rPr>
          <w:rStyle w:val="A6"/>
          <w:rFonts w:ascii="Times New Roman" w:hAnsi="Times New Roman" w:cs="Times New Roman"/>
          <w:b/>
          <w:bCs/>
          <w:sz w:val="20"/>
          <w:szCs w:val="20"/>
          <w:lang w:val="pt-BR"/>
        </w:rPr>
      </w:pPr>
    </w:p>
    <w:p w:rsidR="00913E71" w:rsidRPr="00A37749" w:rsidRDefault="0001311A" w:rsidP="00F74F9C">
      <w:pPr>
        <w:spacing w:after="0" w:line="240" w:lineRule="auto"/>
        <w:jc w:val="lowKashida"/>
        <w:rPr>
          <w:rStyle w:val="A6"/>
          <w:rFonts w:ascii="Times New Roman" w:hAnsi="Times New Roman" w:cs="Times New Roman"/>
          <w:b/>
          <w:bCs/>
          <w:sz w:val="20"/>
          <w:szCs w:val="20"/>
          <w:lang w:val="pt-BR"/>
        </w:rPr>
      </w:pPr>
      <w:r w:rsidRPr="00A37749">
        <w:rPr>
          <w:rStyle w:val="A6"/>
          <w:rFonts w:ascii="Times New Roman" w:hAnsi="Times New Roman" w:cs="Times New Roman"/>
          <w:b/>
          <w:bCs/>
          <w:sz w:val="20"/>
          <w:szCs w:val="20"/>
          <w:lang w:val="pt-BR"/>
        </w:rPr>
        <w:t xml:space="preserve">6. </w:t>
      </w:r>
      <w:r w:rsidR="00913E71" w:rsidRPr="00A37749">
        <w:rPr>
          <w:rStyle w:val="A6"/>
          <w:rFonts w:ascii="Times New Roman" w:hAnsi="Times New Roman" w:cs="Times New Roman"/>
          <w:b/>
          <w:bCs/>
          <w:sz w:val="20"/>
          <w:szCs w:val="20"/>
          <w:lang w:val="pt-BR"/>
        </w:rPr>
        <w:t xml:space="preserve">Corresponding </w:t>
      </w:r>
      <w:r w:rsidR="00F74F9C" w:rsidRPr="00A37749">
        <w:rPr>
          <w:rStyle w:val="A6"/>
          <w:rFonts w:ascii="Times New Roman" w:hAnsi="Times New Roman" w:cs="Times New Roman"/>
          <w:b/>
          <w:bCs/>
          <w:sz w:val="20"/>
          <w:szCs w:val="20"/>
          <w:lang w:val="pt-BR"/>
        </w:rPr>
        <w:t>A</w:t>
      </w:r>
      <w:r w:rsidR="00913E71" w:rsidRPr="00A37749">
        <w:rPr>
          <w:rStyle w:val="A6"/>
          <w:rFonts w:ascii="Times New Roman" w:hAnsi="Times New Roman" w:cs="Times New Roman"/>
          <w:b/>
          <w:bCs/>
          <w:sz w:val="20"/>
          <w:szCs w:val="20"/>
          <w:lang w:val="pt-BR"/>
        </w:rPr>
        <w:t>uthor</w:t>
      </w:r>
    </w:p>
    <w:p w:rsidR="00913E71" w:rsidRPr="00A37749" w:rsidRDefault="00913E71" w:rsidP="00913E71">
      <w:pPr>
        <w:spacing w:after="0" w:line="240" w:lineRule="auto"/>
        <w:jc w:val="lowKashida"/>
        <w:rPr>
          <w:rStyle w:val="A6"/>
          <w:rFonts w:ascii="Times New Roman" w:hAnsi="Times New Roman" w:cs="Times New Roman"/>
          <w:sz w:val="20"/>
          <w:szCs w:val="20"/>
          <w:lang w:val="pt-BR"/>
        </w:rPr>
      </w:pPr>
      <w:r w:rsidRPr="00A37749">
        <w:rPr>
          <w:rFonts w:ascii="Times New Roman" w:hAnsi="Times New Roman" w:cs="Times New Roman"/>
          <w:color w:val="000000"/>
          <w:sz w:val="20"/>
          <w:szCs w:val="20"/>
          <w:lang w:val="pt-BR"/>
        </w:rPr>
        <w:t>Alaa Mohamed Maria</w:t>
      </w:r>
    </w:p>
    <w:p w:rsidR="00913E71" w:rsidRPr="00A37749" w:rsidRDefault="00913E71" w:rsidP="00913E71">
      <w:pPr>
        <w:spacing w:after="0" w:line="240" w:lineRule="auto"/>
        <w:jc w:val="lowKashida"/>
        <w:rPr>
          <w:rFonts w:ascii="Times New Roman" w:hAnsi="Times New Roman" w:cs="Times New Roman"/>
          <w:sz w:val="20"/>
          <w:szCs w:val="20"/>
        </w:rPr>
      </w:pPr>
      <w:r w:rsidRPr="00A37749">
        <w:rPr>
          <w:rStyle w:val="A6"/>
          <w:rFonts w:ascii="Times New Roman" w:hAnsi="Times New Roman" w:cs="Times New Roman"/>
          <w:sz w:val="20"/>
          <w:szCs w:val="20"/>
        </w:rPr>
        <w:t xml:space="preserve">Clinical Oncology Department, Faculty of Medicine, Tanta University, Al </w:t>
      </w:r>
      <w:proofErr w:type="spellStart"/>
      <w:r w:rsidRPr="00A37749">
        <w:rPr>
          <w:rStyle w:val="A6"/>
          <w:rFonts w:ascii="Times New Roman" w:hAnsi="Times New Roman" w:cs="Times New Roman"/>
          <w:sz w:val="20"/>
          <w:szCs w:val="20"/>
        </w:rPr>
        <w:t>Gaish</w:t>
      </w:r>
      <w:proofErr w:type="spellEnd"/>
      <w:r w:rsidRPr="00A37749">
        <w:rPr>
          <w:rStyle w:val="A6"/>
          <w:rFonts w:ascii="Times New Roman" w:hAnsi="Times New Roman" w:cs="Times New Roman"/>
          <w:sz w:val="20"/>
          <w:szCs w:val="20"/>
        </w:rPr>
        <w:t xml:space="preserve"> St., Tanta, </w:t>
      </w:r>
      <w:proofErr w:type="spellStart"/>
      <w:r w:rsidRPr="00A37749">
        <w:rPr>
          <w:rStyle w:val="A6"/>
          <w:rFonts w:ascii="Times New Roman" w:hAnsi="Times New Roman" w:cs="Times New Roman"/>
          <w:sz w:val="20"/>
          <w:szCs w:val="20"/>
        </w:rPr>
        <w:t>Gharbia</w:t>
      </w:r>
      <w:proofErr w:type="spellEnd"/>
      <w:r w:rsidRPr="00A37749">
        <w:rPr>
          <w:rStyle w:val="A6"/>
          <w:rFonts w:ascii="Times New Roman" w:hAnsi="Times New Roman" w:cs="Times New Roman"/>
          <w:sz w:val="20"/>
          <w:szCs w:val="20"/>
        </w:rPr>
        <w:t xml:space="preserve"> 11312, Egypt</w:t>
      </w:r>
      <w:r w:rsidRPr="00A37749">
        <w:rPr>
          <w:rFonts w:ascii="Times New Roman" w:hAnsi="Times New Roman" w:cs="Times New Roman"/>
          <w:sz w:val="20"/>
          <w:szCs w:val="20"/>
        </w:rPr>
        <w:t>.</w:t>
      </w:r>
    </w:p>
    <w:p w:rsidR="00913E71" w:rsidRPr="00A37749" w:rsidRDefault="00D060C0" w:rsidP="00913E71">
      <w:pPr>
        <w:spacing w:after="0" w:line="240" w:lineRule="auto"/>
        <w:jc w:val="lowKashida"/>
        <w:rPr>
          <w:rStyle w:val="A6"/>
          <w:rFonts w:ascii="Times New Roman" w:hAnsi="Times New Roman" w:cs="Times New Roman"/>
          <w:sz w:val="20"/>
          <w:szCs w:val="20"/>
        </w:rPr>
      </w:pPr>
      <w:hyperlink r:id="rId16" w:history="1">
        <w:r w:rsidR="00913E71" w:rsidRPr="00A37749">
          <w:rPr>
            <w:rStyle w:val="Hyperlink"/>
            <w:rFonts w:ascii="Times New Roman" w:hAnsi="Times New Roman" w:cs="Times New Roman"/>
            <w:sz w:val="20"/>
            <w:szCs w:val="20"/>
          </w:rPr>
          <w:t>alaamaria1@hotmail.com</w:t>
        </w:r>
      </w:hyperlink>
    </w:p>
    <w:p w:rsidR="00EA5D64" w:rsidRPr="00A37749" w:rsidRDefault="00EA5D64" w:rsidP="001F1FA9">
      <w:pPr>
        <w:spacing w:after="0" w:line="240" w:lineRule="auto"/>
        <w:jc w:val="lowKashida"/>
        <w:rPr>
          <w:rStyle w:val="A6"/>
          <w:rFonts w:asciiTheme="majorBidi" w:hAnsiTheme="majorBidi" w:cstheme="majorBidi"/>
          <w:b/>
          <w:bCs/>
          <w:sz w:val="20"/>
          <w:szCs w:val="20"/>
          <w:lang w:val="pt-BR"/>
        </w:rPr>
      </w:pPr>
    </w:p>
    <w:p w:rsidR="00EA5D64" w:rsidRPr="00A37749" w:rsidRDefault="0001311A" w:rsidP="00F17B4F">
      <w:pPr>
        <w:autoSpaceDE w:val="0"/>
        <w:autoSpaceDN w:val="0"/>
        <w:adjustRightInd w:val="0"/>
        <w:spacing w:after="0" w:line="240" w:lineRule="auto"/>
        <w:ind w:left="360" w:hanging="360"/>
        <w:jc w:val="both"/>
        <w:rPr>
          <w:rFonts w:asciiTheme="majorBidi" w:hAnsiTheme="majorBidi" w:cstheme="majorBidi"/>
          <w:b/>
          <w:bCs/>
          <w:sz w:val="20"/>
          <w:szCs w:val="20"/>
        </w:rPr>
      </w:pPr>
      <w:r w:rsidRPr="00A37749">
        <w:rPr>
          <w:rFonts w:asciiTheme="majorBidi" w:hAnsiTheme="majorBidi" w:cstheme="majorBidi"/>
          <w:b/>
          <w:bCs/>
          <w:sz w:val="20"/>
          <w:szCs w:val="20"/>
        </w:rPr>
        <w:t xml:space="preserve">7. </w:t>
      </w:r>
      <w:r w:rsidR="00EA5D64" w:rsidRPr="00A37749">
        <w:rPr>
          <w:rFonts w:asciiTheme="majorBidi" w:hAnsiTheme="majorBidi" w:cstheme="majorBidi"/>
          <w:b/>
          <w:bCs/>
          <w:sz w:val="20"/>
          <w:szCs w:val="20"/>
        </w:rPr>
        <w:t>References</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proofErr w:type="spellStart"/>
      <w:r w:rsidRPr="00A37749">
        <w:rPr>
          <w:rFonts w:asciiTheme="majorBidi" w:hAnsiTheme="majorBidi" w:cstheme="majorBidi"/>
          <w:sz w:val="20"/>
          <w:szCs w:val="20"/>
        </w:rPr>
        <w:t>Jemal</w:t>
      </w:r>
      <w:proofErr w:type="spellEnd"/>
      <w:r w:rsidRPr="00A37749">
        <w:rPr>
          <w:rFonts w:asciiTheme="majorBidi" w:hAnsiTheme="majorBidi" w:cstheme="majorBidi"/>
          <w:sz w:val="20"/>
          <w:szCs w:val="20"/>
        </w:rPr>
        <w:t xml:space="preserve"> A.; Bray F.; Center MM.; </w:t>
      </w:r>
      <w:proofErr w:type="spellStart"/>
      <w:r w:rsidRPr="00A37749">
        <w:rPr>
          <w:rStyle w:val="apple-style-span"/>
          <w:rFonts w:asciiTheme="majorBidi" w:hAnsiTheme="majorBidi" w:cstheme="majorBidi"/>
          <w:color w:val="000000"/>
          <w:sz w:val="20"/>
          <w:szCs w:val="20"/>
        </w:rPr>
        <w:t>Ferlay</w:t>
      </w:r>
      <w:proofErr w:type="spellEnd"/>
      <w:r w:rsidRPr="00A37749">
        <w:rPr>
          <w:rStyle w:val="apple-style-span"/>
          <w:rFonts w:asciiTheme="majorBidi" w:hAnsiTheme="majorBidi" w:cstheme="majorBidi"/>
          <w:color w:val="000000"/>
          <w:sz w:val="20"/>
          <w:szCs w:val="20"/>
        </w:rPr>
        <w:t xml:space="preserve"> J.; Ward E. &amp; Forman D.</w:t>
      </w:r>
      <w:r w:rsidRPr="00A37749">
        <w:rPr>
          <w:rFonts w:asciiTheme="majorBidi" w:hAnsiTheme="majorBidi" w:cstheme="majorBidi"/>
          <w:sz w:val="20"/>
          <w:szCs w:val="20"/>
        </w:rPr>
        <w:t xml:space="preserve">: Global cancer statistics. CA Cancer J </w:t>
      </w:r>
      <w:proofErr w:type="spellStart"/>
      <w:r w:rsidRPr="00A37749">
        <w:rPr>
          <w:rFonts w:asciiTheme="majorBidi" w:hAnsiTheme="majorBidi" w:cstheme="majorBidi"/>
          <w:sz w:val="20"/>
          <w:szCs w:val="20"/>
        </w:rPr>
        <w:t>Clin</w:t>
      </w:r>
      <w:proofErr w:type="spellEnd"/>
      <w:r w:rsidRPr="00A37749">
        <w:rPr>
          <w:rFonts w:asciiTheme="majorBidi" w:hAnsiTheme="majorBidi" w:cstheme="majorBidi"/>
          <w:sz w:val="20"/>
          <w:szCs w:val="20"/>
        </w:rPr>
        <w:t>, 2011; 61(2): 69–90.</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lang w:val="de-DE"/>
        </w:rPr>
      </w:pPr>
      <w:r w:rsidRPr="00A37749">
        <w:rPr>
          <w:rFonts w:asciiTheme="majorBidi" w:eastAsia="MS Mincho" w:hAnsiTheme="majorBidi" w:cstheme="majorBidi"/>
          <w:sz w:val="20"/>
          <w:szCs w:val="20"/>
          <w:lang w:val="it-IT" w:eastAsia="ja-JP"/>
        </w:rPr>
        <w:t xml:space="preserve">Omata M.; Lesmana LA.; Tateishi R.; Chen PJ.; Lin SM.; Yoshida H.; </w:t>
      </w:r>
      <w:proofErr w:type="gramStart"/>
      <w:r w:rsidR="00B67BF8" w:rsidRPr="00A37749">
        <w:rPr>
          <w:rFonts w:asciiTheme="majorBidi" w:hAnsiTheme="majorBidi" w:cstheme="majorBidi"/>
          <w:i/>
          <w:iCs/>
          <w:sz w:val="20"/>
          <w:szCs w:val="20"/>
        </w:rPr>
        <w:t>et</w:t>
      </w:r>
      <w:proofErr w:type="gramEnd"/>
      <w:r w:rsidR="00B67BF8" w:rsidRPr="00A37749">
        <w:rPr>
          <w:rFonts w:asciiTheme="majorBidi" w:hAnsiTheme="majorBidi" w:cstheme="majorBidi"/>
          <w:i/>
          <w:iCs/>
          <w:sz w:val="20"/>
          <w:szCs w:val="20"/>
        </w:rPr>
        <w:t xml:space="preserve"> al.</w:t>
      </w:r>
      <w:r w:rsidRPr="00A37749">
        <w:rPr>
          <w:rFonts w:asciiTheme="majorBidi" w:eastAsia="MS Mincho" w:hAnsiTheme="majorBidi" w:cstheme="majorBidi"/>
          <w:sz w:val="20"/>
          <w:szCs w:val="20"/>
          <w:lang w:eastAsia="ja-JP"/>
        </w:rPr>
        <w:t>: Asian Pacific Association for the Study of the Liver consensus recommendations on hepatocellular carcinoma</w:t>
      </w:r>
      <w:r w:rsidRPr="00A37749">
        <w:rPr>
          <w:rFonts w:asciiTheme="majorBidi" w:hAnsiTheme="majorBidi" w:cstheme="majorBidi"/>
          <w:sz w:val="20"/>
          <w:szCs w:val="20"/>
        </w:rPr>
        <w:t xml:space="preserve">. </w:t>
      </w:r>
      <w:r w:rsidRPr="00A37749">
        <w:rPr>
          <w:rFonts w:asciiTheme="majorBidi" w:eastAsia="MS Mincho" w:hAnsiTheme="majorBidi" w:cstheme="majorBidi"/>
          <w:sz w:val="20"/>
          <w:szCs w:val="20"/>
          <w:lang w:val="de-DE" w:eastAsia="ja-JP"/>
        </w:rPr>
        <w:t>Hepatol Int, 2010; 4(2): 439–74</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proofErr w:type="spellStart"/>
      <w:r w:rsidRPr="00A37749">
        <w:rPr>
          <w:rFonts w:asciiTheme="majorBidi" w:hAnsiTheme="majorBidi" w:cstheme="majorBidi"/>
          <w:sz w:val="20"/>
          <w:szCs w:val="20"/>
        </w:rPr>
        <w:t>Sneag</w:t>
      </w:r>
      <w:proofErr w:type="spellEnd"/>
      <w:r w:rsidRPr="00A37749">
        <w:rPr>
          <w:rFonts w:asciiTheme="majorBidi" w:hAnsiTheme="majorBidi" w:cstheme="majorBidi"/>
          <w:sz w:val="20"/>
          <w:szCs w:val="20"/>
        </w:rPr>
        <w:t xml:space="preserve"> DB.; </w:t>
      </w:r>
      <w:proofErr w:type="spellStart"/>
      <w:r w:rsidRPr="00A37749">
        <w:rPr>
          <w:rFonts w:asciiTheme="majorBidi" w:hAnsiTheme="majorBidi" w:cstheme="majorBidi"/>
          <w:sz w:val="20"/>
          <w:szCs w:val="20"/>
        </w:rPr>
        <w:t>Krajewski</w:t>
      </w:r>
      <w:proofErr w:type="spellEnd"/>
      <w:r w:rsidRPr="00A37749">
        <w:rPr>
          <w:rFonts w:asciiTheme="majorBidi" w:hAnsiTheme="majorBidi" w:cstheme="majorBidi"/>
          <w:sz w:val="20"/>
          <w:szCs w:val="20"/>
        </w:rPr>
        <w:t xml:space="preserve"> K.; </w:t>
      </w:r>
      <w:proofErr w:type="spellStart"/>
      <w:r w:rsidRPr="00A37749">
        <w:rPr>
          <w:rFonts w:asciiTheme="majorBidi" w:hAnsiTheme="majorBidi" w:cstheme="majorBidi"/>
          <w:sz w:val="20"/>
          <w:szCs w:val="20"/>
        </w:rPr>
        <w:t>Giardino</w:t>
      </w:r>
      <w:proofErr w:type="spellEnd"/>
      <w:r w:rsidRPr="00A37749">
        <w:rPr>
          <w:rFonts w:asciiTheme="majorBidi" w:hAnsiTheme="majorBidi" w:cstheme="majorBidi"/>
          <w:sz w:val="20"/>
          <w:szCs w:val="20"/>
        </w:rPr>
        <w:t xml:space="preserve"> A.; </w:t>
      </w:r>
      <w:proofErr w:type="spellStart"/>
      <w:r w:rsidRPr="00A37749">
        <w:rPr>
          <w:rStyle w:val="hlfld-contribauthor"/>
          <w:rFonts w:asciiTheme="majorBidi" w:hAnsiTheme="majorBidi" w:cstheme="majorBidi"/>
          <w:sz w:val="20"/>
          <w:szCs w:val="20"/>
        </w:rPr>
        <w:t>O’Regan</w:t>
      </w:r>
      <w:proofErr w:type="spellEnd"/>
      <w:r w:rsidRPr="00A37749">
        <w:rPr>
          <w:rStyle w:val="hlfld-contribauthor"/>
          <w:rFonts w:asciiTheme="majorBidi" w:hAnsiTheme="majorBidi" w:cstheme="majorBidi"/>
          <w:sz w:val="20"/>
          <w:szCs w:val="20"/>
        </w:rPr>
        <w:t xml:space="preserve"> KN.; </w:t>
      </w:r>
      <w:proofErr w:type="spellStart"/>
      <w:r w:rsidRPr="00A37749">
        <w:rPr>
          <w:rStyle w:val="hlfld-contribauthor"/>
          <w:rFonts w:asciiTheme="majorBidi" w:hAnsiTheme="majorBidi" w:cstheme="majorBidi"/>
          <w:sz w:val="20"/>
          <w:szCs w:val="20"/>
        </w:rPr>
        <w:t>Shinagare</w:t>
      </w:r>
      <w:proofErr w:type="spellEnd"/>
      <w:r w:rsidRPr="00A37749">
        <w:rPr>
          <w:rStyle w:val="hlfld-contribauthor"/>
          <w:rFonts w:asciiTheme="majorBidi" w:hAnsiTheme="majorBidi" w:cstheme="majorBidi"/>
          <w:sz w:val="20"/>
          <w:szCs w:val="20"/>
        </w:rPr>
        <w:t xml:space="preserve"> AB.; </w:t>
      </w:r>
      <w:proofErr w:type="spellStart"/>
      <w:r w:rsidRPr="00A37749">
        <w:rPr>
          <w:rStyle w:val="hlfld-contribauthor"/>
          <w:rFonts w:asciiTheme="majorBidi" w:hAnsiTheme="majorBidi" w:cstheme="majorBidi"/>
          <w:sz w:val="20"/>
          <w:szCs w:val="20"/>
        </w:rPr>
        <w:t>Jagannathan</w:t>
      </w:r>
      <w:proofErr w:type="spellEnd"/>
      <w:r w:rsidRPr="00A37749">
        <w:rPr>
          <w:rStyle w:val="hlfld-contribauthor"/>
          <w:rFonts w:asciiTheme="majorBidi" w:hAnsiTheme="majorBidi" w:cstheme="majorBidi"/>
          <w:sz w:val="20"/>
          <w:szCs w:val="20"/>
        </w:rPr>
        <w:t xml:space="preserve"> JP.; </w:t>
      </w:r>
      <w:r w:rsidRPr="00A37749">
        <w:rPr>
          <w:rFonts w:asciiTheme="majorBidi" w:hAnsiTheme="majorBidi" w:cstheme="majorBidi"/>
          <w:i/>
          <w:iCs/>
          <w:sz w:val="20"/>
          <w:szCs w:val="20"/>
        </w:rPr>
        <w:t>et al.</w:t>
      </w:r>
      <w:r w:rsidRPr="00A37749">
        <w:rPr>
          <w:rFonts w:asciiTheme="majorBidi" w:hAnsiTheme="majorBidi" w:cstheme="majorBidi"/>
          <w:sz w:val="20"/>
          <w:szCs w:val="20"/>
        </w:rPr>
        <w:t>: Extrahepatic Spread of Hepatocellular Carcinoma: Spectrum of Imaging Findings. AJR, 2011; 197(4): W658–W664</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proofErr w:type="spellStart"/>
      <w:r w:rsidRPr="00A37749">
        <w:rPr>
          <w:rFonts w:asciiTheme="majorBidi" w:hAnsiTheme="majorBidi" w:cstheme="majorBidi"/>
          <w:sz w:val="20"/>
          <w:szCs w:val="20"/>
        </w:rPr>
        <w:t>Natsuizaka</w:t>
      </w:r>
      <w:proofErr w:type="spellEnd"/>
      <w:r w:rsidRPr="00A37749">
        <w:rPr>
          <w:rFonts w:asciiTheme="majorBidi" w:hAnsiTheme="majorBidi" w:cstheme="majorBidi"/>
          <w:sz w:val="20"/>
          <w:szCs w:val="20"/>
        </w:rPr>
        <w:t xml:space="preserve"> M.; </w:t>
      </w:r>
      <w:proofErr w:type="spellStart"/>
      <w:r w:rsidRPr="00A37749">
        <w:rPr>
          <w:rFonts w:asciiTheme="majorBidi" w:hAnsiTheme="majorBidi" w:cstheme="majorBidi"/>
          <w:sz w:val="20"/>
          <w:szCs w:val="20"/>
        </w:rPr>
        <w:t>Omura</w:t>
      </w:r>
      <w:proofErr w:type="spellEnd"/>
      <w:r w:rsidRPr="00A37749">
        <w:rPr>
          <w:rFonts w:asciiTheme="majorBidi" w:hAnsiTheme="majorBidi" w:cstheme="majorBidi"/>
          <w:sz w:val="20"/>
          <w:szCs w:val="20"/>
        </w:rPr>
        <w:t xml:space="preserve"> T.; </w:t>
      </w:r>
      <w:proofErr w:type="spellStart"/>
      <w:r w:rsidRPr="00A37749">
        <w:rPr>
          <w:rFonts w:asciiTheme="majorBidi" w:hAnsiTheme="majorBidi" w:cstheme="majorBidi"/>
          <w:sz w:val="20"/>
          <w:szCs w:val="20"/>
        </w:rPr>
        <w:t>Akaike</w:t>
      </w:r>
      <w:proofErr w:type="spellEnd"/>
      <w:r w:rsidRPr="00A37749">
        <w:rPr>
          <w:rFonts w:asciiTheme="majorBidi" w:hAnsiTheme="majorBidi" w:cstheme="majorBidi"/>
          <w:sz w:val="20"/>
          <w:szCs w:val="20"/>
        </w:rPr>
        <w:t xml:space="preserve"> T.; </w:t>
      </w:r>
      <w:proofErr w:type="spellStart"/>
      <w:r w:rsidRPr="00A37749">
        <w:rPr>
          <w:rFonts w:asciiTheme="majorBidi" w:hAnsiTheme="majorBidi" w:cstheme="majorBidi"/>
          <w:sz w:val="20"/>
          <w:szCs w:val="20"/>
        </w:rPr>
        <w:t>Kuwata</w:t>
      </w:r>
      <w:proofErr w:type="spellEnd"/>
      <w:r w:rsidRPr="00A37749">
        <w:rPr>
          <w:rFonts w:asciiTheme="majorBidi" w:hAnsiTheme="majorBidi" w:cstheme="majorBidi"/>
          <w:sz w:val="20"/>
          <w:szCs w:val="20"/>
        </w:rPr>
        <w:t xml:space="preserve"> Y.; Yamazaki K.; Sato T.;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Clinical features of hepatocellular carcinoma with extrahepatic metastases. J </w:t>
      </w:r>
      <w:proofErr w:type="spellStart"/>
      <w:r w:rsidRPr="00A37749">
        <w:rPr>
          <w:rFonts w:asciiTheme="majorBidi" w:hAnsiTheme="majorBidi" w:cstheme="majorBidi"/>
          <w:sz w:val="20"/>
          <w:szCs w:val="20"/>
        </w:rPr>
        <w:t>GastroenterolHepatol</w:t>
      </w:r>
      <w:proofErr w:type="spellEnd"/>
      <w:r w:rsidRPr="00A37749">
        <w:rPr>
          <w:rFonts w:asciiTheme="majorBidi" w:hAnsiTheme="majorBidi" w:cstheme="majorBidi"/>
          <w:sz w:val="20"/>
          <w:szCs w:val="20"/>
        </w:rPr>
        <w:t>, 2005; 20(11): 1781–7.</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r w:rsidRPr="00A37749">
        <w:rPr>
          <w:rFonts w:asciiTheme="majorBidi" w:hAnsiTheme="majorBidi" w:cstheme="majorBidi"/>
          <w:sz w:val="20"/>
          <w:szCs w:val="20"/>
        </w:rPr>
        <w:t xml:space="preserve">Thomas MB.; Jaffe D.; </w:t>
      </w:r>
      <w:proofErr w:type="spellStart"/>
      <w:r w:rsidRPr="00A37749">
        <w:rPr>
          <w:rFonts w:asciiTheme="majorBidi" w:hAnsiTheme="majorBidi" w:cstheme="majorBidi"/>
          <w:sz w:val="20"/>
          <w:szCs w:val="20"/>
        </w:rPr>
        <w:t>Choti</w:t>
      </w:r>
      <w:proofErr w:type="spellEnd"/>
      <w:r w:rsidRPr="00A37749">
        <w:rPr>
          <w:rFonts w:asciiTheme="majorBidi" w:hAnsiTheme="majorBidi" w:cstheme="majorBidi"/>
          <w:sz w:val="20"/>
          <w:szCs w:val="20"/>
        </w:rPr>
        <w:t xml:space="preserve"> MM.; </w:t>
      </w:r>
      <w:proofErr w:type="spellStart"/>
      <w:r w:rsidRPr="00A37749">
        <w:rPr>
          <w:rFonts w:asciiTheme="majorBidi" w:hAnsiTheme="majorBidi" w:cstheme="majorBidi"/>
          <w:sz w:val="20"/>
          <w:szCs w:val="20"/>
        </w:rPr>
        <w:t>Belghiti</w:t>
      </w:r>
      <w:proofErr w:type="spellEnd"/>
      <w:r w:rsidRPr="00A37749">
        <w:rPr>
          <w:rFonts w:asciiTheme="majorBidi" w:hAnsiTheme="majorBidi" w:cstheme="majorBidi"/>
          <w:sz w:val="20"/>
          <w:szCs w:val="20"/>
        </w:rPr>
        <w:t xml:space="preserve"> J.; Curley S.; Fong Y.;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Hepatocellular carcinoma: consensus recommendations of the National Cancer Institute Clinical Trials Planning Meeting. J </w:t>
      </w:r>
      <w:proofErr w:type="spellStart"/>
      <w:r w:rsidRPr="00A37749">
        <w:rPr>
          <w:rFonts w:asciiTheme="majorBidi" w:hAnsiTheme="majorBidi" w:cstheme="majorBidi"/>
          <w:sz w:val="20"/>
          <w:szCs w:val="20"/>
        </w:rPr>
        <w:t>ClinOncol</w:t>
      </w:r>
      <w:proofErr w:type="spellEnd"/>
      <w:r w:rsidRPr="00A37749">
        <w:rPr>
          <w:rFonts w:asciiTheme="majorBidi" w:hAnsiTheme="majorBidi" w:cstheme="majorBidi"/>
          <w:sz w:val="20"/>
          <w:szCs w:val="20"/>
        </w:rPr>
        <w:t>, 2010; 28(25): 3994–4005</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r w:rsidRPr="00A37749">
        <w:rPr>
          <w:rFonts w:asciiTheme="majorBidi" w:hAnsiTheme="majorBidi" w:cstheme="majorBidi"/>
          <w:sz w:val="20"/>
          <w:szCs w:val="20"/>
        </w:rPr>
        <w:t xml:space="preserve">Ishii H.; </w:t>
      </w:r>
      <w:proofErr w:type="spellStart"/>
      <w:r w:rsidRPr="00A37749">
        <w:rPr>
          <w:rFonts w:asciiTheme="majorBidi" w:hAnsiTheme="majorBidi" w:cstheme="majorBidi"/>
          <w:sz w:val="20"/>
          <w:szCs w:val="20"/>
        </w:rPr>
        <w:t>Furuse</w:t>
      </w:r>
      <w:proofErr w:type="spellEnd"/>
      <w:r w:rsidRPr="00A37749">
        <w:rPr>
          <w:rFonts w:asciiTheme="majorBidi" w:hAnsiTheme="majorBidi" w:cstheme="majorBidi"/>
          <w:sz w:val="20"/>
          <w:szCs w:val="20"/>
        </w:rPr>
        <w:t xml:space="preserve"> J.; Kinoshita T.; </w:t>
      </w:r>
      <w:proofErr w:type="spellStart"/>
      <w:r w:rsidRPr="00A37749">
        <w:rPr>
          <w:rFonts w:asciiTheme="majorBidi" w:hAnsiTheme="majorBidi" w:cstheme="majorBidi"/>
          <w:sz w:val="20"/>
          <w:szCs w:val="20"/>
        </w:rPr>
        <w:t>Konishi</w:t>
      </w:r>
      <w:proofErr w:type="spellEnd"/>
      <w:r w:rsidRPr="00A37749">
        <w:rPr>
          <w:rFonts w:asciiTheme="majorBidi" w:hAnsiTheme="majorBidi" w:cstheme="majorBidi"/>
          <w:sz w:val="20"/>
          <w:szCs w:val="20"/>
        </w:rPr>
        <w:t xml:space="preserve"> M.; </w:t>
      </w:r>
      <w:proofErr w:type="spellStart"/>
      <w:r w:rsidRPr="00A37749">
        <w:rPr>
          <w:rFonts w:asciiTheme="majorBidi" w:hAnsiTheme="majorBidi" w:cstheme="majorBidi"/>
          <w:sz w:val="20"/>
          <w:szCs w:val="20"/>
        </w:rPr>
        <w:t>Nakagohri</w:t>
      </w:r>
      <w:proofErr w:type="spellEnd"/>
      <w:r w:rsidRPr="00A37749">
        <w:rPr>
          <w:rFonts w:asciiTheme="majorBidi" w:hAnsiTheme="majorBidi" w:cstheme="majorBidi"/>
          <w:sz w:val="20"/>
          <w:szCs w:val="20"/>
        </w:rPr>
        <w:t xml:space="preserve"> T.; Takahashi S.;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Extrahepatic spread from hepatocellular carcinoma: who are candidates for aggressive anti-cancer treatment? </w:t>
      </w:r>
      <w:proofErr w:type="spellStart"/>
      <w:r w:rsidRPr="00A37749">
        <w:rPr>
          <w:rFonts w:asciiTheme="majorBidi" w:hAnsiTheme="majorBidi" w:cstheme="majorBidi"/>
          <w:sz w:val="20"/>
          <w:szCs w:val="20"/>
        </w:rPr>
        <w:t>Jpn</w:t>
      </w:r>
      <w:proofErr w:type="spellEnd"/>
      <w:r w:rsidRPr="00A37749">
        <w:rPr>
          <w:rFonts w:asciiTheme="majorBidi" w:hAnsiTheme="majorBidi" w:cstheme="majorBidi"/>
          <w:sz w:val="20"/>
          <w:szCs w:val="20"/>
        </w:rPr>
        <w:t xml:space="preserve"> J </w:t>
      </w:r>
      <w:proofErr w:type="spellStart"/>
      <w:r w:rsidRPr="00A37749">
        <w:rPr>
          <w:rFonts w:asciiTheme="majorBidi" w:hAnsiTheme="majorBidi" w:cstheme="majorBidi"/>
          <w:sz w:val="20"/>
          <w:szCs w:val="20"/>
        </w:rPr>
        <w:t>ClinOncol</w:t>
      </w:r>
      <w:proofErr w:type="spellEnd"/>
      <w:r w:rsidRPr="00A37749">
        <w:rPr>
          <w:rFonts w:asciiTheme="majorBidi" w:hAnsiTheme="majorBidi" w:cstheme="majorBidi"/>
          <w:sz w:val="20"/>
          <w:szCs w:val="20"/>
        </w:rPr>
        <w:t>, 2004; 34(12): 733-9</w:t>
      </w:r>
    </w:p>
    <w:p w:rsidR="00EA5D64" w:rsidRPr="00A37749"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r w:rsidRPr="00A37749">
        <w:rPr>
          <w:rFonts w:asciiTheme="majorBidi" w:hAnsiTheme="majorBidi" w:cstheme="majorBidi"/>
          <w:sz w:val="20"/>
          <w:szCs w:val="20"/>
        </w:rPr>
        <w:t xml:space="preserve">Lee CW.; Chan KM.; Lee CF.; Yu MC.; Lee WC.; Wu TJ.;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Hepatic resection for hepatocellular carcinoma with lymph node metastasis: </w:t>
      </w:r>
      <w:proofErr w:type="spellStart"/>
      <w:r w:rsidRPr="00A37749">
        <w:rPr>
          <w:rFonts w:asciiTheme="majorBidi" w:hAnsiTheme="majorBidi" w:cstheme="majorBidi"/>
          <w:sz w:val="20"/>
          <w:szCs w:val="20"/>
        </w:rPr>
        <w:t>clinicopathological</w:t>
      </w:r>
      <w:proofErr w:type="spellEnd"/>
      <w:r w:rsidRPr="00A37749">
        <w:rPr>
          <w:rFonts w:asciiTheme="majorBidi" w:hAnsiTheme="majorBidi" w:cstheme="majorBidi"/>
          <w:sz w:val="20"/>
          <w:szCs w:val="20"/>
        </w:rPr>
        <w:t xml:space="preserve"> analysis and survival outcome. Asian J </w:t>
      </w:r>
      <w:proofErr w:type="spellStart"/>
      <w:r w:rsidRPr="00A37749">
        <w:rPr>
          <w:rFonts w:asciiTheme="majorBidi" w:hAnsiTheme="majorBidi" w:cstheme="majorBidi"/>
          <w:sz w:val="20"/>
          <w:szCs w:val="20"/>
        </w:rPr>
        <w:t>Surg</w:t>
      </w:r>
      <w:proofErr w:type="spellEnd"/>
      <w:r w:rsidRPr="00A37749">
        <w:rPr>
          <w:rFonts w:asciiTheme="majorBidi" w:hAnsiTheme="majorBidi" w:cstheme="majorBidi"/>
          <w:sz w:val="20"/>
          <w:szCs w:val="20"/>
        </w:rPr>
        <w:t>, 2011; 34(2): 53–62.</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proofErr w:type="spellStart"/>
      <w:r w:rsidRPr="00A37749">
        <w:rPr>
          <w:rFonts w:asciiTheme="majorBidi" w:hAnsiTheme="majorBidi" w:cstheme="majorBidi"/>
          <w:color w:val="1C1C1A"/>
          <w:sz w:val="20"/>
          <w:szCs w:val="20"/>
        </w:rPr>
        <w:t>Changchien</w:t>
      </w:r>
      <w:proofErr w:type="spellEnd"/>
      <w:r w:rsidRPr="00A37749">
        <w:rPr>
          <w:rFonts w:asciiTheme="majorBidi" w:hAnsiTheme="majorBidi" w:cstheme="majorBidi"/>
          <w:color w:val="1C1C1A"/>
          <w:sz w:val="20"/>
          <w:szCs w:val="20"/>
        </w:rPr>
        <w:t xml:space="preserve"> CS.; Chen CL.; Yen YH.; Wang JH.; Hu TH.; Lee CM</w:t>
      </w:r>
      <w:r w:rsidRPr="00A37749">
        <w:rPr>
          <w:rFonts w:asciiTheme="majorBidi" w:hAnsiTheme="majorBidi" w:cstheme="majorBidi"/>
          <w:sz w:val="20"/>
          <w:szCs w:val="20"/>
        </w:rPr>
        <w:t xml:space="preserve">.;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Analysis of 6381 </w:t>
      </w:r>
      <w:r w:rsidRPr="00A37749">
        <w:rPr>
          <w:rFonts w:asciiTheme="majorBidi" w:hAnsiTheme="majorBidi" w:cstheme="majorBidi"/>
          <w:sz w:val="20"/>
          <w:szCs w:val="20"/>
        </w:rPr>
        <w:lastRenderedPageBreak/>
        <w:t xml:space="preserve">hepatocellular carcinoma patients in southern Taiwan: prognostic features, treatment outcome, and survival. J </w:t>
      </w:r>
      <w:proofErr w:type="spellStart"/>
      <w:r w:rsidRPr="00A37749">
        <w:rPr>
          <w:rFonts w:asciiTheme="majorBidi" w:hAnsiTheme="majorBidi" w:cstheme="majorBidi"/>
          <w:sz w:val="20"/>
          <w:szCs w:val="20"/>
        </w:rPr>
        <w:t>Gastroenterol</w:t>
      </w:r>
      <w:proofErr w:type="spellEnd"/>
      <w:r w:rsidRPr="00A37749">
        <w:rPr>
          <w:rFonts w:asciiTheme="majorBidi" w:hAnsiTheme="majorBidi" w:cstheme="majorBidi"/>
          <w:sz w:val="20"/>
          <w:szCs w:val="20"/>
        </w:rPr>
        <w:t>, 2008; 43(2): 159–70.</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 xml:space="preserve">Sun HC.; Zhuang PY.; Qin LX.; Ye QH.; Wang L.; Ren N.;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Incidence and prognostic values of lymph node metastasis in operable hepatocellular carcinoma and evaluation of routine complete lymphadenectomy. J </w:t>
      </w:r>
      <w:proofErr w:type="spellStart"/>
      <w:r w:rsidRPr="00A37749">
        <w:rPr>
          <w:rFonts w:asciiTheme="majorBidi" w:hAnsiTheme="majorBidi" w:cstheme="majorBidi"/>
          <w:sz w:val="20"/>
          <w:szCs w:val="20"/>
        </w:rPr>
        <w:t>SurgOncol</w:t>
      </w:r>
      <w:proofErr w:type="spellEnd"/>
      <w:r w:rsidRPr="00A37749">
        <w:rPr>
          <w:rFonts w:asciiTheme="majorBidi" w:hAnsiTheme="majorBidi" w:cstheme="majorBidi"/>
          <w:sz w:val="20"/>
          <w:szCs w:val="20"/>
        </w:rPr>
        <w:t>, 2007; 96(1): 37–45.</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proofErr w:type="spellStart"/>
      <w:r w:rsidRPr="00A37749">
        <w:rPr>
          <w:rFonts w:asciiTheme="majorBidi" w:hAnsiTheme="majorBidi" w:cstheme="majorBidi"/>
          <w:sz w:val="20"/>
          <w:szCs w:val="20"/>
        </w:rPr>
        <w:t>Xiaohong</w:t>
      </w:r>
      <w:proofErr w:type="spellEnd"/>
      <w:r w:rsidRPr="00A37749">
        <w:rPr>
          <w:rFonts w:asciiTheme="majorBidi" w:hAnsiTheme="majorBidi" w:cstheme="majorBidi"/>
          <w:sz w:val="20"/>
          <w:szCs w:val="20"/>
        </w:rPr>
        <w:t xml:space="preserve"> S.; </w:t>
      </w:r>
      <w:proofErr w:type="spellStart"/>
      <w:r w:rsidRPr="00A37749">
        <w:rPr>
          <w:rFonts w:asciiTheme="majorBidi" w:hAnsiTheme="majorBidi" w:cstheme="majorBidi"/>
          <w:sz w:val="20"/>
          <w:szCs w:val="20"/>
        </w:rPr>
        <w:t>Huikai</w:t>
      </w:r>
      <w:proofErr w:type="spellEnd"/>
      <w:r w:rsidRPr="00A37749">
        <w:rPr>
          <w:rFonts w:asciiTheme="majorBidi" w:hAnsiTheme="majorBidi" w:cstheme="majorBidi"/>
          <w:sz w:val="20"/>
          <w:szCs w:val="20"/>
        </w:rPr>
        <w:t xml:space="preserve"> L.; Feng W.; Ti Z.;</w:t>
      </w:r>
      <w:r w:rsidRPr="00A37749">
        <w:rPr>
          <w:rStyle w:val="apple-converted-space"/>
          <w:rFonts w:asciiTheme="majorBidi" w:hAnsiTheme="majorBidi" w:cstheme="majorBidi"/>
          <w:sz w:val="20"/>
          <w:szCs w:val="20"/>
        </w:rPr>
        <w:t> </w:t>
      </w:r>
      <w:proofErr w:type="spellStart"/>
      <w:r w:rsidRPr="00A37749">
        <w:rPr>
          <w:rFonts w:asciiTheme="majorBidi" w:hAnsiTheme="majorBidi" w:cstheme="majorBidi"/>
          <w:sz w:val="20"/>
          <w:szCs w:val="20"/>
        </w:rPr>
        <w:t>Yunlong</w:t>
      </w:r>
      <w:proofErr w:type="spellEnd"/>
      <w:r w:rsidRPr="00A37749">
        <w:rPr>
          <w:rFonts w:asciiTheme="majorBidi" w:hAnsiTheme="majorBidi" w:cstheme="majorBidi"/>
          <w:sz w:val="20"/>
          <w:szCs w:val="20"/>
        </w:rPr>
        <w:t xml:space="preserve"> C. &amp;</w:t>
      </w:r>
      <w:r w:rsidRPr="00A37749">
        <w:rPr>
          <w:rStyle w:val="apple-converted-space"/>
          <w:rFonts w:asciiTheme="majorBidi" w:hAnsiTheme="majorBidi" w:cstheme="majorBidi"/>
          <w:sz w:val="20"/>
          <w:szCs w:val="20"/>
        </w:rPr>
        <w:t> </w:t>
      </w:r>
      <w:proofErr w:type="spellStart"/>
      <w:r w:rsidRPr="00A37749">
        <w:rPr>
          <w:rFonts w:asciiTheme="majorBidi" w:hAnsiTheme="majorBidi" w:cstheme="majorBidi"/>
          <w:sz w:val="20"/>
          <w:szCs w:val="20"/>
        </w:rPr>
        <w:t>Qiang</w:t>
      </w:r>
      <w:proofErr w:type="spellEnd"/>
      <w:r w:rsidRPr="00A37749">
        <w:rPr>
          <w:rFonts w:asciiTheme="majorBidi" w:hAnsiTheme="majorBidi" w:cstheme="majorBidi"/>
          <w:sz w:val="20"/>
          <w:szCs w:val="20"/>
        </w:rPr>
        <w:t xml:space="preserve"> L.: Clinical significance of lymph node metastasis in patients undergoing partial </w:t>
      </w:r>
      <w:proofErr w:type="spellStart"/>
      <w:r w:rsidRPr="00A37749">
        <w:rPr>
          <w:rFonts w:asciiTheme="majorBidi" w:hAnsiTheme="majorBidi" w:cstheme="majorBidi"/>
          <w:sz w:val="20"/>
          <w:szCs w:val="20"/>
        </w:rPr>
        <w:t>hepatectomy</w:t>
      </w:r>
      <w:proofErr w:type="spellEnd"/>
      <w:r w:rsidRPr="00A37749">
        <w:rPr>
          <w:rFonts w:asciiTheme="majorBidi" w:hAnsiTheme="majorBidi" w:cstheme="majorBidi"/>
          <w:sz w:val="20"/>
          <w:szCs w:val="20"/>
        </w:rPr>
        <w:t xml:space="preserve"> for hepatocellular carcinoma. World J </w:t>
      </w:r>
      <w:proofErr w:type="spellStart"/>
      <w:r w:rsidRPr="00A37749">
        <w:rPr>
          <w:rFonts w:asciiTheme="majorBidi" w:hAnsiTheme="majorBidi" w:cstheme="majorBidi"/>
          <w:sz w:val="20"/>
          <w:szCs w:val="20"/>
        </w:rPr>
        <w:t>Surg</w:t>
      </w:r>
      <w:proofErr w:type="spellEnd"/>
      <w:r w:rsidRPr="00A37749">
        <w:rPr>
          <w:rFonts w:asciiTheme="majorBidi" w:hAnsiTheme="majorBidi" w:cstheme="majorBidi"/>
          <w:sz w:val="20"/>
          <w:szCs w:val="20"/>
        </w:rPr>
        <w:t>, 2010; 34(5): 1028–33.</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 xml:space="preserve">Kaczynski J.; Hansson G. &amp;Wallerstedt S.: Metastases in cases with hepatocellular carcinoma in relation to </w:t>
      </w:r>
      <w:proofErr w:type="spellStart"/>
      <w:r w:rsidRPr="00A37749">
        <w:rPr>
          <w:rFonts w:asciiTheme="majorBidi" w:hAnsiTheme="majorBidi" w:cstheme="majorBidi"/>
          <w:sz w:val="20"/>
          <w:szCs w:val="20"/>
        </w:rPr>
        <w:t>clinicopathologic</w:t>
      </w:r>
      <w:proofErr w:type="spellEnd"/>
      <w:r w:rsidRPr="00A37749">
        <w:rPr>
          <w:rFonts w:asciiTheme="majorBidi" w:hAnsiTheme="majorBidi" w:cstheme="majorBidi"/>
          <w:sz w:val="20"/>
          <w:szCs w:val="20"/>
        </w:rPr>
        <w:t xml:space="preserve"> features of the </w:t>
      </w:r>
      <w:proofErr w:type="spellStart"/>
      <w:r w:rsidRPr="00A37749">
        <w:rPr>
          <w:rFonts w:asciiTheme="majorBidi" w:hAnsiTheme="majorBidi" w:cstheme="majorBidi"/>
          <w:sz w:val="20"/>
          <w:szCs w:val="20"/>
        </w:rPr>
        <w:t>tumour</w:t>
      </w:r>
      <w:proofErr w:type="spellEnd"/>
      <w:r w:rsidRPr="00A37749">
        <w:rPr>
          <w:rFonts w:asciiTheme="majorBidi" w:hAnsiTheme="majorBidi" w:cstheme="majorBidi"/>
          <w:sz w:val="20"/>
          <w:szCs w:val="20"/>
        </w:rPr>
        <w:t xml:space="preserve">: an autopsy study from a low endemic area. </w:t>
      </w:r>
      <w:proofErr w:type="spellStart"/>
      <w:r w:rsidRPr="00A37749">
        <w:rPr>
          <w:rFonts w:asciiTheme="majorBidi" w:hAnsiTheme="majorBidi" w:cstheme="majorBidi"/>
          <w:sz w:val="20"/>
          <w:szCs w:val="20"/>
        </w:rPr>
        <w:t>ActaOncol</w:t>
      </w:r>
      <w:proofErr w:type="spellEnd"/>
      <w:r w:rsidRPr="00A37749">
        <w:rPr>
          <w:rFonts w:asciiTheme="majorBidi" w:hAnsiTheme="majorBidi" w:cstheme="majorBidi"/>
          <w:sz w:val="20"/>
          <w:szCs w:val="20"/>
        </w:rPr>
        <w:t>, 1995; 34: 43–8</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A37749">
        <w:rPr>
          <w:rStyle w:val="apple-style-span"/>
          <w:rFonts w:asciiTheme="majorBidi" w:hAnsiTheme="majorBidi" w:cstheme="majorBidi"/>
          <w:sz w:val="20"/>
          <w:szCs w:val="20"/>
        </w:rPr>
        <w:t xml:space="preserve">Nakashima T.; Okuda K.; </w:t>
      </w:r>
      <w:proofErr w:type="spellStart"/>
      <w:r w:rsidRPr="00A37749">
        <w:rPr>
          <w:rStyle w:val="apple-style-span"/>
          <w:rFonts w:asciiTheme="majorBidi" w:hAnsiTheme="majorBidi" w:cstheme="majorBidi"/>
          <w:sz w:val="20"/>
          <w:szCs w:val="20"/>
        </w:rPr>
        <w:t>Kojiro</w:t>
      </w:r>
      <w:proofErr w:type="spellEnd"/>
      <w:r w:rsidRPr="00A37749">
        <w:rPr>
          <w:rStyle w:val="apple-style-span"/>
          <w:rFonts w:asciiTheme="majorBidi" w:hAnsiTheme="majorBidi" w:cstheme="majorBidi"/>
          <w:sz w:val="20"/>
          <w:szCs w:val="20"/>
        </w:rPr>
        <w:t xml:space="preserve"> M.; Jimi A.; Yamaguchi R.; Sakamoto K.; </w:t>
      </w:r>
      <w:r w:rsidR="00B67BF8" w:rsidRPr="00A37749">
        <w:rPr>
          <w:rFonts w:asciiTheme="majorBidi" w:hAnsiTheme="majorBidi" w:cstheme="majorBidi"/>
          <w:i/>
          <w:iCs/>
          <w:sz w:val="20"/>
          <w:szCs w:val="20"/>
        </w:rPr>
        <w:t>et al.</w:t>
      </w:r>
      <w:r w:rsidRPr="00A37749">
        <w:rPr>
          <w:rStyle w:val="apple-style-span"/>
          <w:rFonts w:asciiTheme="majorBidi" w:hAnsiTheme="majorBidi" w:cstheme="majorBidi"/>
          <w:sz w:val="20"/>
          <w:szCs w:val="20"/>
        </w:rPr>
        <w:t>: Pathology of hepatocellular carcinoma in Japan. 232 Consecutivecasesautopsiedintenyears.</w:t>
      </w:r>
      <w:r w:rsidRPr="00A37749">
        <w:rPr>
          <w:rStyle w:val="apple-converted-space"/>
          <w:rFonts w:asciiTheme="majorBidi" w:hAnsiTheme="majorBidi" w:cstheme="majorBidi"/>
          <w:sz w:val="20"/>
          <w:szCs w:val="20"/>
        </w:rPr>
        <w:t> </w:t>
      </w:r>
      <w:r w:rsidRPr="00A37749">
        <w:rPr>
          <w:rStyle w:val="ref-journal"/>
          <w:rFonts w:asciiTheme="majorBidi" w:hAnsiTheme="majorBidi" w:cstheme="majorBidi"/>
          <w:sz w:val="20"/>
          <w:szCs w:val="20"/>
        </w:rPr>
        <w:t>Cancer,</w:t>
      </w:r>
      <w:r w:rsidRPr="00A37749">
        <w:rPr>
          <w:rStyle w:val="apple-converted-space"/>
          <w:rFonts w:asciiTheme="majorBidi" w:hAnsiTheme="majorBidi" w:cstheme="majorBidi"/>
          <w:sz w:val="20"/>
          <w:szCs w:val="20"/>
        </w:rPr>
        <w:t> </w:t>
      </w:r>
      <w:r w:rsidRPr="00A37749">
        <w:rPr>
          <w:rStyle w:val="apple-style-span"/>
          <w:rFonts w:asciiTheme="majorBidi" w:hAnsiTheme="majorBidi" w:cstheme="majorBidi"/>
          <w:sz w:val="20"/>
          <w:szCs w:val="20"/>
        </w:rPr>
        <w:t xml:space="preserve">1983; </w:t>
      </w:r>
      <w:r w:rsidRPr="00A37749">
        <w:rPr>
          <w:rStyle w:val="ref-vol"/>
          <w:rFonts w:asciiTheme="majorBidi" w:hAnsiTheme="majorBidi" w:cstheme="majorBidi"/>
          <w:sz w:val="20"/>
          <w:szCs w:val="20"/>
        </w:rPr>
        <w:t>51</w:t>
      </w:r>
      <w:r w:rsidRPr="00A37749">
        <w:rPr>
          <w:rStyle w:val="apple-style-span"/>
          <w:rFonts w:asciiTheme="majorBidi" w:hAnsiTheme="majorBidi" w:cstheme="majorBidi"/>
          <w:sz w:val="20"/>
          <w:szCs w:val="20"/>
        </w:rPr>
        <w:t>: 863–77.</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 xml:space="preserve">Park YJ.; Lim DH.; Paik SW.; </w:t>
      </w:r>
      <w:proofErr w:type="spellStart"/>
      <w:r w:rsidRPr="00A37749">
        <w:rPr>
          <w:rStyle w:val="apple-style-span"/>
          <w:rFonts w:asciiTheme="majorBidi" w:hAnsiTheme="majorBidi" w:cstheme="majorBidi"/>
          <w:sz w:val="20"/>
          <w:szCs w:val="20"/>
        </w:rPr>
        <w:t>Koh</w:t>
      </w:r>
      <w:proofErr w:type="spellEnd"/>
      <w:r w:rsidRPr="00A37749">
        <w:rPr>
          <w:rStyle w:val="apple-style-span"/>
          <w:rFonts w:asciiTheme="majorBidi" w:hAnsiTheme="majorBidi" w:cstheme="majorBidi"/>
          <w:sz w:val="20"/>
          <w:szCs w:val="20"/>
        </w:rPr>
        <w:t xml:space="preserve"> KC.; Lee JH.; Choi MS.;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Radiation therapy for abdominal lymph node metastasis from hepatocellular carcinoma. J </w:t>
      </w:r>
      <w:proofErr w:type="spellStart"/>
      <w:r w:rsidRPr="00A37749">
        <w:rPr>
          <w:rFonts w:asciiTheme="majorBidi" w:hAnsiTheme="majorBidi" w:cstheme="majorBidi"/>
          <w:sz w:val="20"/>
          <w:szCs w:val="20"/>
        </w:rPr>
        <w:t>Gastroenterol</w:t>
      </w:r>
      <w:proofErr w:type="spellEnd"/>
      <w:r w:rsidRPr="00A37749">
        <w:rPr>
          <w:rFonts w:asciiTheme="majorBidi" w:hAnsiTheme="majorBidi" w:cstheme="majorBidi"/>
          <w:sz w:val="20"/>
          <w:szCs w:val="20"/>
        </w:rPr>
        <w:t>, 2006; 41: 1099–106.</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Schwartz JD. &amp;</w:t>
      </w:r>
      <w:proofErr w:type="spellStart"/>
      <w:r w:rsidRPr="00A37749">
        <w:rPr>
          <w:rFonts w:asciiTheme="majorBidi" w:hAnsiTheme="majorBidi" w:cstheme="majorBidi"/>
          <w:sz w:val="20"/>
          <w:szCs w:val="20"/>
        </w:rPr>
        <w:t>Beutler</w:t>
      </w:r>
      <w:proofErr w:type="spellEnd"/>
      <w:r w:rsidRPr="00A37749">
        <w:rPr>
          <w:rFonts w:asciiTheme="majorBidi" w:hAnsiTheme="majorBidi" w:cstheme="majorBidi"/>
          <w:sz w:val="20"/>
          <w:szCs w:val="20"/>
        </w:rPr>
        <w:t xml:space="preserve"> AS.: Therapy for unresectable hepatocellular carcinoma: review of the randomized clinical trials-II: systemic and local non-embolization-based therapies in unresectable and advanced hepatocellular carcinoma. Anticancer Drugs, 2004; 15(5): 439–52.</w:t>
      </w:r>
    </w:p>
    <w:p w:rsidR="00EA5D64" w:rsidRPr="00A37749" w:rsidRDefault="00EA5D64" w:rsidP="00E924F4">
      <w:pPr>
        <w:pStyle w:val="ListParagraph"/>
        <w:numPr>
          <w:ilvl w:val="0"/>
          <w:numId w:val="1"/>
        </w:numPr>
        <w:spacing w:after="0" w:line="240" w:lineRule="auto"/>
        <w:ind w:left="360"/>
        <w:jc w:val="both"/>
        <w:textAlignment w:val="baseline"/>
        <w:rPr>
          <w:rFonts w:asciiTheme="majorBidi" w:hAnsiTheme="majorBidi" w:cstheme="majorBidi"/>
          <w:sz w:val="20"/>
          <w:szCs w:val="20"/>
        </w:rPr>
      </w:pPr>
      <w:r w:rsidRPr="00A37749">
        <w:rPr>
          <w:rFonts w:asciiTheme="majorBidi" w:hAnsiTheme="majorBidi" w:cstheme="majorBidi"/>
          <w:sz w:val="20"/>
          <w:szCs w:val="20"/>
        </w:rPr>
        <w:t xml:space="preserve">Edge SB.; Byrd DR.; Compton CC.; </w:t>
      </w:r>
      <w:r w:rsidRPr="00A37749">
        <w:rPr>
          <w:rFonts w:asciiTheme="majorBidi" w:eastAsia="Times New Roman" w:hAnsiTheme="majorBidi" w:cstheme="majorBidi"/>
          <w:sz w:val="20"/>
          <w:szCs w:val="20"/>
        </w:rPr>
        <w:t>Fritz AG.; Greene FL. &amp; </w:t>
      </w:r>
      <w:proofErr w:type="spellStart"/>
      <w:r w:rsidRPr="00A37749">
        <w:rPr>
          <w:rFonts w:asciiTheme="majorBidi" w:eastAsia="Times New Roman" w:hAnsiTheme="majorBidi" w:cstheme="majorBidi"/>
          <w:sz w:val="20"/>
          <w:szCs w:val="20"/>
        </w:rPr>
        <w:t>Trotti</w:t>
      </w:r>
      <w:proofErr w:type="spellEnd"/>
      <w:r w:rsidRPr="00A37749">
        <w:rPr>
          <w:rFonts w:asciiTheme="majorBidi" w:eastAsia="Times New Roman" w:hAnsiTheme="majorBidi" w:cstheme="majorBidi"/>
          <w:sz w:val="20"/>
          <w:szCs w:val="20"/>
        </w:rPr>
        <w:t xml:space="preserve"> A.</w:t>
      </w:r>
      <w:r w:rsidRPr="00A37749">
        <w:rPr>
          <w:rFonts w:asciiTheme="majorBidi" w:hAnsiTheme="majorBidi" w:cstheme="majorBidi"/>
          <w:sz w:val="20"/>
          <w:szCs w:val="20"/>
        </w:rPr>
        <w:t>: AJCC Cancer Staging Manual, 7</w:t>
      </w:r>
      <w:r w:rsidRPr="00A37749">
        <w:rPr>
          <w:rFonts w:asciiTheme="majorBidi" w:hAnsiTheme="majorBidi" w:cstheme="majorBidi"/>
          <w:sz w:val="20"/>
          <w:szCs w:val="20"/>
          <w:vertAlign w:val="superscript"/>
        </w:rPr>
        <w:t xml:space="preserve">th </w:t>
      </w:r>
      <w:r w:rsidRPr="00A37749">
        <w:rPr>
          <w:rFonts w:asciiTheme="majorBidi" w:hAnsiTheme="majorBidi" w:cstheme="majorBidi"/>
          <w:sz w:val="20"/>
          <w:szCs w:val="20"/>
        </w:rPr>
        <w:t>edition. Springer, New York. 2010.</w:t>
      </w:r>
    </w:p>
    <w:p w:rsidR="00EA5D64" w:rsidRPr="00A37749"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El-</w:t>
      </w:r>
      <w:proofErr w:type="spellStart"/>
      <w:r w:rsidRPr="00A37749">
        <w:rPr>
          <w:rFonts w:asciiTheme="majorBidi" w:hAnsiTheme="majorBidi" w:cstheme="majorBidi"/>
          <w:sz w:val="20"/>
          <w:szCs w:val="20"/>
        </w:rPr>
        <w:t>SeragHB</w:t>
      </w:r>
      <w:proofErr w:type="spellEnd"/>
      <w:r w:rsidRPr="00A37749">
        <w:rPr>
          <w:rFonts w:asciiTheme="majorBidi" w:hAnsiTheme="majorBidi" w:cstheme="majorBidi"/>
          <w:sz w:val="20"/>
          <w:szCs w:val="20"/>
        </w:rPr>
        <w:t xml:space="preserve">.: Hepatocellular carcinoma. N </w:t>
      </w:r>
      <w:proofErr w:type="spellStart"/>
      <w:r w:rsidRPr="00A37749">
        <w:rPr>
          <w:rFonts w:asciiTheme="majorBidi" w:hAnsiTheme="majorBidi" w:cstheme="majorBidi"/>
          <w:sz w:val="20"/>
          <w:szCs w:val="20"/>
        </w:rPr>
        <w:t>Engl</w:t>
      </w:r>
      <w:proofErr w:type="spellEnd"/>
      <w:r w:rsidRPr="00A37749">
        <w:rPr>
          <w:rFonts w:asciiTheme="majorBidi" w:hAnsiTheme="majorBidi" w:cstheme="majorBidi"/>
          <w:sz w:val="20"/>
          <w:szCs w:val="20"/>
        </w:rPr>
        <w:t xml:space="preserve"> J Med, 2011; 365(12): 1118–27.</w:t>
      </w:r>
    </w:p>
    <w:p w:rsidR="00EA5D64" w:rsidRPr="00A37749" w:rsidRDefault="00EA5D64" w:rsidP="00E924F4">
      <w:pPr>
        <w:pStyle w:val="ListParagraph"/>
        <w:numPr>
          <w:ilvl w:val="0"/>
          <w:numId w:val="1"/>
        </w:numPr>
        <w:autoSpaceDE w:val="0"/>
        <w:autoSpaceDN w:val="0"/>
        <w:adjustRightInd w:val="0"/>
        <w:spacing w:after="0" w:line="240" w:lineRule="auto"/>
        <w:ind w:left="360"/>
        <w:jc w:val="lowKashida"/>
        <w:rPr>
          <w:rFonts w:asciiTheme="majorBidi" w:eastAsia="MS Mincho" w:hAnsiTheme="majorBidi" w:cstheme="majorBidi"/>
          <w:sz w:val="20"/>
          <w:szCs w:val="20"/>
          <w:lang w:eastAsia="ja-JP"/>
        </w:rPr>
      </w:pPr>
      <w:r w:rsidRPr="00A37749">
        <w:rPr>
          <w:rStyle w:val="citationjournal"/>
          <w:rFonts w:asciiTheme="majorBidi" w:hAnsiTheme="majorBidi" w:cstheme="majorBidi"/>
          <w:sz w:val="20"/>
          <w:szCs w:val="20"/>
        </w:rPr>
        <w:t xml:space="preserve">Pugh RN.; Murray-Lyon IM.; Dawson JL.; </w:t>
      </w:r>
      <w:proofErr w:type="spellStart"/>
      <w:r w:rsidRPr="00A37749">
        <w:rPr>
          <w:rFonts w:asciiTheme="majorBidi" w:hAnsiTheme="majorBidi" w:cstheme="majorBidi"/>
          <w:sz w:val="20"/>
          <w:szCs w:val="20"/>
        </w:rPr>
        <w:t>Pietroni</w:t>
      </w:r>
      <w:proofErr w:type="spellEnd"/>
      <w:r w:rsidRPr="00A37749">
        <w:rPr>
          <w:rFonts w:asciiTheme="majorBidi" w:hAnsiTheme="majorBidi" w:cstheme="majorBidi"/>
          <w:sz w:val="20"/>
          <w:szCs w:val="20"/>
        </w:rPr>
        <w:t xml:space="preserve"> MC. &amp;</w:t>
      </w:r>
      <w:r w:rsidRPr="00A37749">
        <w:rPr>
          <w:rStyle w:val="apple-converted-space"/>
          <w:rFonts w:asciiTheme="majorBidi" w:hAnsiTheme="majorBidi" w:cstheme="majorBidi"/>
          <w:sz w:val="20"/>
          <w:szCs w:val="20"/>
        </w:rPr>
        <w:t> </w:t>
      </w:r>
      <w:r w:rsidRPr="00A37749">
        <w:rPr>
          <w:rFonts w:asciiTheme="majorBidi" w:hAnsiTheme="majorBidi" w:cstheme="majorBidi"/>
          <w:sz w:val="20"/>
          <w:szCs w:val="20"/>
        </w:rPr>
        <w:t>Williams R.</w:t>
      </w:r>
      <w:r w:rsidRPr="00A37749">
        <w:rPr>
          <w:rStyle w:val="citationjournal"/>
          <w:rFonts w:asciiTheme="majorBidi" w:hAnsiTheme="majorBidi" w:cstheme="majorBidi"/>
          <w:sz w:val="20"/>
          <w:szCs w:val="20"/>
        </w:rPr>
        <w:t xml:space="preserve">: Transection of the </w:t>
      </w:r>
      <w:proofErr w:type="spellStart"/>
      <w:r w:rsidRPr="00A37749">
        <w:rPr>
          <w:rStyle w:val="citationjournal"/>
          <w:rFonts w:asciiTheme="majorBidi" w:hAnsiTheme="majorBidi" w:cstheme="majorBidi"/>
          <w:sz w:val="20"/>
          <w:szCs w:val="20"/>
        </w:rPr>
        <w:t>oesophagus</w:t>
      </w:r>
      <w:proofErr w:type="spellEnd"/>
      <w:r w:rsidRPr="00A37749">
        <w:rPr>
          <w:rStyle w:val="citationjournal"/>
          <w:rFonts w:asciiTheme="majorBidi" w:hAnsiTheme="majorBidi" w:cstheme="majorBidi"/>
          <w:sz w:val="20"/>
          <w:szCs w:val="20"/>
        </w:rPr>
        <w:t xml:space="preserve"> for bleeding </w:t>
      </w:r>
      <w:proofErr w:type="spellStart"/>
      <w:r w:rsidRPr="00A37749">
        <w:rPr>
          <w:rStyle w:val="citationjournal"/>
          <w:rFonts w:asciiTheme="majorBidi" w:hAnsiTheme="majorBidi" w:cstheme="majorBidi"/>
          <w:sz w:val="20"/>
          <w:szCs w:val="20"/>
        </w:rPr>
        <w:t>oesophagealvarices</w:t>
      </w:r>
      <w:proofErr w:type="spellEnd"/>
      <w:r w:rsidRPr="00A37749">
        <w:rPr>
          <w:rStyle w:val="citationjournal"/>
          <w:rFonts w:asciiTheme="majorBidi" w:hAnsiTheme="majorBidi" w:cstheme="majorBidi"/>
          <w:sz w:val="20"/>
          <w:szCs w:val="20"/>
        </w:rPr>
        <w:t xml:space="preserve">. </w:t>
      </w:r>
      <w:r w:rsidRPr="00A37749">
        <w:rPr>
          <w:rFonts w:asciiTheme="majorBidi" w:eastAsia="MS Mincho" w:hAnsiTheme="majorBidi" w:cstheme="majorBidi"/>
          <w:sz w:val="20"/>
          <w:szCs w:val="20"/>
          <w:lang w:eastAsia="ja-JP"/>
        </w:rPr>
        <w:t xml:space="preserve">Br J </w:t>
      </w:r>
      <w:proofErr w:type="spellStart"/>
      <w:r w:rsidRPr="00A37749">
        <w:rPr>
          <w:rFonts w:asciiTheme="majorBidi" w:eastAsia="MS Mincho" w:hAnsiTheme="majorBidi" w:cstheme="majorBidi"/>
          <w:sz w:val="20"/>
          <w:szCs w:val="20"/>
          <w:lang w:eastAsia="ja-JP"/>
        </w:rPr>
        <w:t>Surg</w:t>
      </w:r>
      <w:proofErr w:type="spellEnd"/>
      <w:r w:rsidRPr="00A37749">
        <w:rPr>
          <w:rFonts w:asciiTheme="majorBidi" w:eastAsia="MS Mincho" w:hAnsiTheme="majorBidi" w:cstheme="majorBidi"/>
          <w:sz w:val="20"/>
          <w:szCs w:val="20"/>
          <w:lang w:eastAsia="ja-JP"/>
        </w:rPr>
        <w:t>, 1973;</w:t>
      </w:r>
      <w:r w:rsidRPr="00A37749">
        <w:rPr>
          <w:rStyle w:val="citationjournal"/>
          <w:rFonts w:asciiTheme="majorBidi" w:hAnsiTheme="majorBidi" w:cstheme="majorBidi"/>
          <w:sz w:val="20"/>
          <w:szCs w:val="20"/>
        </w:rPr>
        <w:t xml:space="preserve"> 60(8): 646–9</w:t>
      </w:r>
      <w:r w:rsidR="00EB159C" w:rsidRPr="00A37749">
        <w:rPr>
          <w:rStyle w:val="citationjournal"/>
          <w:rFonts w:asciiTheme="majorBidi" w:hAnsiTheme="majorBidi" w:cstheme="majorBidi"/>
          <w:sz w:val="20"/>
          <w:szCs w:val="20"/>
        </w:rPr>
        <w:t>.</w:t>
      </w:r>
    </w:p>
    <w:p w:rsidR="00EA5D64" w:rsidRPr="00A37749" w:rsidRDefault="00EA5D64" w:rsidP="00E924F4">
      <w:pPr>
        <w:pStyle w:val="ListParagraph"/>
        <w:numPr>
          <w:ilvl w:val="0"/>
          <w:numId w:val="1"/>
        </w:numPr>
        <w:autoSpaceDE w:val="0"/>
        <w:autoSpaceDN w:val="0"/>
        <w:adjustRightInd w:val="0"/>
        <w:spacing w:after="0" w:line="240" w:lineRule="auto"/>
        <w:ind w:left="360"/>
        <w:jc w:val="lowKashida"/>
        <w:rPr>
          <w:rFonts w:asciiTheme="majorBidi" w:eastAsia="MS Mincho" w:hAnsiTheme="majorBidi" w:cstheme="majorBidi"/>
          <w:sz w:val="20"/>
          <w:szCs w:val="20"/>
          <w:lang w:eastAsia="ja-JP"/>
        </w:rPr>
      </w:pPr>
      <w:r w:rsidRPr="00A37749">
        <w:rPr>
          <w:rFonts w:asciiTheme="majorBidi" w:hAnsiTheme="majorBidi" w:cstheme="majorBidi"/>
          <w:sz w:val="20"/>
          <w:szCs w:val="20"/>
        </w:rPr>
        <w:t xml:space="preserve">The Cancer of the Liver Italian Program (CLIP) investigation: Prospective </w:t>
      </w:r>
      <w:proofErr w:type="gramStart"/>
      <w:r w:rsidRPr="00A37749">
        <w:rPr>
          <w:rFonts w:asciiTheme="majorBidi" w:hAnsiTheme="majorBidi" w:cstheme="majorBidi"/>
          <w:sz w:val="20"/>
          <w:szCs w:val="20"/>
        </w:rPr>
        <w:t>validation of the CLIP score</w:t>
      </w:r>
      <w:proofErr w:type="gramEnd"/>
      <w:r w:rsidRPr="00A37749">
        <w:rPr>
          <w:rFonts w:asciiTheme="majorBidi" w:hAnsiTheme="majorBidi" w:cstheme="majorBidi"/>
          <w:sz w:val="20"/>
          <w:szCs w:val="20"/>
        </w:rPr>
        <w:t xml:space="preserve">: A new prognostic system for patients with cirrhosis and Hepatocellular carcinoma. </w:t>
      </w:r>
      <w:proofErr w:type="spellStart"/>
      <w:r w:rsidRPr="00A37749">
        <w:rPr>
          <w:rFonts w:asciiTheme="majorBidi" w:hAnsiTheme="majorBidi" w:cstheme="majorBidi"/>
          <w:sz w:val="20"/>
          <w:szCs w:val="20"/>
        </w:rPr>
        <w:t>Hepatology</w:t>
      </w:r>
      <w:proofErr w:type="spellEnd"/>
      <w:r w:rsidRPr="00A37749">
        <w:rPr>
          <w:rFonts w:asciiTheme="majorBidi" w:hAnsiTheme="majorBidi" w:cstheme="majorBidi"/>
          <w:sz w:val="20"/>
          <w:szCs w:val="20"/>
        </w:rPr>
        <w:t>, 2000; 31: 840-5</w:t>
      </w:r>
      <w:r w:rsidR="00EB159C" w:rsidRPr="00A37749">
        <w:rPr>
          <w:rFonts w:asciiTheme="majorBidi" w:hAnsiTheme="majorBidi" w:cstheme="majorBidi"/>
          <w:sz w:val="20"/>
          <w:szCs w:val="20"/>
        </w:rPr>
        <w:t>.</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lastRenderedPageBreak/>
        <w:t xml:space="preserve">Chan KM.; Yu MC.; Wu TJ.; Lee CF.; Chen TC.; Lee WC.;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Efficacy of surgical resection in management of isolated extrahepatic metastases of hepatocellular carcinoma. World J </w:t>
      </w:r>
      <w:proofErr w:type="spellStart"/>
      <w:r w:rsidRPr="00A37749">
        <w:rPr>
          <w:rFonts w:asciiTheme="majorBidi" w:hAnsiTheme="majorBidi" w:cstheme="majorBidi"/>
          <w:sz w:val="20"/>
          <w:szCs w:val="20"/>
        </w:rPr>
        <w:t>Gastroenterol</w:t>
      </w:r>
      <w:proofErr w:type="spellEnd"/>
      <w:r w:rsidRPr="00A37749">
        <w:rPr>
          <w:rFonts w:asciiTheme="majorBidi" w:hAnsiTheme="majorBidi" w:cstheme="majorBidi"/>
          <w:sz w:val="20"/>
          <w:szCs w:val="20"/>
        </w:rPr>
        <w:t>, 2009; 15(43): 5481–8.</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proofErr w:type="spellStart"/>
      <w:r w:rsidRPr="00A37749">
        <w:rPr>
          <w:rFonts w:asciiTheme="majorBidi" w:hAnsiTheme="majorBidi" w:cstheme="majorBidi"/>
          <w:sz w:val="20"/>
          <w:szCs w:val="20"/>
        </w:rPr>
        <w:t>Taketomi</w:t>
      </w:r>
      <w:proofErr w:type="spellEnd"/>
      <w:r w:rsidRPr="00A37749">
        <w:rPr>
          <w:rFonts w:asciiTheme="majorBidi" w:hAnsiTheme="majorBidi" w:cstheme="majorBidi"/>
          <w:sz w:val="20"/>
          <w:szCs w:val="20"/>
        </w:rPr>
        <w:t xml:space="preserve"> A.; Toshima T.; Kitagawa D.; </w:t>
      </w:r>
      <w:proofErr w:type="spellStart"/>
      <w:r w:rsidRPr="00A37749">
        <w:rPr>
          <w:rStyle w:val="apple-style-span"/>
          <w:rFonts w:asciiTheme="majorBidi" w:hAnsiTheme="majorBidi" w:cstheme="majorBidi"/>
          <w:sz w:val="20"/>
          <w:szCs w:val="20"/>
        </w:rPr>
        <w:t>Motomura</w:t>
      </w:r>
      <w:proofErr w:type="spellEnd"/>
      <w:r w:rsidRPr="00A37749">
        <w:rPr>
          <w:rStyle w:val="apple-style-span"/>
          <w:rFonts w:asciiTheme="majorBidi" w:hAnsiTheme="majorBidi" w:cstheme="majorBidi"/>
          <w:sz w:val="20"/>
          <w:szCs w:val="20"/>
        </w:rPr>
        <w:t xml:space="preserve"> T.; Takeishi K.; Mano Y.;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Predictors of extrahepatic recurrence after curative </w:t>
      </w:r>
      <w:proofErr w:type="spellStart"/>
      <w:r w:rsidRPr="00A37749">
        <w:rPr>
          <w:rFonts w:asciiTheme="majorBidi" w:hAnsiTheme="majorBidi" w:cstheme="majorBidi"/>
          <w:sz w:val="20"/>
          <w:szCs w:val="20"/>
        </w:rPr>
        <w:t>hepatectomy</w:t>
      </w:r>
      <w:proofErr w:type="spellEnd"/>
      <w:r w:rsidRPr="00A37749">
        <w:rPr>
          <w:rFonts w:asciiTheme="majorBidi" w:hAnsiTheme="majorBidi" w:cstheme="majorBidi"/>
          <w:sz w:val="20"/>
          <w:szCs w:val="20"/>
        </w:rPr>
        <w:t xml:space="preserve"> for hepatocellular carcinoma. Ann </w:t>
      </w:r>
      <w:proofErr w:type="spellStart"/>
      <w:r w:rsidRPr="00A37749">
        <w:rPr>
          <w:rFonts w:asciiTheme="majorBidi" w:hAnsiTheme="majorBidi" w:cstheme="majorBidi"/>
          <w:sz w:val="20"/>
          <w:szCs w:val="20"/>
        </w:rPr>
        <w:t>SurgOncol</w:t>
      </w:r>
      <w:proofErr w:type="spellEnd"/>
      <w:r w:rsidRPr="00A37749">
        <w:rPr>
          <w:rFonts w:asciiTheme="majorBidi" w:hAnsiTheme="majorBidi" w:cstheme="majorBidi"/>
          <w:sz w:val="20"/>
          <w:szCs w:val="20"/>
        </w:rPr>
        <w:t>, 2010; 17: 2740–6.</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Moron FE. &amp;</w:t>
      </w:r>
      <w:proofErr w:type="spellStart"/>
      <w:r w:rsidRPr="00A37749">
        <w:rPr>
          <w:rFonts w:asciiTheme="majorBidi" w:hAnsiTheme="majorBidi" w:cstheme="majorBidi"/>
          <w:sz w:val="20"/>
          <w:szCs w:val="20"/>
        </w:rPr>
        <w:t>Szklaruk</w:t>
      </w:r>
      <w:proofErr w:type="spellEnd"/>
      <w:r w:rsidRPr="00A37749">
        <w:rPr>
          <w:rFonts w:asciiTheme="majorBidi" w:hAnsiTheme="majorBidi" w:cstheme="majorBidi"/>
          <w:sz w:val="20"/>
          <w:szCs w:val="20"/>
        </w:rPr>
        <w:t xml:space="preserve"> J.: Learning the nodal stations in the abdomen. The British Journal of Radiology, 2007; 80: 841–8.</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Dodd GD.; Baron RL.; Oliver JH.</w:t>
      </w:r>
      <w:proofErr w:type="gramStart"/>
      <w:r w:rsidRPr="00A37749">
        <w:rPr>
          <w:rFonts w:asciiTheme="majorBidi" w:hAnsiTheme="majorBidi" w:cstheme="majorBidi"/>
          <w:sz w:val="20"/>
          <w:szCs w:val="20"/>
        </w:rPr>
        <w:t>;</w:t>
      </w:r>
      <w:proofErr w:type="spellStart"/>
      <w:r w:rsidRPr="00A37749">
        <w:rPr>
          <w:rFonts w:asciiTheme="majorBidi" w:hAnsiTheme="majorBidi" w:cstheme="majorBidi"/>
          <w:sz w:val="20"/>
          <w:szCs w:val="20"/>
        </w:rPr>
        <w:t>Federle</w:t>
      </w:r>
      <w:proofErr w:type="spellEnd"/>
      <w:proofErr w:type="gramEnd"/>
      <w:r w:rsidRPr="00A37749">
        <w:rPr>
          <w:rFonts w:asciiTheme="majorBidi" w:hAnsiTheme="majorBidi" w:cstheme="majorBidi"/>
          <w:sz w:val="20"/>
          <w:szCs w:val="20"/>
        </w:rPr>
        <w:t xml:space="preserve"> MP. &amp;</w:t>
      </w:r>
      <w:r w:rsidRPr="00A37749">
        <w:rPr>
          <w:rStyle w:val="apple-converted-space"/>
          <w:rFonts w:asciiTheme="majorBidi" w:hAnsiTheme="majorBidi" w:cstheme="majorBidi"/>
          <w:sz w:val="20"/>
          <w:szCs w:val="20"/>
        </w:rPr>
        <w:t> </w:t>
      </w:r>
      <w:proofErr w:type="spellStart"/>
      <w:proofErr w:type="gramStart"/>
      <w:r w:rsidRPr="00A37749">
        <w:rPr>
          <w:rFonts w:asciiTheme="majorBidi" w:hAnsiTheme="majorBidi" w:cstheme="majorBidi"/>
          <w:sz w:val="20"/>
          <w:szCs w:val="20"/>
        </w:rPr>
        <w:t>BaumgartelPB</w:t>
      </w:r>
      <w:proofErr w:type="spellEnd"/>
      <w:r w:rsidRPr="00A37749">
        <w:rPr>
          <w:rFonts w:asciiTheme="majorBidi" w:hAnsiTheme="majorBidi" w:cstheme="majorBidi"/>
          <w:sz w:val="20"/>
          <w:szCs w:val="20"/>
        </w:rPr>
        <w:t>.:</w:t>
      </w:r>
      <w:proofErr w:type="gramEnd"/>
      <w:r w:rsidRPr="00A37749">
        <w:rPr>
          <w:rFonts w:asciiTheme="majorBidi" w:hAnsiTheme="majorBidi" w:cstheme="majorBidi"/>
          <w:sz w:val="20"/>
          <w:szCs w:val="20"/>
        </w:rPr>
        <w:t xml:space="preserve"> Enlarged abdominal lymph nodes in end-stage cirrhosis: CT-histopathologic correlation in 507 patients. Radiology, 1997; 203(1): 127–130.</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proofErr w:type="spellStart"/>
      <w:r w:rsidRPr="00A37749">
        <w:rPr>
          <w:rFonts w:asciiTheme="majorBidi" w:hAnsiTheme="majorBidi" w:cstheme="majorBidi"/>
          <w:sz w:val="20"/>
          <w:szCs w:val="20"/>
        </w:rPr>
        <w:t>Ochiai</w:t>
      </w:r>
      <w:proofErr w:type="spellEnd"/>
      <w:r w:rsidRPr="00A37749">
        <w:rPr>
          <w:rFonts w:asciiTheme="majorBidi" w:hAnsiTheme="majorBidi" w:cstheme="majorBidi"/>
          <w:sz w:val="20"/>
          <w:szCs w:val="20"/>
        </w:rPr>
        <w:t xml:space="preserve"> T.; </w:t>
      </w:r>
      <w:proofErr w:type="spellStart"/>
      <w:r w:rsidRPr="00A37749">
        <w:rPr>
          <w:rFonts w:asciiTheme="majorBidi" w:hAnsiTheme="majorBidi" w:cstheme="majorBidi"/>
          <w:sz w:val="20"/>
          <w:szCs w:val="20"/>
        </w:rPr>
        <w:t>Ikoma</w:t>
      </w:r>
      <w:proofErr w:type="spellEnd"/>
      <w:r w:rsidRPr="00A37749">
        <w:rPr>
          <w:rFonts w:asciiTheme="majorBidi" w:hAnsiTheme="majorBidi" w:cstheme="majorBidi"/>
          <w:sz w:val="20"/>
          <w:szCs w:val="20"/>
        </w:rPr>
        <w:t xml:space="preserve"> H.; Okamoto K.; </w:t>
      </w:r>
      <w:proofErr w:type="spellStart"/>
      <w:r w:rsidRPr="00A37749">
        <w:rPr>
          <w:rFonts w:asciiTheme="majorBidi" w:hAnsiTheme="majorBidi" w:cstheme="majorBidi"/>
          <w:sz w:val="20"/>
          <w:szCs w:val="20"/>
        </w:rPr>
        <w:t>Kokuba</w:t>
      </w:r>
      <w:proofErr w:type="spellEnd"/>
      <w:r w:rsidRPr="00A37749">
        <w:rPr>
          <w:rFonts w:asciiTheme="majorBidi" w:hAnsiTheme="majorBidi" w:cstheme="majorBidi"/>
          <w:sz w:val="20"/>
          <w:szCs w:val="20"/>
        </w:rPr>
        <w:t xml:space="preserve"> Y.; </w:t>
      </w:r>
      <w:proofErr w:type="spellStart"/>
      <w:r w:rsidRPr="00A37749">
        <w:rPr>
          <w:rFonts w:asciiTheme="majorBidi" w:hAnsiTheme="majorBidi" w:cstheme="majorBidi"/>
          <w:sz w:val="20"/>
          <w:szCs w:val="20"/>
        </w:rPr>
        <w:t>Sonoyama</w:t>
      </w:r>
      <w:proofErr w:type="spellEnd"/>
      <w:r w:rsidRPr="00A37749">
        <w:rPr>
          <w:rFonts w:asciiTheme="majorBidi" w:hAnsiTheme="majorBidi" w:cstheme="majorBidi"/>
          <w:sz w:val="20"/>
          <w:szCs w:val="20"/>
        </w:rPr>
        <w:t xml:space="preserve"> T. &amp;</w:t>
      </w:r>
      <w:proofErr w:type="spellStart"/>
      <w:r w:rsidRPr="00A37749">
        <w:rPr>
          <w:rFonts w:asciiTheme="majorBidi" w:hAnsiTheme="majorBidi" w:cstheme="majorBidi"/>
          <w:sz w:val="20"/>
          <w:szCs w:val="20"/>
        </w:rPr>
        <w:t>Otsuji</w:t>
      </w:r>
      <w:proofErr w:type="spellEnd"/>
      <w:r w:rsidRPr="00A37749">
        <w:rPr>
          <w:rFonts w:asciiTheme="majorBidi" w:hAnsiTheme="majorBidi" w:cstheme="majorBidi"/>
          <w:sz w:val="20"/>
          <w:szCs w:val="20"/>
        </w:rPr>
        <w:t xml:space="preserve"> E.: </w:t>
      </w:r>
      <w:proofErr w:type="spellStart"/>
      <w:r w:rsidRPr="00A37749">
        <w:rPr>
          <w:rFonts w:asciiTheme="majorBidi" w:hAnsiTheme="majorBidi" w:cstheme="majorBidi"/>
          <w:sz w:val="20"/>
          <w:szCs w:val="20"/>
        </w:rPr>
        <w:t>Clinicopathologic</w:t>
      </w:r>
      <w:proofErr w:type="spellEnd"/>
      <w:r w:rsidRPr="00A37749">
        <w:rPr>
          <w:rFonts w:asciiTheme="majorBidi" w:hAnsiTheme="majorBidi" w:cstheme="majorBidi"/>
          <w:sz w:val="20"/>
          <w:szCs w:val="20"/>
        </w:rPr>
        <w:t xml:space="preserve"> features and risk factors for extrahepatic recurrences of hepatocellular carcinoma after curative resection. World J </w:t>
      </w:r>
      <w:proofErr w:type="spellStart"/>
      <w:r w:rsidRPr="00A37749">
        <w:rPr>
          <w:rFonts w:asciiTheme="majorBidi" w:hAnsiTheme="majorBidi" w:cstheme="majorBidi"/>
          <w:sz w:val="20"/>
          <w:szCs w:val="20"/>
        </w:rPr>
        <w:t>Surg</w:t>
      </w:r>
      <w:proofErr w:type="spellEnd"/>
      <w:r w:rsidRPr="00A37749">
        <w:rPr>
          <w:rFonts w:asciiTheme="majorBidi" w:hAnsiTheme="majorBidi" w:cstheme="majorBidi"/>
          <w:sz w:val="20"/>
          <w:szCs w:val="20"/>
        </w:rPr>
        <w:t>, 2012; 36(1): 136–43.</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 xml:space="preserve">Tanaka K.; Shimada H.; Matsuo K.; Takeda K.; Nagano Y.; Togo S.;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Clinical features of hepatocellular carcinoma developing extrahepatic recurrences after curative resection. World J </w:t>
      </w:r>
      <w:proofErr w:type="spellStart"/>
      <w:r w:rsidRPr="00A37749">
        <w:rPr>
          <w:rFonts w:asciiTheme="majorBidi" w:hAnsiTheme="majorBidi" w:cstheme="majorBidi"/>
          <w:sz w:val="20"/>
          <w:szCs w:val="20"/>
        </w:rPr>
        <w:t>Surg</w:t>
      </w:r>
      <w:proofErr w:type="spellEnd"/>
      <w:r w:rsidRPr="00A37749">
        <w:rPr>
          <w:rFonts w:asciiTheme="majorBidi" w:hAnsiTheme="majorBidi" w:cstheme="majorBidi"/>
          <w:sz w:val="20"/>
          <w:szCs w:val="20"/>
        </w:rPr>
        <w:t>, 2008; 32(8): 1738–47.</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 xml:space="preserve">Liver Cancer Study Group of Japan: Primary liver cancer in Japan. </w:t>
      </w:r>
      <w:proofErr w:type="spellStart"/>
      <w:r w:rsidRPr="00A37749">
        <w:rPr>
          <w:rFonts w:asciiTheme="majorBidi" w:hAnsiTheme="majorBidi" w:cstheme="majorBidi"/>
          <w:sz w:val="20"/>
          <w:szCs w:val="20"/>
        </w:rPr>
        <w:t>Clinicopathologic</w:t>
      </w:r>
      <w:proofErr w:type="spellEnd"/>
      <w:r w:rsidRPr="00A37749">
        <w:rPr>
          <w:rFonts w:asciiTheme="majorBidi" w:hAnsiTheme="majorBidi" w:cstheme="majorBidi"/>
          <w:sz w:val="20"/>
          <w:szCs w:val="20"/>
        </w:rPr>
        <w:t xml:space="preserve"> features and results of surgical treatment. Ann </w:t>
      </w:r>
      <w:proofErr w:type="spellStart"/>
      <w:r w:rsidRPr="00A37749">
        <w:rPr>
          <w:rFonts w:asciiTheme="majorBidi" w:hAnsiTheme="majorBidi" w:cstheme="majorBidi"/>
          <w:sz w:val="20"/>
          <w:szCs w:val="20"/>
        </w:rPr>
        <w:t>Surg</w:t>
      </w:r>
      <w:proofErr w:type="spellEnd"/>
      <w:r w:rsidRPr="00A37749">
        <w:rPr>
          <w:rFonts w:asciiTheme="majorBidi" w:hAnsiTheme="majorBidi" w:cstheme="majorBidi"/>
          <w:sz w:val="20"/>
          <w:szCs w:val="20"/>
        </w:rPr>
        <w:t>, 1990; 211(3): 277–87.</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 xml:space="preserve">Xia F.; Wu L.; Lau W.; Li G.; </w:t>
      </w:r>
      <w:proofErr w:type="spellStart"/>
      <w:r w:rsidRPr="00A37749">
        <w:rPr>
          <w:rFonts w:asciiTheme="majorBidi" w:hAnsiTheme="majorBidi" w:cstheme="majorBidi"/>
          <w:sz w:val="20"/>
          <w:szCs w:val="20"/>
        </w:rPr>
        <w:t>Huan</w:t>
      </w:r>
      <w:proofErr w:type="spellEnd"/>
      <w:r w:rsidRPr="00A37749">
        <w:rPr>
          <w:rFonts w:asciiTheme="majorBidi" w:hAnsiTheme="majorBidi" w:cstheme="majorBidi"/>
          <w:sz w:val="20"/>
          <w:szCs w:val="20"/>
        </w:rPr>
        <w:t xml:space="preserve"> H.; Qian C.;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Positive Lymph Node Metastasis Has a Marked Impact on the Long-Term Survival of Patients with Hepatocellular Carcinoma with Extrahepatic Metastasis. </w:t>
      </w:r>
      <w:proofErr w:type="spellStart"/>
      <w:r w:rsidRPr="00A37749">
        <w:rPr>
          <w:rFonts w:asciiTheme="majorBidi" w:hAnsiTheme="majorBidi" w:cstheme="majorBidi"/>
          <w:sz w:val="20"/>
          <w:szCs w:val="20"/>
        </w:rPr>
        <w:t>PLoS</w:t>
      </w:r>
      <w:proofErr w:type="spellEnd"/>
      <w:r w:rsidRPr="00A37749">
        <w:rPr>
          <w:rFonts w:asciiTheme="majorBidi" w:hAnsiTheme="majorBidi" w:cstheme="majorBidi"/>
          <w:sz w:val="20"/>
          <w:szCs w:val="20"/>
        </w:rPr>
        <w:t xml:space="preserve"> ONE, 2014; 9(4): e95889</w:t>
      </w:r>
      <w:r w:rsidR="00EB159C" w:rsidRPr="00A37749">
        <w:rPr>
          <w:rFonts w:asciiTheme="majorBidi" w:hAnsiTheme="majorBidi" w:cstheme="majorBidi"/>
          <w:sz w:val="20"/>
          <w:szCs w:val="20"/>
        </w:rPr>
        <w:t>.</w:t>
      </w:r>
    </w:p>
    <w:p w:rsidR="00EA5D64" w:rsidRPr="00A37749" w:rsidRDefault="00EA5D64" w:rsidP="00E924F4">
      <w:pPr>
        <w:pStyle w:val="NormalWeb"/>
        <w:numPr>
          <w:ilvl w:val="0"/>
          <w:numId w:val="1"/>
        </w:numPr>
        <w:tabs>
          <w:tab w:val="left" w:pos="360"/>
        </w:tabs>
        <w:spacing w:before="0" w:beforeAutospacing="0" w:after="0" w:afterAutospacing="0"/>
        <w:ind w:left="360"/>
        <w:jc w:val="both"/>
        <w:rPr>
          <w:rFonts w:asciiTheme="majorBidi" w:hAnsiTheme="majorBidi" w:cstheme="majorBidi"/>
          <w:sz w:val="20"/>
          <w:szCs w:val="20"/>
        </w:rPr>
      </w:pPr>
      <w:proofErr w:type="spellStart"/>
      <w:r w:rsidRPr="00A37749">
        <w:rPr>
          <w:rFonts w:asciiTheme="majorBidi" w:hAnsiTheme="majorBidi" w:cstheme="majorBidi"/>
          <w:sz w:val="20"/>
          <w:szCs w:val="20"/>
        </w:rPr>
        <w:t>Uka</w:t>
      </w:r>
      <w:proofErr w:type="spellEnd"/>
      <w:r w:rsidRPr="00A37749">
        <w:rPr>
          <w:rFonts w:asciiTheme="majorBidi" w:hAnsiTheme="majorBidi" w:cstheme="majorBidi"/>
          <w:sz w:val="20"/>
          <w:szCs w:val="20"/>
        </w:rPr>
        <w:t xml:space="preserve"> K.; </w:t>
      </w:r>
      <w:proofErr w:type="spellStart"/>
      <w:r w:rsidRPr="00A37749">
        <w:rPr>
          <w:rFonts w:asciiTheme="majorBidi" w:hAnsiTheme="majorBidi" w:cstheme="majorBidi"/>
          <w:sz w:val="20"/>
          <w:szCs w:val="20"/>
        </w:rPr>
        <w:t>Aikata</w:t>
      </w:r>
      <w:proofErr w:type="spellEnd"/>
      <w:r w:rsidRPr="00A37749">
        <w:rPr>
          <w:rFonts w:asciiTheme="majorBidi" w:hAnsiTheme="majorBidi" w:cstheme="majorBidi"/>
          <w:sz w:val="20"/>
          <w:szCs w:val="20"/>
        </w:rPr>
        <w:t xml:space="preserve"> H.; </w:t>
      </w:r>
      <w:proofErr w:type="spellStart"/>
      <w:r w:rsidRPr="00A37749">
        <w:rPr>
          <w:rFonts w:asciiTheme="majorBidi" w:hAnsiTheme="majorBidi" w:cstheme="majorBidi"/>
          <w:sz w:val="20"/>
          <w:szCs w:val="20"/>
        </w:rPr>
        <w:t>Takaki</w:t>
      </w:r>
      <w:proofErr w:type="spellEnd"/>
      <w:r w:rsidRPr="00A37749">
        <w:rPr>
          <w:rFonts w:asciiTheme="majorBidi" w:hAnsiTheme="majorBidi" w:cstheme="majorBidi"/>
          <w:sz w:val="20"/>
          <w:szCs w:val="20"/>
        </w:rPr>
        <w:t xml:space="preserve"> S.; </w:t>
      </w:r>
      <w:proofErr w:type="spellStart"/>
      <w:r w:rsidRPr="00A37749">
        <w:rPr>
          <w:rFonts w:asciiTheme="majorBidi" w:hAnsiTheme="majorBidi" w:cstheme="majorBidi"/>
          <w:sz w:val="20"/>
          <w:szCs w:val="20"/>
        </w:rPr>
        <w:t>Shirakawa</w:t>
      </w:r>
      <w:proofErr w:type="spellEnd"/>
      <w:r w:rsidRPr="00A37749">
        <w:rPr>
          <w:rFonts w:asciiTheme="majorBidi" w:hAnsiTheme="majorBidi" w:cstheme="majorBidi"/>
          <w:sz w:val="20"/>
          <w:szCs w:val="20"/>
        </w:rPr>
        <w:t xml:space="preserve"> H.; </w:t>
      </w:r>
      <w:proofErr w:type="spellStart"/>
      <w:r w:rsidRPr="00A37749">
        <w:rPr>
          <w:rFonts w:asciiTheme="majorBidi" w:hAnsiTheme="majorBidi" w:cstheme="majorBidi"/>
          <w:sz w:val="20"/>
          <w:szCs w:val="20"/>
        </w:rPr>
        <w:t>Jeong</w:t>
      </w:r>
      <w:proofErr w:type="spellEnd"/>
      <w:r w:rsidRPr="00A37749">
        <w:rPr>
          <w:rFonts w:asciiTheme="majorBidi" w:hAnsiTheme="majorBidi" w:cstheme="majorBidi"/>
          <w:sz w:val="20"/>
          <w:szCs w:val="20"/>
        </w:rPr>
        <w:t xml:space="preserve"> SC.; Yamashina K.;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Clinical features and prognosis of patients with extrahepatic metastases from hepatocellular carcinoma. World J </w:t>
      </w:r>
      <w:proofErr w:type="spellStart"/>
      <w:r w:rsidRPr="00A37749">
        <w:rPr>
          <w:rFonts w:asciiTheme="majorBidi" w:hAnsiTheme="majorBidi" w:cstheme="majorBidi"/>
          <w:sz w:val="20"/>
          <w:szCs w:val="20"/>
        </w:rPr>
        <w:t>Gastroenterol</w:t>
      </w:r>
      <w:proofErr w:type="spellEnd"/>
      <w:r w:rsidRPr="00A37749">
        <w:rPr>
          <w:rFonts w:asciiTheme="majorBidi" w:hAnsiTheme="majorBidi" w:cstheme="majorBidi"/>
          <w:sz w:val="20"/>
          <w:szCs w:val="20"/>
        </w:rPr>
        <w:t>, 2007; 13(3): 414–420.</w:t>
      </w:r>
    </w:p>
    <w:p w:rsidR="00EA5D64" w:rsidRPr="00A37749"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A37749">
        <w:rPr>
          <w:rFonts w:asciiTheme="majorBidi" w:hAnsiTheme="majorBidi" w:cstheme="majorBidi"/>
          <w:sz w:val="20"/>
          <w:szCs w:val="20"/>
        </w:rPr>
        <w:t>Cheng AL.; Kang YK.; Chen Z.;</w:t>
      </w:r>
      <w:r w:rsidRPr="00A37749">
        <w:rPr>
          <w:rStyle w:val="apple-converted-space"/>
          <w:rFonts w:asciiTheme="majorBidi" w:hAnsiTheme="majorBidi" w:cstheme="majorBidi"/>
          <w:sz w:val="20"/>
          <w:szCs w:val="20"/>
        </w:rPr>
        <w:t> </w:t>
      </w:r>
      <w:proofErr w:type="spellStart"/>
      <w:r w:rsidRPr="00A37749">
        <w:rPr>
          <w:rStyle w:val="apple-style-span"/>
          <w:rFonts w:asciiTheme="majorBidi" w:hAnsiTheme="majorBidi" w:cstheme="majorBidi"/>
          <w:sz w:val="20"/>
          <w:szCs w:val="20"/>
        </w:rPr>
        <w:t>Tsao</w:t>
      </w:r>
      <w:proofErr w:type="spellEnd"/>
      <w:r w:rsidRPr="00A37749">
        <w:rPr>
          <w:rStyle w:val="apple-style-span"/>
          <w:rFonts w:asciiTheme="majorBidi" w:hAnsiTheme="majorBidi" w:cstheme="majorBidi"/>
          <w:sz w:val="20"/>
          <w:szCs w:val="20"/>
        </w:rPr>
        <w:t xml:space="preserve"> CJ.;</w:t>
      </w:r>
      <w:r w:rsidRPr="00A37749">
        <w:rPr>
          <w:rStyle w:val="apple-converted-space"/>
          <w:rFonts w:asciiTheme="majorBidi" w:hAnsiTheme="majorBidi" w:cstheme="majorBidi"/>
          <w:sz w:val="20"/>
          <w:szCs w:val="20"/>
        </w:rPr>
        <w:t> </w:t>
      </w:r>
      <w:r w:rsidRPr="00A37749">
        <w:rPr>
          <w:rStyle w:val="apple-style-span"/>
          <w:rFonts w:asciiTheme="majorBidi" w:hAnsiTheme="majorBidi" w:cstheme="majorBidi"/>
          <w:sz w:val="20"/>
          <w:szCs w:val="20"/>
        </w:rPr>
        <w:t>Qin S.;</w:t>
      </w:r>
      <w:r w:rsidRPr="00A37749">
        <w:rPr>
          <w:rStyle w:val="apple-converted-space"/>
          <w:rFonts w:asciiTheme="majorBidi" w:hAnsiTheme="majorBidi" w:cstheme="majorBidi"/>
          <w:sz w:val="20"/>
          <w:szCs w:val="20"/>
        </w:rPr>
        <w:t> </w:t>
      </w:r>
      <w:r w:rsidRPr="00A37749">
        <w:rPr>
          <w:rStyle w:val="apple-style-span"/>
          <w:rFonts w:asciiTheme="majorBidi" w:hAnsiTheme="majorBidi" w:cstheme="majorBidi"/>
          <w:sz w:val="20"/>
          <w:szCs w:val="20"/>
        </w:rPr>
        <w:t xml:space="preserve">Kim JS.; </w:t>
      </w:r>
      <w:r w:rsidR="00B67BF8" w:rsidRPr="00A37749">
        <w:rPr>
          <w:rFonts w:asciiTheme="majorBidi" w:hAnsiTheme="majorBidi" w:cstheme="majorBidi"/>
          <w:i/>
          <w:iCs/>
          <w:sz w:val="20"/>
          <w:szCs w:val="20"/>
        </w:rPr>
        <w:t>et al.</w:t>
      </w:r>
      <w:r w:rsidRPr="00A37749">
        <w:rPr>
          <w:rFonts w:asciiTheme="majorBidi" w:hAnsiTheme="majorBidi" w:cstheme="majorBidi"/>
          <w:sz w:val="20"/>
          <w:szCs w:val="20"/>
        </w:rPr>
        <w:t xml:space="preserve">: Efficacy and safety of </w:t>
      </w:r>
      <w:proofErr w:type="spellStart"/>
      <w:r w:rsidRPr="00A37749">
        <w:rPr>
          <w:rFonts w:asciiTheme="majorBidi" w:hAnsiTheme="majorBidi" w:cstheme="majorBidi"/>
          <w:sz w:val="20"/>
          <w:szCs w:val="20"/>
        </w:rPr>
        <w:t>Sorafenib</w:t>
      </w:r>
      <w:proofErr w:type="spellEnd"/>
      <w:r w:rsidRPr="00A37749">
        <w:rPr>
          <w:rFonts w:asciiTheme="majorBidi" w:hAnsiTheme="majorBidi" w:cstheme="majorBidi"/>
          <w:sz w:val="20"/>
          <w:szCs w:val="20"/>
        </w:rPr>
        <w:t xml:space="preserve"> in patients in the Asia–Pacific region with advanced hepatocellular carcinoma: a phase III randomized, double-blind, placebo-controlled tr</w:t>
      </w:r>
      <w:r w:rsidR="00224DB9" w:rsidRPr="00A37749">
        <w:rPr>
          <w:rFonts w:asciiTheme="majorBidi" w:hAnsiTheme="majorBidi" w:cstheme="majorBidi"/>
          <w:sz w:val="20"/>
          <w:szCs w:val="20"/>
        </w:rPr>
        <w:t xml:space="preserve">ial. Lancet </w:t>
      </w:r>
      <w:proofErr w:type="spellStart"/>
      <w:r w:rsidR="00224DB9" w:rsidRPr="00A37749">
        <w:rPr>
          <w:rFonts w:asciiTheme="majorBidi" w:hAnsiTheme="majorBidi" w:cstheme="majorBidi"/>
          <w:sz w:val="20"/>
          <w:szCs w:val="20"/>
        </w:rPr>
        <w:t>Oncol</w:t>
      </w:r>
      <w:proofErr w:type="spellEnd"/>
      <w:r w:rsidR="00224DB9" w:rsidRPr="00A37749">
        <w:rPr>
          <w:rFonts w:asciiTheme="majorBidi" w:hAnsiTheme="majorBidi" w:cstheme="majorBidi"/>
          <w:sz w:val="20"/>
          <w:szCs w:val="20"/>
        </w:rPr>
        <w:t xml:space="preserve">, 2009; 10(1): </w:t>
      </w:r>
      <w:r w:rsidRPr="00A37749">
        <w:rPr>
          <w:rFonts w:asciiTheme="majorBidi" w:hAnsiTheme="majorBidi" w:cstheme="majorBidi"/>
          <w:sz w:val="20"/>
          <w:szCs w:val="20"/>
        </w:rPr>
        <w:t>25–34</w:t>
      </w:r>
      <w:r w:rsidR="00EB159C" w:rsidRPr="00A37749">
        <w:rPr>
          <w:rFonts w:asciiTheme="majorBidi" w:hAnsiTheme="majorBidi" w:cstheme="majorBidi"/>
          <w:sz w:val="20"/>
          <w:szCs w:val="20"/>
        </w:rPr>
        <w:t>.</w:t>
      </w:r>
    </w:p>
    <w:p w:rsidR="00FD7FD2" w:rsidRPr="00A37749" w:rsidRDefault="00FD7FD2" w:rsidP="001F1FA9">
      <w:pPr>
        <w:autoSpaceDE w:val="0"/>
        <w:autoSpaceDN w:val="0"/>
        <w:adjustRightInd w:val="0"/>
        <w:spacing w:after="0" w:line="240" w:lineRule="auto"/>
        <w:jc w:val="both"/>
        <w:rPr>
          <w:rFonts w:asciiTheme="majorBidi" w:hAnsiTheme="majorBidi" w:cstheme="majorBidi"/>
          <w:sz w:val="20"/>
          <w:szCs w:val="20"/>
        </w:rPr>
        <w:sectPr w:rsidR="00FD7FD2" w:rsidRPr="00A37749" w:rsidSect="00E924F4">
          <w:type w:val="continuous"/>
          <w:pgSz w:w="12240" w:h="15840"/>
          <w:pgMar w:top="1440" w:right="1440" w:bottom="1440" w:left="1440" w:header="720" w:footer="720" w:gutter="0"/>
          <w:cols w:num="2" w:space="540"/>
          <w:docGrid w:linePitch="360"/>
        </w:sectPr>
      </w:pPr>
    </w:p>
    <w:p w:rsidR="00EA5D64" w:rsidRPr="00A37749" w:rsidRDefault="00EA5D64" w:rsidP="001F1FA9">
      <w:pPr>
        <w:autoSpaceDE w:val="0"/>
        <w:autoSpaceDN w:val="0"/>
        <w:adjustRightInd w:val="0"/>
        <w:spacing w:after="0" w:line="240" w:lineRule="auto"/>
        <w:jc w:val="both"/>
        <w:rPr>
          <w:rFonts w:asciiTheme="majorBidi" w:hAnsiTheme="majorBidi" w:cstheme="majorBidi"/>
          <w:sz w:val="20"/>
          <w:szCs w:val="20"/>
        </w:rPr>
      </w:pPr>
    </w:p>
    <w:p w:rsidR="00DA4A54" w:rsidRPr="00A37749" w:rsidRDefault="007C3F02" w:rsidP="001F1FA9">
      <w:pPr>
        <w:spacing w:after="0" w:line="240" w:lineRule="auto"/>
        <w:rPr>
          <w:rFonts w:asciiTheme="majorBidi" w:hAnsiTheme="majorBidi" w:cstheme="majorBidi"/>
          <w:sz w:val="20"/>
          <w:szCs w:val="20"/>
        </w:rPr>
      </w:pPr>
      <w:r w:rsidRPr="00A37749">
        <w:rPr>
          <w:rFonts w:ascii="Times New Roman+FPEF" w:hAnsi="Times New Roman+FPEF" w:cs="Times New Roman+FPEF"/>
          <w:sz w:val="20"/>
          <w:szCs w:val="20"/>
        </w:rPr>
        <w:t>12/16/2015</w:t>
      </w:r>
    </w:p>
    <w:sectPr w:rsidR="00DA4A54" w:rsidRPr="00A37749" w:rsidSect="00FD7F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C0" w:rsidRDefault="00D060C0" w:rsidP="00FD7FD2">
      <w:pPr>
        <w:spacing w:after="0" w:line="240" w:lineRule="auto"/>
      </w:pPr>
      <w:r>
        <w:separator/>
      </w:r>
    </w:p>
  </w:endnote>
  <w:endnote w:type="continuationSeparator" w:id="0">
    <w:p w:rsidR="00D060C0" w:rsidRDefault="00D060C0" w:rsidP="00FD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HCI-Tulip-Identity-H">
    <w:panose1 w:val="00000000000000000000"/>
    <w:charset w:val="80"/>
    <w:family w:val="auto"/>
    <w:notTrueType/>
    <w:pitch w:val="default"/>
    <w:sig w:usb0="00000001" w:usb1="08070000" w:usb2="00000010" w:usb3="00000000" w:csb0="00020000" w:csb1="00000000"/>
  </w:font>
  <w:font w:name="Symbol-PSA">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CI-Tulip,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851"/>
      <w:docPartObj>
        <w:docPartGallery w:val="Page Numbers (Bottom of Page)"/>
        <w:docPartUnique/>
      </w:docPartObj>
    </w:sdtPr>
    <w:sdtEndPr>
      <w:rPr>
        <w:rFonts w:ascii="Times New Roman" w:hAnsi="Times New Roman" w:cs="Times New Roman"/>
        <w:sz w:val="20"/>
        <w:szCs w:val="20"/>
      </w:rPr>
    </w:sdtEndPr>
    <w:sdtContent>
      <w:p w:rsidR="00E924F4" w:rsidRDefault="00F92016">
        <w:pPr>
          <w:pStyle w:val="Footer"/>
          <w:jc w:val="center"/>
        </w:pPr>
        <w:r w:rsidRPr="007C3F02">
          <w:rPr>
            <w:rFonts w:ascii="Times New Roman" w:hAnsi="Times New Roman" w:cs="Times New Roman"/>
            <w:sz w:val="20"/>
            <w:szCs w:val="20"/>
          </w:rPr>
          <w:fldChar w:fldCharType="begin"/>
        </w:r>
        <w:r w:rsidR="00E924F4" w:rsidRPr="007C3F02">
          <w:rPr>
            <w:rFonts w:ascii="Times New Roman" w:hAnsi="Times New Roman" w:cs="Times New Roman"/>
            <w:sz w:val="20"/>
            <w:szCs w:val="20"/>
          </w:rPr>
          <w:instrText xml:space="preserve"> PAGE   \* MERGEFORMAT </w:instrText>
        </w:r>
        <w:r w:rsidRPr="007C3F02">
          <w:rPr>
            <w:rFonts w:ascii="Times New Roman" w:hAnsi="Times New Roman" w:cs="Times New Roman"/>
            <w:sz w:val="20"/>
            <w:szCs w:val="20"/>
          </w:rPr>
          <w:fldChar w:fldCharType="separate"/>
        </w:r>
        <w:r w:rsidR="006D5842">
          <w:rPr>
            <w:rFonts w:ascii="Times New Roman" w:hAnsi="Times New Roman" w:cs="Times New Roman"/>
            <w:noProof/>
            <w:sz w:val="20"/>
            <w:szCs w:val="20"/>
          </w:rPr>
          <w:t>93</w:t>
        </w:r>
        <w:r w:rsidRPr="007C3F02">
          <w:rPr>
            <w:rFonts w:ascii="Times New Roman" w:hAnsi="Times New Roman" w:cs="Times New Roman"/>
            <w:sz w:val="20"/>
            <w:szCs w:val="20"/>
          </w:rPr>
          <w:fldChar w:fldCharType="end"/>
        </w:r>
      </w:p>
    </w:sdtContent>
  </w:sdt>
  <w:p w:rsidR="00E924F4" w:rsidRDefault="00E92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C0" w:rsidRDefault="00D060C0" w:rsidP="00FD7FD2">
      <w:pPr>
        <w:spacing w:after="0" w:line="240" w:lineRule="auto"/>
      </w:pPr>
      <w:r>
        <w:separator/>
      </w:r>
    </w:p>
  </w:footnote>
  <w:footnote w:type="continuationSeparator" w:id="0">
    <w:p w:rsidR="00D060C0" w:rsidRDefault="00D060C0" w:rsidP="00FD7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F4" w:rsidRPr="00FD7FD2" w:rsidRDefault="00E924F4" w:rsidP="001D6B6A">
    <w:pPr>
      <w:pBdr>
        <w:bottom w:val="thinThickMediumGap" w:sz="12" w:space="1" w:color="auto"/>
      </w:pBdr>
      <w:tabs>
        <w:tab w:val="left" w:pos="851"/>
        <w:tab w:val="right" w:pos="8364"/>
      </w:tabs>
      <w:adjustRightInd w:val="0"/>
      <w:snapToGrid w:val="0"/>
      <w:spacing w:after="0" w:line="240" w:lineRule="auto"/>
      <w:jc w:val="both"/>
      <w:rPr>
        <w:rFonts w:ascii="Times New Roman" w:eastAsia="SimSun" w:hAnsi="Times New Roman" w:cs="Times New Roman"/>
        <w:iCs/>
        <w:color w:val="0000FF"/>
        <w:sz w:val="20"/>
      </w:rPr>
    </w:pPr>
    <w:r w:rsidRPr="00FD7FD2">
      <w:rPr>
        <w:rFonts w:ascii="Times New Roman" w:eastAsia="SimSun" w:hAnsi="Times New Roman" w:cs="Times New Roman"/>
        <w:iCs/>
        <w:color w:val="000000"/>
        <w:sz w:val="20"/>
      </w:rPr>
      <w:tab/>
      <w:t xml:space="preserve">Cancer Biology </w:t>
    </w:r>
    <w:r w:rsidRPr="00FD7FD2">
      <w:rPr>
        <w:rFonts w:ascii="Times New Roman" w:eastAsia="SimSun" w:hAnsi="Times New Roman" w:cs="Times New Roman"/>
        <w:iCs/>
        <w:sz w:val="20"/>
      </w:rPr>
      <w:t>2015</w:t>
    </w:r>
    <w:proofErr w:type="gramStart"/>
    <w:r w:rsidRPr="00FD7FD2">
      <w:rPr>
        <w:rFonts w:ascii="Times New Roman" w:eastAsia="SimSun" w:hAnsi="Times New Roman" w:cs="Times New Roman"/>
        <w:iCs/>
        <w:sz w:val="20"/>
      </w:rPr>
      <w:t>;5</w:t>
    </w:r>
    <w:proofErr w:type="gramEnd"/>
    <w:r w:rsidRPr="00FD7FD2">
      <w:rPr>
        <w:rFonts w:ascii="Times New Roman" w:eastAsia="SimSun" w:hAnsi="Times New Roman" w:cs="Times New Roman"/>
        <w:iCs/>
        <w:sz w:val="20"/>
      </w:rPr>
      <w:t>(</w:t>
    </w:r>
    <w:r>
      <w:rPr>
        <w:rFonts w:ascii="Times New Roman" w:eastAsia="SimSun" w:hAnsi="Times New Roman" w:cs="Times New Roman"/>
        <w:iCs/>
        <w:sz w:val="20"/>
      </w:rPr>
      <w:t>4</w:t>
    </w:r>
    <w:r w:rsidRPr="00FD7FD2">
      <w:rPr>
        <w:rFonts w:ascii="Times New Roman" w:eastAsia="SimSun" w:hAnsi="Times New Roman" w:cs="Times New Roman"/>
        <w:iCs/>
        <w:sz w:val="20"/>
      </w:rPr>
      <w:t xml:space="preserve">)     </w:t>
    </w:r>
    <w:r w:rsidRPr="00FD7FD2">
      <w:rPr>
        <w:rFonts w:ascii="Times New Roman" w:eastAsia="SimSun" w:hAnsi="Times New Roman" w:cs="Times New Roman"/>
        <w:iCs/>
        <w:sz w:val="20"/>
      </w:rPr>
      <w:tab/>
    </w:r>
    <w:hyperlink r:id="rId1" w:history="1">
      <w:r w:rsidRPr="00FD7FD2">
        <w:rPr>
          <w:rFonts w:ascii="Times New Roman" w:eastAsia="SimSun" w:hAnsi="Times New Roman" w:cs="Times New Roman"/>
          <w:color w:val="0000FF"/>
          <w:sz w:val="20"/>
          <w:u w:val="single"/>
        </w:rPr>
        <w:t>http://www.cancerbio.net</w:t>
      </w:r>
    </w:hyperlink>
  </w:p>
  <w:p w:rsidR="00E924F4" w:rsidRPr="00FD7FD2" w:rsidRDefault="00E924F4" w:rsidP="00FD7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292"/>
    <w:multiLevelType w:val="hybridMultilevel"/>
    <w:tmpl w:val="615E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73A3D"/>
    <w:multiLevelType w:val="hybridMultilevel"/>
    <w:tmpl w:val="5856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64"/>
    <w:rsid w:val="0001311A"/>
    <w:rsid w:val="000F35B5"/>
    <w:rsid w:val="00170367"/>
    <w:rsid w:val="001B2B39"/>
    <w:rsid w:val="001B569A"/>
    <w:rsid w:val="001D6B6A"/>
    <w:rsid w:val="001F1FA9"/>
    <w:rsid w:val="00224DB9"/>
    <w:rsid w:val="002D540D"/>
    <w:rsid w:val="002F4FEF"/>
    <w:rsid w:val="00387BDD"/>
    <w:rsid w:val="00392AAA"/>
    <w:rsid w:val="003A265A"/>
    <w:rsid w:val="003C1C64"/>
    <w:rsid w:val="00401574"/>
    <w:rsid w:val="0048628C"/>
    <w:rsid w:val="0048702D"/>
    <w:rsid w:val="004E37D4"/>
    <w:rsid w:val="004E783C"/>
    <w:rsid w:val="00575A8D"/>
    <w:rsid w:val="005A06F8"/>
    <w:rsid w:val="00630584"/>
    <w:rsid w:val="006501C2"/>
    <w:rsid w:val="006D5842"/>
    <w:rsid w:val="00713308"/>
    <w:rsid w:val="007C3F02"/>
    <w:rsid w:val="008123D8"/>
    <w:rsid w:val="008367EF"/>
    <w:rsid w:val="00864B36"/>
    <w:rsid w:val="008B7A64"/>
    <w:rsid w:val="008C4393"/>
    <w:rsid w:val="008D7BE8"/>
    <w:rsid w:val="00910DCE"/>
    <w:rsid w:val="00913E71"/>
    <w:rsid w:val="00956896"/>
    <w:rsid w:val="00991867"/>
    <w:rsid w:val="009A4FB3"/>
    <w:rsid w:val="009C39EF"/>
    <w:rsid w:val="009E25CF"/>
    <w:rsid w:val="009F495A"/>
    <w:rsid w:val="009F54C1"/>
    <w:rsid w:val="00A37749"/>
    <w:rsid w:val="00B67BF8"/>
    <w:rsid w:val="00B7234D"/>
    <w:rsid w:val="00BD56E7"/>
    <w:rsid w:val="00BF3A8B"/>
    <w:rsid w:val="00C92885"/>
    <w:rsid w:val="00CA0C57"/>
    <w:rsid w:val="00CD72F1"/>
    <w:rsid w:val="00D060C0"/>
    <w:rsid w:val="00D16C63"/>
    <w:rsid w:val="00D255D8"/>
    <w:rsid w:val="00D70F29"/>
    <w:rsid w:val="00D740B5"/>
    <w:rsid w:val="00D925DA"/>
    <w:rsid w:val="00DA4A54"/>
    <w:rsid w:val="00E06031"/>
    <w:rsid w:val="00E14F3B"/>
    <w:rsid w:val="00E50786"/>
    <w:rsid w:val="00E82A51"/>
    <w:rsid w:val="00E924F4"/>
    <w:rsid w:val="00E966D4"/>
    <w:rsid w:val="00EA5890"/>
    <w:rsid w:val="00EA5D64"/>
    <w:rsid w:val="00EB159C"/>
    <w:rsid w:val="00F17B4F"/>
    <w:rsid w:val="00F74F9C"/>
    <w:rsid w:val="00F847D9"/>
    <w:rsid w:val="00F92016"/>
    <w:rsid w:val="00FD7F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rsid w:val="00EA5D64"/>
    <w:rPr>
      <w:rFonts w:ascii="Optima" w:hAnsi="Optima" w:cs="Optima"/>
      <w:color w:val="000000"/>
      <w:sz w:val="14"/>
      <w:szCs w:val="14"/>
    </w:rPr>
  </w:style>
  <w:style w:type="character" w:customStyle="1" w:styleId="citationjournal">
    <w:name w:val="citation journal"/>
    <w:basedOn w:val="DefaultParagraphFont"/>
    <w:rsid w:val="00EA5D64"/>
  </w:style>
  <w:style w:type="character" w:customStyle="1" w:styleId="apple-style-span">
    <w:name w:val="apple-style-span"/>
    <w:basedOn w:val="DefaultParagraphFont"/>
    <w:rsid w:val="00EA5D64"/>
  </w:style>
  <w:style w:type="character" w:customStyle="1" w:styleId="apple-converted-space">
    <w:name w:val="apple-converted-space"/>
    <w:basedOn w:val="DefaultParagraphFont"/>
    <w:rsid w:val="00EA5D64"/>
  </w:style>
  <w:style w:type="paragraph" w:styleId="NormalWeb">
    <w:name w:val="Normal (Web)"/>
    <w:basedOn w:val="Normal"/>
    <w:uiPriority w:val="99"/>
    <w:unhideWhenUsed/>
    <w:rsid w:val="00EA5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EA5D64"/>
  </w:style>
  <w:style w:type="character" w:customStyle="1" w:styleId="ref-vol">
    <w:name w:val="ref-vol"/>
    <w:basedOn w:val="DefaultParagraphFont"/>
    <w:rsid w:val="00EA5D64"/>
  </w:style>
  <w:style w:type="character" w:customStyle="1" w:styleId="hlfld-contribauthor">
    <w:name w:val="hlfld-contribauthor"/>
    <w:basedOn w:val="DefaultParagraphFont"/>
    <w:rsid w:val="00EA5D64"/>
  </w:style>
  <w:style w:type="table" w:styleId="TableGrid">
    <w:name w:val="Table Grid"/>
    <w:basedOn w:val="TableNormal"/>
    <w:rsid w:val="00EA5D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A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64"/>
    <w:rPr>
      <w:rFonts w:ascii="Tahoma" w:hAnsi="Tahoma" w:cs="Tahoma"/>
      <w:sz w:val="16"/>
      <w:szCs w:val="16"/>
    </w:rPr>
  </w:style>
  <w:style w:type="character" w:styleId="Hyperlink">
    <w:name w:val="Hyperlink"/>
    <w:basedOn w:val="DefaultParagraphFont"/>
    <w:rsid w:val="00913E71"/>
    <w:rPr>
      <w:color w:val="0000FF"/>
      <w:u w:val="single"/>
    </w:rPr>
  </w:style>
  <w:style w:type="paragraph" w:styleId="ListParagraph">
    <w:name w:val="List Paragraph"/>
    <w:basedOn w:val="Normal"/>
    <w:uiPriority w:val="34"/>
    <w:qFormat/>
    <w:rsid w:val="0001311A"/>
    <w:pPr>
      <w:ind w:left="720"/>
      <w:contextualSpacing/>
    </w:pPr>
  </w:style>
  <w:style w:type="character" w:customStyle="1" w:styleId="msonormal0">
    <w:name w:val="msonormal0"/>
    <w:basedOn w:val="DefaultParagraphFont"/>
    <w:rsid w:val="00F847D9"/>
  </w:style>
  <w:style w:type="character" w:styleId="CommentReference">
    <w:name w:val="annotation reference"/>
    <w:basedOn w:val="DefaultParagraphFont"/>
    <w:uiPriority w:val="99"/>
    <w:semiHidden/>
    <w:unhideWhenUsed/>
    <w:rsid w:val="00B67BF8"/>
    <w:rPr>
      <w:sz w:val="16"/>
      <w:szCs w:val="16"/>
    </w:rPr>
  </w:style>
  <w:style w:type="paragraph" w:styleId="CommentText">
    <w:name w:val="annotation text"/>
    <w:basedOn w:val="Normal"/>
    <w:link w:val="CommentTextChar"/>
    <w:uiPriority w:val="99"/>
    <w:semiHidden/>
    <w:unhideWhenUsed/>
    <w:rsid w:val="00B67BF8"/>
    <w:pPr>
      <w:spacing w:line="240" w:lineRule="auto"/>
    </w:pPr>
    <w:rPr>
      <w:sz w:val="20"/>
      <w:szCs w:val="20"/>
    </w:rPr>
  </w:style>
  <w:style w:type="character" w:customStyle="1" w:styleId="CommentTextChar">
    <w:name w:val="Comment Text Char"/>
    <w:basedOn w:val="DefaultParagraphFont"/>
    <w:link w:val="CommentText"/>
    <w:uiPriority w:val="99"/>
    <w:semiHidden/>
    <w:rsid w:val="00B67BF8"/>
    <w:rPr>
      <w:sz w:val="20"/>
      <w:szCs w:val="20"/>
    </w:rPr>
  </w:style>
  <w:style w:type="paragraph" w:styleId="CommentSubject">
    <w:name w:val="annotation subject"/>
    <w:basedOn w:val="CommentText"/>
    <w:next w:val="CommentText"/>
    <w:link w:val="CommentSubjectChar"/>
    <w:uiPriority w:val="99"/>
    <w:semiHidden/>
    <w:unhideWhenUsed/>
    <w:rsid w:val="00B67BF8"/>
    <w:rPr>
      <w:b/>
      <w:bCs/>
    </w:rPr>
  </w:style>
  <w:style w:type="character" w:customStyle="1" w:styleId="CommentSubjectChar">
    <w:name w:val="Comment Subject Char"/>
    <w:basedOn w:val="CommentTextChar"/>
    <w:link w:val="CommentSubject"/>
    <w:uiPriority w:val="99"/>
    <w:semiHidden/>
    <w:rsid w:val="00B67BF8"/>
    <w:rPr>
      <w:b/>
      <w:bCs/>
      <w:sz w:val="20"/>
      <w:szCs w:val="20"/>
    </w:rPr>
  </w:style>
  <w:style w:type="paragraph" w:styleId="Header">
    <w:name w:val="header"/>
    <w:basedOn w:val="Normal"/>
    <w:link w:val="HeaderChar"/>
    <w:uiPriority w:val="99"/>
    <w:unhideWhenUsed/>
    <w:rsid w:val="00FD7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FD2"/>
  </w:style>
  <w:style w:type="paragraph" w:styleId="Footer">
    <w:name w:val="footer"/>
    <w:basedOn w:val="Normal"/>
    <w:link w:val="FooterChar"/>
    <w:uiPriority w:val="99"/>
    <w:unhideWhenUsed/>
    <w:rsid w:val="00FD7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rsid w:val="00EA5D64"/>
    <w:rPr>
      <w:rFonts w:ascii="Optima" w:hAnsi="Optima" w:cs="Optima"/>
      <w:color w:val="000000"/>
      <w:sz w:val="14"/>
      <w:szCs w:val="14"/>
    </w:rPr>
  </w:style>
  <w:style w:type="character" w:customStyle="1" w:styleId="citationjournal">
    <w:name w:val="citation journal"/>
    <w:basedOn w:val="DefaultParagraphFont"/>
    <w:rsid w:val="00EA5D64"/>
  </w:style>
  <w:style w:type="character" w:customStyle="1" w:styleId="apple-style-span">
    <w:name w:val="apple-style-span"/>
    <w:basedOn w:val="DefaultParagraphFont"/>
    <w:rsid w:val="00EA5D64"/>
  </w:style>
  <w:style w:type="character" w:customStyle="1" w:styleId="apple-converted-space">
    <w:name w:val="apple-converted-space"/>
    <w:basedOn w:val="DefaultParagraphFont"/>
    <w:rsid w:val="00EA5D64"/>
  </w:style>
  <w:style w:type="paragraph" w:styleId="NormalWeb">
    <w:name w:val="Normal (Web)"/>
    <w:basedOn w:val="Normal"/>
    <w:uiPriority w:val="99"/>
    <w:unhideWhenUsed/>
    <w:rsid w:val="00EA5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EA5D64"/>
  </w:style>
  <w:style w:type="character" w:customStyle="1" w:styleId="ref-vol">
    <w:name w:val="ref-vol"/>
    <w:basedOn w:val="DefaultParagraphFont"/>
    <w:rsid w:val="00EA5D64"/>
  </w:style>
  <w:style w:type="character" w:customStyle="1" w:styleId="hlfld-contribauthor">
    <w:name w:val="hlfld-contribauthor"/>
    <w:basedOn w:val="DefaultParagraphFont"/>
    <w:rsid w:val="00EA5D64"/>
  </w:style>
  <w:style w:type="table" w:styleId="TableGrid">
    <w:name w:val="Table Grid"/>
    <w:basedOn w:val="TableNormal"/>
    <w:rsid w:val="00EA5D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A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64"/>
    <w:rPr>
      <w:rFonts w:ascii="Tahoma" w:hAnsi="Tahoma" w:cs="Tahoma"/>
      <w:sz w:val="16"/>
      <w:szCs w:val="16"/>
    </w:rPr>
  </w:style>
  <w:style w:type="character" w:styleId="Hyperlink">
    <w:name w:val="Hyperlink"/>
    <w:basedOn w:val="DefaultParagraphFont"/>
    <w:rsid w:val="00913E71"/>
    <w:rPr>
      <w:color w:val="0000FF"/>
      <w:u w:val="single"/>
    </w:rPr>
  </w:style>
  <w:style w:type="paragraph" w:styleId="ListParagraph">
    <w:name w:val="List Paragraph"/>
    <w:basedOn w:val="Normal"/>
    <w:uiPriority w:val="34"/>
    <w:qFormat/>
    <w:rsid w:val="0001311A"/>
    <w:pPr>
      <w:ind w:left="720"/>
      <w:contextualSpacing/>
    </w:pPr>
  </w:style>
  <w:style w:type="character" w:customStyle="1" w:styleId="msonormal0">
    <w:name w:val="msonormal0"/>
    <w:basedOn w:val="DefaultParagraphFont"/>
    <w:rsid w:val="00F847D9"/>
  </w:style>
  <w:style w:type="character" w:styleId="CommentReference">
    <w:name w:val="annotation reference"/>
    <w:basedOn w:val="DefaultParagraphFont"/>
    <w:uiPriority w:val="99"/>
    <w:semiHidden/>
    <w:unhideWhenUsed/>
    <w:rsid w:val="00B67BF8"/>
    <w:rPr>
      <w:sz w:val="16"/>
      <w:szCs w:val="16"/>
    </w:rPr>
  </w:style>
  <w:style w:type="paragraph" w:styleId="CommentText">
    <w:name w:val="annotation text"/>
    <w:basedOn w:val="Normal"/>
    <w:link w:val="CommentTextChar"/>
    <w:uiPriority w:val="99"/>
    <w:semiHidden/>
    <w:unhideWhenUsed/>
    <w:rsid w:val="00B67BF8"/>
    <w:pPr>
      <w:spacing w:line="240" w:lineRule="auto"/>
    </w:pPr>
    <w:rPr>
      <w:sz w:val="20"/>
      <w:szCs w:val="20"/>
    </w:rPr>
  </w:style>
  <w:style w:type="character" w:customStyle="1" w:styleId="CommentTextChar">
    <w:name w:val="Comment Text Char"/>
    <w:basedOn w:val="DefaultParagraphFont"/>
    <w:link w:val="CommentText"/>
    <w:uiPriority w:val="99"/>
    <w:semiHidden/>
    <w:rsid w:val="00B67BF8"/>
    <w:rPr>
      <w:sz w:val="20"/>
      <w:szCs w:val="20"/>
    </w:rPr>
  </w:style>
  <w:style w:type="paragraph" w:styleId="CommentSubject">
    <w:name w:val="annotation subject"/>
    <w:basedOn w:val="CommentText"/>
    <w:next w:val="CommentText"/>
    <w:link w:val="CommentSubjectChar"/>
    <w:uiPriority w:val="99"/>
    <w:semiHidden/>
    <w:unhideWhenUsed/>
    <w:rsid w:val="00B67BF8"/>
    <w:rPr>
      <w:b/>
      <w:bCs/>
    </w:rPr>
  </w:style>
  <w:style w:type="character" w:customStyle="1" w:styleId="CommentSubjectChar">
    <w:name w:val="Comment Subject Char"/>
    <w:basedOn w:val="CommentTextChar"/>
    <w:link w:val="CommentSubject"/>
    <w:uiPriority w:val="99"/>
    <w:semiHidden/>
    <w:rsid w:val="00B67BF8"/>
    <w:rPr>
      <w:b/>
      <w:bCs/>
      <w:sz w:val="20"/>
      <w:szCs w:val="20"/>
    </w:rPr>
  </w:style>
  <w:style w:type="paragraph" w:styleId="Header">
    <w:name w:val="header"/>
    <w:basedOn w:val="Normal"/>
    <w:link w:val="HeaderChar"/>
    <w:uiPriority w:val="99"/>
    <w:unhideWhenUsed/>
    <w:rsid w:val="00FD7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FD2"/>
  </w:style>
  <w:style w:type="paragraph" w:styleId="Footer">
    <w:name w:val="footer"/>
    <w:basedOn w:val="Normal"/>
    <w:link w:val="FooterChar"/>
    <w:uiPriority w:val="99"/>
    <w:unhideWhenUsed/>
    <w:rsid w:val="00FD7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2.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aamaria1@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sico</cp:lastModifiedBy>
  <cp:revision>4</cp:revision>
  <cp:lastPrinted>2017-01-29T06:31:00Z</cp:lastPrinted>
  <dcterms:created xsi:type="dcterms:W3CDTF">2017-01-29T06:31:00Z</dcterms:created>
  <dcterms:modified xsi:type="dcterms:W3CDTF">2017-01-29T06:32:00Z</dcterms:modified>
</cp:coreProperties>
</file>