
<file path=[Content_Types].xml><?xml version="1.0" encoding="utf-8"?>
<Types xmlns="http://schemas.openxmlformats.org/package/2006/content-types">
  <Override PartName="/word/footnotes.xml" ContentType="application/vnd.openxmlformats-officedocument.wordprocessingml.footnotes+xml"/>
  <Default Extension="emf" ContentType="image/x-e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68F2" w:rsidRPr="00FA537A" w:rsidRDefault="002F68F2" w:rsidP="002C23A6">
      <w:pPr>
        <w:pStyle w:val="Heading1"/>
        <w:keepNext w:val="0"/>
        <w:bidi w:val="0"/>
        <w:snapToGrid w:val="0"/>
        <w:spacing w:before="0" w:after="0"/>
        <w:jc w:val="center"/>
        <w:rPr>
          <w:rFonts w:ascii="Times New Roman" w:hAnsi="Times New Roman" w:cs="Times New Roman"/>
          <w:kern w:val="0"/>
          <w:sz w:val="20"/>
          <w:szCs w:val="20"/>
        </w:rPr>
      </w:pPr>
      <w:r w:rsidRPr="00FA537A">
        <w:rPr>
          <w:rFonts w:ascii="Times New Roman" w:hAnsi="Times New Roman" w:cs="Times New Roman"/>
          <w:kern w:val="0"/>
          <w:sz w:val="20"/>
          <w:szCs w:val="20"/>
        </w:rPr>
        <w:t xml:space="preserve">Concurrent </w:t>
      </w:r>
      <w:proofErr w:type="spellStart"/>
      <w:r w:rsidRPr="00FA537A">
        <w:rPr>
          <w:rFonts w:ascii="Times New Roman" w:hAnsi="Times New Roman" w:cs="Times New Roman"/>
          <w:kern w:val="0"/>
          <w:sz w:val="20"/>
          <w:szCs w:val="20"/>
        </w:rPr>
        <w:t>chemoradiotherapy</w:t>
      </w:r>
      <w:proofErr w:type="spellEnd"/>
      <w:r w:rsidRPr="00FA537A">
        <w:rPr>
          <w:rFonts w:ascii="Times New Roman" w:hAnsi="Times New Roman" w:cs="Times New Roman"/>
          <w:kern w:val="0"/>
          <w:sz w:val="20"/>
          <w:szCs w:val="20"/>
        </w:rPr>
        <w:t xml:space="preserve"> with weekly </w:t>
      </w:r>
      <w:proofErr w:type="spellStart"/>
      <w:r w:rsidRPr="00FA537A">
        <w:rPr>
          <w:rFonts w:ascii="Times New Roman" w:hAnsi="Times New Roman" w:cs="Times New Roman"/>
          <w:kern w:val="0"/>
          <w:sz w:val="20"/>
          <w:szCs w:val="20"/>
        </w:rPr>
        <w:t>cisplatin</w:t>
      </w:r>
      <w:proofErr w:type="spellEnd"/>
      <w:r w:rsidRPr="00FA537A">
        <w:rPr>
          <w:rFonts w:ascii="Times New Roman" w:hAnsi="Times New Roman" w:cs="Times New Roman"/>
          <w:kern w:val="0"/>
          <w:sz w:val="20"/>
          <w:szCs w:val="20"/>
        </w:rPr>
        <w:t xml:space="preserve"> in muscle-invasive bladder cancer</w:t>
      </w:r>
    </w:p>
    <w:p w:rsidR="00245368" w:rsidRPr="00FA537A" w:rsidRDefault="00245368" w:rsidP="002C23A6">
      <w:pPr>
        <w:bidi w:val="0"/>
        <w:snapToGrid w:val="0"/>
        <w:jc w:val="center"/>
        <w:rPr>
          <w:sz w:val="20"/>
          <w:szCs w:val="20"/>
        </w:rPr>
      </w:pPr>
    </w:p>
    <w:p w:rsidR="002F68F2" w:rsidRPr="00FA537A" w:rsidRDefault="002F68F2" w:rsidP="002C23A6">
      <w:pPr>
        <w:bidi w:val="0"/>
        <w:snapToGrid w:val="0"/>
        <w:jc w:val="center"/>
        <w:rPr>
          <w:sz w:val="20"/>
          <w:szCs w:val="20"/>
          <w:lang w:bidi="ar-EG"/>
        </w:rPr>
      </w:pPr>
      <w:proofErr w:type="spellStart"/>
      <w:r w:rsidRPr="00FA537A">
        <w:rPr>
          <w:sz w:val="20"/>
          <w:szCs w:val="20"/>
          <w:lang w:bidi="ar-EG"/>
        </w:rPr>
        <w:t>Abeer</w:t>
      </w:r>
      <w:proofErr w:type="spellEnd"/>
      <w:r w:rsidRPr="00FA537A">
        <w:rPr>
          <w:sz w:val="20"/>
          <w:szCs w:val="20"/>
          <w:lang w:bidi="ar-EG"/>
        </w:rPr>
        <w:t xml:space="preserve"> F</w:t>
      </w:r>
      <w:r w:rsidR="00245368" w:rsidRPr="00FA537A">
        <w:rPr>
          <w:sz w:val="20"/>
          <w:szCs w:val="20"/>
          <w:lang w:bidi="ar-EG"/>
        </w:rPr>
        <w:t>.</w:t>
      </w:r>
      <w:r w:rsidRPr="00FA537A">
        <w:rPr>
          <w:sz w:val="20"/>
          <w:szCs w:val="20"/>
          <w:lang w:bidi="ar-EG"/>
        </w:rPr>
        <w:t xml:space="preserve"> </w:t>
      </w:r>
      <w:proofErr w:type="spellStart"/>
      <w:r w:rsidRPr="00FA537A">
        <w:rPr>
          <w:sz w:val="20"/>
          <w:szCs w:val="20"/>
          <w:lang w:bidi="ar-EG"/>
        </w:rPr>
        <w:t>Amin</w:t>
      </w:r>
      <w:proofErr w:type="spellEnd"/>
      <w:r w:rsidRPr="00FA537A">
        <w:rPr>
          <w:sz w:val="20"/>
          <w:szCs w:val="20"/>
          <w:lang w:bidi="ar-EG"/>
        </w:rPr>
        <w:t>,</w:t>
      </w:r>
    </w:p>
    <w:p w:rsidR="00245368" w:rsidRPr="00FA537A" w:rsidRDefault="00245368" w:rsidP="002C23A6">
      <w:pPr>
        <w:bidi w:val="0"/>
        <w:snapToGrid w:val="0"/>
        <w:jc w:val="center"/>
        <w:rPr>
          <w:b/>
          <w:bCs/>
          <w:sz w:val="20"/>
          <w:szCs w:val="20"/>
          <w:lang w:bidi="ar-EG"/>
        </w:rPr>
      </w:pPr>
    </w:p>
    <w:p w:rsidR="002F68F2" w:rsidRPr="00FA537A" w:rsidRDefault="00C16834" w:rsidP="002C23A6">
      <w:pPr>
        <w:bidi w:val="0"/>
        <w:snapToGrid w:val="0"/>
        <w:jc w:val="center"/>
        <w:rPr>
          <w:sz w:val="20"/>
          <w:szCs w:val="20"/>
          <w:lang w:bidi="ar-EG"/>
        </w:rPr>
      </w:pPr>
      <w:proofErr w:type="gramStart"/>
      <w:r w:rsidRPr="00FA537A">
        <w:rPr>
          <w:sz w:val="20"/>
          <w:szCs w:val="20"/>
          <w:lang w:bidi="ar-EG"/>
        </w:rPr>
        <w:t>Department of</w:t>
      </w:r>
      <w:r w:rsidR="002F68F2" w:rsidRPr="00FA537A">
        <w:rPr>
          <w:sz w:val="20"/>
          <w:szCs w:val="20"/>
          <w:lang w:bidi="ar-EG"/>
        </w:rPr>
        <w:t xml:space="preserve"> Oncology</w:t>
      </w:r>
      <w:r w:rsidR="00E41CA1" w:rsidRPr="00FA537A">
        <w:rPr>
          <w:sz w:val="20"/>
          <w:szCs w:val="20"/>
          <w:lang w:bidi="ar-EG"/>
        </w:rPr>
        <w:t xml:space="preserve">, </w:t>
      </w:r>
      <w:proofErr w:type="spellStart"/>
      <w:r w:rsidR="00E41CA1" w:rsidRPr="00FA537A">
        <w:rPr>
          <w:sz w:val="20"/>
          <w:szCs w:val="20"/>
          <w:lang w:bidi="ar-EG"/>
        </w:rPr>
        <w:t>Assiut</w:t>
      </w:r>
      <w:proofErr w:type="spellEnd"/>
      <w:r w:rsidR="002F68F2" w:rsidRPr="00FA537A">
        <w:rPr>
          <w:sz w:val="20"/>
          <w:szCs w:val="20"/>
          <w:lang w:bidi="ar-EG"/>
        </w:rPr>
        <w:t xml:space="preserve"> University Hospital</w:t>
      </w:r>
      <w:r w:rsidR="00245368" w:rsidRPr="00FA537A">
        <w:rPr>
          <w:sz w:val="20"/>
          <w:szCs w:val="20"/>
          <w:lang w:bidi="ar-EG"/>
        </w:rPr>
        <w:t>, Egypt.</w:t>
      </w:r>
      <w:proofErr w:type="gramEnd"/>
    </w:p>
    <w:p w:rsidR="00245368" w:rsidRPr="00FA537A" w:rsidRDefault="00245368" w:rsidP="002C23A6">
      <w:pPr>
        <w:bidi w:val="0"/>
        <w:snapToGrid w:val="0"/>
        <w:jc w:val="center"/>
        <w:rPr>
          <w:sz w:val="20"/>
          <w:szCs w:val="20"/>
          <w:u w:val="single"/>
          <w:lang w:bidi="ar-EG"/>
        </w:rPr>
      </w:pPr>
    </w:p>
    <w:p w:rsidR="00245368" w:rsidRPr="00FA537A" w:rsidRDefault="00E87542" w:rsidP="002C23A6">
      <w:pPr>
        <w:bidi w:val="0"/>
        <w:snapToGrid w:val="0"/>
        <w:jc w:val="both"/>
        <w:rPr>
          <w:b/>
          <w:bCs/>
          <w:sz w:val="20"/>
          <w:szCs w:val="20"/>
        </w:rPr>
      </w:pPr>
      <w:r w:rsidRPr="00FA537A">
        <w:rPr>
          <w:b/>
          <w:bCs/>
          <w:sz w:val="20"/>
          <w:szCs w:val="20"/>
          <w:lang w:bidi="ar-EG"/>
        </w:rPr>
        <w:t>Abstract:</w:t>
      </w:r>
      <w:r w:rsidR="00FA537A" w:rsidRPr="00FA537A">
        <w:rPr>
          <w:rFonts w:hint="eastAsia"/>
          <w:b/>
          <w:bCs/>
          <w:sz w:val="20"/>
          <w:szCs w:val="20"/>
          <w:lang w:eastAsia="zh-CN" w:bidi="ar-EG"/>
        </w:rPr>
        <w:t xml:space="preserve"> </w:t>
      </w:r>
      <w:r w:rsidRPr="00FA537A">
        <w:rPr>
          <w:b/>
          <w:bCs/>
          <w:sz w:val="20"/>
          <w:szCs w:val="20"/>
        </w:rPr>
        <w:t>Background and aim</w:t>
      </w:r>
      <w:r w:rsidR="00FB2509" w:rsidRPr="00FA537A">
        <w:rPr>
          <w:b/>
          <w:bCs/>
          <w:sz w:val="20"/>
          <w:szCs w:val="20"/>
        </w:rPr>
        <w:t xml:space="preserve">: </w:t>
      </w:r>
      <w:r w:rsidR="00FB2509" w:rsidRPr="00FA537A">
        <w:rPr>
          <w:sz w:val="20"/>
          <w:szCs w:val="20"/>
        </w:rPr>
        <w:t>Bladder cancer is the 7</w:t>
      </w:r>
      <w:r w:rsidR="00FB2509" w:rsidRPr="00FA537A">
        <w:rPr>
          <w:sz w:val="20"/>
          <w:szCs w:val="20"/>
          <w:vertAlign w:val="superscript"/>
        </w:rPr>
        <w:t>th</w:t>
      </w:r>
      <w:r w:rsidR="00914BAE" w:rsidRPr="00FA537A">
        <w:rPr>
          <w:sz w:val="20"/>
          <w:szCs w:val="20"/>
        </w:rPr>
        <w:t xml:space="preserve"> </w:t>
      </w:r>
      <w:r w:rsidR="00FB2509" w:rsidRPr="00FA537A">
        <w:rPr>
          <w:sz w:val="20"/>
          <w:szCs w:val="20"/>
        </w:rPr>
        <w:t>most common cancer in men and the 17</w:t>
      </w:r>
      <w:r w:rsidR="00FB2509" w:rsidRPr="00FA537A">
        <w:rPr>
          <w:sz w:val="20"/>
          <w:szCs w:val="20"/>
          <w:vertAlign w:val="superscript"/>
        </w:rPr>
        <w:t>th</w:t>
      </w:r>
      <w:r w:rsidR="00914BAE" w:rsidRPr="00FA537A">
        <w:rPr>
          <w:sz w:val="20"/>
          <w:szCs w:val="20"/>
        </w:rPr>
        <w:t xml:space="preserve"> </w:t>
      </w:r>
      <w:r w:rsidR="00FB2509" w:rsidRPr="00FA537A">
        <w:rPr>
          <w:sz w:val="20"/>
          <w:szCs w:val="20"/>
        </w:rPr>
        <w:t xml:space="preserve">most common in women worldwide; the aim of our study was evaluation of the efficacy and toxicity of </w:t>
      </w:r>
      <w:r w:rsidR="00914BAE" w:rsidRPr="00FA537A">
        <w:rPr>
          <w:sz w:val="20"/>
          <w:szCs w:val="20"/>
        </w:rPr>
        <w:t xml:space="preserve">concurrent </w:t>
      </w:r>
      <w:proofErr w:type="spellStart"/>
      <w:r w:rsidR="00FB2509" w:rsidRPr="00FA537A">
        <w:rPr>
          <w:sz w:val="20"/>
          <w:szCs w:val="20"/>
        </w:rPr>
        <w:t>chemoradiotherapy</w:t>
      </w:r>
      <w:proofErr w:type="spellEnd"/>
      <w:r w:rsidR="001E14FC" w:rsidRPr="00FA537A">
        <w:rPr>
          <w:sz w:val="20"/>
          <w:szCs w:val="20"/>
        </w:rPr>
        <w:t xml:space="preserve"> (CCRT)</w:t>
      </w:r>
      <w:r w:rsidR="00FB2509" w:rsidRPr="00FA537A">
        <w:rPr>
          <w:sz w:val="20"/>
          <w:szCs w:val="20"/>
        </w:rPr>
        <w:t xml:space="preserve"> with weekly </w:t>
      </w:r>
      <w:proofErr w:type="spellStart"/>
      <w:r w:rsidR="00FB2509" w:rsidRPr="00FA537A">
        <w:rPr>
          <w:sz w:val="20"/>
          <w:szCs w:val="20"/>
        </w:rPr>
        <w:t>cisplatin</w:t>
      </w:r>
      <w:proofErr w:type="spellEnd"/>
      <w:r w:rsidR="00FB2509" w:rsidRPr="00FA537A">
        <w:rPr>
          <w:sz w:val="20"/>
          <w:szCs w:val="20"/>
        </w:rPr>
        <w:t xml:space="preserve"> in muscle-invasive bladder cancer patients</w:t>
      </w:r>
      <w:r w:rsidR="00373C82" w:rsidRPr="00FA537A">
        <w:rPr>
          <w:sz w:val="20"/>
          <w:szCs w:val="20"/>
        </w:rPr>
        <w:t xml:space="preserve"> (MIBC)</w:t>
      </w:r>
      <w:r w:rsidR="00FB2509" w:rsidRPr="00FA537A">
        <w:rPr>
          <w:sz w:val="20"/>
          <w:szCs w:val="20"/>
        </w:rPr>
        <w:t>.</w:t>
      </w:r>
      <w:r w:rsidR="00245368" w:rsidRPr="00FA537A">
        <w:rPr>
          <w:sz w:val="20"/>
          <w:szCs w:val="20"/>
        </w:rPr>
        <w:t xml:space="preserve"> </w:t>
      </w:r>
      <w:r w:rsidR="00C16834" w:rsidRPr="00FA537A">
        <w:rPr>
          <w:b/>
          <w:bCs/>
          <w:sz w:val="20"/>
          <w:szCs w:val="20"/>
          <w:lang w:bidi="ar-EG"/>
        </w:rPr>
        <w:t>Patients</w:t>
      </w:r>
      <w:r w:rsidR="00C16834" w:rsidRPr="00FA537A">
        <w:rPr>
          <w:b/>
          <w:bCs/>
          <w:sz w:val="20"/>
          <w:szCs w:val="20"/>
        </w:rPr>
        <w:t xml:space="preserve"> </w:t>
      </w:r>
      <w:r w:rsidR="00245368" w:rsidRPr="00FA537A">
        <w:rPr>
          <w:b/>
          <w:bCs/>
          <w:sz w:val="20"/>
          <w:szCs w:val="20"/>
        </w:rPr>
        <w:t>and Methods:</w:t>
      </w:r>
      <w:r w:rsidR="00245368" w:rsidRPr="00FA537A">
        <w:rPr>
          <w:sz w:val="20"/>
          <w:szCs w:val="20"/>
        </w:rPr>
        <w:t xml:space="preserve"> Twenty five patients with</w:t>
      </w:r>
      <w:r w:rsidR="00245368" w:rsidRPr="00FA537A">
        <w:rPr>
          <w:b/>
          <w:bCs/>
          <w:sz w:val="20"/>
          <w:szCs w:val="20"/>
        </w:rPr>
        <w:t xml:space="preserve"> MIBC</w:t>
      </w:r>
      <w:r w:rsidR="00245368" w:rsidRPr="00FA537A">
        <w:rPr>
          <w:sz w:val="20"/>
          <w:szCs w:val="20"/>
        </w:rPr>
        <w:t xml:space="preserve"> were treated by CCRT with weekly </w:t>
      </w:r>
      <w:proofErr w:type="spellStart"/>
      <w:r w:rsidR="00245368" w:rsidRPr="00FA537A">
        <w:rPr>
          <w:sz w:val="20"/>
          <w:szCs w:val="20"/>
        </w:rPr>
        <w:t>cisplatin</w:t>
      </w:r>
      <w:proofErr w:type="spellEnd"/>
      <w:r w:rsidR="00245368" w:rsidRPr="00FA537A">
        <w:rPr>
          <w:sz w:val="20"/>
          <w:szCs w:val="20"/>
        </w:rPr>
        <w:t xml:space="preserve"> at </w:t>
      </w:r>
      <w:proofErr w:type="spellStart"/>
      <w:r w:rsidR="00245368" w:rsidRPr="00FA537A">
        <w:rPr>
          <w:sz w:val="20"/>
          <w:szCs w:val="20"/>
        </w:rPr>
        <w:t>Assiut</w:t>
      </w:r>
      <w:proofErr w:type="spellEnd"/>
      <w:r w:rsidR="00245368" w:rsidRPr="00FA537A">
        <w:rPr>
          <w:sz w:val="20"/>
          <w:szCs w:val="20"/>
        </w:rPr>
        <w:t xml:space="preserve"> University Hospital Between (2012 and 2014). The dose of </w:t>
      </w:r>
      <w:proofErr w:type="spellStart"/>
      <w:r w:rsidR="00245368" w:rsidRPr="00FA537A">
        <w:rPr>
          <w:sz w:val="20"/>
          <w:szCs w:val="20"/>
        </w:rPr>
        <w:t>cisplatin</w:t>
      </w:r>
      <w:proofErr w:type="spellEnd"/>
      <w:r w:rsidR="00245368" w:rsidRPr="00FA537A">
        <w:rPr>
          <w:sz w:val="20"/>
          <w:szCs w:val="20"/>
        </w:rPr>
        <w:t xml:space="preserve"> was set at 40</w:t>
      </w:r>
      <w:r w:rsidR="00FA537A" w:rsidRPr="00FA537A">
        <w:rPr>
          <w:rFonts w:hint="eastAsia"/>
          <w:sz w:val="20"/>
          <w:szCs w:val="20"/>
          <w:lang w:eastAsia="zh-CN"/>
        </w:rPr>
        <w:t xml:space="preserve"> </w:t>
      </w:r>
      <w:r w:rsidR="00245368" w:rsidRPr="00FA537A">
        <w:rPr>
          <w:sz w:val="20"/>
          <w:szCs w:val="20"/>
        </w:rPr>
        <w:t>mg/m</w:t>
      </w:r>
      <w:r w:rsidR="00245368" w:rsidRPr="00FA537A">
        <w:rPr>
          <w:sz w:val="20"/>
          <w:szCs w:val="20"/>
          <w:vertAlign w:val="superscript"/>
        </w:rPr>
        <w:t>2</w:t>
      </w:r>
      <w:r w:rsidR="00245368" w:rsidRPr="00FA537A">
        <w:rPr>
          <w:b/>
          <w:bCs/>
          <w:sz w:val="20"/>
          <w:szCs w:val="20"/>
        </w:rPr>
        <w:t>. Results</w:t>
      </w:r>
      <w:r w:rsidR="00245368" w:rsidRPr="00FA537A">
        <w:rPr>
          <w:sz w:val="20"/>
          <w:szCs w:val="20"/>
        </w:rPr>
        <w:t xml:space="preserve">: The patients range in age from (40-73) years, median age was 57 years and 48% of them </w:t>
      </w:r>
      <w:r w:rsidR="00245368" w:rsidRPr="00FA537A">
        <w:rPr>
          <w:sz w:val="20"/>
          <w:szCs w:val="20"/>
          <w:lang w:eastAsia="ja-JP"/>
        </w:rPr>
        <w:t>≥ 60 years</w:t>
      </w:r>
      <w:r w:rsidR="00245368" w:rsidRPr="00FA537A">
        <w:rPr>
          <w:sz w:val="20"/>
          <w:szCs w:val="20"/>
        </w:rPr>
        <w:t>. Male is significantly affected more than female (23 male</w:t>
      </w:r>
      <w:r w:rsidR="00C16834" w:rsidRPr="00FA537A">
        <w:rPr>
          <w:sz w:val="20"/>
          <w:szCs w:val="20"/>
        </w:rPr>
        <w:t>s</w:t>
      </w:r>
      <w:r w:rsidR="00245368" w:rsidRPr="00FA537A">
        <w:rPr>
          <w:sz w:val="20"/>
          <w:szCs w:val="20"/>
        </w:rPr>
        <w:t xml:space="preserve"> and 2 female</w:t>
      </w:r>
      <w:r w:rsidR="00C16834" w:rsidRPr="00FA537A">
        <w:rPr>
          <w:sz w:val="20"/>
          <w:szCs w:val="20"/>
        </w:rPr>
        <w:t>s</w:t>
      </w:r>
      <w:r w:rsidR="00245368" w:rsidRPr="00FA537A">
        <w:rPr>
          <w:sz w:val="20"/>
          <w:szCs w:val="20"/>
        </w:rPr>
        <w:t>).</w:t>
      </w:r>
      <w:r w:rsidR="00245368" w:rsidRPr="00FA537A">
        <w:rPr>
          <w:sz w:val="20"/>
          <w:szCs w:val="20"/>
          <w:lang w:bidi="ar-EG"/>
        </w:rPr>
        <w:t xml:space="preserve"> Transitional cell carcinoma TCC was the most predominant histological type in </w:t>
      </w:r>
      <w:r w:rsidR="00245368" w:rsidRPr="00FA537A">
        <w:rPr>
          <w:sz w:val="20"/>
          <w:szCs w:val="20"/>
        </w:rPr>
        <w:t>92%</w:t>
      </w:r>
      <w:r w:rsidR="00245368" w:rsidRPr="00FA537A">
        <w:rPr>
          <w:sz w:val="20"/>
          <w:szCs w:val="20"/>
          <w:lang w:bidi="ar-EG"/>
        </w:rPr>
        <w:t xml:space="preserve"> of patients; 56% of patients were grade II and 72% of patients were </w:t>
      </w:r>
      <w:r w:rsidR="003416F4" w:rsidRPr="00FA537A">
        <w:rPr>
          <w:sz w:val="20"/>
          <w:szCs w:val="20"/>
          <w:lang w:bidi="ar-EG"/>
        </w:rPr>
        <w:t xml:space="preserve">stage </w:t>
      </w:r>
      <w:r w:rsidR="00245368" w:rsidRPr="00FA537A">
        <w:rPr>
          <w:sz w:val="20"/>
          <w:szCs w:val="20"/>
          <w:lang w:bidi="ar-EG"/>
        </w:rPr>
        <w:t>III</w:t>
      </w:r>
      <w:r w:rsidR="00245368" w:rsidRPr="00FA537A">
        <w:rPr>
          <w:b/>
          <w:bCs/>
          <w:sz w:val="20"/>
          <w:szCs w:val="20"/>
        </w:rPr>
        <w:t>.</w:t>
      </w:r>
      <w:r w:rsidR="00245368" w:rsidRPr="00FA537A">
        <w:rPr>
          <w:sz w:val="20"/>
          <w:szCs w:val="20"/>
        </w:rPr>
        <w:t xml:space="preserve"> Response to treatment </w:t>
      </w:r>
      <w:r w:rsidR="00245368" w:rsidRPr="00FA537A">
        <w:rPr>
          <w:sz w:val="20"/>
          <w:szCs w:val="20"/>
          <w:lang w:bidi="ar-EG"/>
        </w:rPr>
        <w:t xml:space="preserve">was </w:t>
      </w:r>
      <w:proofErr w:type="spellStart"/>
      <w:r w:rsidR="00245368" w:rsidRPr="00FA537A">
        <w:rPr>
          <w:sz w:val="20"/>
          <w:szCs w:val="20"/>
          <w:lang w:bidi="ar-EG"/>
        </w:rPr>
        <w:t>assed</w:t>
      </w:r>
      <w:proofErr w:type="spellEnd"/>
      <w:r w:rsidR="00245368" w:rsidRPr="00FA537A">
        <w:rPr>
          <w:sz w:val="20"/>
          <w:szCs w:val="20"/>
          <w:lang w:bidi="ar-EG"/>
        </w:rPr>
        <w:t xml:space="preserve"> in 23 patients with </w:t>
      </w:r>
      <w:r w:rsidR="00245368" w:rsidRPr="00FA537A">
        <w:rPr>
          <w:sz w:val="20"/>
          <w:szCs w:val="20"/>
        </w:rPr>
        <w:t xml:space="preserve">complete response rate in 65% </w:t>
      </w:r>
      <w:r w:rsidR="00245368" w:rsidRPr="00FA537A">
        <w:rPr>
          <w:sz w:val="20"/>
          <w:szCs w:val="20"/>
          <w:lang w:bidi="ar-EG"/>
        </w:rPr>
        <w:t>of patients</w:t>
      </w:r>
      <w:r w:rsidR="00245368" w:rsidRPr="00FA537A">
        <w:rPr>
          <w:sz w:val="20"/>
          <w:szCs w:val="20"/>
        </w:rPr>
        <w:t xml:space="preserve"> while partial response and disease progression in 26% and 9%</w:t>
      </w:r>
      <w:r w:rsidR="00245368" w:rsidRPr="00FA537A">
        <w:rPr>
          <w:sz w:val="20"/>
          <w:szCs w:val="20"/>
          <w:lang w:bidi="ar-EG"/>
        </w:rPr>
        <w:t xml:space="preserve"> of patients</w:t>
      </w:r>
      <w:r w:rsidR="00245368" w:rsidRPr="00FA537A">
        <w:rPr>
          <w:sz w:val="20"/>
          <w:szCs w:val="20"/>
        </w:rPr>
        <w:t xml:space="preserve"> respectively</w:t>
      </w:r>
      <w:r w:rsidR="00245368" w:rsidRPr="00FA537A">
        <w:rPr>
          <w:b/>
          <w:bCs/>
          <w:sz w:val="20"/>
          <w:szCs w:val="20"/>
          <w:lang w:eastAsia="ja-JP"/>
        </w:rPr>
        <w:t xml:space="preserve"> </w:t>
      </w:r>
      <w:r w:rsidR="00245368" w:rsidRPr="00FA537A">
        <w:rPr>
          <w:sz w:val="20"/>
          <w:szCs w:val="20"/>
        </w:rPr>
        <w:t xml:space="preserve">and the 2-year disease free survival was 68%. </w:t>
      </w:r>
      <w:r w:rsidR="003416F4" w:rsidRPr="00FA537A">
        <w:rPr>
          <w:sz w:val="20"/>
          <w:szCs w:val="20"/>
        </w:rPr>
        <w:t>Acute</w:t>
      </w:r>
      <w:r w:rsidR="00245368" w:rsidRPr="00FA537A">
        <w:rPr>
          <w:sz w:val="20"/>
          <w:szCs w:val="20"/>
        </w:rPr>
        <w:t xml:space="preserve"> treatment toxicity mainly </w:t>
      </w:r>
      <w:r w:rsidR="003416F4" w:rsidRPr="00FA537A">
        <w:rPr>
          <w:sz w:val="20"/>
          <w:szCs w:val="20"/>
        </w:rPr>
        <w:t xml:space="preserve">Grade 3 </w:t>
      </w:r>
      <w:r w:rsidR="00245368" w:rsidRPr="00FA537A">
        <w:rPr>
          <w:sz w:val="20"/>
          <w:szCs w:val="20"/>
        </w:rPr>
        <w:t xml:space="preserve">hematological and, genitourinary side effects in 13% and 8% </w:t>
      </w:r>
      <w:r w:rsidR="00245368" w:rsidRPr="00FA537A">
        <w:rPr>
          <w:sz w:val="20"/>
          <w:szCs w:val="20"/>
          <w:lang w:bidi="ar-EG"/>
        </w:rPr>
        <w:t>of patients</w:t>
      </w:r>
      <w:r w:rsidR="00245368" w:rsidRPr="00FA537A">
        <w:rPr>
          <w:sz w:val="20"/>
          <w:szCs w:val="20"/>
        </w:rPr>
        <w:t xml:space="preserve"> respectively. </w:t>
      </w:r>
      <w:r w:rsidR="00245368" w:rsidRPr="00FA537A">
        <w:rPr>
          <w:b/>
          <w:bCs/>
          <w:sz w:val="20"/>
          <w:szCs w:val="20"/>
        </w:rPr>
        <w:t>Conclusions</w:t>
      </w:r>
      <w:r w:rsidR="00245368" w:rsidRPr="00FA537A">
        <w:rPr>
          <w:sz w:val="20"/>
          <w:szCs w:val="20"/>
        </w:rPr>
        <w:t xml:space="preserve">: </w:t>
      </w:r>
      <w:proofErr w:type="spellStart"/>
      <w:r w:rsidR="00245368" w:rsidRPr="00FA537A">
        <w:rPr>
          <w:sz w:val="20"/>
          <w:szCs w:val="20"/>
        </w:rPr>
        <w:t>chemoradiation</w:t>
      </w:r>
      <w:proofErr w:type="spellEnd"/>
      <w:r w:rsidR="00245368" w:rsidRPr="00FA537A">
        <w:rPr>
          <w:sz w:val="20"/>
          <w:szCs w:val="20"/>
        </w:rPr>
        <w:t xml:space="preserve"> with weekly </w:t>
      </w:r>
      <w:proofErr w:type="spellStart"/>
      <w:r w:rsidR="00245368" w:rsidRPr="00FA537A">
        <w:rPr>
          <w:sz w:val="20"/>
          <w:szCs w:val="20"/>
        </w:rPr>
        <w:t>cisplatin</w:t>
      </w:r>
      <w:proofErr w:type="spellEnd"/>
      <w:r w:rsidR="00245368" w:rsidRPr="00FA537A">
        <w:rPr>
          <w:sz w:val="20"/>
          <w:szCs w:val="20"/>
        </w:rPr>
        <w:t xml:space="preserve"> seams to be a good treatment option especially in elderly patients with acceptable response rate and limited GU and hematological toxicity.</w:t>
      </w:r>
    </w:p>
    <w:p w:rsidR="002C23A6" w:rsidRPr="00FA537A" w:rsidRDefault="00245368" w:rsidP="002C23A6">
      <w:pPr>
        <w:pStyle w:val="NoSpacing"/>
        <w:snapToGrid w:val="0"/>
        <w:spacing w:before="0" w:beforeAutospacing="0" w:after="0" w:afterAutospacing="0"/>
        <w:jc w:val="both"/>
        <w:rPr>
          <w:sz w:val="20"/>
          <w:szCs w:val="20"/>
        </w:rPr>
      </w:pPr>
      <w:r w:rsidRPr="00FA537A">
        <w:rPr>
          <w:sz w:val="20"/>
          <w:szCs w:val="20"/>
          <w:u w:val="single"/>
          <w:lang w:bidi="ar-EG"/>
        </w:rPr>
        <w:t>[</w:t>
      </w:r>
      <w:proofErr w:type="spellStart"/>
      <w:r w:rsidRPr="00FA537A">
        <w:rPr>
          <w:sz w:val="20"/>
          <w:szCs w:val="20"/>
          <w:lang w:bidi="ar-EG"/>
        </w:rPr>
        <w:t>Abeer</w:t>
      </w:r>
      <w:proofErr w:type="spellEnd"/>
      <w:r w:rsidRPr="00FA537A">
        <w:rPr>
          <w:sz w:val="20"/>
          <w:szCs w:val="20"/>
          <w:lang w:bidi="ar-EG"/>
        </w:rPr>
        <w:t xml:space="preserve"> F </w:t>
      </w:r>
      <w:proofErr w:type="spellStart"/>
      <w:r w:rsidRPr="00FA537A">
        <w:rPr>
          <w:sz w:val="20"/>
          <w:szCs w:val="20"/>
          <w:lang w:bidi="ar-EG"/>
        </w:rPr>
        <w:t>Amin</w:t>
      </w:r>
      <w:proofErr w:type="spellEnd"/>
      <w:r w:rsidRPr="00FA537A">
        <w:rPr>
          <w:sz w:val="20"/>
          <w:szCs w:val="20"/>
          <w:lang w:bidi="ar-EG"/>
        </w:rPr>
        <w:t xml:space="preserve">. </w:t>
      </w:r>
      <w:proofErr w:type="gramStart"/>
      <w:r w:rsidRPr="00FA537A">
        <w:rPr>
          <w:b/>
          <w:sz w:val="20"/>
          <w:szCs w:val="20"/>
        </w:rPr>
        <w:t xml:space="preserve">Concurrent </w:t>
      </w:r>
      <w:proofErr w:type="spellStart"/>
      <w:r w:rsidRPr="00FA537A">
        <w:rPr>
          <w:b/>
          <w:sz w:val="20"/>
          <w:szCs w:val="20"/>
        </w:rPr>
        <w:t>chemoradiotherapy</w:t>
      </w:r>
      <w:proofErr w:type="spellEnd"/>
      <w:r w:rsidRPr="00FA537A">
        <w:rPr>
          <w:b/>
          <w:sz w:val="20"/>
          <w:szCs w:val="20"/>
        </w:rPr>
        <w:t xml:space="preserve"> with weekly </w:t>
      </w:r>
      <w:proofErr w:type="spellStart"/>
      <w:r w:rsidRPr="00FA537A">
        <w:rPr>
          <w:b/>
          <w:sz w:val="20"/>
          <w:szCs w:val="20"/>
        </w:rPr>
        <w:t>cisplatin</w:t>
      </w:r>
      <w:proofErr w:type="spellEnd"/>
      <w:r w:rsidRPr="00FA537A">
        <w:rPr>
          <w:b/>
          <w:sz w:val="20"/>
          <w:szCs w:val="20"/>
        </w:rPr>
        <w:t xml:space="preserve"> in muscle-invasive bladder cancer patients</w:t>
      </w:r>
      <w:r w:rsidR="002C23A6" w:rsidRPr="00FA537A">
        <w:rPr>
          <w:rFonts w:eastAsia="Times New Roman"/>
          <w:b/>
          <w:bCs/>
          <w:sz w:val="20"/>
          <w:szCs w:val="20"/>
          <w:lang w:bidi="fa-IR"/>
        </w:rPr>
        <w:t>.</w:t>
      </w:r>
      <w:proofErr w:type="gramEnd"/>
      <w:r w:rsidR="002C23A6" w:rsidRPr="00FA537A">
        <w:rPr>
          <w:i/>
          <w:sz w:val="20"/>
          <w:szCs w:val="20"/>
        </w:rPr>
        <w:t xml:space="preserve"> Cancer Biology</w:t>
      </w:r>
      <w:r w:rsidR="002C23A6" w:rsidRPr="00FA537A">
        <w:rPr>
          <w:sz w:val="20"/>
          <w:szCs w:val="20"/>
        </w:rPr>
        <w:t xml:space="preserve"> 201</w:t>
      </w:r>
      <w:r w:rsidR="002C23A6" w:rsidRPr="00FA537A">
        <w:rPr>
          <w:rFonts w:hint="eastAsia"/>
          <w:sz w:val="20"/>
          <w:szCs w:val="20"/>
        </w:rPr>
        <w:t>6</w:t>
      </w:r>
      <w:proofErr w:type="gramStart"/>
      <w:r w:rsidR="002C23A6" w:rsidRPr="00FA537A">
        <w:rPr>
          <w:sz w:val="20"/>
          <w:szCs w:val="20"/>
        </w:rPr>
        <w:t>;</w:t>
      </w:r>
      <w:r w:rsidR="002C23A6" w:rsidRPr="00FA537A">
        <w:rPr>
          <w:rFonts w:hint="eastAsia"/>
          <w:sz w:val="20"/>
          <w:szCs w:val="20"/>
        </w:rPr>
        <w:t>6</w:t>
      </w:r>
      <w:proofErr w:type="gramEnd"/>
      <w:r w:rsidR="002C23A6" w:rsidRPr="00FA537A">
        <w:rPr>
          <w:sz w:val="20"/>
          <w:szCs w:val="20"/>
        </w:rPr>
        <w:t>(</w:t>
      </w:r>
      <w:r w:rsidR="002C23A6" w:rsidRPr="00FA537A">
        <w:rPr>
          <w:rFonts w:hint="eastAsia"/>
          <w:sz w:val="20"/>
          <w:szCs w:val="20"/>
        </w:rPr>
        <w:t>1</w:t>
      </w:r>
      <w:r w:rsidR="002C23A6" w:rsidRPr="00FA537A">
        <w:rPr>
          <w:sz w:val="20"/>
          <w:szCs w:val="20"/>
        </w:rPr>
        <w:t>):</w:t>
      </w:r>
      <w:r w:rsidR="007715F7" w:rsidRPr="00FA537A">
        <w:rPr>
          <w:noProof/>
          <w:color w:val="000000"/>
          <w:sz w:val="20"/>
          <w:szCs w:val="20"/>
        </w:rPr>
        <w:t>1</w:t>
      </w:r>
      <w:r w:rsidR="002C23A6" w:rsidRPr="00FA537A">
        <w:rPr>
          <w:color w:val="000000"/>
          <w:sz w:val="20"/>
          <w:szCs w:val="20"/>
        </w:rPr>
        <w:t>-</w:t>
      </w:r>
      <w:r w:rsidR="007715F7" w:rsidRPr="00FA537A">
        <w:rPr>
          <w:noProof/>
          <w:color w:val="000000"/>
          <w:sz w:val="20"/>
          <w:szCs w:val="20"/>
        </w:rPr>
        <w:t>5</w:t>
      </w:r>
      <w:r w:rsidR="002C23A6" w:rsidRPr="00FA537A">
        <w:rPr>
          <w:sz w:val="20"/>
          <w:szCs w:val="20"/>
        </w:rPr>
        <w:t>]. (ISSN:</w:t>
      </w:r>
      <w:r w:rsidR="002C23A6" w:rsidRPr="00FA537A">
        <w:rPr>
          <w:rStyle w:val="Absatz-Standardschriftart"/>
          <w:rFonts w:eastAsia="宋"/>
          <w:b/>
          <w:sz w:val="20"/>
          <w:szCs w:val="20"/>
        </w:rPr>
        <w:t xml:space="preserve"> </w:t>
      </w:r>
      <w:r w:rsidR="002C23A6" w:rsidRPr="00FA537A">
        <w:rPr>
          <w:rStyle w:val="msonormal0"/>
          <w:rFonts w:eastAsia="宋"/>
          <w:sz w:val="20"/>
          <w:szCs w:val="20"/>
        </w:rPr>
        <w:t>2150-1041</w:t>
      </w:r>
      <w:r w:rsidR="002C23A6" w:rsidRPr="00FA537A">
        <w:rPr>
          <w:sz w:val="20"/>
          <w:szCs w:val="20"/>
        </w:rPr>
        <w:t xml:space="preserve">). </w:t>
      </w:r>
      <w:hyperlink r:id="rId7" w:history="1">
        <w:r w:rsidR="002C23A6" w:rsidRPr="00FA537A">
          <w:rPr>
            <w:rStyle w:val="Hyperlink"/>
            <w:sz w:val="20"/>
            <w:szCs w:val="20"/>
          </w:rPr>
          <w:t>http://www.cancerbio.net</w:t>
        </w:r>
      </w:hyperlink>
      <w:r w:rsidR="002C23A6" w:rsidRPr="00FA537A">
        <w:rPr>
          <w:sz w:val="20"/>
          <w:szCs w:val="20"/>
        </w:rPr>
        <w:t>.</w:t>
      </w:r>
      <w:r w:rsidR="002C23A6" w:rsidRPr="00FA537A">
        <w:rPr>
          <w:rFonts w:hint="eastAsia"/>
          <w:sz w:val="20"/>
          <w:szCs w:val="20"/>
        </w:rPr>
        <w:t xml:space="preserve"> 1. </w:t>
      </w:r>
      <w:proofErr w:type="gramStart"/>
      <w:r w:rsidR="002C23A6" w:rsidRPr="00FA537A">
        <w:rPr>
          <w:color w:val="000000"/>
          <w:sz w:val="20"/>
          <w:szCs w:val="20"/>
          <w:shd w:val="clear" w:color="auto" w:fill="FFFFFF"/>
        </w:rPr>
        <w:t>doi</w:t>
      </w:r>
      <w:proofErr w:type="gramEnd"/>
      <w:r w:rsidR="002C23A6" w:rsidRPr="00FA537A">
        <w:rPr>
          <w:color w:val="000000"/>
          <w:sz w:val="20"/>
          <w:szCs w:val="20"/>
          <w:shd w:val="clear" w:color="auto" w:fill="FFFFFF"/>
        </w:rPr>
        <w:t>:</w:t>
      </w:r>
      <w:hyperlink r:id="rId8" w:history="1">
        <w:r w:rsidR="002C23A6" w:rsidRPr="00FA537A">
          <w:rPr>
            <w:rStyle w:val="Hyperlink"/>
            <w:sz w:val="20"/>
            <w:szCs w:val="20"/>
            <w:shd w:val="clear" w:color="auto" w:fill="FFFFFF"/>
          </w:rPr>
          <w:t>10.7537/mars</w:t>
        </w:r>
        <w:r w:rsidR="002C23A6" w:rsidRPr="00FA537A">
          <w:rPr>
            <w:rStyle w:val="Hyperlink"/>
            <w:rFonts w:hint="eastAsia"/>
            <w:sz w:val="20"/>
            <w:szCs w:val="20"/>
            <w:shd w:val="clear" w:color="auto" w:fill="FFFFFF"/>
          </w:rPr>
          <w:t>cbj0601</w:t>
        </w:r>
        <w:r w:rsidR="002C23A6" w:rsidRPr="00FA537A">
          <w:rPr>
            <w:rStyle w:val="Hyperlink"/>
            <w:sz w:val="20"/>
            <w:szCs w:val="20"/>
            <w:shd w:val="clear" w:color="auto" w:fill="FFFFFF"/>
          </w:rPr>
          <w:t>1</w:t>
        </w:r>
        <w:r w:rsidR="002C23A6" w:rsidRPr="00FA537A">
          <w:rPr>
            <w:rStyle w:val="Hyperlink"/>
            <w:rFonts w:hint="eastAsia"/>
            <w:sz w:val="20"/>
            <w:szCs w:val="20"/>
            <w:shd w:val="clear" w:color="auto" w:fill="FFFFFF"/>
          </w:rPr>
          <w:t>6</w:t>
        </w:r>
        <w:r w:rsidR="002C23A6" w:rsidRPr="00FA537A">
          <w:rPr>
            <w:rStyle w:val="Hyperlink"/>
            <w:sz w:val="20"/>
            <w:szCs w:val="20"/>
            <w:shd w:val="clear" w:color="auto" w:fill="FFFFFF"/>
          </w:rPr>
          <w:t>.0</w:t>
        </w:r>
        <w:r w:rsidR="002C23A6" w:rsidRPr="00FA537A">
          <w:rPr>
            <w:rStyle w:val="Hyperlink"/>
            <w:rFonts w:hint="eastAsia"/>
            <w:sz w:val="20"/>
            <w:szCs w:val="20"/>
            <w:shd w:val="clear" w:color="auto" w:fill="FFFFFF"/>
          </w:rPr>
          <w:t>1</w:t>
        </w:r>
      </w:hyperlink>
      <w:r w:rsidR="002C23A6" w:rsidRPr="00FA537A">
        <w:rPr>
          <w:color w:val="000000"/>
          <w:sz w:val="20"/>
          <w:szCs w:val="20"/>
          <w:shd w:val="clear" w:color="auto" w:fill="FFFFFF"/>
        </w:rPr>
        <w:t>.</w:t>
      </w:r>
    </w:p>
    <w:p w:rsidR="00245368" w:rsidRPr="00FA537A" w:rsidRDefault="00245368" w:rsidP="002C23A6">
      <w:pPr>
        <w:pStyle w:val="Heading1"/>
        <w:keepNext w:val="0"/>
        <w:bidi w:val="0"/>
        <w:snapToGrid w:val="0"/>
        <w:spacing w:before="0" w:after="0"/>
        <w:jc w:val="both"/>
        <w:rPr>
          <w:rFonts w:ascii="Times New Roman" w:hAnsi="Times New Roman" w:cs="Times New Roman"/>
          <w:b w:val="0"/>
          <w:bCs w:val="0"/>
          <w:kern w:val="0"/>
          <w:sz w:val="20"/>
          <w:szCs w:val="20"/>
          <w:lang w:bidi="ar-EG"/>
        </w:rPr>
      </w:pPr>
    </w:p>
    <w:p w:rsidR="00245368" w:rsidRPr="00FA537A" w:rsidRDefault="00245368" w:rsidP="002C23A6">
      <w:pPr>
        <w:bidi w:val="0"/>
        <w:snapToGrid w:val="0"/>
        <w:jc w:val="both"/>
        <w:rPr>
          <w:b/>
          <w:bCs/>
          <w:sz w:val="20"/>
          <w:szCs w:val="20"/>
          <w:u w:val="single"/>
          <w:lang w:bidi="ar-EG"/>
        </w:rPr>
      </w:pPr>
      <w:r w:rsidRPr="00FA537A">
        <w:rPr>
          <w:b/>
          <w:bCs/>
          <w:sz w:val="20"/>
          <w:szCs w:val="20"/>
          <w:lang w:bidi="ar-EG"/>
        </w:rPr>
        <w:t>Key words:</w:t>
      </w:r>
      <w:r w:rsidR="00C16834" w:rsidRPr="00FA537A">
        <w:rPr>
          <w:sz w:val="20"/>
          <w:szCs w:val="20"/>
        </w:rPr>
        <w:t xml:space="preserve"> </w:t>
      </w:r>
      <w:proofErr w:type="spellStart"/>
      <w:r w:rsidR="003416F4" w:rsidRPr="00FA537A">
        <w:rPr>
          <w:sz w:val="20"/>
          <w:szCs w:val="20"/>
        </w:rPr>
        <w:t>chemoradiotherapy</w:t>
      </w:r>
      <w:proofErr w:type="spellEnd"/>
      <w:r w:rsidR="003416F4" w:rsidRPr="00FA537A">
        <w:rPr>
          <w:sz w:val="20"/>
          <w:szCs w:val="20"/>
        </w:rPr>
        <w:t>,</w:t>
      </w:r>
      <w:r w:rsidR="00C16834" w:rsidRPr="00FA537A">
        <w:rPr>
          <w:sz w:val="20"/>
          <w:szCs w:val="20"/>
        </w:rPr>
        <w:t xml:space="preserve"> weekly </w:t>
      </w:r>
      <w:proofErr w:type="spellStart"/>
      <w:r w:rsidR="003416F4" w:rsidRPr="00FA537A">
        <w:rPr>
          <w:sz w:val="20"/>
          <w:szCs w:val="20"/>
        </w:rPr>
        <w:t>cisplatin</w:t>
      </w:r>
      <w:proofErr w:type="spellEnd"/>
      <w:r w:rsidR="003416F4" w:rsidRPr="00FA537A">
        <w:rPr>
          <w:sz w:val="20"/>
          <w:szCs w:val="20"/>
        </w:rPr>
        <w:t>,</w:t>
      </w:r>
      <w:r w:rsidR="00C16834" w:rsidRPr="00FA537A">
        <w:rPr>
          <w:sz w:val="20"/>
          <w:szCs w:val="20"/>
        </w:rPr>
        <w:t xml:space="preserve"> muscle-invasive bladder cancer</w:t>
      </w:r>
    </w:p>
    <w:p w:rsidR="005760FC" w:rsidRPr="00FA537A" w:rsidRDefault="005760FC" w:rsidP="002C23A6">
      <w:pPr>
        <w:bidi w:val="0"/>
        <w:snapToGrid w:val="0"/>
        <w:jc w:val="both"/>
        <w:rPr>
          <w:b/>
          <w:bCs/>
          <w:sz w:val="20"/>
          <w:szCs w:val="20"/>
          <w:lang w:bidi="ar-EG"/>
        </w:rPr>
      </w:pPr>
    </w:p>
    <w:p w:rsidR="002C23A6" w:rsidRPr="00FA537A" w:rsidRDefault="002C23A6" w:rsidP="002C23A6">
      <w:pPr>
        <w:bidi w:val="0"/>
        <w:snapToGrid w:val="0"/>
        <w:jc w:val="both"/>
        <w:rPr>
          <w:b/>
          <w:bCs/>
          <w:sz w:val="20"/>
          <w:szCs w:val="20"/>
          <w:lang w:bidi="ar-EG"/>
        </w:rPr>
        <w:sectPr w:rsidR="002C23A6" w:rsidRPr="00FA537A" w:rsidSect="007715F7">
          <w:headerReference w:type="default" r:id="rId9"/>
          <w:footerReference w:type="even" r:id="rId10"/>
          <w:footerReference w:type="default" r:id="rId11"/>
          <w:type w:val="continuous"/>
          <w:pgSz w:w="12242" w:h="15842" w:code="1"/>
          <w:pgMar w:top="1440" w:right="1440" w:bottom="1440" w:left="1440" w:header="720" w:footer="720" w:gutter="0"/>
          <w:pgNumType w:start="1"/>
          <w:cols w:space="720"/>
          <w:bidi/>
          <w:docGrid w:linePitch="360"/>
        </w:sectPr>
      </w:pPr>
    </w:p>
    <w:p w:rsidR="00665909" w:rsidRPr="00FA537A" w:rsidRDefault="00245368" w:rsidP="002C23A6">
      <w:pPr>
        <w:bidi w:val="0"/>
        <w:snapToGrid w:val="0"/>
        <w:jc w:val="both"/>
        <w:rPr>
          <w:b/>
          <w:bCs/>
          <w:sz w:val="20"/>
          <w:szCs w:val="20"/>
          <w:lang w:bidi="ar-EG"/>
        </w:rPr>
      </w:pPr>
      <w:r w:rsidRPr="00FA537A">
        <w:rPr>
          <w:b/>
          <w:bCs/>
          <w:sz w:val="20"/>
          <w:szCs w:val="20"/>
          <w:lang w:bidi="ar-EG"/>
        </w:rPr>
        <w:lastRenderedPageBreak/>
        <w:t xml:space="preserve">1. </w:t>
      </w:r>
      <w:r w:rsidR="00665909" w:rsidRPr="00FA537A">
        <w:rPr>
          <w:b/>
          <w:bCs/>
          <w:sz w:val="20"/>
          <w:szCs w:val="20"/>
          <w:lang w:bidi="ar-EG"/>
        </w:rPr>
        <w:t>Introduction:</w:t>
      </w:r>
    </w:p>
    <w:p w:rsidR="0030595D" w:rsidRPr="00FA537A" w:rsidRDefault="0029793F" w:rsidP="002C23A6">
      <w:pPr>
        <w:bidi w:val="0"/>
        <w:snapToGrid w:val="0"/>
        <w:ind w:firstLine="425"/>
        <w:jc w:val="both"/>
        <w:rPr>
          <w:sz w:val="20"/>
          <w:szCs w:val="20"/>
        </w:rPr>
      </w:pPr>
      <w:r w:rsidRPr="00FA537A">
        <w:rPr>
          <w:sz w:val="20"/>
          <w:szCs w:val="20"/>
          <w:lang w:bidi="ar-EG"/>
        </w:rPr>
        <w:t>Bladder cancer is the 7</w:t>
      </w:r>
      <w:r w:rsidRPr="00FA537A">
        <w:rPr>
          <w:sz w:val="20"/>
          <w:szCs w:val="20"/>
          <w:vertAlign w:val="superscript"/>
          <w:lang w:bidi="ar-EG"/>
        </w:rPr>
        <w:t>th</w:t>
      </w:r>
      <w:r w:rsidRPr="00FA537A">
        <w:rPr>
          <w:sz w:val="20"/>
          <w:szCs w:val="20"/>
          <w:lang w:bidi="ar-EG"/>
        </w:rPr>
        <w:t xml:space="preserve"> most common cancer in men and the 17</w:t>
      </w:r>
      <w:r w:rsidRPr="00FA537A">
        <w:rPr>
          <w:sz w:val="20"/>
          <w:szCs w:val="20"/>
          <w:vertAlign w:val="superscript"/>
          <w:lang w:bidi="ar-EG"/>
        </w:rPr>
        <w:t>th</w:t>
      </w:r>
      <w:r w:rsidRPr="00FA537A">
        <w:rPr>
          <w:sz w:val="20"/>
          <w:szCs w:val="20"/>
          <w:lang w:bidi="ar-EG"/>
        </w:rPr>
        <w:t xml:space="preserve"> most common in women worldwide </w:t>
      </w:r>
      <w:r w:rsidRPr="00FA537A">
        <w:rPr>
          <w:sz w:val="20"/>
          <w:szCs w:val="20"/>
          <w:vertAlign w:val="superscript"/>
          <w:lang w:bidi="ar-EG"/>
        </w:rPr>
        <w:t>(1).</w:t>
      </w:r>
      <w:r w:rsidRPr="00FA537A">
        <w:rPr>
          <w:sz w:val="20"/>
          <w:szCs w:val="20"/>
          <w:lang w:bidi="ar-EG"/>
        </w:rPr>
        <w:t xml:space="preserve"> Radical </w:t>
      </w:r>
      <w:proofErr w:type="spellStart"/>
      <w:r w:rsidRPr="00FA537A">
        <w:rPr>
          <w:sz w:val="20"/>
          <w:szCs w:val="20"/>
          <w:lang w:bidi="ar-EG"/>
        </w:rPr>
        <w:t>cystectomy</w:t>
      </w:r>
      <w:proofErr w:type="spellEnd"/>
      <w:r w:rsidRPr="00FA537A">
        <w:rPr>
          <w:sz w:val="20"/>
          <w:szCs w:val="20"/>
          <w:lang w:bidi="ar-EG"/>
        </w:rPr>
        <w:t xml:space="preserve"> is the standard therapy for these patients with an expected 5-year survival of 45–60%. However, radical surgery comes at the cost of long-term morbidity secondary to urinary diversion techniques </w:t>
      </w:r>
      <w:r w:rsidRPr="00FA537A">
        <w:rPr>
          <w:sz w:val="20"/>
          <w:szCs w:val="20"/>
          <w:vertAlign w:val="superscript"/>
          <w:lang w:bidi="ar-EG"/>
        </w:rPr>
        <w:t>(2)</w:t>
      </w:r>
      <w:r w:rsidRPr="00FA537A">
        <w:rPr>
          <w:sz w:val="20"/>
          <w:szCs w:val="20"/>
          <w:lang w:bidi="ar-EG"/>
        </w:rPr>
        <w:t>.</w:t>
      </w:r>
    </w:p>
    <w:p w:rsidR="001D3612" w:rsidRPr="00FA537A" w:rsidRDefault="0030595D" w:rsidP="002C23A6">
      <w:pPr>
        <w:bidi w:val="0"/>
        <w:snapToGrid w:val="0"/>
        <w:ind w:firstLine="425"/>
        <w:jc w:val="both"/>
        <w:rPr>
          <w:sz w:val="20"/>
          <w:szCs w:val="20"/>
        </w:rPr>
      </w:pPr>
      <w:r w:rsidRPr="00FA537A">
        <w:rPr>
          <w:sz w:val="20"/>
          <w:szCs w:val="20"/>
        </w:rPr>
        <w:t xml:space="preserve">As an organ-preserving treatment alternative to radical surgery for muscle-invasive bladder cancer, a </w:t>
      </w:r>
      <w:proofErr w:type="spellStart"/>
      <w:r w:rsidRPr="00FA537A">
        <w:rPr>
          <w:sz w:val="20"/>
          <w:szCs w:val="20"/>
        </w:rPr>
        <w:t>trimodality</w:t>
      </w:r>
      <w:proofErr w:type="spellEnd"/>
      <w:r w:rsidRPr="00FA537A">
        <w:rPr>
          <w:sz w:val="20"/>
          <w:szCs w:val="20"/>
        </w:rPr>
        <w:t xml:space="preserve"> therapy (TMT) approach that includes initial maximal transurethral tumor resection of the bladder tumor (TURBT) followed by radiotherapy combined with various forms of </w:t>
      </w:r>
      <w:proofErr w:type="spellStart"/>
      <w:r w:rsidRPr="00FA537A">
        <w:rPr>
          <w:sz w:val="20"/>
          <w:szCs w:val="20"/>
        </w:rPr>
        <w:t>neoadjuvant</w:t>
      </w:r>
      <w:proofErr w:type="spellEnd"/>
      <w:r w:rsidRPr="00FA537A">
        <w:rPr>
          <w:sz w:val="20"/>
          <w:szCs w:val="20"/>
        </w:rPr>
        <w:t xml:space="preserve">, concurrent, and adjuvant chemotherapy protocols has been tested in series at single institutions and in prospective clinical trials by cooperative groups, such as the Radiation Therapy Oncology Group (RTOG), over several decades. With this approach, radical </w:t>
      </w:r>
      <w:proofErr w:type="spellStart"/>
      <w:r w:rsidRPr="00FA537A">
        <w:rPr>
          <w:sz w:val="20"/>
          <w:szCs w:val="20"/>
        </w:rPr>
        <w:t>cystectomy</w:t>
      </w:r>
      <w:proofErr w:type="spellEnd"/>
      <w:r w:rsidRPr="00FA537A">
        <w:rPr>
          <w:sz w:val="20"/>
          <w:szCs w:val="20"/>
        </w:rPr>
        <w:t xml:space="preserve"> is reserved as a salvage option for patients with incomplete responses to (induction) </w:t>
      </w:r>
      <w:proofErr w:type="spellStart"/>
      <w:r w:rsidRPr="00FA537A">
        <w:rPr>
          <w:sz w:val="20"/>
          <w:szCs w:val="20"/>
        </w:rPr>
        <w:t>chemoradiotherapy</w:t>
      </w:r>
      <w:proofErr w:type="spellEnd"/>
      <w:r w:rsidRPr="00FA537A">
        <w:rPr>
          <w:sz w:val="20"/>
          <w:szCs w:val="20"/>
        </w:rPr>
        <w:t xml:space="preserve"> or with invasive local recurrence</w:t>
      </w:r>
      <w:r w:rsidR="00260A88" w:rsidRPr="00FA537A">
        <w:rPr>
          <w:sz w:val="20"/>
          <w:szCs w:val="20"/>
        </w:rPr>
        <w:t xml:space="preserve"> </w:t>
      </w:r>
      <w:r w:rsidRPr="00FA537A">
        <w:rPr>
          <w:sz w:val="20"/>
          <w:szCs w:val="20"/>
          <w:vertAlign w:val="superscript"/>
        </w:rPr>
        <w:t>(</w:t>
      </w:r>
      <w:r w:rsidR="0029793F" w:rsidRPr="00FA537A">
        <w:rPr>
          <w:sz w:val="20"/>
          <w:szCs w:val="20"/>
          <w:vertAlign w:val="superscript"/>
        </w:rPr>
        <w:t>3</w:t>
      </w:r>
      <w:r w:rsidRPr="00FA537A">
        <w:rPr>
          <w:sz w:val="20"/>
          <w:szCs w:val="20"/>
          <w:vertAlign w:val="superscript"/>
        </w:rPr>
        <w:t>)</w:t>
      </w:r>
      <w:r w:rsidR="00914BAE" w:rsidRPr="00FA537A">
        <w:rPr>
          <w:sz w:val="20"/>
          <w:szCs w:val="20"/>
        </w:rPr>
        <w:t>.</w:t>
      </w:r>
    </w:p>
    <w:p w:rsidR="00FB0DC5" w:rsidRPr="00FA537A" w:rsidRDefault="0030595D" w:rsidP="002C23A6">
      <w:pPr>
        <w:bidi w:val="0"/>
        <w:snapToGrid w:val="0"/>
        <w:ind w:firstLine="425"/>
        <w:jc w:val="both"/>
        <w:rPr>
          <w:sz w:val="20"/>
          <w:szCs w:val="20"/>
        </w:rPr>
      </w:pPr>
      <w:r w:rsidRPr="00FA537A">
        <w:rPr>
          <w:sz w:val="20"/>
          <w:szCs w:val="20"/>
        </w:rPr>
        <w:t>A recent systematic review of all available retrospective and prospective series and studies of TMT for muscle-invasive bladder cancer confirmed cancer-specific and overall survival rates in the range of 50% to 82% and 36% to 74%,</w:t>
      </w:r>
      <w:r w:rsidR="00373C82" w:rsidRPr="00FA537A">
        <w:rPr>
          <w:sz w:val="20"/>
          <w:szCs w:val="20"/>
        </w:rPr>
        <w:t xml:space="preserve"> respectively</w:t>
      </w:r>
      <w:r w:rsidRPr="00FA537A">
        <w:rPr>
          <w:sz w:val="20"/>
          <w:szCs w:val="20"/>
        </w:rPr>
        <w:t xml:space="preserve">, with salvage </w:t>
      </w:r>
      <w:proofErr w:type="spellStart"/>
      <w:r w:rsidRPr="00FA537A">
        <w:rPr>
          <w:sz w:val="20"/>
          <w:szCs w:val="20"/>
        </w:rPr>
        <w:t>cystectomy</w:t>
      </w:r>
      <w:proofErr w:type="spellEnd"/>
      <w:r w:rsidRPr="00FA537A">
        <w:rPr>
          <w:sz w:val="20"/>
          <w:szCs w:val="20"/>
        </w:rPr>
        <w:t xml:space="preserve"> restricted to 25% to 30% of patients</w:t>
      </w:r>
      <w:r w:rsidR="00914BAE" w:rsidRPr="00FA537A">
        <w:rPr>
          <w:sz w:val="20"/>
          <w:szCs w:val="20"/>
          <w:lang w:bidi="ar-EG"/>
        </w:rPr>
        <w:t xml:space="preserve"> </w:t>
      </w:r>
      <w:r w:rsidR="00FB0DC5" w:rsidRPr="00FA537A">
        <w:rPr>
          <w:sz w:val="20"/>
          <w:szCs w:val="20"/>
          <w:vertAlign w:val="superscript"/>
          <w:lang w:bidi="ar-EG"/>
        </w:rPr>
        <w:t>(</w:t>
      </w:r>
      <w:r w:rsidR="0029793F" w:rsidRPr="00FA537A">
        <w:rPr>
          <w:sz w:val="20"/>
          <w:szCs w:val="20"/>
          <w:vertAlign w:val="superscript"/>
          <w:lang w:bidi="ar-EG"/>
        </w:rPr>
        <w:t>4</w:t>
      </w:r>
      <w:r w:rsidR="00FB0DC5" w:rsidRPr="00FA537A">
        <w:rPr>
          <w:sz w:val="20"/>
          <w:szCs w:val="20"/>
          <w:vertAlign w:val="superscript"/>
          <w:lang w:bidi="ar-EG"/>
        </w:rPr>
        <w:t>)</w:t>
      </w:r>
      <w:r w:rsidR="00914BAE" w:rsidRPr="00FA537A">
        <w:rPr>
          <w:sz w:val="20"/>
          <w:szCs w:val="20"/>
          <w:lang w:bidi="ar-EG"/>
        </w:rPr>
        <w:t>.</w:t>
      </w:r>
    </w:p>
    <w:p w:rsidR="00C115AC" w:rsidRPr="00FA537A" w:rsidRDefault="00FB0DC5" w:rsidP="002C23A6">
      <w:pPr>
        <w:bidi w:val="0"/>
        <w:snapToGrid w:val="0"/>
        <w:ind w:firstLine="425"/>
        <w:jc w:val="both"/>
        <w:rPr>
          <w:color w:val="000000" w:themeColor="text1"/>
          <w:sz w:val="20"/>
          <w:szCs w:val="20"/>
        </w:rPr>
      </w:pPr>
      <w:proofErr w:type="spellStart"/>
      <w:r w:rsidRPr="00FA537A">
        <w:rPr>
          <w:color w:val="000000" w:themeColor="text1"/>
          <w:sz w:val="20"/>
          <w:szCs w:val="20"/>
        </w:rPr>
        <w:lastRenderedPageBreak/>
        <w:t>Mak</w:t>
      </w:r>
      <w:proofErr w:type="spellEnd"/>
      <w:r w:rsidRPr="00FA537A">
        <w:rPr>
          <w:color w:val="000000" w:themeColor="text1"/>
          <w:sz w:val="20"/>
          <w:szCs w:val="20"/>
        </w:rPr>
        <w:t xml:space="preserve"> </w:t>
      </w:r>
      <w:r w:rsidRPr="00FA537A">
        <w:rPr>
          <w:i/>
          <w:iCs/>
          <w:color w:val="000000" w:themeColor="text1"/>
          <w:sz w:val="20"/>
          <w:szCs w:val="20"/>
        </w:rPr>
        <w:t>et al</w:t>
      </w:r>
      <w:r w:rsidR="00BD739A" w:rsidRPr="00FA537A">
        <w:rPr>
          <w:i/>
          <w:iCs/>
          <w:color w:val="000000" w:themeColor="text1"/>
          <w:sz w:val="20"/>
          <w:szCs w:val="20"/>
        </w:rPr>
        <w:t>.</w:t>
      </w:r>
      <w:r w:rsidRPr="00FA537A">
        <w:rPr>
          <w:color w:val="000000" w:themeColor="text1"/>
          <w:sz w:val="20"/>
          <w:szCs w:val="20"/>
        </w:rPr>
        <w:t xml:space="preserve"> showed that patients age 75 years and older had excellent compliance with radiotherapy and similar bladder-preservation and disease-free survival rates compared with younger patients, indicating that elderly patients, who are often not well suited for radical surgery, are excellent candidates for a curative bladder-preservation approach</w:t>
      </w:r>
      <w:r w:rsidR="00914BAE" w:rsidRPr="00FA537A">
        <w:rPr>
          <w:color w:val="000000" w:themeColor="text1"/>
          <w:sz w:val="20"/>
          <w:szCs w:val="20"/>
        </w:rPr>
        <w:t xml:space="preserve"> </w:t>
      </w:r>
      <w:r w:rsidR="000F6FE7" w:rsidRPr="00FA537A">
        <w:rPr>
          <w:color w:val="000000" w:themeColor="text1"/>
          <w:sz w:val="20"/>
          <w:szCs w:val="20"/>
          <w:vertAlign w:val="superscript"/>
        </w:rPr>
        <w:t>(</w:t>
      </w:r>
      <w:r w:rsidR="0029793F" w:rsidRPr="00FA537A">
        <w:rPr>
          <w:color w:val="000000" w:themeColor="text1"/>
          <w:sz w:val="20"/>
          <w:szCs w:val="20"/>
          <w:vertAlign w:val="superscript"/>
        </w:rPr>
        <w:t>5</w:t>
      </w:r>
      <w:r w:rsidR="000F6FE7" w:rsidRPr="00FA537A">
        <w:rPr>
          <w:color w:val="000000" w:themeColor="text1"/>
          <w:sz w:val="20"/>
          <w:szCs w:val="20"/>
          <w:vertAlign w:val="superscript"/>
        </w:rPr>
        <w:t>)</w:t>
      </w:r>
      <w:r w:rsidR="00914BAE" w:rsidRPr="00FA537A">
        <w:rPr>
          <w:color w:val="000000" w:themeColor="text1"/>
          <w:sz w:val="20"/>
          <w:szCs w:val="20"/>
        </w:rPr>
        <w:t>.</w:t>
      </w:r>
    </w:p>
    <w:p w:rsidR="0030595D" w:rsidRPr="00FA537A" w:rsidRDefault="00C115AC" w:rsidP="002C23A6">
      <w:pPr>
        <w:bidi w:val="0"/>
        <w:snapToGrid w:val="0"/>
        <w:ind w:firstLine="425"/>
        <w:jc w:val="both"/>
        <w:rPr>
          <w:color w:val="000000" w:themeColor="text1"/>
          <w:sz w:val="20"/>
          <w:szCs w:val="20"/>
        </w:rPr>
      </w:pPr>
      <w:r w:rsidRPr="00FA537A">
        <w:rPr>
          <w:color w:val="000000" w:themeColor="text1"/>
          <w:sz w:val="20"/>
          <w:szCs w:val="20"/>
        </w:rPr>
        <w:t>Inclusion of molecular markers that predict response and diffusion-weighted magnetic resonance imaging, to monitor response to TMT may also help to improve patient selection and management</w:t>
      </w:r>
      <w:r w:rsidR="000F6FE7" w:rsidRPr="00FA537A">
        <w:rPr>
          <w:color w:val="000000" w:themeColor="text1"/>
          <w:sz w:val="20"/>
          <w:szCs w:val="20"/>
        </w:rPr>
        <w:t xml:space="preserve"> </w:t>
      </w:r>
      <w:r w:rsidR="000F6FE7" w:rsidRPr="00FA537A">
        <w:rPr>
          <w:color w:val="000000" w:themeColor="text1"/>
          <w:sz w:val="20"/>
          <w:szCs w:val="20"/>
          <w:vertAlign w:val="superscript"/>
        </w:rPr>
        <w:t>(</w:t>
      </w:r>
      <w:r w:rsidR="0029793F" w:rsidRPr="00FA537A">
        <w:rPr>
          <w:color w:val="000000" w:themeColor="text1"/>
          <w:sz w:val="20"/>
          <w:szCs w:val="20"/>
          <w:vertAlign w:val="superscript"/>
        </w:rPr>
        <w:t>6</w:t>
      </w:r>
      <w:r w:rsidR="006F5A79" w:rsidRPr="00FA537A">
        <w:rPr>
          <w:color w:val="000000" w:themeColor="text1"/>
          <w:sz w:val="20"/>
          <w:szCs w:val="20"/>
          <w:vertAlign w:val="superscript"/>
        </w:rPr>
        <w:t>, 7</w:t>
      </w:r>
      <w:r w:rsidR="000F6FE7" w:rsidRPr="00FA537A">
        <w:rPr>
          <w:color w:val="000000" w:themeColor="text1"/>
          <w:sz w:val="20"/>
          <w:szCs w:val="20"/>
          <w:vertAlign w:val="superscript"/>
        </w:rPr>
        <w:t>)</w:t>
      </w:r>
      <w:r w:rsidR="00914BAE" w:rsidRPr="00FA537A">
        <w:rPr>
          <w:color w:val="000000" w:themeColor="text1"/>
          <w:sz w:val="20"/>
          <w:szCs w:val="20"/>
        </w:rPr>
        <w:t>.</w:t>
      </w:r>
    </w:p>
    <w:p w:rsidR="00260A88" w:rsidRPr="00FA537A" w:rsidRDefault="005B3099" w:rsidP="002C23A6">
      <w:pPr>
        <w:bidi w:val="0"/>
        <w:snapToGrid w:val="0"/>
        <w:ind w:firstLine="425"/>
        <w:jc w:val="both"/>
        <w:rPr>
          <w:color w:val="000000" w:themeColor="text1"/>
          <w:sz w:val="20"/>
          <w:szCs w:val="20"/>
        </w:rPr>
      </w:pPr>
      <w:r w:rsidRPr="00FA537A">
        <w:rPr>
          <w:color w:val="000000" w:themeColor="text1"/>
          <w:sz w:val="20"/>
          <w:szCs w:val="20"/>
        </w:rPr>
        <w:t xml:space="preserve">To date, the current radiation protocol for bladder preservation includes external-beam RT (either once daily or twice daily) to the bladder and limited pelvic lymph nodes to an initial </w:t>
      </w:r>
      <w:r w:rsidR="006F2CF3" w:rsidRPr="00FA537A">
        <w:rPr>
          <w:color w:val="000000" w:themeColor="text1"/>
          <w:sz w:val="20"/>
          <w:szCs w:val="20"/>
        </w:rPr>
        <w:t xml:space="preserve">of 40 </w:t>
      </w:r>
      <w:proofErr w:type="spellStart"/>
      <w:r w:rsidRPr="00FA537A">
        <w:rPr>
          <w:color w:val="000000" w:themeColor="text1"/>
          <w:sz w:val="20"/>
          <w:szCs w:val="20"/>
        </w:rPr>
        <w:t>Gy</w:t>
      </w:r>
      <w:proofErr w:type="spellEnd"/>
      <w:r w:rsidRPr="00FA537A">
        <w:rPr>
          <w:color w:val="000000" w:themeColor="text1"/>
          <w:sz w:val="20"/>
          <w:szCs w:val="20"/>
        </w:rPr>
        <w:t xml:space="preserve"> and a further</w:t>
      </w:r>
      <w:r w:rsidR="006F2CF3" w:rsidRPr="00FA537A">
        <w:rPr>
          <w:color w:val="000000" w:themeColor="text1"/>
          <w:sz w:val="20"/>
          <w:szCs w:val="20"/>
        </w:rPr>
        <w:t xml:space="preserve"> to 54</w:t>
      </w:r>
      <w:r w:rsidRPr="00FA537A">
        <w:rPr>
          <w:color w:val="000000" w:themeColor="text1"/>
          <w:sz w:val="20"/>
          <w:szCs w:val="20"/>
        </w:rPr>
        <w:t> </w:t>
      </w:r>
      <w:proofErr w:type="spellStart"/>
      <w:r w:rsidRPr="00FA537A">
        <w:rPr>
          <w:color w:val="000000" w:themeColor="text1"/>
          <w:sz w:val="20"/>
          <w:szCs w:val="20"/>
        </w:rPr>
        <w:t>Gy</w:t>
      </w:r>
      <w:proofErr w:type="spellEnd"/>
      <w:r w:rsidRPr="00FA537A">
        <w:rPr>
          <w:color w:val="000000" w:themeColor="text1"/>
          <w:sz w:val="20"/>
          <w:szCs w:val="20"/>
        </w:rPr>
        <w:t xml:space="preserve"> to the whole bladder </w:t>
      </w:r>
      <w:r w:rsidR="006F2CF3" w:rsidRPr="00FA537A">
        <w:rPr>
          <w:color w:val="000000" w:themeColor="text1"/>
          <w:sz w:val="20"/>
          <w:szCs w:val="20"/>
        </w:rPr>
        <w:t>with a further boost</w:t>
      </w:r>
      <w:r w:rsidRPr="00FA537A">
        <w:rPr>
          <w:color w:val="000000" w:themeColor="text1"/>
          <w:sz w:val="20"/>
          <w:szCs w:val="20"/>
        </w:rPr>
        <w:t xml:space="preserve"> (which incorporates all TUR and radiographic information)</w:t>
      </w:r>
      <w:r w:rsidR="00260A88" w:rsidRPr="00FA537A">
        <w:rPr>
          <w:color w:val="000000" w:themeColor="text1"/>
          <w:sz w:val="20"/>
          <w:szCs w:val="20"/>
        </w:rPr>
        <w:t xml:space="preserve"> </w:t>
      </w:r>
      <w:r w:rsidRPr="00FA537A">
        <w:rPr>
          <w:color w:val="000000" w:themeColor="text1"/>
          <w:sz w:val="20"/>
          <w:szCs w:val="20"/>
        </w:rPr>
        <w:t xml:space="preserve">to a total dose of 64–65 </w:t>
      </w:r>
      <w:bookmarkStart w:id="0" w:name="back-bib0015"/>
      <w:r w:rsidR="000F6FE7" w:rsidRPr="00FA537A">
        <w:rPr>
          <w:color w:val="000000" w:themeColor="text1"/>
          <w:sz w:val="20"/>
          <w:szCs w:val="20"/>
          <w:vertAlign w:val="superscript"/>
        </w:rPr>
        <w:t>(</w:t>
      </w:r>
      <w:r w:rsidR="0029793F" w:rsidRPr="00FA537A">
        <w:rPr>
          <w:color w:val="000000" w:themeColor="text1"/>
          <w:sz w:val="20"/>
          <w:szCs w:val="20"/>
          <w:vertAlign w:val="superscript"/>
        </w:rPr>
        <w:t>8</w:t>
      </w:r>
      <w:r w:rsidR="000F6FE7" w:rsidRPr="00FA537A">
        <w:rPr>
          <w:color w:val="000000" w:themeColor="text1"/>
          <w:sz w:val="20"/>
          <w:szCs w:val="20"/>
          <w:vertAlign w:val="superscript"/>
        </w:rPr>
        <w:t>)</w:t>
      </w:r>
      <w:r w:rsidR="00260A88" w:rsidRPr="00FA537A">
        <w:rPr>
          <w:color w:val="000000" w:themeColor="text1"/>
          <w:sz w:val="20"/>
          <w:szCs w:val="20"/>
        </w:rPr>
        <w:t>.</w:t>
      </w:r>
    </w:p>
    <w:p w:rsidR="00260A88" w:rsidRPr="00FA537A" w:rsidRDefault="000F6FE7" w:rsidP="002C23A6">
      <w:pPr>
        <w:bidi w:val="0"/>
        <w:snapToGrid w:val="0"/>
        <w:ind w:firstLine="425"/>
        <w:jc w:val="both"/>
        <w:rPr>
          <w:sz w:val="20"/>
          <w:szCs w:val="20"/>
        </w:rPr>
      </w:pPr>
      <w:r w:rsidRPr="00FA537A">
        <w:rPr>
          <w:sz w:val="20"/>
          <w:szCs w:val="20"/>
        </w:rPr>
        <w:t xml:space="preserve">New treatment techniques, such as image-guided and intensity-modulated radiotherapy as well as interstitial radiotherapy in selected patients (with </w:t>
      </w:r>
      <w:proofErr w:type="spellStart"/>
      <w:r w:rsidRPr="00FA537A">
        <w:rPr>
          <w:sz w:val="20"/>
          <w:szCs w:val="20"/>
        </w:rPr>
        <w:t>unifocal</w:t>
      </w:r>
      <w:proofErr w:type="spellEnd"/>
      <w:r w:rsidRPr="00FA537A">
        <w:rPr>
          <w:sz w:val="20"/>
          <w:szCs w:val="20"/>
        </w:rPr>
        <w:t>, small bulk disease) may allow dose escalation with the expectation of further reducing toxicity and improving tumor response and long-term local control</w:t>
      </w:r>
      <w:r w:rsidR="00260A88" w:rsidRPr="00FA537A">
        <w:rPr>
          <w:sz w:val="20"/>
          <w:szCs w:val="20"/>
        </w:rPr>
        <w:t xml:space="preserve"> </w:t>
      </w:r>
      <w:r w:rsidR="00260A88" w:rsidRPr="00FA537A">
        <w:rPr>
          <w:sz w:val="20"/>
          <w:szCs w:val="20"/>
          <w:vertAlign w:val="superscript"/>
        </w:rPr>
        <w:t>(</w:t>
      </w:r>
      <w:r w:rsidR="00E5122A" w:rsidRPr="00FA537A">
        <w:rPr>
          <w:sz w:val="20"/>
          <w:szCs w:val="20"/>
          <w:vertAlign w:val="superscript"/>
        </w:rPr>
        <w:t>9</w:t>
      </w:r>
      <w:r w:rsidR="00260A88" w:rsidRPr="00FA537A">
        <w:rPr>
          <w:sz w:val="20"/>
          <w:szCs w:val="20"/>
          <w:vertAlign w:val="superscript"/>
        </w:rPr>
        <w:t xml:space="preserve">, </w:t>
      </w:r>
      <w:r w:rsidR="00E5122A" w:rsidRPr="00FA537A">
        <w:rPr>
          <w:sz w:val="20"/>
          <w:szCs w:val="20"/>
          <w:vertAlign w:val="superscript"/>
        </w:rPr>
        <w:t>10</w:t>
      </w:r>
      <w:r w:rsidR="00260A88" w:rsidRPr="00FA537A">
        <w:rPr>
          <w:sz w:val="20"/>
          <w:szCs w:val="20"/>
          <w:vertAlign w:val="superscript"/>
        </w:rPr>
        <w:t>)</w:t>
      </w:r>
      <w:r w:rsidR="00260A88" w:rsidRPr="00FA537A">
        <w:rPr>
          <w:sz w:val="20"/>
          <w:szCs w:val="20"/>
        </w:rPr>
        <w:t>.</w:t>
      </w:r>
    </w:p>
    <w:p w:rsidR="00260A88" w:rsidRPr="00FA537A" w:rsidRDefault="00260A88" w:rsidP="002C23A6">
      <w:pPr>
        <w:bidi w:val="0"/>
        <w:snapToGrid w:val="0"/>
        <w:ind w:firstLine="425"/>
        <w:jc w:val="both"/>
        <w:rPr>
          <w:sz w:val="20"/>
          <w:szCs w:val="20"/>
        </w:rPr>
      </w:pPr>
      <w:r w:rsidRPr="00FA537A">
        <w:rPr>
          <w:sz w:val="20"/>
          <w:szCs w:val="20"/>
        </w:rPr>
        <w:t xml:space="preserve">Concurrent </w:t>
      </w:r>
      <w:proofErr w:type="spellStart"/>
      <w:r w:rsidRPr="00FA537A">
        <w:rPr>
          <w:sz w:val="20"/>
          <w:szCs w:val="20"/>
        </w:rPr>
        <w:t>cisplatin</w:t>
      </w:r>
      <w:proofErr w:type="spellEnd"/>
      <w:r w:rsidRPr="00FA537A">
        <w:rPr>
          <w:sz w:val="20"/>
          <w:szCs w:val="20"/>
        </w:rPr>
        <w:t xml:space="preserve"> is currently used in most protocols as a </w:t>
      </w:r>
      <w:proofErr w:type="spellStart"/>
      <w:r w:rsidRPr="00FA537A">
        <w:rPr>
          <w:sz w:val="20"/>
          <w:szCs w:val="20"/>
        </w:rPr>
        <w:t>radiosensitizing</w:t>
      </w:r>
      <w:proofErr w:type="spellEnd"/>
      <w:r w:rsidRPr="00FA537A">
        <w:rPr>
          <w:sz w:val="20"/>
          <w:szCs w:val="20"/>
        </w:rPr>
        <w:t xml:space="preserve"> drug in those with adequate renal function.</w:t>
      </w:r>
      <w:r w:rsidR="00914BAE" w:rsidRPr="00FA537A">
        <w:rPr>
          <w:sz w:val="20"/>
          <w:szCs w:val="20"/>
        </w:rPr>
        <w:t xml:space="preserve"> </w:t>
      </w:r>
      <w:r w:rsidRPr="00FA537A">
        <w:rPr>
          <w:sz w:val="20"/>
          <w:szCs w:val="20"/>
        </w:rPr>
        <w:t xml:space="preserve">Recently, a regimen using concurrent fluorouracil and </w:t>
      </w:r>
      <w:proofErr w:type="spellStart"/>
      <w:r w:rsidRPr="00FA537A">
        <w:rPr>
          <w:sz w:val="20"/>
          <w:szCs w:val="20"/>
        </w:rPr>
        <w:t>mitomycin</w:t>
      </w:r>
      <w:proofErr w:type="spellEnd"/>
      <w:r w:rsidRPr="00FA537A">
        <w:rPr>
          <w:sz w:val="20"/>
          <w:szCs w:val="20"/>
        </w:rPr>
        <w:t xml:space="preserve"> in addition to radiotherapy demonstrated benefit in a randomized phase III trial </w:t>
      </w:r>
      <w:r w:rsidRPr="00FA537A">
        <w:rPr>
          <w:sz w:val="20"/>
          <w:szCs w:val="20"/>
          <w:vertAlign w:val="superscript"/>
        </w:rPr>
        <w:t>(</w:t>
      </w:r>
      <w:r w:rsidR="00E5122A" w:rsidRPr="00FA537A">
        <w:rPr>
          <w:sz w:val="20"/>
          <w:szCs w:val="20"/>
          <w:vertAlign w:val="superscript"/>
        </w:rPr>
        <w:t>11</w:t>
      </w:r>
      <w:r w:rsidRPr="00FA537A">
        <w:rPr>
          <w:sz w:val="20"/>
          <w:szCs w:val="20"/>
          <w:vertAlign w:val="superscript"/>
        </w:rPr>
        <w:t>)</w:t>
      </w:r>
      <w:r w:rsidRPr="00FA537A">
        <w:rPr>
          <w:sz w:val="20"/>
          <w:szCs w:val="20"/>
        </w:rPr>
        <w:t>.</w:t>
      </w:r>
    </w:p>
    <w:p w:rsidR="00260A88" w:rsidRPr="00FA537A" w:rsidRDefault="002906A6" w:rsidP="002C23A6">
      <w:pPr>
        <w:bidi w:val="0"/>
        <w:snapToGrid w:val="0"/>
        <w:ind w:firstLine="425"/>
        <w:jc w:val="both"/>
        <w:rPr>
          <w:sz w:val="20"/>
          <w:szCs w:val="20"/>
          <w:vertAlign w:val="superscript"/>
          <w:lang w:bidi="ar-EG"/>
        </w:rPr>
      </w:pPr>
      <w:r w:rsidRPr="00FA537A">
        <w:rPr>
          <w:sz w:val="20"/>
          <w:szCs w:val="20"/>
        </w:rPr>
        <w:lastRenderedPageBreak/>
        <w:t xml:space="preserve">Multimodal treatment for bladder preservation can be offered to patients with an acceptable toxicity. Except in studies using </w:t>
      </w:r>
      <w:proofErr w:type="spellStart"/>
      <w:r w:rsidRPr="00FA537A">
        <w:rPr>
          <w:sz w:val="20"/>
          <w:szCs w:val="20"/>
        </w:rPr>
        <w:t>neoadjuvant</w:t>
      </w:r>
      <w:proofErr w:type="spellEnd"/>
      <w:r w:rsidRPr="00FA537A">
        <w:rPr>
          <w:sz w:val="20"/>
          <w:szCs w:val="20"/>
        </w:rPr>
        <w:t xml:space="preserve"> or adjuvant chemotherapy, where toxicity seems higher, </w:t>
      </w:r>
      <w:r w:rsidR="00D94C50" w:rsidRPr="00FA537A">
        <w:rPr>
          <w:sz w:val="20"/>
          <w:szCs w:val="20"/>
        </w:rPr>
        <w:t>the</w:t>
      </w:r>
      <w:r w:rsidR="00914BAE" w:rsidRPr="00FA537A">
        <w:rPr>
          <w:sz w:val="20"/>
          <w:szCs w:val="20"/>
        </w:rPr>
        <w:t xml:space="preserve"> rate of acute grade 3-</w:t>
      </w:r>
      <w:r w:rsidRPr="00FA537A">
        <w:rPr>
          <w:sz w:val="20"/>
          <w:szCs w:val="20"/>
        </w:rPr>
        <w:t>4 toxicities are ranged from 10% to 36%, while the majority (80</w:t>
      </w:r>
      <w:r w:rsidR="00914BAE" w:rsidRPr="00FA537A">
        <w:rPr>
          <w:sz w:val="20"/>
          <w:szCs w:val="20"/>
        </w:rPr>
        <w:t>-</w:t>
      </w:r>
      <w:r w:rsidRPr="00FA537A">
        <w:rPr>
          <w:sz w:val="20"/>
          <w:szCs w:val="20"/>
        </w:rPr>
        <w:t xml:space="preserve">90%) of patients did complete the entire course of treatment. The main toxicities are </w:t>
      </w:r>
      <w:proofErr w:type="spellStart"/>
      <w:r w:rsidRPr="00FA537A">
        <w:rPr>
          <w:sz w:val="20"/>
          <w:szCs w:val="20"/>
        </w:rPr>
        <w:t>haematologic</w:t>
      </w:r>
      <w:proofErr w:type="spellEnd"/>
      <w:r w:rsidRPr="00FA537A">
        <w:rPr>
          <w:sz w:val="20"/>
          <w:szCs w:val="20"/>
        </w:rPr>
        <w:t xml:space="preserve">, GI, and genitourinary (GU). Neuropathy may be reported in cases of </w:t>
      </w:r>
      <w:proofErr w:type="spellStart"/>
      <w:r w:rsidRPr="00FA537A">
        <w:rPr>
          <w:sz w:val="20"/>
          <w:szCs w:val="20"/>
        </w:rPr>
        <w:t>cisplatin</w:t>
      </w:r>
      <w:proofErr w:type="spellEnd"/>
      <w:r w:rsidRPr="00FA537A">
        <w:rPr>
          <w:sz w:val="20"/>
          <w:szCs w:val="20"/>
        </w:rPr>
        <w:t>-based concurrent chemotherapy. The BC2001 trial reported neither an increase in grade 3</w:t>
      </w:r>
      <w:r w:rsidR="00914BAE" w:rsidRPr="00FA537A">
        <w:rPr>
          <w:sz w:val="20"/>
          <w:szCs w:val="20"/>
        </w:rPr>
        <w:t>-</w:t>
      </w:r>
      <w:r w:rsidRPr="00FA537A">
        <w:rPr>
          <w:sz w:val="20"/>
          <w:szCs w:val="20"/>
        </w:rPr>
        <w:t>4 toxicity with concurrent chemotherapy compared with RT alone nor a decrease in RT completion rates caused by toxicity</w:t>
      </w:r>
      <w:r w:rsidR="00914BAE" w:rsidRPr="00FA537A">
        <w:rPr>
          <w:sz w:val="20"/>
          <w:szCs w:val="20"/>
        </w:rPr>
        <w:t> </w:t>
      </w:r>
      <w:r w:rsidRPr="00FA537A">
        <w:rPr>
          <w:sz w:val="20"/>
          <w:szCs w:val="20"/>
          <w:vertAlign w:val="superscript"/>
        </w:rPr>
        <w:t>(</w:t>
      </w:r>
      <w:r w:rsidR="00E5122A" w:rsidRPr="00FA537A">
        <w:rPr>
          <w:sz w:val="20"/>
          <w:szCs w:val="20"/>
          <w:vertAlign w:val="superscript"/>
        </w:rPr>
        <w:t>12</w:t>
      </w:r>
      <w:r w:rsidRPr="00FA537A">
        <w:rPr>
          <w:sz w:val="20"/>
          <w:szCs w:val="20"/>
          <w:vertAlign w:val="superscript"/>
        </w:rPr>
        <w:t>)</w:t>
      </w:r>
      <w:r w:rsidR="00914BAE" w:rsidRPr="00FA537A">
        <w:rPr>
          <w:sz w:val="20"/>
          <w:szCs w:val="20"/>
        </w:rPr>
        <w:t>.</w:t>
      </w:r>
    </w:p>
    <w:p w:rsidR="006C4D31" w:rsidRPr="00FA537A" w:rsidRDefault="006C4D31" w:rsidP="002C23A6">
      <w:pPr>
        <w:bidi w:val="0"/>
        <w:snapToGrid w:val="0"/>
        <w:ind w:firstLine="425"/>
        <w:jc w:val="both"/>
        <w:rPr>
          <w:sz w:val="20"/>
          <w:szCs w:val="20"/>
          <w:vertAlign w:val="superscript"/>
        </w:rPr>
      </w:pPr>
      <w:r w:rsidRPr="00FA537A">
        <w:rPr>
          <w:sz w:val="20"/>
          <w:szCs w:val="20"/>
        </w:rPr>
        <w:t xml:space="preserve">No treatment concept in oncology is without risks and limitations. Patients who achieve an initial complete response should be encouraged to undergo lifelong surveillance </w:t>
      </w:r>
      <w:proofErr w:type="spellStart"/>
      <w:r w:rsidRPr="00FA537A">
        <w:rPr>
          <w:sz w:val="20"/>
          <w:szCs w:val="20"/>
        </w:rPr>
        <w:t>cystoscopies</w:t>
      </w:r>
      <w:proofErr w:type="spellEnd"/>
      <w:r w:rsidRPr="00FA537A">
        <w:rPr>
          <w:sz w:val="20"/>
          <w:szCs w:val="20"/>
        </w:rPr>
        <w:t xml:space="preserve"> with prompt salvage therapy on recurrence of disease. Most patients will in fact remain free from muscle-invasive recurrences; however, non</w:t>
      </w:r>
      <w:r w:rsidR="00914BAE" w:rsidRPr="00FA537A">
        <w:rPr>
          <w:sz w:val="20"/>
          <w:szCs w:val="20"/>
        </w:rPr>
        <w:t>-</w:t>
      </w:r>
      <w:r w:rsidRPr="00FA537A">
        <w:rPr>
          <w:sz w:val="20"/>
          <w:szCs w:val="20"/>
        </w:rPr>
        <w:t xml:space="preserve">muscle-invasive recurrences in the retained bladder occurred in up to 36% </w:t>
      </w:r>
      <w:r w:rsidR="0077411F" w:rsidRPr="00FA537A">
        <w:rPr>
          <w:sz w:val="20"/>
          <w:szCs w:val="20"/>
        </w:rPr>
        <w:t xml:space="preserve">of patients </w:t>
      </w:r>
      <w:r w:rsidRPr="00FA537A">
        <w:rPr>
          <w:sz w:val="20"/>
          <w:szCs w:val="20"/>
        </w:rPr>
        <w:t>after 10 years</w:t>
      </w:r>
      <w:r w:rsidR="00FA537A">
        <w:rPr>
          <w:sz w:val="20"/>
          <w:szCs w:val="20"/>
        </w:rPr>
        <w:t xml:space="preserve"> </w:t>
      </w:r>
      <w:r w:rsidRPr="00FA537A">
        <w:rPr>
          <w:sz w:val="20"/>
          <w:szCs w:val="20"/>
        </w:rPr>
        <w:t xml:space="preserve">in the pooled analysis of the RTOG trials </w:t>
      </w:r>
      <w:r w:rsidRPr="00FA537A">
        <w:rPr>
          <w:sz w:val="20"/>
          <w:szCs w:val="20"/>
          <w:vertAlign w:val="superscript"/>
        </w:rPr>
        <w:t>(3)</w:t>
      </w:r>
      <w:r w:rsidR="00914BAE" w:rsidRPr="00FA537A">
        <w:rPr>
          <w:sz w:val="20"/>
          <w:szCs w:val="20"/>
        </w:rPr>
        <w:t>.</w:t>
      </w:r>
    </w:p>
    <w:p w:rsidR="00665909" w:rsidRPr="00FA537A" w:rsidRDefault="006C4D31" w:rsidP="002C23A6">
      <w:pPr>
        <w:bidi w:val="0"/>
        <w:snapToGrid w:val="0"/>
        <w:ind w:firstLine="425"/>
        <w:jc w:val="both"/>
        <w:rPr>
          <w:sz w:val="20"/>
          <w:szCs w:val="20"/>
          <w:vertAlign w:val="superscript"/>
        </w:rPr>
      </w:pPr>
      <w:r w:rsidRPr="00FA537A">
        <w:rPr>
          <w:sz w:val="20"/>
          <w:szCs w:val="20"/>
        </w:rPr>
        <w:t xml:space="preserve">Although these recurrences can be managed conservatively with TURBT and </w:t>
      </w:r>
      <w:proofErr w:type="spellStart"/>
      <w:r w:rsidRPr="00FA537A">
        <w:rPr>
          <w:sz w:val="20"/>
          <w:szCs w:val="20"/>
        </w:rPr>
        <w:t>intravesical</w:t>
      </w:r>
      <w:proofErr w:type="spellEnd"/>
      <w:r w:rsidRPr="00FA537A">
        <w:rPr>
          <w:sz w:val="20"/>
          <w:szCs w:val="20"/>
        </w:rPr>
        <w:t xml:space="preserve"> therapy, patients remain at risk of requiring delayed </w:t>
      </w:r>
      <w:proofErr w:type="spellStart"/>
      <w:r w:rsidR="0077411F" w:rsidRPr="00FA537A">
        <w:rPr>
          <w:sz w:val="20"/>
          <w:szCs w:val="20"/>
        </w:rPr>
        <w:t>cystectomy</w:t>
      </w:r>
      <w:proofErr w:type="spellEnd"/>
      <w:r w:rsidR="0077411F" w:rsidRPr="00FA537A">
        <w:rPr>
          <w:sz w:val="20"/>
          <w:szCs w:val="20"/>
        </w:rPr>
        <w:t xml:space="preserve"> </w:t>
      </w:r>
      <w:r w:rsidR="0077411F" w:rsidRPr="00FA537A">
        <w:rPr>
          <w:sz w:val="20"/>
          <w:szCs w:val="20"/>
          <w:vertAlign w:val="superscript"/>
        </w:rPr>
        <w:t>(</w:t>
      </w:r>
      <w:r w:rsidRPr="00FA537A">
        <w:rPr>
          <w:sz w:val="20"/>
          <w:szCs w:val="20"/>
          <w:vertAlign w:val="superscript"/>
        </w:rPr>
        <w:t>1</w:t>
      </w:r>
      <w:r w:rsidR="00E5122A" w:rsidRPr="00FA537A">
        <w:rPr>
          <w:sz w:val="20"/>
          <w:szCs w:val="20"/>
          <w:vertAlign w:val="superscript"/>
        </w:rPr>
        <w:t>3</w:t>
      </w:r>
      <w:r w:rsidRPr="00FA537A">
        <w:rPr>
          <w:sz w:val="20"/>
          <w:szCs w:val="20"/>
          <w:vertAlign w:val="superscript"/>
        </w:rPr>
        <w:t>)</w:t>
      </w:r>
      <w:r w:rsidRPr="00FA537A">
        <w:rPr>
          <w:sz w:val="20"/>
          <w:szCs w:val="20"/>
        </w:rPr>
        <w:t>.</w:t>
      </w:r>
      <w:r w:rsidR="00914BAE" w:rsidRPr="00FA537A">
        <w:rPr>
          <w:sz w:val="20"/>
          <w:szCs w:val="20"/>
        </w:rPr>
        <w:t xml:space="preserve"> (</w:t>
      </w:r>
      <w:r w:rsidRPr="00FA537A">
        <w:rPr>
          <w:sz w:val="20"/>
          <w:szCs w:val="20"/>
        </w:rPr>
        <w:t xml:space="preserve">Another concern is that </w:t>
      </w:r>
      <w:proofErr w:type="spellStart"/>
      <w:r w:rsidRPr="00FA537A">
        <w:rPr>
          <w:sz w:val="20"/>
          <w:szCs w:val="20"/>
        </w:rPr>
        <w:t>orthotopic</w:t>
      </w:r>
      <w:proofErr w:type="spellEnd"/>
      <w:r w:rsidRPr="00FA537A">
        <w:rPr>
          <w:sz w:val="20"/>
          <w:szCs w:val="20"/>
        </w:rPr>
        <w:t xml:space="preserve"> </w:t>
      </w:r>
      <w:proofErr w:type="spellStart"/>
      <w:r w:rsidRPr="00FA537A">
        <w:rPr>
          <w:sz w:val="20"/>
          <w:szCs w:val="20"/>
        </w:rPr>
        <w:t>neobladder</w:t>
      </w:r>
      <w:proofErr w:type="spellEnd"/>
      <w:r w:rsidRPr="00FA537A">
        <w:rPr>
          <w:sz w:val="20"/>
          <w:szCs w:val="20"/>
        </w:rPr>
        <w:t xml:space="preserve"> reconstruction (although feasible) after pelvic radiotherapy is often not advocated by surgeons because of a higher risk of functional complications </w:t>
      </w:r>
      <w:r w:rsidRPr="00FA537A">
        <w:rPr>
          <w:sz w:val="20"/>
          <w:szCs w:val="20"/>
          <w:vertAlign w:val="superscript"/>
        </w:rPr>
        <w:t>(1</w:t>
      </w:r>
      <w:r w:rsidR="00E5122A" w:rsidRPr="00FA537A">
        <w:rPr>
          <w:sz w:val="20"/>
          <w:szCs w:val="20"/>
          <w:vertAlign w:val="superscript"/>
        </w:rPr>
        <w:t>4</w:t>
      </w:r>
      <w:r w:rsidRPr="00FA537A">
        <w:rPr>
          <w:sz w:val="20"/>
          <w:szCs w:val="20"/>
          <w:vertAlign w:val="superscript"/>
        </w:rPr>
        <w:t>)</w:t>
      </w:r>
      <w:r w:rsidRPr="00FA537A">
        <w:rPr>
          <w:sz w:val="20"/>
          <w:szCs w:val="20"/>
        </w:rPr>
        <w:t>.</w:t>
      </w:r>
    </w:p>
    <w:p w:rsidR="00245368" w:rsidRPr="00FA537A" w:rsidRDefault="00245368" w:rsidP="002C23A6">
      <w:pPr>
        <w:bidi w:val="0"/>
        <w:snapToGrid w:val="0"/>
        <w:jc w:val="both"/>
        <w:rPr>
          <w:b/>
          <w:bCs/>
          <w:sz w:val="20"/>
          <w:szCs w:val="20"/>
          <w:lang w:bidi="ar-EG"/>
        </w:rPr>
      </w:pPr>
    </w:p>
    <w:p w:rsidR="00665909" w:rsidRPr="00FA537A" w:rsidRDefault="00245368" w:rsidP="002C23A6">
      <w:pPr>
        <w:bidi w:val="0"/>
        <w:snapToGrid w:val="0"/>
        <w:jc w:val="both"/>
        <w:rPr>
          <w:b/>
          <w:bCs/>
          <w:sz w:val="20"/>
          <w:szCs w:val="20"/>
          <w:lang w:bidi="ar-EG"/>
        </w:rPr>
      </w:pPr>
      <w:r w:rsidRPr="00FA537A">
        <w:rPr>
          <w:b/>
          <w:bCs/>
          <w:sz w:val="20"/>
          <w:szCs w:val="20"/>
          <w:lang w:bidi="ar-EG"/>
        </w:rPr>
        <w:t xml:space="preserve">2. </w:t>
      </w:r>
      <w:r w:rsidR="00665909" w:rsidRPr="00FA537A">
        <w:rPr>
          <w:b/>
          <w:bCs/>
          <w:sz w:val="20"/>
          <w:szCs w:val="20"/>
          <w:lang w:bidi="ar-EG"/>
        </w:rPr>
        <w:t>Patients and methods:</w:t>
      </w:r>
    </w:p>
    <w:p w:rsidR="000B7130" w:rsidRPr="00FA537A" w:rsidRDefault="000B7130" w:rsidP="002C23A6">
      <w:pPr>
        <w:bidi w:val="0"/>
        <w:snapToGrid w:val="0"/>
        <w:jc w:val="both"/>
        <w:rPr>
          <w:b/>
          <w:bCs/>
          <w:sz w:val="20"/>
          <w:szCs w:val="20"/>
        </w:rPr>
      </w:pPr>
      <w:r w:rsidRPr="00FA537A">
        <w:rPr>
          <w:b/>
          <w:bCs/>
          <w:sz w:val="20"/>
          <w:szCs w:val="20"/>
        </w:rPr>
        <w:t>Eligibility criteria:</w:t>
      </w:r>
    </w:p>
    <w:p w:rsidR="000B7130" w:rsidRPr="00FA537A" w:rsidRDefault="00587BEE" w:rsidP="002C23A6">
      <w:pPr>
        <w:pStyle w:val="Default"/>
        <w:snapToGrid w:val="0"/>
        <w:ind w:firstLine="425"/>
        <w:jc w:val="both"/>
        <w:rPr>
          <w:rFonts w:ascii="Times New Roman" w:hAnsi="Times New Roman" w:cs="Times New Roman"/>
          <w:color w:val="auto"/>
          <w:sz w:val="20"/>
          <w:szCs w:val="20"/>
        </w:rPr>
      </w:pPr>
      <w:r w:rsidRPr="00FA537A">
        <w:rPr>
          <w:rFonts w:ascii="Times New Roman" w:hAnsi="Times New Roman" w:cs="Times New Roman"/>
          <w:color w:val="auto"/>
          <w:sz w:val="20"/>
          <w:szCs w:val="20"/>
        </w:rPr>
        <w:t xml:space="preserve">Eligible patients had </w:t>
      </w:r>
      <w:proofErr w:type="spellStart"/>
      <w:r w:rsidRPr="00FA537A">
        <w:rPr>
          <w:rFonts w:ascii="Times New Roman" w:hAnsi="Times New Roman" w:cs="Times New Roman"/>
          <w:color w:val="auto"/>
          <w:sz w:val="20"/>
          <w:szCs w:val="20"/>
        </w:rPr>
        <w:t>histologically</w:t>
      </w:r>
      <w:proofErr w:type="spellEnd"/>
      <w:r w:rsidRPr="00FA537A">
        <w:rPr>
          <w:rFonts w:ascii="Times New Roman" w:hAnsi="Times New Roman" w:cs="Times New Roman"/>
          <w:color w:val="auto"/>
          <w:sz w:val="20"/>
          <w:szCs w:val="20"/>
        </w:rPr>
        <w:t xml:space="preserve"> confirmed T2-3, N0, M0 transitional cell carcinoma (TCC) of the bladder, WHO performance status of ≤ 2, serum </w:t>
      </w:r>
      <w:proofErr w:type="spellStart"/>
      <w:r w:rsidRPr="00FA537A">
        <w:rPr>
          <w:rFonts w:ascii="Times New Roman" w:hAnsi="Times New Roman" w:cs="Times New Roman"/>
          <w:color w:val="auto"/>
          <w:sz w:val="20"/>
          <w:szCs w:val="20"/>
        </w:rPr>
        <w:t>creatinine</w:t>
      </w:r>
      <w:proofErr w:type="spellEnd"/>
      <w:r w:rsidRPr="00FA537A">
        <w:rPr>
          <w:rFonts w:ascii="Times New Roman" w:hAnsi="Times New Roman" w:cs="Times New Roman"/>
          <w:color w:val="auto"/>
          <w:sz w:val="20"/>
          <w:szCs w:val="20"/>
        </w:rPr>
        <w:t xml:space="preserve"> of less than 1.5 × upper limit of normal (ULN), hemoglobin greater than 10 g/</w:t>
      </w:r>
      <w:proofErr w:type="spellStart"/>
      <w:r w:rsidRPr="00FA537A">
        <w:rPr>
          <w:rFonts w:ascii="Times New Roman" w:hAnsi="Times New Roman" w:cs="Times New Roman"/>
          <w:color w:val="auto"/>
          <w:sz w:val="20"/>
          <w:szCs w:val="20"/>
        </w:rPr>
        <w:t>dL</w:t>
      </w:r>
      <w:proofErr w:type="spellEnd"/>
      <w:r w:rsidRPr="00FA537A">
        <w:rPr>
          <w:rFonts w:ascii="Times New Roman" w:hAnsi="Times New Roman" w:cs="Times New Roman"/>
          <w:color w:val="auto"/>
          <w:sz w:val="20"/>
          <w:szCs w:val="20"/>
        </w:rPr>
        <w:t>; platelets greater than 100,000/</w:t>
      </w:r>
      <w:proofErr w:type="spellStart"/>
      <w:r w:rsidRPr="00FA537A">
        <w:rPr>
          <w:rFonts w:ascii="Times New Roman" w:hAnsi="Times New Roman" w:cs="Times New Roman"/>
          <w:color w:val="auto"/>
          <w:sz w:val="20"/>
          <w:szCs w:val="20"/>
        </w:rPr>
        <w:t>μL</w:t>
      </w:r>
      <w:proofErr w:type="spellEnd"/>
      <w:r w:rsidRPr="00FA537A">
        <w:rPr>
          <w:rFonts w:ascii="Times New Roman" w:hAnsi="Times New Roman" w:cs="Times New Roman"/>
          <w:color w:val="auto"/>
          <w:sz w:val="20"/>
          <w:szCs w:val="20"/>
        </w:rPr>
        <w:t>; WCC greater than 2,000/</w:t>
      </w:r>
      <w:proofErr w:type="spellStart"/>
      <w:r w:rsidRPr="00FA537A">
        <w:rPr>
          <w:rFonts w:ascii="Times New Roman" w:hAnsi="Times New Roman" w:cs="Times New Roman"/>
          <w:color w:val="auto"/>
          <w:sz w:val="20"/>
          <w:szCs w:val="20"/>
        </w:rPr>
        <w:t>μL</w:t>
      </w:r>
      <w:proofErr w:type="spellEnd"/>
      <w:r w:rsidRPr="00FA537A">
        <w:rPr>
          <w:rFonts w:ascii="Times New Roman" w:hAnsi="Times New Roman" w:cs="Times New Roman"/>
          <w:color w:val="auto"/>
          <w:sz w:val="20"/>
          <w:szCs w:val="20"/>
        </w:rPr>
        <w:t>, age older than 18 years, and ability to provide informed consent. Patients with TCC in whom biopsy had not demonstrated muscle invasion but in whom there was unequivocal evidence of deep muscle invasion on MRI were also accepted.</w:t>
      </w:r>
    </w:p>
    <w:p w:rsidR="00914BAE" w:rsidRPr="00FA537A" w:rsidRDefault="000B7130" w:rsidP="002C23A6">
      <w:pPr>
        <w:bidi w:val="0"/>
        <w:snapToGrid w:val="0"/>
        <w:jc w:val="both"/>
        <w:rPr>
          <w:sz w:val="20"/>
          <w:szCs w:val="20"/>
        </w:rPr>
      </w:pPr>
      <w:r w:rsidRPr="00FA537A">
        <w:rPr>
          <w:b/>
          <w:bCs/>
          <w:sz w:val="20"/>
          <w:szCs w:val="20"/>
        </w:rPr>
        <w:t>Exclusion criteria:</w:t>
      </w:r>
    </w:p>
    <w:p w:rsidR="00587BEE" w:rsidRPr="00FA537A" w:rsidRDefault="00587BEE" w:rsidP="002C23A6">
      <w:pPr>
        <w:pStyle w:val="Default"/>
        <w:snapToGrid w:val="0"/>
        <w:ind w:firstLine="425"/>
        <w:jc w:val="both"/>
        <w:rPr>
          <w:rFonts w:ascii="Times New Roman" w:hAnsi="Times New Roman" w:cs="Times New Roman"/>
          <w:b/>
          <w:bCs/>
          <w:color w:val="auto"/>
          <w:sz w:val="20"/>
          <w:szCs w:val="20"/>
          <w:lang w:bidi="ar-EG"/>
        </w:rPr>
      </w:pPr>
      <w:r w:rsidRPr="00FA537A">
        <w:rPr>
          <w:rFonts w:ascii="Times New Roman" w:hAnsi="Times New Roman" w:cs="Times New Roman"/>
          <w:color w:val="auto"/>
          <w:sz w:val="20"/>
          <w:szCs w:val="20"/>
        </w:rPr>
        <w:t xml:space="preserve">Patients with poor bladder function (defined as any WHO bladder symptom score of 3, as two or more bladder symptom scores of 2, or as a documented bladder capacity of less than 200 </w:t>
      </w:r>
      <w:proofErr w:type="spellStart"/>
      <w:r w:rsidRPr="00FA537A">
        <w:rPr>
          <w:rFonts w:ascii="Times New Roman" w:hAnsi="Times New Roman" w:cs="Times New Roman"/>
          <w:color w:val="auto"/>
          <w:sz w:val="20"/>
          <w:szCs w:val="20"/>
        </w:rPr>
        <w:t>mL</w:t>
      </w:r>
      <w:proofErr w:type="spellEnd"/>
      <w:r w:rsidRPr="00FA537A">
        <w:rPr>
          <w:rFonts w:ascii="Times New Roman" w:hAnsi="Times New Roman" w:cs="Times New Roman"/>
          <w:color w:val="auto"/>
          <w:sz w:val="20"/>
          <w:szCs w:val="20"/>
        </w:rPr>
        <w:t>) were excluded from the study. Other exclusion criteria were abnormal biochemistry (i</w:t>
      </w:r>
      <w:r w:rsidR="00914BAE" w:rsidRPr="00FA537A">
        <w:rPr>
          <w:rFonts w:ascii="Times New Roman" w:hAnsi="Times New Roman" w:cs="Times New Roman"/>
          <w:color w:val="auto"/>
          <w:sz w:val="20"/>
          <w:szCs w:val="20"/>
        </w:rPr>
        <w:t>.</w:t>
      </w:r>
      <w:r w:rsidRPr="00FA537A">
        <w:rPr>
          <w:rFonts w:ascii="Times New Roman" w:hAnsi="Times New Roman" w:cs="Times New Roman"/>
          <w:color w:val="auto"/>
          <w:sz w:val="20"/>
          <w:szCs w:val="20"/>
        </w:rPr>
        <w:t>e</w:t>
      </w:r>
      <w:r w:rsidR="00914BAE" w:rsidRPr="00FA537A">
        <w:rPr>
          <w:rFonts w:ascii="Times New Roman" w:hAnsi="Times New Roman" w:cs="Times New Roman"/>
          <w:color w:val="auto"/>
          <w:sz w:val="20"/>
          <w:szCs w:val="20"/>
        </w:rPr>
        <w:t>.</w:t>
      </w:r>
      <w:r w:rsidRPr="00FA537A">
        <w:rPr>
          <w:rFonts w:ascii="Times New Roman" w:hAnsi="Times New Roman" w:cs="Times New Roman"/>
          <w:color w:val="auto"/>
          <w:sz w:val="20"/>
          <w:szCs w:val="20"/>
        </w:rPr>
        <w:t xml:space="preserve">, </w:t>
      </w:r>
      <w:proofErr w:type="spellStart"/>
      <w:r w:rsidRPr="00FA537A">
        <w:rPr>
          <w:rFonts w:ascii="Times New Roman" w:hAnsi="Times New Roman" w:cs="Times New Roman"/>
          <w:color w:val="auto"/>
          <w:sz w:val="20"/>
          <w:szCs w:val="20"/>
        </w:rPr>
        <w:t>bilirubin</w:t>
      </w:r>
      <w:proofErr w:type="spellEnd"/>
      <w:r w:rsidRPr="00FA537A">
        <w:rPr>
          <w:rFonts w:ascii="Times New Roman" w:hAnsi="Times New Roman" w:cs="Times New Roman"/>
          <w:color w:val="auto"/>
          <w:sz w:val="20"/>
          <w:szCs w:val="20"/>
        </w:rPr>
        <w:t xml:space="preserve"> &gt; 1.3 × ULN, alkaline </w:t>
      </w:r>
      <w:proofErr w:type="spellStart"/>
      <w:r w:rsidRPr="00FA537A">
        <w:rPr>
          <w:rFonts w:ascii="Times New Roman" w:hAnsi="Times New Roman" w:cs="Times New Roman"/>
          <w:color w:val="auto"/>
          <w:sz w:val="20"/>
          <w:szCs w:val="20"/>
        </w:rPr>
        <w:t>phosphatase</w:t>
      </w:r>
      <w:proofErr w:type="spellEnd"/>
      <w:r w:rsidRPr="00FA537A">
        <w:rPr>
          <w:rFonts w:ascii="Times New Roman" w:hAnsi="Times New Roman" w:cs="Times New Roman"/>
          <w:color w:val="auto"/>
          <w:sz w:val="20"/>
          <w:szCs w:val="20"/>
        </w:rPr>
        <w:t xml:space="preserve"> &gt; 5 × ULN, AST/ALT &gt; 5 × ULN), more than one </w:t>
      </w:r>
      <w:proofErr w:type="spellStart"/>
      <w:r w:rsidRPr="00FA537A">
        <w:rPr>
          <w:rFonts w:ascii="Times New Roman" w:hAnsi="Times New Roman" w:cs="Times New Roman"/>
          <w:color w:val="auto"/>
          <w:sz w:val="20"/>
          <w:szCs w:val="20"/>
        </w:rPr>
        <w:t>intravesical</w:t>
      </w:r>
      <w:proofErr w:type="spellEnd"/>
      <w:r w:rsidRPr="00FA537A">
        <w:rPr>
          <w:rFonts w:ascii="Times New Roman" w:hAnsi="Times New Roman" w:cs="Times New Roman"/>
          <w:color w:val="auto"/>
          <w:sz w:val="20"/>
          <w:szCs w:val="20"/>
        </w:rPr>
        <w:t xml:space="preserve"> instillation of chemotherapy or immunotherapy, or previous </w:t>
      </w:r>
      <w:r w:rsidRPr="00FA537A">
        <w:rPr>
          <w:rFonts w:ascii="Times New Roman" w:hAnsi="Times New Roman" w:cs="Times New Roman"/>
          <w:color w:val="auto"/>
          <w:sz w:val="20"/>
          <w:szCs w:val="20"/>
        </w:rPr>
        <w:lastRenderedPageBreak/>
        <w:t>administration of systemic chemotherapy or pelvic radiotherapy. Patients with prior malignancy current or recent pregnancy, or inability to use contraception during and for 3 months after completion of treatment were also excluded. Patients underwent transurethral resection of their bladder tumor before chemo</w:t>
      </w:r>
      <w:r w:rsidR="00914BAE" w:rsidRPr="00FA537A">
        <w:rPr>
          <w:rFonts w:ascii="Times New Roman" w:hAnsi="Times New Roman" w:cs="Times New Roman"/>
          <w:color w:val="auto"/>
          <w:sz w:val="20"/>
          <w:szCs w:val="20"/>
        </w:rPr>
        <w:t>-</w:t>
      </w:r>
      <w:r w:rsidRPr="00FA537A">
        <w:rPr>
          <w:rFonts w:ascii="Times New Roman" w:hAnsi="Times New Roman" w:cs="Times New Roman"/>
          <w:color w:val="auto"/>
          <w:sz w:val="20"/>
          <w:szCs w:val="20"/>
        </w:rPr>
        <w:t>radiotherapy. Pre radiotherapy assessment included a full physical examination, routine hematologic and biochemical laboratory evaluation, magnetic resonance imaging (MRI) of the abdomen and pelvis (or computed tomography scan if MRI was not tolerated), and chest imaging at least 4 weeks after their diagnostic transurethral resection of bladder tumor.</w:t>
      </w:r>
    </w:p>
    <w:p w:rsidR="00587BEE" w:rsidRPr="00FA537A" w:rsidRDefault="00587BEE" w:rsidP="002C23A6">
      <w:pPr>
        <w:pStyle w:val="Heading3"/>
        <w:snapToGrid w:val="0"/>
        <w:spacing w:before="0" w:beforeAutospacing="0" w:after="0" w:afterAutospacing="0"/>
        <w:jc w:val="both"/>
        <w:rPr>
          <w:sz w:val="20"/>
          <w:szCs w:val="20"/>
        </w:rPr>
      </w:pPr>
      <w:r w:rsidRPr="00FA537A">
        <w:rPr>
          <w:sz w:val="20"/>
          <w:szCs w:val="20"/>
        </w:rPr>
        <w:t>Treatment</w:t>
      </w:r>
      <w:r w:rsidR="003E6C6F" w:rsidRPr="00FA537A">
        <w:rPr>
          <w:sz w:val="20"/>
          <w:szCs w:val="20"/>
        </w:rPr>
        <w:t>:</w:t>
      </w:r>
    </w:p>
    <w:p w:rsidR="00CF344E" w:rsidRPr="00FA537A" w:rsidRDefault="00A0705B" w:rsidP="002C23A6">
      <w:pPr>
        <w:bidi w:val="0"/>
        <w:snapToGrid w:val="0"/>
        <w:ind w:firstLine="425"/>
        <w:jc w:val="both"/>
        <w:rPr>
          <w:sz w:val="20"/>
          <w:szCs w:val="20"/>
        </w:rPr>
      </w:pPr>
      <w:r w:rsidRPr="00FA537A">
        <w:rPr>
          <w:sz w:val="20"/>
          <w:szCs w:val="20"/>
        </w:rPr>
        <w:t xml:space="preserve">Twenty five </w:t>
      </w:r>
      <w:r w:rsidR="00C431C0" w:rsidRPr="00FA537A">
        <w:rPr>
          <w:sz w:val="20"/>
          <w:szCs w:val="20"/>
        </w:rPr>
        <w:t xml:space="preserve">patients with </w:t>
      </w:r>
      <w:r w:rsidR="00773744" w:rsidRPr="00FA537A">
        <w:rPr>
          <w:sz w:val="20"/>
          <w:szCs w:val="20"/>
        </w:rPr>
        <w:t xml:space="preserve">MIBC </w:t>
      </w:r>
      <w:r w:rsidR="00C431C0" w:rsidRPr="00FA537A">
        <w:rPr>
          <w:sz w:val="20"/>
          <w:szCs w:val="20"/>
        </w:rPr>
        <w:t xml:space="preserve">were </w:t>
      </w:r>
      <w:r w:rsidR="00C07CF8" w:rsidRPr="00FA537A">
        <w:rPr>
          <w:sz w:val="20"/>
          <w:szCs w:val="20"/>
        </w:rPr>
        <w:t xml:space="preserve">treated by </w:t>
      </w:r>
      <w:r w:rsidR="00C431C0" w:rsidRPr="00FA537A">
        <w:rPr>
          <w:sz w:val="20"/>
          <w:szCs w:val="20"/>
        </w:rPr>
        <w:t>(CCRT) with</w:t>
      </w:r>
      <w:r w:rsidR="00C07CF8" w:rsidRPr="00FA537A">
        <w:rPr>
          <w:sz w:val="20"/>
          <w:szCs w:val="20"/>
        </w:rPr>
        <w:t xml:space="preserve"> </w:t>
      </w:r>
      <w:proofErr w:type="spellStart"/>
      <w:r w:rsidR="00FB2509" w:rsidRPr="00FA537A">
        <w:rPr>
          <w:sz w:val="20"/>
          <w:szCs w:val="20"/>
        </w:rPr>
        <w:t>cisplatin</w:t>
      </w:r>
      <w:proofErr w:type="spellEnd"/>
      <w:r w:rsidR="00FB2509" w:rsidRPr="00FA537A">
        <w:rPr>
          <w:sz w:val="20"/>
          <w:szCs w:val="20"/>
        </w:rPr>
        <w:t xml:space="preserve"> </w:t>
      </w:r>
      <w:r w:rsidR="00C07CF8" w:rsidRPr="00FA537A">
        <w:rPr>
          <w:sz w:val="20"/>
          <w:szCs w:val="20"/>
        </w:rPr>
        <w:t xml:space="preserve">at </w:t>
      </w:r>
      <w:proofErr w:type="spellStart"/>
      <w:r w:rsidR="00C07CF8" w:rsidRPr="00FA537A">
        <w:rPr>
          <w:sz w:val="20"/>
          <w:szCs w:val="20"/>
        </w:rPr>
        <w:t>Assi</w:t>
      </w:r>
      <w:r w:rsidR="00914BAE" w:rsidRPr="00FA537A">
        <w:rPr>
          <w:sz w:val="20"/>
          <w:szCs w:val="20"/>
        </w:rPr>
        <w:t>u</w:t>
      </w:r>
      <w:r w:rsidR="00C07CF8" w:rsidRPr="00FA537A">
        <w:rPr>
          <w:sz w:val="20"/>
          <w:szCs w:val="20"/>
        </w:rPr>
        <w:t>t</w:t>
      </w:r>
      <w:proofErr w:type="spellEnd"/>
      <w:r w:rsidR="00C07CF8" w:rsidRPr="00FA537A">
        <w:rPr>
          <w:sz w:val="20"/>
          <w:szCs w:val="20"/>
        </w:rPr>
        <w:t xml:space="preserve"> University Hospital </w:t>
      </w:r>
      <w:r w:rsidR="006F5A79" w:rsidRPr="00FA537A">
        <w:rPr>
          <w:sz w:val="20"/>
          <w:szCs w:val="20"/>
        </w:rPr>
        <w:t>Between (2012</w:t>
      </w:r>
      <w:r w:rsidR="00C07CF8" w:rsidRPr="00FA537A">
        <w:rPr>
          <w:sz w:val="20"/>
          <w:szCs w:val="20"/>
        </w:rPr>
        <w:t xml:space="preserve"> and </w:t>
      </w:r>
      <w:r w:rsidR="006F5A79" w:rsidRPr="00FA537A">
        <w:rPr>
          <w:sz w:val="20"/>
          <w:szCs w:val="20"/>
        </w:rPr>
        <w:t>201</w:t>
      </w:r>
      <w:r w:rsidR="005D2F20" w:rsidRPr="00FA537A">
        <w:rPr>
          <w:sz w:val="20"/>
          <w:szCs w:val="20"/>
        </w:rPr>
        <w:t>4</w:t>
      </w:r>
      <w:r w:rsidR="006F5A79" w:rsidRPr="00FA537A">
        <w:rPr>
          <w:sz w:val="20"/>
          <w:szCs w:val="20"/>
        </w:rPr>
        <w:t>)</w:t>
      </w:r>
      <w:r w:rsidR="00C431C0" w:rsidRPr="00FA537A">
        <w:rPr>
          <w:sz w:val="20"/>
          <w:szCs w:val="20"/>
        </w:rPr>
        <w:t xml:space="preserve">. </w:t>
      </w:r>
      <w:r w:rsidR="00FE1F36" w:rsidRPr="00FA537A">
        <w:rPr>
          <w:sz w:val="20"/>
          <w:szCs w:val="20"/>
        </w:rPr>
        <w:t xml:space="preserve">The dose of </w:t>
      </w:r>
      <w:proofErr w:type="spellStart"/>
      <w:r w:rsidR="00FE1F36" w:rsidRPr="00FA537A">
        <w:rPr>
          <w:sz w:val="20"/>
          <w:szCs w:val="20"/>
        </w:rPr>
        <w:t>cisplatin</w:t>
      </w:r>
      <w:proofErr w:type="spellEnd"/>
      <w:r w:rsidR="00FE1F36" w:rsidRPr="00FA537A">
        <w:rPr>
          <w:sz w:val="20"/>
          <w:szCs w:val="20"/>
        </w:rPr>
        <w:t xml:space="preserve"> was set at </w:t>
      </w:r>
      <w:r w:rsidR="00D94189" w:rsidRPr="00FA537A">
        <w:rPr>
          <w:sz w:val="20"/>
          <w:szCs w:val="20"/>
        </w:rPr>
        <w:t>4</w:t>
      </w:r>
      <w:r w:rsidR="00FE1F36" w:rsidRPr="00FA537A">
        <w:rPr>
          <w:sz w:val="20"/>
          <w:szCs w:val="20"/>
        </w:rPr>
        <w:t>0 mg/m</w:t>
      </w:r>
      <w:r w:rsidR="00FE1F36" w:rsidRPr="00FA537A">
        <w:rPr>
          <w:sz w:val="20"/>
          <w:szCs w:val="20"/>
          <w:vertAlign w:val="superscript"/>
        </w:rPr>
        <w:t>2</w:t>
      </w:r>
      <w:r w:rsidR="00FE1F36" w:rsidRPr="00FA537A">
        <w:rPr>
          <w:sz w:val="20"/>
          <w:szCs w:val="20"/>
        </w:rPr>
        <w:t xml:space="preserve">. </w:t>
      </w:r>
      <w:r w:rsidR="00CF344E" w:rsidRPr="00FA537A">
        <w:rPr>
          <w:sz w:val="20"/>
          <w:szCs w:val="20"/>
        </w:rPr>
        <w:t xml:space="preserve">Serum </w:t>
      </w:r>
      <w:proofErr w:type="spellStart"/>
      <w:r w:rsidR="00CF344E" w:rsidRPr="00FA537A">
        <w:rPr>
          <w:sz w:val="20"/>
          <w:szCs w:val="20"/>
        </w:rPr>
        <w:t>creatinine</w:t>
      </w:r>
      <w:proofErr w:type="spellEnd"/>
      <w:r w:rsidR="00CF344E" w:rsidRPr="00FA537A">
        <w:rPr>
          <w:sz w:val="20"/>
          <w:szCs w:val="20"/>
        </w:rPr>
        <w:t xml:space="preserve"> greater than140 </w:t>
      </w:r>
      <w:proofErr w:type="spellStart"/>
      <w:r w:rsidR="00CF344E" w:rsidRPr="00FA537A">
        <w:rPr>
          <w:sz w:val="20"/>
          <w:szCs w:val="20"/>
        </w:rPr>
        <w:t>micromol</w:t>
      </w:r>
      <w:proofErr w:type="spellEnd"/>
      <w:r w:rsidR="00CF344E" w:rsidRPr="00FA537A">
        <w:rPr>
          <w:sz w:val="20"/>
          <w:szCs w:val="20"/>
        </w:rPr>
        <w:t xml:space="preserve">/L Delay chemotherapy, recheck in 1 </w:t>
      </w:r>
      <w:r w:rsidR="003416F4" w:rsidRPr="00FA537A">
        <w:rPr>
          <w:sz w:val="20"/>
          <w:szCs w:val="20"/>
        </w:rPr>
        <w:t>week, if</w:t>
      </w:r>
      <w:r w:rsidR="00CF344E" w:rsidRPr="00FA537A">
        <w:rPr>
          <w:sz w:val="20"/>
          <w:szCs w:val="20"/>
        </w:rPr>
        <w:t xml:space="preserve"> Serum </w:t>
      </w:r>
      <w:proofErr w:type="spellStart"/>
      <w:r w:rsidR="00CF344E" w:rsidRPr="00FA537A">
        <w:rPr>
          <w:sz w:val="20"/>
          <w:szCs w:val="20"/>
        </w:rPr>
        <w:t>creatinine</w:t>
      </w:r>
      <w:proofErr w:type="spellEnd"/>
      <w:r w:rsidR="00CF344E" w:rsidRPr="00FA537A">
        <w:rPr>
          <w:sz w:val="20"/>
          <w:szCs w:val="20"/>
        </w:rPr>
        <w:t xml:space="preserve"> still greater than140micromol/L after one week chemotherapy delay Discontinue protocol.</w:t>
      </w:r>
    </w:p>
    <w:p w:rsidR="00531457" w:rsidRPr="00FA537A" w:rsidRDefault="006F5A79" w:rsidP="002C23A6">
      <w:pPr>
        <w:pStyle w:val="NormalWeb"/>
        <w:snapToGrid w:val="0"/>
        <w:spacing w:before="0" w:beforeAutospacing="0" w:after="0" w:afterAutospacing="0"/>
        <w:ind w:firstLine="425"/>
        <w:jc w:val="both"/>
        <w:rPr>
          <w:sz w:val="20"/>
          <w:szCs w:val="20"/>
        </w:rPr>
      </w:pPr>
      <w:r w:rsidRPr="00FA537A">
        <w:rPr>
          <w:sz w:val="20"/>
          <w:szCs w:val="20"/>
        </w:rPr>
        <w:t xml:space="preserve">Radiation therapy was delivered via 15 MV linear accelerator, bladder and pelvic </w:t>
      </w:r>
      <w:proofErr w:type="spellStart"/>
      <w:r w:rsidR="003416F4" w:rsidRPr="00FA537A">
        <w:rPr>
          <w:sz w:val="20"/>
          <w:szCs w:val="20"/>
        </w:rPr>
        <w:t>lymphatics</w:t>
      </w:r>
      <w:proofErr w:type="spellEnd"/>
      <w:r w:rsidRPr="00FA537A">
        <w:rPr>
          <w:sz w:val="20"/>
          <w:szCs w:val="20"/>
        </w:rPr>
        <w:t xml:space="preserve"> were treated via a four-field box technique to a total dose of 4500 </w:t>
      </w:r>
      <w:proofErr w:type="spellStart"/>
      <w:r w:rsidRPr="00FA537A">
        <w:rPr>
          <w:sz w:val="20"/>
          <w:szCs w:val="20"/>
        </w:rPr>
        <w:t>cGy</w:t>
      </w:r>
      <w:proofErr w:type="spellEnd"/>
      <w:r w:rsidRPr="00FA537A">
        <w:rPr>
          <w:sz w:val="20"/>
          <w:szCs w:val="20"/>
        </w:rPr>
        <w:t xml:space="preserve"> given over a period of 5 weeks (180cGy daily fractions in 5 consecutive days). </w:t>
      </w:r>
      <w:r w:rsidR="00FE1F36" w:rsidRPr="00FA537A">
        <w:rPr>
          <w:sz w:val="20"/>
          <w:szCs w:val="20"/>
        </w:rPr>
        <w:t xml:space="preserve">Planned target volume (PTV) consisted of the bladder and tumor with 2-cm margin. Re-staging </w:t>
      </w:r>
      <w:proofErr w:type="spellStart"/>
      <w:r w:rsidR="00FE1F36" w:rsidRPr="00FA537A">
        <w:rPr>
          <w:sz w:val="20"/>
          <w:szCs w:val="20"/>
        </w:rPr>
        <w:t>cystoscopy</w:t>
      </w:r>
      <w:proofErr w:type="spellEnd"/>
      <w:r w:rsidR="00FE1F36" w:rsidRPr="00FA537A">
        <w:rPr>
          <w:sz w:val="20"/>
          <w:szCs w:val="20"/>
        </w:rPr>
        <w:t xml:space="preserve"> performed 4 weeks after the completion of </w:t>
      </w:r>
      <w:r w:rsidRPr="00FA537A">
        <w:rPr>
          <w:sz w:val="20"/>
          <w:szCs w:val="20"/>
        </w:rPr>
        <w:t>CCRT</w:t>
      </w:r>
      <w:r w:rsidR="00FE1F36" w:rsidRPr="00FA537A">
        <w:rPr>
          <w:sz w:val="20"/>
          <w:szCs w:val="20"/>
        </w:rPr>
        <w:t xml:space="preserve"> directed additional therapy with delivery of irradiation (up to 6400 </w:t>
      </w:r>
      <w:proofErr w:type="spellStart"/>
      <w:r w:rsidR="00FE1F36" w:rsidRPr="00FA537A">
        <w:rPr>
          <w:sz w:val="20"/>
          <w:szCs w:val="20"/>
        </w:rPr>
        <w:t>cGy</w:t>
      </w:r>
      <w:proofErr w:type="spellEnd"/>
      <w:r w:rsidR="00FE1F36" w:rsidRPr="00FA537A">
        <w:rPr>
          <w:sz w:val="20"/>
          <w:szCs w:val="20"/>
        </w:rPr>
        <w:t>) in a proportion of patients who had CR. A complete pathological response required absence of any macroscopically and microscopically viable tumor in addition to negative urine cytology.</w:t>
      </w:r>
      <w:r w:rsidR="00531457" w:rsidRPr="00FA537A">
        <w:rPr>
          <w:sz w:val="20"/>
          <w:szCs w:val="20"/>
        </w:rPr>
        <w:t xml:space="preserve"> Empty bladder was a mandatory condition for each fraction. Physical examination, total blood counts, kidney function tests were done weekly and side effects were recorded once a</w:t>
      </w:r>
      <w:r w:rsidR="005E2DB3" w:rsidRPr="00FA537A">
        <w:rPr>
          <w:sz w:val="20"/>
          <w:szCs w:val="20"/>
        </w:rPr>
        <w:t xml:space="preserve"> </w:t>
      </w:r>
      <w:r w:rsidR="00531457" w:rsidRPr="00FA537A">
        <w:rPr>
          <w:sz w:val="20"/>
          <w:szCs w:val="20"/>
        </w:rPr>
        <w:t>week according to the comm</w:t>
      </w:r>
      <w:r w:rsidR="00914BAE" w:rsidRPr="00FA537A">
        <w:rPr>
          <w:sz w:val="20"/>
          <w:szCs w:val="20"/>
        </w:rPr>
        <w:t>on toxicity criteria (CTC) v2.0.</w:t>
      </w:r>
    </w:p>
    <w:p w:rsidR="00531457" w:rsidRPr="00FA537A" w:rsidRDefault="00531457" w:rsidP="002C23A6">
      <w:pPr>
        <w:bidi w:val="0"/>
        <w:snapToGrid w:val="0"/>
        <w:jc w:val="both"/>
        <w:rPr>
          <w:b/>
          <w:bCs/>
          <w:sz w:val="20"/>
          <w:szCs w:val="20"/>
        </w:rPr>
      </w:pPr>
      <w:r w:rsidRPr="00FA537A">
        <w:rPr>
          <w:b/>
          <w:bCs/>
          <w:sz w:val="20"/>
          <w:szCs w:val="20"/>
        </w:rPr>
        <w:t>Evaluation and follow-up</w:t>
      </w:r>
      <w:r w:rsidR="00914BAE" w:rsidRPr="00FA537A">
        <w:rPr>
          <w:b/>
          <w:bCs/>
          <w:sz w:val="20"/>
          <w:szCs w:val="20"/>
        </w:rPr>
        <w:t>:</w:t>
      </w:r>
    </w:p>
    <w:p w:rsidR="00531457" w:rsidRPr="00FA537A" w:rsidRDefault="00531457" w:rsidP="002C23A6">
      <w:pPr>
        <w:bidi w:val="0"/>
        <w:snapToGrid w:val="0"/>
        <w:ind w:firstLine="425"/>
        <w:jc w:val="both"/>
        <w:rPr>
          <w:sz w:val="20"/>
          <w:szCs w:val="20"/>
        </w:rPr>
      </w:pPr>
      <w:r w:rsidRPr="00FA537A">
        <w:rPr>
          <w:sz w:val="20"/>
          <w:szCs w:val="20"/>
        </w:rPr>
        <w:t xml:space="preserve">The first </w:t>
      </w:r>
      <w:proofErr w:type="spellStart"/>
      <w:r w:rsidRPr="00FA537A">
        <w:rPr>
          <w:sz w:val="20"/>
          <w:szCs w:val="20"/>
        </w:rPr>
        <w:t>cytoscopic</w:t>
      </w:r>
      <w:proofErr w:type="spellEnd"/>
      <w:r w:rsidRPr="00FA537A">
        <w:rPr>
          <w:sz w:val="20"/>
          <w:szCs w:val="20"/>
        </w:rPr>
        <w:t xml:space="preserve"> and radiological evaluation was done3 months after the end of </w:t>
      </w:r>
      <w:proofErr w:type="spellStart"/>
      <w:r w:rsidRPr="00FA537A">
        <w:rPr>
          <w:sz w:val="20"/>
          <w:szCs w:val="20"/>
        </w:rPr>
        <w:t>chemoradiotherapy</w:t>
      </w:r>
      <w:proofErr w:type="spellEnd"/>
      <w:r w:rsidRPr="00FA537A">
        <w:rPr>
          <w:sz w:val="20"/>
          <w:szCs w:val="20"/>
        </w:rPr>
        <w:t xml:space="preserve">. </w:t>
      </w:r>
      <w:proofErr w:type="spellStart"/>
      <w:r w:rsidRPr="00FA537A">
        <w:rPr>
          <w:sz w:val="20"/>
          <w:szCs w:val="20"/>
        </w:rPr>
        <w:t>Cystoscopy</w:t>
      </w:r>
      <w:proofErr w:type="spellEnd"/>
      <w:r w:rsidRPr="00FA537A">
        <w:rPr>
          <w:sz w:val="20"/>
          <w:szCs w:val="20"/>
        </w:rPr>
        <w:t xml:space="preserve"> was performed every 4–6 months in the first 2 years,</w:t>
      </w:r>
      <w:r w:rsidR="002F68F2" w:rsidRPr="00FA537A">
        <w:rPr>
          <w:sz w:val="20"/>
          <w:szCs w:val="20"/>
        </w:rPr>
        <w:t xml:space="preserve"> </w:t>
      </w:r>
      <w:r w:rsidRPr="00FA537A">
        <w:rPr>
          <w:sz w:val="20"/>
          <w:szCs w:val="20"/>
        </w:rPr>
        <w:t>thereafter every 6 months for an additional 3 years and if</w:t>
      </w:r>
      <w:r w:rsidR="00C07CF8" w:rsidRPr="00FA537A">
        <w:rPr>
          <w:sz w:val="20"/>
          <w:szCs w:val="20"/>
        </w:rPr>
        <w:t xml:space="preserve"> </w:t>
      </w:r>
      <w:r w:rsidR="002F68F2" w:rsidRPr="00FA537A">
        <w:rPr>
          <w:sz w:val="20"/>
          <w:szCs w:val="20"/>
        </w:rPr>
        <w:t>clinically</w:t>
      </w:r>
      <w:r w:rsidRPr="00FA537A">
        <w:rPr>
          <w:sz w:val="20"/>
          <w:szCs w:val="20"/>
        </w:rPr>
        <w:t xml:space="preserve"> indicated. Radiological evaluation was done</w:t>
      </w:r>
      <w:r w:rsidR="00774EF1" w:rsidRPr="00FA537A">
        <w:rPr>
          <w:sz w:val="20"/>
          <w:szCs w:val="20"/>
        </w:rPr>
        <w:t xml:space="preserve"> </w:t>
      </w:r>
      <w:r w:rsidRPr="00FA537A">
        <w:rPr>
          <w:sz w:val="20"/>
          <w:szCs w:val="20"/>
        </w:rPr>
        <w:t>every 3 months for the first 2 years and thereafter every</w:t>
      </w:r>
      <w:r w:rsidR="00774EF1" w:rsidRPr="00FA537A">
        <w:rPr>
          <w:sz w:val="20"/>
          <w:szCs w:val="20"/>
        </w:rPr>
        <w:t xml:space="preserve"> </w:t>
      </w:r>
      <w:r w:rsidRPr="00FA537A">
        <w:rPr>
          <w:sz w:val="20"/>
          <w:szCs w:val="20"/>
        </w:rPr>
        <w:t>6 months or if clinically indicated.</w:t>
      </w:r>
    </w:p>
    <w:p w:rsidR="00531457" w:rsidRPr="00FA537A" w:rsidRDefault="00531457" w:rsidP="002C23A6">
      <w:pPr>
        <w:bidi w:val="0"/>
        <w:snapToGrid w:val="0"/>
        <w:jc w:val="both"/>
        <w:rPr>
          <w:b/>
          <w:bCs/>
          <w:sz w:val="20"/>
          <w:szCs w:val="20"/>
        </w:rPr>
      </w:pPr>
      <w:r w:rsidRPr="00FA537A">
        <w:rPr>
          <w:b/>
          <w:bCs/>
          <w:sz w:val="20"/>
          <w:szCs w:val="20"/>
        </w:rPr>
        <w:t>Statistical analyses</w:t>
      </w:r>
      <w:r w:rsidR="003E6C6F" w:rsidRPr="00FA537A">
        <w:rPr>
          <w:b/>
          <w:bCs/>
          <w:sz w:val="20"/>
          <w:szCs w:val="20"/>
        </w:rPr>
        <w:t>:</w:t>
      </w:r>
    </w:p>
    <w:p w:rsidR="00686472" w:rsidRPr="00FA537A" w:rsidRDefault="00686472" w:rsidP="002C23A6">
      <w:pPr>
        <w:pStyle w:val="pp-first"/>
        <w:snapToGrid w:val="0"/>
        <w:spacing w:before="0" w:beforeAutospacing="0" w:after="0" w:afterAutospacing="0"/>
        <w:ind w:firstLine="425"/>
        <w:jc w:val="both"/>
        <w:rPr>
          <w:sz w:val="20"/>
          <w:szCs w:val="20"/>
        </w:rPr>
      </w:pPr>
      <w:r w:rsidRPr="00FA537A">
        <w:rPr>
          <w:sz w:val="20"/>
          <w:szCs w:val="20"/>
        </w:rPr>
        <w:t xml:space="preserve">The therapeutic efficacy was evaluated using the Response Evaluation Criteria in Solid Tumors (RECIST) version 1.0 every two cycles. The efficacy was evaluated as complete remission (CR), partial responses (PR), stable disease (SD), and progressive </w:t>
      </w:r>
      <w:r w:rsidRPr="00FA537A">
        <w:rPr>
          <w:sz w:val="20"/>
          <w:szCs w:val="20"/>
        </w:rPr>
        <w:lastRenderedPageBreak/>
        <w:t>disease (PD). The progression-free survival (PFS) was defined as the time elapsed between combined treatment initiation and tumor progression, loss to follow-up, or death during the combination therapy or maintenance therapy. The National Cancer Institute’s Common Terminology Criteria for Adverse Events was applied in this study.</w:t>
      </w:r>
    </w:p>
    <w:p w:rsidR="009113C3" w:rsidRPr="00FA537A" w:rsidRDefault="009113C3" w:rsidP="002C23A6">
      <w:pPr>
        <w:pStyle w:val="Heading3"/>
        <w:snapToGrid w:val="0"/>
        <w:spacing w:before="0" w:beforeAutospacing="0" w:after="0" w:afterAutospacing="0"/>
        <w:jc w:val="both"/>
        <w:rPr>
          <w:sz w:val="20"/>
          <w:szCs w:val="20"/>
        </w:rPr>
      </w:pPr>
      <w:r w:rsidRPr="00FA537A">
        <w:rPr>
          <w:sz w:val="20"/>
          <w:szCs w:val="20"/>
        </w:rPr>
        <w:t>Design of the study:</w:t>
      </w:r>
    </w:p>
    <w:p w:rsidR="009113C3" w:rsidRPr="00FA537A" w:rsidRDefault="009113C3" w:rsidP="002C23A6">
      <w:pPr>
        <w:pStyle w:val="svarticlesection"/>
        <w:snapToGrid w:val="0"/>
        <w:spacing w:before="0" w:beforeAutospacing="0" w:after="0" w:afterAutospacing="0"/>
        <w:ind w:firstLine="425"/>
        <w:jc w:val="both"/>
        <w:rPr>
          <w:sz w:val="20"/>
          <w:szCs w:val="20"/>
        </w:rPr>
      </w:pPr>
      <w:r w:rsidRPr="00FA537A">
        <w:rPr>
          <w:sz w:val="20"/>
          <w:szCs w:val="20"/>
        </w:rPr>
        <w:t xml:space="preserve">This study was a prospective; single institution study. The Ethics Committee in Faculty of Medicine, </w:t>
      </w:r>
      <w:proofErr w:type="spellStart"/>
      <w:r w:rsidRPr="00FA537A">
        <w:rPr>
          <w:sz w:val="20"/>
          <w:szCs w:val="20"/>
        </w:rPr>
        <w:t>Assi</w:t>
      </w:r>
      <w:r w:rsidR="003E6C6F" w:rsidRPr="00FA537A">
        <w:rPr>
          <w:sz w:val="20"/>
          <w:szCs w:val="20"/>
        </w:rPr>
        <w:t>u</w:t>
      </w:r>
      <w:r w:rsidRPr="00FA537A">
        <w:rPr>
          <w:sz w:val="20"/>
          <w:szCs w:val="20"/>
        </w:rPr>
        <w:t>t</w:t>
      </w:r>
      <w:proofErr w:type="spellEnd"/>
      <w:r w:rsidRPr="00FA537A">
        <w:rPr>
          <w:sz w:val="20"/>
          <w:szCs w:val="20"/>
        </w:rPr>
        <w:t xml:space="preserve"> University, granted protocol approval and all patients signed an informed consent before the initiation of any treatment.</w:t>
      </w:r>
    </w:p>
    <w:p w:rsidR="00245368" w:rsidRPr="00FA537A" w:rsidRDefault="00245368" w:rsidP="002C23A6">
      <w:pPr>
        <w:bidi w:val="0"/>
        <w:snapToGrid w:val="0"/>
        <w:jc w:val="both"/>
        <w:rPr>
          <w:b/>
          <w:bCs/>
          <w:sz w:val="20"/>
          <w:szCs w:val="20"/>
          <w:lang w:bidi="ar-EG"/>
        </w:rPr>
      </w:pPr>
    </w:p>
    <w:p w:rsidR="0072160C" w:rsidRPr="00FA537A" w:rsidRDefault="00245368" w:rsidP="002C23A6">
      <w:pPr>
        <w:bidi w:val="0"/>
        <w:snapToGrid w:val="0"/>
        <w:jc w:val="both"/>
        <w:rPr>
          <w:b/>
          <w:bCs/>
          <w:sz w:val="20"/>
          <w:szCs w:val="20"/>
          <w:lang w:bidi="ar-EG"/>
        </w:rPr>
      </w:pPr>
      <w:r w:rsidRPr="00FA537A">
        <w:rPr>
          <w:b/>
          <w:bCs/>
          <w:sz w:val="20"/>
          <w:szCs w:val="20"/>
          <w:lang w:bidi="ar-EG"/>
        </w:rPr>
        <w:t xml:space="preserve">3. </w:t>
      </w:r>
      <w:r w:rsidR="0072160C" w:rsidRPr="00FA537A">
        <w:rPr>
          <w:b/>
          <w:bCs/>
          <w:sz w:val="20"/>
          <w:szCs w:val="20"/>
          <w:lang w:bidi="ar-EG"/>
        </w:rPr>
        <w:t>Results:</w:t>
      </w:r>
    </w:p>
    <w:p w:rsidR="00060E3C" w:rsidRPr="00FA537A" w:rsidRDefault="0072160C" w:rsidP="002C23A6">
      <w:pPr>
        <w:bidi w:val="0"/>
        <w:snapToGrid w:val="0"/>
        <w:ind w:firstLine="425"/>
        <w:jc w:val="both"/>
        <w:rPr>
          <w:sz w:val="20"/>
          <w:szCs w:val="20"/>
        </w:rPr>
      </w:pPr>
      <w:r w:rsidRPr="00FA537A">
        <w:rPr>
          <w:sz w:val="20"/>
          <w:szCs w:val="20"/>
          <w:lang w:bidi="ar-EG"/>
        </w:rPr>
        <w:t xml:space="preserve">Twenty </w:t>
      </w:r>
      <w:r w:rsidR="00A0705B" w:rsidRPr="00FA537A">
        <w:rPr>
          <w:sz w:val="20"/>
          <w:szCs w:val="20"/>
          <w:lang w:bidi="ar-EG"/>
        </w:rPr>
        <w:t xml:space="preserve">five patients </w:t>
      </w:r>
      <w:r w:rsidRPr="00FA537A">
        <w:rPr>
          <w:sz w:val="20"/>
          <w:szCs w:val="20"/>
          <w:lang w:bidi="ar-EG"/>
        </w:rPr>
        <w:t>of histological proven primary urinary bladder tumor were managed during the period from (201</w:t>
      </w:r>
      <w:r w:rsidR="00085972" w:rsidRPr="00FA537A">
        <w:rPr>
          <w:sz w:val="20"/>
          <w:szCs w:val="20"/>
          <w:lang w:bidi="ar-EG"/>
        </w:rPr>
        <w:t>2</w:t>
      </w:r>
      <w:r w:rsidRPr="00FA537A">
        <w:rPr>
          <w:sz w:val="20"/>
          <w:szCs w:val="20"/>
          <w:lang w:bidi="ar-EG"/>
        </w:rPr>
        <w:t>- 201</w:t>
      </w:r>
      <w:r w:rsidR="005D2F20" w:rsidRPr="00FA537A">
        <w:rPr>
          <w:sz w:val="20"/>
          <w:szCs w:val="20"/>
          <w:lang w:bidi="ar-EG"/>
        </w:rPr>
        <w:t>4</w:t>
      </w:r>
      <w:r w:rsidRPr="00FA537A">
        <w:rPr>
          <w:sz w:val="20"/>
          <w:szCs w:val="20"/>
          <w:lang w:bidi="ar-EG"/>
        </w:rPr>
        <w:t>)</w:t>
      </w:r>
      <w:r w:rsidR="00661C7A" w:rsidRPr="00FA537A">
        <w:rPr>
          <w:sz w:val="20"/>
          <w:szCs w:val="20"/>
        </w:rPr>
        <w:t xml:space="preserve"> </w:t>
      </w:r>
      <w:r w:rsidRPr="00FA537A">
        <w:rPr>
          <w:sz w:val="20"/>
          <w:szCs w:val="20"/>
        </w:rPr>
        <w:t xml:space="preserve">by concurrent </w:t>
      </w:r>
      <w:proofErr w:type="spellStart"/>
      <w:r w:rsidRPr="00FA537A">
        <w:rPr>
          <w:sz w:val="20"/>
          <w:szCs w:val="20"/>
        </w:rPr>
        <w:t>chem</w:t>
      </w:r>
      <w:r w:rsidR="003416F4" w:rsidRPr="00FA537A">
        <w:rPr>
          <w:sz w:val="20"/>
          <w:szCs w:val="20"/>
        </w:rPr>
        <w:t>o</w:t>
      </w:r>
      <w:r w:rsidRPr="00FA537A">
        <w:rPr>
          <w:sz w:val="20"/>
          <w:szCs w:val="20"/>
        </w:rPr>
        <w:t>radiotherapy</w:t>
      </w:r>
      <w:proofErr w:type="spellEnd"/>
      <w:r w:rsidRPr="00FA537A">
        <w:rPr>
          <w:sz w:val="20"/>
          <w:szCs w:val="20"/>
        </w:rPr>
        <w:t xml:space="preserve"> at </w:t>
      </w:r>
      <w:proofErr w:type="spellStart"/>
      <w:r w:rsidRPr="00FA537A">
        <w:rPr>
          <w:sz w:val="20"/>
          <w:szCs w:val="20"/>
        </w:rPr>
        <w:t>Assi</w:t>
      </w:r>
      <w:r w:rsidR="003E6C6F" w:rsidRPr="00FA537A">
        <w:rPr>
          <w:sz w:val="20"/>
          <w:szCs w:val="20"/>
        </w:rPr>
        <w:t>u</w:t>
      </w:r>
      <w:r w:rsidRPr="00FA537A">
        <w:rPr>
          <w:sz w:val="20"/>
          <w:szCs w:val="20"/>
        </w:rPr>
        <w:t>t</w:t>
      </w:r>
      <w:proofErr w:type="spellEnd"/>
      <w:r w:rsidRPr="00FA537A">
        <w:rPr>
          <w:sz w:val="20"/>
          <w:szCs w:val="20"/>
        </w:rPr>
        <w:t xml:space="preserve"> University Hospital</w:t>
      </w:r>
      <w:r w:rsidRPr="00FA537A">
        <w:rPr>
          <w:sz w:val="20"/>
          <w:szCs w:val="20"/>
          <w:lang w:bidi="ar-EG"/>
        </w:rPr>
        <w:t xml:space="preserve">. </w:t>
      </w:r>
      <w:r w:rsidRPr="00FA537A">
        <w:rPr>
          <w:sz w:val="20"/>
          <w:szCs w:val="20"/>
        </w:rPr>
        <w:t>The patients range in age from (</w:t>
      </w:r>
      <w:r w:rsidR="001F0100" w:rsidRPr="00FA537A">
        <w:rPr>
          <w:sz w:val="20"/>
          <w:szCs w:val="20"/>
        </w:rPr>
        <w:t>4</w:t>
      </w:r>
      <w:r w:rsidRPr="00FA537A">
        <w:rPr>
          <w:sz w:val="20"/>
          <w:szCs w:val="20"/>
        </w:rPr>
        <w:t>0-</w:t>
      </w:r>
      <w:r w:rsidR="001F0100" w:rsidRPr="00FA537A">
        <w:rPr>
          <w:sz w:val="20"/>
          <w:szCs w:val="20"/>
        </w:rPr>
        <w:t>73</w:t>
      </w:r>
      <w:r w:rsidRPr="00FA537A">
        <w:rPr>
          <w:sz w:val="20"/>
          <w:szCs w:val="20"/>
        </w:rPr>
        <w:t>) year</w:t>
      </w:r>
      <w:r w:rsidR="001F0100" w:rsidRPr="00FA537A">
        <w:rPr>
          <w:sz w:val="20"/>
          <w:szCs w:val="20"/>
        </w:rPr>
        <w:t>s</w:t>
      </w:r>
      <w:r w:rsidRPr="00FA537A">
        <w:rPr>
          <w:sz w:val="20"/>
          <w:szCs w:val="20"/>
        </w:rPr>
        <w:t xml:space="preserve"> and me</w:t>
      </w:r>
      <w:r w:rsidR="001F0100" w:rsidRPr="00FA537A">
        <w:rPr>
          <w:sz w:val="20"/>
          <w:szCs w:val="20"/>
        </w:rPr>
        <w:t>di</w:t>
      </w:r>
      <w:r w:rsidRPr="00FA537A">
        <w:rPr>
          <w:sz w:val="20"/>
          <w:szCs w:val="20"/>
        </w:rPr>
        <w:t xml:space="preserve">an age was </w:t>
      </w:r>
      <w:r w:rsidR="001F0100" w:rsidRPr="00FA537A">
        <w:rPr>
          <w:sz w:val="20"/>
          <w:szCs w:val="20"/>
        </w:rPr>
        <w:t>57</w:t>
      </w:r>
      <w:r w:rsidRPr="00FA537A">
        <w:rPr>
          <w:sz w:val="20"/>
          <w:szCs w:val="20"/>
        </w:rPr>
        <w:t>year</w:t>
      </w:r>
      <w:r w:rsidR="001F0100" w:rsidRPr="00FA537A">
        <w:rPr>
          <w:sz w:val="20"/>
          <w:szCs w:val="20"/>
        </w:rPr>
        <w:t>s</w:t>
      </w:r>
      <w:r w:rsidRPr="00FA537A">
        <w:rPr>
          <w:sz w:val="20"/>
          <w:szCs w:val="20"/>
        </w:rPr>
        <w:t xml:space="preserve">. There were </w:t>
      </w:r>
      <w:r w:rsidR="001F0100" w:rsidRPr="00FA537A">
        <w:rPr>
          <w:sz w:val="20"/>
          <w:szCs w:val="20"/>
        </w:rPr>
        <w:t>2</w:t>
      </w:r>
      <w:r w:rsidR="00A0705B" w:rsidRPr="00FA537A">
        <w:rPr>
          <w:sz w:val="20"/>
          <w:szCs w:val="20"/>
        </w:rPr>
        <w:t>3</w:t>
      </w:r>
      <w:r w:rsidRPr="00FA537A">
        <w:rPr>
          <w:sz w:val="20"/>
          <w:szCs w:val="20"/>
        </w:rPr>
        <w:t xml:space="preserve"> male</w:t>
      </w:r>
      <w:r w:rsidR="003416F4" w:rsidRPr="00FA537A">
        <w:rPr>
          <w:sz w:val="20"/>
          <w:szCs w:val="20"/>
        </w:rPr>
        <w:t>s</w:t>
      </w:r>
      <w:r w:rsidRPr="00FA537A">
        <w:rPr>
          <w:sz w:val="20"/>
          <w:szCs w:val="20"/>
        </w:rPr>
        <w:t xml:space="preserve"> and 2 female</w:t>
      </w:r>
      <w:r w:rsidR="003416F4" w:rsidRPr="00FA537A">
        <w:rPr>
          <w:sz w:val="20"/>
          <w:szCs w:val="20"/>
        </w:rPr>
        <w:t>s</w:t>
      </w:r>
      <w:r w:rsidRPr="00FA537A">
        <w:rPr>
          <w:sz w:val="20"/>
          <w:szCs w:val="20"/>
        </w:rPr>
        <w:t>, male: female ratio was</w:t>
      </w:r>
      <w:r w:rsidR="000B1488" w:rsidRPr="00FA537A">
        <w:rPr>
          <w:sz w:val="20"/>
          <w:szCs w:val="20"/>
        </w:rPr>
        <w:t>11.5</w:t>
      </w:r>
      <w:r w:rsidRPr="00FA537A">
        <w:rPr>
          <w:sz w:val="20"/>
          <w:szCs w:val="20"/>
        </w:rPr>
        <w:t>:1(male is significantly affected more than female</w:t>
      </w:r>
      <w:r w:rsidR="00773744" w:rsidRPr="00FA537A">
        <w:rPr>
          <w:sz w:val="20"/>
          <w:szCs w:val="20"/>
        </w:rPr>
        <w:t>)</w:t>
      </w:r>
      <w:r w:rsidRPr="00FA537A">
        <w:rPr>
          <w:sz w:val="20"/>
          <w:szCs w:val="20"/>
        </w:rPr>
        <w:t>.</w:t>
      </w:r>
      <w:r w:rsidR="001F0100" w:rsidRPr="00FA537A">
        <w:rPr>
          <w:sz w:val="20"/>
          <w:szCs w:val="20"/>
          <w:lang w:bidi="ar-EG"/>
        </w:rPr>
        <w:t xml:space="preserve"> As regard pathology: transitional cell carcinoma TCC was the most predominant histological type </w:t>
      </w:r>
      <w:r w:rsidR="001F0100" w:rsidRPr="00FA537A">
        <w:rPr>
          <w:sz w:val="20"/>
          <w:szCs w:val="20"/>
        </w:rPr>
        <w:t>9</w:t>
      </w:r>
      <w:r w:rsidR="000B1488" w:rsidRPr="00FA537A">
        <w:rPr>
          <w:sz w:val="20"/>
          <w:szCs w:val="20"/>
        </w:rPr>
        <w:t>2</w:t>
      </w:r>
      <w:r w:rsidR="001F0100" w:rsidRPr="00FA537A">
        <w:rPr>
          <w:sz w:val="20"/>
          <w:szCs w:val="20"/>
        </w:rPr>
        <w:t>%</w:t>
      </w:r>
      <w:r w:rsidR="001F0100" w:rsidRPr="00FA537A">
        <w:rPr>
          <w:sz w:val="20"/>
          <w:szCs w:val="20"/>
          <w:lang w:bidi="ar-EG"/>
        </w:rPr>
        <w:t xml:space="preserve"> and </w:t>
      </w:r>
      <w:r w:rsidR="000B1488" w:rsidRPr="00FA537A">
        <w:rPr>
          <w:sz w:val="20"/>
          <w:szCs w:val="20"/>
          <w:lang w:bidi="ar-EG"/>
        </w:rPr>
        <w:t>8</w:t>
      </w:r>
      <w:r w:rsidR="001F0100" w:rsidRPr="00FA537A">
        <w:rPr>
          <w:sz w:val="20"/>
          <w:szCs w:val="20"/>
          <w:lang w:bidi="ar-EG"/>
        </w:rPr>
        <w:t xml:space="preserve">% </w:t>
      </w:r>
      <w:proofErr w:type="spellStart"/>
      <w:r w:rsidR="001F0100" w:rsidRPr="00FA537A">
        <w:rPr>
          <w:sz w:val="20"/>
          <w:szCs w:val="20"/>
          <w:lang w:bidi="ar-EG"/>
        </w:rPr>
        <w:t>squamous</w:t>
      </w:r>
      <w:proofErr w:type="spellEnd"/>
      <w:r w:rsidR="001F0100" w:rsidRPr="00FA537A">
        <w:rPr>
          <w:sz w:val="20"/>
          <w:szCs w:val="20"/>
          <w:lang w:bidi="ar-EG"/>
        </w:rPr>
        <w:t xml:space="preserve"> cell carcinoma;</w:t>
      </w:r>
      <w:r w:rsidR="00342BBD" w:rsidRPr="00FA537A">
        <w:rPr>
          <w:sz w:val="20"/>
          <w:szCs w:val="20"/>
          <w:lang w:bidi="ar-EG"/>
        </w:rPr>
        <w:t xml:space="preserve"> 3</w:t>
      </w:r>
      <w:r w:rsidR="000B1488" w:rsidRPr="00FA537A">
        <w:rPr>
          <w:sz w:val="20"/>
          <w:szCs w:val="20"/>
          <w:lang w:bidi="ar-EG"/>
        </w:rPr>
        <w:t>6</w:t>
      </w:r>
      <w:r w:rsidR="00342BBD" w:rsidRPr="00FA537A">
        <w:rPr>
          <w:sz w:val="20"/>
          <w:szCs w:val="20"/>
          <w:lang w:bidi="ar-EG"/>
        </w:rPr>
        <w:t>% of patients were</w:t>
      </w:r>
      <w:r w:rsidR="00FA537A">
        <w:rPr>
          <w:sz w:val="20"/>
          <w:szCs w:val="20"/>
          <w:lang w:bidi="ar-EG"/>
        </w:rPr>
        <w:t xml:space="preserve"> </w:t>
      </w:r>
      <w:r w:rsidR="001F0100" w:rsidRPr="00FA537A">
        <w:rPr>
          <w:sz w:val="20"/>
          <w:szCs w:val="20"/>
          <w:lang w:bidi="ar-EG"/>
        </w:rPr>
        <w:t>grade</w:t>
      </w:r>
      <w:r w:rsidR="00342BBD" w:rsidRPr="00FA537A">
        <w:rPr>
          <w:sz w:val="20"/>
          <w:szCs w:val="20"/>
          <w:lang w:bidi="ar-EG"/>
        </w:rPr>
        <w:t xml:space="preserve"> </w:t>
      </w:r>
      <w:r w:rsidR="001F0100" w:rsidRPr="00FA537A">
        <w:rPr>
          <w:sz w:val="20"/>
          <w:szCs w:val="20"/>
          <w:lang w:bidi="ar-EG"/>
        </w:rPr>
        <w:t xml:space="preserve">III, </w:t>
      </w:r>
      <w:r w:rsidR="00342BBD" w:rsidRPr="00FA537A">
        <w:rPr>
          <w:sz w:val="20"/>
          <w:szCs w:val="20"/>
          <w:lang w:bidi="ar-EG"/>
        </w:rPr>
        <w:t>5</w:t>
      </w:r>
      <w:r w:rsidR="000B1488" w:rsidRPr="00FA537A">
        <w:rPr>
          <w:sz w:val="20"/>
          <w:szCs w:val="20"/>
          <w:lang w:bidi="ar-EG"/>
        </w:rPr>
        <w:t>6</w:t>
      </w:r>
      <w:r w:rsidR="00342BBD" w:rsidRPr="00FA537A">
        <w:rPr>
          <w:sz w:val="20"/>
          <w:szCs w:val="20"/>
          <w:lang w:bidi="ar-EG"/>
        </w:rPr>
        <w:t xml:space="preserve">% of patients were </w:t>
      </w:r>
      <w:r w:rsidR="001F0100" w:rsidRPr="00FA537A">
        <w:rPr>
          <w:sz w:val="20"/>
          <w:szCs w:val="20"/>
          <w:lang w:bidi="ar-EG"/>
        </w:rPr>
        <w:t xml:space="preserve">grade II </w:t>
      </w:r>
      <w:r w:rsidR="00342BBD" w:rsidRPr="00FA537A">
        <w:rPr>
          <w:sz w:val="20"/>
          <w:szCs w:val="20"/>
          <w:lang w:bidi="ar-EG"/>
        </w:rPr>
        <w:t xml:space="preserve">and unknown grade in </w:t>
      </w:r>
      <w:r w:rsidR="000B1488" w:rsidRPr="00FA537A">
        <w:rPr>
          <w:sz w:val="20"/>
          <w:szCs w:val="20"/>
          <w:lang w:bidi="ar-EG"/>
        </w:rPr>
        <w:t>8</w:t>
      </w:r>
      <w:r w:rsidR="001F0100" w:rsidRPr="00FA537A">
        <w:rPr>
          <w:sz w:val="20"/>
          <w:szCs w:val="20"/>
          <w:lang w:bidi="ar-EG"/>
        </w:rPr>
        <w:t>%</w:t>
      </w:r>
      <w:r w:rsidR="00342BBD" w:rsidRPr="00FA537A">
        <w:rPr>
          <w:sz w:val="20"/>
          <w:szCs w:val="20"/>
          <w:lang w:bidi="ar-EG"/>
        </w:rPr>
        <w:t xml:space="preserve"> of patients</w:t>
      </w:r>
      <w:r w:rsidR="001F0100" w:rsidRPr="00FA537A">
        <w:rPr>
          <w:sz w:val="20"/>
          <w:szCs w:val="20"/>
          <w:lang w:bidi="ar-EG"/>
        </w:rPr>
        <w:t>.</w:t>
      </w:r>
      <w:r w:rsidR="00342BBD" w:rsidRPr="00FA537A">
        <w:rPr>
          <w:sz w:val="20"/>
          <w:szCs w:val="20"/>
          <w:lang w:bidi="ar-EG"/>
        </w:rPr>
        <w:t xml:space="preserve"> As regard</w:t>
      </w:r>
      <w:r w:rsidR="00FA537A">
        <w:rPr>
          <w:sz w:val="20"/>
          <w:szCs w:val="20"/>
          <w:lang w:bidi="ar-EG"/>
        </w:rPr>
        <w:t xml:space="preserve"> </w:t>
      </w:r>
      <w:r w:rsidR="00342BBD" w:rsidRPr="00FA537A">
        <w:rPr>
          <w:sz w:val="20"/>
          <w:szCs w:val="20"/>
          <w:lang w:bidi="ar-EG"/>
        </w:rPr>
        <w:t>stage;</w:t>
      </w:r>
      <w:r w:rsidR="00AA36BD" w:rsidRPr="00FA537A">
        <w:rPr>
          <w:sz w:val="20"/>
          <w:szCs w:val="20"/>
          <w:lang w:bidi="ar-EG"/>
        </w:rPr>
        <w:t xml:space="preserve"> </w:t>
      </w:r>
      <w:r w:rsidR="000B1488" w:rsidRPr="00FA537A">
        <w:rPr>
          <w:sz w:val="20"/>
          <w:szCs w:val="20"/>
          <w:lang w:bidi="ar-EG"/>
        </w:rPr>
        <w:t>28</w:t>
      </w:r>
      <w:r w:rsidR="00342BBD" w:rsidRPr="00FA537A">
        <w:rPr>
          <w:sz w:val="20"/>
          <w:szCs w:val="20"/>
          <w:lang w:bidi="ar-EG"/>
        </w:rPr>
        <w:t>% of patients were stage II while 7</w:t>
      </w:r>
      <w:r w:rsidR="000B1488" w:rsidRPr="00FA537A">
        <w:rPr>
          <w:sz w:val="20"/>
          <w:szCs w:val="20"/>
          <w:lang w:bidi="ar-EG"/>
        </w:rPr>
        <w:t>2</w:t>
      </w:r>
      <w:r w:rsidR="00342BBD" w:rsidRPr="00FA537A">
        <w:rPr>
          <w:sz w:val="20"/>
          <w:szCs w:val="20"/>
          <w:lang w:bidi="ar-EG"/>
        </w:rPr>
        <w:t xml:space="preserve">% of patients were </w:t>
      </w:r>
      <w:r w:rsidR="00DD0429" w:rsidRPr="00FA537A">
        <w:rPr>
          <w:sz w:val="20"/>
          <w:szCs w:val="20"/>
          <w:lang w:bidi="ar-EG"/>
        </w:rPr>
        <w:t xml:space="preserve">stage </w:t>
      </w:r>
      <w:r w:rsidR="00342BBD" w:rsidRPr="00FA537A">
        <w:rPr>
          <w:sz w:val="20"/>
          <w:szCs w:val="20"/>
          <w:lang w:bidi="ar-EG"/>
        </w:rPr>
        <w:t>III</w:t>
      </w:r>
      <w:r w:rsidR="00661C7A" w:rsidRPr="00FA537A">
        <w:rPr>
          <w:sz w:val="20"/>
          <w:szCs w:val="20"/>
        </w:rPr>
        <w:t xml:space="preserve"> </w:t>
      </w:r>
      <w:r w:rsidR="00661C7A" w:rsidRPr="00FA537A">
        <w:rPr>
          <w:b/>
          <w:bCs/>
          <w:sz w:val="20"/>
          <w:szCs w:val="20"/>
        </w:rPr>
        <w:t>Table (1).</w:t>
      </w:r>
      <w:r w:rsidR="00AA36BD" w:rsidRPr="00FA537A">
        <w:rPr>
          <w:sz w:val="20"/>
          <w:szCs w:val="20"/>
        </w:rPr>
        <w:t xml:space="preserve"> </w:t>
      </w:r>
      <w:r w:rsidR="00661C7A" w:rsidRPr="00FA537A">
        <w:rPr>
          <w:sz w:val="20"/>
          <w:szCs w:val="20"/>
        </w:rPr>
        <w:t xml:space="preserve">Response to treatment </w:t>
      </w:r>
      <w:r w:rsidR="00661C7A" w:rsidRPr="00FA537A">
        <w:rPr>
          <w:sz w:val="20"/>
          <w:szCs w:val="20"/>
          <w:lang w:bidi="ar-EG"/>
        </w:rPr>
        <w:t>was</w:t>
      </w:r>
      <w:r w:rsidR="00AA36BD" w:rsidRPr="00FA537A">
        <w:rPr>
          <w:sz w:val="20"/>
          <w:szCs w:val="20"/>
          <w:lang w:bidi="ar-EG"/>
        </w:rPr>
        <w:t xml:space="preserve"> </w:t>
      </w:r>
      <w:proofErr w:type="spellStart"/>
      <w:r w:rsidR="00AA36BD" w:rsidRPr="00FA537A">
        <w:rPr>
          <w:sz w:val="20"/>
          <w:szCs w:val="20"/>
          <w:lang w:bidi="ar-EG"/>
        </w:rPr>
        <w:t>assed</w:t>
      </w:r>
      <w:proofErr w:type="spellEnd"/>
      <w:r w:rsidR="00AA36BD" w:rsidRPr="00FA537A">
        <w:rPr>
          <w:sz w:val="20"/>
          <w:szCs w:val="20"/>
          <w:lang w:bidi="ar-EG"/>
        </w:rPr>
        <w:t xml:space="preserve"> in 23 </w:t>
      </w:r>
      <w:r w:rsidR="00773744" w:rsidRPr="00FA537A">
        <w:rPr>
          <w:sz w:val="20"/>
          <w:szCs w:val="20"/>
          <w:lang w:bidi="ar-EG"/>
        </w:rPr>
        <w:t>patients with</w:t>
      </w:r>
      <w:r w:rsidR="00661C7A" w:rsidRPr="00FA537A">
        <w:rPr>
          <w:sz w:val="20"/>
          <w:szCs w:val="20"/>
          <w:lang w:bidi="ar-EG"/>
        </w:rPr>
        <w:t xml:space="preserve"> </w:t>
      </w:r>
      <w:r w:rsidR="00AA36BD" w:rsidRPr="00FA537A">
        <w:rPr>
          <w:sz w:val="20"/>
          <w:szCs w:val="20"/>
        </w:rPr>
        <w:t xml:space="preserve">complete response rate </w:t>
      </w:r>
      <w:r w:rsidR="00661C7A" w:rsidRPr="00FA537A">
        <w:rPr>
          <w:sz w:val="20"/>
          <w:szCs w:val="20"/>
        </w:rPr>
        <w:t xml:space="preserve">in </w:t>
      </w:r>
      <w:r w:rsidR="00AA36BD" w:rsidRPr="00FA537A">
        <w:rPr>
          <w:sz w:val="20"/>
          <w:szCs w:val="20"/>
        </w:rPr>
        <w:t xml:space="preserve">65% </w:t>
      </w:r>
      <w:r w:rsidR="00661C7A" w:rsidRPr="00FA537A">
        <w:rPr>
          <w:sz w:val="20"/>
          <w:szCs w:val="20"/>
          <w:lang w:bidi="ar-EG"/>
        </w:rPr>
        <w:t>of patients</w:t>
      </w:r>
      <w:r w:rsidR="00661C7A" w:rsidRPr="00FA537A">
        <w:rPr>
          <w:sz w:val="20"/>
          <w:szCs w:val="20"/>
        </w:rPr>
        <w:t xml:space="preserve"> </w:t>
      </w:r>
      <w:r w:rsidR="00AA36BD" w:rsidRPr="00FA537A">
        <w:rPr>
          <w:sz w:val="20"/>
          <w:szCs w:val="20"/>
        </w:rPr>
        <w:t xml:space="preserve">while partial </w:t>
      </w:r>
      <w:r w:rsidR="00661C7A" w:rsidRPr="00FA537A">
        <w:rPr>
          <w:sz w:val="20"/>
          <w:szCs w:val="20"/>
        </w:rPr>
        <w:t xml:space="preserve">response </w:t>
      </w:r>
      <w:r w:rsidR="00AA36BD" w:rsidRPr="00FA537A">
        <w:rPr>
          <w:sz w:val="20"/>
          <w:szCs w:val="20"/>
        </w:rPr>
        <w:t>and disease progression in 26%and 9%</w:t>
      </w:r>
      <w:r w:rsidR="00661C7A" w:rsidRPr="00FA537A">
        <w:rPr>
          <w:sz w:val="20"/>
          <w:szCs w:val="20"/>
          <w:lang w:bidi="ar-EG"/>
        </w:rPr>
        <w:t xml:space="preserve"> of patients</w:t>
      </w:r>
      <w:r w:rsidR="00AA36BD" w:rsidRPr="00FA537A">
        <w:rPr>
          <w:sz w:val="20"/>
          <w:szCs w:val="20"/>
        </w:rPr>
        <w:t xml:space="preserve"> respectively</w:t>
      </w:r>
      <w:r w:rsidR="00661C7A" w:rsidRPr="00FA537A">
        <w:rPr>
          <w:b/>
          <w:bCs/>
          <w:sz w:val="20"/>
          <w:szCs w:val="20"/>
          <w:lang w:eastAsia="ja-JP"/>
        </w:rPr>
        <w:t xml:space="preserve"> </w:t>
      </w:r>
      <w:r w:rsidR="00E93B82" w:rsidRPr="00FA537A">
        <w:rPr>
          <w:b/>
          <w:bCs/>
          <w:sz w:val="20"/>
          <w:szCs w:val="20"/>
        </w:rPr>
        <w:t>Figure (1</w:t>
      </w:r>
      <w:r w:rsidR="00661C7A" w:rsidRPr="00FA537A">
        <w:rPr>
          <w:b/>
          <w:bCs/>
          <w:sz w:val="20"/>
          <w:szCs w:val="20"/>
        </w:rPr>
        <w:t>)</w:t>
      </w:r>
      <w:r w:rsidR="005E2DB3" w:rsidRPr="00FA537A">
        <w:rPr>
          <w:sz w:val="20"/>
          <w:szCs w:val="20"/>
        </w:rPr>
        <w:t xml:space="preserve"> and the 2-year disease free survival was 6</w:t>
      </w:r>
      <w:r w:rsidR="00085972" w:rsidRPr="00FA537A">
        <w:rPr>
          <w:sz w:val="20"/>
          <w:szCs w:val="20"/>
        </w:rPr>
        <w:t>8</w:t>
      </w:r>
      <w:r w:rsidR="005E2DB3" w:rsidRPr="00FA537A">
        <w:rPr>
          <w:sz w:val="20"/>
          <w:szCs w:val="20"/>
        </w:rPr>
        <w:t>%.</w:t>
      </w:r>
    </w:p>
    <w:p w:rsidR="005760FC" w:rsidRPr="00FA537A" w:rsidRDefault="00085972" w:rsidP="002C23A6">
      <w:pPr>
        <w:bidi w:val="0"/>
        <w:snapToGrid w:val="0"/>
        <w:ind w:firstLine="425"/>
        <w:jc w:val="both"/>
        <w:rPr>
          <w:b/>
          <w:bCs/>
          <w:sz w:val="20"/>
          <w:szCs w:val="20"/>
        </w:rPr>
      </w:pPr>
      <w:r w:rsidRPr="00FA537A">
        <w:rPr>
          <w:sz w:val="20"/>
          <w:szCs w:val="20"/>
        </w:rPr>
        <w:t>Acute treatment toxicity (assessed by NCI criteria) mainly grade 1/2 toxicities while</w:t>
      </w:r>
      <w:r w:rsidR="00060E3C" w:rsidRPr="00FA537A">
        <w:rPr>
          <w:sz w:val="20"/>
          <w:szCs w:val="20"/>
        </w:rPr>
        <w:t xml:space="preserve"> grade 3 adverse events were primarily hematological and, genitourinary side effects in 13% and 8% </w:t>
      </w:r>
      <w:r w:rsidR="00060E3C" w:rsidRPr="00FA537A">
        <w:rPr>
          <w:sz w:val="20"/>
          <w:szCs w:val="20"/>
          <w:lang w:bidi="ar-EG"/>
        </w:rPr>
        <w:t>of patients</w:t>
      </w:r>
      <w:r w:rsidR="00060E3C" w:rsidRPr="00FA537A">
        <w:rPr>
          <w:sz w:val="20"/>
          <w:szCs w:val="20"/>
        </w:rPr>
        <w:t xml:space="preserve"> respectively</w:t>
      </w:r>
      <w:r w:rsidR="00060E3C" w:rsidRPr="00FA537A">
        <w:rPr>
          <w:b/>
          <w:bCs/>
          <w:sz w:val="20"/>
          <w:szCs w:val="20"/>
          <w:lang w:eastAsia="ja-JP"/>
        </w:rPr>
        <w:t xml:space="preserve"> </w:t>
      </w:r>
      <w:r w:rsidR="00060E3C" w:rsidRPr="00FA537A">
        <w:rPr>
          <w:b/>
          <w:bCs/>
          <w:sz w:val="20"/>
          <w:szCs w:val="20"/>
        </w:rPr>
        <w:t>Table (</w:t>
      </w:r>
      <w:r w:rsidR="005E6E50" w:rsidRPr="00FA537A">
        <w:rPr>
          <w:b/>
          <w:bCs/>
          <w:sz w:val="20"/>
          <w:szCs w:val="20"/>
        </w:rPr>
        <w:t>2</w:t>
      </w:r>
      <w:r w:rsidR="00060E3C" w:rsidRPr="00FA537A">
        <w:rPr>
          <w:b/>
          <w:bCs/>
          <w:sz w:val="20"/>
          <w:szCs w:val="20"/>
        </w:rPr>
        <w:t>)</w:t>
      </w:r>
      <w:r w:rsidR="005760FC" w:rsidRPr="00FA537A">
        <w:rPr>
          <w:b/>
          <w:bCs/>
          <w:sz w:val="20"/>
          <w:szCs w:val="20"/>
        </w:rPr>
        <w:t>.</w:t>
      </w:r>
    </w:p>
    <w:p w:rsidR="002C23A6" w:rsidRPr="00FA537A" w:rsidRDefault="002C23A6" w:rsidP="002C23A6">
      <w:pPr>
        <w:bidi w:val="0"/>
        <w:snapToGrid w:val="0"/>
        <w:ind w:firstLine="425"/>
        <w:jc w:val="both"/>
        <w:rPr>
          <w:sz w:val="20"/>
          <w:szCs w:val="20"/>
          <w:lang w:eastAsia="zh-CN"/>
        </w:rPr>
      </w:pPr>
    </w:p>
    <w:p w:rsidR="00B039FA" w:rsidRPr="00FA537A" w:rsidRDefault="00B039FA" w:rsidP="00B039FA">
      <w:pPr>
        <w:bidi w:val="0"/>
        <w:snapToGrid w:val="0"/>
        <w:ind w:firstLine="425"/>
        <w:jc w:val="both"/>
        <w:rPr>
          <w:sz w:val="20"/>
          <w:szCs w:val="20"/>
          <w:lang w:eastAsia="zh-CN"/>
        </w:rPr>
      </w:pPr>
    </w:p>
    <w:p w:rsidR="00B039FA" w:rsidRPr="00FA537A" w:rsidRDefault="00B039FA" w:rsidP="00B039FA">
      <w:pPr>
        <w:bidi w:val="0"/>
        <w:snapToGrid w:val="0"/>
        <w:ind w:firstLine="425"/>
        <w:jc w:val="both"/>
        <w:rPr>
          <w:sz w:val="20"/>
          <w:szCs w:val="20"/>
          <w:lang w:eastAsia="zh-CN"/>
        </w:rPr>
      </w:pPr>
    </w:p>
    <w:p w:rsidR="00B039FA" w:rsidRPr="00FA537A" w:rsidRDefault="00B039FA" w:rsidP="00B039FA">
      <w:pPr>
        <w:bidi w:val="0"/>
        <w:snapToGrid w:val="0"/>
        <w:ind w:firstLine="425"/>
        <w:jc w:val="both"/>
        <w:rPr>
          <w:sz w:val="20"/>
          <w:szCs w:val="20"/>
          <w:lang w:eastAsia="zh-CN"/>
        </w:rPr>
      </w:pPr>
    </w:p>
    <w:p w:rsidR="00B039FA" w:rsidRPr="00FA537A" w:rsidRDefault="00B039FA" w:rsidP="00B039FA">
      <w:pPr>
        <w:bidi w:val="0"/>
        <w:snapToGrid w:val="0"/>
        <w:ind w:firstLine="425"/>
        <w:jc w:val="both"/>
        <w:rPr>
          <w:sz w:val="20"/>
          <w:szCs w:val="20"/>
          <w:lang w:eastAsia="zh-CN"/>
        </w:rPr>
      </w:pPr>
    </w:p>
    <w:p w:rsidR="002C23A6" w:rsidRPr="00FA537A" w:rsidRDefault="002C23A6" w:rsidP="002C23A6">
      <w:pPr>
        <w:pStyle w:val="NormalWeb"/>
        <w:snapToGrid w:val="0"/>
        <w:spacing w:before="0" w:beforeAutospacing="0" w:after="0" w:afterAutospacing="0"/>
        <w:jc w:val="center"/>
        <w:rPr>
          <w:sz w:val="20"/>
          <w:szCs w:val="20"/>
        </w:rPr>
      </w:pPr>
      <w:r w:rsidRPr="00FA537A">
        <w:rPr>
          <w:b/>
          <w:bCs/>
          <w:sz w:val="20"/>
          <w:szCs w:val="20"/>
          <w:lang w:eastAsia="ja-JP"/>
        </w:rPr>
        <w:t xml:space="preserve">Table (1): </w:t>
      </w:r>
      <w:r w:rsidRPr="00FA537A">
        <w:rPr>
          <w:b/>
          <w:bCs/>
          <w:sz w:val="20"/>
          <w:szCs w:val="20"/>
        </w:rPr>
        <w:t>Patients characteristic</w:t>
      </w:r>
    </w:p>
    <w:tbl>
      <w:tblPr>
        <w:tblW w:w="5000" w:type="pct"/>
        <w:jc w:val="center"/>
        <w:tblBorders>
          <w:top w:val="single" w:sz="18" w:space="0" w:color="000000"/>
          <w:left w:val="single" w:sz="2" w:space="0" w:color="000000"/>
          <w:bottom w:val="single" w:sz="18" w:space="0" w:color="000000"/>
          <w:right w:val="single" w:sz="2" w:space="0" w:color="000000"/>
          <w:insideH w:val="single" w:sz="2" w:space="0" w:color="000000"/>
          <w:insideV w:val="single" w:sz="2" w:space="0" w:color="000000"/>
        </w:tblBorders>
        <w:tblLook w:val="01E0"/>
      </w:tblPr>
      <w:tblGrid>
        <w:gridCol w:w="2345"/>
        <w:gridCol w:w="1510"/>
        <w:gridCol w:w="754"/>
      </w:tblGrid>
      <w:tr w:rsidR="002C23A6" w:rsidRPr="00FA537A" w:rsidTr="00FA537A">
        <w:trPr>
          <w:jc w:val="center"/>
        </w:trPr>
        <w:tc>
          <w:tcPr>
            <w:tcW w:w="2544" w:type="pct"/>
            <w:tcBorders>
              <w:top w:val="single" w:sz="18" w:space="0" w:color="000000"/>
              <w:bottom w:val="single" w:sz="18" w:space="0" w:color="000000"/>
            </w:tcBorders>
            <w:shd w:val="clear" w:color="auto" w:fill="auto"/>
            <w:vAlign w:val="center"/>
          </w:tcPr>
          <w:p w:rsidR="002C23A6" w:rsidRPr="00FA537A" w:rsidRDefault="002C23A6" w:rsidP="00537A0F">
            <w:pPr>
              <w:autoSpaceDE w:val="0"/>
              <w:autoSpaceDN w:val="0"/>
              <w:bidi w:val="0"/>
              <w:adjustRightInd w:val="0"/>
              <w:snapToGrid w:val="0"/>
              <w:jc w:val="both"/>
              <w:rPr>
                <w:rFonts w:eastAsia="Batang"/>
                <w:b/>
                <w:bCs/>
                <w:color w:val="000000"/>
                <w:sz w:val="20"/>
                <w:szCs w:val="20"/>
                <w:lang w:eastAsia="ja-JP"/>
              </w:rPr>
            </w:pPr>
          </w:p>
        </w:tc>
        <w:tc>
          <w:tcPr>
            <w:tcW w:w="1638" w:type="pct"/>
            <w:tcBorders>
              <w:top w:val="single" w:sz="18" w:space="0" w:color="000000"/>
              <w:bottom w:val="single" w:sz="18" w:space="0" w:color="000000"/>
            </w:tcBorders>
            <w:shd w:val="clear" w:color="auto" w:fill="auto"/>
            <w:vAlign w:val="center"/>
          </w:tcPr>
          <w:p w:rsidR="002C23A6" w:rsidRPr="00FA537A" w:rsidRDefault="002C23A6" w:rsidP="00537A0F">
            <w:pPr>
              <w:autoSpaceDE w:val="0"/>
              <w:autoSpaceDN w:val="0"/>
              <w:bidi w:val="0"/>
              <w:adjustRightInd w:val="0"/>
              <w:snapToGrid w:val="0"/>
              <w:jc w:val="both"/>
              <w:rPr>
                <w:rFonts w:eastAsia="Batang"/>
                <w:b/>
                <w:bCs/>
                <w:color w:val="000000"/>
                <w:sz w:val="20"/>
                <w:szCs w:val="20"/>
                <w:lang w:eastAsia="ja-JP"/>
              </w:rPr>
            </w:pPr>
            <w:r w:rsidRPr="00FA537A">
              <w:rPr>
                <w:rFonts w:eastAsia="Batang"/>
                <w:b/>
                <w:bCs/>
                <w:color w:val="000000"/>
                <w:sz w:val="20"/>
                <w:szCs w:val="20"/>
                <w:lang w:eastAsia="ja-JP"/>
              </w:rPr>
              <w:t>No. (n= 25)</w:t>
            </w:r>
          </w:p>
        </w:tc>
        <w:tc>
          <w:tcPr>
            <w:tcW w:w="818" w:type="pct"/>
            <w:tcBorders>
              <w:top w:val="single" w:sz="18" w:space="0" w:color="000000"/>
              <w:bottom w:val="single" w:sz="18" w:space="0" w:color="000000"/>
            </w:tcBorders>
            <w:shd w:val="clear" w:color="auto" w:fill="auto"/>
            <w:vAlign w:val="center"/>
          </w:tcPr>
          <w:p w:rsidR="002C23A6" w:rsidRPr="00FA537A" w:rsidRDefault="002C23A6" w:rsidP="00537A0F">
            <w:pPr>
              <w:autoSpaceDE w:val="0"/>
              <w:autoSpaceDN w:val="0"/>
              <w:bidi w:val="0"/>
              <w:adjustRightInd w:val="0"/>
              <w:snapToGrid w:val="0"/>
              <w:jc w:val="both"/>
              <w:rPr>
                <w:rFonts w:eastAsia="Batang"/>
                <w:b/>
                <w:bCs/>
                <w:color w:val="000000"/>
                <w:sz w:val="20"/>
                <w:szCs w:val="20"/>
                <w:lang w:eastAsia="ja-JP"/>
              </w:rPr>
            </w:pPr>
            <w:r w:rsidRPr="00FA537A">
              <w:rPr>
                <w:rFonts w:eastAsia="Batang"/>
                <w:b/>
                <w:bCs/>
                <w:color w:val="000000"/>
                <w:sz w:val="20"/>
                <w:szCs w:val="20"/>
                <w:lang w:eastAsia="ja-JP"/>
              </w:rPr>
              <w:t>%</w:t>
            </w:r>
          </w:p>
        </w:tc>
      </w:tr>
      <w:tr w:rsidR="002C23A6" w:rsidRPr="00FA537A" w:rsidTr="00FA537A">
        <w:trPr>
          <w:jc w:val="center"/>
        </w:trPr>
        <w:tc>
          <w:tcPr>
            <w:tcW w:w="2544" w:type="pct"/>
            <w:tcBorders>
              <w:top w:val="single" w:sz="18" w:space="0" w:color="000000"/>
              <w:bottom w:val="single" w:sz="2" w:space="0" w:color="000000"/>
            </w:tcBorders>
            <w:shd w:val="clear" w:color="auto" w:fill="auto"/>
            <w:vAlign w:val="center"/>
          </w:tcPr>
          <w:p w:rsidR="002C23A6" w:rsidRPr="00FA537A" w:rsidRDefault="002C23A6" w:rsidP="00537A0F">
            <w:pPr>
              <w:autoSpaceDE w:val="0"/>
              <w:autoSpaceDN w:val="0"/>
              <w:bidi w:val="0"/>
              <w:adjustRightInd w:val="0"/>
              <w:snapToGrid w:val="0"/>
              <w:jc w:val="both"/>
              <w:rPr>
                <w:rFonts w:eastAsia="Batang"/>
                <w:b/>
                <w:bCs/>
                <w:color w:val="000000"/>
                <w:sz w:val="20"/>
                <w:szCs w:val="20"/>
                <w:lang w:eastAsia="ja-JP"/>
              </w:rPr>
            </w:pPr>
            <w:r w:rsidRPr="00FA537A">
              <w:rPr>
                <w:rFonts w:eastAsia="Batang"/>
                <w:b/>
                <w:bCs/>
                <w:color w:val="000000"/>
                <w:sz w:val="20"/>
                <w:szCs w:val="20"/>
                <w:lang w:eastAsia="ja-JP"/>
              </w:rPr>
              <w:t>Age range:</w:t>
            </w:r>
          </w:p>
          <w:p w:rsidR="002C23A6" w:rsidRPr="00FA537A" w:rsidRDefault="002C23A6" w:rsidP="00537A0F">
            <w:pPr>
              <w:bidi w:val="0"/>
              <w:snapToGrid w:val="0"/>
              <w:jc w:val="both"/>
              <w:rPr>
                <w:rFonts w:eastAsia="Batang"/>
                <w:color w:val="000000"/>
                <w:sz w:val="20"/>
                <w:szCs w:val="20"/>
                <w:lang w:eastAsia="ja-JP"/>
              </w:rPr>
            </w:pPr>
            <w:r w:rsidRPr="00FA537A">
              <w:rPr>
                <w:rFonts w:eastAsia="Batang"/>
                <w:color w:val="000000"/>
                <w:sz w:val="20"/>
                <w:szCs w:val="20"/>
                <w:lang w:eastAsia="ja-JP"/>
              </w:rPr>
              <w:t>&lt; 60</w:t>
            </w:r>
          </w:p>
          <w:p w:rsidR="002C23A6" w:rsidRPr="00FA537A" w:rsidRDefault="002C23A6" w:rsidP="00537A0F">
            <w:pPr>
              <w:bidi w:val="0"/>
              <w:snapToGrid w:val="0"/>
              <w:jc w:val="both"/>
              <w:rPr>
                <w:rFonts w:eastAsia="Batang"/>
                <w:color w:val="000000"/>
                <w:sz w:val="20"/>
                <w:szCs w:val="20"/>
                <w:lang w:eastAsia="ja-JP"/>
              </w:rPr>
            </w:pPr>
            <w:r w:rsidRPr="00FA537A">
              <w:rPr>
                <w:rFonts w:eastAsia="Batang"/>
                <w:color w:val="000000"/>
                <w:sz w:val="20"/>
                <w:szCs w:val="20"/>
                <w:lang w:eastAsia="ja-JP"/>
              </w:rPr>
              <w:t>≥ 60</w:t>
            </w:r>
          </w:p>
        </w:tc>
        <w:tc>
          <w:tcPr>
            <w:tcW w:w="2456" w:type="pct"/>
            <w:gridSpan w:val="2"/>
            <w:tcBorders>
              <w:top w:val="single" w:sz="18" w:space="0" w:color="000000"/>
              <w:bottom w:val="single" w:sz="2" w:space="0" w:color="000000"/>
            </w:tcBorders>
            <w:shd w:val="clear" w:color="auto" w:fill="auto"/>
            <w:vAlign w:val="center"/>
          </w:tcPr>
          <w:p w:rsidR="002C23A6" w:rsidRPr="00FA537A" w:rsidRDefault="002C23A6" w:rsidP="00537A0F">
            <w:pPr>
              <w:autoSpaceDE w:val="0"/>
              <w:autoSpaceDN w:val="0"/>
              <w:bidi w:val="0"/>
              <w:adjustRightInd w:val="0"/>
              <w:snapToGrid w:val="0"/>
              <w:jc w:val="both"/>
              <w:rPr>
                <w:rFonts w:eastAsia="Batang"/>
                <w:color w:val="000000"/>
                <w:sz w:val="20"/>
                <w:szCs w:val="20"/>
                <w:lang w:eastAsia="ja-JP"/>
              </w:rPr>
            </w:pPr>
            <w:r w:rsidRPr="00FA537A">
              <w:rPr>
                <w:rFonts w:eastAsia="Batang"/>
                <w:color w:val="000000"/>
                <w:sz w:val="20"/>
                <w:szCs w:val="20"/>
                <w:lang w:eastAsia="ja-JP"/>
              </w:rPr>
              <w:t>Median age 57 years</w:t>
            </w:r>
          </w:p>
          <w:p w:rsidR="002C23A6" w:rsidRPr="00FA537A" w:rsidRDefault="002C23A6" w:rsidP="00537A0F">
            <w:pPr>
              <w:autoSpaceDE w:val="0"/>
              <w:autoSpaceDN w:val="0"/>
              <w:bidi w:val="0"/>
              <w:adjustRightInd w:val="0"/>
              <w:snapToGrid w:val="0"/>
              <w:jc w:val="both"/>
              <w:rPr>
                <w:rFonts w:eastAsia="Batang"/>
                <w:color w:val="000000"/>
                <w:sz w:val="20"/>
                <w:szCs w:val="20"/>
                <w:lang w:eastAsia="ja-JP"/>
              </w:rPr>
            </w:pPr>
            <w:r w:rsidRPr="00FA537A">
              <w:rPr>
                <w:rFonts w:eastAsia="Batang"/>
                <w:color w:val="000000"/>
                <w:sz w:val="20"/>
                <w:szCs w:val="20"/>
                <w:lang w:eastAsia="ja-JP"/>
              </w:rPr>
              <w:t>13 (52.0%)</w:t>
            </w:r>
          </w:p>
          <w:p w:rsidR="002C23A6" w:rsidRPr="00FA537A" w:rsidRDefault="002C23A6" w:rsidP="00537A0F">
            <w:pPr>
              <w:autoSpaceDE w:val="0"/>
              <w:autoSpaceDN w:val="0"/>
              <w:bidi w:val="0"/>
              <w:adjustRightInd w:val="0"/>
              <w:snapToGrid w:val="0"/>
              <w:jc w:val="both"/>
              <w:rPr>
                <w:rFonts w:eastAsia="Batang"/>
                <w:color w:val="000000"/>
                <w:sz w:val="20"/>
                <w:szCs w:val="20"/>
                <w:lang w:eastAsia="ja-JP"/>
              </w:rPr>
            </w:pPr>
            <w:r w:rsidRPr="00FA537A">
              <w:rPr>
                <w:rFonts w:eastAsia="Batang"/>
                <w:color w:val="000000"/>
                <w:sz w:val="20"/>
                <w:szCs w:val="20"/>
                <w:lang w:eastAsia="ja-JP"/>
              </w:rPr>
              <w:t>12 (48.0%)</w:t>
            </w:r>
          </w:p>
        </w:tc>
      </w:tr>
      <w:tr w:rsidR="002C23A6" w:rsidRPr="00FA537A" w:rsidTr="00FA537A">
        <w:trPr>
          <w:jc w:val="center"/>
        </w:trPr>
        <w:tc>
          <w:tcPr>
            <w:tcW w:w="2544" w:type="pct"/>
            <w:tcBorders>
              <w:top w:val="single" w:sz="2" w:space="0" w:color="000000"/>
              <w:bottom w:val="single" w:sz="2" w:space="0" w:color="000000"/>
            </w:tcBorders>
            <w:shd w:val="clear" w:color="auto" w:fill="auto"/>
            <w:vAlign w:val="center"/>
          </w:tcPr>
          <w:p w:rsidR="002C23A6" w:rsidRPr="00FA537A" w:rsidRDefault="002C23A6" w:rsidP="00537A0F">
            <w:pPr>
              <w:bidi w:val="0"/>
              <w:snapToGrid w:val="0"/>
              <w:jc w:val="both"/>
              <w:rPr>
                <w:rFonts w:eastAsia="Batang"/>
                <w:b/>
                <w:bCs/>
                <w:color w:val="000000"/>
                <w:sz w:val="20"/>
                <w:szCs w:val="20"/>
                <w:lang w:eastAsia="ja-JP"/>
              </w:rPr>
            </w:pPr>
            <w:r w:rsidRPr="00FA537A">
              <w:rPr>
                <w:rFonts w:eastAsia="Batang"/>
                <w:b/>
                <w:bCs/>
                <w:color w:val="000000"/>
                <w:sz w:val="20"/>
                <w:szCs w:val="20"/>
                <w:lang w:eastAsia="ja-JP"/>
              </w:rPr>
              <w:t>Gender:</w:t>
            </w:r>
          </w:p>
          <w:p w:rsidR="002C23A6" w:rsidRPr="00FA537A" w:rsidRDefault="002C23A6" w:rsidP="00537A0F">
            <w:pPr>
              <w:bidi w:val="0"/>
              <w:snapToGrid w:val="0"/>
              <w:jc w:val="both"/>
              <w:rPr>
                <w:rFonts w:eastAsia="Batang"/>
                <w:color w:val="000000"/>
                <w:sz w:val="20"/>
                <w:szCs w:val="20"/>
                <w:lang w:eastAsia="ja-JP"/>
              </w:rPr>
            </w:pPr>
            <w:r w:rsidRPr="00FA537A">
              <w:rPr>
                <w:rFonts w:eastAsia="Batang"/>
                <w:color w:val="000000"/>
                <w:sz w:val="20"/>
                <w:szCs w:val="20"/>
                <w:lang w:eastAsia="ja-JP"/>
              </w:rPr>
              <w:t>Male</w:t>
            </w:r>
          </w:p>
          <w:p w:rsidR="002C23A6" w:rsidRPr="00FA537A" w:rsidRDefault="002C23A6" w:rsidP="00537A0F">
            <w:pPr>
              <w:bidi w:val="0"/>
              <w:snapToGrid w:val="0"/>
              <w:jc w:val="both"/>
              <w:rPr>
                <w:rFonts w:eastAsia="Batang"/>
                <w:color w:val="000000"/>
                <w:sz w:val="20"/>
                <w:szCs w:val="20"/>
                <w:lang w:eastAsia="ja-JP"/>
              </w:rPr>
            </w:pPr>
            <w:r w:rsidRPr="00FA537A">
              <w:rPr>
                <w:rFonts w:eastAsia="Batang"/>
                <w:color w:val="000000"/>
                <w:sz w:val="20"/>
                <w:szCs w:val="20"/>
                <w:lang w:eastAsia="ja-JP"/>
              </w:rPr>
              <w:t>Female</w:t>
            </w:r>
          </w:p>
        </w:tc>
        <w:tc>
          <w:tcPr>
            <w:tcW w:w="1638" w:type="pct"/>
            <w:tcBorders>
              <w:top w:val="single" w:sz="2" w:space="0" w:color="000000"/>
              <w:bottom w:val="single" w:sz="2" w:space="0" w:color="000000"/>
              <w:right w:val="single" w:sz="2" w:space="0" w:color="000000"/>
            </w:tcBorders>
            <w:shd w:val="clear" w:color="auto" w:fill="auto"/>
            <w:vAlign w:val="center"/>
          </w:tcPr>
          <w:p w:rsidR="002C23A6" w:rsidRPr="00FA537A" w:rsidRDefault="002C23A6" w:rsidP="00537A0F">
            <w:pPr>
              <w:autoSpaceDE w:val="0"/>
              <w:autoSpaceDN w:val="0"/>
              <w:bidi w:val="0"/>
              <w:adjustRightInd w:val="0"/>
              <w:snapToGrid w:val="0"/>
              <w:jc w:val="both"/>
              <w:rPr>
                <w:rFonts w:eastAsia="Batang"/>
                <w:color w:val="000000"/>
                <w:sz w:val="20"/>
                <w:szCs w:val="20"/>
                <w:lang w:eastAsia="ja-JP"/>
              </w:rPr>
            </w:pPr>
          </w:p>
          <w:p w:rsidR="002C23A6" w:rsidRPr="00FA537A" w:rsidRDefault="002C23A6" w:rsidP="00537A0F">
            <w:pPr>
              <w:autoSpaceDE w:val="0"/>
              <w:autoSpaceDN w:val="0"/>
              <w:bidi w:val="0"/>
              <w:adjustRightInd w:val="0"/>
              <w:snapToGrid w:val="0"/>
              <w:jc w:val="both"/>
              <w:rPr>
                <w:rFonts w:eastAsia="Batang"/>
                <w:color w:val="000000"/>
                <w:sz w:val="20"/>
                <w:szCs w:val="20"/>
                <w:lang w:eastAsia="ja-JP"/>
              </w:rPr>
            </w:pPr>
            <w:r w:rsidRPr="00FA537A">
              <w:rPr>
                <w:rFonts w:eastAsia="Batang"/>
                <w:color w:val="000000"/>
                <w:sz w:val="20"/>
                <w:szCs w:val="20"/>
                <w:lang w:eastAsia="ja-JP"/>
              </w:rPr>
              <w:t>23</w:t>
            </w:r>
          </w:p>
          <w:p w:rsidR="002C23A6" w:rsidRPr="00FA537A" w:rsidRDefault="002C23A6" w:rsidP="00537A0F">
            <w:pPr>
              <w:autoSpaceDE w:val="0"/>
              <w:autoSpaceDN w:val="0"/>
              <w:bidi w:val="0"/>
              <w:adjustRightInd w:val="0"/>
              <w:snapToGrid w:val="0"/>
              <w:jc w:val="both"/>
              <w:rPr>
                <w:rFonts w:eastAsia="Batang"/>
                <w:color w:val="000000"/>
                <w:sz w:val="20"/>
                <w:szCs w:val="20"/>
                <w:lang w:eastAsia="ja-JP"/>
              </w:rPr>
            </w:pPr>
            <w:r w:rsidRPr="00FA537A">
              <w:rPr>
                <w:rFonts w:eastAsia="Batang"/>
                <w:color w:val="000000"/>
                <w:sz w:val="20"/>
                <w:szCs w:val="20"/>
                <w:lang w:eastAsia="ja-JP"/>
              </w:rPr>
              <w:t>2</w:t>
            </w:r>
          </w:p>
        </w:tc>
        <w:tc>
          <w:tcPr>
            <w:tcW w:w="818" w:type="pct"/>
            <w:tcBorders>
              <w:top w:val="single" w:sz="2" w:space="0" w:color="000000"/>
              <w:left w:val="single" w:sz="2" w:space="0" w:color="000000"/>
              <w:bottom w:val="single" w:sz="2" w:space="0" w:color="000000"/>
            </w:tcBorders>
            <w:shd w:val="clear" w:color="auto" w:fill="auto"/>
            <w:vAlign w:val="center"/>
          </w:tcPr>
          <w:p w:rsidR="002C23A6" w:rsidRPr="00FA537A" w:rsidRDefault="002C23A6" w:rsidP="00537A0F">
            <w:pPr>
              <w:autoSpaceDE w:val="0"/>
              <w:autoSpaceDN w:val="0"/>
              <w:bidi w:val="0"/>
              <w:adjustRightInd w:val="0"/>
              <w:snapToGrid w:val="0"/>
              <w:jc w:val="both"/>
              <w:rPr>
                <w:rFonts w:eastAsia="Batang"/>
                <w:color w:val="000000"/>
                <w:sz w:val="20"/>
                <w:szCs w:val="20"/>
                <w:lang w:eastAsia="ja-JP"/>
              </w:rPr>
            </w:pPr>
          </w:p>
          <w:p w:rsidR="002C23A6" w:rsidRPr="00FA537A" w:rsidRDefault="002C23A6" w:rsidP="00537A0F">
            <w:pPr>
              <w:autoSpaceDE w:val="0"/>
              <w:autoSpaceDN w:val="0"/>
              <w:bidi w:val="0"/>
              <w:adjustRightInd w:val="0"/>
              <w:snapToGrid w:val="0"/>
              <w:jc w:val="both"/>
              <w:rPr>
                <w:rFonts w:eastAsia="Batang"/>
                <w:color w:val="000000"/>
                <w:sz w:val="20"/>
                <w:szCs w:val="20"/>
                <w:lang w:eastAsia="ja-JP"/>
              </w:rPr>
            </w:pPr>
            <w:r w:rsidRPr="00FA537A">
              <w:rPr>
                <w:rFonts w:eastAsia="Batang"/>
                <w:color w:val="000000"/>
                <w:sz w:val="20"/>
                <w:szCs w:val="20"/>
                <w:lang w:eastAsia="ja-JP"/>
              </w:rPr>
              <w:t>92%</w:t>
            </w:r>
          </w:p>
          <w:p w:rsidR="002C23A6" w:rsidRPr="00FA537A" w:rsidRDefault="002C23A6" w:rsidP="00537A0F">
            <w:pPr>
              <w:autoSpaceDE w:val="0"/>
              <w:autoSpaceDN w:val="0"/>
              <w:bidi w:val="0"/>
              <w:adjustRightInd w:val="0"/>
              <w:snapToGrid w:val="0"/>
              <w:jc w:val="both"/>
              <w:rPr>
                <w:rFonts w:eastAsia="Batang"/>
                <w:color w:val="000000"/>
                <w:sz w:val="20"/>
                <w:szCs w:val="20"/>
                <w:lang w:eastAsia="ja-JP"/>
              </w:rPr>
            </w:pPr>
            <w:r w:rsidRPr="00FA537A">
              <w:rPr>
                <w:rFonts w:eastAsia="Batang"/>
                <w:color w:val="000000"/>
                <w:sz w:val="20"/>
                <w:szCs w:val="20"/>
                <w:lang w:eastAsia="ja-JP"/>
              </w:rPr>
              <w:t>8%</w:t>
            </w:r>
          </w:p>
        </w:tc>
      </w:tr>
      <w:tr w:rsidR="002C23A6" w:rsidRPr="00FA537A" w:rsidTr="00FA537A">
        <w:trPr>
          <w:jc w:val="center"/>
        </w:trPr>
        <w:tc>
          <w:tcPr>
            <w:tcW w:w="2544" w:type="pct"/>
            <w:tcBorders>
              <w:top w:val="single" w:sz="2" w:space="0" w:color="000000"/>
              <w:bottom w:val="single" w:sz="2" w:space="0" w:color="000000"/>
            </w:tcBorders>
            <w:shd w:val="clear" w:color="auto" w:fill="auto"/>
            <w:vAlign w:val="center"/>
          </w:tcPr>
          <w:p w:rsidR="002C23A6" w:rsidRPr="00FA537A" w:rsidRDefault="002C23A6" w:rsidP="00537A0F">
            <w:pPr>
              <w:autoSpaceDE w:val="0"/>
              <w:autoSpaceDN w:val="0"/>
              <w:bidi w:val="0"/>
              <w:adjustRightInd w:val="0"/>
              <w:snapToGrid w:val="0"/>
              <w:jc w:val="both"/>
              <w:rPr>
                <w:rFonts w:eastAsia="Batang"/>
                <w:b/>
                <w:bCs/>
                <w:color w:val="000000"/>
                <w:sz w:val="20"/>
                <w:szCs w:val="20"/>
                <w:lang w:eastAsia="ja-JP"/>
              </w:rPr>
            </w:pPr>
            <w:r w:rsidRPr="00FA537A">
              <w:rPr>
                <w:rFonts w:eastAsia="Batang"/>
                <w:b/>
                <w:bCs/>
                <w:color w:val="000000"/>
                <w:sz w:val="20"/>
                <w:szCs w:val="20"/>
                <w:lang w:eastAsia="ja-JP"/>
              </w:rPr>
              <w:t>Performance status:</w:t>
            </w:r>
          </w:p>
          <w:p w:rsidR="002C23A6" w:rsidRPr="00FA537A" w:rsidRDefault="002C23A6" w:rsidP="00537A0F">
            <w:pPr>
              <w:bidi w:val="0"/>
              <w:snapToGrid w:val="0"/>
              <w:jc w:val="both"/>
              <w:rPr>
                <w:rFonts w:eastAsia="Batang"/>
                <w:color w:val="000000"/>
                <w:sz w:val="20"/>
                <w:szCs w:val="20"/>
                <w:lang w:eastAsia="ja-JP"/>
              </w:rPr>
            </w:pPr>
            <w:r w:rsidRPr="00FA537A">
              <w:rPr>
                <w:rFonts w:eastAsia="Batang"/>
                <w:color w:val="000000"/>
                <w:sz w:val="20"/>
                <w:szCs w:val="20"/>
                <w:lang w:eastAsia="ja-JP"/>
              </w:rPr>
              <w:t>0-1</w:t>
            </w:r>
          </w:p>
          <w:p w:rsidR="002C23A6" w:rsidRPr="00FA537A" w:rsidRDefault="002C23A6" w:rsidP="00537A0F">
            <w:pPr>
              <w:bidi w:val="0"/>
              <w:snapToGrid w:val="0"/>
              <w:jc w:val="both"/>
              <w:rPr>
                <w:rFonts w:eastAsia="Batang"/>
                <w:color w:val="000000"/>
                <w:sz w:val="20"/>
                <w:szCs w:val="20"/>
                <w:lang w:eastAsia="ja-JP"/>
              </w:rPr>
            </w:pPr>
            <w:r w:rsidRPr="00FA537A">
              <w:rPr>
                <w:rFonts w:eastAsia="Batang"/>
                <w:color w:val="000000"/>
                <w:sz w:val="20"/>
                <w:szCs w:val="20"/>
                <w:lang w:eastAsia="ja-JP"/>
              </w:rPr>
              <w:t>2</w:t>
            </w:r>
          </w:p>
        </w:tc>
        <w:tc>
          <w:tcPr>
            <w:tcW w:w="1638" w:type="pct"/>
            <w:tcBorders>
              <w:top w:val="single" w:sz="2" w:space="0" w:color="000000"/>
              <w:bottom w:val="single" w:sz="2" w:space="0" w:color="000000"/>
              <w:right w:val="single" w:sz="2" w:space="0" w:color="000000"/>
            </w:tcBorders>
            <w:shd w:val="clear" w:color="auto" w:fill="auto"/>
            <w:vAlign w:val="center"/>
          </w:tcPr>
          <w:p w:rsidR="002C23A6" w:rsidRPr="00FA537A" w:rsidRDefault="002C23A6" w:rsidP="00537A0F">
            <w:pPr>
              <w:autoSpaceDE w:val="0"/>
              <w:autoSpaceDN w:val="0"/>
              <w:bidi w:val="0"/>
              <w:adjustRightInd w:val="0"/>
              <w:snapToGrid w:val="0"/>
              <w:jc w:val="both"/>
              <w:rPr>
                <w:rFonts w:eastAsia="Batang"/>
                <w:color w:val="000000"/>
                <w:sz w:val="20"/>
                <w:szCs w:val="20"/>
                <w:lang w:eastAsia="ja-JP"/>
              </w:rPr>
            </w:pPr>
          </w:p>
          <w:p w:rsidR="002C23A6" w:rsidRPr="00FA537A" w:rsidRDefault="002C23A6" w:rsidP="00537A0F">
            <w:pPr>
              <w:autoSpaceDE w:val="0"/>
              <w:autoSpaceDN w:val="0"/>
              <w:bidi w:val="0"/>
              <w:adjustRightInd w:val="0"/>
              <w:snapToGrid w:val="0"/>
              <w:jc w:val="both"/>
              <w:rPr>
                <w:rFonts w:eastAsia="Batang"/>
                <w:color w:val="000000"/>
                <w:sz w:val="20"/>
                <w:szCs w:val="20"/>
                <w:lang w:eastAsia="ja-JP"/>
              </w:rPr>
            </w:pPr>
            <w:r w:rsidRPr="00FA537A">
              <w:rPr>
                <w:rFonts w:eastAsia="Batang"/>
                <w:color w:val="000000"/>
                <w:sz w:val="20"/>
                <w:szCs w:val="20"/>
                <w:lang w:eastAsia="ja-JP"/>
              </w:rPr>
              <w:t>9</w:t>
            </w:r>
          </w:p>
          <w:p w:rsidR="002C23A6" w:rsidRPr="00FA537A" w:rsidRDefault="002C23A6" w:rsidP="00537A0F">
            <w:pPr>
              <w:autoSpaceDE w:val="0"/>
              <w:autoSpaceDN w:val="0"/>
              <w:bidi w:val="0"/>
              <w:adjustRightInd w:val="0"/>
              <w:snapToGrid w:val="0"/>
              <w:jc w:val="both"/>
              <w:rPr>
                <w:rFonts w:eastAsia="Batang"/>
                <w:color w:val="000000"/>
                <w:sz w:val="20"/>
                <w:szCs w:val="20"/>
                <w:lang w:eastAsia="ja-JP"/>
              </w:rPr>
            </w:pPr>
            <w:r w:rsidRPr="00FA537A">
              <w:rPr>
                <w:rFonts w:eastAsia="Batang"/>
                <w:color w:val="000000"/>
                <w:sz w:val="20"/>
                <w:szCs w:val="20"/>
                <w:lang w:eastAsia="ja-JP"/>
              </w:rPr>
              <w:t>16</w:t>
            </w:r>
          </w:p>
        </w:tc>
        <w:tc>
          <w:tcPr>
            <w:tcW w:w="818" w:type="pct"/>
            <w:tcBorders>
              <w:top w:val="single" w:sz="2" w:space="0" w:color="000000"/>
              <w:left w:val="single" w:sz="2" w:space="0" w:color="000000"/>
              <w:bottom w:val="single" w:sz="2" w:space="0" w:color="000000"/>
            </w:tcBorders>
            <w:shd w:val="clear" w:color="auto" w:fill="auto"/>
            <w:vAlign w:val="center"/>
          </w:tcPr>
          <w:p w:rsidR="002C23A6" w:rsidRPr="00FA537A" w:rsidRDefault="002C23A6" w:rsidP="00537A0F">
            <w:pPr>
              <w:autoSpaceDE w:val="0"/>
              <w:autoSpaceDN w:val="0"/>
              <w:bidi w:val="0"/>
              <w:adjustRightInd w:val="0"/>
              <w:snapToGrid w:val="0"/>
              <w:jc w:val="both"/>
              <w:rPr>
                <w:rFonts w:eastAsia="Batang"/>
                <w:color w:val="000000"/>
                <w:sz w:val="20"/>
                <w:szCs w:val="20"/>
                <w:lang w:eastAsia="ja-JP"/>
              </w:rPr>
            </w:pPr>
          </w:p>
          <w:p w:rsidR="002C23A6" w:rsidRPr="00FA537A" w:rsidRDefault="002C23A6" w:rsidP="00537A0F">
            <w:pPr>
              <w:autoSpaceDE w:val="0"/>
              <w:autoSpaceDN w:val="0"/>
              <w:bidi w:val="0"/>
              <w:adjustRightInd w:val="0"/>
              <w:snapToGrid w:val="0"/>
              <w:jc w:val="both"/>
              <w:rPr>
                <w:rFonts w:eastAsia="Batang"/>
                <w:color w:val="000000"/>
                <w:sz w:val="20"/>
                <w:szCs w:val="20"/>
                <w:lang w:eastAsia="ja-JP"/>
              </w:rPr>
            </w:pPr>
            <w:r w:rsidRPr="00FA537A">
              <w:rPr>
                <w:rFonts w:eastAsia="Batang"/>
                <w:color w:val="000000"/>
                <w:sz w:val="20"/>
                <w:szCs w:val="20"/>
                <w:lang w:eastAsia="ja-JP"/>
              </w:rPr>
              <w:t>36%</w:t>
            </w:r>
          </w:p>
          <w:p w:rsidR="002C23A6" w:rsidRPr="00FA537A" w:rsidRDefault="002C23A6" w:rsidP="00537A0F">
            <w:pPr>
              <w:autoSpaceDE w:val="0"/>
              <w:autoSpaceDN w:val="0"/>
              <w:bidi w:val="0"/>
              <w:adjustRightInd w:val="0"/>
              <w:snapToGrid w:val="0"/>
              <w:jc w:val="both"/>
              <w:rPr>
                <w:rFonts w:eastAsia="Batang"/>
                <w:color w:val="000000"/>
                <w:sz w:val="20"/>
                <w:szCs w:val="20"/>
                <w:lang w:eastAsia="ja-JP"/>
              </w:rPr>
            </w:pPr>
            <w:r w:rsidRPr="00FA537A">
              <w:rPr>
                <w:rFonts w:eastAsia="Batang"/>
                <w:color w:val="000000"/>
                <w:sz w:val="20"/>
                <w:szCs w:val="20"/>
                <w:lang w:eastAsia="ja-JP"/>
              </w:rPr>
              <w:t>64%</w:t>
            </w:r>
          </w:p>
        </w:tc>
      </w:tr>
      <w:tr w:rsidR="002C23A6" w:rsidRPr="00FA537A" w:rsidTr="00FA537A">
        <w:trPr>
          <w:jc w:val="center"/>
        </w:trPr>
        <w:tc>
          <w:tcPr>
            <w:tcW w:w="2544" w:type="pct"/>
            <w:tcBorders>
              <w:top w:val="single" w:sz="2" w:space="0" w:color="000000"/>
              <w:bottom w:val="single" w:sz="4" w:space="0" w:color="auto"/>
            </w:tcBorders>
            <w:shd w:val="clear" w:color="auto" w:fill="auto"/>
            <w:vAlign w:val="center"/>
          </w:tcPr>
          <w:p w:rsidR="002C23A6" w:rsidRPr="00FA537A" w:rsidRDefault="002C23A6" w:rsidP="00537A0F">
            <w:pPr>
              <w:autoSpaceDE w:val="0"/>
              <w:autoSpaceDN w:val="0"/>
              <w:bidi w:val="0"/>
              <w:adjustRightInd w:val="0"/>
              <w:snapToGrid w:val="0"/>
              <w:jc w:val="both"/>
              <w:rPr>
                <w:rFonts w:eastAsia="Batang"/>
                <w:b/>
                <w:bCs/>
                <w:color w:val="000000"/>
                <w:sz w:val="20"/>
                <w:szCs w:val="20"/>
              </w:rPr>
            </w:pPr>
            <w:r w:rsidRPr="00FA537A">
              <w:rPr>
                <w:rFonts w:eastAsia="Batang"/>
                <w:b/>
                <w:bCs/>
                <w:color w:val="000000"/>
                <w:sz w:val="20"/>
                <w:szCs w:val="20"/>
              </w:rPr>
              <w:t>Stage:</w:t>
            </w:r>
          </w:p>
          <w:p w:rsidR="002C23A6" w:rsidRPr="00FA537A" w:rsidRDefault="002C23A6" w:rsidP="00537A0F">
            <w:pPr>
              <w:bidi w:val="0"/>
              <w:snapToGrid w:val="0"/>
              <w:jc w:val="both"/>
              <w:rPr>
                <w:rFonts w:eastAsia="Batang"/>
                <w:color w:val="000000"/>
                <w:sz w:val="20"/>
                <w:szCs w:val="20"/>
                <w:lang w:eastAsia="ja-JP"/>
              </w:rPr>
            </w:pPr>
            <w:r w:rsidRPr="00FA537A">
              <w:rPr>
                <w:rFonts w:eastAsia="Batang"/>
                <w:color w:val="000000"/>
                <w:sz w:val="20"/>
                <w:szCs w:val="20"/>
              </w:rPr>
              <w:t>T2a-</w:t>
            </w:r>
            <w:r w:rsidRPr="00FA537A">
              <w:rPr>
                <w:rFonts w:eastAsia="Batang"/>
                <w:color w:val="000000"/>
                <w:sz w:val="20"/>
                <w:szCs w:val="20"/>
                <w:lang w:eastAsia="ja-JP"/>
              </w:rPr>
              <w:t>bN0M0</w:t>
            </w:r>
          </w:p>
          <w:p w:rsidR="002C23A6" w:rsidRPr="00FA537A" w:rsidRDefault="002C23A6" w:rsidP="00537A0F">
            <w:pPr>
              <w:bidi w:val="0"/>
              <w:snapToGrid w:val="0"/>
              <w:jc w:val="both"/>
              <w:rPr>
                <w:rFonts w:eastAsia="Batang"/>
                <w:color w:val="000000"/>
                <w:sz w:val="20"/>
                <w:szCs w:val="20"/>
              </w:rPr>
            </w:pPr>
            <w:r w:rsidRPr="00FA537A">
              <w:rPr>
                <w:rFonts w:eastAsia="Batang"/>
                <w:color w:val="000000"/>
                <w:sz w:val="20"/>
                <w:szCs w:val="20"/>
                <w:lang w:eastAsia="ja-JP"/>
              </w:rPr>
              <w:t>T3a-bN0M0</w:t>
            </w:r>
          </w:p>
        </w:tc>
        <w:tc>
          <w:tcPr>
            <w:tcW w:w="1638" w:type="pct"/>
            <w:tcBorders>
              <w:top w:val="single" w:sz="2" w:space="0" w:color="000000"/>
              <w:bottom w:val="single" w:sz="4" w:space="0" w:color="auto"/>
              <w:right w:val="single" w:sz="2" w:space="0" w:color="000000"/>
            </w:tcBorders>
            <w:shd w:val="clear" w:color="auto" w:fill="auto"/>
            <w:vAlign w:val="center"/>
          </w:tcPr>
          <w:p w:rsidR="002C23A6" w:rsidRPr="00FA537A" w:rsidRDefault="002C23A6" w:rsidP="00537A0F">
            <w:pPr>
              <w:bidi w:val="0"/>
              <w:snapToGrid w:val="0"/>
              <w:jc w:val="both"/>
              <w:rPr>
                <w:rFonts w:eastAsia="Batang"/>
                <w:color w:val="000000"/>
                <w:sz w:val="20"/>
                <w:szCs w:val="20"/>
              </w:rPr>
            </w:pPr>
          </w:p>
          <w:p w:rsidR="002C23A6" w:rsidRPr="00FA537A" w:rsidRDefault="002C23A6" w:rsidP="00537A0F">
            <w:pPr>
              <w:bidi w:val="0"/>
              <w:snapToGrid w:val="0"/>
              <w:jc w:val="both"/>
              <w:rPr>
                <w:rFonts w:eastAsia="Batang"/>
                <w:color w:val="000000"/>
                <w:sz w:val="20"/>
                <w:szCs w:val="20"/>
              </w:rPr>
            </w:pPr>
            <w:r w:rsidRPr="00FA537A">
              <w:rPr>
                <w:rFonts w:eastAsia="Batang"/>
                <w:color w:val="000000"/>
                <w:sz w:val="20"/>
                <w:szCs w:val="20"/>
              </w:rPr>
              <w:t>7</w:t>
            </w:r>
          </w:p>
          <w:p w:rsidR="002C23A6" w:rsidRPr="00FA537A" w:rsidRDefault="002C23A6" w:rsidP="00537A0F">
            <w:pPr>
              <w:bidi w:val="0"/>
              <w:snapToGrid w:val="0"/>
              <w:jc w:val="both"/>
              <w:rPr>
                <w:rFonts w:eastAsia="Batang"/>
                <w:color w:val="000000"/>
                <w:sz w:val="20"/>
                <w:szCs w:val="20"/>
              </w:rPr>
            </w:pPr>
            <w:r w:rsidRPr="00FA537A">
              <w:rPr>
                <w:rFonts w:eastAsia="Batang"/>
                <w:color w:val="000000"/>
                <w:sz w:val="20"/>
                <w:szCs w:val="20"/>
              </w:rPr>
              <w:t>18</w:t>
            </w:r>
          </w:p>
        </w:tc>
        <w:tc>
          <w:tcPr>
            <w:tcW w:w="818" w:type="pct"/>
            <w:tcBorders>
              <w:top w:val="single" w:sz="2" w:space="0" w:color="000000"/>
              <w:left w:val="single" w:sz="2" w:space="0" w:color="000000"/>
              <w:bottom w:val="single" w:sz="4" w:space="0" w:color="auto"/>
            </w:tcBorders>
            <w:shd w:val="clear" w:color="auto" w:fill="auto"/>
            <w:vAlign w:val="center"/>
          </w:tcPr>
          <w:p w:rsidR="002C23A6" w:rsidRPr="00FA537A" w:rsidRDefault="002C23A6" w:rsidP="00537A0F">
            <w:pPr>
              <w:bidi w:val="0"/>
              <w:snapToGrid w:val="0"/>
              <w:jc w:val="both"/>
              <w:rPr>
                <w:rFonts w:eastAsia="Batang"/>
                <w:color w:val="000000"/>
                <w:sz w:val="20"/>
                <w:szCs w:val="20"/>
              </w:rPr>
            </w:pPr>
          </w:p>
          <w:p w:rsidR="002C23A6" w:rsidRPr="00FA537A" w:rsidRDefault="002C23A6" w:rsidP="00537A0F">
            <w:pPr>
              <w:bidi w:val="0"/>
              <w:snapToGrid w:val="0"/>
              <w:jc w:val="both"/>
              <w:rPr>
                <w:rFonts w:eastAsia="Batang"/>
                <w:color w:val="000000"/>
                <w:sz w:val="20"/>
                <w:szCs w:val="20"/>
              </w:rPr>
            </w:pPr>
            <w:r w:rsidRPr="00FA537A">
              <w:rPr>
                <w:rFonts w:eastAsia="Batang"/>
                <w:color w:val="000000"/>
                <w:sz w:val="20"/>
                <w:szCs w:val="20"/>
              </w:rPr>
              <w:t>28%</w:t>
            </w:r>
          </w:p>
          <w:p w:rsidR="002C23A6" w:rsidRPr="00FA537A" w:rsidRDefault="002C23A6" w:rsidP="00537A0F">
            <w:pPr>
              <w:bidi w:val="0"/>
              <w:snapToGrid w:val="0"/>
              <w:jc w:val="both"/>
              <w:rPr>
                <w:rFonts w:eastAsia="Batang"/>
                <w:color w:val="000000"/>
                <w:sz w:val="20"/>
                <w:szCs w:val="20"/>
              </w:rPr>
            </w:pPr>
            <w:r w:rsidRPr="00FA537A">
              <w:rPr>
                <w:rFonts w:eastAsia="Batang"/>
                <w:color w:val="000000"/>
                <w:sz w:val="20"/>
                <w:szCs w:val="20"/>
              </w:rPr>
              <w:t>72%</w:t>
            </w:r>
          </w:p>
        </w:tc>
      </w:tr>
      <w:tr w:rsidR="002C23A6" w:rsidRPr="00FA537A" w:rsidTr="00FA537A">
        <w:trPr>
          <w:jc w:val="center"/>
        </w:trPr>
        <w:tc>
          <w:tcPr>
            <w:tcW w:w="2544" w:type="pct"/>
            <w:tcBorders>
              <w:top w:val="single" w:sz="4" w:space="0" w:color="auto"/>
              <w:bottom w:val="single" w:sz="4" w:space="0" w:color="auto"/>
            </w:tcBorders>
            <w:shd w:val="clear" w:color="auto" w:fill="auto"/>
            <w:vAlign w:val="center"/>
          </w:tcPr>
          <w:p w:rsidR="002C23A6" w:rsidRPr="00FA537A" w:rsidRDefault="002C23A6" w:rsidP="00537A0F">
            <w:pPr>
              <w:autoSpaceDE w:val="0"/>
              <w:autoSpaceDN w:val="0"/>
              <w:bidi w:val="0"/>
              <w:adjustRightInd w:val="0"/>
              <w:snapToGrid w:val="0"/>
              <w:jc w:val="both"/>
              <w:rPr>
                <w:rFonts w:eastAsia="Batang"/>
                <w:b/>
                <w:bCs/>
                <w:color w:val="000000"/>
                <w:sz w:val="20"/>
                <w:szCs w:val="20"/>
                <w:lang w:eastAsia="ja-JP"/>
              </w:rPr>
            </w:pPr>
            <w:r w:rsidRPr="00FA537A">
              <w:rPr>
                <w:rFonts w:eastAsia="Batang"/>
                <w:b/>
                <w:bCs/>
                <w:color w:val="000000"/>
                <w:sz w:val="20"/>
                <w:szCs w:val="20"/>
                <w:lang w:eastAsia="ja-JP"/>
              </w:rPr>
              <w:t>Tumor Histology:</w:t>
            </w:r>
          </w:p>
          <w:p w:rsidR="002C23A6" w:rsidRPr="00FA537A" w:rsidRDefault="002C23A6" w:rsidP="00537A0F">
            <w:pPr>
              <w:bidi w:val="0"/>
              <w:snapToGrid w:val="0"/>
              <w:jc w:val="both"/>
              <w:rPr>
                <w:rFonts w:eastAsia="Batang"/>
                <w:color w:val="000000"/>
                <w:sz w:val="20"/>
                <w:szCs w:val="20"/>
                <w:lang w:eastAsia="ja-JP"/>
              </w:rPr>
            </w:pPr>
            <w:r w:rsidRPr="00FA537A">
              <w:rPr>
                <w:rFonts w:eastAsia="Batang"/>
                <w:color w:val="000000"/>
                <w:sz w:val="20"/>
                <w:szCs w:val="20"/>
                <w:lang w:eastAsia="ja-JP"/>
              </w:rPr>
              <w:t>Transitional cell</w:t>
            </w:r>
          </w:p>
          <w:p w:rsidR="002C23A6" w:rsidRPr="00FA537A" w:rsidRDefault="002C23A6" w:rsidP="00537A0F">
            <w:pPr>
              <w:bidi w:val="0"/>
              <w:snapToGrid w:val="0"/>
              <w:jc w:val="both"/>
              <w:rPr>
                <w:rFonts w:eastAsia="Batang"/>
                <w:color w:val="000000"/>
                <w:sz w:val="20"/>
                <w:szCs w:val="20"/>
                <w:lang w:eastAsia="ja-JP"/>
              </w:rPr>
            </w:pPr>
            <w:proofErr w:type="spellStart"/>
            <w:r w:rsidRPr="00FA537A">
              <w:rPr>
                <w:rFonts w:eastAsia="Batang"/>
                <w:color w:val="000000"/>
                <w:sz w:val="20"/>
                <w:szCs w:val="20"/>
                <w:lang w:eastAsia="ja-JP"/>
              </w:rPr>
              <w:t>Squamous</w:t>
            </w:r>
            <w:proofErr w:type="spellEnd"/>
            <w:r w:rsidRPr="00FA537A">
              <w:rPr>
                <w:rFonts w:eastAsia="Batang"/>
                <w:color w:val="000000"/>
                <w:sz w:val="20"/>
                <w:szCs w:val="20"/>
                <w:lang w:eastAsia="ja-JP"/>
              </w:rPr>
              <w:t xml:space="preserve"> cell</w:t>
            </w:r>
          </w:p>
        </w:tc>
        <w:tc>
          <w:tcPr>
            <w:tcW w:w="1638" w:type="pct"/>
            <w:tcBorders>
              <w:top w:val="single" w:sz="4" w:space="0" w:color="auto"/>
              <w:bottom w:val="single" w:sz="4" w:space="0" w:color="auto"/>
              <w:right w:val="single" w:sz="2" w:space="0" w:color="000000"/>
            </w:tcBorders>
            <w:shd w:val="clear" w:color="auto" w:fill="auto"/>
            <w:vAlign w:val="center"/>
          </w:tcPr>
          <w:p w:rsidR="002C23A6" w:rsidRPr="00FA537A" w:rsidRDefault="002C23A6" w:rsidP="00537A0F">
            <w:pPr>
              <w:bidi w:val="0"/>
              <w:snapToGrid w:val="0"/>
              <w:jc w:val="both"/>
              <w:rPr>
                <w:rFonts w:eastAsia="Batang"/>
                <w:color w:val="000000"/>
                <w:sz w:val="20"/>
                <w:szCs w:val="20"/>
              </w:rPr>
            </w:pPr>
          </w:p>
          <w:p w:rsidR="002C23A6" w:rsidRPr="00FA537A" w:rsidRDefault="002C23A6" w:rsidP="00537A0F">
            <w:pPr>
              <w:bidi w:val="0"/>
              <w:snapToGrid w:val="0"/>
              <w:jc w:val="both"/>
              <w:rPr>
                <w:rFonts w:eastAsia="Batang"/>
                <w:color w:val="000000"/>
                <w:sz w:val="20"/>
                <w:szCs w:val="20"/>
              </w:rPr>
            </w:pPr>
            <w:r w:rsidRPr="00FA537A">
              <w:rPr>
                <w:rFonts w:eastAsia="Batang"/>
                <w:color w:val="000000"/>
                <w:sz w:val="20"/>
                <w:szCs w:val="20"/>
              </w:rPr>
              <w:t>23</w:t>
            </w:r>
          </w:p>
          <w:p w:rsidR="002C23A6" w:rsidRPr="00FA537A" w:rsidRDefault="002C23A6" w:rsidP="00537A0F">
            <w:pPr>
              <w:bidi w:val="0"/>
              <w:snapToGrid w:val="0"/>
              <w:jc w:val="both"/>
              <w:rPr>
                <w:rFonts w:eastAsia="Batang"/>
                <w:color w:val="000000"/>
                <w:sz w:val="20"/>
                <w:szCs w:val="20"/>
              </w:rPr>
            </w:pPr>
            <w:r w:rsidRPr="00FA537A">
              <w:rPr>
                <w:rFonts w:eastAsia="Batang"/>
                <w:color w:val="000000"/>
                <w:sz w:val="20"/>
                <w:szCs w:val="20"/>
              </w:rPr>
              <w:t>2</w:t>
            </w:r>
          </w:p>
        </w:tc>
        <w:tc>
          <w:tcPr>
            <w:tcW w:w="818" w:type="pct"/>
            <w:tcBorders>
              <w:top w:val="single" w:sz="4" w:space="0" w:color="auto"/>
              <w:left w:val="single" w:sz="2" w:space="0" w:color="000000"/>
              <w:bottom w:val="single" w:sz="4" w:space="0" w:color="auto"/>
            </w:tcBorders>
            <w:shd w:val="clear" w:color="auto" w:fill="auto"/>
            <w:vAlign w:val="center"/>
          </w:tcPr>
          <w:p w:rsidR="002C23A6" w:rsidRPr="00FA537A" w:rsidRDefault="002C23A6" w:rsidP="00537A0F">
            <w:pPr>
              <w:bidi w:val="0"/>
              <w:snapToGrid w:val="0"/>
              <w:jc w:val="both"/>
              <w:rPr>
                <w:rFonts w:eastAsia="Batang"/>
                <w:color w:val="000000"/>
                <w:sz w:val="20"/>
                <w:szCs w:val="20"/>
              </w:rPr>
            </w:pPr>
          </w:p>
          <w:p w:rsidR="002C23A6" w:rsidRPr="00FA537A" w:rsidRDefault="002C23A6" w:rsidP="00537A0F">
            <w:pPr>
              <w:bidi w:val="0"/>
              <w:snapToGrid w:val="0"/>
              <w:jc w:val="both"/>
              <w:rPr>
                <w:rFonts w:eastAsia="Batang"/>
                <w:color w:val="000000"/>
                <w:sz w:val="20"/>
                <w:szCs w:val="20"/>
              </w:rPr>
            </w:pPr>
            <w:r w:rsidRPr="00FA537A">
              <w:rPr>
                <w:rFonts w:eastAsia="Batang"/>
                <w:color w:val="000000"/>
                <w:sz w:val="20"/>
                <w:szCs w:val="20"/>
              </w:rPr>
              <w:t>92%</w:t>
            </w:r>
          </w:p>
          <w:p w:rsidR="002C23A6" w:rsidRPr="00FA537A" w:rsidRDefault="002C23A6" w:rsidP="00537A0F">
            <w:pPr>
              <w:bidi w:val="0"/>
              <w:snapToGrid w:val="0"/>
              <w:jc w:val="both"/>
              <w:rPr>
                <w:rFonts w:eastAsia="Batang"/>
                <w:color w:val="000000"/>
                <w:sz w:val="20"/>
                <w:szCs w:val="20"/>
              </w:rPr>
            </w:pPr>
            <w:r w:rsidRPr="00FA537A">
              <w:rPr>
                <w:rFonts w:eastAsia="Batang"/>
                <w:color w:val="000000"/>
                <w:sz w:val="20"/>
                <w:szCs w:val="20"/>
              </w:rPr>
              <w:t>8%</w:t>
            </w:r>
          </w:p>
        </w:tc>
      </w:tr>
      <w:tr w:rsidR="002C23A6" w:rsidRPr="00FA537A" w:rsidTr="00FA537A">
        <w:trPr>
          <w:jc w:val="center"/>
        </w:trPr>
        <w:tc>
          <w:tcPr>
            <w:tcW w:w="2544" w:type="pct"/>
            <w:tcBorders>
              <w:top w:val="single" w:sz="4" w:space="0" w:color="auto"/>
              <w:bottom w:val="single" w:sz="18" w:space="0" w:color="000000"/>
            </w:tcBorders>
            <w:shd w:val="clear" w:color="auto" w:fill="auto"/>
            <w:vAlign w:val="center"/>
          </w:tcPr>
          <w:p w:rsidR="002C23A6" w:rsidRPr="00FA537A" w:rsidRDefault="002C23A6" w:rsidP="00537A0F">
            <w:pPr>
              <w:bidi w:val="0"/>
              <w:snapToGrid w:val="0"/>
              <w:jc w:val="both"/>
              <w:rPr>
                <w:rFonts w:eastAsia="Batang"/>
                <w:b/>
                <w:bCs/>
                <w:color w:val="000000"/>
                <w:sz w:val="20"/>
                <w:szCs w:val="20"/>
                <w:lang w:eastAsia="ja-JP"/>
              </w:rPr>
            </w:pPr>
            <w:r w:rsidRPr="00FA537A">
              <w:rPr>
                <w:rFonts w:eastAsia="Batang"/>
                <w:b/>
                <w:bCs/>
                <w:color w:val="000000"/>
                <w:sz w:val="20"/>
                <w:szCs w:val="20"/>
                <w:lang w:eastAsia="ja-JP"/>
              </w:rPr>
              <w:t>Tumor grade:</w:t>
            </w:r>
          </w:p>
          <w:p w:rsidR="002C23A6" w:rsidRPr="00FA537A" w:rsidRDefault="002C23A6" w:rsidP="00537A0F">
            <w:pPr>
              <w:bidi w:val="0"/>
              <w:snapToGrid w:val="0"/>
              <w:jc w:val="both"/>
              <w:rPr>
                <w:rFonts w:eastAsia="Batang"/>
                <w:color w:val="000000"/>
                <w:sz w:val="20"/>
                <w:szCs w:val="20"/>
                <w:lang w:eastAsia="ja-JP"/>
              </w:rPr>
            </w:pPr>
            <w:r w:rsidRPr="00FA537A">
              <w:rPr>
                <w:rFonts w:eastAsia="Batang"/>
                <w:color w:val="000000"/>
                <w:sz w:val="20"/>
                <w:szCs w:val="20"/>
                <w:lang w:eastAsia="ja-JP"/>
              </w:rPr>
              <w:t>Grade II</w:t>
            </w:r>
          </w:p>
          <w:p w:rsidR="002C23A6" w:rsidRPr="00FA537A" w:rsidRDefault="002C23A6" w:rsidP="00537A0F">
            <w:pPr>
              <w:bidi w:val="0"/>
              <w:snapToGrid w:val="0"/>
              <w:jc w:val="both"/>
              <w:rPr>
                <w:rFonts w:eastAsia="Batang"/>
                <w:color w:val="000000"/>
                <w:sz w:val="20"/>
                <w:szCs w:val="20"/>
                <w:lang w:eastAsia="ja-JP"/>
              </w:rPr>
            </w:pPr>
            <w:r w:rsidRPr="00FA537A">
              <w:rPr>
                <w:rFonts w:eastAsia="Batang"/>
                <w:color w:val="000000"/>
                <w:sz w:val="20"/>
                <w:szCs w:val="20"/>
                <w:lang w:eastAsia="ja-JP"/>
              </w:rPr>
              <w:t>Grade III</w:t>
            </w:r>
          </w:p>
          <w:p w:rsidR="002C23A6" w:rsidRPr="00FA537A" w:rsidRDefault="002C23A6" w:rsidP="00537A0F">
            <w:pPr>
              <w:bidi w:val="0"/>
              <w:snapToGrid w:val="0"/>
              <w:jc w:val="both"/>
              <w:rPr>
                <w:rFonts w:eastAsia="Batang"/>
                <w:color w:val="000000"/>
                <w:sz w:val="20"/>
                <w:szCs w:val="20"/>
                <w:lang w:eastAsia="ja-JP"/>
              </w:rPr>
            </w:pPr>
            <w:r w:rsidRPr="00FA537A">
              <w:rPr>
                <w:rFonts w:eastAsia="Batang"/>
                <w:color w:val="000000"/>
                <w:sz w:val="20"/>
                <w:szCs w:val="20"/>
                <w:lang w:eastAsia="ja-JP"/>
              </w:rPr>
              <w:t>Unknown</w:t>
            </w:r>
          </w:p>
        </w:tc>
        <w:tc>
          <w:tcPr>
            <w:tcW w:w="1638" w:type="pct"/>
            <w:tcBorders>
              <w:top w:val="single" w:sz="4" w:space="0" w:color="auto"/>
              <w:bottom w:val="single" w:sz="18" w:space="0" w:color="000000"/>
              <w:right w:val="single" w:sz="2" w:space="0" w:color="000000"/>
            </w:tcBorders>
            <w:shd w:val="clear" w:color="auto" w:fill="auto"/>
            <w:vAlign w:val="center"/>
          </w:tcPr>
          <w:p w:rsidR="002C23A6" w:rsidRPr="00FA537A" w:rsidRDefault="002C23A6" w:rsidP="00537A0F">
            <w:pPr>
              <w:bidi w:val="0"/>
              <w:snapToGrid w:val="0"/>
              <w:jc w:val="both"/>
              <w:rPr>
                <w:rFonts w:eastAsia="Batang"/>
                <w:color w:val="000000"/>
                <w:sz w:val="20"/>
                <w:szCs w:val="20"/>
              </w:rPr>
            </w:pPr>
          </w:p>
          <w:p w:rsidR="002C23A6" w:rsidRPr="00FA537A" w:rsidRDefault="002C23A6" w:rsidP="00537A0F">
            <w:pPr>
              <w:bidi w:val="0"/>
              <w:snapToGrid w:val="0"/>
              <w:jc w:val="both"/>
              <w:rPr>
                <w:rFonts w:eastAsia="Batang"/>
                <w:color w:val="000000"/>
                <w:sz w:val="20"/>
                <w:szCs w:val="20"/>
              </w:rPr>
            </w:pPr>
            <w:r w:rsidRPr="00FA537A">
              <w:rPr>
                <w:rFonts w:eastAsia="Batang"/>
                <w:color w:val="000000"/>
                <w:sz w:val="20"/>
                <w:szCs w:val="20"/>
              </w:rPr>
              <w:t>14</w:t>
            </w:r>
          </w:p>
          <w:p w:rsidR="002C23A6" w:rsidRPr="00FA537A" w:rsidRDefault="002C23A6" w:rsidP="00537A0F">
            <w:pPr>
              <w:bidi w:val="0"/>
              <w:snapToGrid w:val="0"/>
              <w:jc w:val="both"/>
              <w:rPr>
                <w:rFonts w:eastAsia="Batang"/>
                <w:color w:val="000000"/>
                <w:sz w:val="20"/>
                <w:szCs w:val="20"/>
              </w:rPr>
            </w:pPr>
            <w:r w:rsidRPr="00FA537A">
              <w:rPr>
                <w:rFonts w:eastAsia="Batang"/>
                <w:color w:val="000000"/>
                <w:sz w:val="20"/>
                <w:szCs w:val="20"/>
              </w:rPr>
              <w:t>9</w:t>
            </w:r>
          </w:p>
          <w:p w:rsidR="002C23A6" w:rsidRPr="00FA537A" w:rsidRDefault="002C23A6" w:rsidP="00537A0F">
            <w:pPr>
              <w:bidi w:val="0"/>
              <w:snapToGrid w:val="0"/>
              <w:jc w:val="both"/>
              <w:rPr>
                <w:rFonts w:eastAsia="Batang"/>
                <w:color w:val="000000"/>
                <w:sz w:val="20"/>
                <w:szCs w:val="20"/>
              </w:rPr>
            </w:pPr>
            <w:r w:rsidRPr="00FA537A">
              <w:rPr>
                <w:rFonts w:eastAsia="Batang"/>
                <w:color w:val="000000"/>
                <w:sz w:val="20"/>
                <w:szCs w:val="20"/>
              </w:rPr>
              <w:t>2</w:t>
            </w:r>
          </w:p>
        </w:tc>
        <w:tc>
          <w:tcPr>
            <w:tcW w:w="818" w:type="pct"/>
            <w:tcBorders>
              <w:top w:val="single" w:sz="4" w:space="0" w:color="auto"/>
              <w:left w:val="single" w:sz="2" w:space="0" w:color="000000"/>
              <w:bottom w:val="single" w:sz="18" w:space="0" w:color="000000"/>
            </w:tcBorders>
            <w:shd w:val="clear" w:color="auto" w:fill="auto"/>
            <w:vAlign w:val="center"/>
          </w:tcPr>
          <w:p w:rsidR="002C23A6" w:rsidRPr="00FA537A" w:rsidRDefault="002C23A6" w:rsidP="00537A0F">
            <w:pPr>
              <w:bidi w:val="0"/>
              <w:snapToGrid w:val="0"/>
              <w:jc w:val="both"/>
              <w:rPr>
                <w:rFonts w:eastAsia="Batang"/>
                <w:color w:val="000000"/>
                <w:sz w:val="20"/>
                <w:szCs w:val="20"/>
              </w:rPr>
            </w:pPr>
          </w:p>
          <w:p w:rsidR="002C23A6" w:rsidRPr="00FA537A" w:rsidRDefault="002C23A6" w:rsidP="00537A0F">
            <w:pPr>
              <w:bidi w:val="0"/>
              <w:snapToGrid w:val="0"/>
              <w:jc w:val="both"/>
              <w:rPr>
                <w:rFonts w:eastAsia="Batang"/>
                <w:color w:val="000000"/>
                <w:sz w:val="20"/>
                <w:szCs w:val="20"/>
              </w:rPr>
            </w:pPr>
            <w:r w:rsidRPr="00FA537A">
              <w:rPr>
                <w:rFonts w:eastAsia="Batang"/>
                <w:color w:val="000000"/>
                <w:sz w:val="20"/>
                <w:szCs w:val="20"/>
              </w:rPr>
              <w:t>56%</w:t>
            </w:r>
          </w:p>
          <w:p w:rsidR="002C23A6" w:rsidRPr="00FA537A" w:rsidRDefault="002C23A6" w:rsidP="00537A0F">
            <w:pPr>
              <w:bidi w:val="0"/>
              <w:snapToGrid w:val="0"/>
              <w:jc w:val="both"/>
              <w:rPr>
                <w:rFonts w:eastAsia="Batang"/>
                <w:color w:val="000000"/>
                <w:sz w:val="20"/>
                <w:szCs w:val="20"/>
              </w:rPr>
            </w:pPr>
            <w:r w:rsidRPr="00FA537A">
              <w:rPr>
                <w:rFonts w:eastAsia="Batang"/>
                <w:color w:val="000000"/>
                <w:sz w:val="20"/>
                <w:szCs w:val="20"/>
              </w:rPr>
              <w:t>36%</w:t>
            </w:r>
          </w:p>
          <w:p w:rsidR="002C23A6" w:rsidRPr="00FA537A" w:rsidRDefault="002C23A6" w:rsidP="00537A0F">
            <w:pPr>
              <w:bidi w:val="0"/>
              <w:snapToGrid w:val="0"/>
              <w:jc w:val="both"/>
              <w:rPr>
                <w:rFonts w:eastAsia="Batang"/>
                <w:color w:val="000000"/>
                <w:sz w:val="20"/>
                <w:szCs w:val="20"/>
              </w:rPr>
            </w:pPr>
            <w:r w:rsidRPr="00FA537A">
              <w:rPr>
                <w:rFonts w:eastAsia="Batang"/>
                <w:color w:val="000000"/>
                <w:sz w:val="20"/>
                <w:szCs w:val="20"/>
              </w:rPr>
              <w:t>8%</w:t>
            </w:r>
          </w:p>
        </w:tc>
      </w:tr>
    </w:tbl>
    <w:p w:rsidR="002C23A6" w:rsidRPr="00FA537A" w:rsidRDefault="002C23A6" w:rsidP="002C23A6">
      <w:pPr>
        <w:bidi w:val="0"/>
        <w:snapToGrid w:val="0"/>
        <w:ind w:firstLine="425"/>
        <w:jc w:val="both"/>
        <w:rPr>
          <w:sz w:val="20"/>
          <w:szCs w:val="20"/>
          <w:lang w:eastAsia="zh-CN"/>
        </w:rPr>
      </w:pPr>
    </w:p>
    <w:p w:rsidR="002C23A6" w:rsidRPr="00FA537A" w:rsidRDefault="006C6210" w:rsidP="002C23A6">
      <w:pPr>
        <w:bidi w:val="0"/>
        <w:snapToGrid w:val="0"/>
        <w:jc w:val="center"/>
        <w:rPr>
          <w:sz w:val="20"/>
          <w:szCs w:val="20"/>
        </w:rPr>
      </w:pPr>
      <w:r w:rsidRPr="00FA537A">
        <w:rPr>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0.4pt;height:142.1pt">
            <v:imagedata r:id="rId12" o:title=""/>
          </v:shape>
        </w:pict>
      </w:r>
    </w:p>
    <w:p w:rsidR="002C23A6" w:rsidRPr="00FA537A" w:rsidRDefault="002C23A6" w:rsidP="002C23A6">
      <w:pPr>
        <w:bidi w:val="0"/>
        <w:snapToGrid w:val="0"/>
        <w:jc w:val="both"/>
        <w:rPr>
          <w:b/>
          <w:bCs/>
          <w:sz w:val="20"/>
          <w:szCs w:val="20"/>
          <w:lang w:eastAsia="ja-JP"/>
        </w:rPr>
      </w:pPr>
      <w:r w:rsidRPr="00FA537A">
        <w:rPr>
          <w:b/>
          <w:bCs/>
          <w:sz w:val="20"/>
          <w:szCs w:val="20"/>
          <w:lang w:eastAsia="ja-JP"/>
        </w:rPr>
        <w:t>Figure (1): Treatment response in bladder cancer</w:t>
      </w:r>
    </w:p>
    <w:p w:rsidR="002C23A6" w:rsidRPr="00FA537A" w:rsidRDefault="002C23A6" w:rsidP="002C23A6">
      <w:pPr>
        <w:bidi w:val="0"/>
        <w:snapToGrid w:val="0"/>
        <w:ind w:firstLine="425"/>
        <w:jc w:val="both"/>
        <w:rPr>
          <w:sz w:val="20"/>
          <w:szCs w:val="20"/>
          <w:lang w:eastAsia="zh-CN"/>
        </w:rPr>
      </w:pPr>
    </w:p>
    <w:p w:rsidR="002C23A6" w:rsidRPr="00FA537A" w:rsidRDefault="002C23A6" w:rsidP="002C23A6">
      <w:pPr>
        <w:bidi w:val="0"/>
        <w:snapToGrid w:val="0"/>
        <w:ind w:firstLine="425"/>
        <w:jc w:val="both"/>
        <w:rPr>
          <w:sz w:val="20"/>
          <w:szCs w:val="20"/>
          <w:lang w:eastAsia="zh-CN"/>
        </w:rPr>
        <w:sectPr w:rsidR="002C23A6" w:rsidRPr="00FA537A" w:rsidSect="00FA537A">
          <w:type w:val="continuous"/>
          <w:pgSz w:w="12242" w:h="15842" w:code="1"/>
          <w:pgMar w:top="1440" w:right="1440" w:bottom="1440" w:left="1440" w:header="720" w:footer="720" w:gutter="0"/>
          <w:cols w:num="2" w:space="576"/>
          <w:docGrid w:linePitch="360"/>
        </w:sectPr>
      </w:pPr>
    </w:p>
    <w:p w:rsidR="00060E3C" w:rsidRPr="00FA537A" w:rsidRDefault="00060E3C" w:rsidP="002C23A6">
      <w:pPr>
        <w:bidi w:val="0"/>
        <w:snapToGrid w:val="0"/>
        <w:ind w:firstLine="425"/>
        <w:jc w:val="both"/>
        <w:rPr>
          <w:sz w:val="20"/>
          <w:szCs w:val="20"/>
        </w:rPr>
      </w:pPr>
    </w:p>
    <w:p w:rsidR="00E93B82" w:rsidRPr="00FA537A" w:rsidRDefault="00E93B82" w:rsidP="002C23A6">
      <w:pPr>
        <w:bidi w:val="0"/>
        <w:snapToGrid w:val="0"/>
        <w:jc w:val="center"/>
        <w:rPr>
          <w:b/>
          <w:bCs/>
          <w:sz w:val="20"/>
          <w:szCs w:val="20"/>
        </w:rPr>
      </w:pPr>
      <w:r w:rsidRPr="00FA537A">
        <w:rPr>
          <w:b/>
          <w:bCs/>
          <w:sz w:val="20"/>
          <w:szCs w:val="20"/>
          <w:lang w:eastAsia="ja-JP"/>
        </w:rPr>
        <w:t xml:space="preserve">Table (2): </w:t>
      </w:r>
      <w:r w:rsidRPr="00FA537A">
        <w:rPr>
          <w:b/>
          <w:bCs/>
          <w:sz w:val="20"/>
          <w:szCs w:val="20"/>
        </w:rPr>
        <w:t xml:space="preserve">Acute toxicities after concurrent </w:t>
      </w:r>
      <w:proofErr w:type="spellStart"/>
      <w:r w:rsidRPr="00FA537A">
        <w:rPr>
          <w:b/>
          <w:bCs/>
          <w:sz w:val="20"/>
          <w:szCs w:val="20"/>
        </w:rPr>
        <w:t>chemoradiotherapy</w:t>
      </w:r>
      <w:proofErr w:type="spellEnd"/>
      <w:r w:rsidRPr="00FA537A">
        <w:rPr>
          <w:b/>
          <w:bCs/>
          <w:sz w:val="20"/>
          <w:szCs w:val="20"/>
        </w:rPr>
        <w:t xml:space="preserve"> for bladder</w:t>
      </w:r>
    </w:p>
    <w:tbl>
      <w:tblPr>
        <w:tblW w:w="5000" w:type="pct"/>
        <w:jc w:val="center"/>
        <w:tblBorders>
          <w:top w:val="single" w:sz="18" w:space="0" w:color="auto"/>
          <w:left w:val="single" w:sz="4" w:space="0" w:color="auto"/>
          <w:bottom w:val="single" w:sz="18" w:space="0" w:color="auto"/>
          <w:right w:val="single" w:sz="4" w:space="0" w:color="auto"/>
          <w:insideH w:val="single" w:sz="4" w:space="0" w:color="auto"/>
          <w:insideV w:val="single" w:sz="4" w:space="0" w:color="auto"/>
        </w:tblBorders>
        <w:tblLook w:val="0000"/>
      </w:tblPr>
      <w:tblGrid>
        <w:gridCol w:w="3822"/>
        <w:gridCol w:w="1919"/>
        <w:gridCol w:w="1919"/>
        <w:gridCol w:w="1918"/>
      </w:tblGrid>
      <w:tr w:rsidR="00E93B82" w:rsidRPr="00FA537A">
        <w:trPr>
          <w:trHeight w:val="20"/>
          <w:jc w:val="center"/>
        </w:trPr>
        <w:tc>
          <w:tcPr>
            <w:tcW w:w="1995" w:type="pct"/>
            <w:tcBorders>
              <w:top w:val="single" w:sz="18" w:space="0" w:color="auto"/>
              <w:bottom w:val="single" w:sz="18" w:space="0" w:color="auto"/>
            </w:tcBorders>
          </w:tcPr>
          <w:p w:rsidR="00E93B82" w:rsidRPr="00FA537A" w:rsidRDefault="00E93B82" w:rsidP="002C23A6">
            <w:pPr>
              <w:autoSpaceDE w:val="0"/>
              <w:autoSpaceDN w:val="0"/>
              <w:bidi w:val="0"/>
              <w:adjustRightInd w:val="0"/>
              <w:snapToGrid w:val="0"/>
              <w:jc w:val="both"/>
              <w:rPr>
                <w:rFonts w:eastAsiaTheme="minorEastAsia"/>
                <w:b/>
                <w:bCs/>
                <w:color w:val="000000"/>
                <w:sz w:val="20"/>
                <w:szCs w:val="20"/>
                <w:lang w:eastAsia="ja-JP"/>
              </w:rPr>
            </w:pPr>
            <w:r w:rsidRPr="00FA537A">
              <w:rPr>
                <w:rFonts w:eastAsiaTheme="minorEastAsia"/>
                <w:b/>
                <w:bCs/>
                <w:color w:val="000000"/>
                <w:sz w:val="20"/>
                <w:szCs w:val="20"/>
                <w:lang w:eastAsia="ja-JP"/>
              </w:rPr>
              <w:t>Toxicity</w:t>
            </w:r>
          </w:p>
        </w:tc>
        <w:tc>
          <w:tcPr>
            <w:tcW w:w="1002" w:type="pct"/>
            <w:tcBorders>
              <w:top w:val="single" w:sz="18" w:space="0" w:color="auto"/>
              <w:bottom w:val="single" w:sz="18" w:space="0" w:color="auto"/>
            </w:tcBorders>
            <w:shd w:val="clear" w:color="auto" w:fill="auto"/>
          </w:tcPr>
          <w:p w:rsidR="00E93B82" w:rsidRPr="00FA537A" w:rsidRDefault="00E93B82" w:rsidP="002C23A6">
            <w:pPr>
              <w:autoSpaceDE w:val="0"/>
              <w:autoSpaceDN w:val="0"/>
              <w:bidi w:val="0"/>
              <w:adjustRightInd w:val="0"/>
              <w:snapToGrid w:val="0"/>
              <w:jc w:val="both"/>
              <w:rPr>
                <w:rFonts w:eastAsiaTheme="minorEastAsia"/>
                <w:b/>
                <w:bCs/>
                <w:color w:val="000000"/>
                <w:sz w:val="20"/>
                <w:szCs w:val="20"/>
                <w:lang w:eastAsia="ja-JP"/>
              </w:rPr>
            </w:pPr>
            <w:r w:rsidRPr="00FA537A">
              <w:rPr>
                <w:rFonts w:eastAsiaTheme="minorEastAsia"/>
                <w:b/>
                <w:bCs/>
                <w:color w:val="000000"/>
                <w:sz w:val="20"/>
                <w:szCs w:val="20"/>
                <w:lang w:eastAsia="ja-JP"/>
              </w:rPr>
              <w:t>G1</w:t>
            </w:r>
          </w:p>
        </w:tc>
        <w:tc>
          <w:tcPr>
            <w:tcW w:w="1002" w:type="pct"/>
            <w:tcBorders>
              <w:top w:val="single" w:sz="18" w:space="0" w:color="auto"/>
              <w:bottom w:val="single" w:sz="18" w:space="0" w:color="auto"/>
            </w:tcBorders>
            <w:shd w:val="clear" w:color="auto" w:fill="auto"/>
          </w:tcPr>
          <w:p w:rsidR="00E93B82" w:rsidRPr="00FA537A" w:rsidRDefault="00E93B82" w:rsidP="002C23A6">
            <w:pPr>
              <w:autoSpaceDE w:val="0"/>
              <w:autoSpaceDN w:val="0"/>
              <w:bidi w:val="0"/>
              <w:adjustRightInd w:val="0"/>
              <w:snapToGrid w:val="0"/>
              <w:jc w:val="both"/>
              <w:rPr>
                <w:rFonts w:eastAsiaTheme="minorEastAsia"/>
                <w:b/>
                <w:bCs/>
                <w:color w:val="000000"/>
                <w:sz w:val="20"/>
                <w:szCs w:val="20"/>
                <w:lang w:eastAsia="ja-JP"/>
              </w:rPr>
            </w:pPr>
            <w:r w:rsidRPr="00FA537A">
              <w:rPr>
                <w:rFonts w:eastAsiaTheme="minorEastAsia"/>
                <w:b/>
                <w:bCs/>
                <w:color w:val="000000"/>
                <w:sz w:val="20"/>
                <w:szCs w:val="20"/>
                <w:lang w:eastAsia="ja-JP"/>
              </w:rPr>
              <w:t>G2</w:t>
            </w:r>
          </w:p>
        </w:tc>
        <w:tc>
          <w:tcPr>
            <w:tcW w:w="1002" w:type="pct"/>
            <w:tcBorders>
              <w:top w:val="single" w:sz="18" w:space="0" w:color="auto"/>
              <w:bottom w:val="single" w:sz="18" w:space="0" w:color="auto"/>
            </w:tcBorders>
            <w:shd w:val="clear" w:color="auto" w:fill="auto"/>
          </w:tcPr>
          <w:p w:rsidR="00E93B82" w:rsidRPr="00FA537A" w:rsidRDefault="00E93B82" w:rsidP="002C23A6">
            <w:pPr>
              <w:autoSpaceDE w:val="0"/>
              <w:autoSpaceDN w:val="0"/>
              <w:bidi w:val="0"/>
              <w:adjustRightInd w:val="0"/>
              <w:snapToGrid w:val="0"/>
              <w:jc w:val="both"/>
              <w:rPr>
                <w:rFonts w:eastAsiaTheme="minorEastAsia"/>
                <w:b/>
                <w:bCs/>
                <w:color w:val="000000"/>
                <w:sz w:val="20"/>
                <w:szCs w:val="20"/>
                <w:lang w:eastAsia="ja-JP"/>
              </w:rPr>
            </w:pPr>
            <w:r w:rsidRPr="00FA537A">
              <w:rPr>
                <w:rFonts w:eastAsiaTheme="minorEastAsia"/>
                <w:b/>
                <w:bCs/>
                <w:color w:val="000000"/>
                <w:sz w:val="20"/>
                <w:szCs w:val="20"/>
                <w:lang w:eastAsia="ja-JP"/>
              </w:rPr>
              <w:t>G3</w:t>
            </w:r>
          </w:p>
        </w:tc>
      </w:tr>
      <w:tr w:rsidR="00E93B82" w:rsidRPr="00FA537A">
        <w:trPr>
          <w:trHeight w:val="20"/>
          <w:jc w:val="center"/>
        </w:trPr>
        <w:tc>
          <w:tcPr>
            <w:tcW w:w="1995" w:type="pct"/>
            <w:tcBorders>
              <w:top w:val="single" w:sz="18" w:space="0" w:color="auto"/>
            </w:tcBorders>
          </w:tcPr>
          <w:p w:rsidR="00E93B82" w:rsidRPr="00FA537A" w:rsidRDefault="00E93B82" w:rsidP="002C23A6">
            <w:pPr>
              <w:autoSpaceDE w:val="0"/>
              <w:autoSpaceDN w:val="0"/>
              <w:bidi w:val="0"/>
              <w:adjustRightInd w:val="0"/>
              <w:snapToGrid w:val="0"/>
              <w:jc w:val="both"/>
              <w:rPr>
                <w:rFonts w:eastAsiaTheme="minorEastAsia"/>
                <w:b/>
                <w:bCs/>
                <w:color w:val="000000"/>
                <w:sz w:val="20"/>
                <w:szCs w:val="20"/>
                <w:lang w:eastAsia="ja-JP"/>
              </w:rPr>
            </w:pPr>
            <w:proofErr w:type="spellStart"/>
            <w:r w:rsidRPr="00FA537A">
              <w:rPr>
                <w:rFonts w:eastAsiaTheme="minorEastAsia"/>
                <w:b/>
                <w:bCs/>
                <w:color w:val="000000"/>
                <w:sz w:val="20"/>
                <w:szCs w:val="20"/>
                <w:lang w:eastAsia="ja-JP"/>
              </w:rPr>
              <w:t>Neutropenia</w:t>
            </w:r>
            <w:proofErr w:type="spellEnd"/>
          </w:p>
        </w:tc>
        <w:tc>
          <w:tcPr>
            <w:tcW w:w="1002" w:type="pct"/>
            <w:tcBorders>
              <w:top w:val="single" w:sz="18" w:space="0" w:color="auto"/>
            </w:tcBorders>
          </w:tcPr>
          <w:p w:rsidR="00E93B82" w:rsidRPr="00FA537A" w:rsidRDefault="00E93B82" w:rsidP="002C23A6">
            <w:pPr>
              <w:autoSpaceDE w:val="0"/>
              <w:autoSpaceDN w:val="0"/>
              <w:bidi w:val="0"/>
              <w:adjustRightInd w:val="0"/>
              <w:snapToGrid w:val="0"/>
              <w:jc w:val="both"/>
              <w:rPr>
                <w:rFonts w:eastAsiaTheme="minorEastAsia"/>
                <w:color w:val="000000"/>
                <w:sz w:val="20"/>
                <w:szCs w:val="20"/>
                <w:lang w:eastAsia="ja-JP"/>
              </w:rPr>
            </w:pPr>
            <w:r w:rsidRPr="00FA537A">
              <w:rPr>
                <w:rFonts w:eastAsiaTheme="minorEastAsia"/>
                <w:color w:val="000000"/>
                <w:sz w:val="20"/>
                <w:szCs w:val="20"/>
                <w:lang w:eastAsia="ja-JP"/>
              </w:rPr>
              <w:t>0 (0%)</w:t>
            </w:r>
          </w:p>
        </w:tc>
        <w:tc>
          <w:tcPr>
            <w:tcW w:w="1002" w:type="pct"/>
            <w:tcBorders>
              <w:top w:val="single" w:sz="18" w:space="0" w:color="auto"/>
            </w:tcBorders>
          </w:tcPr>
          <w:p w:rsidR="00E93B82" w:rsidRPr="00FA537A" w:rsidRDefault="00E93B82" w:rsidP="002C23A6">
            <w:pPr>
              <w:autoSpaceDE w:val="0"/>
              <w:autoSpaceDN w:val="0"/>
              <w:bidi w:val="0"/>
              <w:adjustRightInd w:val="0"/>
              <w:snapToGrid w:val="0"/>
              <w:jc w:val="both"/>
              <w:rPr>
                <w:rFonts w:eastAsiaTheme="minorEastAsia"/>
                <w:color w:val="000000"/>
                <w:sz w:val="20"/>
                <w:szCs w:val="20"/>
                <w:lang w:eastAsia="ja-JP"/>
              </w:rPr>
            </w:pPr>
            <w:r w:rsidRPr="00FA537A">
              <w:rPr>
                <w:rFonts w:eastAsiaTheme="minorEastAsia"/>
                <w:color w:val="000000"/>
                <w:sz w:val="20"/>
                <w:szCs w:val="20"/>
                <w:lang w:eastAsia="ja-JP"/>
              </w:rPr>
              <w:t>3 (13%)</w:t>
            </w:r>
          </w:p>
        </w:tc>
        <w:tc>
          <w:tcPr>
            <w:tcW w:w="1002" w:type="pct"/>
            <w:tcBorders>
              <w:top w:val="single" w:sz="18" w:space="0" w:color="auto"/>
            </w:tcBorders>
          </w:tcPr>
          <w:p w:rsidR="00E93B82" w:rsidRPr="00FA537A" w:rsidRDefault="00E93B82" w:rsidP="002C23A6">
            <w:pPr>
              <w:autoSpaceDE w:val="0"/>
              <w:autoSpaceDN w:val="0"/>
              <w:bidi w:val="0"/>
              <w:adjustRightInd w:val="0"/>
              <w:snapToGrid w:val="0"/>
              <w:jc w:val="both"/>
              <w:rPr>
                <w:rFonts w:eastAsiaTheme="minorEastAsia"/>
                <w:color w:val="000000"/>
                <w:sz w:val="20"/>
                <w:szCs w:val="20"/>
                <w:lang w:eastAsia="ja-JP"/>
              </w:rPr>
            </w:pPr>
            <w:r w:rsidRPr="00FA537A">
              <w:rPr>
                <w:rFonts w:eastAsiaTheme="minorEastAsia"/>
                <w:color w:val="000000"/>
                <w:sz w:val="20"/>
                <w:szCs w:val="20"/>
                <w:lang w:eastAsia="ja-JP"/>
              </w:rPr>
              <w:t>2 (9%)</w:t>
            </w:r>
          </w:p>
        </w:tc>
      </w:tr>
      <w:tr w:rsidR="00E93B82" w:rsidRPr="00FA537A">
        <w:trPr>
          <w:trHeight w:val="20"/>
          <w:jc w:val="center"/>
        </w:trPr>
        <w:tc>
          <w:tcPr>
            <w:tcW w:w="1995" w:type="pct"/>
          </w:tcPr>
          <w:p w:rsidR="00E93B82" w:rsidRPr="00FA537A" w:rsidRDefault="00E93B82" w:rsidP="002C23A6">
            <w:pPr>
              <w:autoSpaceDE w:val="0"/>
              <w:autoSpaceDN w:val="0"/>
              <w:bidi w:val="0"/>
              <w:adjustRightInd w:val="0"/>
              <w:snapToGrid w:val="0"/>
              <w:jc w:val="both"/>
              <w:rPr>
                <w:rFonts w:eastAsiaTheme="minorEastAsia"/>
                <w:b/>
                <w:bCs/>
                <w:color w:val="000000"/>
                <w:sz w:val="20"/>
                <w:szCs w:val="20"/>
                <w:lang w:eastAsia="ja-JP"/>
              </w:rPr>
            </w:pPr>
            <w:r w:rsidRPr="00FA537A">
              <w:rPr>
                <w:rFonts w:eastAsiaTheme="minorEastAsia"/>
                <w:b/>
                <w:bCs/>
                <w:color w:val="000000"/>
                <w:sz w:val="20"/>
                <w:szCs w:val="20"/>
                <w:lang w:eastAsia="ja-JP"/>
              </w:rPr>
              <w:t>Anemia</w:t>
            </w:r>
          </w:p>
        </w:tc>
        <w:tc>
          <w:tcPr>
            <w:tcW w:w="1002" w:type="pct"/>
          </w:tcPr>
          <w:p w:rsidR="00E93B82" w:rsidRPr="00FA537A" w:rsidRDefault="00E93B82" w:rsidP="002C23A6">
            <w:pPr>
              <w:autoSpaceDE w:val="0"/>
              <w:autoSpaceDN w:val="0"/>
              <w:bidi w:val="0"/>
              <w:adjustRightInd w:val="0"/>
              <w:snapToGrid w:val="0"/>
              <w:jc w:val="both"/>
              <w:rPr>
                <w:rFonts w:eastAsiaTheme="minorEastAsia"/>
                <w:color w:val="000000"/>
                <w:sz w:val="20"/>
                <w:szCs w:val="20"/>
                <w:lang w:eastAsia="ja-JP"/>
              </w:rPr>
            </w:pPr>
            <w:r w:rsidRPr="00FA537A">
              <w:rPr>
                <w:rFonts w:eastAsiaTheme="minorEastAsia"/>
                <w:color w:val="000000"/>
                <w:sz w:val="20"/>
                <w:szCs w:val="20"/>
                <w:lang w:eastAsia="ja-JP"/>
              </w:rPr>
              <w:t>2 (9%)</w:t>
            </w:r>
          </w:p>
        </w:tc>
        <w:tc>
          <w:tcPr>
            <w:tcW w:w="1002" w:type="pct"/>
          </w:tcPr>
          <w:p w:rsidR="00E93B82" w:rsidRPr="00FA537A" w:rsidRDefault="00E93B82" w:rsidP="002C23A6">
            <w:pPr>
              <w:autoSpaceDE w:val="0"/>
              <w:autoSpaceDN w:val="0"/>
              <w:bidi w:val="0"/>
              <w:adjustRightInd w:val="0"/>
              <w:snapToGrid w:val="0"/>
              <w:jc w:val="both"/>
              <w:rPr>
                <w:rFonts w:eastAsiaTheme="minorEastAsia"/>
                <w:color w:val="000000"/>
                <w:sz w:val="20"/>
                <w:szCs w:val="20"/>
                <w:lang w:eastAsia="ja-JP"/>
              </w:rPr>
            </w:pPr>
            <w:r w:rsidRPr="00FA537A">
              <w:rPr>
                <w:rFonts w:eastAsiaTheme="minorEastAsia"/>
                <w:color w:val="000000"/>
                <w:sz w:val="20"/>
                <w:szCs w:val="20"/>
                <w:lang w:eastAsia="ja-JP"/>
              </w:rPr>
              <w:t>3 (13%)</w:t>
            </w:r>
          </w:p>
        </w:tc>
        <w:tc>
          <w:tcPr>
            <w:tcW w:w="1002" w:type="pct"/>
          </w:tcPr>
          <w:p w:rsidR="00E93B82" w:rsidRPr="00FA537A" w:rsidRDefault="00E93B82" w:rsidP="002C23A6">
            <w:pPr>
              <w:bidi w:val="0"/>
              <w:snapToGrid w:val="0"/>
              <w:jc w:val="both"/>
              <w:rPr>
                <w:rFonts w:eastAsiaTheme="minorEastAsia"/>
                <w:color w:val="000000"/>
                <w:sz w:val="20"/>
                <w:szCs w:val="20"/>
                <w:lang w:eastAsia="ja-JP"/>
              </w:rPr>
            </w:pPr>
            <w:r w:rsidRPr="00FA537A">
              <w:rPr>
                <w:rFonts w:eastAsiaTheme="minorEastAsia"/>
                <w:color w:val="000000"/>
                <w:sz w:val="20"/>
                <w:szCs w:val="20"/>
                <w:lang w:eastAsia="ja-JP"/>
              </w:rPr>
              <w:t>1 (4%)</w:t>
            </w:r>
          </w:p>
        </w:tc>
      </w:tr>
      <w:tr w:rsidR="00E93B82" w:rsidRPr="00FA537A">
        <w:trPr>
          <w:trHeight w:val="20"/>
          <w:jc w:val="center"/>
        </w:trPr>
        <w:tc>
          <w:tcPr>
            <w:tcW w:w="1995" w:type="pct"/>
          </w:tcPr>
          <w:p w:rsidR="00E93B82" w:rsidRPr="00FA537A" w:rsidRDefault="00E93B82" w:rsidP="002C23A6">
            <w:pPr>
              <w:autoSpaceDE w:val="0"/>
              <w:autoSpaceDN w:val="0"/>
              <w:bidi w:val="0"/>
              <w:adjustRightInd w:val="0"/>
              <w:snapToGrid w:val="0"/>
              <w:jc w:val="both"/>
              <w:rPr>
                <w:rFonts w:eastAsiaTheme="minorEastAsia"/>
                <w:b/>
                <w:bCs/>
                <w:color w:val="000000"/>
                <w:sz w:val="20"/>
                <w:szCs w:val="20"/>
                <w:lang w:eastAsia="ja-JP"/>
              </w:rPr>
            </w:pPr>
            <w:r w:rsidRPr="00FA537A">
              <w:rPr>
                <w:rFonts w:eastAsiaTheme="minorEastAsia"/>
                <w:b/>
                <w:bCs/>
                <w:color w:val="000000"/>
                <w:sz w:val="20"/>
                <w:szCs w:val="20"/>
                <w:lang w:eastAsia="ja-JP"/>
              </w:rPr>
              <w:t>Vomiting</w:t>
            </w:r>
          </w:p>
        </w:tc>
        <w:tc>
          <w:tcPr>
            <w:tcW w:w="1002" w:type="pct"/>
          </w:tcPr>
          <w:p w:rsidR="00E93B82" w:rsidRPr="00FA537A" w:rsidRDefault="00E93B82" w:rsidP="002C23A6">
            <w:pPr>
              <w:autoSpaceDE w:val="0"/>
              <w:autoSpaceDN w:val="0"/>
              <w:bidi w:val="0"/>
              <w:adjustRightInd w:val="0"/>
              <w:snapToGrid w:val="0"/>
              <w:jc w:val="both"/>
              <w:rPr>
                <w:rFonts w:eastAsiaTheme="minorEastAsia"/>
                <w:color w:val="000000"/>
                <w:sz w:val="20"/>
                <w:szCs w:val="20"/>
                <w:lang w:eastAsia="ja-JP"/>
              </w:rPr>
            </w:pPr>
            <w:r w:rsidRPr="00FA537A">
              <w:rPr>
                <w:rFonts w:eastAsiaTheme="minorEastAsia"/>
                <w:color w:val="000000"/>
                <w:sz w:val="20"/>
                <w:szCs w:val="20"/>
                <w:lang w:eastAsia="ja-JP"/>
              </w:rPr>
              <w:t>6 (26%)</w:t>
            </w:r>
          </w:p>
        </w:tc>
        <w:tc>
          <w:tcPr>
            <w:tcW w:w="1002" w:type="pct"/>
          </w:tcPr>
          <w:p w:rsidR="00E93B82" w:rsidRPr="00FA537A" w:rsidRDefault="00E93B82" w:rsidP="002C23A6">
            <w:pPr>
              <w:autoSpaceDE w:val="0"/>
              <w:autoSpaceDN w:val="0"/>
              <w:bidi w:val="0"/>
              <w:adjustRightInd w:val="0"/>
              <w:snapToGrid w:val="0"/>
              <w:jc w:val="both"/>
              <w:rPr>
                <w:rFonts w:eastAsiaTheme="minorEastAsia"/>
                <w:color w:val="000000"/>
                <w:sz w:val="20"/>
                <w:szCs w:val="20"/>
                <w:lang w:eastAsia="ja-JP"/>
              </w:rPr>
            </w:pPr>
            <w:r w:rsidRPr="00FA537A">
              <w:rPr>
                <w:rFonts w:eastAsiaTheme="minorEastAsia"/>
                <w:color w:val="000000"/>
                <w:sz w:val="20"/>
                <w:szCs w:val="20"/>
                <w:lang w:eastAsia="ja-JP"/>
              </w:rPr>
              <w:t>3 (13%)</w:t>
            </w:r>
          </w:p>
        </w:tc>
        <w:tc>
          <w:tcPr>
            <w:tcW w:w="1002" w:type="pct"/>
          </w:tcPr>
          <w:p w:rsidR="00E93B82" w:rsidRPr="00FA537A" w:rsidRDefault="00E93B82" w:rsidP="002C23A6">
            <w:pPr>
              <w:bidi w:val="0"/>
              <w:snapToGrid w:val="0"/>
              <w:jc w:val="both"/>
              <w:rPr>
                <w:rFonts w:eastAsiaTheme="minorEastAsia"/>
                <w:color w:val="000000"/>
                <w:sz w:val="20"/>
                <w:szCs w:val="20"/>
                <w:lang w:eastAsia="ja-JP"/>
              </w:rPr>
            </w:pPr>
            <w:r w:rsidRPr="00FA537A">
              <w:rPr>
                <w:rFonts w:eastAsiaTheme="minorEastAsia"/>
                <w:color w:val="000000"/>
                <w:sz w:val="20"/>
                <w:szCs w:val="20"/>
                <w:lang w:eastAsia="ja-JP"/>
              </w:rPr>
              <w:t>0 (0%)</w:t>
            </w:r>
          </w:p>
        </w:tc>
      </w:tr>
      <w:tr w:rsidR="00E93B82" w:rsidRPr="00FA537A">
        <w:trPr>
          <w:trHeight w:val="20"/>
          <w:jc w:val="center"/>
        </w:trPr>
        <w:tc>
          <w:tcPr>
            <w:tcW w:w="1995" w:type="pct"/>
          </w:tcPr>
          <w:p w:rsidR="00E93B82" w:rsidRPr="00FA537A" w:rsidRDefault="00E93B82" w:rsidP="002C23A6">
            <w:pPr>
              <w:autoSpaceDE w:val="0"/>
              <w:autoSpaceDN w:val="0"/>
              <w:bidi w:val="0"/>
              <w:adjustRightInd w:val="0"/>
              <w:snapToGrid w:val="0"/>
              <w:jc w:val="both"/>
              <w:rPr>
                <w:rFonts w:eastAsiaTheme="minorEastAsia"/>
                <w:b/>
                <w:bCs/>
                <w:color w:val="000000"/>
                <w:sz w:val="20"/>
                <w:szCs w:val="20"/>
                <w:lang w:eastAsia="ja-JP"/>
              </w:rPr>
            </w:pPr>
            <w:r w:rsidRPr="00FA537A">
              <w:rPr>
                <w:rFonts w:eastAsiaTheme="minorEastAsia"/>
                <w:b/>
                <w:bCs/>
                <w:color w:val="000000"/>
                <w:sz w:val="20"/>
                <w:szCs w:val="20"/>
                <w:lang w:eastAsia="ja-JP"/>
              </w:rPr>
              <w:t>Diarrhea</w:t>
            </w:r>
          </w:p>
        </w:tc>
        <w:tc>
          <w:tcPr>
            <w:tcW w:w="1002" w:type="pct"/>
          </w:tcPr>
          <w:p w:rsidR="00E93B82" w:rsidRPr="00FA537A" w:rsidRDefault="00E93B82" w:rsidP="002C23A6">
            <w:pPr>
              <w:autoSpaceDE w:val="0"/>
              <w:autoSpaceDN w:val="0"/>
              <w:bidi w:val="0"/>
              <w:adjustRightInd w:val="0"/>
              <w:snapToGrid w:val="0"/>
              <w:jc w:val="both"/>
              <w:rPr>
                <w:rFonts w:eastAsiaTheme="minorEastAsia"/>
                <w:color w:val="000000"/>
                <w:sz w:val="20"/>
                <w:szCs w:val="20"/>
                <w:lang w:eastAsia="ja-JP"/>
              </w:rPr>
            </w:pPr>
            <w:r w:rsidRPr="00FA537A">
              <w:rPr>
                <w:rFonts w:eastAsiaTheme="minorEastAsia"/>
                <w:color w:val="000000"/>
                <w:sz w:val="20"/>
                <w:szCs w:val="20"/>
                <w:lang w:eastAsia="ja-JP"/>
              </w:rPr>
              <w:t>6 (2</w:t>
            </w:r>
            <w:r w:rsidR="00125D4B" w:rsidRPr="00FA537A">
              <w:rPr>
                <w:rFonts w:eastAsiaTheme="minorEastAsia"/>
                <w:color w:val="000000"/>
                <w:sz w:val="20"/>
                <w:szCs w:val="20"/>
                <w:lang w:eastAsia="ja-JP"/>
              </w:rPr>
              <w:t>6</w:t>
            </w:r>
            <w:r w:rsidRPr="00FA537A">
              <w:rPr>
                <w:rFonts w:eastAsiaTheme="minorEastAsia"/>
                <w:color w:val="000000"/>
                <w:sz w:val="20"/>
                <w:szCs w:val="20"/>
                <w:lang w:eastAsia="ja-JP"/>
              </w:rPr>
              <w:t>%)</w:t>
            </w:r>
          </w:p>
        </w:tc>
        <w:tc>
          <w:tcPr>
            <w:tcW w:w="1002" w:type="pct"/>
          </w:tcPr>
          <w:p w:rsidR="00E93B82" w:rsidRPr="00FA537A" w:rsidRDefault="00E93B82" w:rsidP="002C23A6">
            <w:pPr>
              <w:autoSpaceDE w:val="0"/>
              <w:autoSpaceDN w:val="0"/>
              <w:bidi w:val="0"/>
              <w:adjustRightInd w:val="0"/>
              <w:snapToGrid w:val="0"/>
              <w:jc w:val="both"/>
              <w:rPr>
                <w:rFonts w:eastAsiaTheme="minorEastAsia"/>
                <w:color w:val="000000"/>
                <w:sz w:val="20"/>
                <w:szCs w:val="20"/>
                <w:lang w:eastAsia="ja-JP"/>
              </w:rPr>
            </w:pPr>
            <w:r w:rsidRPr="00FA537A">
              <w:rPr>
                <w:rFonts w:eastAsiaTheme="minorEastAsia"/>
                <w:color w:val="000000"/>
                <w:sz w:val="20"/>
                <w:szCs w:val="20"/>
                <w:lang w:eastAsia="ja-JP"/>
              </w:rPr>
              <w:t>2 (9%)</w:t>
            </w:r>
          </w:p>
        </w:tc>
        <w:tc>
          <w:tcPr>
            <w:tcW w:w="1002" w:type="pct"/>
          </w:tcPr>
          <w:p w:rsidR="00E93B82" w:rsidRPr="00FA537A" w:rsidRDefault="00E93B82" w:rsidP="002C23A6">
            <w:pPr>
              <w:bidi w:val="0"/>
              <w:snapToGrid w:val="0"/>
              <w:jc w:val="both"/>
              <w:rPr>
                <w:rFonts w:eastAsiaTheme="minorEastAsia"/>
                <w:color w:val="000000"/>
                <w:sz w:val="20"/>
                <w:szCs w:val="20"/>
                <w:lang w:eastAsia="ja-JP"/>
              </w:rPr>
            </w:pPr>
            <w:r w:rsidRPr="00FA537A">
              <w:rPr>
                <w:rFonts w:eastAsiaTheme="minorEastAsia"/>
                <w:color w:val="000000"/>
                <w:sz w:val="20"/>
                <w:szCs w:val="20"/>
                <w:lang w:eastAsia="ja-JP"/>
              </w:rPr>
              <w:t>0 (0%)</w:t>
            </w:r>
          </w:p>
        </w:tc>
      </w:tr>
      <w:tr w:rsidR="00E93B82" w:rsidRPr="00FA537A">
        <w:trPr>
          <w:trHeight w:val="20"/>
          <w:jc w:val="center"/>
        </w:trPr>
        <w:tc>
          <w:tcPr>
            <w:tcW w:w="1995" w:type="pct"/>
          </w:tcPr>
          <w:p w:rsidR="00E93B82" w:rsidRPr="00FA537A" w:rsidRDefault="00E93B82" w:rsidP="002C23A6">
            <w:pPr>
              <w:autoSpaceDE w:val="0"/>
              <w:autoSpaceDN w:val="0"/>
              <w:bidi w:val="0"/>
              <w:adjustRightInd w:val="0"/>
              <w:snapToGrid w:val="0"/>
              <w:jc w:val="both"/>
              <w:rPr>
                <w:rFonts w:eastAsiaTheme="minorEastAsia"/>
                <w:b/>
                <w:bCs/>
                <w:color w:val="000000"/>
                <w:sz w:val="20"/>
                <w:szCs w:val="20"/>
                <w:lang w:eastAsia="ja-JP"/>
              </w:rPr>
            </w:pPr>
            <w:proofErr w:type="spellStart"/>
            <w:r w:rsidRPr="00FA537A">
              <w:rPr>
                <w:rFonts w:eastAsiaTheme="minorEastAsia"/>
                <w:b/>
                <w:bCs/>
                <w:color w:val="000000"/>
                <w:sz w:val="20"/>
                <w:szCs w:val="20"/>
              </w:rPr>
              <w:t>Proctitis</w:t>
            </w:r>
            <w:proofErr w:type="spellEnd"/>
          </w:p>
        </w:tc>
        <w:tc>
          <w:tcPr>
            <w:tcW w:w="1002" w:type="pct"/>
          </w:tcPr>
          <w:p w:rsidR="00E93B82" w:rsidRPr="00FA537A" w:rsidRDefault="00E93B82" w:rsidP="002C23A6">
            <w:pPr>
              <w:autoSpaceDE w:val="0"/>
              <w:autoSpaceDN w:val="0"/>
              <w:bidi w:val="0"/>
              <w:adjustRightInd w:val="0"/>
              <w:snapToGrid w:val="0"/>
              <w:jc w:val="both"/>
              <w:rPr>
                <w:rFonts w:eastAsiaTheme="minorEastAsia"/>
                <w:color w:val="000000"/>
                <w:sz w:val="20"/>
                <w:szCs w:val="20"/>
                <w:lang w:eastAsia="ja-JP"/>
              </w:rPr>
            </w:pPr>
            <w:r w:rsidRPr="00FA537A">
              <w:rPr>
                <w:rFonts w:eastAsiaTheme="minorEastAsia"/>
                <w:color w:val="000000"/>
                <w:sz w:val="20"/>
                <w:szCs w:val="20"/>
                <w:lang w:eastAsia="ja-JP"/>
              </w:rPr>
              <w:t>5 (2</w:t>
            </w:r>
            <w:r w:rsidR="00125D4B" w:rsidRPr="00FA537A">
              <w:rPr>
                <w:rFonts w:eastAsiaTheme="minorEastAsia"/>
                <w:color w:val="000000"/>
                <w:sz w:val="20"/>
                <w:szCs w:val="20"/>
                <w:lang w:eastAsia="ja-JP"/>
              </w:rPr>
              <w:t>2</w:t>
            </w:r>
            <w:r w:rsidRPr="00FA537A">
              <w:rPr>
                <w:rFonts w:eastAsiaTheme="minorEastAsia"/>
                <w:color w:val="000000"/>
                <w:sz w:val="20"/>
                <w:szCs w:val="20"/>
                <w:lang w:eastAsia="ja-JP"/>
              </w:rPr>
              <w:t>%)</w:t>
            </w:r>
          </w:p>
        </w:tc>
        <w:tc>
          <w:tcPr>
            <w:tcW w:w="1002" w:type="pct"/>
          </w:tcPr>
          <w:p w:rsidR="00E93B82" w:rsidRPr="00FA537A" w:rsidRDefault="00E93B82" w:rsidP="002C23A6">
            <w:pPr>
              <w:autoSpaceDE w:val="0"/>
              <w:autoSpaceDN w:val="0"/>
              <w:bidi w:val="0"/>
              <w:adjustRightInd w:val="0"/>
              <w:snapToGrid w:val="0"/>
              <w:jc w:val="both"/>
              <w:rPr>
                <w:rFonts w:eastAsiaTheme="minorEastAsia"/>
                <w:color w:val="000000"/>
                <w:sz w:val="20"/>
                <w:szCs w:val="20"/>
                <w:lang w:eastAsia="ja-JP"/>
              </w:rPr>
            </w:pPr>
            <w:r w:rsidRPr="00FA537A">
              <w:rPr>
                <w:rFonts w:eastAsiaTheme="minorEastAsia"/>
                <w:color w:val="000000"/>
                <w:sz w:val="20"/>
                <w:szCs w:val="20"/>
                <w:lang w:eastAsia="ja-JP"/>
              </w:rPr>
              <w:t>2 (9%)</w:t>
            </w:r>
          </w:p>
        </w:tc>
        <w:tc>
          <w:tcPr>
            <w:tcW w:w="1002" w:type="pct"/>
          </w:tcPr>
          <w:p w:rsidR="00E93B82" w:rsidRPr="00FA537A" w:rsidRDefault="00E93B82" w:rsidP="002C23A6">
            <w:pPr>
              <w:bidi w:val="0"/>
              <w:snapToGrid w:val="0"/>
              <w:jc w:val="both"/>
              <w:rPr>
                <w:rFonts w:eastAsiaTheme="minorEastAsia"/>
                <w:color w:val="000000"/>
                <w:sz w:val="20"/>
                <w:szCs w:val="20"/>
                <w:lang w:eastAsia="ja-JP"/>
              </w:rPr>
            </w:pPr>
            <w:r w:rsidRPr="00FA537A">
              <w:rPr>
                <w:rFonts w:eastAsiaTheme="minorEastAsia"/>
                <w:color w:val="000000"/>
                <w:sz w:val="20"/>
                <w:szCs w:val="20"/>
                <w:lang w:eastAsia="ja-JP"/>
              </w:rPr>
              <w:t>0 (0%)</w:t>
            </w:r>
          </w:p>
        </w:tc>
      </w:tr>
      <w:tr w:rsidR="00E93B82" w:rsidRPr="00FA537A">
        <w:trPr>
          <w:trHeight w:val="20"/>
          <w:jc w:val="center"/>
        </w:trPr>
        <w:tc>
          <w:tcPr>
            <w:tcW w:w="1995" w:type="pct"/>
          </w:tcPr>
          <w:p w:rsidR="00E93B82" w:rsidRPr="00FA537A" w:rsidRDefault="00E93B82" w:rsidP="002C23A6">
            <w:pPr>
              <w:bidi w:val="0"/>
              <w:snapToGrid w:val="0"/>
              <w:jc w:val="both"/>
              <w:rPr>
                <w:rFonts w:eastAsiaTheme="minorEastAsia"/>
                <w:b/>
                <w:bCs/>
                <w:color w:val="000000"/>
                <w:sz w:val="20"/>
                <w:szCs w:val="20"/>
              </w:rPr>
            </w:pPr>
            <w:proofErr w:type="spellStart"/>
            <w:r w:rsidRPr="00FA537A">
              <w:rPr>
                <w:rFonts w:eastAsiaTheme="minorEastAsia"/>
                <w:b/>
                <w:bCs/>
                <w:color w:val="000000"/>
                <w:sz w:val="20"/>
                <w:szCs w:val="20"/>
              </w:rPr>
              <w:t>Dysuria</w:t>
            </w:r>
            <w:proofErr w:type="spellEnd"/>
          </w:p>
        </w:tc>
        <w:tc>
          <w:tcPr>
            <w:tcW w:w="1002" w:type="pct"/>
          </w:tcPr>
          <w:p w:rsidR="00E93B82" w:rsidRPr="00FA537A" w:rsidRDefault="00E93B82" w:rsidP="002C23A6">
            <w:pPr>
              <w:autoSpaceDE w:val="0"/>
              <w:autoSpaceDN w:val="0"/>
              <w:bidi w:val="0"/>
              <w:adjustRightInd w:val="0"/>
              <w:snapToGrid w:val="0"/>
              <w:jc w:val="both"/>
              <w:rPr>
                <w:rFonts w:eastAsiaTheme="minorEastAsia"/>
                <w:color w:val="000000"/>
                <w:sz w:val="20"/>
                <w:szCs w:val="20"/>
                <w:lang w:eastAsia="ja-JP"/>
              </w:rPr>
            </w:pPr>
            <w:r w:rsidRPr="00FA537A">
              <w:rPr>
                <w:rFonts w:eastAsiaTheme="minorEastAsia"/>
                <w:color w:val="000000"/>
                <w:sz w:val="20"/>
                <w:szCs w:val="20"/>
                <w:lang w:eastAsia="ja-JP"/>
              </w:rPr>
              <w:t>5 (22%)</w:t>
            </w:r>
          </w:p>
        </w:tc>
        <w:tc>
          <w:tcPr>
            <w:tcW w:w="1002" w:type="pct"/>
          </w:tcPr>
          <w:p w:rsidR="00E93B82" w:rsidRPr="00FA537A" w:rsidRDefault="00E93B82" w:rsidP="002C23A6">
            <w:pPr>
              <w:autoSpaceDE w:val="0"/>
              <w:autoSpaceDN w:val="0"/>
              <w:bidi w:val="0"/>
              <w:adjustRightInd w:val="0"/>
              <w:snapToGrid w:val="0"/>
              <w:jc w:val="both"/>
              <w:rPr>
                <w:rFonts w:eastAsiaTheme="minorEastAsia"/>
                <w:color w:val="000000"/>
                <w:sz w:val="20"/>
                <w:szCs w:val="20"/>
                <w:lang w:eastAsia="ja-JP"/>
              </w:rPr>
            </w:pPr>
            <w:r w:rsidRPr="00FA537A">
              <w:rPr>
                <w:rFonts w:eastAsiaTheme="minorEastAsia"/>
                <w:color w:val="000000"/>
                <w:sz w:val="20"/>
                <w:szCs w:val="20"/>
                <w:lang w:eastAsia="ja-JP"/>
              </w:rPr>
              <w:t>9 (39%)</w:t>
            </w:r>
          </w:p>
        </w:tc>
        <w:tc>
          <w:tcPr>
            <w:tcW w:w="1002" w:type="pct"/>
          </w:tcPr>
          <w:p w:rsidR="00E93B82" w:rsidRPr="00FA537A" w:rsidRDefault="00E93B82" w:rsidP="002C23A6">
            <w:pPr>
              <w:bidi w:val="0"/>
              <w:snapToGrid w:val="0"/>
              <w:jc w:val="both"/>
              <w:rPr>
                <w:rFonts w:eastAsiaTheme="minorEastAsia"/>
                <w:color w:val="000000"/>
                <w:sz w:val="20"/>
                <w:szCs w:val="20"/>
                <w:lang w:eastAsia="ja-JP"/>
              </w:rPr>
            </w:pPr>
            <w:r w:rsidRPr="00FA537A">
              <w:rPr>
                <w:rFonts w:eastAsiaTheme="minorEastAsia"/>
                <w:color w:val="000000"/>
                <w:sz w:val="20"/>
                <w:szCs w:val="20"/>
                <w:lang w:eastAsia="ja-JP"/>
              </w:rPr>
              <w:t>1 (4%)</w:t>
            </w:r>
          </w:p>
        </w:tc>
      </w:tr>
      <w:tr w:rsidR="00E93B82" w:rsidRPr="00FA537A">
        <w:trPr>
          <w:trHeight w:val="20"/>
          <w:jc w:val="center"/>
        </w:trPr>
        <w:tc>
          <w:tcPr>
            <w:tcW w:w="1995" w:type="pct"/>
          </w:tcPr>
          <w:p w:rsidR="00E93B82" w:rsidRPr="00FA537A" w:rsidRDefault="00E93B82" w:rsidP="002C23A6">
            <w:pPr>
              <w:autoSpaceDE w:val="0"/>
              <w:autoSpaceDN w:val="0"/>
              <w:bidi w:val="0"/>
              <w:adjustRightInd w:val="0"/>
              <w:snapToGrid w:val="0"/>
              <w:jc w:val="both"/>
              <w:rPr>
                <w:rFonts w:eastAsiaTheme="minorEastAsia"/>
                <w:b/>
                <w:bCs/>
                <w:color w:val="000000"/>
                <w:sz w:val="20"/>
                <w:szCs w:val="20"/>
                <w:lang w:eastAsia="ja-JP"/>
              </w:rPr>
            </w:pPr>
            <w:r w:rsidRPr="00FA537A">
              <w:rPr>
                <w:rFonts w:eastAsiaTheme="minorEastAsia"/>
                <w:b/>
                <w:bCs/>
                <w:color w:val="000000"/>
                <w:sz w:val="20"/>
                <w:szCs w:val="20"/>
              </w:rPr>
              <w:t>Frequency/ Urgency</w:t>
            </w:r>
          </w:p>
        </w:tc>
        <w:tc>
          <w:tcPr>
            <w:tcW w:w="1002" w:type="pct"/>
          </w:tcPr>
          <w:p w:rsidR="00E93B82" w:rsidRPr="00FA537A" w:rsidRDefault="00E93B82" w:rsidP="002C23A6">
            <w:pPr>
              <w:autoSpaceDE w:val="0"/>
              <w:autoSpaceDN w:val="0"/>
              <w:bidi w:val="0"/>
              <w:adjustRightInd w:val="0"/>
              <w:snapToGrid w:val="0"/>
              <w:jc w:val="both"/>
              <w:rPr>
                <w:rFonts w:eastAsiaTheme="minorEastAsia"/>
                <w:color w:val="000000"/>
                <w:sz w:val="20"/>
                <w:szCs w:val="20"/>
                <w:lang w:eastAsia="ja-JP"/>
              </w:rPr>
            </w:pPr>
            <w:r w:rsidRPr="00FA537A">
              <w:rPr>
                <w:rFonts w:eastAsiaTheme="minorEastAsia"/>
                <w:color w:val="000000"/>
                <w:sz w:val="20"/>
                <w:szCs w:val="20"/>
                <w:lang w:eastAsia="ja-JP"/>
              </w:rPr>
              <w:t>3 (13%)</w:t>
            </w:r>
          </w:p>
        </w:tc>
        <w:tc>
          <w:tcPr>
            <w:tcW w:w="1002" w:type="pct"/>
          </w:tcPr>
          <w:p w:rsidR="00E93B82" w:rsidRPr="00FA537A" w:rsidRDefault="00E93B82" w:rsidP="002C23A6">
            <w:pPr>
              <w:autoSpaceDE w:val="0"/>
              <w:autoSpaceDN w:val="0"/>
              <w:bidi w:val="0"/>
              <w:adjustRightInd w:val="0"/>
              <w:snapToGrid w:val="0"/>
              <w:jc w:val="both"/>
              <w:rPr>
                <w:rFonts w:eastAsiaTheme="minorEastAsia"/>
                <w:color w:val="000000"/>
                <w:sz w:val="20"/>
                <w:szCs w:val="20"/>
                <w:lang w:eastAsia="ja-JP"/>
              </w:rPr>
            </w:pPr>
            <w:r w:rsidRPr="00FA537A">
              <w:rPr>
                <w:rFonts w:eastAsiaTheme="minorEastAsia"/>
                <w:color w:val="000000"/>
                <w:sz w:val="20"/>
                <w:szCs w:val="20"/>
                <w:lang w:eastAsia="ja-JP"/>
              </w:rPr>
              <w:t>4 (17%)</w:t>
            </w:r>
          </w:p>
        </w:tc>
        <w:tc>
          <w:tcPr>
            <w:tcW w:w="1002" w:type="pct"/>
          </w:tcPr>
          <w:p w:rsidR="00E93B82" w:rsidRPr="00FA537A" w:rsidRDefault="00E93B82" w:rsidP="002C23A6">
            <w:pPr>
              <w:bidi w:val="0"/>
              <w:snapToGrid w:val="0"/>
              <w:jc w:val="both"/>
              <w:rPr>
                <w:rFonts w:eastAsiaTheme="minorEastAsia"/>
                <w:color w:val="000000"/>
                <w:sz w:val="20"/>
                <w:szCs w:val="20"/>
                <w:lang w:eastAsia="ja-JP"/>
              </w:rPr>
            </w:pPr>
            <w:r w:rsidRPr="00FA537A">
              <w:rPr>
                <w:rFonts w:eastAsiaTheme="minorEastAsia"/>
                <w:color w:val="000000"/>
                <w:sz w:val="20"/>
                <w:szCs w:val="20"/>
                <w:lang w:eastAsia="ja-JP"/>
              </w:rPr>
              <w:t>1 (4%)</w:t>
            </w:r>
          </w:p>
        </w:tc>
      </w:tr>
    </w:tbl>
    <w:p w:rsidR="009D515E" w:rsidRDefault="009D515E" w:rsidP="002C23A6">
      <w:pPr>
        <w:bidi w:val="0"/>
        <w:snapToGrid w:val="0"/>
        <w:jc w:val="both"/>
        <w:rPr>
          <w:rFonts w:hint="eastAsia"/>
          <w:sz w:val="20"/>
          <w:szCs w:val="20"/>
          <w:lang w:eastAsia="zh-CN"/>
        </w:rPr>
      </w:pPr>
    </w:p>
    <w:p w:rsidR="00FA537A" w:rsidRDefault="00FA537A" w:rsidP="00FA537A">
      <w:pPr>
        <w:bidi w:val="0"/>
        <w:snapToGrid w:val="0"/>
        <w:jc w:val="both"/>
        <w:rPr>
          <w:rFonts w:hint="eastAsia"/>
          <w:sz w:val="20"/>
          <w:szCs w:val="20"/>
          <w:lang w:eastAsia="zh-CN"/>
        </w:rPr>
      </w:pPr>
    </w:p>
    <w:p w:rsidR="00FA537A" w:rsidRPr="00FA537A" w:rsidRDefault="00FA537A" w:rsidP="00FA537A">
      <w:pPr>
        <w:bidi w:val="0"/>
        <w:snapToGrid w:val="0"/>
        <w:jc w:val="both"/>
        <w:rPr>
          <w:rFonts w:hint="eastAsia"/>
          <w:sz w:val="20"/>
          <w:szCs w:val="20"/>
          <w:lang w:eastAsia="zh-CN"/>
        </w:rPr>
      </w:pPr>
    </w:p>
    <w:p w:rsidR="002C23A6" w:rsidRPr="00FA537A" w:rsidRDefault="002C23A6" w:rsidP="002C23A6">
      <w:pPr>
        <w:pStyle w:val="Heading2"/>
        <w:keepNext w:val="0"/>
        <w:bidi w:val="0"/>
        <w:snapToGrid w:val="0"/>
        <w:spacing w:before="0" w:after="0"/>
        <w:jc w:val="both"/>
        <w:rPr>
          <w:rFonts w:ascii="Times New Roman" w:hAnsi="Times New Roman" w:cs="Times New Roman"/>
          <w:i w:val="0"/>
          <w:iCs w:val="0"/>
          <w:sz w:val="20"/>
          <w:szCs w:val="20"/>
        </w:rPr>
        <w:sectPr w:rsidR="002C23A6" w:rsidRPr="00FA537A" w:rsidSect="00050326">
          <w:type w:val="continuous"/>
          <w:pgSz w:w="12242" w:h="15842" w:code="1"/>
          <w:pgMar w:top="1440" w:right="1440" w:bottom="1440" w:left="1440" w:header="720" w:footer="720" w:gutter="0"/>
          <w:cols w:space="720"/>
          <w:bidi/>
          <w:docGrid w:linePitch="360"/>
        </w:sectPr>
      </w:pPr>
    </w:p>
    <w:p w:rsidR="00E2692A" w:rsidRPr="00FA537A" w:rsidRDefault="00245368" w:rsidP="002C23A6">
      <w:pPr>
        <w:pStyle w:val="Heading2"/>
        <w:keepNext w:val="0"/>
        <w:bidi w:val="0"/>
        <w:snapToGrid w:val="0"/>
        <w:spacing w:before="0" w:after="0"/>
        <w:jc w:val="both"/>
        <w:rPr>
          <w:rFonts w:ascii="Times New Roman" w:hAnsi="Times New Roman" w:cs="Times New Roman"/>
          <w:i w:val="0"/>
          <w:iCs w:val="0"/>
          <w:sz w:val="20"/>
          <w:szCs w:val="20"/>
        </w:rPr>
      </w:pPr>
      <w:r w:rsidRPr="00FA537A">
        <w:rPr>
          <w:rFonts w:ascii="Times New Roman" w:hAnsi="Times New Roman" w:cs="Times New Roman"/>
          <w:i w:val="0"/>
          <w:iCs w:val="0"/>
          <w:sz w:val="20"/>
          <w:szCs w:val="20"/>
        </w:rPr>
        <w:lastRenderedPageBreak/>
        <w:t xml:space="preserve">4. </w:t>
      </w:r>
      <w:r w:rsidR="00E2692A" w:rsidRPr="00FA537A">
        <w:rPr>
          <w:rFonts w:ascii="Times New Roman" w:hAnsi="Times New Roman" w:cs="Times New Roman"/>
          <w:i w:val="0"/>
          <w:iCs w:val="0"/>
          <w:sz w:val="20"/>
          <w:szCs w:val="20"/>
        </w:rPr>
        <w:t>Discussion:</w:t>
      </w:r>
    </w:p>
    <w:p w:rsidR="00524E35" w:rsidRPr="00FA537A" w:rsidRDefault="00E2692A" w:rsidP="002C23A6">
      <w:pPr>
        <w:pStyle w:val="Heading3"/>
        <w:snapToGrid w:val="0"/>
        <w:spacing w:before="0" w:beforeAutospacing="0" w:after="0" w:afterAutospacing="0"/>
        <w:ind w:firstLine="425"/>
        <w:jc w:val="both"/>
        <w:rPr>
          <w:b w:val="0"/>
          <w:bCs w:val="0"/>
          <w:sz w:val="20"/>
          <w:szCs w:val="20"/>
        </w:rPr>
      </w:pPr>
      <w:r w:rsidRPr="00FA537A">
        <w:rPr>
          <w:b w:val="0"/>
          <w:bCs w:val="0"/>
          <w:sz w:val="20"/>
          <w:szCs w:val="20"/>
        </w:rPr>
        <w:t xml:space="preserve">Bladder preservation appears to be a viable alternative to radical </w:t>
      </w:r>
      <w:proofErr w:type="spellStart"/>
      <w:r w:rsidRPr="00FA537A">
        <w:rPr>
          <w:b w:val="0"/>
          <w:bCs w:val="0"/>
          <w:sz w:val="20"/>
          <w:szCs w:val="20"/>
        </w:rPr>
        <w:t>cystectomy</w:t>
      </w:r>
      <w:proofErr w:type="spellEnd"/>
      <w:r w:rsidRPr="00FA537A">
        <w:rPr>
          <w:b w:val="0"/>
          <w:bCs w:val="0"/>
          <w:sz w:val="20"/>
          <w:szCs w:val="20"/>
        </w:rPr>
        <w:t xml:space="preserve"> in patients who may be poor surgical candidates or in those who may opt not to undergo radical </w:t>
      </w:r>
      <w:proofErr w:type="spellStart"/>
      <w:r w:rsidRPr="00FA537A">
        <w:rPr>
          <w:b w:val="0"/>
          <w:bCs w:val="0"/>
          <w:sz w:val="20"/>
          <w:szCs w:val="20"/>
        </w:rPr>
        <w:t>cystectomy</w:t>
      </w:r>
      <w:proofErr w:type="spellEnd"/>
      <w:r w:rsidR="00524E35" w:rsidRPr="00FA537A">
        <w:rPr>
          <w:b w:val="0"/>
          <w:bCs w:val="0"/>
          <w:sz w:val="20"/>
          <w:szCs w:val="20"/>
        </w:rPr>
        <w:t xml:space="preserve"> </w:t>
      </w:r>
      <w:r w:rsidR="00524E35" w:rsidRPr="00FA537A">
        <w:rPr>
          <w:b w:val="0"/>
          <w:bCs w:val="0"/>
          <w:sz w:val="20"/>
          <w:szCs w:val="20"/>
          <w:vertAlign w:val="superscript"/>
        </w:rPr>
        <w:t>(1</w:t>
      </w:r>
      <w:r w:rsidR="00E5122A" w:rsidRPr="00FA537A">
        <w:rPr>
          <w:b w:val="0"/>
          <w:bCs w:val="0"/>
          <w:sz w:val="20"/>
          <w:szCs w:val="20"/>
          <w:vertAlign w:val="superscript"/>
        </w:rPr>
        <w:t>5</w:t>
      </w:r>
      <w:r w:rsidR="00524E35" w:rsidRPr="00FA537A">
        <w:rPr>
          <w:b w:val="0"/>
          <w:bCs w:val="0"/>
          <w:sz w:val="20"/>
          <w:szCs w:val="20"/>
          <w:vertAlign w:val="superscript"/>
        </w:rPr>
        <w:t>)</w:t>
      </w:r>
      <w:r w:rsidR="00A552EA" w:rsidRPr="00FA537A">
        <w:rPr>
          <w:b w:val="0"/>
          <w:bCs w:val="0"/>
          <w:sz w:val="20"/>
          <w:szCs w:val="20"/>
        </w:rPr>
        <w:t>.</w:t>
      </w:r>
    </w:p>
    <w:p w:rsidR="007E1453" w:rsidRPr="00FA537A" w:rsidRDefault="007E1453" w:rsidP="002C23A6">
      <w:pPr>
        <w:pStyle w:val="Heading3"/>
        <w:snapToGrid w:val="0"/>
        <w:spacing w:before="0" w:beforeAutospacing="0" w:after="0" w:afterAutospacing="0"/>
        <w:ind w:firstLine="425"/>
        <w:jc w:val="both"/>
        <w:rPr>
          <w:b w:val="0"/>
          <w:bCs w:val="0"/>
          <w:sz w:val="20"/>
          <w:szCs w:val="20"/>
        </w:rPr>
      </w:pPr>
      <w:r w:rsidRPr="00FA537A">
        <w:rPr>
          <w:b w:val="0"/>
          <w:bCs w:val="0"/>
          <w:sz w:val="20"/>
          <w:szCs w:val="20"/>
        </w:rPr>
        <w:t xml:space="preserve">The </w:t>
      </w:r>
      <w:r w:rsidR="00C14863" w:rsidRPr="00FA537A">
        <w:rPr>
          <w:b w:val="0"/>
          <w:bCs w:val="0"/>
          <w:sz w:val="20"/>
          <w:szCs w:val="20"/>
        </w:rPr>
        <w:t xml:space="preserve">complete </w:t>
      </w:r>
      <w:r w:rsidRPr="00FA537A">
        <w:rPr>
          <w:b w:val="0"/>
          <w:bCs w:val="0"/>
          <w:sz w:val="20"/>
          <w:szCs w:val="20"/>
        </w:rPr>
        <w:t>response</w:t>
      </w:r>
      <w:r w:rsidR="00C14863" w:rsidRPr="00FA537A">
        <w:rPr>
          <w:b w:val="0"/>
          <w:bCs w:val="0"/>
          <w:sz w:val="20"/>
          <w:szCs w:val="20"/>
        </w:rPr>
        <w:t xml:space="preserve"> rate</w:t>
      </w:r>
      <w:r w:rsidRPr="00FA537A">
        <w:rPr>
          <w:b w:val="0"/>
          <w:bCs w:val="0"/>
          <w:sz w:val="20"/>
          <w:szCs w:val="20"/>
        </w:rPr>
        <w:t xml:space="preserve"> in our study </w:t>
      </w:r>
      <w:r w:rsidR="003E78AA" w:rsidRPr="00FA537A">
        <w:rPr>
          <w:b w:val="0"/>
          <w:bCs w:val="0"/>
          <w:sz w:val="20"/>
          <w:szCs w:val="20"/>
        </w:rPr>
        <w:t>wa</w:t>
      </w:r>
      <w:r w:rsidRPr="00FA537A">
        <w:rPr>
          <w:b w:val="0"/>
          <w:bCs w:val="0"/>
          <w:sz w:val="20"/>
          <w:szCs w:val="20"/>
        </w:rPr>
        <w:t>s</w:t>
      </w:r>
      <w:r w:rsidR="003E78AA" w:rsidRPr="00FA537A">
        <w:rPr>
          <w:b w:val="0"/>
          <w:bCs w:val="0"/>
          <w:sz w:val="20"/>
          <w:szCs w:val="20"/>
        </w:rPr>
        <w:t xml:space="preserve"> slightly</w:t>
      </w:r>
      <w:r w:rsidRPr="00FA537A">
        <w:rPr>
          <w:b w:val="0"/>
          <w:bCs w:val="0"/>
          <w:sz w:val="20"/>
          <w:szCs w:val="20"/>
        </w:rPr>
        <w:t xml:space="preserve"> </w:t>
      </w:r>
      <w:r w:rsidR="003E78AA" w:rsidRPr="00FA537A">
        <w:rPr>
          <w:b w:val="0"/>
          <w:bCs w:val="0"/>
          <w:sz w:val="20"/>
          <w:szCs w:val="20"/>
        </w:rPr>
        <w:t>higher than</w:t>
      </w:r>
      <w:r w:rsidRPr="00FA537A">
        <w:rPr>
          <w:b w:val="0"/>
          <w:bCs w:val="0"/>
          <w:sz w:val="20"/>
          <w:szCs w:val="20"/>
        </w:rPr>
        <w:t xml:space="preserve"> </w:t>
      </w:r>
      <w:r w:rsidR="003E78AA" w:rsidRPr="00FA537A">
        <w:rPr>
          <w:b w:val="0"/>
          <w:bCs w:val="0"/>
          <w:sz w:val="20"/>
          <w:szCs w:val="20"/>
        </w:rPr>
        <w:t xml:space="preserve">that </w:t>
      </w:r>
      <w:r w:rsidRPr="00FA537A">
        <w:rPr>
          <w:b w:val="0"/>
          <w:bCs w:val="0"/>
          <w:sz w:val="20"/>
          <w:szCs w:val="20"/>
        </w:rPr>
        <w:t xml:space="preserve">reported by </w:t>
      </w:r>
      <w:proofErr w:type="spellStart"/>
      <w:r w:rsidR="003E78AA" w:rsidRPr="00FA537A">
        <w:rPr>
          <w:b w:val="0"/>
          <w:bCs w:val="0"/>
          <w:sz w:val="20"/>
          <w:szCs w:val="20"/>
        </w:rPr>
        <w:t>Aboziada</w:t>
      </w:r>
      <w:proofErr w:type="spellEnd"/>
      <w:r w:rsidR="003E78AA" w:rsidRPr="00FA537A">
        <w:rPr>
          <w:b w:val="0"/>
          <w:bCs w:val="0"/>
          <w:sz w:val="20"/>
          <w:szCs w:val="20"/>
        </w:rPr>
        <w:t xml:space="preserve"> </w:t>
      </w:r>
      <w:r w:rsidR="003E78AA" w:rsidRPr="00FA537A">
        <w:rPr>
          <w:b w:val="0"/>
          <w:bCs w:val="0"/>
          <w:sz w:val="20"/>
          <w:szCs w:val="20"/>
          <w:vertAlign w:val="superscript"/>
        </w:rPr>
        <w:t>(1</w:t>
      </w:r>
      <w:r w:rsidR="00E5122A" w:rsidRPr="00FA537A">
        <w:rPr>
          <w:b w:val="0"/>
          <w:bCs w:val="0"/>
          <w:sz w:val="20"/>
          <w:szCs w:val="20"/>
          <w:vertAlign w:val="superscript"/>
        </w:rPr>
        <w:t>6</w:t>
      </w:r>
      <w:r w:rsidR="000B7DC4" w:rsidRPr="00FA537A">
        <w:rPr>
          <w:b w:val="0"/>
          <w:bCs w:val="0"/>
          <w:sz w:val="20"/>
          <w:szCs w:val="20"/>
          <w:vertAlign w:val="superscript"/>
        </w:rPr>
        <w:t>)</w:t>
      </w:r>
      <w:r w:rsidR="000B7DC4" w:rsidRPr="00FA537A">
        <w:rPr>
          <w:b w:val="0"/>
          <w:bCs w:val="0"/>
          <w:sz w:val="20"/>
          <w:szCs w:val="20"/>
        </w:rPr>
        <w:t xml:space="preserve"> who</w:t>
      </w:r>
      <w:r w:rsidRPr="00FA537A">
        <w:rPr>
          <w:b w:val="0"/>
          <w:bCs w:val="0"/>
          <w:sz w:val="20"/>
          <w:szCs w:val="20"/>
        </w:rPr>
        <w:t xml:space="preserve"> reported a response rate of </w:t>
      </w:r>
      <w:r w:rsidR="003E78AA" w:rsidRPr="00FA537A">
        <w:rPr>
          <w:b w:val="0"/>
          <w:bCs w:val="0"/>
          <w:sz w:val="20"/>
          <w:szCs w:val="20"/>
        </w:rPr>
        <w:t>6</w:t>
      </w:r>
      <w:r w:rsidRPr="00FA537A">
        <w:rPr>
          <w:b w:val="0"/>
          <w:bCs w:val="0"/>
          <w:sz w:val="20"/>
          <w:szCs w:val="20"/>
        </w:rPr>
        <w:t xml:space="preserve">0% </w:t>
      </w:r>
      <w:r w:rsidR="003E78AA" w:rsidRPr="00FA537A">
        <w:rPr>
          <w:b w:val="0"/>
          <w:bCs w:val="0"/>
          <w:sz w:val="20"/>
          <w:szCs w:val="20"/>
        </w:rPr>
        <w:t xml:space="preserve">with concurrent </w:t>
      </w:r>
      <w:proofErr w:type="spellStart"/>
      <w:r w:rsidR="003E78AA" w:rsidRPr="00FA537A">
        <w:rPr>
          <w:b w:val="0"/>
          <w:bCs w:val="0"/>
          <w:sz w:val="20"/>
          <w:szCs w:val="20"/>
        </w:rPr>
        <w:lastRenderedPageBreak/>
        <w:t>chemoradiotherapy</w:t>
      </w:r>
      <w:proofErr w:type="spellEnd"/>
      <w:r w:rsidR="003E78AA" w:rsidRPr="00FA537A">
        <w:rPr>
          <w:b w:val="0"/>
          <w:bCs w:val="0"/>
          <w:sz w:val="20"/>
          <w:szCs w:val="20"/>
        </w:rPr>
        <w:t xml:space="preserve"> with </w:t>
      </w:r>
      <w:r w:rsidR="00C14863" w:rsidRPr="00FA537A">
        <w:rPr>
          <w:b w:val="0"/>
          <w:bCs w:val="0"/>
          <w:sz w:val="20"/>
          <w:szCs w:val="20"/>
        </w:rPr>
        <w:t xml:space="preserve">weekly </w:t>
      </w:r>
      <w:proofErr w:type="spellStart"/>
      <w:r w:rsidR="003E78AA" w:rsidRPr="00FA537A">
        <w:rPr>
          <w:b w:val="0"/>
          <w:bCs w:val="0"/>
          <w:sz w:val="20"/>
          <w:szCs w:val="20"/>
        </w:rPr>
        <w:t>Cisplatin</w:t>
      </w:r>
      <w:proofErr w:type="spellEnd"/>
      <w:r w:rsidR="003E78AA" w:rsidRPr="00FA537A">
        <w:rPr>
          <w:b w:val="0"/>
          <w:bCs w:val="0"/>
          <w:sz w:val="20"/>
          <w:szCs w:val="20"/>
        </w:rPr>
        <w:t xml:space="preserve"> while it was lower than that reported with other studies with concurrent </w:t>
      </w:r>
      <w:r w:rsidR="00C14863" w:rsidRPr="00FA537A">
        <w:rPr>
          <w:b w:val="0"/>
          <w:bCs w:val="0"/>
          <w:sz w:val="20"/>
          <w:szCs w:val="20"/>
        </w:rPr>
        <w:t xml:space="preserve">weekly </w:t>
      </w:r>
      <w:proofErr w:type="spellStart"/>
      <w:r w:rsidR="003E78AA" w:rsidRPr="00FA537A">
        <w:rPr>
          <w:b w:val="0"/>
          <w:bCs w:val="0"/>
          <w:sz w:val="20"/>
          <w:szCs w:val="20"/>
        </w:rPr>
        <w:t>Gemcitabine</w:t>
      </w:r>
      <w:proofErr w:type="spellEnd"/>
      <w:r w:rsidR="003E78AA" w:rsidRPr="00FA537A">
        <w:rPr>
          <w:b w:val="0"/>
          <w:bCs w:val="0"/>
          <w:sz w:val="20"/>
          <w:szCs w:val="20"/>
        </w:rPr>
        <w:t xml:space="preserve">, </w:t>
      </w:r>
      <w:proofErr w:type="spellStart"/>
      <w:r w:rsidR="003E78AA" w:rsidRPr="00FA537A">
        <w:rPr>
          <w:b w:val="0"/>
          <w:bCs w:val="0"/>
          <w:sz w:val="20"/>
          <w:szCs w:val="20"/>
        </w:rPr>
        <w:t>Cisplatin</w:t>
      </w:r>
      <w:proofErr w:type="spellEnd"/>
      <w:r w:rsidR="003E78AA" w:rsidRPr="00FA537A">
        <w:rPr>
          <w:b w:val="0"/>
          <w:bCs w:val="0"/>
          <w:sz w:val="20"/>
          <w:szCs w:val="20"/>
        </w:rPr>
        <w:t xml:space="preserve"> + 5-FU</w:t>
      </w:r>
      <w:r w:rsidR="00C14863" w:rsidRPr="00FA537A">
        <w:rPr>
          <w:b w:val="0"/>
          <w:bCs w:val="0"/>
          <w:sz w:val="20"/>
          <w:szCs w:val="20"/>
        </w:rPr>
        <w:t xml:space="preserve"> </w:t>
      </w:r>
      <w:r w:rsidR="00326CCC" w:rsidRPr="00FA537A">
        <w:rPr>
          <w:b w:val="0"/>
          <w:bCs w:val="0"/>
          <w:sz w:val="20"/>
          <w:szCs w:val="20"/>
        </w:rPr>
        <w:t>or</w:t>
      </w:r>
      <w:r w:rsidR="003E78AA" w:rsidRPr="00FA537A">
        <w:rPr>
          <w:b w:val="0"/>
          <w:bCs w:val="0"/>
          <w:sz w:val="20"/>
          <w:szCs w:val="20"/>
        </w:rPr>
        <w:t xml:space="preserve"> </w:t>
      </w:r>
      <w:proofErr w:type="spellStart"/>
      <w:r w:rsidR="003E78AA" w:rsidRPr="00FA537A">
        <w:rPr>
          <w:b w:val="0"/>
          <w:bCs w:val="0"/>
          <w:sz w:val="20"/>
          <w:szCs w:val="20"/>
        </w:rPr>
        <w:t>Cisplatin</w:t>
      </w:r>
      <w:proofErr w:type="spellEnd"/>
      <w:r w:rsidR="003E78AA" w:rsidRPr="00FA537A">
        <w:rPr>
          <w:b w:val="0"/>
          <w:bCs w:val="0"/>
          <w:sz w:val="20"/>
          <w:szCs w:val="20"/>
        </w:rPr>
        <w:t xml:space="preserve"> +</w:t>
      </w:r>
      <w:r w:rsidR="00EE7E54" w:rsidRPr="00FA537A">
        <w:rPr>
          <w:b w:val="0"/>
          <w:bCs w:val="0"/>
          <w:sz w:val="20"/>
          <w:szCs w:val="20"/>
        </w:rPr>
        <w:t xml:space="preserve"> </w:t>
      </w:r>
      <w:proofErr w:type="spellStart"/>
      <w:r w:rsidR="003E78AA" w:rsidRPr="00FA537A">
        <w:rPr>
          <w:b w:val="0"/>
          <w:bCs w:val="0"/>
          <w:sz w:val="20"/>
          <w:szCs w:val="20"/>
        </w:rPr>
        <w:t>paclitaxel</w:t>
      </w:r>
      <w:proofErr w:type="spellEnd"/>
      <w:r w:rsidR="003E78AA" w:rsidRPr="00FA537A">
        <w:rPr>
          <w:b w:val="0"/>
          <w:bCs w:val="0"/>
          <w:sz w:val="20"/>
          <w:szCs w:val="20"/>
        </w:rPr>
        <w:t xml:space="preserve"> </w:t>
      </w:r>
      <w:r w:rsidR="003E78AA" w:rsidRPr="00FA537A">
        <w:rPr>
          <w:b w:val="0"/>
          <w:bCs w:val="0"/>
          <w:sz w:val="20"/>
          <w:szCs w:val="20"/>
          <w:vertAlign w:val="superscript"/>
        </w:rPr>
        <w:t>(1</w:t>
      </w:r>
      <w:r w:rsidR="00E5122A" w:rsidRPr="00FA537A">
        <w:rPr>
          <w:b w:val="0"/>
          <w:bCs w:val="0"/>
          <w:sz w:val="20"/>
          <w:szCs w:val="20"/>
          <w:vertAlign w:val="superscript"/>
        </w:rPr>
        <w:t>7</w:t>
      </w:r>
      <w:r w:rsidR="003E78AA" w:rsidRPr="00FA537A">
        <w:rPr>
          <w:b w:val="0"/>
          <w:bCs w:val="0"/>
          <w:sz w:val="20"/>
          <w:szCs w:val="20"/>
          <w:vertAlign w:val="superscript"/>
        </w:rPr>
        <w:t>-1</w:t>
      </w:r>
      <w:r w:rsidR="00E5122A" w:rsidRPr="00FA537A">
        <w:rPr>
          <w:b w:val="0"/>
          <w:bCs w:val="0"/>
          <w:sz w:val="20"/>
          <w:szCs w:val="20"/>
          <w:vertAlign w:val="superscript"/>
        </w:rPr>
        <w:t>9</w:t>
      </w:r>
      <w:r w:rsidR="003E78AA" w:rsidRPr="00FA537A">
        <w:rPr>
          <w:b w:val="0"/>
          <w:bCs w:val="0"/>
          <w:sz w:val="20"/>
          <w:szCs w:val="20"/>
          <w:vertAlign w:val="superscript"/>
        </w:rPr>
        <w:t>)</w:t>
      </w:r>
      <w:r w:rsidR="00326CCC" w:rsidRPr="00FA537A">
        <w:rPr>
          <w:b w:val="0"/>
          <w:bCs w:val="0"/>
          <w:sz w:val="20"/>
          <w:szCs w:val="20"/>
        </w:rPr>
        <w:t xml:space="preserve"> </w:t>
      </w:r>
      <w:r w:rsidR="00C14863" w:rsidRPr="00FA537A">
        <w:rPr>
          <w:b w:val="0"/>
          <w:bCs w:val="0"/>
          <w:sz w:val="20"/>
          <w:szCs w:val="20"/>
        </w:rPr>
        <w:t>a</w:t>
      </w:r>
      <w:r w:rsidR="00326CCC" w:rsidRPr="00FA537A">
        <w:rPr>
          <w:b w:val="0"/>
          <w:bCs w:val="0"/>
          <w:sz w:val="20"/>
          <w:szCs w:val="20"/>
        </w:rPr>
        <w:t xml:space="preserve">nd this could be attributed to </w:t>
      </w:r>
      <w:r w:rsidR="00C14863" w:rsidRPr="00FA537A">
        <w:rPr>
          <w:b w:val="0"/>
          <w:bCs w:val="0"/>
          <w:sz w:val="20"/>
          <w:szCs w:val="20"/>
        </w:rPr>
        <w:t xml:space="preserve">a </w:t>
      </w:r>
      <w:r w:rsidR="000B7DC4" w:rsidRPr="00FA537A">
        <w:rPr>
          <w:b w:val="0"/>
          <w:bCs w:val="0"/>
          <w:sz w:val="20"/>
          <w:szCs w:val="20"/>
        </w:rPr>
        <w:t>higher</w:t>
      </w:r>
      <w:r w:rsidR="00326CCC" w:rsidRPr="00FA537A">
        <w:rPr>
          <w:b w:val="0"/>
          <w:bCs w:val="0"/>
          <w:sz w:val="20"/>
          <w:szCs w:val="20"/>
        </w:rPr>
        <w:t xml:space="preserve"> </w:t>
      </w:r>
      <w:r w:rsidR="000B7DC4" w:rsidRPr="00FA537A">
        <w:rPr>
          <w:b w:val="0"/>
          <w:bCs w:val="0"/>
          <w:sz w:val="20"/>
          <w:szCs w:val="20"/>
        </w:rPr>
        <w:t>percentage</w:t>
      </w:r>
      <w:r w:rsidR="00326CCC" w:rsidRPr="00FA537A">
        <w:rPr>
          <w:b w:val="0"/>
          <w:bCs w:val="0"/>
          <w:sz w:val="20"/>
          <w:szCs w:val="20"/>
        </w:rPr>
        <w:t xml:space="preserve"> of T3 </w:t>
      </w:r>
      <w:r w:rsidR="000B7DC4" w:rsidRPr="00FA537A">
        <w:rPr>
          <w:b w:val="0"/>
          <w:bCs w:val="0"/>
          <w:sz w:val="20"/>
          <w:szCs w:val="20"/>
        </w:rPr>
        <w:t>stage</w:t>
      </w:r>
      <w:r w:rsidR="00C14863" w:rsidRPr="00FA537A">
        <w:rPr>
          <w:b w:val="0"/>
          <w:bCs w:val="0"/>
          <w:sz w:val="20"/>
          <w:szCs w:val="20"/>
        </w:rPr>
        <w:t xml:space="preserve"> in our study</w:t>
      </w:r>
      <w:r w:rsidR="00326CCC" w:rsidRPr="00FA537A">
        <w:rPr>
          <w:b w:val="0"/>
          <w:bCs w:val="0"/>
          <w:sz w:val="20"/>
          <w:szCs w:val="20"/>
        </w:rPr>
        <w:t xml:space="preserve"> </w:t>
      </w:r>
      <w:r w:rsidR="0016339D" w:rsidRPr="00FA537A">
        <w:rPr>
          <w:b w:val="0"/>
          <w:bCs w:val="0"/>
          <w:sz w:val="20"/>
          <w:szCs w:val="20"/>
        </w:rPr>
        <w:t>,</w:t>
      </w:r>
      <w:r w:rsidR="0016339D" w:rsidRPr="00FA537A">
        <w:rPr>
          <w:sz w:val="20"/>
          <w:szCs w:val="20"/>
        </w:rPr>
        <w:t xml:space="preserve"> </w:t>
      </w:r>
      <w:r w:rsidR="0016339D" w:rsidRPr="00FA537A">
        <w:rPr>
          <w:b w:val="0"/>
          <w:bCs w:val="0"/>
          <w:sz w:val="20"/>
          <w:szCs w:val="20"/>
        </w:rPr>
        <w:t>differences in</w:t>
      </w:r>
      <w:r w:rsidR="007B4974" w:rsidRPr="00FA537A">
        <w:rPr>
          <w:sz w:val="20"/>
          <w:szCs w:val="20"/>
        </w:rPr>
        <w:t xml:space="preserve"> </w:t>
      </w:r>
      <w:r w:rsidR="007B4974" w:rsidRPr="00FA537A">
        <w:rPr>
          <w:b w:val="0"/>
          <w:bCs w:val="0"/>
          <w:sz w:val="20"/>
          <w:szCs w:val="20"/>
        </w:rPr>
        <w:t>che</w:t>
      </w:r>
      <w:r w:rsidR="0016339D" w:rsidRPr="00FA537A">
        <w:rPr>
          <w:b w:val="0"/>
          <w:bCs w:val="0"/>
          <w:sz w:val="20"/>
          <w:szCs w:val="20"/>
        </w:rPr>
        <w:t xml:space="preserve">motherapy and radiation regimens </w:t>
      </w:r>
      <w:r w:rsidR="000B7DC4" w:rsidRPr="00FA537A">
        <w:rPr>
          <w:b w:val="0"/>
          <w:bCs w:val="0"/>
          <w:sz w:val="20"/>
          <w:szCs w:val="20"/>
        </w:rPr>
        <w:t xml:space="preserve">and the use of </w:t>
      </w:r>
      <w:proofErr w:type="spellStart"/>
      <w:r w:rsidR="000B7DC4" w:rsidRPr="00FA537A">
        <w:rPr>
          <w:b w:val="0"/>
          <w:bCs w:val="0"/>
          <w:sz w:val="20"/>
          <w:szCs w:val="20"/>
        </w:rPr>
        <w:t>newadjuvant</w:t>
      </w:r>
      <w:proofErr w:type="spellEnd"/>
      <w:r w:rsidR="000B7DC4" w:rsidRPr="00FA537A">
        <w:rPr>
          <w:b w:val="0"/>
          <w:bCs w:val="0"/>
          <w:sz w:val="20"/>
          <w:szCs w:val="20"/>
        </w:rPr>
        <w:t xml:space="preserve"> and adjuvant chemotherapy</w:t>
      </w:r>
      <w:r w:rsidR="00C14863" w:rsidRPr="00FA537A">
        <w:rPr>
          <w:b w:val="0"/>
          <w:bCs w:val="0"/>
          <w:sz w:val="20"/>
          <w:szCs w:val="20"/>
        </w:rPr>
        <w:t xml:space="preserve"> in the comparative studies</w:t>
      </w:r>
      <w:r w:rsidR="00E93B82" w:rsidRPr="00FA537A">
        <w:rPr>
          <w:sz w:val="20"/>
          <w:szCs w:val="20"/>
          <w:lang w:eastAsia="ja-JP"/>
        </w:rPr>
        <w:t xml:space="preserve"> Table (3)</w:t>
      </w:r>
      <w:r w:rsidR="000B7DC4" w:rsidRPr="00FA537A">
        <w:rPr>
          <w:b w:val="0"/>
          <w:bCs w:val="0"/>
          <w:sz w:val="20"/>
          <w:szCs w:val="20"/>
        </w:rPr>
        <w:t>.</w:t>
      </w:r>
    </w:p>
    <w:p w:rsidR="002C23A6" w:rsidRPr="00FA537A" w:rsidRDefault="002C23A6" w:rsidP="002C23A6">
      <w:pPr>
        <w:pStyle w:val="Heading3"/>
        <w:snapToGrid w:val="0"/>
        <w:spacing w:before="0" w:beforeAutospacing="0" w:after="0" w:afterAutospacing="0"/>
        <w:jc w:val="both"/>
        <w:rPr>
          <w:sz w:val="20"/>
          <w:szCs w:val="20"/>
          <w:lang w:eastAsia="ja-JP"/>
        </w:rPr>
        <w:sectPr w:rsidR="002C23A6" w:rsidRPr="00FA537A" w:rsidSect="00FA537A">
          <w:type w:val="continuous"/>
          <w:pgSz w:w="12242" w:h="15842" w:code="1"/>
          <w:pgMar w:top="1440" w:right="1440" w:bottom="1440" w:left="1440" w:header="720" w:footer="720" w:gutter="0"/>
          <w:cols w:num="2" w:space="576"/>
          <w:docGrid w:linePitch="360"/>
        </w:sectPr>
      </w:pPr>
    </w:p>
    <w:p w:rsidR="00B039FA" w:rsidRPr="00FA537A" w:rsidRDefault="00B039FA" w:rsidP="002C23A6">
      <w:pPr>
        <w:pStyle w:val="Heading3"/>
        <w:snapToGrid w:val="0"/>
        <w:spacing w:before="0" w:beforeAutospacing="0" w:after="0" w:afterAutospacing="0"/>
        <w:jc w:val="center"/>
        <w:rPr>
          <w:sz w:val="20"/>
          <w:szCs w:val="20"/>
          <w:lang w:eastAsia="zh-CN"/>
        </w:rPr>
      </w:pPr>
    </w:p>
    <w:p w:rsidR="000B1488" w:rsidRPr="00FA537A" w:rsidRDefault="000B7DC4" w:rsidP="002C23A6">
      <w:pPr>
        <w:pStyle w:val="Heading3"/>
        <w:snapToGrid w:val="0"/>
        <w:spacing w:before="0" w:beforeAutospacing="0" w:after="0" w:afterAutospacing="0"/>
        <w:jc w:val="center"/>
        <w:rPr>
          <w:sz w:val="20"/>
          <w:szCs w:val="20"/>
        </w:rPr>
      </w:pPr>
      <w:r w:rsidRPr="00FA537A">
        <w:rPr>
          <w:sz w:val="20"/>
          <w:szCs w:val="20"/>
          <w:lang w:eastAsia="ja-JP"/>
        </w:rPr>
        <w:t>Table (</w:t>
      </w:r>
      <w:r w:rsidR="00E93B82" w:rsidRPr="00FA537A">
        <w:rPr>
          <w:sz w:val="20"/>
          <w:szCs w:val="20"/>
          <w:lang w:eastAsia="ja-JP"/>
        </w:rPr>
        <w:t>3</w:t>
      </w:r>
      <w:r w:rsidRPr="00FA537A">
        <w:rPr>
          <w:sz w:val="20"/>
          <w:szCs w:val="20"/>
          <w:lang w:eastAsia="ja-JP"/>
        </w:rPr>
        <w:t xml:space="preserve">): </w:t>
      </w:r>
      <w:r w:rsidRPr="00FA537A">
        <w:rPr>
          <w:sz w:val="20"/>
          <w:szCs w:val="20"/>
        </w:rPr>
        <w:t xml:space="preserve">Published series of </w:t>
      </w:r>
      <w:proofErr w:type="spellStart"/>
      <w:r w:rsidRPr="00FA537A">
        <w:rPr>
          <w:sz w:val="20"/>
          <w:szCs w:val="20"/>
        </w:rPr>
        <w:t>trimodal</w:t>
      </w:r>
      <w:r w:rsidR="00E93B82" w:rsidRPr="00FA537A">
        <w:rPr>
          <w:sz w:val="20"/>
          <w:szCs w:val="20"/>
        </w:rPr>
        <w:t>ity</w:t>
      </w:r>
      <w:proofErr w:type="spellEnd"/>
      <w:r w:rsidRPr="00FA537A">
        <w:rPr>
          <w:sz w:val="20"/>
          <w:szCs w:val="20"/>
        </w:rPr>
        <w:t xml:space="preserve"> therapy for bladder preservation</w:t>
      </w:r>
    </w:p>
    <w:tbl>
      <w:tblPr>
        <w:tblW w:w="5161" w:type="pct"/>
        <w:jc w:val="center"/>
        <w:tblBorders>
          <w:top w:val="single" w:sz="18" w:space="0" w:color="auto"/>
          <w:left w:val="single" w:sz="4" w:space="0" w:color="auto"/>
          <w:bottom w:val="single" w:sz="18" w:space="0" w:color="auto"/>
          <w:right w:val="single" w:sz="4" w:space="0" w:color="auto"/>
          <w:insideH w:val="single" w:sz="4" w:space="0" w:color="auto"/>
          <w:insideV w:val="single" w:sz="4" w:space="0" w:color="auto"/>
        </w:tblBorders>
        <w:tblLook w:val="0000"/>
      </w:tblPr>
      <w:tblGrid>
        <w:gridCol w:w="1767"/>
        <w:gridCol w:w="2178"/>
        <w:gridCol w:w="829"/>
        <w:gridCol w:w="867"/>
        <w:gridCol w:w="1733"/>
        <w:gridCol w:w="1497"/>
        <w:gridCol w:w="875"/>
      </w:tblGrid>
      <w:tr w:rsidR="002E1BE1" w:rsidRPr="00FA537A" w:rsidTr="002C23A6">
        <w:trPr>
          <w:jc w:val="center"/>
        </w:trPr>
        <w:tc>
          <w:tcPr>
            <w:tcW w:w="906" w:type="pct"/>
            <w:tcBorders>
              <w:top w:val="single" w:sz="18" w:space="0" w:color="auto"/>
              <w:bottom w:val="single" w:sz="18" w:space="0" w:color="auto"/>
            </w:tcBorders>
            <w:tcMar>
              <w:left w:w="40" w:type="dxa"/>
              <w:right w:w="40" w:type="dxa"/>
            </w:tcMar>
            <w:vAlign w:val="center"/>
          </w:tcPr>
          <w:p w:rsidR="003E78AA" w:rsidRPr="00FA537A" w:rsidRDefault="003E78AA" w:rsidP="002C23A6">
            <w:pPr>
              <w:bidi w:val="0"/>
              <w:snapToGrid w:val="0"/>
              <w:jc w:val="both"/>
              <w:rPr>
                <w:rFonts w:eastAsiaTheme="minorEastAsia"/>
                <w:b/>
                <w:bCs/>
                <w:color w:val="000000"/>
                <w:sz w:val="20"/>
                <w:szCs w:val="20"/>
              </w:rPr>
            </w:pPr>
            <w:r w:rsidRPr="00FA537A">
              <w:rPr>
                <w:rFonts w:eastAsiaTheme="minorEastAsia"/>
                <w:b/>
                <w:bCs/>
                <w:color w:val="000000"/>
                <w:sz w:val="20"/>
                <w:szCs w:val="20"/>
              </w:rPr>
              <w:t>Study</w:t>
            </w:r>
          </w:p>
        </w:tc>
        <w:tc>
          <w:tcPr>
            <w:tcW w:w="1117" w:type="pct"/>
            <w:tcBorders>
              <w:top w:val="single" w:sz="18" w:space="0" w:color="auto"/>
              <w:bottom w:val="single" w:sz="18" w:space="0" w:color="auto"/>
            </w:tcBorders>
            <w:tcMar>
              <w:left w:w="40" w:type="dxa"/>
              <w:right w:w="40" w:type="dxa"/>
            </w:tcMar>
            <w:vAlign w:val="center"/>
          </w:tcPr>
          <w:p w:rsidR="003E78AA" w:rsidRPr="00FA537A" w:rsidRDefault="003E78AA" w:rsidP="002C23A6">
            <w:pPr>
              <w:bidi w:val="0"/>
              <w:snapToGrid w:val="0"/>
              <w:jc w:val="both"/>
              <w:rPr>
                <w:rFonts w:eastAsiaTheme="minorEastAsia"/>
                <w:b/>
                <w:bCs/>
                <w:color w:val="000000"/>
                <w:sz w:val="20"/>
                <w:szCs w:val="20"/>
              </w:rPr>
            </w:pPr>
            <w:r w:rsidRPr="00FA537A">
              <w:rPr>
                <w:rFonts w:eastAsiaTheme="minorEastAsia"/>
                <w:b/>
                <w:bCs/>
                <w:color w:val="000000"/>
                <w:sz w:val="20"/>
                <w:szCs w:val="20"/>
              </w:rPr>
              <w:t>Design and follow-up</w:t>
            </w:r>
          </w:p>
        </w:tc>
        <w:tc>
          <w:tcPr>
            <w:tcW w:w="425" w:type="pct"/>
            <w:tcBorders>
              <w:top w:val="single" w:sz="18" w:space="0" w:color="auto"/>
              <w:bottom w:val="single" w:sz="18" w:space="0" w:color="auto"/>
            </w:tcBorders>
            <w:tcMar>
              <w:left w:w="40" w:type="dxa"/>
              <w:right w:w="40" w:type="dxa"/>
            </w:tcMar>
            <w:vAlign w:val="center"/>
          </w:tcPr>
          <w:p w:rsidR="003E78AA" w:rsidRPr="00FA537A" w:rsidRDefault="003E78AA" w:rsidP="002C23A6">
            <w:pPr>
              <w:bidi w:val="0"/>
              <w:snapToGrid w:val="0"/>
              <w:jc w:val="both"/>
              <w:rPr>
                <w:rFonts w:eastAsiaTheme="minorEastAsia"/>
                <w:b/>
                <w:bCs/>
                <w:color w:val="000000"/>
                <w:sz w:val="20"/>
                <w:szCs w:val="20"/>
              </w:rPr>
            </w:pPr>
            <w:r w:rsidRPr="00FA537A">
              <w:rPr>
                <w:rFonts w:eastAsiaTheme="minorEastAsia"/>
                <w:b/>
                <w:bCs/>
                <w:color w:val="000000"/>
                <w:sz w:val="20"/>
                <w:szCs w:val="20"/>
              </w:rPr>
              <w:t>Stage</w:t>
            </w:r>
          </w:p>
        </w:tc>
        <w:tc>
          <w:tcPr>
            <w:tcW w:w="445" w:type="pct"/>
            <w:tcBorders>
              <w:top w:val="single" w:sz="18" w:space="0" w:color="auto"/>
              <w:bottom w:val="single" w:sz="18" w:space="0" w:color="auto"/>
            </w:tcBorders>
            <w:tcMar>
              <w:left w:w="40" w:type="dxa"/>
              <w:right w:w="40" w:type="dxa"/>
            </w:tcMar>
            <w:vAlign w:val="center"/>
          </w:tcPr>
          <w:p w:rsidR="002E1BE1" w:rsidRPr="00FA537A" w:rsidRDefault="003E78AA" w:rsidP="002C23A6">
            <w:pPr>
              <w:bidi w:val="0"/>
              <w:snapToGrid w:val="0"/>
              <w:jc w:val="both"/>
              <w:rPr>
                <w:rFonts w:eastAsiaTheme="minorEastAsia"/>
                <w:b/>
                <w:bCs/>
                <w:color w:val="000000"/>
                <w:sz w:val="20"/>
                <w:szCs w:val="20"/>
              </w:rPr>
            </w:pPr>
            <w:r w:rsidRPr="00FA537A">
              <w:rPr>
                <w:rFonts w:eastAsiaTheme="minorEastAsia"/>
                <w:b/>
                <w:bCs/>
                <w:color w:val="000000"/>
                <w:sz w:val="20"/>
                <w:szCs w:val="20"/>
              </w:rPr>
              <w:t>No. of</w:t>
            </w:r>
          </w:p>
          <w:p w:rsidR="003E78AA" w:rsidRPr="00FA537A" w:rsidRDefault="003E78AA" w:rsidP="002C23A6">
            <w:pPr>
              <w:bidi w:val="0"/>
              <w:snapToGrid w:val="0"/>
              <w:jc w:val="both"/>
              <w:rPr>
                <w:rFonts w:eastAsiaTheme="minorEastAsia"/>
                <w:b/>
                <w:bCs/>
                <w:color w:val="000000"/>
                <w:sz w:val="20"/>
                <w:szCs w:val="20"/>
              </w:rPr>
            </w:pPr>
            <w:r w:rsidRPr="00FA537A">
              <w:rPr>
                <w:rFonts w:eastAsiaTheme="minorEastAsia"/>
                <w:b/>
                <w:bCs/>
                <w:color w:val="000000"/>
                <w:sz w:val="20"/>
                <w:szCs w:val="20"/>
              </w:rPr>
              <w:t>patients</w:t>
            </w:r>
          </w:p>
        </w:tc>
        <w:tc>
          <w:tcPr>
            <w:tcW w:w="889" w:type="pct"/>
            <w:tcBorders>
              <w:top w:val="single" w:sz="18" w:space="0" w:color="auto"/>
              <w:bottom w:val="single" w:sz="18" w:space="0" w:color="auto"/>
            </w:tcBorders>
            <w:tcMar>
              <w:left w:w="40" w:type="dxa"/>
              <w:right w:w="40" w:type="dxa"/>
            </w:tcMar>
            <w:vAlign w:val="center"/>
          </w:tcPr>
          <w:p w:rsidR="002E1BE1" w:rsidRPr="00FA537A" w:rsidRDefault="003E78AA" w:rsidP="002C23A6">
            <w:pPr>
              <w:bidi w:val="0"/>
              <w:snapToGrid w:val="0"/>
              <w:jc w:val="both"/>
              <w:rPr>
                <w:rFonts w:eastAsiaTheme="minorEastAsia"/>
                <w:b/>
                <w:bCs/>
                <w:color w:val="000000"/>
                <w:sz w:val="20"/>
                <w:szCs w:val="20"/>
              </w:rPr>
            </w:pPr>
            <w:r w:rsidRPr="00FA537A">
              <w:rPr>
                <w:rFonts w:eastAsiaTheme="minorEastAsia"/>
                <w:b/>
                <w:bCs/>
                <w:color w:val="000000"/>
                <w:sz w:val="20"/>
                <w:szCs w:val="20"/>
              </w:rPr>
              <w:t>Concomitant</w:t>
            </w:r>
          </w:p>
          <w:p w:rsidR="003E78AA" w:rsidRPr="00FA537A" w:rsidRDefault="003E78AA" w:rsidP="002C23A6">
            <w:pPr>
              <w:bidi w:val="0"/>
              <w:snapToGrid w:val="0"/>
              <w:jc w:val="both"/>
              <w:rPr>
                <w:rFonts w:eastAsiaTheme="minorEastAsia"/>
                <w:b/>
                <w:bCs/>
                <w:color w:val="000000"/>
                <w:sz w:val="20"/>
                <w:szCs w:val="20"/>
              </w:rPr>
            </w:pPr>
            <w:r w:rsidRPr="00FA537A">
              <w:rPr>
                <w:rFonts w:eastAsiaTheme="minorEastAsia"/>
                <w:b/>
                <w:bCs/>
                <w:color w:val="000000"/>
                <w:sz w:val="20"/>
                <w:szCs w:val="20"/>
              </w:rPr>
              <w:t>chemotherapy</w:t>
            </w:r>
          </w:p>
        </w:tc>
        <w:tc>
          <w:tcPr>
            <w:tcW w:w="768" w:type="pct"/>
            <w:tcBorders>
              <w:top w:val="single" w:sz="18" w:space="0" w:color="auto"/>
              <w:bottom w:val="single" w:sz="18" w:space="0" w:color="auto"/>
            </w:tcBorders>
            <w:tcMar>
              <w:left w:w="40" w:type="dxa"/>
              <w:right w:w="40" w:type="dxa"/>
            </w:tcMar>
            <w:vAlign w:val="center"/>
          </w:tcPr>
          <w:p w:rsidR="003E78AA" w:rsidRPr="00FA537A" w:rsidRDefault="003E78AA" w:rsidP="002C23A6">
            <w:pPr>
              <w:bidi w:val="0"/>
              <w:snapToGrid w:val="0"/>
              <w:jc w:val="both"/>
              <w:rPr>
                <w:rFonts w:eastAsiaTheme="minorEastAsia"/>
                <w:b/>
                <w:bCs/>
                <w:color w:val="000000"/>
                <w:sz w:val="20"/>
                <w:szCs w:val="20"/>
              </w:rPr>
            </w:pPr>
            <w:r w:rsidRPr="00FA537A">
              <w:rPr>
                <w:rFonts w:eastAsiaTheme="minorEastAsia"/>
                <w:b/>
                <w:bCs/>
                <w:color w:val="000000"/>
                <w:sz w:val="20"/>
                <w:szCs w:val="20"/>
              </w:rPr>
              <w:t>RT</w:t>
            </w:r>
          </w:p>
        </w:tc>
        <w:tc>
          <w:tcPr>
            <w:tcW w:w="449" w:type="pct"/>
            <w:tcBorders>
              <w:top w:val="single" w:sz="18" w:space="0" w:color="auto"/>
              <w:bottom w:val="single" w:sz="18" w:space="0" w:color="auto"/>
            </w:tcBorders>
            <w:tcMar>
              <w:left w:w="40" w:type="dxa"/>
              <w:right w:w="40" w:type="dxa"/>
            </w:tcMar>
            <w:vAlign w:val="center"/>
          </w:tcPr>
          <w:p w:rsidR="003E78AA" w:rsidRPr="00FA537A" w:rsidRDefault="003E78AA" w:rsidP="002C23A6">
            <w:pPr>
              <w:bidi w:val="0"/>
              <w:snapToGrid w:val="0"/>
              <w:jc w:val="both"/>
              <w:rPr>
                <w:rFonts w:eastAsiaTheme="minorEastAsia"/>
                <w:b/>
                <w:bCs/>
                <w:color w:val="000000"/>
                <w:sz w:val="20"/>
                <w:szCs w:val="20"/>
              </w:rPr>
            </w:pPr>
            <w:r w:rsidRPr="00FA537A">
              <w:rPr>
                <w:rFonts w:eastAsiaTheme="minorEastAsia"/>
                <w:b/>
                <w:bCs/>
                <w:color w:val="000000"/>
                <w:sz w:val="20"/>
                <w:szCs w:val="20"/>
              </w:rPr>
              <w:t>CR rate</w:t>
            </w:r>
          </w:p>
        </w:tc>
      </w:tr>
      <w:tr w:rsidR="002E1BE1" w:rsidRPr="00FA537A" w:rsidTr="002C23A6">
        <w:trPr>
          <w:trHeight w:val="108"/>
          <w:jc w:val="center"/>
        </w:trPr>
        <w:tc>
          <w:tcPr>
            <w:tcW w:w="906" w:type="pct"/>
            <w:tcBorders>
              <w:top w:val="single" w:sz="18" w:space="0" w:color="auto"/>
            </w:tcBorders>
            <w:tcMar>
              <w:left w:w="40" w:type="dxa"/>
              <w:right w:w="40" w:type="dxa"/>
            </w:tcMar>
          </w:tcPr>
          <w:p w:rsidR="00A552EA" w:rsidRPr="00FA537A" w:rsidRDefault="003E78AA" w:rsidP="002C23A6">
            <w:pPr>
              <w:bidi w:val="0"/>
              <w:snapToGrid w:val="0"/>
              <w:jc w:val="both"/>
              <w:rPr>
                <w:rFonts w:eastAsiaTheme="minorEastAsia"/>
                <w:color w:val="000000"/>
                <w:sz w:val="20"/>
                <w:szCs w:val="20"/>
              </w:rPr>
            </w:pPr>
            <w:proofErr w:type="spellStart"/>
            <w:r w:rsidRPr="00FA537A">
              <w:rPr>
                <w:rFonts w:eastAsiaTheme="minorEastAsia"/>
                <w:color w:val="000000"/>
                <w:sz w:val="20"/>
                <w:szCs w:val="20"/>
              </w:rPr>
              <w:t>Zapatero</w:t>
            </w:r>
            <w:proofErr w:type="spellEnd"/>
            <w:r w:rsidRPr="00FA537A">
              <w:rPr>
                <w:rFonts w:eastAsiaTheme="minorEastAsia"/>
                <w:color w:val="000000"/>
                <w:sz w:val="20"/>
                <w:szCs w:val="20"/>
              </w:rPr>
              <w:t xml:space="preserve"> </w:t>
            </w:r>
            <w:r w:rsidRPr="00FA537A">
              <w:rPr>
                <w:rFonts w:eastAsiaTheme="minorEastAsia"/>
                <w:i/>
                <w:iCs/>
                <w:color w:val="000000"/>
                <w:sz w:val="20"/>
                <w:szCs w:val="20"/>
              </w:rPr>
              <w:t>et al.,</w:t>
            </w:r>
          </w:p>
          <w:p w:rsidR="003E78AA" w:rsidRPr="00FA537A" w:rsidRDefault="003E78AA" w:rsidP="002C23A6">
            <w:pPr>
              <w:bidi w:val="0"/>
              <w:snapToGrid w:val="0"/>
              <w:jc w:val="both"/>
              <w:rPr>
                <w:rFonts w:eastAsiaTheme="minorEastAsia"/>
                <w:color w:val="000000"/>
                <w:sz w:val="20"/>
                <w:szCs w:val="20"/>
              </w:rPr>
            </w:pPr>
            <w:r w:rsidRPr="00FA537A">
              <w:rPr>
                <w:rFonts w:eastAsiaTheme="minorEastAsia"/>
                <w:color w:val="000000"/>
                <w:sz w:val="20"/>
                <w:szCs w:val="20"/>
              </w:rPr>
              <w:t xml:space="preserve">2012 </w:t>
            </w:r>
            <w:r w:rsidR="000B7DC4" w:rsidRPr="00FA537A">
              <w:rPr>
                <w:rFonts w:eastAsiaTheme="minorEastAsia"/>
                <w:color w:val="000000"/>
                <w:sz w:val="20"/>
                <w:szCs w:val="20"/>
                <w:vertAlign w:val="superscript"/>
              </w:rPr>
              <w:t>(1</w:t>
            </w:r>
            <w:r w:rsidR="00E5122A" w:rsidRPr="00FA537A">
              <w:rPr>
                <w:rFonts w:eastAsiaTheme="minorEastAsia"/>
                <w:color w:val="000000"/>
                <w:sz w:val="20"/>
                <w:szCs w:val="20"/>
                <w:vertAlign w:val="superscript"/>
              </w:rPr>
              <w:t>7</w:t>
            </w:r>
            <w:r w:rsidR="000B7DC4" w:rsidRPr="00FA537A">
              <w:rPr>
                <w:rFonts w:eastAsiaTheme="minorEastAsia"/>
                <w:color w:val="000000"/>
                <w:sz w:val="20"/>
                <w:szCs w:val="20"/>
                <w:vertAlign w:val="superscript"/>
              </w:rPr>
              <w:t>)</w:t>
            </w:r>
          </w:p>
        </w:tc>
        <w:tc>
          <w:tcPr>
            <w:tcW w:w="1117" w:type="pct"/>
            <w:tcBorders>
              <w:top w:val="single" w:sz="18" w:space="0" w:color="auto"/>
            </w:tcBorders>
            <w:tcMar>
              <w:left w:w="40" w:type="dxa"/>
              <w:right w:w="40" w:type="dxa"/>
            </w:tcMar>
          </w:tcPr>
          <w:p w:rsidR="002C23A6" w:rsidRPr="00FA537A" w:rsidRDefault="003E78AA" w:rsidP="002C23A6">
            <w:pPr>
              <w:bidi w:val="0"/>
              <w:snapToGrid w:val="0"/>
              <w:jc w:val="both"/>
              <w:rPr>
                <w:rFonts w:eastAsiaTheme="minorEastAsia"/>
                <w:color w:val="000000"/>
                <w:sz w:val="20"/>
                <w:szCs w:val="20"/>
              </w:rPr>
            </w:pPr>
            <w:r w:rsidRPr="00FA537A">
              <w:rPr>
                <w:rFonts w:eastAsiaTheme="minorEastAsia"/>
                <w:color w:val="000000"/>
                <w:sz w:val="20"/>
                <w:szCs w:val="20"/>
              </w:rPr>
              <w:t>Split</w:t>
            </w:r>
          </w:p>
          <w:p w:rsidR="003E78AA" w:rsidRPr="00FA537A" w:rsidRDefault="003E78AA" w:rsidP="002C23A6">
            <w:pPr>
              <w:bidi w:val="0"/>
              <w:snapToGrid w:val="0"/>
              <w:jc w:val="both"/>
              <w:rPr>
                <w:rFonts w:eastAsiaTheme="minorEastAsia"/>
                <w:color w:val="000000"/>
                <w:sz w:val="20"/>
                <w:szCs w:val="20"/>
              </w:rPr>
            </w:pPr>
            <w:r w:rsidRPr="00FA537A">
              <w:rPr>
                <w:rFonts w:eastAsiaTheme="minorEastAsia"/>
                <w:color w:val="000000"/>
                <w:sz w:val="20"/>
                <w:szCs w:val="20"/>
              </w:rPr>
              <w:t>Retrospective</w:t>
            </w:r>
            <w:r w:rsidR="002E1BE1" w:rsidRPr="00FA537A">
              <w:rPr>
                <w:rFonts w:eastAsiaTheme="minorEastAsia"/>
                <w:color w:val="000000"/>
                <w:sz w:val="20"/>
                <w:szCs w:val="20"/>
              </w:rPr>
              <w:t xml:space="preserve"> (</w:t>
            </w:r>
            <w:r w:rsidRPr="00FA537A">
              <w:rPr>
                <w:rFonts w:eastAsiaTheme="minorEastAsia"/>
                <w:color w:val="000000"/>
                <w:sz w:val="20"/>
                <w:szCs w:val="20"/>
              </w:rPr>
              <w:t>60 mo</w:t>
            </w:r>
            <w:r w:rsidR="002E1BE1" w:rsidRPr="00FA537A">
              <w:rPr>
                <w:rFonts w:eastAsiaTheme="minorEastAsia"/>
                <w:color w:val="000000"/>
                <w:sz w:val="20"/>
                <w:szCs w:val="20"/>
              </w:rPr>
              <w:t>)</w:t>
            </w:r>
          </w:p>
        </w:tc>
        <w:tc>
          <w:tcPr>
            <w:tcW w:w="425" w:type="pct"/>
            <w:tcBorders>
              <w:top w:val="single" w:sz="18" w:space="0" w:color="auto"/>
            </w:tcBorders>
            <w:tcMar>
              <w:left w:w="40" w:type="dxa"/>
              <w:right w:w="40" w:type="dxa"/>
            </w:tcMar>
          </w:tcPr>
          <w:p w:rsidR="002C23A6" w:rsidRPr="00FA537A" w:rsidRDefault="003E78AA" w:rsidP="002C23A6">
            <w:pPr>
              <w:bidi w:val="0"/>
              <w:snapToGrid w:val="0"/>
              <w:jc w:val="both"/>
              <w:rPr>
                <w:rFonts w:eastAsiaTheme="minorEastAsia"/>
                <w:color w:val="000000"/>
                <w:sz w:val="20"/>
                <w:szCs w:val="20"/>
              </w:rPr>
            </w:pPr>
            <w:r w:rsidRPr="00FA537A">
              <w:rPr>
                <w:rFonts w:eastAsiaTheme="minorEastAsia"/>
                <w:color w:val="000000"/>
                <w:sz w:val="20"/>
                <w:szCs w:val="20"/>
              </w:rPr>
              <w:t>T2–T4a</w:t>
            </w:r>
          </w:p>
          <w:p w:rsidR="003E78AA" w:rsidRPr="00FA537A" w:rsidRDefault="003E78AA" w:rsidP="002C23A6">
            <w:pPr>
              <w:bidi w:val="0"/>
              <w:snapToGrid w:val="0"/>
              <w:jc w:val="both"/>
              <w:rPr>
                <w:rFonts w:eastAsiaTheme="minorEastAsia"/>
                <w:color w:val="000000"/>
                <w:sz w:val="20"/>
                <w:szCs w:val="20"/>
              </w:rPr>
            </w:pPr>
            <w:r w:rsidRPr="00FA537A">
              <w:rPr>
                <w:rFonts w:eastAsiaTheme="minorEastAsia"/>
                <w:color w:val="000000"/>
                <w:sz w:val="20"/>
                <w:szCs w:val="20"/>
              </w:rPr>
              <w:t>N0</w:t>
            </w:r>
          </w:p>
        </w:tc>
        <w:tc>
          <w:tcPr>
            <w:tcW w:w="445" w:type="pct"/>
            <w:tcBorders>
              <w:top w:val="single" w:sz="18" w:space="0" w:color="auto"/>
            </w:tcBorders>
            <w:tcMar>
              <w:left w:w="40" w:type="dxa"/>
              <w:right w:w="40" w:type="dxa"/>
            </w:tcMar>
          </w:tcPr>
          <w:p w:rsidR="003E78AA" w:rsidRPr="00FA537A" w:rsidRDefault="003E78AA" w:rsidP="002C23A6">
            <w:pPr>
              <w:bidi w:val="0"/>
              <w:snapToGrid w:val="0"/>
              <w:jc w:val="both"/>
              <w:rPr>
                <w:rFonts w:eastAsiaTheme="minorEastAsia"/>
                <w:color w:val="000000"/>
                <w:sz w:val="20"/>
                <w:szCs w:val="20"/>
              </w:rPr>
            </w:pPr>
            <w:r w:rsidRPr="00FA537A">
              <w:rPr>
                <w:rFonts w:eastAsiaTheme="minorEastAsia"/>
                <w:color w:val="000000"/>
                <w:sz w:val="20"/>
                <w:szCs w:val="20"/>
              </w:rPr>
              <w:t>39</w:t>
            </w:r>
          </w:p>
        </w:tc>
        <w:tc>
          <w:tcPr>
            <w:tcW w:w="889" w:type="pct"/>
            <w:tcBorders>
              <w:top w:val="single" w:sz="18" w:space="0" w:color="auto"/>
            </w:tcBorders>
            <w:tcMar>
              <w:left w:w="40" w:type="dxa"/>
              <w:right w:w="40" w:type="dxa"/>
            </w:tcMar>
          </w:tcPr>
          <w:p w:rsidR="002C23A6" w:rsidRPr="00FA537A" w:rsidRDefault="003E78AA" w:rsidP="002C23A6">
            <w:pPr>
              <w:bidi w:val="0"/>
              <w:snapToGrid w:val="0"/>
              <w:jc w:val="both"/>
              <w:rPr>
                <w:rFonts w:eastAsiaTheme="minorEastAsia"/>
                <w:color w:val="000000"/>
                <w:sz w:val="20"/>
                <w:szCs w:val="20"/>
              </w:rPr>
            </w:pPr>
            <w:proofErr w:type="spellStart"/>
            <w:r w:rsidRPr="00FA537A">
              <w:rPr>
                <w:rFonts w:eastAsiaTheme="minorEastAsia"/>
                <w:color w:val="000000"/>
                <w:sz w:val="20"/>
                <w:szCs w:val="20"/>
              </w:rPr>
              <w:t>Cisplatin</w:t>
            </w:r>
            <w:proofErr w:type="spellEnd"/>
            <w:r w:rsidRPr="00FA537A">
              <w:rPr>
                <w:rFonts w:eastAsiaTheme="minorEastAsia"/>
                <w:color w:val="000000"/>
                <w:sz w:val="20"/>
                <w:szCs w:val="20"/>
              </w:rPr>
              <w:t xml:space="preserve"> weekly</w:t>
            </w:r>
          </w:p>
          <w:p w:rsidR="003E78AA" w:rsidRPr="00FA537A" w:rsidRDefault="003E78AA" w:rsidP="002C23A6">
            <w:pPr>
              <w:bidi w:val="0"/>
              <w:snapToGrid w:val="0"/>
              <w:jc w:val="both"/>
              <w:rPr>
                <w:rFonts w:eastAsiaTheme="minorEastAsia"/>
                <w:color w:val="000000"/>
                <w:sz w:val="20"/>
                <w:szCs w:val="20"/>
              </w:rPr>
            </w:pPr>
            <w:r w:rsidRPr="00FA537A">
              <w:rPr>
                <w:rFonts w:eastAsiaTheme="minorEastAsia"/>
                <w:color w:val="000000"/>
                <w:sz w:val="20"/>
                <w:szCs w:val="20"/>
              </w:rPr>
              <w:t>(</w:t>
            </w:r>
            <w:proofErr w:type="spellStart"/>
            <w:r w:rsidRPr="00FA537A">
              <w:rPr>
                <w:rFonts w:eastAsiaTheme="minorEastAsia"/>
                <w:color w:val="000000"/>
                <w:sz w:val="20"/>
                <w:szCs w:val="20"/>
              </w:rPr>
              <w:t>paclitaxel</w:t>
            </w:r>
            <w:proofErr w:type="spellEnd"/>
            <w:r w:rsidRPr="00FA537A">
              <w:rPr>
                <w:rFonts w:eastAsiaTheme="minorEastAsia"/>
                <w:color w:val="000000"/>
                <w:sz w:val="20"/>
                <w:szCs w:val="20"/>
              </w:rPr>
              <w:t xml:space="preserve">: </w:t>
            </w:r>
            <w:r w:rsidRPr="00FA537A">
              <w:rPr>
                <w:rFonts w:eastAsiaTheme="minorEastAsia"/>
                <w:i/>
                <w:iCs/>
                <w:color w:val="000000"/>
                <w:sz w:val="20"/>
                <w:szCs w:val="20"/>
              </w:rPr>
              <w:t>n</w:t>
            </w:r>
            <w:r w:rsidRPr="00FA537A">
              <w:rPr>
                <w:rFonts w:eastAsiaTheme="minorEastAsia"/>
                <w:color w:val="000000"/>
                <w:sz w:val="20"/>
                <w:szCs w:val="20"/>
              </w:rPr>
              <w:t>5)</w:t>
            </w:r>
            <w:r w:rsidRPr="00FA537A">
              <w:rPr>
                <w:rFonts w:eastAsiaTheme="minorEastAsia"/>
                <w:color w:val="000000"/>
                <w:sz w:val="20"/>
                <w:szCs w:val="20"/>
              </w:rPr>
              <w:t> </w:t>
            </w:r>
            <w:r w:rsidRPr="00FA537A">
              <w:rPr>
                <w:rFonts w:eastAsiaTheme="minorEastAsia"/>
                <w:color w:val="000000"/>
                <w:sz w:val="20"/>
                <w:szCs w:val="20"/>
              </w:rPr>
              <w:t>=</w:t>
            </w:r>
          </w:p>
        </w:tc>
        <w:tc>
          <w:tcPr>
            <w:tcW w:w="768" w:type="pct"/>
            <w:tcBorders>
              <w:top w:val="single" w:sz="18" w:space="0" w:color="auto"/>
            </w:tcBorders>
            <w:tcMar>
              <w:left w:w="40" w:type="dxa"/>
              <w:right w:w="40" w:type="dxa"/>
            </w:tcMar>
          </w:tcPr>
          <w:p w:rsidR="005D2F20" w:rsidRPr="00FA537A" w:rsidRDefault="003E78AA" w:rsidP="002C23A6">
            <w:pPr>
              <w:bidi w:val="0"/>
              <w:snapToGrid w:val="0"/>
              <w:jc w:val="both"/>
              <w:rPr>
                <w:rFonts w:eastAsiaTheme="minorEastAsia"/>
                <w:color w:val="000000"/>
                <w:sz w:val="20"/>
                <w:szCs w:val="20"/>
              </w:rPr>
            </w:pPr>
            <w:r w:rsidRPr="00FA537A">
              <w:rPr>
                <w:rFonts w:eastAsiaTheme="minorEastAsia"/>
                <w:color w:val="000000"/>
                <w:sz w:val="20"/>
                <w:szCs w:val="20"/>
              </w:rPr>
              <w:t xml:space="preserve">64.8 </w:t>
            </w:r>
            <w:proofErr w:type="spellStart"/>
            <w:r w:rsidRPr="00FA537A">
              <w:rPr>
                <w:rFonts w:eastAsiaTheme="minorEastAsia"/>
                <w:color w:val="000000"/>
                <w:sz w:val="20"/>
                <w:szCs w:val="20"/>
              </w:rPr>
              <w:t>Gy</w:t>
            </w:r>
            <w:proofErr w:type="spellEnd"/>
          </w:p>
          <w:p w:rsidR="003E78AA" w:rsidRPr="00FA537A" w:rsidRDefault="00245368" w:rsidP="002C23A6">
            <w:pPr>
              <w:bidi w:val="0"/>
              <w:snapToGrid w:val="0"/>
              <w:jc w:val="both"/>
              <w:rPr>
                <w:rFonts w:eastAsiaTheme="minorEastAsia"/>
                <w:color w:val="000000"/>
                <w:sz w:val="20"/>
                <w:szCs w:val="20"/>
              </w:rPr>
            </w:pPr>
            <w:r w:rsidRPr="00FA537A">
              <w:rPr>
                <w:rFonts w:eastAsiaTheme="minorEastAsia"/>
                <w:color w:val="000000"/>
                <w:sz w:val="20"/>
                <w:szCs w:val="20"/>
              </w:rPr>
              <w:t>ST</w:t>
            </w:r>
            <w:r w:rsidR="00FA537A">
              <w:rPr>
                <w:rFonts w:eastAsiaTheme="minorEastAsia"/>
                <w:color w:val="000000"/>
                <w:sz w:val="20"/>
                <w:szCs w:val="20"/>
              </w:rPr>
              <w:t xml:space="preserve"> </w:t>
            </w:r>
            <w:r w:rsidR="003E78AA" w:rsidRPr="00FA537A">
              <w:rPr>
                <w:rFonts w:eastAsiaTheme="minorEastAsia"/>
                <w:color w:val="000000"/>
                <w:sz w:val="20"/>
                <w:szCs w:val="20"/>
              </w:rPr>
              <w:t xml:space="preserve">BID: </w:t>
            </w:r>
            <w:r w:rsidR="003E78AA" w:rsidRPr="00FA537A">
              <w:rPr>
                <w:rFonts w:eastAsiaTheme="minorEastAsia"/>
                <w:i/>
                <w:iCs/>
                <w:color w:val="000000"/>
                <w:sz w:val="20"/>
                <w:szCs w:val="20"/>
              </w:rPr>
              <w:t>n</w:t>
            </w:r>
            <w:r w:rsidR="003E78AA" w:rsidRPr="00FA537A">
              <w:rPr>
                <w:rFonts w:eastAsiaTheme="minorEastAsia"/>
                <w:color w:val="000000"/>
                <w:sz w:val="20"/>
                <w:szCs w:val="20"/>
              </w:rPr>
              <w:t>24</w:t>
            </w:r>
            <w:r w:rsidR="003E78AA" w:rsidRPr="00FA537A">
              <w:rPr>
                <w:rFonts w:eastAsia="Arial Unicode MS"/>
                <w:color w:val="000000"/>
                <w:sz w:val="20"/>
                <w:szCs w:val="20"/>
              </w:rPr>
              <w:t> </w:t>
            </w:r>
            <w:r w:rsidR="003E78AA" w:rsidRPr="00FA537A">
              <w:rPr>
                <w:rFonts w:eastAsiaTheme="minorEastAsia"/>
                <w:color w:val="000000"/>
                <w:sz w:val="20"/>
                <w:szCs w:val="20"/>
              </w:rPr>
              <w:t>=</w:t>
            </w:r>
          </w:p>
        </w:tc>
        <w:tc>
          <w:tcPr>
            <w:tcW w:w="449" w:type="pct"/>
            <w:tcBorders>
              <w:top w:val="single" w:sz="18" w:space="0" w:color="auto"/>
            </w:tcBorders>
            <w:tcMar>
              <w:left w:w="40" w:type="dxa"/>
              <w:right w:w="40" w:type="dxa"/>
            </w:tcMar>
          </w:tcPr>
          <w:p w:rsidR="003E78AA" w:rsidRPr="00FA537A" w:rsidRDefault="003E78AA" w:rsidP="002C23A6">
            <w:pPr>
              <w:bidi w:val="0"/>
              <w:snapToGrid w:val="0"/>
              <w:jc w:val="both"/>
              <w:rPr>
                <w:rFonts w:eastAsiaTheme="minorEastAsia"/>
                <w:color w:val="000000"/>
                <w:sz w:val="20"/>
                <w:szCs w:val="20"/>
              </w:rPr>
            </w:pPr>
            <w:r w:rsidRPr="00FA537A">
              <w:rPr>
                <w:rFonts w:eastAsiaTheme="minorEastAsia"/>
                <w:color w:val="000000"/>
                <w:sz w:val="20"/>
                <w:szCs w:val="20"/>
              </w:rPr>
              <w:t>80%</w:t>
            </w:r>
          </w:p>
        </w:tc>
      </w:tr>
      <w:tr w:rsidR="002E1BE1" w:rsidRPr="00FA537A" w:rsidTr="002C23A6">
        <w:trPr>
          <w:jc w:val="center"/>
        </w:trPr>
        <w:tc>
          <w:tcPr>
            <w:tcW w:w="906" w:type="pct"/>
            <w:tcMar>
              <w:left w:w="40" w:type="dxa"/>
              <w:right w:w="40" w:type="dxa"/>
            </w:tcMar>
          </w:tcPr>
          <w:p w:rsidR="00A552EA" w:rsidRPr="00FA537A" w:rsidRDefault="003E78AA" w:rsidP="002C23A6">
            <w:pPr>
              <w:bidi w:val="0"/>
              <w:snapToGrid w:val="0"/>
              <w:jc w:val="both"/>
              <w:rPr>
                <w:rFonts w:eastAsiaTheme="minorEastAsia"/>
                <w:color w:val="000000"/>
                <w:sz w:val="20"/>
                <w:szCs w:val="20"/>
              </w:rPr>
            </w:pPr>
            <w:proofErr w:type="spellStart"/>
            <w:r w:rsidRPr="00FA537A">
              <w:rPr>
                <w:rFonts w:eastAsiaTheme="minorEastAsia"/>
                <w:color w:val="000000"/>
                <w:sz w:val="20"/>
                <w:szCs w:val="20"/>
              </w:rPr>
              <w:t>Choudhury</w:t>
            </w:r>
            <w:proofErr w:type="spellEnd"/>
            <w:r w:rsidRPr="00FA537A">
              <w:rPr>
                <w:rFonts w:eastAsiaTheme="minorEastAsia"/>
                <w:color w:val="000000"/>
                <w:sz w:val="20"/>
                <w:szCs w:val="20"/>
              </w:rPr>
              <w:t xml:space="preserve"> </w:t>
            </w:r>
            <w:r w:rsidR="005C2C90" w:rsidRPr="00FA537A">
              <w:rPr>
                <w:rFonts w:eastAsiaTheme="minorEastAsia"/>
                <w:i/>
                <w:iCs/>
                <w:color w:val="000000"/>
                <w:sz w:val="20"/>
                <w:szCs w:val="20"/>
              </w:rPr>
              <w:t>et al.,</w:t>
            </w:r>
          </w:p>
          <w:p w:rsidR="003E78AA" w:rsidRPr="00FA537A" w:rsidRDefault="003E78AA" w:rsidP="002C23A6">
            <w:pPr>
              <w:bidi w:val="0"/>
              <w:snapToGrid w:val="0"/>
              <w:jc w:val="both"/>
              <w:rPr>
                <w:rFonts w:eastAsiaTheme="minorEastAsia"/>
                <w:color w:val="000000"/>
                <w:sz w:val="20"/>
                <w:szCs w:val="20"/>
              </w:rPr>
            </w:pPr>
            <w:r w:rsidRPr="00FA537A">
              <w:rPr>
                <w:rFonts w:eastAsiaTheme="minorEastAsia"/>
                <w:color w:val="000000"/>
                <w:sz w:val="20"/>
                <w:szCs w:val="20"/>
              </w:rPr>
              <w:t xml:space="preserve">2011 </w:t>
            </w:r>
            <w:r w:rsidR="000B7DC4" w:rsidRPr="00FA537A">
              <w:rPr>
                <w:rFonts w:eastAsiaTheme="minorEastAsia"/>
                <w:color w:val="000000"/>
                <w:sz w:val="20"/>
                <w:szCs w:val="20"/>
                <w:vertAlign w:val="superscript"/>
              </w:rPr>
              <w:t>(1</w:t>
            </w:r>
            <w:r w:rsidR="00E5122A" w:rsidRPr="00FA537A">
              <w:rPr>
                <w:rFonts w:eastAsiaTheme="minorEastAsia"/>
                <w:color w:val="000000"/>
                <w:sz w:val="20"/>
                <w:szCs w:val="20"/>
                <w:vertAlign w:val="superscript"/>
              </w:rPr>
              <w:t>8</w:t>
            </w:r>
            <w:r w:rsidR="000B7DC4" w:rsidRPr="00FA537A">
              <w:rPr>
                <w:rFonts w:eastAsiaTheme="minorEastAsia"/>
                <w:color w:val="000000"/>
                <w:sz w:val="20"/>
                <w:szCs w:val="20"/>
                <w:vertAlign w:val="superscript"/>
              </w:rPr>
              <w:t>)</w:t>
            </w:r>
          </w:p>
        </w:tc>
        <w:tc>
          <w:tcPr>
            <w:tcW w:w="1117" w:type="pct"/>
            <w:tcMar>
              <w:left w:w="40" w:type="dxa"/>
              <w:right w:w="40" w:type="dxa"/>
            </w:tcMar>
          </w:tcPr>
          <w:p w:rsidR="002C23A6" w:rsidRPr="00FA537A" w:rsidRDefault="003E78AA" w:rsidP="002C23A6">
            <w:pPr>
              <w:bidi w:val="0"/>
              <w:snapToGrid w:val="0"/>
              <w:jc w:val="both"/>
              <w:rPr>
                <w:rFonts w:eastAsiaTheme="minorEastAsia"/>
                <w:color w:val="000000"/>
                <w:sz w:val="20"/>
                <w:szCs w:val="20"/>
              </w:rPr>
            </w:pPr>
            <w:r w:rsidRPr="00FA537A">
              <w:rPr>
                <w:rFonts w:eastAsiaTheme="minorEastAsia"/>
                <w:color w:val="000000"/>
                <w:sz w:val="20"/>
                <w:szCs w:val="20"/>
              </w:rPr>
              <w:t>Continuous</w:t>
            </w:r>
          </w:p>
          <w:p w:rsidR="003E78AA" w:rsidRPr="00FA537A" w:rsidRDefault="003E78AA" w:rsidP="002C23A6">
            <w:pPr>
              <w:bidi w:val="0"/>
              <w:snapToGrid w:val="0"/>
              <w:jc w:val="both"/>
              <w:rPr>
                <w:rFonts w:eastAsiaTheme="minorEastAsia"/>
                <w:color w:val="000000"/>
                <w:sz w:val="20"/>
                <w:szCs w:val="20"/>
              </w:rPr>
            </w:pPr>
            <w:r w:rsidRPr="00FA537A">
              <w:rPr>
                <w:rFonts w:eastAsiaTheme="minorEastAsia"/>
                <w:color w:val="000000"/>
                <w:sz w:val="20"/>
                <w:szCs w:val="20"/>
              </w:rPr>
              <w:t>Phase 2</w:t>
            </w:r>
            <w:r w:rsidR="002E1BE1" w:rsidRPr="00FA537A">
              <w:rPr>
                <w:rFonts w:eastAsiaTheme="minorEastAsia"/>
                <w:color w:val="000000"/>
                <w:sz w:val="20"/>
                <w:szCs w:val="20"/>
              </w:rPr>
              <w:t xml:space="preserve"> (</w:t>
            </w:r>
            <w:r w:rsidRPr="00FA537A">
              <w:rPr>
                <w:rFonts w:eastAsiaTheme="minorEastAsia"/>
                <w:color w:val="000000"/>
                <w:sz w:val="20"/>
                <w:szCs w:val="20"/>
              </w:rPr>
              <w:t>36 mo</w:t>
            </w:r>
            <w:r w:rsidR="002E1BE1" w:rsidRPr="00FA537A">
              <w:rPr>
                <w:rFonts w:eastAsiaTheme="minorEastAsia"/>
                <w:color w:val="000000"/>
                <w:sz w:val="20"/>
                <w:szCs w:val="20"/>
              </w:rPr>
              <w:t>)</w:t>
            </w:r>
          </w:p>
        </w:tc>
        <w:tc>
          <w:tcPr>
            <w:tcW w:w="425" w:type="pct"/>
            <w:tcMar>
              <w:left w:w="40" w:type="dxa"/>
              <w:right w:w="40" w:type="dxa"/>
            </w:tcMar>
          </w:tcPr>
          <w:p w:rsidR="002C23A6" w:rsidRPr="00FA537A" w:rsidRDefault="003E78AA" w:rsidP="002C23A6">
            <w:pPr>
              <w:bidi w:val="0"/>
              <w:snapToGrid w:val="0"/>
              <w:jc w:val="both"/>
              <w:rPr>
                <w:rFonts w:eastAsiaTheme="minorEastAsia"/>
                <w:color w:val="000000"/>
                <w:sz w:val="20"/>
                <w:szCs w:val="20"/>
              </w:rPr>
            </w:pPr>
            <w:r w:rsidRPr="00FA537A">
              <w:rPr>
                <w:rFonts w:eastAsiaTheme="minorEastAsia"/>
                <w:color w:val="000000"/>
                <w:sz w:val="20"/>
                <w:szCs w:val="20"/>
              </w:rPr>
              <w:t>T2–T3</w:t>
            </w:r>
          </w:p>
          <w:p w:rsidR="003E78AA" w:rsidRPr="00FA537A" w:rsidRDefault="003E78AA" w:rsidP="002C23A6">
            <w:pPr>
              <w:bidi w:val="0"/>
              <w:snapToGrid w:val="0"/>
              <w:jc w:val="both"/>
              <w:rPr>
                <w:rFonts w:eastAsiaTheme="minorEastAsia"/>
                <w:color w:val="000000"/>
                <w:sz w:val="20"/>
                <w:szCs w:val="20"/>
              </w:rPr>
            </w:pPr>
            <w:r w:rsidRPr="00FA537A">
              <w:rPr>
                <w:rFonts w:eastAsiaTheme="minorEastAsia"/>
                <w:color w:val="000000"/>
                <w:sz w:val="20"/>
                <w:szCs w:val="20"/>
              </w:rPr>
              <w:t>N0/</w:t>
            </w:r>
            <w:proofErr w:type="spellStart"/>
            <w:r w:rsidRPr="00FA537A">
              <w:rPr>
                <w:rFonts w:eastAsiaTheme="minorEastAsia"/>
                <w:color w:val="000000"/>
                <w:sz w:val="20"/>
                <w:szCs w:val="20"/>
              </w:rPr>
              <w:t>Nx</w:t>
            </w:r>
            <w:proofErr w:type="spellEnd"/>
          </w:p>
        </w:tc>
        <w:tc>
          <w:tcPr>
            <w:tcW w:w="445" w:type="pct"/>
            <w:tcMar>
              <w:left w:w="40" w:type="dxa"/>
              <w:right w:w="40" w:type="dxa"/>
            </w:tcMar>
          </w:tcPr>
          <w:p w:rsidR="003E78AA" w:rsidRPr="00FA537A" w:rsidRDefault="003E78AA" w:rsidP="002C23A6">
            <w:pPr>
              <w:bidi w:val="0"/>
              <w:snapToGrid w:val="0"/>
              <w:jc w:val="both"/>
              <w:rPr>
                <w:rFonts w:eastAsiaTheme="minorEastAsia"/>
                <w:color w:val="000000"/>
                <w:sz w:val="20"/>
                <w:szCs w:val="20"/>
              </w:rPr>
            </w:pPr>
            <w:r w:rsidRPr="00FA537A">
              <w:rPr>
                <w:rFonts w:eastAsiaTheme="minorEastAsia"/>
                <w:color w:val="000000"/>
                <w:sz w:val="20"/>
                <w:szCs w:val="20"/>
              </w:rPr>
              <w:t>50</w:t>
            </w:r>
          </w:p>
        </w:tc>
        <w:tc>
          <w:tcPr>
            <w:tcW w:w="889" w:type="pct"/>
            <w:tcMar>
              <w:left w:w="40" w:type="dxa"/>
              <w:right w:w="40" w:type="dxa"/>
            </w:tcMar>
          </w:tcPr>
          <w:p w:rsidR="002E1BE1" w:rsidRPr="00FA537A" w:rsidRDefault="003E78AA" w:rsidP="002C23A6">
            <w:pPr>
              <w:bidi w:val="0"/>
              <w:snapToGrid w:val="0"/>
              <w:jc w:val="both"/>
              <w:rPr>
                <w:rFonts w:eastAsiaTheme="minorEastAsia"/>
                <w:color w:val="000000"/>
                <w:sz w:val="20"/>
                <w:szCs w:val="20"/>
              </w:rPr>
            </w:pPr>
            <w:proofErr w:type="spellStart"/>
            <w:r w:rsidRPr="00FA537A">
              <w:rPr>
                <w:rFonts w:eastAsiaTheme="minorEastAsia"/>
                <w:color w:val="000000"/>
                <w:sz w:val="20"/>
                <w:szCs w:val="20"/>
              </w:rPr>
              <w:t>Gemcitabine</w:t>
            </w:r>
            <w:proofErr w:type="spellEnd"/>
          </w:p>
          <w:p w:rsidR="003E78AA" w:rsidRPr="00FA537A" w:rsidRDefault="003E78AA" w:rsidP="002C23A6">
            <w:pPr>
              <w:bidi w:val="0"/>
              <w:snapToGrid w:val="0"/>
              <w:jc w:val="both"/>
              <w:rPr>
                <w:rFonts w:eastAsiaTheme="minorEastAsia"/>
                <w:color w:val="000000"/>
                <w:sz w:val="20"/>
                <w:szCs w:val="20"/>
              </w:rPr>
            </w:pPr>
            <w:r w:rsidRPr="00FA537A">
              <w:rPr>
                <w:rFonts w:eastAsiaTheme="minorEastAsia"/>
                <w:color w:val="000000"/>
                <w:sz w:val="20"/>
                <w:szCs w:val="20"/>
              </w:rPr>
              <w:t>weekly</w:t>
            </w:r>
          </w:p>
        </w:tc>
        <w:tc>
          <w:tcPr>
            <w:tcW w:w="768" w:type="pct"/>
            <w:tcMar>
              <w:left w:w="40" w:type="dxa"/>
              <w:right w:w="40" w:type="dxa"/>
            </w:tcMar>
          </w:tcPr>
          <w:p w:rsidR="002E1BE1" w:rsidRPr="00FA537A" w:rsidRDefault="00EE7E54" w:rsidP="002C23A6">
            <w:pPr>
              <w:bidi w:val="0"/>
              <w:snapToGrid w:val="0"/>
              <w:jc w:val="both"/>
              <w:rPr>
                <w:rFonts w:eastAsiaTheme="minorEastAsia"/>
                <w:color w:val="000000"/>
                <w:sz w:val="20"/>
                <w:szCs w:val="20"/>
              </w:rPr>
            </w:pPr>
            <w:r w:rsidRPr="00FA537A">
              <w:rPr>
                <w:rFonts w:eastAsiaTheme="minorEastAsia"/>
                <w:color w:val="000000"/>
                <w:sz w:val="20"/>
                <w:szCs w:val="20"/>
              </w:rPr>
              <w:t xml:space="preserve">52.5 </w:t>
            </w:r>
            <w:proofErr w:type="spellStart"/>
            <w:r w:rsidR="003E78AA" w:rsidRPr="00FA537A">
              <w:rPr>
                <w:rFonts w:eastAsiaTheme="minorEastAsia"/>
                <w:color w:val="000000"/>
                <w:sz w:val="20"/>
                <w:szCs w:val="20"/>
              </w:rPr>
              <w:t>Gy</w:t>
            </w:r>
            <w:proofErr w:type="spellEnd"/>
          </w:p>
          <w:p w:rsidR="003E78AA" w:rsidRPr="00FA537A" w:rsidRDefault="003E78AA" w:rsidP="002C23A6">
            <w:pPr>
              <w:bidi w:val="0"/>
              <w:snapToGrid w:val="0"/>
              <w:jc w:val="both"/>
              <w:rPr>
                <w:rFonts w:eastAsiaTheme="minorEastAsia"/>
                <w:color w:val="000000"/>
                <w:sz w:val="20"/>
                <w:szCs w:val="20"/>
              </w:rPr>
            </w:pPr>
            <w:r w:rsidRPr="00FA537A">
              <w:rPr>
                <w:rFonts w:eastAsiaTheme="minorEastAsia"/>
                <w:color w:val="000000"/>
                <w:sz w:val="20"/>
                <w:szCs w:val="20"/>
              </w:rPr>
              <w:t>in 20</w:t>
            </w:r>
          </w:p>
        </w:tc>
        <w:tc>
          <w:tcPr>
            <w:tcW w:w="449" w:type="pct"/>
            <w:tcMar>
              <w:left w:w="40" w:type="dxa"/>
              <w:right w:w="40" w:type="dxa"/>
            </w:tcMar>
          </w:tcPr>
          <w:p w:rsidR="002C23A6" w:rsidRPr="00FA537A" w:rsidRDefault="003E78AA" w:rsidP="002C23A6">
            <w:pPr>
              <w:bidi w:val="0"/>
              <w:snapToGrid w:val="0"/>
              <w:jc w:val="both"/>
              <w:rPr>
                <w:rFonts w:eastAsiaTheme="minorEastAsia"/>
                <w:color w:val="000000"/>
                <w:sz w:val="20"/>
                <w:szCs w:val="20"/>
              </w:rPr>
            </w:pPr>
            <w:r w:rsidRPr="00FA537A">
              <w:rPr>
                <w:rFonts w:eastAsiaTheme="minorEastAsia"/>
                <w:color w:val="000000"/>
                <w:sz w:val="20"/>
                <w:szCs w:val="20"/>
              </w:rPr>
              <w:t>82</w:t>
            </w:r>
            <w:r w:rsidR="006F5A79" w:rsidRPr="00FA537A">
              <w:rPr>
                <w:rFonts w:eastAsiaTheme="minorEastAsia"/>
                <w:color w:val="000000"/>
                <w:sz w:val="20"/>
                <w:szCs w:val="20"/>
              </w:rPr>
              <w:t>%</w:t>
            </w:r>
          </w:p>
          <w:p w:rsidR="003E78AA" w:rsidRPr="00FA537A" w:rsidRDefault="003E78AA" w:rsidP="002C23A6">
            <w:pPr>
              <w:bidi w:val="0"/>
              <w:snapToGrid w:val="0"/>
              <w:jc w:val="both"/>
              <w:rPr>
                <w:rFonts w:eastAsiaTheme="minorEastAsia"/>
                <w:color w:val="000000"/>
                <w:sz w:val="20"/>
                <w:szCs w:val="20"/>
              </w:rPr>
            </w:pPr>
            <w:r w:rsidRPr="00FA537A">
              <w:rPr>
                <w:rFonts w:eastAsiaTheme="minorEastAsia"/>
                <w:color w:val="000000"/>
                <w:sz w:val="20"/>
                <w:szCs w:val="20"/>
              </w:rPr>
              <w:t>(88%)</w:t>
            </w:r>
          </w:p>
        </w:tc>
      </w:tr>
      <w:tr w:rsidR="002E1BE1" w:rsidRPr="00FA537A" w:rsidTr="002C23A6">
        <w:trPr>
          <w:jc w:val="center"/>
        </w:trPr>
        <w:tc>
          <w:tcPr>
            <w:tcW w:w="906" w:type="pct"/>
            <w:tcMar>
              <w:left w:w="40" w:type="dxa"/>
              <w:right w:w="40" w:type="dxa"/>
            </w:tcMar>
          </w:tcPr>
          <w:p w:rsidR="00A552EA" w:rsidRPr="00FA537A" w:rsidRDefault="003E78AA" w:rsidP="002C23A6">
            <w:pPr>
              <w:bidi w:val="0"/>
              <w:snapToGrid w:val="0"/>
              <w:jc w:val="both"/>
              <w:rPr>
                <w:rFonts w:eastAsiaTheme="minorEastAsia"/>
                <w:color w:val="000000"/>
                <w:sz w:val="20"/>
                <w:szCs w:val="20"/>
              </w:rPr>
            </w:pPr>
            <w:proofErr w:type="spellStart"/>
            <w:r w:rsidRPr="00FA537A">
              <w:rPr>
                <w:rFonts w:eastAsiaTheme="minorEastAsia"/>
                <w:color w:val="000000"/>
                <w:sz w:val="20"/>
                <w:szCs w:val="20"/>
              </w:rPr>
              <w:t>Aboziada</w:t>
            </w:r>
            <w:proofErr w:type="spellEnd"/>
            <w:r w:rsidRPr="00FA537A">
              <w:rPr>
                <w:rFonts w:eastAsiaTheme="minorEastAsia"/>
                <w:color w:val="000000"/>
                <w:sz w:val="20"/>
                <w:szCs w:val="20"/>
              </w:rPr>
              <w:t xml:space="preserve"> </w:t>
            </w:r>
            <w:r w:rsidR="005C2C90" w:rsidRPr="00FA537A">
              <w:rPr>
                <w:rFonts w:eastAsiaTheme="minorEastAsia"/>
                <w:i/>
                <w:iCs/>
                <w:color w:val="000000"/>
                <w:sz w:val="20"/>
                <w:szCs w:val="20"/>
              </w:rPr>
              <w:t>et al.,</w:t>
            </w:r>
          </w:p>
          <w:p w:rsidR="003E78AA" w:rsidRPr="00FA537A" w:rsidRDefault="003E78AA" w:rsidP="002C23A6">
            <w:pPr>
              <w:bidi w:val="0"/>
              <w:snapToGrid w:val="0"/>
              <w:jc w:val="both"/>
              <w:rPr>
                <w:rFonts w:eastAsiaTheme="minorEastAsia"/>
                <w:color w:val="000000"/>
                <w:sz w:val="20"/>
                <w:szCs w:val="20"/>
              </w:rPr>
            </w:pPr>
            <w:r w:rsidRPr="00FA537A">
              <w:rPr>
                <w:rFonts w:eastAsiaTheme="minorEastAsia"/>
                <w:color w:val="000000"/>
                <w:sz w:val="20"/>
                <w:szCs w:val="20"/>
              </w:rPr>
              <w:t xml:space="preserve">2009 </w:t>
            </w:r>
            <w:r w:rsidR="000B7DC4" w:rsidRPr="00FA537A">
              <w:rPr>
                <w:rFonts w:eastAsiaTheme="minorEastAsia"/>
                <w:color w:val="000000"/>
                <w:sz w:val="20"/>
                <w:szCs w:val="20"/>
                <w:vertAlign w:val="superscript"/>
              </w:rPr>
              <w:t>(1</w:t>
            </w:r>
            <w:r w:rsidR="00E5122A" w:rsidRPr="00FA537A">
              <w:rPr>
                <w:rFonts w:eastAsiaTheme="minorEastAsia"/>
                <w:color w:val="000000"/>
                <w:sz w:val="20"/>
                <w:szCs w:val="20"/>
                <w:vertAlign w:val="superscript"/>
              </w:rPr>
              <w:t>6</w:t>
            </w:r>
            <w:r w:rsidR="000B7DC4" w:rsidRPr="00FA537A">
              <w:rPr>
                <w:rFonts w:eastAsiaTheme="minorEastAsia"/>
                <w:color w:val="000000"/>
                <w:sz w:val="20"/>
                <w:szCs w:val="20"/>
                <w:vertAlign w:val="superscript"/>
              </w:rPr>
              <w:t>)</w:t>
            </w:r>
          </w:p>
        </w:tc>
        <w:tc>
          <w:tcPr>
            <w:tcW w:w="1117" w:type="pct"/>
            <w:tcMar>
              <w:left w:w="40" w:type="dxa"/>
              <w:right w:w="40" w:type="dxa"/>
            </w:tcMar>
          </w:tcPr>
          <w:p w:rsidR="002C23A6" w:rsidRPr="00FA537A" w:rsidRDefault="003E78AA" w:rsidP="002C23A6">
            <w:pPr>
              <w:bidi w:val="0"/>
              <w:snapToGrid w:val="0"/>
              <w:jc w:val="both"/>
              <w:rPr>
                <w:rFonts w:eastAsiaTheme="minorEastAsia"/>
                <w:color w:val="000000"/>
                <w:sz w:val="20"/>
                <w:szCs w:val="20"/>
              </w:rPr>
            </w:pPr>
            <w:r w:rsidRPr="00FA537A">
              <w:rPr>
                <w:rFonts w:eastAsiaTheme="minorEastAsia"/>
                <w:color w:val="000000"/>
                <w:sz w:val="20"/>
                <w:szCs w:val="20"/>
              </w:rPr>
              <w:t>Split</w:t>
            </w:r>
          </w:p>
          <w:p w:rsidR="003E78AA" w:rsidRPr="00FA537A" w:rsidRDefault="003E78AA" w:rsidP="002C23A6">
            <w:pPr>
              <w:bidi w:val="0"/>
              <w:snapToGrid w:val="0"/>
              <w:jc w:val="both"/>
              <w:rPr>
                <w:rFonts w:eastAsiaTheme="minorEastAsia"/>
                <w:color w:val="000000"/>
                <w:sz w:val="20"/>
                <w:szCs w:val="20"/>
              </w:rPr>
            </w:pPr>
            <w:r w:rsidRPr="00FA537A">
              <w:rPr>
                <w:rFonts w:eastAsiaTheme="minorEastAsia"/>
                <w:color w:val="000000"/>
                <w:sz w:val="20"/>
                <w:szCs w:val="20"/>
              </w:rPr>
              <w:t>Retrospective</w:t>
            </w:r>
            <w:r w:rsidR="002E1BE1" w:rsidRPr="00FA537A">
              <w:rPr>
                <w:rFonts w:eastAsiaTheme="minorEastAsia"/>
                <w:color w:val="000000"/>
                <w:sz w:val="20"/>
                <w:szCs w:val="20"/>
              </w:rPr>
              <w:t xml:space="preserve"> (</w:t>
            </w:r>
            <w:r w:rsidRPr="00FA537A">
              <w:rPr>
                <w:rFonts w:eastAsiaTheme="minorEastAsia"/>
                <w:color w:val="000000"/>
                <w:sz w:val="20"/>
                <w:szCs w:val="20"/>
              </w:rPr>
              <w:t>18 mo</w:t>
            </w:r>
            <w:r w:rsidR="002E1BE1" w:rsidRPr="00FA537A">
              <w:rPr>
                <w:rFonts w:eastAsiaTheme="minorEastAsia"/>
                <w:color w:val="000000"/>
                <w:sz w:val="20"/>
                <w:szCs w:val="20"/>
              </w:rPr>
              <w:t>)</w:t>
            </w:r>
          </w:p>
        </w:tc>
        <w:tc>
          <w:tcPr>
            <w:tcW w:w="425" w:type="pct"/>
            <w:tcMar>
              <w:left w:w="40" w:type="dxa"/>
              <w:right w:w="40" w:type="dxa"/>
            </w:tcMar>
          </w:tcPr>
          <w:p w:rsidR="00A552EA" w:rsidRPr="00FA537A" w:rsidRDefault="003E78AA" w:rsidP="002C23A6">
            <w:pPr>
              <w:bidi w:val="0"/>
              <w:snapToGrid w:val="0"/>
              <w:jc w:val="both"/>
              <w:rPr>
                <w:rFonts w:eastAsiaTheme="minorEastAsia"/>
                <w:color w:val="000000"/>
                <w:sz w:val="20"/>
                <w:szCs w:val="20"/>
              </w:rPr>
            </w:pPr>
            <w:r w:rsidRPr="00FA537A">
              <w:rPr>
                <w:rFonts w:eastAsiaTheme="minorEastAsia"/>
                <w:color w:val="000000"/>
                <w:sz w:val="20"/>
                <w:szCs w:val="20"/>
              </w:rPr>
              <w:t>T2–T3b</w:t>
            </w:r>
          </w:p>
          <w:p w:rsidR="003E78AA" w:rsidRPr="00FA537A" w:rsidRDefault="003E78AA" w:rsidP="002C23A6">
            <w:pPr>
              <w:bidi w:val="0"/>
              <w:snapToGrid w:val="0"/>
              <w:jc w:val="both"/>
              <w:rPr>
                <w:rFonts w:eastAsiaTheme="minorEastAsia"/>
                <w:color w:val="000000"/>
                <w:sz w:val="20"/>
                <w:szCs w:val="20"/>
              </w:rPr>
            </w:pPr>
            <w:r w:rsidRPr="00FA537A">
              <w:rPr>
                <w:rFonts w:eastAsiaTheme="minorEastAsia"/>
                <w:color w:val="000000"/>
                <w:sz w:val="20"/>
                <w:szCs w:val="20"/>
              </w:rPr>
              <w:t>N0</w:t>
            </w:r>
          </w:p>
        </w:tc>
        <w:tc>
          <w:tcPr>
            <w:tcW w:w="445" w:type="pct"/>
            <w:tcMar>
              <w:left w:w="40" w:type="dxa"/>
              <w:right w:w="40" w:type="dxa"/>
            </w:tcMar>
          </w:tcPr>
          <w:p w:rsidR="003E78AA" w:rsidRPr="00FA537A" w:rsidRDefault="003E78AA" w:rsidP="002C23A6">
            <w:pPr>
              <w:bidi w:val="0"/>
              <w:snapToGrid w:val="0"/>
              <w:jc w:val="both"/>
              <w:rPr>
                <w:rFonts w:eastAsiaTheme="minorEastAsia"/>
                <w:color w:val="000000"/>
                <w:sz w:val="20"/>
                <w:szCs w:val="20"/>
              </w:rPr>
            </w:pPr>
            <w:r w:rsidRPr="00FA537A">
              <w:rPr>
                <w:rFonts w:eastAsiaTheme="minorEastAsia"/>
                <w:color w:val="000000"/>
                <w:sz w:val="20"/>
                <w:szCs w:val="20"/>
              </w:rPr>
              <w:t>50</w:t>
            </w:r>
          </w:p>
        </w:tc>
        <w:tc>
          <w:tcPr>
            <w:tcW w:w="889" w:type="pct"/>
            <w:tcMar>
              <w:left w:w="40" w:type="dxa"/>
              <w:right w:w="40" w:type="dxa"/>
            </w:tcMar>
          </w:tcPr>
          <w:p w:rsidR="002E1BE1" w:rsidRPr="00FA537A" w:rsidRDefault="003E78AA" w:rsidP="002C23A6">
            <w:pPr>
              <w:bidi w:val="0"/>
              <w:snapToGrid w:val="0"/>
              <w:jc w:val="both"/>
              <w:rPr>
                <w:rFonts w:eastAsiaTheme="minorEastAsia"/>
                <w:color w:val="000000"/>
                <w:sz w:val="20"/>
                <w:szCs w:val="20"/>
              </w:rPr>
            </w:pPr>
            <w:proofErr w:type="spellStart"/>
            <w:r w:rsidRPr="00FA537A">
              <w:rPr>
                <w:rFonts w:eastAsiaTheme="minorEastAsia"/>
                <w:color w:val="000000"/>
                <w:sz w:val="20"/>
                <w:szCs w:val="20"/>
              </w:rPr>
              <w:t>Cisplatin</w:t>
            </w:r>
            <w:proofErr w:type="spellEnd"/>
          </w:p>
          <w:p w:rsidR="003E78AA" w:rsidRPr="00FA537A" w:rsidRDefault="003E78AA" w:rsidP="002C23A6">
            <w:pPr>
              <w:bidi w:val="0"/>
              <w:snapToGrid w:val="0"/>
              <w:jc w:val="both"/>
              <w:rPr>
                <w:rFonts w:eastAsiaTheme="minorEastAsia"/>
                <w:color w:val="000000"/>
                <w:sz w:val="20"/>
                <w:szCs w:val="20"/>
              </w:rPr>
            </w:pPr>
            <w:r w:rsidRPr="00FA537A">
              <w:rPr>
                <w:rFonts w:eastAsiaTheme="minorEastAsia"/>
                <w:color w:val="000000"/>
                <w:sz w:val="20"/>
                <w:szCs w:val="20"/>
              </w:rPr>
              <w:t>weekly</w:t>
            </w:r>
          </w:p>
        </w:tc>
        <w:tc>
          <w:tcPr>
            <w:tcW w:w="768" w:type="pct"/>
            <w:tcMar>
              <w:left w:w="40" w:type="dxa"/>
              <w:right w:w="40" w:type="dxa"/>
            </w:tcMar>
          </w:tcPr>
          <w:p w:rsidR="002C23A6" w:rsidRPr="00FA537A" w:rsidRDefault="003E78AA" w:rsidP="002C23A6">
            <w:pPr>
              <w:bidi w:val="0"/>
              <w:snapToGrid w:val="0"/>
              <w:jc w:val="both"/>
              <w:rPr>
                <w:rFonts w:eastAsiaTheme="minorEastAsia"/>
                <w:color w:val="000000"/>
                <w:sz w:val="20"/>
                <w:szCs w:val="20"/>
              </w:rPr>
            </w:pPr>
            <w:r w:rsidRPr="00FA537A">
              <w:rPr>
                <w:rFonts w:eastAsiaTheme="minorEastAsia"/>
                <w:color w:val="000000"/>
                <w:sz w:val="20"/>
                <w:szCs w:val="20"/>
              </w:rPr>
              <w:t xml:space="preserve">66 </w:t>
            </w:r>
            <w:proofErr w:type="spellStart"/>
            <w:r w:rsidRPr="00FA537A">
              <w:rPr>
                <w:rFonts w:eastAsiaTheme="minorEastAsia"/>
                <w:color w:val="000000"/>
                <w:sz w:val="20"/>
                <w:szCs w:val="20"/>
              </w:rPr>
              <w:t>Gy</w:t>
            </w:r>
            <w:proofErr w:type="spellEnd"/>
          </w:p>
          <w:p w:rsidR="003E78AA" w:rsidRPr="00FA537A" w:rsidRDefault="003E78AA" w:rsidP="002C23A6">
            <w:pPr>
              <w:bidi w:val="0"/>
              <w:snapToGrid w:val="0"/>
              <w:jc w:val="both"/>
              <w:rPr>
                <w:rFonts w:eastAsiaTheme="minorEastAsia"/>
                <w:color w:val="000000"/>
                <w:sz w:val="20"/>
                <w:szCs w:val="20"/>
              </w:rPr>
            </w:pPr>
            <w:r w:rsidRPr="00FA537A">
              <w:rPr>
                <w:rFonts w:eastAsiaTheme="minorEastAsia"/>
                <w:color w:val="000000"/>
                <w:sz w:val="20"/>
                <w:szCs w:val="20"/>
              </w:rPr>
              <w:t>ST</w:t>
            </w:r>
          </w:p>
        </w:tc>
        <w:tc>
          <w:tcPr>
            <w:tcW w:w="449" w:type="pct"/>
            <w:tcMar>
              <w:left w:w="40" w:type="dxa"/>
              <w:right w:w="40" w:type="dxa"/>
            </w:tcMar>
          </w:tcPr>
          <w:p w:rsidR="003E78AA" w:rsidRPr="00FA537A" w:rsidRDefault="003E78AA" w:rsidP="002C23A6">
            <w:pPr>
              <w:bidi w:val="0"/>
              <w:snapToGrid w:val="0"/>
              <w:jc w:val="both"/>
              <w:rPr>
                <w:rFonts w:eastAsiaTheme="minorEastAsia"/>
                <w:color w:val="000000"/>
                <w:sz w:val="20"/>
                <w:szCs w:val="20"/>
              </w:rPr>
            </w:pPr>
            <w:r w:rsidRPr="00FA537A">
              <w:rPr>
                <w:rFonts w:eastAsiaTheme="minorEastAsia"/>
                <w:color w:val="000000"/>
                <w:sz w:val="20"/>
                <w:szCs w:val="20"/>
              </w:rPr>
              <w:t>60%</w:t>
            </w:r>
          </w:p>
        </w:tc>
      </w:tr>
      <w:tr w:rsidR="002E1BE1" w:rsidRPr="00FA537A" w:rsidTr="002C23A6">
        <w:trPr>
          <w:jc w:val="center"/>
        </w:trPr>
        <w:tc>
          <w:tcPr>
            <w:tcW w:w="906" w:type="pct"/>
            <w:tcMar>
              <w:left w:w="40" w:type="dxa"/>
              <w:right w:w="40" w:type="dxa"/>
            </w:tcMar>
          </w:tcPr>
          <w:p w:rsidR="00A552EA" w:rsidRPr="00FA537A" w:rsidRDefault="003E78AA" w:rsidP="002C23A6">
            <w:pPr>
              <w:bidi w:val="0"/>
              <w:snapToGrid w:val="0"/>
              <w:jc w:val="both"/>
              <w:rPr>
                <w:rFonts w:eastAsiaTheme="minorEastAsia"/>
                <w:color w:val="000000"/>
                <w:sz w:val="20"/>
                <w:szCs w:val="20"/>
              </w:rPr>
            </w:pPr>
            <w:proofErr w:type="spellStart"/>
            <w:r w:rsidRPr="00FA537A">
              <w:rPr>
                <w:rFonts w:eastAsiaTheme="minorEastAsia"/>
                <w:color w:val="000000"/>
                <w:sz w:val="20"/>
                <w:szCs w:val="20"/>
              </w:rPr>
              <w:t>Peyromaure</w:t>
            </w:r>
            <w:proofErr w:type="spellEnd"/>
            <w:r w:rsidRPr="00FA537A">
              <w:rPr>
                <w:rFonts w:eastAsiaTheme="minorEastAsia"/>
                <w:color w:val="000000"/>
                <w:sz w:val="20"/>
                <w:szCs w:val="20"/>
              </w:rPr>
              <w:t xml:space="preserve"> </w:t>
            </w:r>
            <w:r w:rsidR="005C2C90" w:rsidRPr="00FA537A">
              <w:rPr>
                <w:rFonts w:eastAsiaTheme="minorEastAsia"/>
                <w:i/>
                <w:iCs/>
                <w:color w:val="000000"/>
                <w:sz w:val="20"/>
                <w:szCs w:val="20"/>
              </w:rPr>
              <w:t>et al.,</w:t>
            </w:r>
          </w:p>
          <w:p w:rsidR="003E78AA" w:rsidRPr="00FA537A" w:rsidRDefault="003E78AA" w:rsidP="002C23A6">
            <w:pPr>
              <w:bidi w:val="0"/>
              <w:snapToGrid w:val="0"/>
              <w:jc w:val="both"/>
              <w:rPr>
                <w:rFonts w:eastAsiaTheme="minorEastAsia"/>
                <w:color w:val="000000"/>
                <w:sz w:val="20"/>
                <w:szCs w:val="20"/>
              </w:rPr>
            </w:pPr>
            <w:r w:rsidRPr="00FA537A">
              <w:rPr>
                <w:rFonts w:eastAsiaTheme="minorEastAsia"/>
                <w:color w:val="000000"/>
                <w:sz w:val="20"/>
                <w:szCs w:val="20"/>
              </w:rPr>
              <w:t xml:space="preserve">2004 </w:t>
            </w:r>
            <w:r w:rsidR="000B7DC4" w:rsidRPr="00FA537A">
              <w:rPr>
                <w:rFonts w:eastAsiaTheme="minorEastAsia"/>
                <w:color w:val="000000"/>
                <w:sz w:val="20"/>
                <w:szCs w:val="20"/>
                <w:vertAlign w:val="superscript"/>
              </w:rPr>
              <w:t>(</w:t>
            </w:r>
            <w:r w:rsidR="00E5122A" w:rsidRPr="00FA537A">
              <w:rPr>
                <w:rFonts w:eastAsiaTheme="minorEastAsia"/>
                <w:color w:val="000000"/>
                <w:sz w:val="20"/>
                <w:szCs w:val="20"/>
                <w:vertAlign w:val="superscript"/>
              </w:rPr>
              <w:t>19</w:t>
            </w:r>
            <w:r w:rsidR="000B7DC4" w:rsidRPr="00FA537A">
              <w:rPr>
                <w:rFonts w:eastAsiaTheme="minorEastAsia"/>
                <w:color w:val="000000"/>
                <w:sz w:val="20"/>
                <w:szCs w:val="20"/>
                <w:vertAlign w:val="superscript"/>
              </w:rPr>
              <w:t>)</w:t>
            </w:r>
          </w:p>
        </w:tc>
        <w:tc>
          <w:tcPr>
            <w:tcW w:w="1117" w:type="pct"/>
            <w:tcMar>
              <w:left w:w="40" w:type="dxa"/>
              <w:right w:w="40" w:type="dxa"/>
            </w:tcMar>
          </w:tcPr>
          <w:p w:rsidR="002C23A6" w:rsidRPr="00FA537A" w:rsidRDefault="003E78AA" w:rsidP="002C23A6">
            <w:pPr>
              <w:bidi w:val="0"/>
              <w:snapToGrid w:val="0"/>
              <w:jc w:val="both"/>
              <w:rPr>
                <w:rFonts w:eastAsiaTheme="minorEastAsia"/>
                <w:color w:val="000000"/>
                <w:sz w:val="20"/>
                <w:szCs w:val="20"/>
              </w:rPr>
            </w:pPr>
            <w:r w:rsidRPr="00FA537A">
              <w:rPr>
                <w:rFonts w:eastAsiaTheme="minorEastAsia"/>
                <w:color w:val="000000"/>
                <w:sz w:val="20"/>
                <w:szCs w:val="20"/>
              </w:rPr>
              <w:t>Split</w:t>
            </w:r>
          </w:p>
          <w:p w:rsidR="003E78AA" w:rsidRPr="00FA537A" w:rsidRDefault="003E78AA" w:rsidP="002C23A6">
            <w:pPr>
              <w:bidi w:val="0"/>
              <w:snapToGrid w:val="0"/>
              <w:jc w:val="both"/>
              <w:rPr>
                <w:rFonts w:eastAsiaTheme="minorEastAsia"/>
                <w:color w:val="000000"/>
                <w:sz w:val="20"/>
                <w:szCs w:val="20"/>
              </w:rPr>
            </w:pPr>
            <w:r w:rsidRPr="00FA537A">
              <w:rPr>
                <w:rFonts w:eastAsiaTheme="minorEastAsia"/>
                <w:color w:val="000000"/>
                <w:sz w:val="20"/>
                <w:szCs w:val="20"/>
              </w:rPr>
              <w:t>Retrospective</w:t>
            </w:r>
            <w:r w:rsidR="002E1BE1" w:rsidRPr="00FA537A">
              <w:rPr>
                <w:rFonts w:eastAsiaTheme="minorEastAsia"/>
                <w:color w:val="000000"/>
                <w:sz w:val="20"/>
                <w:szCs w:val="20"/>
              </w:rPr>
              <w:t xml:space="preserve"> (</w:t>
            </w:r>
            <w:r w:rsidRPr="00FA537A">
              <w:rPr>
                <w:rFonts w:eastAsiaTheme="minorEastAsia"/>
                <w:color w:val="000000"/>
                <w:sz w:val="20"/>
                <w:szCs w:val="20"/>
              </w:rPr>
              <w:t>36.3 mo</w:t>
            </w:r>
            <w:r w:rsidR="002E1BE1" w:rsidRPr="00FA537A">
              <w:rPr>
                <w:rFonts w:eastAsiaTheme="minorEastAsia"/>
                <w:color w:val="000000"/>
                <w:sz w:val="20"/>
                <w:szCs w:val="20"/>
              </w:rPr>
              <w:t>)</w:t>
            </w:r>
          </w:p>
        </w:tc>
        <w:tc>
          <w:tcPr>
            <w:tcW w:w="425" w:type="pct"/>
            <w:tcMar>
              <w:left w:w="40" w:type="dxa"/>
              <w:right w:w="40" w:type="dxa"/>
            </w:tcMar>
          </w:tcPr>
          <w:p w:rsidR="00A552EA" w:rsidRPr="00FA537A" w:rsidRDefault="003E78AA" w:rsidP="002C23A6">
            <w:pPr>
              <w:bidi w:val="0"/>
              <w:snapToGrid w:val="0"/>
              <w:jc w:val="both"/>
              <w:rPr>
                <w:rFonts w:eastAsiaTheme="minorEastAsia"/>
                <w:color w:val="000000"/>
                <w:sz w:val="20"/>
                <w:szCs w:val="20"/>
              </w:rPr>
            </w:pPr>
            <w:r w:rsidRPr="00FA537A">
              <w:rPr>
                <w:rFonts w:eastAsiaTheme="minorEastAsia"/>
                <w:color w:val="000000"/>
                <w:sz w:val="20"/>
                <w:szCs w:val="20"/>
              </w:rPr>
              <w:t>T2N0/</w:t>
            </w:r>
          </w:p>
          <w:p w:rsidR="003E78AA" w:rsidRPr="00FA537A" w:rsidRDefault="003E78AA" w:rsidP="002C23A6">
            <w:pPr>
              <w:bidi w:val="0"/>
              <w:snapToGrid w:val="0"/>
              <w:jc w:val="both"/>
              <w:rPr>
                <w:rFonts w:eastAsiaTheme="minorEastAsia"/>
                <w:color w:val="000000"/>
                <w:sz w:val="20"/>
                <w:szCs w:val="20"/>
              </w:rPr>
            </w:pPr>
            <w:proofErr w:type="spellStart"/>
            <w:r w:rsidRPr="00FA537A">
              <w:rPr>
                <w:rFonts w:eastAsiaTheme="minorEastAsia"/>
                <w:color w:val="000000"/>
                <w:sz w:val="20"/>
                <w:szCs w:val="20"/>
              </w:rPr>
              <w:t>Nx</w:t>
            </w:r>
            <w:proofErr w:type="spellEnd"/>
          </w:p>
        </w:tc>
        <w:tc>
          <w:tcPr>
            <w:tcW w:w="445" w:type="pct"/>
            <w:tcMar>
              <w:left w:w="40" w:type="dxa"/>
              <w:right w:w="40" w:type="dxa"/>
            </w:tcMar>
          </w:tcPr>
          <w:p w:rsidR="003E78AA" w:rsidRPr="00FA537A" w:rsidRDefault="003E78AA" w:rsidP="002C23A6">
            <w:pPr>
              <w:bidi w:val="0"/>
              <w:snapToGrid w:val="0"/>
              <w:jc w:val="both"/>
              <w:rPr>
                <w:rFonts w:eastAsiaTheme="minorEastAsia"/>
                <w:color w:val="000000"/>
                <w:sz w:val="20"/>
                <w:szCs w:val="20"/>
              </w:rPr>
            </w:pPr>
            <w:r w:rsidRPr="00FA537A">
              <w:rPr>
                <w:rFonts w:eastAsiaTheme="minorEastAsia"/>
                <w:color w:val="000000"/>
                <w:sz w:val="20"/>
                <w:szCs w:val="20"/>
              </w:rPr>
              <w:t>43</w:t>
            </w:r>
          </w:p>
        </w:tc>
        <w:tc>
          <w:tcPr>
            <w:tcW w:w="889" w:type="pct"/>
            <w:tcMar>
              <w:left w:w="40" w:type="dxa"/>
              <w:right w:w="40" w:type="dxa"/>
            </w:tcMar>
          </w:tcPr>
          <w:p w:rsidR="002E1BE1" w:rsidRPr="00FA537A" w:rsidRDefault="003E78AA" w:rsidP="002C23A6">
            <w:pPr>
              <w:bidi w:val="0"/>
              <w:snapToGrid w:val="0"/>
              <w:jc w:val="both"/>
              <w:rPr>
                <w:rFonts w:eastAsiaTheme="minorEastAsia"/>
                <w:color w:val="000000"/>
                <w:sz w:val="20"/>
                <w:szCs w:val="20"/>
              </w:rPr>
            </w:pPr>
            <w:proofErr w:type="spellStart"/>
            <w:r w:rsidRPr="00FA537A">
              <w:rPr>
                <w:rFonts w:eastAsiaTheme="minorEastAsia"/>
                <w:color w:val="000000"/>
                <w:sz w:val="20"/>
                <w:szCs w:val="20"/>
              </w:rPr>
              <w:t>Cisplatin</w:t>
            </w:r>
            <w:proofErr w:type="spellEnd"/>
            <w:r w:rsidRPr="00FA537A">
              <w:rPr>
                <w:rFonts w:eastAsiaTheme="minorEastAsia"/>
                <w:color w:val="000000"/>
                <w:sz w:val="20"/>
                <w:szCs w:val="20"/>
              </w:rPr>
              <w:t xml:space="preserve"> +</w:t>
            </w:r>
          </w:p>
          <w:p w:rsidR="003E78AA" w:rsidRPr="00FA537A" w:rsidRDefault="003E78AA" w:rsidP="002C23A6">
            <w:pPr>
              <w:bidi w:val="0"/>
              <w:snapToGrid w:val="0"/>
              <w:jc w:val="both"/>
              <w:rPr>
                <w:rFonts w:eastAsiaTheme="minorEastAsia"/>
                <w:color w:val="000000"/>
                <w:sz w:val="20"/>
                <w:szCs w:val="20"/>
              </w:rPr>
            </w:pPr>
            <w:r w:rsidRPr="00FA537A">
              <w:rPr>
                <w:rFonts w:eastAsiaTheme="minorEastAsia"/>
                <w:color w:val="000000"/>
                <w:sz w:val="20"/>
                <w:szCs w:val="20"/>
              </w:rPr>
              <w:t>5-FU x2</w:t>
            </w:r>
          </w:p>
        </w:tc>
        <w:tc>
          <w:tcPr>
            <w:tcW w:w="768" w:type="pct"/>
            <w:tcMar>
              <w:left w:w="40" w:type="dxa"/>
              <w:right w:w="40" w:type="dxa"/>
            </w:tcMar>
          </w:tcPr>
          <w:p w:rsidR="002C23A6" w:rsidRPr="00FA537A" w:rsidRDefault="00EE7E54" w:rsidP="002C23A6">
            <w:pPr>
              <w:bidi w:val="0"/>
              <w:snapToGrid w:val="0"/>
              <w:jc w:val="both"/>
              <w:rPr>
                <w:rFonts w:eastAsiaTheme="minorEastAsia"/>
                <w:color w:val="000000"/>
                <w:sz w:val="20"/>
                <w:szCs w:val="20"/>
              </w:rPr>
            </w:pPr>
            <w:r w:rsidRPr="00FA537A">
              <w:rPr>
                <w:rFonts w:eastAsiaTheme="minorEastAsia"/>
                <w:color w:val="000000"/>
                <w:sz w:val="20"/>
                <w:szCs w:val="20"/>
              </w:rPr>
              <w:t xml:space="preserve">24 </w:t>
            </w:r>
            <w:proofErr w:type="spellStart"/>
            <w:r w:rsidR="003E78AA" w:rsidRPr="00FA537A">
              <w:rPr>
                <w:rFonts w:eastAsiaTheme="minorEastAsia"/>
                <w:color w:val="000000"/>
                <w:sz w:val="20"/>
                <w:szCs w:val="20"/>
              </w:rPr>
              <w:t>Gy</w:t>
            </w:r>
            <w:proofErr w:type="spellEnd"/>
            <w:r w:rsidR="003E78AA" w:rsidRPr="00FA537A">
              <w:rPr>
                <w:rFonts w:eastAsiaTheme="minorEastAsia"/>
                <w:color w:val="000000"/>
                <w:sz w:val="20"/>
                <w:szCs w:val="20"/>
              </w:rPr>
              <w:t xml:space="preserve"> in 8</w:t>
            </w:r>
          </w:p>
          <w:p w:rsidR="003E78AA" w:rsidRPr="00FA537A" w:rsidRDefault="003E78AA" w:rsidP="002C23A6">
            <w:pPr>
              <w:bidi w:val="0"/>
              <w:snapToGrid w:val="0"/>
              <w:jc w:val="both"/>
              <w:rPr>
                <w:rFonts w:eastAsiaTheme="minorEastAsia"/>
                <w:color w:val="000000"/>
                <w:sz w:val="20"/>
                <w:szCs w:val="20"/>
              </w:rPr>
            </w:pPr>
            <w:r w:rsidRPr="00FA537A">
              <w:rPr>
                <w:rFonts w:eastAsiaTheme="minorEastAsia"/>
                <w:color w:val="000000"/>
                <w:sz w:val="20"/>
                <w:szCs w:val="20"/>
              </w:rPr>
              <w:t>BID</w:t>
            </w:r>
          </w:p>
        </w:tc>
        <w:tc>
          <w:tcPr>
            <w:tcW w:w="449" w:type="pct"/>
            <w:tcMar>
              <w:left w:w="40" w:type="dxa"/>
              <w:right w:w="40" w:type="dxa"/>
            </w:tcMar>
          </w:tcPr>
          <w:p w:rsidR="003E78AA" w:rsidRPr="00FA537A" w:rsidRDefault="003E78AA" w:rsidP="002C23A6">
            <w:pPr>
              <w:bidi w:val="0"/>
              <w:snapToGrid w:val="0"/>
              <w:jc w:val="both"/>
              <w:rPr>
                <w:rFonts w:eastAsiaTheme="minorEastAsia"/>
                <w:color w:val="000000"/>
                <w:sz w:val="20"/>
                <w:szCs w:val="20"/>
              </w:rPr>
            </w:pPr>
            <w:r w:rsidRPr="00FA537A">
              <w:rPr>
                <w:rFonts w:eastAsiaTheme="minorEastAsia"/>
                <w:color w:val="000000"/>
                <w:sz w:val="20"/>
                <w:szCs w:val="20"/>
              </w:rPr>
              <w:t>74.4%</w:t>
            </w:r>
          </w:p>
        </w:tc>
      </w:tr>
      <w:tr w:rsidR="002E1BE1" w:rsidRPr="00FA537A" w:rsidTr="002C23A6">
        <w:trPr>
          <w:jc w:val="center"/>
        </w:trPr>
        <w:tc>
          <w:tcPr>
            <w:tcW w:w="906" w:type="pct"/>
            <w:tcMar>
              <w:left w:w="40" w:type="dxa"/>
              <w:right w:w="40" w:type="dxa"/>
            </w:tcMar>
          </w:tcPr>
          <w:p w:rsidR="003E78AA" w:rsidRPr="00FA537A" w:rsidRDefault="003E78AA" w:rsidP="002C23A6">
            <w:pPr>
              <w:bidi w:val="0"/>
              <w:snapToGrid w:val="0"/>
              <w:jc w:val="both"/>
              <w:rPr>
                <w:rFonts w:eastAsiaTheme="minorEastAsia"/>
                <w:color w:val="000000"/>
                <w:sz w:val="20"/>
                <w:szCs w:val="20"/>
              </w:rPr>
            </w:pPr>
            <w:r w:rsidRPr="00FA537A">
              <w:rPr>
                <w:rFonts w:eastAsiaTheme="minorEastAsia"/>
                <w:color w:val="000000"/>
                <w:sz w:val="20"/>
                <w:szCs w:val="20"/>
              </w:rPr>
              <w:t>In our study</w:t>
            </w:r>
          </w:p>
        </w:tc>
        <w:tc>
          <w:tcPr>
            <w:tcW w:w="1117" w:type="pct"/>
            <w:tcMar>
              <w:left w:w="40" w:type="dxa"/>
              <w:right w:w="40" w:type="dxa"/>
            </w:tcMar>
          </w:tcPr>
          <w:p w:rsidR="002C23A6" w:rsidRPr="00FA537A" w:rsidRDefault="003E78AA" w:rsidP="002C23A6">
            <w:pPr>
              <w:bidi w:val="0"/>
              <w:snapToGrid w:val="0"/>
              <w:jc w:val="both"/>
              <w:rPr>
                <w:rFonts w:eastAsiaTheme="minorEastAsia"/>
                <w:color w:val="000000"/>
                <w:sz w:val="20"/>
                <w:szCs w:val="20"/>
              </w:rPr>
            </w:pPr>
            <w:r w:rsidRPr="00FA537A">
              <w:rPr>
                <w:rFonts w:eastAsiaTheme="minorEastAsia"/>
                <w:color w:val="000000"/>
                <w:sz w:val="20"/>
                <w:szCs w:val="20"/>
              </w:rPr>
              <w:t>Split</w:t>
            </w:r>
          </w:p>
          <w:p w:rsidR="003E78AA" w:rsidRPr="00FA537A" w:rsidRDefault="003E78AA" w:rsidP="002C23A6">
            <w:pPr>
              <w:bidi w:val="0"/>
              <w:snapToGrid w:val="0"/>
              <w:jc w:val="both"/>
              <w:rPr>
                <w:rFonts w:eastAsiaTheme="minorEastAsia"/>
                <w:color w:val="000000"/>
                <w:sz w:val="20"/>
                <w:szCs w:val="20"/>
              </w:rPr>
            </w:pPr>
            <w:r w:rsidRPr="00FA537A">
              <w:rPr>
                <w:rFonts w:eastAsiaTheme="minorEastAsia"/>
                <w:color w:val="000000"/>
                <w:sz w:val="20"/>
                <w:szCs w:val="20"/>
              </w:rPr>
              <w:t>Retrospective</w:t>
            </w:r>
            <w:r w:rsidR="002E1BE1" w:rsidRPr="00FA537A">
              <w:rPr>
                <w:rFonts w:eastAsiaTheme="minorEastAsia"/>
                <w:color w:val="000000"/>
                <w:sz w:val="20"/>
                <w:szCs w:val="20"/>
              </w:rPr>
              <w:t xml:space="preserve"> (</w:t>
            </w:r>
            <w:r w:rsidRPr="00FA537A">
              <w:rPr>
                <w:rFonts w:eastAsiaTheme="minorEastAsia"/>
                <w:color w:val="000000"/>
                <w:sz w:val="20"/>
                <w:szCs w:val="20"/>
              </w:rPr>
              <w:t xml:space="preserve">24 </w:t>
            </w:r>
            <w:r w:rsidR="002E1BE1" w:rsidRPr="00FA537A">
              <w:rPr>
                <w:rFonts w:eastAsiaTheme="minorEastAsia"/>
                <w:color w:val="000000"/>
                <w:sz w:val="20"/>
                <w:szCs w:val="20"/>
              </w:rPr>
              <w:t>mo)</w:t>
            </w:r>
          </w:p>
        </w:tc>
        <w:tc>
          <w:tcPr>
            <w:tcW w:w="425" w:type="pct"/>
            <w:tcMar>
              <w:left w:w="40" w:type="dxa"/>
              <w:right w:w="40" w:type="dxa"/>
            </w:tcMar>
          </w:tcPr>
          <w:p w:rsidR="00A552EA" w:rsidRPr="00FA537A" w:rsidRDefault="003E78AA" w:rsidP="002C23A6">
            <w:pPr>
              <w:bidi w:val="0"/>
              <w:snapToGrid w:val="0"/>
              <w:jc w:val="both"/>
              <w:rPr>
                <w:rFonts w:eastAsiaTheme="minorEastAsia"/>
                <w:color w:val="000000"/>
                <w:sz w:val="20"/>
                <w:szCs w:val="20"/>
              </w:rPr>
            </w:pPr>
            <w:r w:rsidRPr="00FA537A">
              <w:rPr>
                <w:rFonts w:eastAsiaTheme="minorEastAsia"/>
                <w:color w:val="000000"/>
                <w:sz w:val="20"/>
                <w:szCs w:val="20"/>
              </w:rPr>
              <w:t>T2–T3b</w:t>
            </w:r>
          </w:p>
          <w:p w:rsidR="003E78AA" w:rsidRPr="00FA537A" w:rsidRDefault="003E78AA" w:rsidP="002C23A6">
            <w:pPr>
              <w:bidi w:val="0"/>
              <w:snapToGrid w:val="0"/>
              <w:jc w:val="both"/>
              <w:rPr>
                <w:rFonts w:eastAsiaTheme="minorEastAsia"/>
                <w:color w:val="000000"/>
                <w:sz w:val="20"/>
                <w:szCs w:val="20"/>
              </w:rPr>
            </w:pPr>
            <w:r w:rsidRPr="00FA537A">
              <w:rPr>
                <w:rFonts w:eastAsiaTheme="minorEastAsia"/>
                <w:color w:val="000000"/>
                <w:sz w:val="20"/>
                <w:szCs w:val="20"/>
              </w:rPr>
              <w:t>N0</w:t>
            </w:r>
          </w:p>
        </w:tc>
        <w:tc>
          <w:tcPr>
            <w:tcW w:w="445" w:type="pct"/>
            <w:tcMar>
              <w:left w:w="40" w:type="dxa"/>
              <w:right w:w="40" w:type="dxa"/>
            </w:tcMar>
          </w:tcPr>
          <w:p w:rsidR="003E78AA" w:rsidRPr="00FA537A" w:rsidRDefault="003E78AA" w:rsidP="002C23A6">
            <w:pPr>
              <w:bidi w:val="0"/>
              <w:snapToGrid w:val="0"/>
              <w:jc w:val="both"/>
              <w:rPr>
                <w:rFonts w:eastAsiaTheme="minorEastAsia"/>
                <w:color w:val="000000"/>
                <w:sz w:val="20"/>
                <w:szCs w:val="20"/>
              </w:rPr>
            </w:pPr>
            <w:r w:rsidRPr="00FA537A">
              <w:rPr>
                <w:rFonts w:eastAsiaTheme="minorEastAsia"/>
                <w:color w:val="000000"/>
                <w:sz w:val="20"/>
                <w:szCs w:val="20"/>
              </w:rPr>
              <w:t>25</w:t>
            </w:r>
          </w:p>
        </w:tc>
        <w:tc>
          <w:tcPr>
            <w:tcW w:w="889" w:type="pct"/>
            <w:tcMar>
              <w:left w:w="40" w:type="dxa"/>
              <w:right w:w="40" w:type="dxa"/>
            </w:tcMar>
          </w:tcPr>
          <w:p w:rsidR="002E1BE1" w:rsidRPr="00FA537A" w:rsidRDefault="003E78AA" w:rsidP="002C23A6">
            <w:pPr>
              <w:bidi w:val="0"/>
              <w:snapToGrid w:val="0"/>
              <w:jc w:val="both"/>
              <w:rPr>
                <w:rFonts w:eastAsiaTheme="minorEastAsia"/>
                <w:color w:val="000000"/>
                <w:sz w:val="20"/>
                <w:szCs w:val="20"/>
              </w:rPr>
            </w:pPr>
            <w:proofErr w:type="spellStart"/>
            <w:r w:rsidRPr="00FA537A">
              <w:rPr>
                <w:rFonts w:eastAsiaTheme="minorEastAsia"/>
                <w:color w:val="000000"/>
                <w:sz w:val="20"/>
                <w:szCs w:val="20"/>
              </w:rPr>
              <w:t>Cisplatin</w:t>
            </w:r>
            <w:proofErr w:type="spellEnd"/>
          </w:p>
          <w:p w:rsidR="003E78AA" w:rsidRPr="00FA537A" w:rsidRDefault="003E78AA" w:rsidP="002C23A6">
            <w:pPr>
              <w:bidi w:val="0"/>
              <w:snapToGrid w:val="0"/>
              <w:jc w:val="both"/>
              <w:rPr>
                <w:rFonts w:eastAsiaTheme="minorEastAsia"/>
                <w:color w:val="000000"/>
                <w:sz w:val="20"/>
                <w:szCs w:val="20"/>
              </w:rPr>
            </w:pPr>
            <w:r w:rsidRPr="00FA537A">
              <w:rPr>
                <w:rFonts w:eastAsiaTheme="minorEastAsia"/>
                <w:color w:val="000000"/>
                <w:sz w:val="20"/>
                <w:szCs w:val="20"/>
              </w:rPr>
              <w:t>weekly</w:t>
            </w:r>
          </w:p>
        </w:tc>
        <w:tc>
          <w:tcPr>
            <w:tcW w:w="768" w:type="pct"/>
            <w:tcMar>
              <w:left w:w="40" w:type="dxa"/>
              <w:right w:w="40" w:type="dxa"/>
            </w:tcMar>
          </w:tcPr>
          <w:p w:rsidR="003E78AA" w:rsidRPr="00FA537A" w:rsidRDefault="003E78AA" w:rsidP="002C23A6">
            <w:pPr>
              <w:bidi w:val="0"/>
              <w:snapToGrid w:val="0"/>
              <w:jc w:val="both"/>
              <w:rPr>
                <w:rFonts w:eastAsiaTheme="minorEastAsia"/>
                <w:color w:val="000000"/>
                <w:sz w:val="20"/>
                <w:szCs w:val="20"/>
              </w:rPr>
            </w:pPr>
            <w:r w:rsidRPr="00FA537A">
              <w:rPr>
                <w:rFonts w:eastAsiaTheme="minorEastAsia"/>
                <w:color w:val="000000"/>
                <w:sz w:val="20"/>
                <w:szCs w:val="20"/>
              </w:rPr>
              <w:t xml:space="preserve">64 </w:t>
            </w:r>
            <w:proofErr w:type="spellStart"/>
            <w:r w:rsidRPr="00FA537A">
              <w:rPr>
                <w:rFonts w:eastAsiaTheme="minorEastAsia"/>
                <w:color w:val="000000"/>
                <w:sz w:val="20"/>
                <w:szCs w:val="20"/>
              </w:rPr>
              <w:t>Gy</w:t>
            </w:r>
            <w:proofErr w:type="spellEnd"/>
          </w:p>
        </w:tc>
        <w:tc>
          <w:tcPr>
            <w:tcW w:w="449" w:type="pct"/>
            <w:tcMar>
              <w:left w:w="40" w:type="dxa"/>
              <w:right w:w="40" w:type="dxa"/>
            </w:tcMar>
          </w:tcPr>
          <w:p w:rsidR="003E78AA" w:rsidRPr="00FA537A" w:rsidRDefault="003E78AA" w:rsidP="002C23A6">
            <w:pPr>
              <w:bidi w:val="0"/>
              <w:snapToGrid w:val="0"/>
              <w:jc w:val="both"/>
              <w:rPr>
                <w:rFonts w:eastAsiaTheme="minorEastAsia"/>
                <w:color w:val="000000"/>
                <w:sz w:val="20"/>
                <w:szCs w:val="20"/>
              </w:rPr>
            </w:pPr>
            <w:r w:rsidRPr="00FA537A">
              <w:rPr>
                <w:rFonts w:eastAsiaTheme="minorEastAsia"/>
                <w:color w:val="000000"/>
                <w:sz w:val="20"/>
                <w:szCs w:val="20"/>
              </w:rPr>
              <w:t>65%</w:t>
            </w:r>
          </w:p>
        </w:tc>
      </w:tr>
    </w:tbl>
    <w:p w:rsidR="009D515E" w:rsidRPr="00FA537A" w:rsidRDefault="009D515E" w:rsidP="002C23A6">
      <w:pPr>
        <w:pStyle w:val="Heading3"/>
        <w:snapToGrid w:val="0"/>
        <w:spacing w:before="0" w:beforeAutospacing="0" w:after="0" w:afterAutospacing="0"/>
        <w:ind w:firstLine="425"/>
        <w:jc w:val="both"/>
        <w:rPr>
          <w:b w:val="0"/>
          <w:bCs w:val="0"/>
          <w:sz w:val="20"/>
          <w:szCs w:val="20"/>
        </w:rPr>
      </w:pPr>
    </w:p>
    <w:p w:rsidR="002C23A6" w:rsidRPr="00FA537A" w:rsidRDefault="002C23A6" w:rsidP="002C23A6">
      <w:pPr>
        <w:pStyle w:val="Heading3"/>
        <w:snapToGrid w:val="0"/>
        <w:spacing w:before="0" w:beforeAutospacing="0" w:after="0" w:afterAutospacing="0"/>
        <w:ind w:firstLine="425"/>
        <w:jc w:val="both"/>
        <w:rPr>
          <w:b w:val="0"/>
          <w:bCs w:val="0"/>
          <w:sz w:val="20"/>
          <w:szCs w:val="20"/>
        </w:rPr>
        <w:sectPr w:rsidR="002C23A6" w:rsidRPr="00FA537A" w:rsidSect="00050326">
          <w:headerReference w:type="default" r:id="rId13"/>
          <w:footerReference w:type="even" r:id="rId14"/>
          <w:footerReference w:type="default" r:id="rId15"/>
          <w:type w:val="continuous"/>
          <w:pgSz w:w="12242" w:h="15842" w:code="1"/>
          <w:pgMar w:top="1440" w:right="1440" w:bottom="1440" w:left="1440" w:header="720" w:footer="720" w:gutter="0"/>
          <w:cols w:space="720"/>
          <w:bidi/>
          <w:docGrid w:linePitch="360"/>
        </w:sectPr>
      </w:pPr>
    </w:p>
    <w:p w:rsidR="00097D2E" w:rsidRPr="00FA537A" w:rsidRDefault="00AD14E8" w:rsidP="002C23A6">
      <w:pPr>
        <w:pStyle w:val="Heading3"/>
        <w:snapToGrid w:val="0"/>
        <w:spacing w:before="0" w:beforeAutospacing="0" w:after="0" w:afterAutospacing="0"/>
        <w:ind w:firstLine="425"/>
        <w:jc w:val="both"/>
        <w:rPr>
          <w:b w:val="0"/>
          <w:bCs w:val="0"/>
          <w:sz w:val="20"/>
          <w:szCs w:val="20"/>
        </w:rPr>
      </w:pPr>
      <w:r w:rsidRPr="00FA537A">
        <w:rPr>
          <w:b w:val="0"/>
          <w:bCs w:val="0"/>
          <w:sz w:val="20"/>
          <w:szCs w:val="20"/>
        </w:rPr>
        <w:lastRenderedPageBreak/>
        <w:t xml:space="preserve">Acute grade 3 adverse events were primarily hematological and, genitourinary side effects in 21% of patients and this agree with what reported in </w:t>
      </w:r>
      <w:proofErr w:type="spellStart"/>
      <w:r w:rsidRPr="00FA537A">
        <w:rPr>
          <w:b w:val="0"/>
          <w:bCs w:val="0"/>
          <w:sz w:val="20"/>
          <w:szCs w:val="20"/>
        </w:rPr>
        <w:t>cisplatin</w:t>
      </w:r>
      <w:proofErr w:type="spellEnd"/>
      <w:r w:rsidRPr="00FA537A">
        <w:rPr>
          <w:b w:val="0"/>
          <w:bCs w:val="0"/>
          <w:sz w:val="20"/>
          <w:szCs w:val="20"/>
        </w:rPr>
        <w:t xml:space="preserve">-based </w:t>
      </w:r>
      <w:r w:rsidR="00C14863" w:rsidRPr="00FA537A">
        <w:rPr>
          <w:b w:val="0"/>
          <w:bCs w:val="0"/>
          <w:sz w:val="20"/>
          <w:szCs w:val="20"/>
        </w:rPr>
        <w:t xml:space="preserve">CCRT which </w:t>
      </w:r>
      <w:r w:rsidRPr="00FA537A">
        <w:rPr>
          <w:b w:val="0"/>
          <w:bCs w:val="0"/>
          <w:sz w:val="20"/>
          <w:szCs w:val="20"/>
        </w:rPr>
        <w:t xml:space="preserve">ranged between 20% to </w:t>
      </w:r>
      <w:r w:rsidR="002F68F2" w:rsidRPr="00FA537A">
        <w:rPr>
          <w:b w:val="0"/>
          <w:bCs w:val="0"/>
          <w:sz w:val="20"/>
          <w:szCs w:val="20"/>
        </w:rPr>
        <w:t>25 %</w:t>
      </w:r>
      <w:r w:rsidR="00234BBE" w:rsidRPr="00FA537A">
        <w:rPr>
          <w:b w:val="0"/>
          <w:bCs w:val="0"/>
          <w:sz w:val="20"/>
          <w:szCs w:val="20"/>
        </w:rPr>
        <w:t xml:space="preserve"> </w:t>
      </w:r>
      <w:r w:rsidR="004E6B6B" w:rsidRPr="00FA537A">
        <w:rPr>
          <w:b w:val="0"/>
          <w:bCs w:val="0"/>
          <w:sz w:val="20"/>
          <w:szCs w:val="20"/>
        </w:rPr>
        <w:t>and lower than</w:t>
      </w:r>
      <w:r w:rsidR="004E6B6B" w:rsidRPr="00FA537A">
        <w:rPr>
          <w:sz w:val="20"/>
          <w:szCs w:val="20"/>
        </w:rPr>
        <w:t xml:space="preserve"> </w:t>
      </w:r>
      <w:r w:rsidR="004E6B6B" w:rsidRPr="00FA537A">
        <w:rPr>
          <w:b w:val="0"/>
          <w:bCs w:val="0"/>
          <w:sz w:val="20"/>
          <w:szCs w:val="20"/>
        </w:rPr>
        <w:t xml:space="preserve">studies using </w:t>
      </w:r>
      <w:proofErr w:type="spellStart"/>
      <w:r w:rsidR="004E6B6B" w:rsidRPr="00FA537A">
        <w:rPr>
          <w:b w:val="0"/>
          <w:bCs w:val="0"/>
          <w:sz w:val="20"/>
          <w:szCs w:val="20"/>
        </w:rPr>
        <w:t>neoadjuvant</w:t>
      </w:r>
      <w:proofErr w:type="spellEnd"/>
      <w:r w:rsidR="004E6B6B" w:rsidRPr="00FA537A">
        <w:rPr>
          <w:b w:val="0"/>
          <w:bCs w:val="0"/>
          <w:sz w:val="20"/>
          <w:szCs w:val="20"/>
        </w:rPr>
        <w:t xml:space="preserve"> or adjuvant chemotherapy, where toxicity seems higher</w:t>
      </w:r>
      <w:r w:rsidR="00891AF1" w:rsidRPr="00FA537A">
        <w:rPr>
          <w:b w:val="0"/>
          <w:bCs w:val="0"/>
          <w:sz w:val="20"/>
          <w:szCs w:val="20"/>
        </w:rPr>
        <w:t xml:space="preserve"> </w:t>
      </w:r>
      <w:r w:rsidR="00234BBE" w:rsidRPr="00FA537A">
        <w:rPr>
          <w:b w:val="0"/>
          <w:bCs w:val="0"/>
          <w:sz w:val="20"/>
          <w:szCs w:val="20"/>
          <w:vertAlign w:val="superscript"/>
        </w:rPr>
        <w:t>(</w:t>
      </w:r>
      <w:r w:rsidR="00E5122A" w:rsidRPr="00FA537A">
        <w:rPr>
          <w:b w:val="0"/>
          <w:bCs w:val="0"/>
          <w:sz w:val="20"/>
          <w:szCs w:val="20"/>
          <w:vertAlign w:val="superscript"/>
        </w:rPr>
        <w:t>20-26</w:t>
      </w:r>
      <w:r w:rsidR="00891AF1" w:rsidRPr="00FA537A">
        <w:rPr>
          <w:b w:val="0"/>
          <w:bCs w:val="0"/>
          <w:sz w:val="20"/>
          <w:szCs w:val="20"/>
          <w:vertAlign w:val="superscript"/>
        </w:rPr>
        <w:t>)</w:t>
      </w:r>
      <w:r w:rsidR="00686472" w:rsidRPr="00FA537A">
        <w:rPr>
          <w:b w:val="0"/>
          <w:bCs w:val="0"/>
          <w:sz w:val="20"/>
          <w:szCs w:val="20"/>
        </w:rPr>
        <w:t>.</w:t>
      </w:r>
    </w:p>
    <w:p w:rsidR="00686472" w:rsidRPr="00FA537A" w:rsidRDefault="00686472" w:rsidP="002C23A6">
      <w:pPr>
        <w:autoSpaceDE w:val="0"/>
        <w:autoSpaceDN w:val="0"/>
        <w:bidi w:val="0"/>
        <w:adjustRightInd w:val="0"/>
        <w:snapToGrid w:val="0"/>
        <w:ind w:firstLine="425"/>
        <w:jc w:val="both"/>
        <w:rPr>
          <w:sz w:val="20"/>
          <w:szCs w:val="20"/>
          <w:lang w:eastAsia="ja-JP"/>
        </w:rPr>
      </w:pPr>
      <w:r w:rsidRPr="00FA537A">
        <w:rPr>
          <w:sz w:val="20"/>
          <w:szCs w:val="20"/>
        </w:rPr>
        <w:t xml:space="preserve">CCRT with weekly </w:t>
      </w:r>
      <w:proofErr w:type="spellStart"/>
      <w:r w:rsidRPr="00FA537A">
        <w:rPr>
          <w:sz w:val="20"/>
          <w:szCs w:val="20"/>
        </w:rPr>
        <w:t>cisplatin</w:t>
      </w:r>
      <w:proofErr w:type="spellEnd"/>
      <w:r w:rsidRPr="00FA537A">
        <w:rPr>
          <w:sz w:val="20"/>
          <w:szCs w:val="20"/>
        </w:rPr>
        <w:t xml:space="preserve"> seams to be a good treatment option especially in elderly patients (as </w:t>
      </w:r>
      <w:r w:rsidR="00E93B82" w:rsidRPr="00FA537A">
        <w:rPr>
          <w:sz w:val="20"/>
          <w:szCs w:val="20"/>
        </w:rPr>
        <w:t>48</w:t>
      </w:r>
      <w:r w:rsidRPr="00FA537A">
        <w:rPr>
          <w:sz w:val="20"/>
          <w:szCs w:val="20"/>
        </w:rPr>
        <w:t>% of patients in our study ≥ 60 years) with acceptable response rate and limited GU and hematological toxicity.</w:t>
      </w:r>
    </w:p>
    <w:p w:rsidR="000F5CB4" w:rsidRPr="00FA537A" w:rsidRDefault="00B819E4" w:rsidP="002C23A6">
      <w:pPr>
        <w:bidi w:val="0"/>
        <w:snapToGrid w:val="0"/>
        <w:ind w:firstLine="425"/>
        <w:jc w:val="both"/>
        <w:rPr>
          <w:sz w:val="20"/>
          <w:szCs w:val="20"/>
        </w:rPr>
      </w:pPr>
      <w:r w:rsidRPr="00FA537A">
        <w:rPr>
          <w:sz w:val="20"/>
          <w:szCs w:val="20"/>
        </w:rPr>
        <w:t xml:space="preserve">Based on the fact that no treatment concept in oncology is without risks and limitations so patients who achieve an initial complete response should be encouraged to undergo lifelong surveillance </w:t>
      </w:r>
      <w:proofErr w:type="spellStart"/>
      <w:r w:rsidRPr="00FA537A">
        <w:rPr>
          <w:sz w:val="20"/>
          <w:szCs w:val="20"/>
        </w:rPr>
        <w:t>cystoscopies</w:t>
      </w:r>
      <w:proofErr w:type="spellEnd"/>
      <w:r w:rsidRPr="00FA537A">
        <w:rPr>
          <w:sz w:val="20"/>
          <w:szCs w:val="20"/>
        </w:rPr>
        <w:t xml:space="preserve"> with prompt salvage therapy on recurrence of </w:t>
      </w:r>
      <w:r w:rsidR="00686472" w:rsidRPr="00FA537A">
        <w:rPr>
          <w:sz w:val="20"/>
          <w:szCs w:val="20"/>
        </w:rPr>
        <w:t>disease</w:t>
      </w:r>
      <w:r w:rsidR="00686472" w:rsidRPr="00FA537A">
        <w:rPr>
          <w:sz w:val="20"/>
          <w:szCs w:val="20"/>
          <w:vertAlign w:val="superscript"/>
        </w:rPr>
        <w:t xml:space="preserve">. </w:t>
      </w:r>
      <w:r w:rsidR="00686472" w:rsidRPr="00FA537A">
        <w:rPr>
          <w:sz w:val="20"/>
          <w:szCs w:val="20"/>
        </w:rPr>
        <w:t>Recurrences</w:t>
      </w:r>
      <w:r w:rsidRPr="00FA537A">
        <w:rPr>
          <w:sz w:val="20"/>
          <w:szCs w:val="20"/>
        </w:rPr>
        <w:t xml:space="preserve"> can be managed conservatively with TURBT and </w:t>
      </w:r>
      <w:proofErr w:type="spellStart"/>
      <w:r w:rsidRPr="00FA537A">
        <w:rPr>
          <w:sz w:val="20"/>
          <w:szCs w:val="20"/>
        </w:rPr>
        <w:t>intravesical</w:t>
      </w:r>
      <w:proofErr w:type="spellEnd"/>
      <w:r w:rsidRPr="00FA537A">
        <w:rPr>
          <w:sz w:val="20"/>
          <w:szCs w:val="20"/>
        </w:rPr>
        <w:t xml:space="preserve"> therapy, </w:t>
      </w:r>
      <w:r w:rsidR="00686472" w:rsidRPr="00FA537A">
        <w:rPr>
          <w:sz w:val="20"/>
          <w:szCs w:val="20"/>
        </w:rPr>
        <w:t xml:space="preserve">but </w:t>
      </w:r>
      <w:r w:rsidRPr="00FA537A">
        <w:rPr>
          <w:sz w:val="20"/>
          <w:szCs w:val="20"/>
        </w:rPr>
        <w:t xml:space="preserve">patients remain at risk of requiring delayed </w:t>
      </w:r>
      <w:proofErr w:type="spellStart"/>
      <w:r w:rsidRPr="00FA537A">
        <w:rPr>
          <w:sz w:val="20"/>
          <w:szCs w:val="20"/>
        </w:rPr>
        <w:t>cystectomy</w:t>
      </w:r>
      <w:proofErr w:type="spellEnd"/>
      <w:r w:rsidRPr="00FA537A">
        <w:rPr>
          <w:sz w:val="20"/>
          <w:szCs w:val="20"/>
        </w:rPr>
        <w:t xml:space="preserve"> and the </w:t>
      </w:r>
      <w:proofErr w:type="spellStart"/>
      <w:r w:rsidRPr="00FA537A">
        <w:rPr>
          <w:sz w:val="20"/>
          <w:szCs w:val="20"/>
        </w:rPr>
        <w:t>orthotopic</w:t>
      </w:r>
      <w:proofErr w:type="spellEnd"/>
      <w:r w:rsidRPr="00FA537A">
        <w:rPr>
          <w:sz w:val="20"/>
          <w:szCs w:val="20"/>
        </w:rPr>
        <w:t xml:space="preserve"> </w:t>
      </w:r>
      <w:proofErr w:type="spellStart"/>
      <w:r w:rsidRPr="00FA537A">
        <w:rPr>
          <w:sz w:val="20"/>
          <w:szCs w:val="20"/>
        </w:rPr>
        <w:t>neobladder</w:t>
      </w:r>
      <w:proofErr w:type="spellEnd"/>
      <w:r w:rsidRPr="00FA537A">
        <w:rPr>
          <w:sz w:val="20"/>
          <w:szCs w:val="20"/>
        </w:rPr>
        <w:t xml:space="preserve"> reconstruction (although feasible) after pelvic radiotherapy is often not advocated by surgeons because of a higher risk of functional complications</w:t>
      </w:r>
      <w:r w:rsidR="000F5CB4" w:rsidRPr="00FA537A">
        <w:rPr>
          <w:sz w:val="20"/>
          <w:szCs w:val="20"/>
        </w:rPr>
        <w:t>.</w:t>
      </w:r>
    </w:p>
    <w:p w:rsidR="00245368" w:rsidRPr="00FA537A" w:rsidRDefault="00245368" w:rsidP="002C23A6">
      <w:pPr>
        <w:pStyle w:val="Heading3"/>
        <w:snapToGrid w:val="0"/>
        <w:spacing w:before="0" w:beforeAutospacing="0" w:after="0" w:afterAutospacing="0"/>
        <w:jc w:val="both"/>
        <w:rPr>
          <w:sz w:val="20"/>
          <w:szCs w:val="20"/>
          <w:u w:val="single"/>
        </w:rPr>
      </w:pPr>
    </w:p>
    <w:p w:rsidR="0077411F" w:rsidRPr="00FA537A" w:rsidRDefault="0077411F" w:rsidP="002C23A6">
      <w:pPr>
        <w:pStyle w:val="Heading3"/>
        <w:snapToGrid w:val="0"/>
        <w:spacing w:before="0" w:beforeAutospacing="0" w:after="0" w:afterAutospacing="0"/>
        <w:jc w:val="both"/>
        <w:rPr>
          <w:sz w:val="20"/>
          <w:szCs w:val="20"/>
        </w:rPr>
      </w:pPr>
      <w:r w:rsidRPr="00FA537A">
        <w:rPr>
          <w:sz w:val="20"/>
          <w:szCs w:val="20"/>
        </w:rPr>
        <w:t>References</w:t>
      </w:r>
      <w:r w:rsidR="002E1BE1" w:rsidRPr="00FA537A">
        <w:rPr>
          <w:sz w:val="20"/>
          <w:szCs w:val="20"/>
        </w:rPr>
        <w:t>:</w:t>
      </w:r>
    </w:p>
    <w:bookmarkEnd w:id="0"/>
    <w:p w:rsidR="0029793F" w:rsidRPr="00FA537A" w:rsidRDefault="0029793F" w:rsidP="002C23A6">
      <w:pPr>
        <w:numPr>
          <w:ilvl w:val="0"/>
          <w:numId w:val="1"/>
        </w:numPr>
        <w:tabs>
          <w:tab w:val="clear" w:pos="720"/>
        </w:tabs>
        <w:bidi w:val="0"/>
        <w:snapToGrid w:val="0"/>
        <w:ind w:left="425" w:hanging="425"/>
        <w:jc w:val="both"/>
        <w:rPr>
          <w:sz w:val="20"/>
          <w:szCs w:val="20"/>
        </w:rPr>
      </w:pPr>
      <w:proofErr w:type="spellStart"/>
      <w:r w:rsidRPr="00FA537A">
        <w:rPr>
          <w:sz w:val="20"/>
          <w:szCs w:val="20"/>
        </w:rPr>
        <w:t>Ferlay</w:t>
      </w:r>
      <w:proofErr w:type="spellEnd"/>
      <w:r w:rsidRPr="00FA537A">
        <w:rPr>
          <w:sz w:val="20"/>
          <w:szCs w:val="20"/>
        </w:rPr>
        <w:t xml:space="preserve"> J, Shin HR, Bray F, Forman D, </w:t>
      </w:r>
      <w:r w:rsidR="006F5A79" w:rsidRPr="00FA537A">
        <w:rPr>
          <w:i/>
          <w:iCs/>
          <w:sz w:val="20"/>
          <w:szCs w:val="20"/>
        </w:rPr>
        <w:t>et al.</w:t>
      </w:r>
      <w:r w:rsidR="005C2C90" w:rsidRPr="00FA537A">
        <w:rPr>
          <w:i/>
          <w:iCs/>
          <w:sz w:val="20"/>
          <w:szCs w:val="20"/>
        </w:rPr>
        <w:t>,</w:t>
      </w:r>
      <w:r w:rsidR="005C2C90" w:rsidRPr="00FA537A">
        <w:rPr>
          <w:sz w:val="20"/>
          <w:szCs w:val="20"/>
        </w:rPr>
        <w:t xml:space="preserve"> </w:t>
      </w:r>
      <w:r w:rsidRPr="00FA537A">
        <w:rPr>
          <w:sz w:val="20"/>
          <w:szCs w:val="20"/>
        </w:rPr>
        <w:t xml:space="preserve">2008, Cancer incidence and mortality worldwide: IARC </w:t>
      </w:r>
      <w:proofErr w:type="spellStart"/>
      <w:r w:rsidRPr="00FA537A">
        <w:rPr>
          <w:sz w:val="20"/>
          <w:szCs w:val="20"/>
        </w:rPr>
        <w:t>CancerBase</w:t>
      </w:r>
      <w:proofErr w:type="spellEnd"/>
      <w:r w:rsidRPr="00FA537A">
        <w:rPr>
          <w:sz w:val="20"/>
          <w:szCs w:val="20"/>
        </w:rPr>
        <w:t xml:space="preserve"> No. 10 [Internet]. Lyon, France: International Agency for Research on Cancer; 2010. Available from: http://globocan.iarc.fr. Accessed May 6, 2012.</w:t>
      </w:r>
    </w:p>
    <w:p w:rsidR="0029793F" w:rsidRPr="00FA537A" w:rsidRDefault="0029793F" w:rsidP="002C23A6">
      <w:pPr>
        <w:numPr>
          <w:ilvl w:val="0"/>
          <w:numId w:val="1"/>
        </w:numPr>
        <w:tabs>
          <w:tab w:val="clear" w:pos="720"/>
        </w:tabs>
        <w:bidi w:val="0"/>
        <w:snapToGrid w:val="0"/>
        <w:ind w:left="425" w:hanging="425"/>
        <w:jc w:val="both"/>
        <w:rPr>
          <w:sz w:val="20"/>
          <w:szCs w:val="20"/>
          <w:lang w:bidi="ar-EG"/>
        </w:rPr>
      </w:pPr>
      <w:r w:rsidRPr="00FA537A">
        <w:rPr>
          <w:sz w:val="20"/>
          <w:szCs w:val="20"/>
          <w:lang w:bidi="ar-EG"/>
        </w:rPr>
        <w:lastRenderedPageBreak/>
        <w:t xml:space="preserve">B.T. Sherwood, G.D. Jones, J.K. Mellon, </w:t>
      </w:r>
      <w:r w:rsidR="005C2C90" w:rsidRPr="00FA537A">
        <w:rPr>
          <w:i/>
          <w:iCs/>
          <w:sz w:val="20"/>
          <w:szCs w:val="20"/>
        </w:rPr>
        <w:t xml:space="preserve">et al., </w:t>
      </w:r>
      <w:r w:rsidR="006F5A79" w:rsidRPr="00FA537A">
        <w:rPr>
          <w:sz w:val="20"/>
          <w:szCs w:val="20"/>
          <w:lang w:bidi="ar-EG"/>
        </w:rPr>
        <w:t>.</w:t>
      </w:r>
      <w:r w:rsidRPr="00FA537A">
        <w:rPr>
          <w:sz w:val="20"/>
          <w:szCs w:val="20"/>
          <w:lang w:bidi="ar-EG"/>
        </w:rPr>
        <w:t xml:space="preserve">Symonds Concomitant </w:t>
      </w:r>
      <w:proofErr w:type="spellStart"/>
      <w:r w:rsidRPr="00FA537A">
        <w:rPr>
          <w:sz w:val="20"/>
          <w:szCs w:val="20"/>
          <w:lang w:bidi="ar-EG"/>
        </w:rPr>
        <w:t>chemoradiotherapy</w:t>
      </w:r>
      <w:proofErr w:type="spellEnd"/>
      <w:r w:rsidRPr="00FA537A">
        <w:rPr>
          <w:sz w:val="20"/>
          <w:szCs w:val="20"/>
          <w:lang w:bidi="ar-EG"/>
        </w:rPr>
        <w:t xml:space="preserve"> for muscle-invasive bladder cancer: the way forward for bladder preservation? </w:t>
      </w:r>
      <w:proofErr w:type="spellStart"/>
      <w:r w:rsidRPr="00FA537A">
        <w:rPr>
          <w:sz w:val="20"/>
          <w:szCs w:val="20"/>
          <w:lang w:bidi="ar-EG"/>
        </w:rPr>
        <w:t>Clin</w:t>
      </w:r>
      <w:proofErr w:type="spellEnd"/>
      <w:r w:rsidRPr="00FA537A">
        <w:rPr>
          <w:sz w:val="20"/>
          <w:szCs w:val="20"/>
          <w:lang w:bidi="ar-EG"/>
        </w:rPr>
        <w:t xml:space="preserve"> </w:t>
      </w:r>
      <w:proofErr w:type="spellStart"/>
      <w:r w:rsidRPr="00FA537A">
        <w:rPr>
          <w:sz w:val="20"/>
          <w:szCs w:val="20"/>
          <w:lang w:bidi="ar-EG"/>
        </w:rPr>
        <w:t>Oncol</w:t>
      </w:r>
      <w:proofErr w:type="spellEnd"/>
      <w:r w:rsidRPr="00FA537A">
        <w:rPr>
          <w:sz w:val="20"/>
          <w:szCs w:val="20"/>
          <w:lang w:bidi="ar-EG"/>
        </w:rPr>
        <w:t xml:space="preserve"> (R </w:t>
      </w:r>
      <w:proofErr w:type="spellStart"/>
      <w:r w:rsidRPr="00FA537A">
        <w:rPr>
          <w:sz w:val="20"/>
          <w:szCs w:val="20"/>
          <w:lang w:bidi="ar-EG"/>
        </w:rPr>
        <w:t>Coll</w:t>
      </w:r>
      <w:proofErr w:type="spellEnd"/>
      <w:r w:rsidRPr="00FA537A">
        <w:rPr>
          <w:sz w:val="20"/>
          <w:szCs w:val="20"/>
          <w:lang w:bidi="ar-EG"/>
        </w:rPr>
        <w:t xml:space="preserve"> </w:t>
      </w:r>
      <w:proofErr w:type="spellStart"/>
      <w:r w:rsidRPr="00FA537A">
        <w:rPr>
          <w:sz w:val="20"/>
          <w:szCs w:val="20"/>
          <w:lang w:bidi="ar-EG"/>
        </w:rPr>
        <w:t>Radiol</w:t>
      </w:r>
      <w:proofErr w:type="spellEnd"/>
      <w:r w:rsidRPr="00FA537A">
        <w:rPr>
          <w:sz w:val="20"/>
          <w:szCs w:val="20"/>
          <w:lang w:bidi="ar-EG"/>
        </w:rPr>
        <w:t>) (3) (2005), pp. 160–166.</w:t>
      </w:r>
    </w:p>
    <w:p w:rsidR="0030595D" w:rsidRPr="00FA537A" w:rsidRDefault="0030595D" w:rsidP="002C23A6">
      <w:pPr>
        <w:numPr>
          <w:ilvl w:val="0"/>
          <w:numId w:val="1"/>
        </w:numPr>
        <w:tabs>
          <w:tab w:val="clear" w:pos="720"/>
        </w:tabs>
        <w:bidi w:val="0"/>
        <w:snapToGrid w:val="0"/>
        <w:ind w:left="425" w:hanging="425"/>
        <w:jc w:val="both"/>
        <w:rPr>
          <w:sz w:val="20"/>
          <w:szCs w:val="20"/>
          <w:lang w:bidi="ar-EG"/>
        </w:rPr>
      </w:pPr>
      <w:proofErr w:type="spellStart"/>
      <w:r w:rsidRPr="00FA537A">
        <w:rPr>
          <w:sz w:val="20"/>
          <w:szCs w:val="20"/>
        </w:rPr>
        <w:t>Rödel</w:t>
      </w:r>
      <w:proofErr w:type="spellEnd"/>
      <w:r w:rsidRPr="00FA537A">
        <w:rPr>
          <w:sz w:val="20"/>
          <w:szCs w:val="20"/>
        </w:rPr>
        <w:t xml:space="preserve"> C,</w:t>
      </w:r>
      <w:r w:rsidR="002F68F2" w:rsidRPr="00FA537A">
        <w:rPr>
          <w:sz w:val="20"/>
          <w:szCs w:val="20"/>
        </w:rPr>
        <w:t xml:space="preserve"> </w:t>
      </w:r>
      <w:r w:rsidRPr="00FA537A">
        <w:rPr>
          <w:sz w:val="20"/>
          <w:szCs w:val="20"/>
        </w:rPr>
        <w:t>Weiss C,</w:t>
      </w:r>
      <w:r w:rsidR="002F68F2" w:rsidRPr="00FA537A">
        <w:rPr>
          <w:sz w:val="20"/>
          <w:szCs w:val="20"/>
        </w:rPr>
        <w:t xml:space="preserve"> </w:t>
      </w:r>
      <w:r w:rsidRPr="00FA537A">
        <w:rPr>
          <w:sz w:val="20"/>
          <w:szCs w:val="20"/>
        </w:rPr>
        <w:t>Sauer R</w:t>
      </w:r>
      <w:r w:rsidR="009D515E" w:rsidRPr="00FA537A">
        <w:rPr>
          <w:sz w:val="20"/>
          <w:szCs w:val="20"/>
        </w:rPr>
        <w:t xml:space="preserve"> </w:t>
      </w:r>
      <w:r w:rsidRPr="00FA537A">
        <w:rPr>
          <w:sz w:val="20"/>
          <w:szCs w:val="20"/>
        </w:rPr>
        <w:t xml:space="preserve">(2006) </w:t>
      </w:r>
      <w:proofErr w:type="spellStart"/>
      <w:r w:rsidRPr="00FA537A">
        <w:rPr>
          <w:sz w:val="20"/>
          <w:szCs w:val="20"/>
        </w:rPr>
        <w:t>Trimodality</w:t>
      </w:r>
      <w:proofErr w:type="spellEnd"/>
      <w:r w:rsidRPr="00FA537A">
        <w:rPr>
          <w:sz w:val="20"/>
          <w:szCs w:val="20"/>
        </w:rPr>
        <w:t xml:space="preserve"> treatment and selective organ preservation for bladder cancer. J </w:t>
      </w:r>
      <w:proofErr w:type="spellStart"/>
      <w:r w:rsidRPr="00FA537A">
        <w:rPr>
          <w:sz w:val="20"/>
          <w:szCs w:val="20"/>
        </w:rPr>
        <w:t>Clin</w:t>
      </w:r>
      <w:proofErr w:type="spellEnd"/>
      <w:r w:rsidRPr="00FA537A">
        <w:rPr>
          <w:sz w:val="20"/>
          <w:szCs w:val="20"/>
        </w:rPr>
        <w:t xml:space="preserve"> </w:t>
      </w:r>
      <w:proofErr w:type="spellStart"/>
      <w:r w:rsidRPr="00FA537A">
        <w:rPr>
          <w:sz w:val="20"/>
          <w:szCs w:val="20"/>
        </w:rPr>
        <w:t>Oncol</w:t>
      </w:r>
      <w:proofErr w:type="spellEnd"/>
      <w:r w:rsidRPr="00FA537A">
        <w:rPr>
          <w:sz w:val="20"/>
          <w:szCs w:val="20"/>
        </w:rPr>
        <w:t xml:space="preserve"> 24:5536–5544</w:t>
      </w:r>
      <w:r w:rsidR="00FA537A">
        <w:rPr>
          <w:rFonts w:hint="eastAsia"/>
          <w:sz w:val="20"/>
          <w:szCs w:val="20"/>
          <w:lang w:eastAsia="zh-CN"/>
        </w:rPr>
        <w:t>.</w:t>
      </w:r>
    </w:p>
    <w:p w:rsidR="005B3099" w:rsidRPr="00FA537A" w:rsidRDefault="00FB0DC5" w:rsidP="002C23A6">
      <w:pPr>
        <w:numPr>
          <w:ilvl w:val="0"/>
          <w:numId w:val="1"/>
        </w:numPr>
        <w:tabs>
          <w:tab w:val="clear" w:pos="720"/>
        </w:tabs>
        <w:bidi w:val="0"/>
        <w:snapToGrid w:val="0"/>
        <w:ind w:left="425" w:hanging="425"/>
        <w:jc w:val="both"/>
        <w:rPr>
          <w:sz w:val="20"/>
          <w:szCs w:val="20"/>
        </w:rPr>
      </w:pPr>
      <w:proofErr w:type="spellStart"/>
      <w:r w:rsidRPr="00FA537A">
        <w:rPr>
          <w:sz w:val="20"/>
          <w:szCs w:val="20"/>
        </w:rPr>
        <w:t>Ploussard</w:t>
      </w:r>
      <w:proofErr w:type="spellEnd"/>
      <w:r w:rsidRPr="00FA537A">
        <w:rPr>
          <w:sz w:val="20"/>
          <w:szCs w:val="20"/>
        </w:rPr>
        <w:t xml:space="preserve"> G,</w:t>
      </w:r>
      <w:r w:rsidR="009D515E" w:rsidRPr="00FA537A">
        <w:rPr>
          <w:sz w:val="20"/>
          <w:szCs w:val="20"/>
        </w:rPr>
        <w:t xml:space="preserve"> </w:t>
      </w:r>
      <w:proofErr w:type="spellStart"/>
      <w:r w:rsidRPr="00FA537A">
        <w:rPr>
          <w:sz w:val="20"/>
          <w:szCs w:val="20"/>
        </w:rPr>
        <w:t>Daneshm</w:t>
      </w:r>
      <w:proofErr w:type="spellEnd"/>
      <w:r w:rsidR="009D515E" w:rsidRPr="00FA537A">
        <w:rPr>
          <w:sz w:val="20"/>
          <w:szCs w:val="20"/>
        </w:rPr>
        <w:t xml:space="preserve"> </w:t>
      </w:r>
      <w:r w:rsidRPr="00FA537A">
        <w:rPr>
          <w:sz w:val="20"/>
          <w:szCs w:val="20"/>
        </w:rPr>
        <w:t>and S,</w:t>
      </w:r>
      <w:r w:rsidR="009D515E" w:rsidRPr="00FA537A">
        <w:rPr>
          <w:sz w:val="20"/>
          <w:szCs w:val="20"/>
        </w:rPr>
        <w:t xml:space="preserve"> </w:t>
      </w:r>
      <w:proofErr w:type="spellStart"/>
      <w:r w:rsidRPr="00FA537A">
        <w:rPr>
          <w:sz w:val="20"/>
          <w:szCs w:val="20"/>
        </w:rPr>
        <w:t>Efstathiou</w:t>
      </w:r>
      <w:proofErr w:type="spellEnd"/>
      <w:r w:rsidRPr="00FA537A">
        <w:rPr>
          <w:sz w:val="20"/>
          <w:szCs w:val="20"/>
        </w:rPr>
        <w:t xml:space="preserve"> JA,</w:t>
      </w:r>
      <w:r w:rsidR="009D515E" w:rsidRPr="00FA537A">
        <w:rPr>
          <w:sz w:val="20"/>
          <w:szCs w:val="20"/>
        </w:rPr>
        <w:t xml:space="preserve"> </w:t>
      </w:r>
      <w:r w:rsidRPr="00FA537A">
        <w:rPr>
          <w:i/>
          <w:iCs/>
          <w:sz w:val="20"/>
          <w:szCs w:val="20"/>
        </w:rPr>
        <w:t>et al.</w:t>
      </w:r>
      <w:r w:rsidRPr="00FA537A">
        <w:rPr>
          <w:sz w:val="20"/>
          <w:szCs w:val="20"/>
        </w:rPr>
        <w:t xml:space="preserve">(2014) Critical analysis of bladder sparing with </w:t>
      </w:r>
      <w:proofErr w:type="spellStart"/>
      <w:r w:rsidRPr="00FA537A">
        <w:rPr>
          <w:sz w:val="20"/>
          <w:szCs w:val="20"/>
        </w:rPr>
        <w:t>trimodal</w:t>
      </w:r>
      <w:proofErr w:type="spellEnd"/>
      <w:r w:rsidRPr="00FA537A">
        <w:rPr>
          <w:sz w:val="20"/>
          <w:szCs w:val="20"/>
        </w:rPr>
        <w:t xml:space="preserve"> therapy in muscle-invasive bladder cancer: A systematic review. </w:t>
      </w:r>
      <w:proofErr w:type="spellStart"/>
      <w:r w:rsidRPr="00FA537A">
        <w:rPr>
          <w:sz w:val="20"/>
          <w:szCs w:val="20"/>
        </w:rPr>
        <w:t>Eur</w:t>
      </w:r>
      <w:proofErr w:type="spellEnd"/>
      <w:r w:rsidRPr="00FA537A">
        <w:rPr>
          <w:sz w:val="20"/>
          <w:szCs w:val="20"/>
        </w:rPr>
        <w:t xml:space="preserve"> </w:t>
      </w:r>
      <w:proofErr w:type="spellStart"/>
      <w:r w:rsidRPr="00FA537A">
        <w:rPr>
          <w:sz w:val="20"/>
          <w:szCs w:val="20"/>
        </w:rPr>
        <w:t>Urol</w:t>
      </w:r>
      <w:proofErr w:type="spellEnd"/>
      <w:r w:rsidRPr="00FA537A">
        <w:rPr>
          <w:sz w:val="20"/>
          <w:szCs w:val="20"/>
        </w:rPr>
        <w:t xml:space="preserve"> 66:120–137.</w:t>
      </w:r>
      <w:hyperlink r:id="rId16" w:history="1"/>
    </w:p>
    <w:p w:rsidR="005B3099" w:rsidRPr="00FA537A" w:rsidRDefault="00FB0DC5" w:rsidP="002C23A6">
      <w:pPr>
        <w:numPr>
          <w:ilvl w:val="0"/>
          <w:numId w:val="1"/>
        </w:numPr>
        <w:tabs>
          <w:tab w:val="clear" w:pos="720"/>
        </w:tabs>
        <w:bidi w:val="0"/>
        <w:snapToGrid w:val="0"/>
        <w:ind w:left="425" w:hanging="425"/>
        <w:jc w:val="both"/>
        <w:rPr>
          <w:sz w:val="20"/>
          <w:szCs w:val="20"/>
        </w:rPr>
      </w:pPr>
      <w:proofErr w:type="spellStart"/>
      <w:r w:rsidRPr="00FA537A">
        <w:rPr>
          <w:sz w:val="20"/>
          <w:szCs w:val="20"/>
        </w:rPr>
        <w:t>Mak</w:t>
      </w:r>
      <w:proofErr w:type="spellEnd"/>
      <w:r w:rsidRPr="00FA537A">
        <w:rPr>
          <w:sz w:val="20"/>
          <w:szCs w:val="20"/>
        </w:rPr>
        <w:t xml:space="preserve"> RH, Hunt D, </w:t>
      </w:r>
      <w:r w:rsidR="006F5A79" w:rsidRPr="00FA537A">
        <w:rPr>
          <w:sz w:val="20"/>
          <w:szCs w:val="20"/>
        </w:rPr>
        <w:t xml:space="preserve">and Shipley WU, </w:t>
      </w:r>
      <w:r w:rsidR="006F5A79" w:rsidRPr="00FA537A">
        <w:rPr>
          <w:i/>
          <w:iCs/>
          <w:sz w:val="20"/>
          <w:szCs w:val="20"/>
        </w:rPr>
        <w:t>et al.</w:t>
      </w:r>
      <w:r w:rsidR="006F5A79" w:rsidRPr="00FA537A">
        <w:rPr>
          <w:sz w:val="20"/>
          <w:szCs w:val="20"/>
        </w:rPr>
        <w:t xml:space="preserve"> (2014</w:t>
      </w:r>
      <w:r w:rsidRPr="00FA537A">
        <w:rPr>
          <w:sz w:val="20"/>
          <w:szCs w:val="20"/>
        </w:rPr>
        <w:t xml:space="preserve">) Long-term outcomes in patients with muscle-invasive bladder cancer after selective bladder-preserving combined-modality therapy: A pooled analysis of Radiation Therapy Oncology Group protocols 8802, 8903, 9506, 9706, 9906, and 0233. J </w:t>
      </w:r>
      <w:proofErr w:type="spellStart"/>
      <w:r w:rsidRPr="00FA537A">
        <w:rPr>
          <w:sz w:val="20"/>
          <w:szCs w:val="20"/>
        </w:rPr>
        <w:t>Clin</w:t>
      </w:r>
      <w:proofErr w:type="spellEnd"/>
      <w:r w:rsidRPr="00FA537A">
        <w:rPr>
          <w:sz w:val="20"/>
          <w:szCs w:val="20"/>
        </w:rPr>
        <w:t xml:space="preserve"> </w:t>
      </w:r>
      <w:proofErr w:type="spellStart"/>
      <w:r w:rsidRPr="00FA537A">
        <w:rPr>
          <w:sz w:val="20"/>
          <w:szCs w:val="20"/>
        </w:rPr>
        <w:t>Oncol</w:t>
      </w:r>
      <w:proofErr w:type="spellEnd"/>
      <w:r w:rsidRPr="00FA537A">
        <w:rPr>
          <w:sz w:val="20"/>
          <w:szCs w:val="20"/>
        </w:rPr>
        <w:t xml:space="preserve"> 32:3801–3809</w:t>
      </w:r>
      <w:r w:rsidR="00FA537A">
        <w:rPr>
          <w:rFonts w:hint="eastAsia"/>
          <w:sz w:val="20"/>
          <w:szCs w:val="20"/>
          <w:lang w:eastAsia="zh-CN"/>
        </w:rPr>
        <w:t>.</w:t>
      </w:r>
    </w:p>
    <w:p w:rsidR="005B3099" w:rsidRPr="00FA537A" w:rsidRDefault="00C115AC" w:rsidP="002C23A6">
      <w:pPr>
        <w:numPr>
          <w:ilvl w:val="0"/>
          <w:numId w:val="1"/>
        </w:numPr>
        <w:tabs>
          <w:tab w:val="clear" w:pos="720"/>
        </w:tabs>
        <w:bidi w:val="0"/>
        <w:snapToGrid w:val="0"/>
        <w:ind w:left="425" w:hanging="425"/>
        <w:jc w:val="both"/>
        <w:rPr>
          <w:sz w:val="20"/>
          <w:szCs w:val="20"/>
        </w:rPr>
      </w:pPr>
      <w:r w:rsidRPr="00FA537A">
        <w:rPr>
          <w:sz w:val="20"/>
          <w:szCs w:val="20"/>
        </w:rPr>
        <w:t xml:space="preserve">Keck B, </w:t>
      </w:r>
      <w:proofErr w:type="spellStart"/>
      <w:r w:rsidRPr="00FA537A">
        <w:rPr>
          <w:sz w:val="20"/>
          <w:szCs w:val="20"/>
        </w:rPr>
        <w:t>Wach</w:t>
      </w:r>
      <w:proofErr w:type="spellEnd"/>
      <w:r w:rsidRPr="00FA537A">
        <w:rPr>
          <w:sz w:val="20"/>
          <w:szCs w:val="20"/>
        </w:rPr>
        <w:t xml:space="preserve"> S,</w:t>
      </w:r>
      <w:r w:rsidR="00665909" w:rsidRPr="00FA537A">
        <w:rPr>
          <w:sz w:val="20"/>
          <w:szCs w:val="20"/>
        </w:rPr>
        <w:t xml:space="preserve"> </w:t>
      </w:r>
      <w:proofErr w:type="spellStart"/>
      <w:r w:rsidRPr="00FA537A">
        <w:rPr>
          <w:sz w:val="20"/>
          <w:szCs w:val="20"/>
        </w:rPr>
        <w:t>Taubert</w:t>
      </w:r>
      <w:proofErr w:type="spellEnd"/>
      <w:r w:rsidRPr="00FA537A">
        <w:rPr>
          <w:sz w:val="20"/>
          <w:szCs w:val="20"/>
        </w:rPr>
        <w:t xml:space="preserve"> H,</w:t>
      </w:r>
      <w:r w:rsidR="00665909" w:rsidRPr="00FA537A">
        <w:rPr>
          <w:sz w:val="20"/>
          <w:szCs w:val="20"/>
        </w:rPr>
        <w:t xml:space="preserve"> </w:t>
      </w:r>
      <w:r w:rsidR="005C2C90" w:rsidRPr="00FA537A">
        <w:rPr>
          <w:i/>
          <w:iCs/>
          <w:sz w:val="20"/>
          <w:szCs w:val="20"/>
        </w:rPr>
        <w:t>et al.,</w:t>
      </w:r>
      <w:r w:rsidR="005C2C90" w:rsidRPr="00FA537A">
        <w:rPr>
          <w:sz w:val="20"/>
          <w:szCs w:val="20"/>
        </w:rPr>
        <w:t xml:space="preserve"> </w:t>
      </w:r>
      <w:r w:rsidRPr="00FA537A">
        <w:rPr>
          <w:sz w:val="20"/>
          <w:szCs w:val="20"/>
        </w:rPr>
        <w:t xml:space="preserve">Neuropilin-2 and its </w:t>
      </w:r>
      <w:proofErr w:type="spellStart"/>
      <w:r w:rsidRPr="00FA537A">
        <w:rPr>
          <w:sz w:val="20"/>
          <w:szCs w:val="20"/>
        </w:rPr>
        <w:t>ligand</w:t>
      </w:r>
      <w:proofErr w:type="spellEnd"/>
      <w:r w:rsidRPr="00FA537A">
        <w:rPr>
          <w:sz w:val="20"/>
          <w:szCs w:val="20"/>
        </w:rPr>
        <w:t xml:space="preserve"> VEGF-C predict treatment response after transurethral resection and </w:t>
      </w:r>
      <w:proofErr w:type="spellStart"/>
      <w:r w:rsidRPr="00FA537A">
        <w:rPr>
          <w:sz w:val="20"/>
          <w:szCs w:val="20"/>
        </w:rPr>
        <w:t>radiochemotherapy</w:t>
      </w:r>
      <w:proofErr w:type="spellEnd"/>
      <w:r w:rsidRPr="00FA537A">
        <w:rPr>
          <w:sz w:val="20"/>
          <w:szCs w:val="20"/>
        </w:rPr>
        <w:t xml:space="preserve"> in bladder cancer patients. </w:t>
      </w:r>
      <w:proofErr w:type="spellStart"/>
      <w:r w:rsidRPr="00FA537A">
        <w:rPr>
          <w:sz w:val="20"/>
          <w:szCs w:val="20"/>
        </w:rPr>
        <w:t>Int</w:t>
      </w:r>
      <w:proofErr w:type="spellEnd"/>
      <w:r w:rsidRPr="00FA537A">
        <w:rPr>
          <w:sz w:val="20"/>
          <w:szCs w:val="20"/>
        </w:rPr>
        <w:t xml:space="preserve"> J Cancer, [</w:t>
      </w:r>
      <w:proofErr w:type="spellStart"/>
      <w:r w:rsidRPr="00FA537A">
        <w:rPr>
          <w:sz w:val="20"/>
          <w:szCs w:val="20"/>
        </w:rPr>
        <w:t>epub</w:t>
      </w:r>
      <w:proofErr w:type="spellEnd"/>
      <w:r w:rsidRPr="00FA537A">
        <w:rPr>
          <w:sz w:val="20"/>
          <w:szCs w:val="20"/>
        </w:rPr>
        <w:t xml:space="preserve"> ahead of print on May 27, 2014].</w:t>
      </w:r>
    </w:p>
    <w:p w:rsidR="00C115AC" w:rsidRPr="00FA537A" w:rsidRDefault="00C115AC" w:rsidP="002C23A6">
      <w:pPr>
        <w:numPr>
          <w:ilvl w:val="0"/>
          <w:numId w:val="1"/>
        </w:numPr>
        <w:tabs>
          <w:tab w:val="clear" w:pos="720"/>
        </w:tabs>
        <w:bidi w:val="0"/>
        <w:snapToGrid w:val="0"/>
        <w:ind w:left="425" w:hanging="425"/>
        <w:jc w:val="both"/>
        <w:rPr>
          <w:sz w:val="20"/>
          <w:szCs w:val="20"/>
        </w:rPr>
      </w:pPr>
      <w:r w:rsidRPr="00FA537A">
        <w:rPr>
          <w:sz w:val="20"/>
          <w:szCs w:val="20"/>
        </w:rPr>
        <w:t>Yoshida S, Koga F,</w:t>
      </w:r>
      <w:r w:rsidR="009D515E" w:rsidRPr="00FA537A">
        <w:rPr>
          <w:sz w:val="20"/>
          <w:szCs w:val="20"/>
        </w:rPr>
        <w:t xml:space="preserve"> </w:t>
      </w:r>
      <w:r w:rsidRPr="00FA537A">
        <w:rPr>
          <w:sz w:val="20"/>
          <w:szCs w:val="20"/>
        </w:rPr>
        <w:t xml:space="preserve">Kobayashi S, </w:t>
      </w:r>
      <w:r w:rsidRPr="00FA537A">
        <w:rPr>
          <w:i/>
          <w:iCs/>
          <w:sz w:val="20"/>
          <w:szCs w:val="20"/>
        </w:rPr>
        <w:t>et al.</w:t>
      </w:r>
      <w:r w:rsidRPr="00FA537A">
        <w:rPr>
          <w:sz w:val="20"/>
          <w:szCs w:val="20"/>
        </w:rPr>
        <w:t xml:space="preserve">(2014) Diffusion-weighted magnetic resonance imaging in management of bladder cancer, particularly with multimodal bladder-sparing strategy. World J </w:t>
      </w:r>
      <w:proofErr w:type="spellStart"/>
      <w:r w:rsidRPr="00FA537A">
        <w:rPr>
          <w:sz w:val="20"/>
          <w:szCs w:val="20"/>
        </w:rPr>
        <w:t>Radiol</w:t>
      </w:r>
      <w:proofErr w:type="spellEnd"/>
      <w:r w:rsidRPr="00FA537A">
        <w:rPr>
          <w:sz w:val="20"/>
          <w:szCs w:val="20"/>
        </w:rPr>
        <w:t xml:space="preserve"> 6:344–354.</w:t>
      </w:r>
    </w:p>
    <w:p w:rsidR="00FB0DC5" w:rsidRPr="00FA537A" w:rsidRDefault="006F2CF3" w:rsidP="002C23A6">
      <w:pPr>
        <w:numPr>
          <w:ilvl w:val="0"/>
          <w:numId w:val="1"/>
        </w:numPr>
        <w:tabs>
          <w:tab w:val="clear" w:pos="720"/>
        </w:tabs>
        <w:bidi w:val="0"/>
        <w:snapToGrid w:val="0"/>
        <w:ind w:left="425" w:hanging="425"/>
        <w:jc w:val="both"/>
        <w:rPr>
          <w:sz w:val="20"/>
          <w:szCs w:val="20"/>
          <w:lang w:bidi="ar-EG"/>
        </w:rPr>
      </w:pPr>
      <w:r w:rsidRPr="00FA537A">
        <w:rPr>
          <w:rStyle w:val="reference-txt"/>
          <w:sz w:val="20"/>
          <w:szCs w:val="20"/>
        </w:rPr>
        <w:t xml:space="preserve">G. </w:t>
      </w:r>
      <w:proofErr w:type="spellStart"/>
      <w:r w:rsidRPr="00FA537A">
        <w:rPr>
          <w:rStyle w:val="reference-txt"/>
          <w:sz w:val="20"/>
          <w:szCs w:val="20"/>
        </w:rPr>
        <w:t>Gakis</w:t>
      </w:r>
      <w:proofErr w:type="spellEnd"/>
      <w:r w:rsidRPr="00FA537A">
        <w:rPr>
          <w:rStyle w:val="reference-txt"/>
          <w:sz w:val="20"/>
          <w:szCs w:val="20"/>
        </w:rPr>
        <w:t xml:space="preserve">, J. </w:t>
      </w:r>
      <w:proofErr w:type="spellStart"/>
      <w:r w:rsidRPr="00FA537A">
        <w:rPr>
          <w:rStyle w:val="reference-txt"/>
          <w:sz w:val="20"/>
          <w:szCs w:val="20"/>
        </w:rPr>
        <w:t>Efstathiou</w:t>
      </w:r>
      <w:proofErr w:type="spellEnd"/>
      <w:r w:rsidRPr="00FA537A">
        <w:rPr>
          <w:rStyle w:val="reference-txt"/>
          <w:sz w:val="20"/>
          <w:szCs w:val="20"/>
        </w:rPr>
        <w:t xml:space="preserve">, S.P. Lerner, </w:t>
      </w:r>
      <w:r w:rsidRPr="00FA537A">
        <w:rPr>
          <w:rStyle w:val="reference-txt"/>
          <w:i/>
          <w:iCs/>
          <w:sz w:val="20"/>
          <w:szCs w:val="20"/>
        </w:rPr>
        <w:t>et al.</w:t>
      </w:r>
      <w:r w:rsidRPr="00FA537A">
        <w:rPr>
          <w:rStyle w:val="reference-txt"/>
          <w:sz w:val="20"/>
          <w:szCs w:val="20"/>
        </w:rPr>
        <w:t xml:space="preserve"> </w:t>
      </w:r>
      <w:r w:rsidRPr="00FA537A">
        <w:rPr>
          <w:rStyle w:val="contribution-title"/>
          <w:sz w:val="20"/>
          <w:szCs w:val="20"/>
        </w:rPr>
        <w:t xml:space="preserve">ICUD-EAU International Consultation on Bladder </w:t>
      </w:r>
      <w:r w:rsidRPr="00FA537A">
        <w:rPr>
          <w:rStyle w:val="contribution-title"/>
          <w:sz w:val="20"/>
          <w:szCs w:val="20"/>
        </w:rPr>
        <w:lastRenderedPageBreak/>
        <w:t xml:space="preserve">Cancer 2012: radical </w:t>
      </w:r>
      <w:proofErr w:type="spellStart"/>
      <w:r w:rsidRPr="00FA537A">
        <w:rPr>
          <w:rStyle w:val="contribution-title"/>
          <w:sz w:val="20"/>
          <w:szCs w:val="20"/>
        </w:rPr>
        <w:t>cystectomy</w:t>
      </w:r>
      <w:proofErr w:type="spellEnd"/>
      <w:r w:rsidRPr="00FA537A">
        <w:rPr>
          <w:rStyle w:val="contribution-title"/>
          <w:sz w:val="20"/>
          <w:szCs w:val="20"/>
        </w:rPr>
        <w:t xml:space="preserve"> and bladder preservation for muscle-invasive </w:t>
      </w:r>
      <w:proofErr w:type="spellStart"/>
      <w:r w:rsidRPr="00FA537A">
        <w:rPr>
          <w:rStyle w:val="contribution-title"/>
          <w:sz w:val="20"/>
          <w:szCs w:val="20"/>
        </w:rPr>
        <w:t>urothelial</w:t>
      </w:r>
      <w:proofErr w:type="spellEnd"/>
      <w:r w:rsidRPr="00FA537A">
        <w:rPr>
          <w:rStyle w:val="contribution-title"/>
          <w:sz w:val="20"/>
          <w:szCs w:val="20"/>
        </w:rPr>
        <w:t xml:space="preserve"> carcinoma of the bladder</w:t>
      </w:r>
      <w:r w:rsidRPr="00FA537A">
        <w:rPr>
          <w:rStyle w:val="reference-txt"/>
          <w:sz w:val="20"/>
          <w:szCs w:val="20"/>
        </w:rPr>
        <w:t xml:space="preserve">. </w:t>
      </w:r>
      <w:proofErr w:type="spellStart"/>
      <w:r w:rsidRPr="00FA537A">
        <w:rPr>
          <w:rStyle w:val="reference-title"/>
          <w:sz w:val="20"/>
          <w:szCs w:val="20"/>
        </w:rPr>
        <w:t>Eur</w:t>
      </w:r>
      <w:proofErr w:type="spellEnd"/>
      <w:r w:rsidRPr="00FA537A">
        <w:rPr>
          <w:rStyle w:val="reference-title"/>
          <w:sz w:val="20"/>
          <w:szCs w:val="20"/>
        </w:rPr>
        <w:t xml:space="preserve"> Urol</w:t>
      </w:r>
      <w:r w:rsidRPr="00FA537A">
        <w:rPr>
          <w:rStyle w:val="reference-txt"/>
          <w:sz w:val="20"/>
          <w:szCs w:val="20"/>
        </w:rPr>
        <w:t>. 2013</w:t>
      </w:r>
      <w:proofErr w:type="gramStart"/>
      <w:r w:rsidRPr="00FA537A">
        <w:rPr>
          <w:rStyle w:val="reference-txt"/>
          <w:sz w:val="20"/>
          <w:szCs w:val="20"/>
        </w:rPr>
        <w:t>;63:45</w:t>
      </w:r>
      <w:proofErr w:type="gramEnd"/>
      <w:r w:rsidRPr="00FA537A">
        <w:rPr>
          <w:rStyle w:val="reference-txt"/>
          <w:sz w:val="20"/>
          <w:szCs w:val="20"/>
        </w:rPr>
        <w:t>-57</w:t>
      </w:r>
      <w:r w:rsidR="00FA537A">
        <w:rPr>
          <w:rStyle w:val="reference-txt"/>
          <w:rFonts w:hint="eastAsia"/>
          <w:sz w:val="20"/>
          <w:szCs w:val="20"/>
          <w:lang w:eastAsia="zh-CN"/>
        </w:rPr>
        <w:t>.</w:t>
      </w:r>
    </w:p>
    <w:p w:rsidR="000F6FE7" w:rsidRPr="00FA537A" w:rsidRDefault="000F6FE7" w:rsidP="002C23A6">
      <w:pPr>
        <w:numPr>
          <w:ilvl w:val="0"/>
          <w:numId w:val="1"/>
        </w:numPr>
        <w:tabs>
          <w:tab w:val="clear" w:pos="720"/>
        </w:tabs>
        <w:bidi w:val="0"/>
        <w:snapToGrid w:val="0"/>
        <w:ind w:left="425" w:hanging="425"/>
        <w:jc w:val="both"/>
        <w:rPr>
          <w:sz w:val="20"/>
          <w:szCs w:val="20"/>
        </w:rPr>
      </w:pPr>
      <w:proofErr w:type="spellStart"/>
      <w:r w:rsidRPr="00FA537A">
        <w:rPr>
          <w:sz w:val="20"/>
          <w:szCs w:val="20"/>
        </w:rPr>
        <w:t>Søndergaard</w:t>
      </w:r>
      <w:proofErr w:type="spellEnd"/>
      <w:r w:rsidRPr="00FA537A">
        <w:rPr>
          <w:sz w:val="20"/>
          <w:szCs w:val="20"/>
        </w:rPr>
        <w:t xml:space="preserve"> J, Holmberg M, </w:t>
      </w:r>
      <w:proofErr w:type="spellStart"/>
      <w:r w:rsidRPr="00FA537A">
        <w:rPr>
          <w:sz w:val="20"/>
          <w:szCs w:val="20"/>
        </w:rPr>
        <w:t>Jakobsen</w:t>
      </w:r>
      <w:proofErr w:type="spellEnd"/>
      <w:r w:rsidRPr="00FA537A">
        <w:rPr>
          <w:sz w:val="20"/>
          <w:szCs w:val="20"/>
        </w:rPr>
        <w:t xml:space="preserve"> AR, </w:t>
      </w:r>
      <w:r w:rsidR="005C2C90" w:rsidRPr="00FA537A">
        <w:rPr>
          <w:rStyle w:val="reference-txt"/>
          <w:i/>
          <w:iCs/>
          <w:sz w:val="20"/>
          <w:szCs w:val="20"/>
        </w:rPr>
        <w:t>et al.</w:t>
      </w:r>
      <w:r w:rsidR="005C2C90" w:rsidRPr="00FA537A">
        <w:rPr>
          <w:rStyle w:val="reference-txt"/>
          <w:sz w:val="20"/>
          <w:szCs w:val="20"/>
        </w:rPr>
        <w:t xml:space="preserve"> </w:t>
      </w:r>
      <w:r w:rsidRPr="00FA537A">
        <w:rPr>
          <w:sz w:val="20"/>
          <w:szCs w:val="20"/>
        </w:rPr>
        <w:t xml:space="preserve">(2014) A comparison of morbidity following conformal versus intensity-modulated radiotherapy for urinary bladder cancer. </w:t>
      </w:r>
      <w:proofErr w:type="spellStart"/>
      <w:r w:rsidRPr="00FA537A">
        <w:rPr>
          <w:sz w:val="20"/>
          <w:szCs w:val="20"/>
        </w:rPr>
        <w:t>Acta</w:t>
      </w:r>
      <w:proofErr w:type="spellEnd"/>
      <w:r w:rsidRPr="00FA537A">
        <w:rPr>
          <w:sz w:val="20"/>
          <w:szCs w:val="20"/>
        </w:rPr>
        <w:t xml:space="preserve"> </w:t>
      </w:r>
      <w:proofErr w:type="spellStart"/>
      <w:r w:rsidRPr="00FA537A">
        <w:rPr>
          <w:sz w:val="20"/>
          <w:szCs w:val="20"/>
        </w:rPr>
        <w:t>Oncol</w:t>
      </w:r>
      <w:proofErr w:type="spellEnd"/>
      <w:r w:rsidRPr="00FA537A">
        <w:rPr>
          <w:sz w:val="20"/>
          <w:szCs w:val="20"/>
        </w:rPr>
        <w:t xml:space="preserve"> 1:1–8.</w:t>
      </w:r>
    </w:p>
    <w:p w:rsidR="00260A88" w:rsidRPr="00FA537A" w:rsidRDefault="000F6FE7" w:rsidP="002C23A6">
      <w:pPr>
        <w:numPr>
          <w:ilvl w:val="0"/>
          <w:numId w:val="1"/>
        </w:numPr>
        <w:tabs>
          <w:tab w:val="clear" w:pos="720"/>
        </w:tabs>
        <w:bidi w:val="0"/>
        <w:snapToGrid w:val="0"/>
        <w:ind w:left="425" w:hanging="425"/>
        <w:jc w:val="both"/>
        <w:rPr>
          <w:sz w:val="20"/>
          <w:szCs w:val="20"/>
        </w:rPr>
      </w:pPr>
      <w:proofErr w:type="spellStart"/>
      <w:r w:rsidRPr="00FA537A">
        <w:rPr>
          <w:sz w:val="20"/>
          <w:szCs w:val="20"/>
        </w:rPr>
        <w:t>Aluwini</w:t>
      </w:r>
      <w:proofErr w:type="spellEnd"/>
      <w:r w:rsidRPr="00FA537A">
        <w:rPr>
          <w:sz w:val="20"/>
          <w:szCs w:val="20"/>
        </w:rPr>
        <w:t xml:space="preserve"> S,</w:t>
      </w:r>
      <w:r w:rsidR="00FA537A">
        <w:rPr>
          <w:rFonts w:hint="eastAsia"/>
          <w:sz w:val="20"/>
          <w:szCs w:val="20"/>
          <w:lang w:eastAsia="zh-CN"/>
        </w:rPr>
        <w:t xml:space="preserve"> </w:t>
      </w:r>
      <w:r w:rsidRPr="00FA537A">
        <w:rPr>
          <w:sz w:val="20"/>
          <w:szCs w:val="20"/>
        </w:rPr>
        <w:t xml:space="preserve">van </w:t>
      </w:r>
      <w:proofErr w:type="spellStart"/>
      <w:r w:rsidRPr="00FA537A">
        <w:rPr>
          <w:sz w:val="20"/>
          <w:szCs w:val="20"/>
        </w:rPr>
        <w:t>Rooij</w:t>
      </w:r>
      <w:proofErr w:type="spellEnd"/>
      <w:r w:rsidRPr="00FA537A">
        <w:rPr>
          <w:sz w:val="20"/>
          <w:szCs w:val="20"/>
        </w:rPr>
        <w:t xml:space="preserve"> PH, </w:t>
      </w:r>
      <w:proofErr w:type="spellStart"/>
      <w:r w:rsidRPr="00FA537A">
        <w:rPr>
          <w:sz w:val="20"/>
          <w:szCs w:val="20"/>
        </w:rPr>
        <w:t>Kirkels</w:t>
      </w:r>
      <w:proofErr w:type="spellEnd"/>
      <w:r w:rsidRPr="00FA537A">
        <w:rPr>
          <w:sz w:val="20"/>
          <w:szCs w:val="20"/>
        </w:rPr>
        <w:t xml:space="preserve"> WJ, </w:t>
      </w:r>
      <w:r w:rsidR="005C2C90" w:rsidRPr="00FA537A">
        <w:rPr>
          <w:rStyle w:val="reference-txt"/>
          <w:i/>
          <w:iCs/>
          <w:sz w:val="20"/>
          <w:szCs w:val="20"/>
        </w:rPr>
        <w:t>et al.</w:t>
      </w:r>
      <w:r w:rsidR="005C2C90" w:rsidRPr="00FA537A">
        <w:rPr>
          <w:rStyle w:val="reference-txt"/>
          <w:sz w:val="20"/>
          <w:szCs w:val="20"/>
        </w:rPr>
        <w:t xml:space="preserve"> </w:t>
      </w:r>
      <w:r w:rsidRPr="00FA537A">
        <w:rPr>
          <w:sz w:val="20"/>
          <w:szCs w:val="20"/>
        </w:rPr>
        <w:t xml:space="preserve">(2014) Bladder function preservation with </w:t>
      </w:r>
      <w:proofErr w:type="spellStart"/>
      <w:r w:rsidRPr="00FA537A">
        <w:rPr>
          <w:sz w:val="20"/>
          <w:szCs w:val="20"/>
        </w:rPr>
        <w:t>brachytherapy</w:t>
      </w:r>
      <w:proofErr w:type="spellEnd"/>
      <w:r w:rsidRPr="00FA537A">
        <w:rPr>
          <w:sz w:val="20"/>
          <w:szCs w:val="20"/>
        </w:rPr>
        <w:t xml:space="preserve">, external beam radiation therapy, and limited surgery in bladder cancer patients: Long-term results. </w:t>
      </w:r>
      <w:proofErr w:type="spellStart"/>
      <w:r w:rsidRPr="00FA537A">
        <w:rPr>
          <w:sz w:val="20"/>
          <w:szCs w:val="20"/>
        </w:rPr>
        <w:t>Int</w:t>
      </w:r>
      <w:proofErr w:type="spellEnd"/>
      <w:r w:rsidRPr="00FA537A">
        <w:rPr>
          <w:sz w:val="20"/>
          <w:szCs w:val="20"/>
        </w:rPr>
        <w:t xml:space="preserve"> J </w:t>
      </w:r>
      <w:proofErr w:type="spellStart"/>
      <w:r w:rsidRPr="00FA537A">
        <w:rPr>
          <w:sz w:val="20"/>
          <w:szCs w:val="20"/>
        </w:rPr>
        <w:t>Radiat</w:t>
      </w:r>
      <w:proofErr w:type="spellEnd"/>
      <w:r w:rsidRPr="00FA537A">
        <w:rPr>
          <w:sz w:val="20"/>
          <w:szCs w:val="20"/>
        </w:rPr>
        <w:t xml:space="preserve"> </w:t>
      </w:r>
      <w:proofErr w:type="spellStart"/>
      <w:r w:rsidRPr="00FA537A">
        <w:rPr>
          <w:sz w:val="20"/>
          <w:szCs w:val="20"/>
        </w:rPr>
        <w:t>Oncol</w:t>
      </w:r>
      <w:proofErr w:type="spellEnd"/>
      <w:r w:rsidRPr="00FA537A">
        <w:rPr>
          <w:sz w:val="20"/>
          <w:szCs w:val="20"/>
        </w:rPr>
        <w:t xml:space="preserve"> </w:t>
      </w:r>
      <w:proofErr w:type="spellStart"/>
      <w:r w:rsidRPr="00FA537A">
        <w:rPr>
          <w:sz w:val="20"/>
          <w:szCs w:val="20"/>
        </w:rPr>
        <w:t>Biol</w:t>
      </w:r>
      <w:proofErr w:type="spellEnd"/>
      <w:r w:rsidRPr="00FA537A">
        <w:rPr>
          <w:sz w:val="20"/>
          <w:szCs w:val="20"/>
        </w:rPr>
        <w:t xml:space="preserve"> Phys 88:611–617</w:t>
      </w:r>
      <w:r w:rsidR="00260A88" w:rsidRPr="00FA537A">
        <w:rPr>
          <w:sz w:val="20"/>
          <w:szCs w:val="20"/>
        </w:rPr>
        <w:t>.</w:t>
      </w:r>
    </w:p>
    <w:p w:rsidR="002906A6" w:rsidRPr="00FA537A" w:rsidRDefault="00260A88" w:rsidP="002C23A6">
      <w:pPr>
        <w:numPr>
          <w:ilvl w:val="0"/>
          <w:numId w:val="1"/>
        </w:numPr>
        <w:tabs>
          <w:tab w:val="clear" w:pos="720"/>
        </w:tabs>
        <w:bidi w:val="0"/>
        <w:snapToGrid w:val="0"/>
        <w:ind w:left="425" w:hanging="425"/>
        <w:jc w:val="both"/>
        <w:rPr>
          <w:rStyle w:val="Hyperlink"/>
          <w:color w:val="auto"/>
          <w:sz w:val="20"/>
          <w:szCs w:val="20"/>
          <w:u w:val="none"/>
        </w:rPr>
      </w:pPr>
      <w:r w:rsidRPr="00FA537A">
        <w:rPr>
          <w:sz w:val="20"/>
          <w:szCs w:val="20"/>
          <w:lang w:val="fr-FR"/>
        </w:rPr>
        <w:t>James ND,</w:t>
      </w:r>
      <w:r w:rsidR="009D515E" w:rsidRPr="00FA537A">
        <w:rPr>
          <w:sz w:val="20"/>
          <w:szCs w:val="20"/>
          <w:lang w:val="fr-FR"/>
        </w:rPr>
        <w:t xml:space="preserve"> </w:t>
      </w:r>
      <w:r w:rsidRPr="00FA537A">
        <w:rPr>
          <w:sz w:val="20"/>
          <w:szCs w:val="20"/>
          <w:lang w:val="fr-FR"/>
        </w:rPr>
        <w:t xml:space="preserve">Hussain </w:t>
      </w:r>
      <w:proofErr w:type="spellStart"/>
      <w:r w:rsidRPr="00FA537A">
        <w:rPr>
          <w:sz w:val="20"/>
          <w:szCs w:val="20"/>
          <w:lang w:val="fr-FR"/>
        </w:rPr>
        <w:t>SA</w:t>
      </w:r>
      <w:proofErr w:type="gramStart"/>
      <w:r w:rsidRPr="00FA537A">
        <w:rPr>
          <w:sz w:val="20"/>
          <w:szCs w:val="20"/>
          <w:lang w:val="fr-FR"/>
        </w:rPr>
        <w:t>,Hall</w:t>
      </w:r>
      <w:proofErr w:type="spellEnd"/>
      <w:proofErr w:type="gramEnd"/>
      <w:r w:rsidRPr="00FA537A">
        <w:rPr>
          <w:sz w:val="20"/>
          <w:szCs w:val="20"/>
          <w:lang w:val="fr-FR"/>
        </w:rPr>
        <w:t xml:space="preserve"> E, </w:t>
      </w:r>
      <w:r w:rsidR="005C2C90" w:rsidRPr="00FA537A">
        <w:rPr>
          <w:rStyle w:val="reference-txt"/>
          <w:i/>
          <w:iCs/>
          <w:sz w:val="20"/>
          <w:szCs w:val="20"/>
          <w:lang w:val="fr-FR"/>
        </w:rPr>
        <w:t>et al.</w:t>
      </w:r>
      <w:r w:rsidR="005C2C90" w:rsidRPr="00FA537A">
        <w:rPr>
          <w:rStyle w:val="reference-txt"/>
          <w:sz w:val="20"/>
          <w:szCs w:val="20"/>
          <w:lang w:val="fr-FR"/>
        </w:rPr>
        <w:t xml:space="preserve"> </w:t>
      </w:r>
      <w:r w:rsidRPr="00FA537A">
        <w:rPr>
          <w:sz w:val="20"/>
          <w:szCs w:val="20"/>
        </w:rPr>
        <w:t>(2012) Radiotherapy with or without chemotherapy in muscle-invasive bladder cancer</w:t>
      </w:r>
      <w:r w:rsidRPr="00FA537A">
        <w:rPr>
          <w:rStyle w:val="Hyperlink"/>
          <w:color w:val="auto"/>
          <w:sz w:val="20"/>
          <w:szCs w:val="20"/>
        </w:rPr>
        <w:t xml:space="preserve"> </w:t>
      </w:r>
      <w:r w:rsidRPr="00FA537A">
        <w:rPr>
          <w:sz w:val="20"/>
          <w:szCs w:val="20"/>
        </w:rPr>
        <w:t xml:space="preserve">N </w:t>
      </w:r>
      <w:proofErr w:type="spellStart"/>
      <w:r w:rsidRPr="00FA537A">
        <w:rPr>
          <w:sz w:val="20"/>
          <w:szCs w:val="20"/>
        </w:rPr>
        <w:t>Engl</w:t>
      </w:r>
      <w:proofErr w:type="spellEnd"/>
      <w:r w:rsidRPr="00FA537A">
        <w:rPr>
          <w:sz w:val="20"/>
          <w:szCs w:val="20"/>
        </w:rPr>
        <w:t xml:space="preserve"> J Med 366:1477–1488.</w:t>
      </w:r>
    </w:p>
    <w:p w:rsidR="00260A88" w:rsidRPr="00FA537A" w:rsidRDefault="002906A6" w:rsidP="002C23A6">
      <w:pPr>
        <w:numPr>
          <w:ilvl w:val="0"/>
          <w:numId w:val="1"/>
        </w:numPr>
        <w:tabs>
          <w:tab w:val="clear" w:pos="720"/>
        </w:tabs>
        <w:bidi w:val="0"/>
        <w:snapToGrid w:val="0"/>
        <w:ind w:left="425" w:hanging="425"/>
        <w:jc w:val="both"/>
        <w:rPr>
          <w:sz w:val="20"/>
          <w:szCs w:val="20"/>
        </w:rPr>
      </w:pPr>
      <w:r w:rsidRPr="00FA537A">
        <w:rPr>
          <w:rStyle w:val="reference-txt"/>
          <w:sz w:val="20"/>
          <w:szCs w:val="20"/>
        </w:rPr>
        <w:t xml:space="preserve">N.D. James, S.A. </w:t>
      </w:r>
      <w:proofErr w:type="spellStart"/>
      <w:r w:rsidRPr="00FA537A">
        <w:rPr>
          <w:rStyle w:val="reference-txt"/>
          <w:sz w:val="20"/>
          <w:szCs w:val="20"/>
        </w:rPr>
        <w:t>Hussain</w:t>
      </w:r>
      <w:proofErr w:type="spellEnd"/>
      <w:r w:rsidRPr="00FA537A">
        <w:rPr>
          <w:rStyle w:val="reference-txt"/>
          <w:sz w:val="20"/>
          <w:szCs w:val="20"/>
        </w:rPr>
        <w:t xml:space="preserve">, E. Hall, </w:t>
      </w:r>
      <w:r w:rsidR="005C2C90" w:rsidRPr="00FA537A">
        <w:rPr>
          <w:rStyle w:val="reference-txt"/>
          <w:i/>
          <w:iCs/>
          <w:sz w:val="20"/>
          <w:szCs w:val="20"/>
        </w:rPr>
        <w:t>et al.</w:t>
      </w:r>
      <w:r w:rsidR="005C2C90" w:rsidRPr="00FA537A">
        <w:rPr>
          <w:rStyle w:val="reference-txt"/>
          <w:sz w:val="20"/>
          <w:szCs w:val="20"/>
        </w:rPr>
        <w:t xml:space="preserve"> </w:t>
      </w:r>
      <w:r w:rsidRPr="00FA537A">
        <w:rPr>
          <w:rStyle w:val="contribution-title"/>
          <w:sz w:val="20"/>
          <w:szCs w:val="20"/>
        </w:rPr>
        <w:t>Radiotherapy with or without chemotherapy in muscle-invasive bladder cancer</w:t>
      </w:r>
      <w:r w:rsidRPr="00FA537A">
        <w:rPr>
          <w:rStyle w:val="reference-txt"/>
          <w:sz w:val="20"/>
          <w:szCs w:val="20"/>
        </w:rPr>
        <w:t xml:space="preserve">. </w:t>
      </w:r>
      <w:r w:rsidRPr="00FA537A">
        <w:rPr>
          <w:rStyle w:val="reference-title"/>
          <w:sz w:val="20"/>
          <w:szCs w:val="20"/>
        </w:rPr>
        <w:t xml:space="preserve">N </w:t>
      </w:r>
      <w:proofErr w:type="spellStart"/>
      <w:r w:rsidRPr="00FA537A">
        <w:rPr>
          <w:rStyle w:val="reference-title"/>
          <w:sz w:val="20"/>
          <w:szCs w:val="20"/>
        </w:rPr>
        <w:t>Engl</w:t>
      </w:r>
      <w:proofErr w:type="spellEnd"/>
      <w:r w:rsidRPr="00FA537A">
        <w:rPr>
          <w:rStyle w:val="reference-title"/>
          <w:sz w:val="20"/>
          <w:szCs w:val="20"/>
        </w:rPr>
        <w:t xml:space="preserve"> J Med</w:t>
      </w:r>
      <w:r w:rsidRPr="00FA537A">
        <w:rPr>
          <w:rStyle w:val="reference-txt"/>
          <w:sz w:val="20"/>
          <w:szCs w:val="20"/>
        </w:rPr>
        <w:t>. 2012</w:t>
      </w:r>
      <w:proofErr w:type="gramStart"/>
      <w:r w:rsidRPr="00FA537A">
        <w:rPr>
          <w:rStyle w:val="reference-txt"/>
          <w:sz w:val="20"/>
          <w:szCs w:val="20"/>
        </w:rPr>
        <w:t>;366:1477</w:t>
      </w:r>
      <w:proofErr w:type="gramEnd"/>
      <w:r w:rsidRPr="00FA537A">
        <w:rPr>
          <w:rStyle w:val="reference-txt"/>
          <w:sz w:val="20"/>
          <w:szCs w:val="20"/>
        </w:rPr>
        <w:t>-1488</w:t>
      </w:r>
      <w:r w:rsidR="00FA537A">
        <w:rPr>
          <w:rStyle w:val="reference-txt"/>
          <w:rFonts w:hint="eastAsia"/>
          <w:sz w:val="20"/>
          <w:szCs w:val="20"/>
          <w:lang w:eastAsia="zh-CN"/>
        </w:rPr>
        <w:t>.</w:t>
      </w:r>
    </w:p>
    <w:p w:rsidR="006C4D31" w:rsidRPr="00FA537A" w:rsidRDefault="006C4D31" w:rsidP="002C23A6">
      <w:pPr>
        <w:numPr>
          <w:ilvl w:val="0"/>
          <w:numId w:val="1"/>
        </w:numPr>
        <w:tabs>
          <w:tab w:val="clear" w:pos="720"/>
        </w:tabs>
        <w:bidi w:val="0"/>
        <w:snapToGrid w:val="0"/>
        <w:ind w:left="425" w:hanging="425"/>
        <w:jc w:val="both"/>
        <w:rPr>
          <w:sz w:val="20"/>
          <w:szCs w:val="20"/>
        </w:rPr>
      </w:pPr>
      <w:r w:rsidRPr="00FA537A">
        <w:rPr>
          <w:sz w:val="20"/>
          <w:szCs w:val="20"/>
        </w:rPr>
        <w:t xml:space="preserve">Weiss C, </w:t>
      </w:r>
      <w:proofErr w:type="spellStart"/>
      <w:r w:rsidRPr="00FA537A">
        <w:rPr>
          <w:sz w:val="20"/>
          <w:szCs w:val="20"/>
        </w:rPr>
        <w:t>Wittlinger</w:t>
      </w:r>
      <w:proofErr w:type="spellEnd"/>
      <w:r w:rsidRPr="00FA537A">
        <w:rPr>
          <w:sz w:val="20"/>
          <w:szCs w:val="20"/>
        </w:rPr>
        <w:t xml:space="preserve"> M, </w:t>
      </w:r>
      <w:proofErr w:type="spellStart"/>
      <w:r w:rsidRPr="00FA537A">
        <w:rPr>
          <w:sz w:val="20"/>
          <w:szCs w:val="20"/>
        </w:rPr>
        <w:t>Engehausen</w:t>
      </w:r>
      <w:proofErr w:type="spellEnd"/>
      <w:r w:rsidRPr="00FA537A">
        <w:rPr>
          <w:sz w:val="20"/>
          <w:szCs w:val="20"/>
        </w:rPr>
        <w:t xml:space="preserve"> DG, </w:t>
      </w:r>
      <w:r w:rsidR="005C2C90" w:rsidRPr="00FA537A">
        <w:rPr>
          <w:rStyle w:val="reference-txt"/>
          <w:i/>
          <w:iCs/>
          <w:sz w:val="20"/>
          <w:szCs w:val="20"/>
        </w:rPr>
        <w:t>et al.</w:t>
      </w:r>
      <w:r w:rsidR="005C2C90" w:rsidRPr="00FA537A">
        <w:rPr>
          <w:rStyle w:val="reference-txt"/>
          <w:sz w:val="20"/>
          <w:szCs w:val="20"/>
        </w:rPr>
        <w:t xml:space="preserve"> </w:t>
      </w:r>
      <w:r w:rsidRPr="00FA537A">
        <w:rPr>
          <w:sz w:val="20"/>
          <w:szCs w:val="20"/>
        </w:rPr>
        <w:t xml:space="preserve">(2008) Management of superficial recurrences in an irradiated bladder after combined-modality organ-preserving therapy. </w:t>
      </w:r>
      <w:proofErr w:type="spellStart"/>
      <w:r w:rsidRPr="00FA537A">
        <w:rPr>
          <w:sz w:val="20"/>
          <w:szCs w:val="20"/>
        </w:rPr>
        <w:t>Int</w:t>
      </w:r>
      <w:proofErr w:type="spellEnd"/>
      <w:r w:rsidRPr="00FA537A">
        <w:rPr>
          <w:sz w:val="20"/>
          <w:szCs w:val="20"/>
        </w:rPr>
        <w:t xml:space="preserve"> J </w:t>
      </w:r>
      <w:proofErr w:type="spellStart"/>
      <w:r w:rsidRPr="00FA537A">
        <w:rPr>
          <w:sz w:val="20"/>
          <w:szCs w:val="20"/>
        </w:rPr>
        <w:t>Radiat</w:t>
      </w:r>
      <w:proofErr w:type="spellEnd"/>
      <w:r w:rsidRPr="00FA537A">
        <w:rPr>
          <w:sz w:val="20"/>
          <w:szCs w:val="20"/>
        </w:rPr>
        <w:t xml:space="preserve"> </w:t>
      </w:r>
      <w:proofErr w:type="spellStart"/>
      <w:r w:rsidRPr="00FA537A">
        <w:rPr>
          <w:sz w:val="20"/>
          <w:szCs w:val="20"/>
        </w:rPr>
        <w:t>Oncol</w:t>
      </w:r>
      <w:proofErr w:type="spellEnd"/>
      <w:r w:rsidRPr="00FA537A">
        <w:rPr>
          <w:sz w:val="20"/>
          <w:szCs w:val="20"/>
        </w:rPr>
        <w:t xml:space="preserve"> </w:t>
      </w:r>
      <w:proofErr w:type="spellStart"/>
      <w:r w:rsidRPr="00FA537A">
        <w:rPr>
          <w:sz w:val="20"/>
          <w:szCs w:val="20"/>
        </w:rPr>
        <w:t>Biol</w:t>
      </w:r>
      <w:proofErr w:type="spellEnd"/>
      <w:r w:rsidRPr="00FA537A">
        <w:rPr>
          <w:sz w:val="20"/>
          <w:szCs w:val="20"/>
        </w:rPr>
        <w:t xml:space="preserve"> Phys 70:1502–1506.</w:t>
      </w:r>
    </w:p>
    <w:p w:rsidR="00326CCC" w:rsidRPr="00FA537A" w:rsidRDefault="00234BBE" w:rsidP="002C23A6">
      <w:pPr>
        <w:numPr>
          <w:ilvl w:val="0"/>
          <w:numId w:val="1"/>
        </w:numPr>
        <w:tabs>
          <w:tab w:val="clear" w:pos="720"/>
        </w:tabs>
        <w:bidi w:val="0"/>
        <w:snapToGrid w:val="0"/>
        <w:ind w:left="425" w:hanging="425"/>
        <w:jc w:val="both"/>
        <w:rPr>
          <w:sz w:val="20"/>
          <w:szCs w:val="20"/>
        </w:rPr>
      </w:pPr>
      <w:r w:rsidRPr="00FA537A">
        <w:rPr>
          <w:sz w:val="20"/>
          <w:szCs w:val="20"/>
          <w:lang w:val="fr-FR"/>
        </w:rPr>
        <w:t xml:space="preserve">Lagrange J, </w:t>
      </w:r>
      <w:proofErr w:type="spellStart"/>
      <w:r w:rsidRPr="00FA537A">
        <w:rPr>
          <w:sz w:val="20"/>
          <w:szCs w:val="20"/>
          <w:lang w:val="fr-FR"/>
        </w:rPr>
        <w:t>Bascoul</w:t>
      </w:r>
      <w:proofErr w:type="spellEnd"/>
      <w:r w:rsidRPr="00FA537A">
        <w:rPr>
          <w:sz w:val="20"/>
          <w:szCs w:val="20"/>
          <w:lang w:val="fr-FR"/>
        </w:rPr>
        <w:t>-</w:t>
      </w:r>
      <w:proofErr w:type="spellStart"/>
      <w:r w:rsidRPr="00FA537A">
        <w:rPr>
          <w:sz w:val="20"/>
          <w:szCs w:val="20"/>
          <w:lang w:val="fr-FR"/>
        </w:rPr>
        <w:t>Mollevi</w:t>
      </w:r>
      <w:proofErr w:type="spellEnd"/>
      <w:r w:rsidRPr="00FA537A">
        <w:rPr>
          <w:sz w:val="20"/>
          <w:szCs w:val="20"/>
          <w:lang w:val="fr-FR"/>
        </w:rPr>
        <w:t xml:space="preserve"> C, </w:t>
      </w:r>
      <w:proofErr w:type="spellStart"/>
      <w:r w:rsidRPr="00FA537A">
        <w:rPr>
          <w:sz w:val="20"/>
          <w:szCs w:val="20"/>
          <w:lang w:val="fr-FR"/>
        </w:rPr>
        <w:t>Geoffrois</w:t>
      </w:r>
      <w:proofErr w:type="spellEnd"/>
      <w:r w:rsidRPr="00FA537A">
        <w:rPr>
          <w:sz w:val="20"/>
          <w:szCs w:val="20"/>
          <w:lang w:val="fr-FR"/>
        </w:rPr>
        <w:t xml:space="preserve"> L, </w:t>
      </w:r>
      <w:r w:rsidR="00131FAF" w:rsidRPr="00FA537A">
        <w:rPr>
          <w:rStyle w:val="reference-txt"/>
          <w:i/>
          <w:iCs/>
          <w:sz w:val="20"/>
          <w:szCs w:val="20"/>
          <w:lang w:val="fr-FR"/>
        </w:rPr>
        <w:t>et al.</w:t>
      </w:r>
      <w:r w:rsidR="00131FAF" w:rsidRPr="00FA537A">
        <w:rPr>
          <w:rStyle w:val="reference-txt"/>
          <w:sz w:val="20"/>
          <w:szCs w:val="20"/>
          <w:lang w:val="fr-FR"/>
        </w:rPr>
        <w:t xml:space="preserve"> </w:t>
      </w:r>
      <w:r w:rsidRPr="00FA537A">
        <w:rPr>
          <w:sz w:val="20"/>
          <w:szCs w:val="20"/>
        </w:rPr>
        <w:t xml:space="preserve">(2010) Quality of life assessment after concurrent </w:t>
      </w:r>
      <w:proofErr w:type="spellStart"/>
      <w:r w:rsidRPr="00FA537A">
        <w:rPr>
          <w:sz w:val="20"/>
          <w:szCs w:val="20"/>
        </w:rPr>
        <w:t>chemoradiation</w:t>
      </w:r>
      <w:proofErr w:type="spellEnd"/>
      <w:r w:rsidRPr="00FA537A">
        <w:rPr>
          <w:sz w:val="20"/>
          <w:szCs w:val="20"/>
        </w:rPr>
        <w:t xml:space="preserve"> for invasive bladder cancer: results of a multicenter prospective study (GETUG 97-015). </w:t>
      </w:r>
      <w:proofErr w:type="spellStart"/>
      <w:r w:rsidRPr="00FA537A">
        <w:rPr>
          <w:sz w:val="20"/>
          <w:szCs w:val="20"/>
        </w:rPr>
        <w:t>Int</w:t>
      </w:r>
      <w:proofErr w:type="spellEnd"/>
      <w:r w:rsidRPr="00FA537A">
        <w:rPr>
          <w:sz w:val="20"/>
          <w:szCs w:val="20"/>
        </w:rPr>
        <w:t xml:space="preserve"> J </w:t>
      </w:r>
      <w:proofErr w:type="spellStart"/>
      <w:r w:rsidRPr="00FA537A">
        <w:rPr>
          <w:sz w:val="20"/>
          <w:szCs w:val="20"/>
        </w:rPr>
        <w:t>Radiat</w:t>
      </w:r>
      <w:proofErr w:type="spellEnd"/>
      <w:r w:rsidRPr="00FA537A">
        <w:rPr>
          <w:sz w:val="20"/>
          <w:szCs w:val="20"/>
        </w:rPr>
        <w:t xml:space="preserve"> </w:t>
      </w:r>
      <w:proofErr w:type="spellStart"/>
      <w:r w:rsidRPr="00FA537A">
        <w:rPr>
          <w:sz w:val="20"/>
          <w:szCs w:val="20"/>
        </w:rPr>
        <w:t>Oncol</w:t>
      </w:r>
      <w:proofErr w:type="spellEnd"/>
      <w:r w:rsidRPr="00FA537A">
        <w:rPr>
          <w:sz w:val="20"/>
          <w:szCs w:val="20"/>
        </w:rPr>
        <w:t xml:space="preserve"> </w:t>
      </w:r>
      <w:proofErr w:type="spellStart"/>
      <w:r w:rsidRPr="00FA537A">
        <w:rPr>
          <w:sz w:val="20"/>
          <w:szCs w:val="20"/>
        </w:rPr>
        <w:t>Biol</w:t>
      </w:r>
      <w:proofErr w:type="spellEnd"/>
      <w:r w:rsidRPr="00FA537A">
        <w:rPr>
          <w:sz w:val="20"/>
          <w:szCs w:val="20"/>
        </w:rPr>
        <w:t xml:space="preserve"> Phys 79: 172-178. </w:t>
      </w:r>
      <w:proofErr w:type="spellStart"/>
      <w:proofErr w:type="gramStart"/>
      <w:r w:rsidRPr="00FA537A">
        <w:rPr>
          <w:sz w:val="20"/>
          <w:szCs w:val="20"/>
        </w:rPr>
        <w:t>doi</w:t>
      </w:r>
      <w:proofErr w:type="spellEnd"/>
      <w:proofErr w:type="gramEnd"/>
      <w:r w:rsidRPr="00FA537A">
        <w:rPr>
          <w:sz w:val="20"/>
          <w:szCs w:val="20"/>
        </w:rPr>
        <w:t>: 10.1016/</w:t>
      </w:r>
      <w:r w:rsidR="009D515E" w:rsidRPr="00FA537A">
        <w:rPr>
          <w:sz w:val="20"/>
          <w:szCs w:val="20"/>
        </w:rPr>
        <w:t xml:space="preserve"> </w:t>
      </w:r>
      <w:proofErr w:type="spellStart"/>
      <w:r w:rsidRPr="00FA537A">
        <w:rPr>
          <w:sz w:val="20"/>
          <w:szCs w:val="20"/>
        </w:rPr>
        <w:t>j.ijrobp</w:t>
      </w:r>
      <w:proofErr w:type="spellEnd"/>
      <w:r w:rsidRPr="00FA537A">
        <w:rPr>
          <w:sz w:val="20"/>
          <w:szCs w:val="20"/>
        </w:rPr>
        <w:t>.</w:t>
      </w:r>
      <w:r w:rsidR="009D515E" w:rsidRPr="00FA537A">
        <w:rPr>
          <w:sz w:val="20"/>
          <w:szCs w:val="20"/>
        </w:rPr>
        <w:t xml:space="preserve"> </w:t>
      </w:r>
      <w:r w:rsidRPr="00FA537A">
        <w:rPr>
          <w:sz w:val="20"/>
          <w:szCs w:val="20"/>
        </w:rPr>
        <w:t>2009.10.038</w:t>
      </w:r>
    </w:p>
    <w:p w:rsidR="00326CCC" w:rsidRPr="00FA537A" w:rsidRDefault="00326CCC" w:rsidP="002C23A6">
      <w:pPr>
        <w:numPr>
          <w:ilvl w:val="0"/>
          <w:numId w:val="1"/>
        </w:numPr>
        <w:tabs>
          <w:tab w:val="clear" w:pos="720"/>
        </w:tabs>
        <w:bidi w:val="0"/>
        <w:snapToGrid w:val="0"/>
        <w:ind w:left="425" w:hanging="425"/>
        <w:jc w:val="both"/>
        <w:rPr>
          <w:sz w:val="20"/>
          <w:szCs w:val="20"/>
        </w:rPr>
      </w:pPr>
      <w:r w:rsidRPr="00FA537A">
        <w:rPr>
          <w:sz w:val="20"/>
          <w:szCs w:val="20"/>
        </w:rPr>
        <w:t xml:space="preserve">M.A. </w:t>
      </w:r>
      <w:proofErr w:type="spellStart"/>
      <w:r w:rsidRPr="00FA537A">
        <w:rPr>
          <w:sz w:val="20"/>
          <w:szCs w:val="20"/>
        </w:rPr>
        <w:t>Aboziada</w:t>
      </w:r>
      <w:proofErr w:type="spellEnd"/>
      <w:r w:rsidRPr="00FA537A">
        <w:rPr>
          <w:sz w:val="20"/>
          <w:szCs w:val="20"/>
        </w:rPr>
        <w:t xml:space="preserve">, H.M. </w:t>
      </w:r>
      <w:proofErr w:type="spellStart"/>
      <w:r w:rsidRPr="00FA537A">
        <w:rPr>
          <w:sz w:val="20"/>
          <w:szCs w:val="20"/>
        </w:rPr>
        <w:t>Hamza</w:t>
      </w:r>
      <w:proofErr w:type="spellEnd"/>
      <w:r w:rsidRPr="00FA537A">
        <w:rPr>
          <w:sz w:val="20"/>
          <w:szCs w:val="20"/>
        </w:rPr>
        <w:t xml:space="preserve">, A.M. </w:t>
      </w:r>
      <w:proofErr w:type="spellStart"/>
      <w:r w:rsidRPr="00FA537A">
        <w:rPr>
          <w:sz w:val="20"/>
          <w:szCs w:val="20"/>
        </w:rPr>
        <w:t>Abdlrahem</w:t>
      </w:r>
      <w:proofErr w:type="spellEnd"/>
      <w:r w:rsidRPr="00FA537A">
        <w:rPr>
          <w:sz w:val="20"/>
          <w:szCs w:val="20"/>
        </w:rPr>
        <w:t xml:space="preserve">. Initial results of bladder preserving approach by chemo-radiotherapy in patients with muscle invading transitional cell carcinoma. J Egypt </w:t>
      </w:r>
      <w:proofErr w:type="spellStart"/>
      <w:r w:rsidRPr="00FA537A">
        <w:rPr>
          <w:sz w:val="20"/>
          <w:szCs w:val="20"/>
        </w:rPr>
        <w:t>Natl</w:t>
      </w:r>
      <w:proofErr w:type="spellEnd"/>
      <w:r w:rsidRPr="00FA537A">
        <w:rPr>
          <w:sz w:val="20"/>
          <w:szCs w:val="20"/>
        </w:rPr>
        <w:t xml:space="preserve"> </w:t>
      </w:r>
      <w:proofErr w:type="spellStart"/>
      <w:r w:rsidRPr="00FA537A">
        <w:rPr>
          <w:sz w:val="20"/>
          <w:szCs w:val="20"/>
        </w:rPr>
        <w:t>Canc</w:t>
      </w:r>
      <w:proofErr w:type="spellEnd"/>
      <w:r w:rsidRPr="00FA537A">
        <w:rPr>
          <w:sz w:val="20"/>
          <w:szCs w:val="20"/>
        </w:rPr>
        <w:t xml:space="preserve"> Inst. 2009</w:t>
      </w:r>
      <w:proofErr w:type="gramStart"/>
      <w:r w:rsidRPr="00FA537A">
        <w:rPr>
          <w:sz w:val="20"/>
          <w:szCs w:val="20"/>
        </w:rPr>
        <w:t>;21:167</w:t>
      </w:r>
      <w:proofErr w:type="gramEnd"/>
      <w:r w:rsidRPr="00FA537A">
        <w:rPr>
          <w:sz w:val="20"/>
          <w:szCs w:val="20"/>
        </w:rPr>
        <w:t>-174</w:t>
      </w:r>
      <w:r w:rsidR="00FA537A">
        <w:rPr>
          <w:rFonts w:hint="eastAsia"/>
          <w:sz w:val="20"/>
          <w:szCs w:val="20"/>
          <w:lang w:eastAsia="zh-CN"/>
        </w:rPr>
        <w:t>.</w:t>
      </w:r>
    </w:p>
    <w:p w:rsidR="00234BBE" w:rsidRPr="00FA537A" w:rsidRDefault="00326CCC" w:rsidP="002C23A6">
      <w:pPr>
        <w:numPr>
          <w:ilvl w:val="0"/>
          <w:numId w:val="1"/>
        </w:numPr>
        <w:tabs>
          <w:tab w:val="clear" w:pos="720"/>
        </w:tabs>
        <w:bidi w:val="0"/>
        <w:snapToGrid w:val="0"/>
        <w:ind w:left="425" w:hanging="425"/>
        <w:jc w:val="both"/>
        <w:rPr>
          <w:sz w:val="20"/>
          <w:szCs w:val="20"/>
        </w:rPr>
      </w:pPr>
      <w:r w:rsidRPr="00FA537A">
        <w:rPr>
          <w:sz w:val="20"/>
          <w:szCs w:val="20"/>
        </w:rPr>
        <w:t xml:space="preserve">A. </w:t>
      </w:r>
      <w:proofErr w:type="spellStart"/>
      <w:r w:rsidRPr="00FA537A">
        <w:rPr>
          <w:sz w:val="20"/>
          <w:szCs w:val="20"/>
        </w:rPr>
        <w:t>Zapatero</w:t>
      </w:r>
      <w:proofErr w:type="spellEnd"/>
      <w:r w:rsidRPr="00FA537A">
        <w:rPr>
          <w:sz w:val="20"/>
          <w:szCs w:val="20"/>
        </w:rPr>
        <w:t xml:space="preserve">, C. Martin De </w:t>
      </w:r>
      <w:proofErr w:type="spellStart"/>
      <w:r w:rsidRPr="00FA537A">
        <w:rPr>
          <w:sz w:val="20"/>
          <w:szCs w:val="20"/>
        </w:rPr>
        <w:t>Vidales</w:t>
      </w:r>
      <w:proofErr w:type="spellEnd"/>
      <w:r w:rsidRPr="00FA537A">
        <w:rPr>
          <w:sz w:val="20"/>
          <w:szCs w:val="20"/>
        </w:rPr>
        <w:t xml:space="preserve">, R. Arellano, </w:t>
      </w:r>
      <w:r w:rsidR="00131FAF" w:rsidRPr="00FA537A">
        <w:rPr>
          <w:rStyle w:val="reference-txt"/>
          <w:i/>
          <w:iCs/>
          <w:sz w:val="20"/>
          <w:szCs w:val="20"/>
        </w:rPr>
        <w:t>et al.</w:t>
      </w:r>
      <w:r w:rsidR="00131FAF" w:rsidRPr="00FA537A">
        <w:rPr>
          <w:rStyle w:val="reference-txt"/>
          <w:sz w:val="20"/>
          <w:szCs w:val="20"/>
        </w:rPr>
        <w:t xml:space="preserve"> </w:t>
      </w:r>
      <w:r w:rsidRPr="00FA537A">
        <w:rPr>
          <w:sz w:val="20"/>
          <w:szCs w:val="20"/>
        </w:rPr>
        <w:t xml:space="preserve">Long-term results of two prospective bladder-sparing </w:t>
      </w:r>
      <w:proofErr w:type="spellStart"/>
      <w:r w:rsidRPr="00FA537A">
        <w:rPr>
          <w:sz w:val="20"/>
          <w:szCs w:val="20"/>
        </w:rPr>
        <w:t>trimodality</w:t>
      </w:r>
      <w:proofErr w:type="spellEnd"/>
      <w:r w:rsidRPr="00FA537A">
        <w:rPr>
          <w:sz w:val="20"/>
          <w:szCs w:val="20"/>
        </w:rPr>
        <w:t xml:space="preserve"> approaches for invasive bladder cancer: </w:t>
      </w:r>
      <w:proofErr w:type="spellStart"/>
      <w:r w:rsidRPr="00FA537A">
        <w:rPr>
          <w:sz w:val="20"/>
          <w:szCs w:val="20"/>
        </w:rPr>
        <w:t>neoadjuvant</w:t>
      </w:r>
      <w:proofErr w:type="spellEnd"/>
      <w:r w:rsidRPr="00FA537A">
        <w:rPr>
          <w:sz w:val="20"/>
          <w:szCs w:val="20"/>
        </w:rPr>
        <w:t xml:space="preserve"> chemotherapy and concurrent radio-chemotherapy. Urology. 2012</w:t>
      </w:r>
      <w:proofErr w:type="gramStart"/>
      <w:r w:rsidRPr="00FA537A">
        <w:rPr>
          <w:sz w:val="20"/>
          <w:szCs w:val="20"/>
        </w:rPr>
        <w:t>;80:1056</w:t>
      </w:r>
      <w:proofErr w:type="gramEnd"/>
      <w:r w:rsidRPr="00FA537A">
        <w:rPr>
          <w:sz w:val="20"/>
          <w:szCs w:val="20"/>
        </w:rPr>
        <w:t>-1062</w:t>
      </w:r>
      <w:r w:rsidR="00FA537A">
        <w:rPr>
          <w:rFonts w:hint="eastAsia"/>
          <w:sz w:val="20"/>
          <w:szCs w:val="20"/>
          <w:lang w:eastAsia="zh-CN"/>
        </w:rPr>
        <w:t>.</w:t>
      </w:r>
    </w:p>
    <w:p w:rsidR="00326CCC" w:rsidRPr="00FA537A" w:rsidRDefault="00326CCC" w:rsidP="002C23A6">
      <w:pPr>
        <w:numPr>
          <w:ilvl w:val="0"/>
          <w:numId w:val="1"/>
        </w:numPr>
        <w:tabs>
          <w:tab w:val="clear" w:pos="720"/>
        </w:tabs>
        <w:bidi w:val="0"/>
        <w:snapToGrid w:val="0"/>
        <w:ind w:left="425" w:hanging="425"/>
        <w:jc w:val="both"/>
        <w:rPr>
          <w:sz w:val="20"/>
          <w:szCs w:val="20"/>
        </w:rPr>
      </w:pPr>
      <w:r w:rsidRPr="00FA537A">
        <w:rPr>
          <w:sz w:val="20"/>
          <w:szCs w:val="20"/>
        </w:rPr>
        <w:t xml:space="preserve">A. </w:t>
      </w:r>
      <w:proofErr w:type="spellStart"/>
      <w:r w:rsidRPr="00FA537A">
        <w:rPr>
          <w:sz w:val="20"/>
          <w:szCs w:val="20"/>
        </w:rPr>
        <w:t>Choudhury</w:t>
      </w:r>
      <w:proofErr w:type="spellEnd"/>
      <w:r w:rsidRPr="00FA537A">
        <w:rPr>
          <w:sz w:val="20"/>
          <w:szCs w:val="20"/>
        </w:rPr>
        <w:t xml:space="preserve">, R. </w:t>
      </w:r>
      <w:proofErr w:type="spellStart"/>
      <w:r w:rsidRPr="00FA537A">
        <w:rPr>
          <w:sz w:val="20"/>
          <w:szCs w:val="20"/>
        </w:rPr>
        <w:t>Swindell</w:t>
      </w:r>
      <w:proofErr w:type="spellEnd"/>
      <w:r w:rsidRPr="00FA537A">
        <w:rPr>
          <w:sz w:val="20"/>
          <w:szCs w:val="20"/>
        </w:rPr>
        <w:t xml:space="preserve">, J.P. Logue, </w:t>
      </w:r>
      <w:r w:rsidR="00131FAF" w:rsidRPr="00FA537A">
        <w:rPr>
          <w:rStyle w:val="reference-txt"/>
          <w:i/>
          <w:iCs/>
          <w:sz w:val="20"/>
          <w:szCs w:val="20"/>
        </w:rPr>
        <w:t>et al.</w:t>
      </w:r>
      <w:r w:rsidR="00131FAF" w:rsidRPr="00FA537A">
        <w:rPr>
          <w:rStyle w:val="reference-txt"/>
          <w:sz w:val="20"/>
          <w:szCs w:val="20"/>
        </w:rPr>
        <w:t xml:space="preserve"> </w:t>
      </w:r>
      <w:r w:rsidRPr="00FA537A">
        <w:rPr>
          <w:sz w:val="20"/>
          <w:szCs w:val="20"/>
        </w:rPr>
        <w:t xml:space="preserve">Phase II study of conformal </w:t>
      </w:r>
      <w:proofErr w:type="spellStart"/>
      <w:r w:rsidRPr="00FA537A">
        <w:rPr>
          <w:sz w:val="20"/>
          <w:szCs w:val="20"/>
        </w:rPr>
        <w:t>hypofractionated</w:t>
      </w:r>
      <w:proofErr w:type="spellEnd"/>
      <w:r w:rsidRPr="00FA537A">
        <w:rPr>
          <w:sz w:val="20"/>
          <w:szCs w:val="20"/>
        </w:rPr>
        <w:t xml:space="preserve"> radiotherapy with concurrent </w:t>
      </w:r>
      <w:proofErr w:type="spellStart"/>
      <w:r w:rsidRPr="00FA537A">
        <w:rPr>
          <w:sz w:val="20"/>
          <w:szCs w:val="20"/>
        </w:rPr>
        <w:t>gemcitabine</w:t>
      </w:r>
      <w:proofErr w:type="spellEnd"/>
      <w:r w:rsidRPr="00FA537A">
        <w:rPr>
          <w:sz w:val="20"/>
          <w:szCs w:val="20"/>
        </w:rPr>
        <w:t xml:space="preserve"> in muscle-invasive bladder cancer. J </w:t>
      </w:r>
      <w:proofErr w:type="spellStart"/>
      <w:r w:rsidRPr="00FA537A">
        <w:rPr>
          <w:sz w:val="20"/>
          <w:szCs w:val="20"/>
        </w:rPr>
        <w:t>Clin</w:t>
      </w:r>
      <w:proofErr w:type="spellEnd"/>
      <w:r w:rsidRPr="00FA537A">
        <w:rPr>
          <w:sz w:val="20"/>
          <w:szCs w:val="20"/>
        </w:rPr>
        <w:t xml:space="preserve"> </w:t>
      </w:r>
      <w:proofErr w:type="spellStart"/>
      <w:r w:rsidRPr="00FA537A">
        <w:rPr>
          <w:sz w:val="20"/>
          <w:szCs w:val="20"/>
        </w:rPr>
        <w:t>Oncol</w:t>
      </w:r>
      <w:proofErr w:type="spellEnd"/>
      <w:r w:rsidRPr="00FA537A">
        <w:rPr>
          <w:sz w:val="20"/>
          <w:szCs w:val="20"/>
        </w:rPr>
        <w:t>. 2011</w:t>
      </w:r>
      <w:proofErr w:type="gramStart"/>
      <w:r w:rsidRPr="00FA537A">
        <w:rPr>
          <w:sz w:val="20"/>
          <w:szCs w:val="20"/>
        </w:rPr>
        <w:t>;29:733</w:t>
      </w:r>
      <w:proofErr w:type="gramEnd"/>
      <w:r w:rsidRPr="00FA537A">
        <w:rPr>
          <w:sz w:val="20"/>
          <w:szCs w:val="20"/>
        </w:rPr>
        <w:t>-738</w:t>
      </w:r>
      <w:r w:rsidR="00FA537A">
        <w:rPr>
          <w:rFonts w:hint="eastAsia"/>
          <w:sz w:val="20"/>
          <w:szCs w:val="20"/>
          <w:lang w:eastAsia="zh-CN"/>
        </w:rPr>
        <w:t>.</w:t>
      </w:r>
    </w:p>
    <w:p w:rsidR="00326CCC" w:rsidRPr="00FA537A" w:rsidRDefault="00326CCC" w:rsidP="002C23A6">
      <w:pPr>
        <w:numPr>
          <w:ilvl w:val="0"/>
          <w:numId w:val="1"/>
        </w:numPr>
        <w:tabs>
          <w:tab w:val="clear" w:pos="720"/>
        </w:tabs>
        <w:bidi w:val="0"/>
        <w:snapToGrid w:val="0"/>
        <w:ind w:left="425" w:hanging="425"/>
        <w:jc w:val="both"/>
        <w:rPr>
          <w:sz w:val="20"/>
          <w:szCs w:val="20"/>
        </w:rPr>
      </w:pPr>
      <w:r w:rsidRPr="00FA537A">
        <w:rPr>
          <w:sz w:val="20"/>
          <w:szCs w:val="20"/>
        </w:rPr>
        <w:lastRenderedPageBreak/>
        <w:t xml:space="preserve">M. </w:t>
      </w:r>
      <w:proofErr w:type="spellStart"/>
      <w:r w:rsidRPr="00FA537A">
        <w:rPr>
          <w:sz w:val="20"/>
          <w:szCs w:val="20"/>
        </w:rPr>
        <w:t>Peyromaure</w:t>
      </w:r>
      <w:proofErr w:type="spellEnd"/>
      <w:r w:rsidRPr="00FA537A">
        <w:rPr>
          <w:sz w:val="20"/>
          <w:szCs w:val="20"/>
        </w:rPr>
        <w:t xml:space="preserve">, J. </w:t>
      </w:r>
      <w:proofErr w:type="spellStart"/>
      <w:r w:rsidRPr="00FA537A">
        <w:rPr>
          <w:sz w:val="20"/>
          <w:szCs w:val="20"/>
        </w:rPr>
        <w:t>Slama</w:t>
      </w:r>
      <w:proofErr w:type="spellEnd"/>
      <w:r w:rsidRPr="00FA537A">
        <w:rPr>
          <w:sz w:val="20"/>
          <w:szCs w:val="20"/>
        </w:rPr>
        <w:t xml:space="preserve">, P. </w:t>
      </w:r>
      <w:proofErr w:type="spellStart"/>
      <w:r w:rsidRPr="00FA537A">
        <w:rPr>
          <w:sz w:val="20"/>
          <w:szCs w:val="20"/>
        </w:rPr>
        <w:t>Beuzeboc</w:t>
      </w:r>
      <w:proofErr w:type="spellEnd"/>
      <w:r w:rsidRPr="00FA537A">
        <w:rPr>
          <w:sz w:val="20"/>
          <w:szCs w:val="20"/>
        </w:rPr>
        <w:t>,</w:t>
      </w:r>
      <w:r w:rsidR="00131FAF" w:rsidRPr="00FA537A">
        <w:rPr>
          <w:rStyle w:val="reference-txt"/>
          <w:i/>
          <w:iCs/>
          <w:sz w:val="20"/>
          <w:szCs w:val="20"/>
        </w:rPr>
        <w:t xml:space="preserve"> et al.</w:t>
      </w:r>
      <w:r w:rsidR="00131FAF" w:rsidRPr="00FA537A">
        <w:rPr>
          <w:rStyle w:val="reference-txt"/>
          <w:sz w:val="20"/>
          <w:szCs w:val="20"/>
        </w:rPr>
        <w:t xml:space="preserve"> </w:t>
      </w:r>
      <w:r w:rsidRPr="00FA537A">
        <w:rPr>
          <w:sz w:val="20"/>
          <w:szCs w:val="20"/>
        </w:rPr>
        <w:t xml:space="preserve">Concurrent </w:t>
      </w:r>
      <w:proofErr w:type="spellStart"/>
      <w:r w:rsidRPr="00FA537A">
        <w:rPr>
          <w:sz w:val="20"/>
          <w:szCs w:val="20"/>
        </w:rPr>
        <w:t>chemoradiotherapy</w:t>
      </w:r>
      <w:proofErr w:type="spellEnd"/>
      <w:r w:rsidRPr="00FA537A">
        <w:rPr>
          <w:sz w:val="20"/>
          <w:szCs w:val="20"/>
        </w:rPr>
        <w:t xml:space="preserve"> for clinical stage T2 bladder cancer: report of a single institution. Urology. 2004;</w:t>
      </w:r>
      <w:r w:rsidR="002E1BE1" w:rsidRPr="00FA537A">
        <w:rPr>
          <w:sz w:val="20"/>
          <w:szCs w:val="20"/>
        </w:rPr>
        <w:t xml:space="preserve"> </w:t>
      </w:r>
      <w:r w:rsidRPr="00FA537A">
        <w:rPr>
          <w:sz w:val="20"/>
          <w:szCs w:val="20"/>
        </w:rPr>
        <w:t>63:</w:t>
      </w:r>
      <w:r w:rsidR="002E1BE1" w:rsidRPr="00FA537A">
        <w:rPr>
          <w:sz w:val="20"/>
          <w:szCs w:val="20"/>
        </w:rPr>
        <w:t xml:space="preserve"> </w:t>
      </w:r>
      <w:r w:rsidRPr="00FA537A">
        <w:rPr>
          <w:sz w:val="20"/>
          <w:szCs w:val="20"/>
        </w:rPr>
        <w:t>73-77.</w:t>
      </w:r>
    </w:p>
    <w:p w:rsidR="00234BBE" w:rsidRPr="00FA537A" w:rsidRDefault="00234BBE" w:rsidP="002C23A6">
      <w:pPr>
        <w:numPr>
          <w:ilvl w:val="0"/>
          <w:numId w:val="1"/>
        </w:numPr>
        <w:tabs>
          <w:tab w:val="clear" w:pos="720"/>
        </w:tabs>
        <w:bidi w:val="0"/>
        <w:snapToGrid w:val="0"/>
        <w:ind w:left="425" w:hanging="425"/>
        <w:jc w:val="both"/>
        <w:rPr>
          <w:sz w:val="20"/>
          <w:szCs w:val="20"/>
        </w:rPr>
      </w:pPr>
      <w:proofErr w:type="spellStart"/>
      <w:r w:rsidRPr="00FA537A">
        <w:rPr>
          <w:sz w:val="20"/>
          <w:szCs w:val="20"/>
        </w:rPr>
        <w:t>Mitin</w:t>
      </w:r>
      <w:proofErr w:type="spellEnd"/>
      <w:r w:rsidRPr="00FA537A">
        <w:rPr>
          <w:sz w:val="20"/>
          <w:szCs w:val="20"/>
        </w:rPr>
        <w:t xml:space="preserve">, D. Hunt, W.U. Shipley, </w:t>
      </w:r>
      <w:r w:rsidR="00131FAF" w:rsidRPr="00FA537A">
        <w:rPr>
          <w:rStyle w:val="reference-txt"/>
          <w:i/>
          <w:iCs/>
          <w:sz w:val="20"/>
          <w:szCs w:val="20"/>
        </w:rPr>
        <w:t>et al.</w:t>
      </w:r>
      <w:r w:rsidR="00131FAF" w:rsidRPr="00FA537A">
        <w:rPr>
          <w:rStyle w:val="reference-txt"/>
          <w:sz w:val="20"/>
          <w:szCs w:val="20"/>
        </w:rPr>
        <w:t xml:space="preserve"> </w:t>
      </w:r>
      <w:r w:rsidRPr="00FA537A">
        <w:rPr>
          <w:sz w:val="20"/>
          <w:szCs w:val="20"/>
        </w:rPr>
        <w:t xml:space="preserve">Transurethral surgery and twice-daily radiation plus </w:t>
      </w:r>
      <w:proofErr w:type="spellStart"/>
      <w:r w:rsidRPr="00FA537A">
        <w:rPr>
          <w:sz w:val="20"/>
          <w:szCs w:val="20"/>
        </w:rPr>
        <w:t>paclitaxel-cisplatin</w:t>
      </w:r>
      <w:proofErr w:type="spellEnd"/>
      <w:r w:rsidRPr="00FA537A">
        <w:rPr>
          <w:sz w:val="20"/>
          <w:szCs w:val="20"/>
        </w:rPr>
        <w:t xml:space="preserve"> or fluorouracil-</w:t>
      </w:r>
      <w:proofErr w:type="spellStart"/>
      <w:r w:rsidRPr="00FA537A">
        <w:rPr>
          <w:sz w:val="20"/>
          <w:szCs w:val="20"/>
        </w:rPr>
        <w:t>cisplatin</w:t>
      </w:r>
      <w:proofErr w:type="spellEnd"/>
      <w:r w:rsidRPr="00FA537A">
        <w:rPr>
          <w:sz w:val="20"/>
          <w:szCs w:val="20"/>
        </w:rPr>
        <w:t xml:space="preserve"> with selective bladder preservation and adjuvant chemotherapy for patients with muscle invasive bladder cancer (RTOG 0233): a </w:t>
      </w:r>
      <w:proofErr w:type="spellStart"/>
      <w:r w:rsidRPr="00FA537A">
        <w:rPr>
          <w:sz w:val="20"/>
          <w:szCs w:val="20"/>
        </w:rPr>
        <w:t>randomised</w:t>
      </w:r>
      <w:proofErr w:type="spellEnd"/>
      <w:r w:rsidRPr="00FA537A">
        <w:rPr>
          <w:sz w:val="20"/>
          <w:szCs w:val="20"/>
        </w:rPr>
        <w:t xml:space="preserve"> multicentre phase 2 trial. Lancet </w:t>
      </w:r>
      <w:proofErr w:type="spellStart"/>
      <w:r w:rsidRPr="00FA537A">
        <w:rPr>
          <w:sz w:val="20"/>
          <w:szCs w:val="20"/>
        </w:rPr>
        <w:t>Oncol</w:t>
      </w:r>
      <w:proofErr w:type="spellEnd"/>
      <w:r w:rsidRPr="00FA537A">
        <w:rPr>
          <w:sz w:val="20"/>
          <w:szCs w:val="20"/>
        </w:rPr>
        <w:t>. 2013</w:t>
      </w:r>
      <w:proofErr w:type="gramStart"/>
      <w:r w:rsidRPr="00FA537A">
        <w:rPr>
          <w:sz w:val="20"/>
          <w:szCs w:val="20"/>
        </w:rPr>
        <w:t>;14:863</w:t>
      </w:r>
      <w:proofErr w:type="gramEnd"/>
      <w:r w:rsidRPr="00FA537A">
        <w:rPr>
          <w:sz w:val="20"/>
          <w:szCs w:val="20"/>
        </w:rPr>
        <w:t>-87</w:t>
      </w:r>
      <w:r w:rsidR="00886B91" w:rsidRPr="00FA537A">
        <w:rPr>
          <w:sz w:val="20"/>
          <w:szCs w:val="20"/>
        </w:rPr>
        <w:t>.</w:t>
      </w:r>
    </w:p>
    <w:p w:rsidR="00234BBE" w:rsidRPr="00FA537A" w:rsidRDefault="00234BBE" w:rsidP="002C23A6">
      <w:pPr>
        <w:numPr>
          <w:ilvl w:val="0"/>
          <w:numId w:val="1"/>
        </w:numPr>
        <w:tabs>
          <w:tab w:val="clear" w:pos="720"/>
        </w:tabs>
        <w:bidi w:val="0"/>
        <w:snapToGrid w:val="0"/>
        <w:ind w:left="425" w:hanging="425"/>
        <w:jc w:val="both"/>
        <w:rPr>
          <w:sz w:val="20"/>
          <w:szCs w:val="20"/>
        </w:rPr>
      </w:pPr>
      <w:r w:rsidRPr="00FA537A">
        <w:rPr>
          <w:sz w:val="20"/>
          <w:szCs w:val="20"/>
        </w:rPr>
        <w:t xml:space="preserve">N.D. James, S.A. </w:t>
      </w:r>
      <w:proofErr w:type="spellStart"/>
      <w:r w:rsidRPr="00FA537A">
        <w:rPr>
          <w:sz w:val="20"/>
          <w:szCs w:val="20"/>
        </w:rPr>
        <w:t>Hussain</w:t>
      </w:r>
      <w:proofErr w:type="spellEnd"/>
      <w:r w:rsidRPr="00FA537A">
        <w:rPr>
          <w:sz w:val="20"/>
          <w:szCs w:val="20"/>
        </w:rPr>
        <w:t xml:space="preserve">, E. Hall, </w:t>
      </w:r>
      <w:r w:rsidR="00131FAF" w:rsidRPr="00FA537A">
        <w:rPr>
          <w:rStyle w:val="reference-txt"/>
          <w:i/>
          <w:iCs/>
          <w:sz w:val="20"/>
          <w:szCs w:val="20"/>
        </w:rPr>
        <w:t>et al.</w:t>
      </w:r>
      <w:r w:rsidR="00131FAF" w:rsidRPr="00FA537A">
        <w:rPr>
          <w:rStyle w:val="reference-txt"/>
          <w:sz w:val="20"/>
          <w:szCs w:val="20"/>
        </w:rPr>
        <w:t xml:space="preserve"> </w:t>
      </w:r>
      <w:r w:rsidRPr="00FA537A">
        <w:rPr>
          <w:sz w:val="20"/>
          <w:szCs w:val="20"/>
        </w:rPr>
        <w:t xml:space="preserve">Radiotherapy with or without chemotherapy in muscle-invasive bladder cancer. N </w:t>
      </w:r>
      <w:proofErr w:type="spellStart"/>
      <w:r w:rsidRPr="00FA537A">
        <w:rPr>
          <w:sz w:val="20"/>
          <w:szCs w:val="20"/>
        </w:rPr>
        <w:t>Engl</w:t>
      </w:r>
      <w:proofErr w:type="spellEnd"/>
      <w:r w:rsidRPr="00FA537A">
        <w:rPr>
          <w:sz w:val="20"/>
          <w:szCs w:val="20"/>
        </w:rPr>
        <w:t xml:space="preserve"> J Med. 2012;</w:t>
      </w:r>
      <w:r w:rsidR="002E1BE1" w:rsidRPr="00FA537A">
        <w:rPr>
          <w:sz w:val="20"/>
          <w:szCs w:val="20"/>
        </w:rPr>
        <w:t xml:space="preserve"> </w:t>
      </w:r>
      <w:r w:rsidRPr="00FA537A">
        <w:rPr>
          <w:sz w:val="20"/>
          <w:szCs w:val="20"/>
        </w:rPr>
        <w:t>366:</w:t>
      </w:r>
      <w:r w:rsidR="002E1BE1" w:rsidRPr="00FA537A">
        <w:rPr>
          <w:sz w:val="20"/>
          <w:szCs w:val="20"/>
        </w:rPr>
        <w:t xml:space="preserve"> </w:t>
      </w:r>
      <w:r w:rsidRPr="00FA537A">
        <w:rPr>
          <w:sz w:val="20"/>
          <w:szCs w:val="20"/>
        </w:rPr>
        <w:t>1477-1488.</w:t>
      </w:r>
    </w:p>
    <w:p w:rsidR="00234BBE" w:rsidRPr="00FA537A" w:rsidRDefault="00234BBE" w:rsidP="002C23A6">
      <w:pPr>
        <w:numPr>
          <w:ilvl w:val="0"/>
          <w:numId w:val="1"/>
        </w:numPr>
        <w:tabs>
          <w:tab w:val="clear" w:pos="720"/>
        </w:tabs>
        <w:bidi w:val="0"/>
        <w:snapToGrid w:val="0"/>
        <w:ind w:left="425" w:hanging="425"/>
        <w:jc w:val="both"/>
        <w:rPr>
          <w:sz w:val="20"/>
          <w:szCs w:val="20"/>
        </w:rPr>
      </w:pPr>
      <w:r w:rsidRPr="00FA537A">
        <w:rPr>
          <w:rStyle w:val="reference-txt"/>
          <w:i/>
          <w:iCs/>
          <w:sz w:val="20"/>
          <w:szCs w:val="20"/>
        </w:rPr>
        <w:t>A</w:t>
      </w:r>
      <w:r w:rsidRPr="00FA537A">
        <w:rPr>
          <w:sz w:val="20"/>
          <w:szCs w:val="20"/>
        </w:rPr>
        <w:t xml:space="preserve">. </w:t>
      </w:r>
      <w:proofErr w:type="spellStart"/>
      <w:r w:rsidRPr="00FA537A">
        <w:rPr>
          <w:sz w:val="20"/>
          <w:szCs w:val="20"/>
        </w:rPr>
        <w:t>Choudhury</w:t>
      </w:r>
      <w:proofErr w:type="spellEnd"/>
      <w:r w:rsidRPr="00FA537A">
        <w:rPr>
          <w:sz w:val="20"/>
          <w:szCs w:val="20"/>
        </w:rPr>
        <w:t xml:space="preserve">, R. </w:t>
      </w:r>
      <w:proofErr w:type="spellStart"/>
      <w:r w:rsidRPr="00FA537A">
        <w:rPr>
          <w:sz w:val="20"/>
          <w:szCs w:val="20"/>
        </w:rPr>
        <w:t>Swindell</w:t>
      </w:r>
      <w:proofErr w:type="spellEnd"/>
      <w:r w:rsidRPr="00FA537A">
        <w:rPr>
          <w:sz w:val="20"/>
          <w:szCs w:val="20"/>
        </w:rPr>
        <w:t xml:space="preserve">, J.P. Logue, </w:t>
      </w:r>
      <w:r w:rsidR="00131FAF" w:rsidRPr="00FA537A">
        <w:rPr>
          <w:rStyle w:val="reference-txt"/>
          <w:i/>
          <w:iCs/>
          <w:sz w:val="20"/>
          <w:szCs w:val="20"/>
        </w:rPr>
        <w:t>et al.</w:t>
      </w:r>
      <w:r w:rsidR="00131FAF" w:rsidRPr="00FA537A">
        <w:rPr>
          <w:rStyle w:val="reference-txt"/>
          <w:sz w:val="20"/>
          <w:szCs w:val="20"/>
        </w:rPr>
        <w:t xml:space="preserve"> </w:t>
      </w:r>
      <w:r w:rsidRPr="00FA537A">
        <w:rPr>
          <w:sz w:val="20"/>
          <w:szCs w:val="20"/>
        </w:rPr>
        <w:t xml:space="preserve">Phase II study of conformal </w:t>
      </w:r>
      <w:proofErr w:type="spellStart"/>
      <w:r w:rsidRPr="00FA537A">
        <w:rPr>
          <w:sz w:val="20"/>
          <w:szCs w:val="20"/>
        </w:rPr>
        <w:t>hypofractionated</w:t>
      </w:r>
      <w:proofErr w:type="spellEnd"/>
      <w:r w:rsidRPr="00FA537A">
        <w:rPr>
          <w:sz w:val="20"/>
          <w:szCs w:val="20"/>
        </w:rPr>
        <w:t xml:space="preserve"> radiotherapy with concurrent </w:t>
      </w:r>
      <w:proofErr w:type="spellStart"/>
      <w:r w:rsidRPr="00FA537A">
        <w:rPr>
          <w:sz w:val="20"/>
          <w:szCs w:val="20"/>
        </w:rPr>
        <w:t>gemcitabine</w:t>
      </w:r>
      <w:proofErr w:type="spellEnd"/>
      <w:r w:rsidRPr="00FA537A">
        <w:rPr>
          <w:sz w:val="20"/>
          <w:szCs w:val="20"/>
        </w:rPr>
        <w:t xml:space="preserve"> in muscle-invasive bladder cancer. J </w:t>
      </w:r>
      <w:proofErr w:type="spellStart"/>
      <w:r w:rsidRPr="00FA537A">
        <w:rPr>
          <w:sz w:val="20"/>
          <w:szCs w:val="20"/>
        </w:rPr>
        <w:t>Clin</w:t>
      </w:r>
      <w:proofErr w:type="spellEnd"/>
      <w:r w:rsidRPr="00FA537A">
        <w:rPr>
          <w:sz w:val="20"/>
          <w:szCs w:val="20"/>
        </w:rPr>
        <w:t xml:space="preserve"> </w:t>
      </w:r>
      <w:proofErr w:type="spellStart"/>
      <w:r w:rsidRPr="00FA537A">
        <w:rPr>
          <w:sz w:val="20"/>
          <w:szCs w:val="20"/>
        </w:rPr>
        <w:t>Oncol</w:t>
      </w:r>
      <w:proofErr w:type="spellEnd"/>
      <w:r w:rsidRPr="00FA537A">
        <w:rPr>
          <w:sz w:val="20"/>
          <w:szCs w:val="20"/>
        </w:rPr>
        <w:t>. 2011</w:t>
      </w:r>
      <w:proofErr w:type="gramStart"/>
      <w:r w:rsidRPr="00FA537A">
        <w:rPr>
          <w:sz w:val="20"/>
          <w:szCs w:val="20"/>
        </w:rPr>
        <w:t>;29:733</w:t>
      </w:r>
      <w:proofErr w:type="gramEnd"/>
      <w:r w:rsidRPr="00FA537A">
        <w:rPr>
          <w:sz w:val="20"/>
          <w:szCs w:val="20"/>
        </w:rPr>
        <w:t>-738</w:t>
      </w:r>
      <w:r w:rsidR="00FA537A">
        <w:rPr>
          <w:rFonts w:hint="eastAsia"/>
          <w:sz w:val="20"/>
          <w:szCs w:val="20"/>
          <w:lang w:eastAsia="zh-CN"/>
        </w:rPr>
        <w:t>.</w:t>
      </w:r>
    </w:p>
    <w:p w:rsidR="00234BBE" w:rsidRPr="00FA537A" w:rsidRDefault="00234BBE" w:rsidP="002C23A6">
      <w:pPr>
        <w:numPr>
          <w:ilvl w:val="0"/>
          <w:numId w:val="1"/>
        </w:numPr>
        <w:tabs>
          <w:tab w:val="clear" w:pos="720"/>
        </w:tabs>
        <w:bidi w:val="0"/>
        <w:snapToGrid w:val="0"/>
        <w:ind w:left="425" w:hanging="425"/>
        <w:jc w:val="both"/>
        <w:rPr>
          <w:rStyle w:val="reference-txt"/>
          <w:i/>
          <w:iCs/>
          <w:sz w:val="20"/>
          <w:szCs w:val="20"/>
        </w:rPr>
      </w:pPr>
      <w:r w:rsidRPr="00FA537A">
        <w:rPr>
          <w:rStyle w:val="reference-txt"/>
          <w:sz w:val="20"/>
          <w:szCs w:val="20"/>
          <w:lang w:val="fr-FR"/>
        </w:rPr>
        <w:t xml:space="preserve">C.C. Lin, C.H. Hsu, J.C. Cheng, </w:t>
      </w:r>
      <w:r w:rsidR="00131FAF" w:rsidRPr="00FA537A">
        <w:rPr>
          <w:rStyle w:val="reference-txt"/>
          <w:i/>
          <w:iCs/>
          <w:sz w:val="20"/>
          <w:szCs w:val="20"/>
          <w:lang w:val="fr-FR"/>
        </w:rPr>
        <w:t>et al.</w:t>
      </w:r>
      <w:r w:rsidR="00131FAF" w:rsidRPr="00FA537A">
        <w:rPr>
          <w:rStyle w:val="reference-txt"/>
          <w:sz w:val="20"/>
          <w:szCs w:val="20"/>
          <w:lang w:val="fr-FR"/>
        </w:rPr>
        <w:t xml:space="preserve"> </w:t>
      </w:r>
      <w:r w:rsidRPr="00FA537A">
        <w:rPr>
          <w:rStyle w:val="reference-txt"/>
          <w:sz w:val="20"/>
          <w:szCs w:val="20"/>
        </w:rPr>
        <w:t xml:space="preserve">Induction </w:t>
      </w:r>
      <w:proofErr w:type="spellStart"/>
      <w:r w:rsidRPr="00FA537A">
        <w:rPr>
          <w:rStyle w:val="reference-txt"/>
          <w:sz w:val="20"/>
          <w:szCs w:val="20"/>
        </w:rPr>
        <w:t>cisplatin</w:t>
      </w:r>
      <w:proofErr w:type="spellEnd"/>
      <w:r w:rsidRPr="00FA537A">
        <w:rPr>
          <w:rStyle w:val="reference-txt"/>
          <w:sz w:val="20"/>
          <w:szCs w:val="20"/>
        </w:rPr>
        <w:t xml:space="preserve"> and fluorouracil-based chemotherapy followed by concurrent </w:t>
      </w:r>
      <w:proofErr w:type="spellStart"/>
      <w:r w:rsidRPr="00FA537A">
        <w:rPr>
          <w:rStyle w:val="reference-txt"/>
          <w:sz w:val="20"/>
          <w:szCs w:val="20"/>
        </w:rPr>
        <w:t>chemoradiation</w:t>
      </w:r>
      <w:proofErr w:type="spellEnd"/>
      <w:r w:rsidRPr="00FA537A">
        <w:rPr>
          <w:rStyle w:val="reference-txt"/>
          <w:sz w:val="20"/>
          <w:szCs w:val="20"/>
        </w:rPr>
        <w:t xml:space="preserve"> for muscle-invasive bladder cancer. </w:t>
      </w:r>
      <w:proofErr w:type="spellStart"/>
      <w:r w:rsidRPr="00FA537A">
        <w:rPr>
          <w:rStyle w:val="reference-txt"/>
          <w:sz w:val="20"/>
          <w:szCs w:val="20"/>
        </w:rPr>
        <w:t>Int</w:t>
      </w:r>
      <w:proofErr w:type="spellEnd"/>
      <w:r w:rsidRPr="00FA537A">
        <w:rPr>
          <w:rStyle w:val="reference-txt"/>
          <w:sz w:val="20"/>
          <w:szCs w:val="20"/>
        </w:rPr>
        <w:t xml:space="preserve"> J </w:t>
      </w:r>
      <w:proofErr w:type="spellStart"/>
      <w:r w:rsidRPr="00FA537A">
        <w:rPr>
          <w:rStyle w:val="reference-txt"/>
          <w:sz w:val="20"/>
          <w:szCs w:val="20"/>
        </w:rPr>
        <w:t>Radiat</w:t>
      </w:r>
      <w:proofErr w:type="spellEnd"/>
      <w:r w:rsidRPr="00FA537A">
        <w:rPr>
          <w:rStyle w:val="reference-txt"/>
          <w:sz w:val="20"/>
          <w:szCs w:val="20"/>
        </w:rPr>
        <w:t xml:space="preserve"> </w:t>
      </w:r>
      <w:proofErr w:type="spellStart"/>
      <w:r w:rsidRPr="00FA537A">
        <w:rPr>
          <w:rStyle w:val="reference-txt"/>
          <w:sz w:val="20"/>
          <w:szCs w:val="20"/>
        </w:rPr>
        <w:t>Oncol</w:t>
      </w:r>
      <w:proofErr w:type="spellEnd"/>
      <w:r w:rsidRPr="00FA537A">
        <w:rPr>
          <w:rStyle w:val="reference-txt"/>
          <w:sz w:val="20"/>
          <w:szCs w:val="20"/>
        </w:rPr>
        <w:t xml:space="preserve"> </w:t>
      </w:r>
      <w:proofErr w:type="spellStart"/>
      <w:r w:rsidRPr="00FA537A">
        <w:rPr>
          <w:rStyle w:val="reference-txt"/>
          <w:sz w:val="20"/>
          <w:szCs w:val="20"/>
        </w:rPr>
        <w:t>Biol</w:t>
      </w:r>
      <w:proofErr w:type="spellEnd"/>
      <w:r w:rsidRPr="00FA537A">
        <w:rPr>
          <w:rStyle w:val="reference-txt"/>
          <w:sz w:val="20"/>
          <w:szCs w:val="20"/>
        </w:rPr>
        <w:t xml:space="preserve"> Phys. 2009</w:t>
      </w:r>
      <w:proofErr w:type="gramStart"/>
      <w:r w:rsidRPr="00FA537A">
        <w:rPr>
          <w:rStyle w:val="reference-txt"/>
          <w:sz w:val="20"/>
          <w:szCs w:val="20"/>
        </w:rPr>
        <w:t>;75:442</w:t>
      </w:r>
      <w:proofErr w:type="gramEnd"/>
      <w:r w:rsidRPr="00FA537A">
        <w:rPr>
          <w:rStyle w:val="reference-txt"/>
          <w:sz w:val="20"/>
          <w:szCs w:val="20"/>
        </w:rPr>
        <w:t>-448</w:t>
      </w:r>
      <w:r w:rsidR="00FA537A">
        <w:rPr>
          <w:rStyle w:val="reference-txt"/>
          <w:rFonts w:hint="eastAsia"/>
          <w:sz w:val="20"/>
          <w:szCs w:val="20"/>
          <w:lang w:eastAsia="zh-CN"/>
        </w:rPr>
        <w:t>.</w:t>
      </w:r>
    </w:p>
    <w:p w:rsidR="00234BBE" w:rsidRPr="00FA537A" w:rsidRDefault="00234BBE" w:rsidP="002C23A6">
      <w:pPr>
        <w:numPr>
          <w:ilvl w:val="0"/>
          <w:numId w:val="1"/>
        </w:numPr>
        <w:tabs>
          <w:tab w:val="clear" w:pos="720"/>
        </w:tabs>
        <w:bidi w:val="0"/>
        <w:snapToGrid w:val="0"/>
        <w:ind w:left="425" w:hanging="425"/>
        <w:jc w:val="both"/>
        <w:rPr>
          <w:sz w:val="20"/>
          <w:szCs w:val="20"/>
        </w:rPr>
      </w:pPr>
      <w:r w:rsidRPr="00FA537A">
        <w:rPr>
          <w:rStyle w:val="reference-txt"/>
          <w:sz w:val="20"/>
          <w:szCs w:val="20"/>
        </w:rPr>
        <w:t xml:space="preserve">L.A. </w:t>
      </w:r>
      <w:proofErr w:type="spellStart"/>
      <w:r w:rsidRPr="00FA537A">
        <w:rPr>
          <w:rStyle w:val="reference-txt"/>
          <w:sz w:val="20"/>
          <w:szCs w:val="20"/>
        </w:rPr>
        <w:t>Kachnic</w:t>
      </w:r>
      <w:proofErr w:type="spellEnd"/>
      <w:r w:rsidRPr="00FA537A">
        <w:rPr>
          <w:rStyle w:val="reference-txt"/>
          <w:sz w:val="20"/>
          <w:szCs w:val="20"/>
        </w:rPr>
        <w:t xml:space="preserve">, D.S. Kaufman, N.M. </w:t>
      </w:r>
      <w:proofErr w:type="spellStart"/>
      <w:r w:rsidRPr="00FA537A">
        <w:rPr>
          <w:rStyle w:val="reference-txt"/>
          <w:sz w:val="20"/>
          <w:szCs w:val="20"/>
        </w:rPr>
        <w:t>Heney</w:t>
      </w:r>
      <w:proofErr w:type="spellEnd"/>
      <w:r w:rsidRPr="00FA537A">
        <w:rPr>
          <w:rStyle w:val="reference-txt"/>
          <w:sz w:val="20"/>
          <w:szCs w:val="20"/>
        </w:rPr>
        <w:t xml:space="preserve">, </w:t>
      </w:r>
      <w:r w:rsidR="00131FAF" w:rsidRPr="00FA537A">
        <w:rPr>
          <w:rStyle w:val="reference-txt"/>
          <w:i/>
          <w:iCs/>
          <w:sz w:val="20"/>
          <w:szCs w:val="20"/>
        </w:rPr>
        <w:t>et al.</w:t>
      </w:r>
      <w:r w:rsidR="00131FAF" w:rsidRPr="00FA537A">
        <w:rPr>
          <w:rStyle w:val="reference-txt"/>
          <w:sz w:val="20"/>
          <w:szCs w:val="20"/>
        </w:rPr>
        <w:t xml:space="preserve"> </w:t>
      </w:r>
      <w:r w:rsidRPr="00FA537A">
        <w:rPr>
          <w:rStyle w:val="reference-txt"/>
          <w:sz w:val="20"/>
          <w:szCs w:val="20"/>
        </w:rPr>
        <w:t xml:space="preserve">Bladder preservation by combined modality therapy for invasive bladder cancer. J </w:t>
      </w:r>
      <w:proofErr w:type="spellStart"/>
      <w:r w:rsidRPr="00FA537A">
        <w:rPr>
          <w:rStyle w:val="reference-txt"/>
          <w:sz w:val="20"/>
          <w:szCs w:val="20"/>
        </w:rPr>
        <w:t>Clin</w:t>
      </w:r>
      <w:proofErr w:type="spellEnd"/>
      <w:r w:rsidRPr="00FA537A">
        <w:rPr>
          <w:rStyle w:val="reference-txt"/>
          <w:sz w:val="20"/>
          <w:szCs w:val="20"/>
        </w:rPr>
        <w:t xml:space="preserve"> </w:t>
      </w:r>
      <w:proofErr w:type="spellStart"/>
      <w:r w:rsidRPr="00FA537A">
        <w:rPr>
          <w:rStyle w:val="reference-txt"/>
          <w:sz w:val="20"/>
          <w:szCs w:val="20"/>
        </w:rPr>
        <w:t>Oncol</w:t>
      </w:r>
      <w:proofErr w:type="spellEnd"/>
      <w:r w:rsidRPr="00FA537A">
        <w:rPr>
          <w:rStyle w:val="reference-txt"/>
          <w:sz w:val="20"/>
          <w:szCs w:val="20"/>
        </w:rPr>
        <w:t>. 1997</w:t>
      </w:r>
      <w:proofErr w:type="gramStart"/>
      <w:r w:rsidRPr="00FA537A">
        <w:rPr>
          <w:rStyle w:val="reference-txt"/>
          <w:sz w:val="20"/>
          <w:szCs w:val="20"/>
        </w:rPr>
        <w:t>;15:1022</w:t>
      </w:r>
      <w:proofErr w:type="gramEnd"/>
      <w:r w:rsidRPr="00FA537A">
        <w:rPr>
          <w:rStyle w:val="reference-txt"/>
          <w:sz w:val="20"/>
          <w:szCs w:val="20"/>
        </w:rPr>
        <w:t>-1029</w:t>
      </w:r>
      <w:r w:rsidR="00FA537A">
        <w:rPr>
          <w:rStyle w:val="reference-txt"/>
          <w:rFonts w:hint="eastAsia"/>
          <w:sz w:val="20"/>
          <w:szCs w:val="20"/>
          <w:lang w:eastAsia="zh-CN"/>
        </w:rPr>
        <w:t>.</w:t>
      </w:r>
    </w:p>
    <w:p w:rsidR="00234BBE" w:rsidRPr="00FA537A" w:rsidRDefault="00234BBE" w:rsidP="002C23A6">
      <w:pPr>
        <w:numPr>
          <w:ilvl w:val="0"/>
          <w:numId w:val="1"/>
        </w:numPr>
        <w:tabs>
          <w:tab w:val="clear" w:pos="720"/>
        </w:tabs>
        <w:bidi w:val="0"/>
        <w:snapToGrid w:val="0"/>
        <w:ind w:left="425" w:hanging="425"/>
        <w:jc w:val="both"/>
        <w:rPr>
          <w:rStyle w:val="reference-txt"/>
          <w:sz w:val="20"/>
          <w:szCs w:val="20"/>
        </w:rPr>
      </w:pPr>
      <w:r w:rsidRPr="00FA537A">
        <w:rPr>
          <w:rStyle w:val="reference-txt"/>
          <w:sz w:val="20"/>
          <w:szCs w:val="20"/>
        </w:rPr>
        <w:t xml:space="preserve">D.S. Kaufman, K.A. Winter, W.U. Shipley, </w:t>
      </w:r>
      <w:r w:rsidR="00131FAF" w:rsidRPr="00FA537A">
        <w:rPr>
          <w:rStyle w:val="reference-txt"/>
          <w:i/>
          <w:iCs/>
          <w:sz w:val="20"/>
          <w:szCs w:val="20"/>
        </w:rPr>
        <w:t>et al.</w:t>
      </w:r>
      <w:r w:rsidR="00131FAF" w:rsidRPr="00FA537A">
        <w:rPr>
          <w:rStyle w:val="reference-txt"/>
          <w:sz w:val="20"/>
          <w:szCs w:val="20"/>
        </w:rPr>
        <w:t xml:space="preserve"> </w:t>
      </w:r>
      <w:r w:rsidRPr="00FA537A">
        <w:rPr>
          <w:rStyle w:val="reference-txt"/>
          <w:sz w:val="20"/>
          <w:szCs w:val="20"/>
        </w:rPr>
        <w:t xml:space="preserve">Phase I–II RTOG study (99–06) of patients with muscle-invasive bladder cancer undergoing transurethral surgery, </w:t>
      </w:r>
      <w:proofErr w:type="spellStart"/>
      <w:r w:rsidRPr="00FA537A">
        <w:rPr>
          <w:rStyle w:val="reference-txt"/>
          <w:sz w:val="20"/>
          <w:szCs w:val="20"/>
        </w:rPr>
        <w:t>paclitaxel</w:t>
      </w:r>
      <w:proofErr w:type="spellEnd"/>
      <w:r w:rsidRPr="00FA537A">
        <w:rPr>
          <w:rStyle w:val="reference-txt"/>
          <w:sz w:val="20"/>
          <w:szCs w:val="20"/>
        </w:rPr>
        <w:t xml:space="preserve">, </w:t>
      </w:r>
      <w:proofErr w:type="spellStart"/>
      <w:r w:rsidRPr="00FA537A">
        <w:rPr>
          <w:rStyle w:val="reference-txt"/>
          <w:sz w:val="20"/>
          <w:szCs w:val="20"/>
        </w:rPr>
        <w:t>cisplatin</w:t>
      </w:r>
      <w:proofErr w:type="spellEnd"/>
      <w:r w:rsidRPr="00FA537A">
        <w:rPr>
          <w:rStyle w:val="reference-txt"/>
          <w:sz w:val="20"/>
          <w:szCs w:val="20"/>
        </w:rPr>
        <w:t xml:space="preserve">, and twice-daily radiotherapy followed by selective bladder preservation or radical </w:t>
      </w:r>
      <w:proofErr w:type="spellStart"/>
      <w:r w:rsidRPr="00FA537A">
        <w:rPr>
          <w:rStyle w:val="reference-txt"/>
          <w:sz w:val="20"/>
          <w:szCs w:val="20"/>
        </w:rPr>
        <w:t>cystectomy</w:t>
      </w:r>
      <w:proofErr w:type="spellEnd"/>
      <w:r w:rsidRPr="00FA537A">
        <w:rPr>
          <w:rStyle w:val="reference-txt"/>
          <w:sz w:val="20"/>
          <w:szCs w:val="20"/>
        </w:rPr>
        <w:t xml:space="preserve"> and adjuvant chemotherapy. Urology. 2009</w:t>
      </w:r>
      <w:proofErr w:type="gramStart"/>
      <w:r w:rsidRPr="00FA537A">
        <w:rPr>
          <w:rStyle w:val="reference-txt"/>
          <w:sz w:val="20"/>
          <w:szCs w:val="20"/>
        </w:rPr>
        <w:t>;73:833</w:t>
      </w:r>
      <w:proofErr w:type="gramEnd"/>
      <w:r w:rsidRPr="00FA537A">
        <w:rPr>
          <w:rStyle w:val="reference-txt"/>
          <w:sz w:val="20"/>
          <w:szCs w:val="20"/>
        </w:rPr>
        <w:t>-83</w:t>
      </w:r>
      <w:r w:rsidR="00FA537A">
        <w:rPr>
          <w:rStyle w:val="reference-txt"/>
          <w:rFonts w:hint="eastAsia"/>
          <w:sz w:val="20"/>
          <w:szCs w:val="20"/>
          <w:lang w:eastAsia="zh-CN"/>
        </w:rPr>
        <w:t>.</w:t>
      </w:r>
    </w:p>
    <w:p w:rsidR="00234BBE" w:rsidRPr="00FA537A" w:rsidRDefault="00234BBE" w:rsidP="002C23A6">
      <w:pPr>
        <w:numPr>
          <w:ilvl w:val="0"/>
          <w:numId w:val="1"/>
        </w:numPr>
        <w:tabs>
          <w:tab w:val="clear" w:pos="720"/>
        </w:tabs>
        <w:bidi w:val="0"/>
        <w:snapToGrid w:val="0"/>
        <w:ind w:left="425" w:hanging="425"/>
        <w:jc w:val="both"/>
        <w:rPr>
          <w:rStyle w:val="reference-txt"/>
          <w:sz w:val="20"/>
          <w:szCs w:val="20"/>
        </w:rPr>
      </w:pPr>
      <w:r w:rsidRPr="00FA537A">
        <w:rPr>
          <w:rStyle w:val="reference-txt"/>
          <w:sz w:val="20"/>
          <w:szCs w:val="20"/>
        </w:rPr>
        <w:t xml:space="preserve">C. Weiss, D.G. </w:t>
      </w:r>
      <w:proofErr w:type="spellStart"/>
      <w:r w:rsidRPr="00FA537A">
        <w:rPr>
          <w:rStyle w:val="reference-txt"/>
          <w:sz w:val="20"/>
          <w:szCs w:val="20"/>
        </w:rPr>
        <w:t>Engehausen</w:t>
      </w:r>
      <w:proofErr w:type="spellEnd"/>
      <w:r w:rsidRPr="00FA537A">
        <w:rPr>
          <w:rStyle w:val="reference-txt"/>
          <w:sz w:val="20"/>
          <w:szCs w:val="20"/>
        </w:rPr>
        <w:t xml:space="preserve">, F.S. Krause, </w:t>
      </w:r>
      <w:r w:rsidR="00131FAF" w:rsidRPr="00FA537A">
        <w:rPr>
          <w:rStyle w:val="reference-txt"/>
          <w:i/>
          <w:iCs/>
          <w:sz w:val="20"/>
          <w:szCs w:val="20"/>
        </w:rPr>
        <w:t>et al.</w:t>
      </w:r>
      <w:r w:rsidR="00131FAF" w:rsidRPr="00FA537A">
        <w:rPr>
          <w:rStyle w:val="reference-txt"/>
          <w:sz w:val="20"/>
          <w:szCs w:val="20"/>
        </w:rPr>
        <w:t xml:space="preserve"> </w:t>
      </w:r>
      <w:proofErr w:type="spellStart"/>
      <w:r w:rsidRPr="00FA537A">
        <w:rPr>
          <w:rStyle w:val="reference-txt"/>
          <w:sz w:val="20"/>
          <w:szCs w:val="20"/>
        </w:rPr>
        <w:t>Radiochemotherapy</w:t>
      </w:r>
      <w:proofErr w:type="spellEnd"/>
      <w:r w:rsidRPr="00FA537A">
        <w:rPr>
          <w:rStyle w:val="reference-txt"/>
          <w:sz w:val="20"/>
          <w:szCs w:val="20"/>
        </w:rPr>
        <w:t xml:space="preserve"> with </w:t>
      </w:r>
      <w:proofErr w:type="spellStart"/>
      <w:r w:rsidRPr="00FA537A">
        <w:rPr>
          <w:rStyle w:val="reference-txt"/>
          <w:sz w:val="20"/>
          <w:szCs w:val="20"/>
        </w:rPr>
        <w:t>cisplatin</w:t>
      </w:r>
      <w:proofErr w:type="spellEnd"/>
      <w:r w:rsidRPr="00FA537A">
        <w:rPr>
          <w:rStyle w:val="reference-txt"/>
          <w:sz w:val="20"/>
          <w:szCs w:val="20"/>
        </w:rPr>
        <w:t xml:space="preserve"> and 5-fluorouracil after transurethral surgery in patients with bladder cancer. </w:t>
      </w:r>
      <w:proofErr w:type="spellStart"/>
      <w:r w:rsidRPr="00FA537A">
        <w:rPr>
          <w:rStyle w:val="reference-txt"/>
          <w:sz w:val="20"/>
          <w:szCs w:val="20"/>
        </w:rPr>
        <w:t>Int</w:t>
      </w:r>
      <w:proofErr w:type="spellEnd"/>
      <w:r w:rsidRPr="00FA537A">
        <w:rPr>
          <w:rStyle w:val="reference-txt"/>
          <w:sz w:val="20"/>
          <w:szCs w:val="20"/>
        </w:rPr>
        <w:t xml:space="preserve"> J </w:t>
      </w:r>
      <w:proofErr w:type="spellStart"/>
      <w:r w:rsidRPr="00FA537A">
        <w:rPr>
          <w:rStyle w:val="reference-txt"/>
          <w:sz w:val="20"/>
          <w:szCs w:val="20"/>
        </w:rPr>
        <w:t>Radiat</w:t>
      </w:r>
      <w:proofErr w:type="spellEnd"/>
      <w:r w:rsidRPr="00FA537A">
        <w:rPr>
          <w:rStyle w:val="reference-txt"/>
          <w:sz w:val="20"/>
          <w:szCs w:val="20"/>
        </w:rPr>
        <w:t xml:space="preserve"> </w:t>
      </w:r>
      <w:proofErr w:type="spellStart"/>
      <w:r w:rsidRPr="00FA537A">
        <w:rPr>
          <w:rStyle w:val="reference-txt"/>
          <w:sz w:val="20"/>
          <w:szCs w:val="20"/>
        </w:rPr>
        <w:t>Oncol</w:t>
      </w:r>
      <w:proofErr w:type="spellEnd"/>
      <w:r w:rsidRPr="00FA537A">
        <w:rPr>
          <w:rStyle w:val="reference-txt"/>
          <w:sz w:val="20"/>
          <w:szCs w:val="20"/>
        </w:rPr>
        <w:t xml:space="preserve"> </w:t>
      </w:r>
      <w:proofErr w:type="spellStart"/>
      <w:r w:rsidRPr="00FA537A">
        <w:rPr>
          <w:rStyle w:val="reference-txt"/>
          <w:sz w:val="20"/>
          <w:szCs w:val="20"/>
        </w:rPr>
        <w:t>Biol</w:t>
      </w:r>
      <w:proofErr w:type="spellEnd"/>
      <w:r w:rsidRPr="00FA537A">
        <w:rPr>
          <w:rStyle w:val="reference-txt"/>
          <w:sz w:val="20"/>
          <w:szCs w:val="20"/>
        </w:rPr>
        <w:t xml:space="preserve"> Phys. 2007</w:t>
      </w:r>
      <w:proofErr w:type="gramStart"/>
      <w:r w:rsidRPr="00FA537A">
        <w:rPr>
          <w:rStyle w:val="reference-txt"/>
          <w:sz w:val="20"/>
          <w:szCs w:val="20"/>
        </w:rPr>
        <w:t>;68:1072</w:t>
      </w:r>
      <w:proofErr w:type="gramEnd"/>
      <w:r w:rsidRPr="00FA537A">
        <w:rPr>
          <w:rStyle w:val="reference-txt"/>
          <w:sz w:val="20"/>
          <w:szCs w:val="20"/>
        </w:rPr>
        <w:t>-1080</w:t>
      </w:r>
      <w:r w:rsidR="00FA537A">
        <w:rPr>
          <w:rStyle w:val="reference-txt"/>
          <w:rFonts w:hint="eastAsia"/>
          <w:sz w:val="20"/>
          <w:szCs w:val="20"/>
          <w:lang w:eastAsia="zh-CN"/>
        </w:rPr>
        <w:t>.</w:t>
      </w:r>
    </w:p>
    <w:p w:rsidR="00234BBE" w:rsidRPr="00FA537A" w:rsidRDefault="00234BBE" w:rsidP="002C23A6">
      <w:pPr>
        <w:numPr>
          <w:ilvl w:val="0"/>
          <w:numId w:val="1"/>
        </w:numPr>
        <w:tabs>
          <w:tab w:val="clear" w:pos="720"/>
        </w:tabs>
        <w:bidi w:val="0"/>
        <w:snapToGrid w:val="0"/>
        <w:ind w:left="425" w:hanging="425"/>
        <w:jc w:val="both"/>
        <w:rPr>
          <w:rStyle w:val="reference-txt"/>
          <w:sz w:val="20"/>
          <w:szCs w:val="20"/>
        </w:rPr>
      </w:pPr>
      <w:r w:rsidRPr="00FA537A">
        <w:rPr>
          <w:rStyle w:val="reference-txt"/>
          <w:sz w:val="20"/>
          <w:szCs w:val="20"/>
        </w:rPr>
        <w:t xml:space="preserve">N.K. </w:t>
      </w:r>
      <w:proofErr w:type="spellStart"/>
      <w:r w:rsidRPr="00FA537A">
        <w:rPr>
          <w:rStyle w:val="reference-txt"/>
          <w:sz w:val="20"/>
          <w:szCs w:val="20"/>
        </w:rPr>
        <w:t>Gogna</w:t>
      </w:r>
      <w:proofErr w:type="spellEnd"/>
      <w:r w:rsidRPr="00FA537A">
        <w:rPr>
          <w:rStyle w:val="reference-txt"/>
          <w:sz w:val="20"/>
          <w:szCs w:val="20"/>
        </w:rPr>
        <w:t xml:space="preserve">, J.H. Matthews, S.L. Turner, </w:t>
      </w:r>
      <w:r w:rsidR="00131FAF" w:rsidRPr="00FA537A">
        <w:rPr>
          <w:rStyle w:val="reference-txt"/>
          <w:i/>
          <w:iCs/>
          <w:sz w:val="20"/>
          <w:szCs w:val="20"/>
        </w:rPr>
        <w:t>et al.</w:t>
      </w:r>
      <w:r w:rsidR="00131FAF" w:rsidRPr="00FA537A">
        <w:rPr>
          <w:rStyle w:val="reference-txt"/>
          <w:sz w:val="20"/>
          <w:szCs w:val="20"/>
        </w:rPr>
        <w:t xml:space="preserve"> </w:t>
      </w:r>
      <w:r w:rsidRPr="00FA537A">
        <w:rPr>
          <w:rStyle w:val="reference-txt"/>
          <w:sz w:val="20"/>
          <w:szCs w:val="20"/>
        </w:rPr>
        <w:t xml:space="preserve">Efficacy and tolerability of concurrent weekly low dose </w:t>
      </w:r>
      <w:proofErr w:type="spellStart"/>
      <w:r w:rsidRPr="00FA537A">
        <w:rPr>
          <w:rStyle w:val="reference-txt"/>
          <w:sz w:val="20"/>
          <w:szCs w:val="20"/>
        </w:rPr>
        <w:t>cisplatin</w:t>
      </w:r>
      <w:proofErr w:type="spellEnd"/>
      <w:r w:rsidRPr="00FA537A">
        <w:rPr>
          <w:rStyle w:val="reference-txt"/>
          <w:sz w:val="20"/>
          <w:szCs w:val="20"/>
        </w:rPr>
        <w:t xml:space="preserve"> during radiation treatment of </w:t>
      </w:r>
      <w:proofErr w:type="spellStart"/>
      <w:r w:rsidRPr="00FA537A">
        <w:rPr>
          <w:rStyle w:val="reference-txt"/>
          <w:sz w:val="20"/>
          <w:szCs w:val="20"/>
        </w:rPr>
        <w:t>localised</w:t>
      </w:r>
      <w:proofErr w:type="spellEnd"/>
      <w:r w:rsidRPr="00FA537A">
        <w:rPr>
          <w:rStyle w:val="reference-txt"/>
          <w:sz w:val="20"/>
          <w:szCs w:val="20"/>
        </w:rPr>
        <w:t xml:space="preserve"> muscle invasive bladder transitional cell carcinoma: a report of two sequential </w:t>
      </w:r>
      <w:proofErr w:type="gramStart"/>
      <w:r w:rsidRPr="00FA537A">
        <w:rPr>
          <w:rStyle w:val="reference-txt"/>
          <w:sz w:val="20"/>
          <w:szCs w:val="20"/>
        </w:rPr>
        <w:t>phase</w:t>
      </w:r>
      <w:proofErr w:type="gramEnd"/>
      <w:r w:rsidRPr="00FA537A">
        <w:rPr>
          <w:rStyle w:val="reference-txt"/>
          <w:sz w:val="20"/>
          <w:szCs w:val="20"/>
        </w:rPr>
        <w:t xml:space="preserve"> II studies from the Trans Tasman Radiation Oncology Group. </w:t>
      </w:r>
      <w:proofErr w:type="spellStart"/>
      <w:r w:rsidRPr="00FA537A">
        <w:rPr>
          <w:rStyle w:val="reference-txt"/>
          <w:sz w:val="20"/>
          <w:szCs w:val="20"/>
        </w:rPr>
        <w:t>Radiother</w:t>
      </w:r>
      <w:proofErr w:type="spellEnd"/>
      <w:r w:rsidRPr="00FA537A">
        <w:rPr>
          <w:rStyle w:val="reference-txt"/>
          <w:sz w:val="20"/>
          <w:szCs w:val="20"/>
        </w:rPr>
        <w:t xml:space="preserve"> </w:t>
      </w:r>
      <w:proofErr w:type="spellStart"/>
      <w:r w:rsidRPr="00FA537A">
        <w:rPr>
          <w:rStyle w:val="reference-txt"/>
          <w:sz w:val="20"/>
          <w:szCs w:val="20"/>
        </w:rPr>
        <w:t>Oncol</w:t>
      </w:r>
      <w:proofErr w:type="spellEnd"/>
      <w:r w:rsidRPr="00FA537A">
        <w:rPr>
          <w:rStyle w:val="reference-txt"/>
          <w:sz w:val="20"/>
          <w:szCs w:val="20"/>
        </w:rPr>
        <w:t>. 2006</w:t>
      </w:r>
      <w:proofErr w:type="gramStart"/>
      <w:r w:rsidRPr="00FA537A">
        <w:rPr>
          <w:rStyle w:val="reference-txt"/>
          <w:sz w:val="20"/>
          <w:szCs w:val="20"/>
        </w:rPr>
        <w:t>;81:9</w:t>
      </w:r>
      <w:proofErr w:type="gramEnd"/>
      <w:r w:rsidRPr="00FA537A">
        <w:rPr>
          <w:rStyle w:val="reference-txt"/>
          <w:sz w:val="20"/>
          <w:szCs w:val="20"/>
        </w:rPr>
        <w:t>-17</w:t>
      </w:r>
      <w:r w:rsidR="00245368" w:rsidRPr="00FA537A">
        <w:rPr>
          <w:rStyle w:val="reference-txt"/>
          <w:sz w:val="20"/>
          <w:szCs w:val="20"/>
        </w:rPr>
        <w:t>.</w:t>
      </w:r>
    </w:p>
    <w:p w:rsidR="002C23A6" w:rsidRPr="00FA537A" w:rsidRDefault="002C23A6" w:rsidP="002C23A6">
      <w:pPr>
        <w:bidi w:val="0"/>
        <w:snapToGrid w:val="0"/>
        <w:ind w:left="425" w:hanging="425"/>
        <w:jc w:val="both"/>
        <w:rPr>
          <w:sz w:val="20"/>
          <w:szCs w:val="20"/>
          <w:lang w:bidi="ar-EG"/>
        </w:rPr>
        <w:sectPr w:rsidR="002C23A6" w:rsidRPr="00FA537A" w:rsidSect="00FA537A">
          <w:type w:val="continuous"/>
          <w:pgSz w:w="12242" w:h="15842" w:code="1"/>
          <w:pgMar w:top="1440" w:right="1440" w:bottom="1440" w:left="1440" w:header="720" w:footer="720" w:gutter="0"/>
          <w:cols w:num="2" w:space="576"/>
          <w:docGrid w:linePitch="360"/>
        </w:sectPr>
      </w:pPr>
    </w:p>
    <w:p w:rsidR="0030595D" w:rsidRPr="00FA537A" w:rsidRDefault="0030595D" w:rsidP="002C23A6">
      <w:pPr>
        <w:bidi w:val="0"/>
        <w:snapToGrid w:val="0"/>
        <w:ind w:left="425" w:hanging="425"/>
        <w:jc w:val="both"/>
        <w:rPr>
          <w:sz w:val="20"/>
          <w:szCs w:val="20"/>
          <w:lang w:bidi="ar-EG"/>
        </w:rPr>
      </w:pPr>
    </w:p>
    <w:p w:rsidR="005760FC" w:rsidRPr="00FA537A" w:rsidRDefault="002C23A6" w:rsidP="002C23A6">
      <w:pPr>
        <w:bidi w:val="0"/>
        <w:snapToGrid w:val="0"/>
        <w:ind w:left="425" w:hanging="425"/>
        <w:jc w:val="both"/>
        <w:rPr>
          <w:sz w:val="20"/>
          <w:szCs w:val="20"/>
          <w:lang w:bidi="ar-EG"/>
        </w:rPr>
      </w:pPr>
      <w:r w:rsidRPr="00FA537A">
        <w:rPr>
          <w:sz w:val="20"/>
          <w:szCs w:val="20"/>
          <w:lang w:bidi="ar-EG"/>
        </w:rPr>
        <w:t>1/3/2016</w:t>
      </w:r>
    </w:p>
    <w:sectPr w:rsidR="005760FC" w:rsidRPr="00FA537A" w:rsidSect="00050326">
      <w:headerReference w:type="default" r:id="rId17"/>
      <w:footerReference w:type="even" r:id="rId18"/>
      <w:footerReference w:type="default" r:id="rId19"/>
      <w:type w:val="continuous"/>
      <w:pgSz w:w="12242" w:h="15842" w:code="1"/>
      <w:pgMar w:top="1440" w:right="1440" w:bottom="1440" w:left="1440" w:header="720" w:footer="720" w:gutter="0"/>
      <w:cols w:space="720"/>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06DF" w:rsidRDefault="00E106DF">
      <w:r>
        <w:separator/>
      </w:r>
    </w:p>
  </w:endnote>
  <w:endnote w:type="continuationSeparator" w:id="0">
    <w:p w:rsidR="00E106DF" w:rsidRDefault="00E106D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pitch w:val="variable"/>
    <w:sig w:usb0="E10022FF" w:usb1="C000E47F" w:usb2="00000029" w:usb3="00000000" w:csb0="000001DF" w:csb1="00000000"/>
  </w:font>
  <w:font w:name="宋">
    <w:altName w:val="Arial Unicode MS"/>
    <w:panose1 w:val="00000000000000000000"/>
    <w:charset w:val="86"/>
    <w:family w:val="roman"/>
    <w:notTrueType/>
    <w:pitch w:val="default"/>
    <w:sig w:usb0="00000000"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23A6" w:rsidRDefault="006C6210" w:rsidP="004C706D">
    <w:pPr>
      <w:pStyle w:val="Footer"/>
      <w:framePr w:wrap="around" w:vAnchor="text" w:hAnchor="text" w:xAlign="center" w:y="1"/>
      <w:rPr>
        <w:rStyle w:val="PageNumber"/>
      </w:rPr>
    </w:pPr>
    <w:r>
      <w:rPr>
        <w:rStyle w:val="PageNumber"/>
        <w:rtl/>
      </w:rPr>
      <w:fldChar w:fldCharType="begin"/>
    </w:r>
    <w:r w:rsidR="002C23A6">
      <w:rPr>
        <w:rStyle w:val="PageNumber"/>
      </w:rPr>
      <w:instrText xml:space="preserve">PAGE  </w:instrText>
    </w:r>
    <w:r>
      <w:rPr>
        <w:rStyle w:val="PageNumber"/>
        <w:rtl/>
      </w:rPr>
      <w:fldChar w:fldCharType="end"/>
    </w:r>
  </w:p>
  <w:p w:rsidR="002C23A6" w:rsidRDefault="002C23A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23A6" w:rsidRPr="002C23A6" w:rsidRDefault="006C6210" w:rsidP="002C23A6">
    <w:pPr>
      <w:bidi w:val="0"/>
      <w:jc w:val="center"/>
      <w:rPr>
        <w:sz w:val="20"/>
      </w:rPr>
    </w:pPr>
    <w:r w:rsidRPr="002C23A6">
      <w:rPr>
        <w:sz w:val="20"/>
      </w:rPr>
      <w:fldChar w:fldCharType="begin"/>
    </w:r>
    <w:r w:rsidR="002C23A6" w:rsidRPr="002C23A6">
      <w:rPr>
        <w:sz w:val="20"/>
      </w:rPr>
      <w:instrText xml:space="preserve"> page </w:instrText>
    </w:r>
    <w:r w:rsidRPr="002C23A6">
      <w:rPr>
        <w:sz w:val="20"/>
      </w:rPr>
      <w:fldChar w:fldCharType="separate"/>
    </w:r>
    <w:r w:rsidR="00FA537A">
      <w:rPr>
        <w:noProof/>
        <w:sz w:val="20"/>
      </w:rPr>
      <w:t>4</w:t>
    </w:r>
    <w:r w:rsidRPr="002C23A6">
      <w:rPr>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23A6" w:rsidRDefault="006C6210" w:rsidP="004C706D">
    <w:pPr>
      <w:pStyle w:val="Footer"/>
      <w:framePr w:wrap="around" w:vAnchor="text" w:hAnchor="text" w:xAlign="center" w:y="1"/>
      <w:rPr>
        <w:rStyle w:val="PageNumber"/>
      </w:rPr>
    </w:pPr>
    <w:r>
      <w:rPr>
        <w:rStyle w:val="PageNumber"/>
        <w:rtl/>
      </w:rPr>
      <w:fldChar w:fldCharType="begin"/>
    </w:r>
    <w:r w:rsidR="002C23A6">
      <w:rPr>
        <w:rStyle w:val="PageNumber"/>
      </w:rPr>
      <w:instrText xml:space="preserve">PAGE  </w:instrText>
    </w:r>
    <w:r>
      <w:rPr>
        <w:rStyle w:val="PageNumber"/>
        <w:rtl/>
      </w:rPr>
      <w:fldChar w:fldCharType="end"/>
    </w:r>
  </w:p>
  <w:p w:rsidR="002C23A6" w:rsidRDefault="002C23A6">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23A6" w:rsidRPr="002C23A6" w:rsidRDefault="006C6210" w:rsidP="002C23A6">
    <w:pPr>
      <w:bidi w:val="0"/>
      <w:jc w:val="center"/>
      <w:rPr>
        <w:sz w:val="20"/>
      </w:rPr>
    </w:pPr>
    <w:r w:rsidRPr="002C23A6">
      <w:rPr>
        <w:sz w:val="20"/>
      </w:rPr>
      <w:fldChar w:fldCharType="begin"/>
    </w:r>
    <w:r w:rsidR="002C23A6" w:rsidRPr="002C23A6">
      <w:rPr>
        <w:sz w:val="20"/>
      </w:rPr>
      <w:instrText xml:space="preserve"> page </w:instrText>
    </w:r>
    <w:r w:rsidRPr="002C23A6">
      <w:rPr>
        <w:sz w:val="20"/>
      </w:rPr>
      <w:fldChar w:fldCharType="separate"/>
    </w:r>
    <w:r w:rsidR="00FA537A">
      <w:rPr>
        <w:noProof/>
        <w:sz w:val="20"/>
      </w:rPr>
      <w:t>5</w:t>
    </w:r>
    <w:r w:rsidRPr="002C23A6">
      <w:rPr>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706D" w:rsidRDefault="006C6210" w:rsidP="004C706D">
    <w:pPr>
      <w:pStyle w:val="Footer"/>
      <w:framePr w:wrap="around" w:vAnchor="text" w:hAnchor="text" w:xAlign="center" w:y="1"/>
      <w:rPr>
        <w:rStyle w:val="PageNumber"/>
      </w:rPr>
    </w:pPr>
    <w:r>
      <w:rPr>
        <w:rStyle w:val="PageNumber"/>
        <w:rtl/>
      </w:rPr>
      <w:fldChar w:fldCharType="begin"/>
    </w:r>
    <w:r w:rsidR="004C706D">
      <w:rPr>
        <w:rStyle w:val="PageNumber"/>
      </w:rPr>
      <w:instrText xml:space="preserve">PAGE  </w:instrText>
    </w:r>
    <w:r>
      <w:rPr>
        <w:rStyle w:val="PageNumber"/>
        <w:rtl/>
      </w:rPr>
      <w:fldChar w:fldCharType="end"/>
    </w:r>
  </w:p>
  <w:p w:rsidR="004C706D" w:rsidRDefault="004C706D">
    <w:pPr>
      <w:pStyle w:val="Foo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706D" w:rsidRPr="002C23A6" w:rsidRDefault="006C6210" w:rsidP="002C23A6">
    <w:pPr>
      <w:bidi w:val="0"/>
      <w:jc w:val="center"/>
      <w:rPr>
        <w:sz w:val="20"/>
      </w:rPr>
    </w:pPr>
    <w:r w:rsidRPr="002C23A6">
      <w:rPr>
        <w:sz w:val="20"/>
      </w:rPr>
      <w:fldChar w:fldCharType="begin"/>
    </w:r>
    <w:r w:rsidR="002C23A6" w:rsidRPr="002C23A6">
      <w:rPr>
        <w:sz w:val="20"/>
      </w:rPr>
      <w:instrText xml:space="preserve"> page </w:instrText>
    </w:r>
    <w:r w:rsidRPr="002C23A6">
      <w:rPr>
        <w:sz w:val="20"/>
      </w:rPr>
      <w:fldChar w:fldCharType="separate"/>
    </w:r>
    <w:r w:rsidR="002C23A6">
      <w:rPr>
        <w:noProof/>
        <w:sz w:val="20"/>
      </w:rPr>
      <w:t>1</w:t>
    </w:r>
    <w:r w:rsidRPr="002C23A6">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06DF" w:rsidRDefault="00E106DF">
      <w:r>
        <w:separator/>
      </w:r>
    </w:p>
  </w:footnote>
  <w:footnote w:type="continuationSeparator" w:id="0">
    <w:p w:rsidR="00E106DF" w:rsidRDefault="00E106D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23A6" w:rsidRPr="002C23A6" w:rsidRDefault="002C23A6" w:rsidP="002C23A6">
    <w:pPr>
      <w:pBdr>
        <w:bottom w:val="thinThickMediumGap" w:sz="12" w:space="1" w:color="auto"/>
      </w:pBdr>
      <w:tabs>
        <w:tab w:val="left" w:pos="851"/>
        <w:tab w:val="right" w:pos="8364"/>
      </w:tabs>
      <w:bidi w:val="0"/>
      <w:adjustRightInd w:val="0"/>
      <w:snapToGrid w:val="0"/>
      <w:jc w:val="both"/>
      <w:rPr>
        <w:iCs/>
        <w:color w:val="0000FF"/>
        <w:sz w:val="20"/>
      </w:rPr>
    </w:pPr>
    <w:r w:rsidRPr="002C23A6">
      <w:rPr>
        <w:rFonts w:hint="eastAsia"/>
        <w:iCs/>
        <w:color w:val="000000"/>
        <w:sz w:val="20"/>
      </w:rPr>
      <w:tab/>
    </w:r>
    <w:r w:rsidRPr="002C23A6">
      <w:rPr>
        <w:iCs/>
        <w:color w:val="000000"/>
        <w:sz w:val="20"/>
      </w:rPr>
      <w:t xml:space="preserve">Cancer Biology </w:t>
    </w:r>
    <w:r w:rsidRPr="002C23A6">
      <w:rPr>
        <w:iCs/>
        <w:sz w:val="20"/>
      </w:rPr>
      <w:t>201</w:t>
    </w:r>
    <w:r w:rsidRPr="002C23A6">
      <w:rPr>
        <w:rFonts w:hint="eastAsia"/>
        <w:iCs/>
        <w:sz w:val="20"/>
      </w:rPr>
      <w:t>6</w:t>
    </w:r>
    <w:proofErr w:type="gramStart"/>
    <w:r w:rsidRPr="002C23A6">
      <w:rPr>
        <w:iCs/>
        <w:sz w:val="20"/>
      </w:rPr>
      <w:t>;</w:t>
    </w:r>
    <w:r w:rsidRPr="002C23A6">
      <w:rPr>
        <w:rFonts w:hint="eastAsia"/>
        <w:iCs/>
        <w:sz w:val="20"/>
      </w:rPr>
      <w:t>6</w:t>
    </w:r>
    <w:proofErr w:type="gramEnd"/>
    <w:r w:rsidRPr="002C23A6">
      <w:rPr>
        <w:iCs/>
        <w:sz w:val="20"/>
      </w:rPr>
      <w:t>(</w:t>
    </w:r>
    <w:r w:rsidRPr="002C23A6">
      <w:rPr>
        <w:rFonts w:hint="eastAsia"/>
        <w:iCs/>
        <w:sz w:val="20"/>
      </w:rPr>
      <w:t>1</w:t>
    </w:r>
    <w:r w:rsidRPr="002C23A6">
      <w:rPr>
        <w:iCs/>
        <w:sz w:val="20"/>
      </w:rPr>
      <w:t>)</w:t>
    </w:r>
    <w:r w:rsidR="00FA537A">
      <w:rPr>
        <w:iCs/>
        <w:sz w:val="20"/>
      </w:rPr>
      <w:t xml:space="preserve"> </w:t>
    </w:r>
    <w:r w:rsidRPr="002C23A6">
      <w:rPr>
        <w:rFonts w:hint="eastAsia"/>
        <w:iCs/>
        <w:sz w:val="20"/>
      </w:rPr>
      <w:t xml:space="preserve">   </w:t>
    </w:r>
    <w:r w:rsidRPr="002C23A6">
      <w:rPr>
        <w:rFonts w:hint="eastAsia"/>
        <w:iCs/>
        <w:sz w:val="20"/>
      </w:rPr>
      <w:tab/>
      <w:t xml:space="preserve">     </w:t>
    </w:r>
    <w:r w:rsidRPr="002C23A6">
      <w:rPr>
        <w:iCs/>
        <w:sz w:val="20"/>
      </w:rPr>
      <w:t xml:space="preserve"> </w:t>
    </w:r>
    <w:r w:rsidRPr="002C23A6">
      <w:rPr>
        <w:sz w:val="20"/>
      </w:rPr>
      <w:t xml:space="preserve">  </w:t>
    </w:r>
    <w:hyperlink r:id="rId1" w:history="1">
      <w:r w:rsidRPr="002C23A6">
        <w:rPr>
          <w:rStyle w:val="Hyperlink"/>
          <w:sz w:val="20"/>
        </w:rPr>
        <w:t>http://www.cancerbio.net</w:t>
      </w:r>
    </w:hyperlink>
  </w:p>
  <w:p w:rsidR="002C23A6" w:rsidRPr="002C23A6" w:rsidRDefault="002C23A6" w:rsidP="002C23A6">
    <w:pPr>
      <w:tabs>
        <w:tab w:val="left" w:pos="851"/>
        <w:tab w:val="right" w:pos="8364"/>
      </w:tabs>
      <w:bidi w:val="0"/>
      <w:adjustRightInd w:val="0"/>
      <w:snapToGrid w:val="0"/>
      <w:jc w:val="both"/>
      <w:rPr>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23A6" w:rsidRPr="002C23A6" w:rsidRDefault="002C23A6" w:rsidP="002C23A6">
    <w:pPr>
      <w:pBdr>
        <w:bottom w:val="thinThickMediumGap" w:sz="12" w:space="1" w:color="auto"/>
      </w:pBdr>
      <w:tabs>
        <w:tab w:val="left" w:pos="851"/>
        <w:tab w:val="right" w:pos="8364"/>
      </w:tabs>
      <w:bidi w:val="0"/>
      <w:adjustRightInd w:val="0"/>
      <w:snapToGrid w:val="0"/>
      <w:jc w:val="both"/>
      <w:rPr>
        <w:iCs/>
        <w:color w:val="0000FF"/>
        <w:sz w:val="20"/>
      </w:rPr>
    </w:pPr>
    <w:r w:rsidRPr="002C23A6">
      <w:rPr>
        <w:rFonts w:hint="eastAsia"/>
        <w:iCs/>
        <w:color w:val="000000"/>
        <w:sz w:val="20"/>
      </w:rPr>
      <w:tab/>
    </w:r>
    <w:r w:rsidRPr="002C23A6">
      <w:rPr>
        <w:iCs/>
        <w:color w:val="000000"/>
        <w:sz w:val="20"/>
      </w:rPr>
      <w:t xml:space="preserve">Cancer Biology </w:t>
    </w:r>
    <w:r w:rsidRPr="002C23A6">
      <w:rPr>
        <w:iCs/>
        <w:sz w:val="20"/>
      </w:rPr>
      <w:t>201</w:t>
    </w:r>
    <w:r w:rsidRPr="002C23A6">
      <w:rPr>
        <w:rFonts w:hint="eastAsia"/>
        <w:iCs/>
        <w:sz w:val="20"/>
      </w:rPr>
      <w:t>6</w:t>
    </w:r>
    <w:proofErr w:type="gramStart"/>
    <w:r w:rsidRPr="002C23A6">
      <w:rPr>
        <w:iCs/>
        <w:sz w:val="20"/>
      </w:rPr>
      <w:t>;</w:t>
    </w:r>
    <w:r w:rsidRPr="002C23A6">
      <w:rPr>
        <w:rFonts w:hint="eastAsia"/>
        <w:iCs/>
        <w:sz w:val="20"/>
      </w:rPr>
      <w:t>6</w:t>
    </w:r>
    <w:proofErr w:type="gramEnd"/>
    <w:r w:rsidRPr="002C23A6">
      <w:rPr>
        <w:iCs/>
        <w:sz w:val="20"/>
      </w:rPr>
      <w:t>(</w:t>
    </w:r>
    <w:r w:rsidRPr="002C23A6">
      <w:rPr>
        <w:rFonts w:hint="eastAsia"/>
        <w:iCs/>
        <w:sz w:val="20"/>
      </w:rPr>
      <w:t>1</w:t>
    </w:r>
    <w:r w:rsidRPr="002C23A6">
      <w:rPr>
        <w:iCs/>
        <w:sz w:val="20"/>
      </w:rPr>
      <w:t xml:space="preserve">)  </w:t>
    </w:r>
    <w:r w:rsidRPr="002C23A6">
      <w:rPr>
        <w:rFonts w:hint="eastAsia"/>
        <w:iCs/>
        <w:sz w:val="20"/>
      </w:rPr>
      <w:t xml:space="preserve">   </w:t>
    </w:r>
    <w:r w:rsidRPr="002C23A6">
      <w:rPr>
        <w:rFonts w:hint="eastAsia"/>
        <w:iCs/>
        <w:sz w:val="20"/>
      </w:rPr>
      <w:tab/>
      <w:t xml:space="preserve">     </w:t>
    </w:r>
    <w:r w:rsidRPr="002C23A6">
      <w:rPr>
        <w:iCs/>
        <w:sz w:val="20"/>
      </w:rPr>
      <w:t xml:space="preserve"> </w:t>
    </w:r>
    <w:r w:rsidRPr="002C23A6">
      <w:rPr>
        <w:sz w:val="20"/>
      </w:rPr>
      <w:t xml:space="preserve">  </w:t>
    </w:r>
    <w:hyperlink r:id="rId1" w:history="1">
      <w:r w:rsidRPr="002C23A6">
        <w:rPr>
          <w:rStyle w:val="Hyperlink"/>
          <w:sz w:val="20"/>
        </w:rPr>
        <w:t>http://www.cancerbio.net</w:t>
      </w:r>
    </w:hyperlink>
  </w:p>
  <w:p w:rsidR="002C23A6" w:rsidRPr="002C23A6" w:rsidRDefault="002C23A6" w:rsidP="002C23A6">
    <w:pPr>
      <w:tabs>
        <w:tab w:val="left" w:pos="851"/>
        <w:tab w:val="right" w:pos="8364"/>
      </w:tabs>
      <w:bidi w:val="0"/>
      <w:adjustRightInd w:val="0"/>
      <w:snapToGrid w:val="0"/>
      <w:jc w:val="both"/>
      <w:rPr>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23A6" w:rsidRPr="002C23A6" w:rsidRDefault="002C23A6" w:rsidP="002C23A6">
    <w:pPr>
      <w:pBdr>
        <w:bottom w:val="thinThickMediumGap" w:sz="12" w:space="1" w:color="auto"/>
      </w:pBdr>
      <w:tabs>
        <w:tab w:val="left" w:pos="851"/>
        <w:tab w:val="right" w:pos="8364"/>
      </w:tabs>
      <w:bidi w:val="0"/>
      <w:adjustRightInd w:val="0"/>
      <w:snapToGrid w:val="0"/>
      <w:jc w:val="both"/>
      <w:rPr>
        <w:iCs/>
        <w:color w:val="0000FF"/>
        <w:sz w:val="20"/>
      </w:rPr>
    </w:pPr>
    <w:r w:rsidRPr="002C23A6">
      <w:rPr>
        <w:rFonts w:hint="eastAsia"/>
        <w:iCs/>
        <w:color w:val="000000"/>
        <w:sz w:val="20"/>
      </w:rPr>
      <w:tab/>
    </w:r>
    <w:r w:rsidRPr="002C23A6">
      <w:rPr>
        <w:iCs/>
        <w:color w:val="000000"/>
        <w:sz w:val="20"/>
      </w:rPr>
      <w:t xml:space="preserve">Cancer Biology </w:t>
    </w:r>
    <w:r w:rsidRPr="002C23A6">
      <w:rPr>
        <w:iCs/>
        <w:sz w:val="20"/>
      </w:rPr>
      <w:t>201</w:t>
    </w:r>
    <w:r w:rsidRPr="002C23A6">
      <w:rPr>
        <w:rFonts w:hint="eastAsia"/>
        <w:iCs/>
        <w:sz w:val="20"/>
      </w:rPr>
      <w:t>6</w:t>
    </w:r>
    <w:proofErr w:type="gramStart"/>
    <w:r w:rsidRPr="002C23A6">
      <w:rPr>
        <w:iCs/>
        <w:sz w:val="20"/>
      </w:rPr>
      <w:t>;</w:t>
    </w:r>
    <w:r w:rsidRPr="002C23A6">
      <w:rPr>
        <w:rFonts w:hint="eastAsia"/>
        <w:iCs/>
        <w:sz w:val="20"/>
      </w:rPr>
      <w:t>6</w:t>
    </w:r>
    <w:proofErr w:type="gramEnd"/>
    <w:r w:rsidRPr="002C23A6">
      <w:rPr>
        <w:iCs/>
        <w:sz w:val="20"/>
      </w:rPr>
      <w:t>(</w:t>
    </w:r>
    <w:r w:rsidRPr="002C23A6">
      <w:rPr>
        <w:rFonts w:hint="eastAsia"/>
        <w:iCs/>
        <w:sz w:val="20"/>
      </w:rPr>
      <w:t>1</w:t>
    </w:r>
    <w:r w:rsidRPr="002C23A6">
      <w:rPr>
        <w:iCs/>
        <w:sz w:val="20"/>
      </w:rPr>
      <w:t xml:space="preserve">)  </w:t>
    </w:r>
    <w:r w:rsidRPr="002C23A6">
      <w:rPr>
        <w:rFonts w:hint="eastAsia"/>
        <w:iCs/>
        <w:sz w:val="20"/>
      </w:rPr>
      <w:t xml:space="preserve">   </w:t>
    </w:r>
    <w:r w:rsidRPr="002C23A6">
      <w:rPr>
        <w:rFonts w:hint="eastAsia"/>
        <w:iCs/>
        <w:sz w:val="20"/>
      </w:rPr>
      <w:tab/>
      <w:t xml:space="preserve">     </w:t>
    </w:r>
    <w:r w:rsidRPr="002C23A6">
      <w:rPr>
        <w:iCs/>
        <w:sz w:val="20"/>
      </w:rPr>
      <w:t xml:space="preserve"> </w:t>
    </w:r>
    <w:r w:rsidRPr="002C23A6">
      <w:rPr>
        <w:sz w:val="20"/>
      </w:rPr>
      <w:t xml:space="preserve">  </w:t>
    </w:r>
    <w:hyperlink r:id="rId1" w:history="1">
      <w:r w:rsidRPr="002C23A6">
        <w:rPr>
          <w:rStyle w:val="Hyperlink"/>
          <w:sz w:val="20"/>
        </w:rPr>
        <w:t>http://www.cancerbio.net</w:t>
      </w:r>
    </w:hyperlink>
  </w:p>
  <w:p w:rsidR="002C23A6" w:rsidRPr="002C23A6" w:rsidRDefault="002C23A6" w:rsidP="002C23A6">
    <w:pPr>
      <w:tabs>
        <w:tab w:val="left" w:pos="851"/>
        <w:tab w:val="right" w:pos="8364"/>
      </w:tabs>
      <w:bidi w:val="0"/>
      <w:adjustRightInd w:val="0"/>
      <w:snapToGrid w:val="0"/>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95167"/>
    <w:multiLevelType w:val="multilevel"/>
    <w:tmpl w:val="525AB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50922A7"/>
    <w:multiLevelType w:val="multilevel"/>
    <w:tmpl w:val="3E8029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8400FF2"/>
    <w:multiLevelType w:val="multilevel"/>
    <w:tmpl w:val="B3B2479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39F93A74"/>
    <w:multiLevelType w:val="multilevel"/>
    <w:tmpl w:val="4F06FB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C610BBF"/>
    <w:multiLevelType w:val="multilevel"/>
    <w:tmpl w:val="B3B247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DED7A30"/>
    <w:multiLevelType w:val="multilevel"/>
    <w:tmpl w:val="CC3A51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E3D5AC3"/>
    <w:multiLevelType w:val="multilevel"/>
    <w:tmpl w:val="61BAB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FAF55AC"/>
    <w:multiLevelType w:val="multilevel"/>
    <w:tmpl w:val="EBF48A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ED57CB0"/>
    <w:multiLevelType w:val="multilevel"/>
    <w:tmpl w:val="8E1085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4024679"/>
    <w:multiLevelType w:val="multilevel"/>
    <w:tmpl w:val="A82C3C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
  </w:num>
  <w:num w:numId="3">
    <w:abstractNumId w:val="6"/>
  </w:num>
  <w:num w:numId="4">
    <w:abstractNumId w:val="3"/>
  </w:num>
  <w:num w:numId="5">
    <w:abstractNumId w:val="9"/>
  </w:num>
  <w:num w:numId="6">
    <w:abstractNumId w:val="8"/>
  </w:num>
  <w:num w:numId="7">
    <w:abstractNumId w:val="5"/>
  </w:num>
  <w:num w:numId="8">
    <w:abstractNumId w:val="0"/>
  </w:num>
  <w:num w:numId="9">
    <w:abstractNumId w:val="7"/>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activeWritingStyle w:appName="MSWord" w:lang="en-US" w:vendorID="64" w:dllVersion="131078" w:nlCheck="1" w:checkStyle="1"/>
  <w:activeWritingStyle w:appName="MSWord" w:lang="fr-FR" w:vendorID="64" w:dllVersion="131078" w:nlCheck="1" w:checkStyle="1"/>
  <w:proofState w:spelling="clean" w:grammar="clean"/>
  <w:stylePaneFormatFilter w:val="3F01"/>
  <w:doNotTrackMoves/>
  <w:documentProtection w:edit="readOnly" w:enforcement="0"/>
  <w:defaultTabStop w:val="720"/>
  <w:drawingGridHorizontalSpacing w:val="120"/>
  <w:displayHorizontalDrawingGridEvery w:val="2"/>
  <w:characterSpacingControl w:val="doNotCompress"/>
  <w:hdrShapeDefaults>
    <o:shapedefaults v:ext="edit" spidmax="13313"/>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0595D"/>
    <w:rsid w:val="00050326"/>
    <w:rsid w:val="00060E3C"/>
    <w:rsid w:val="00085972"/>
    <w:rsid w:val="00095147"/>
    <w:rsid w:val="00097D2E"/>
    <w:rsid w:val="000B1488"/>
    <w:rsid w:val="000B7130"/>
    <w:rsid w:val="000B7DC4"/>
    <w:rsid w:val="000C4B13"/>
    <w:rsid w:val="000F5CB4"/>
    <w:rsid w:val="000F6FE7"/>
    <w:rsid w:val="001212CB"/>
    <w:rsid w:val="00125D4B"/>
    <w:rsid w:val="00131FAF"/>
    <w:rsid w:val="0016339D"/>
    <w:rsid w:val="001A46B4"/>
    <w:rsid w:val="001D3612"/>
    <w:rsid w:val="001E14FC"/>
    <w:rsid w:val="001F0100"/>
    <w:rsid w:val="0021533F"/>
    <w:rsid w:val="00230D34"/>
    <w:rsid w:val="00234BBE"/>
    <w:rsid w:val="00245368"/>
    <w:rsid w:val="00260A88"/>
    <w:rsid w:val="002906A6"/>
    <w:rsid w:val="0029793F"/>
    <w:rsid w:val="002C23A6"/>
    <w:rsid w:val="002D22FF"/>
    <w:rsid w:val="002E1BE1"/>
    <w:rsid w:val="002F68F2"/>
    <w:rsid w:val="002F6FC9"/>
    <w:rsid w:val="0030595D"/>
    <w:rsid w:val="00313AA3"/>
    <w:rsid w:val="00326CCC"/>
    <w:rsid w:val="003416F4"/>
    <w:rsid w:val="00342BBD"/>
    <w:rsid w:val="00365E3F"/>
    <w:rsid w:val="00373C82"/>
    <w:rsid w:val="003B235F"/>
    <w:rsid w:val="003D3F09"/>
    <w:rsid w:val="003D6B59"/>
    <w:rsid w:val="003E6C6F"/>
    <w:rsid w:val="003E78AA"/>
    <w:rsid w:val="004C706D"/>
    <w:rsid w:val="004E5FD8"/>
    <w:rsid w:val="004E6B6B"/>
    <w:rsid w:val="00524E35"/>
    <w:rsid w:val="00531457"/>
    <w:rsid w:val="005760FC"/>
    <w:rsid w:val="00587BEE"/>
    <w:rsid w:val="005B3099"/>
    <w:rsid w:val="005C2C90"/>
    <w:rsid w:val="005D2F20"/>
    <w:rsid w:val="005E2DB3"/>
    <w:rsid w:val="005E6E50"/>
    <w:rsid w:val="00616CC9"/>
    <w:rsid w:val="00661C7A"/>
    <w:rsid w:val="00665909"/>
    <w:rsid w:val="00686472"/>
    <w:rsid w:val="006B11A6"/>
    <w:rsid w:val="006C4D31"/>
    <w:rsid w:val="006C6210"/>
    <w:rsid w:val="006F2CF3"/>
    <w:rsid w:val="006F5A79"/>
    <w:rsid w:val="00706DC4"/>
    <w:rsid w:val="0072160C"/>
    <w:rsid w:val="00752BF5"/>
    <w:rsid w:val="007715F7"/>
    <w:rsid w:val="00773744"/>
    <w:rsid w:val="0077411F"/>
    <w:rsid w:val="00774EF1"/>
    <w:rsid w:val="007B4974"/>
    <w:rsid w:val="007E1453"/>
    <w:rsid w:val="00882BD5"/>
    <w:rsid w:val="00886B91"/>
    <w:rsid w:val="0089074E"/>
    <w:rsid w:val="00891AF1"/>
    <w:rsid w:val="009113C3"/>
    <w:rsid w:val="00914BAE"/>
    <w:rsid w:val="00914BC0"/>
    <w:rsid w:val="00924649"/>
    <w:rsid w:val="009D515E"/>
    <w:rsid w:val="009E7DF6"/>
    <w:rsid w:val="009F7DA5"/>
    <w:rsid w:val="00A0705B"/>
    <w:rsid w:val="00A552EA"/>
    <w:rsid w:val="00AA36BD"/>
    <w:rsid w:val="00AD14E8"/>
    <w:rsid w:val="00AE00B4"/>
    <w:rsid w:val="00B039FA"/>
    <w:rsid w:val="00B21597"/>
    <w:rsid w:val="00B4663F"/>
    <w:rsid w:val="00B65D81"/>
    <w:rsid w:val="00B819E4"/>
    <w:rsid w:val="00BC6586"/>
    <w:rsid w:val="00BD0961"/>
    <w:rsid w:val="00BD739A"/>
    <w:rsid w:val="00BE026D"/>
    <w:rsid w:val="00C07CF8"/>
    <w:rsid w:val="00C115AC"/>
    <w:rsid w:val="00C14863"/>
    <w:rsid w:val="00C16834"/>
    <w:rsid w:val="00C30507"/>
    <w:rsid w:val="00C431C0"/>
    <w:rsid w:val="00CE5F3D"/>
    <w:rsid w:val="00CF344E"/>
    <w:rsid w:val="00D67FEA"/>
    <w:rsid w:val="00D94189"/>
    <w:rsid w:val="00D94C50"/>
    <w:rsid w:val="00DD0429"/>
    <w:rsid w:val="00E106DF"/>
    <w:rsid w:val="00E2692A"/>
    <w:rsid w:val="00E41CA1"/>
    <w:rsid w:val="00E5122A"/>
    <w:rsid w:val="00E87542"/>
    <w:rsid w:val="00E926B8"/>
    <w:rsid w:val="00E93B82"/>
    <w:rsid w:val="00EA73CC"/>
    <w:rsid w:val="00EE7E54"/>
    <w:rsid w:val="00EF2786"/>
    <w:rsid w:val="00F146EB"/>
    <w:rsid w:val="00F21D06"/>
    <w:rsid w:val="00FA537A"/>
    <w:rsid w:val="00FB0DC5"/>
    <w:rsid w:val="00FB2509"/>
    <w:rsid w:val="00FE1F3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146EB"/>
    <w:pPr>
      <w:bidi/>
    </w:pPr>
    <w:rPr>
      <w:sz w:val="24"/>
      <w:szCs w:val="24"/>
      <w:lang w:eastAsia="en-US"/>
    </w:rPr>
  </w:style>
  <w:style w:type="paragraph" w:styleId="Heading1">
    <w:name w:val="heading 1"/>
    <w:basedOn w:val="Normal"/>
    <w:next w:val="Normal"/>
    <w:qFormat/>
    <w:rsid w:val="002F68F2"/>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665909"/>
    <w:pPr>
      <w:keepNext/>
      <w:spacing w:before="240" w:after="60"/>
      <w:outlineLvl w:val="1"/>
    </w:pPr>
    <w:rPr>
      <w:rFonts w:ascii="Arial" w:hAnsi="Arial" w:cs="Arial"/>
      <w:b/>
      <w:bCs/>
      <w:i/>
      <w:iCs/>
      <w:sz w:val="28"/>
      <w:szCs w:val="28"/>
    </w:rPr>
  </w:style>
  <w:style w:type="paragraph" w:styleId="Heading3">
    <w:name w:val="heading 3"/>
    <w:basedOn w:val="Normal"/>
    <w:qFormat/>
    <w:rsid w:val="002906A6"/>
    <w:pPr>
      <w:bidi w:val="0"/>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0595D"/>
    <w:rPr>
      <w:color w:val="0000FF"/>
      <w:u w:val="single"/>
    </w:rPr>
  </w:style>
  <w:style w:type="character" w:customStyle="1" w:styleId="cit-auth">
    <w:name w:val="cit-auth"/>
    <w:basedOn w:val="DefaultParagraphFont"/>
    <w:rsid w:val="0030595D"/>
  </w:style>
  <w:style w:type="character" w:customStyle="1" w:styleId="cit-name-surname">
    <w:name w:val="cit-name-surname"/>
    <w:basedOn w:val="DefaultParagraphFont"/>
    <w:rsid w:val="0030595D"/>
  </w:style>
  <w:style w:type="character" w:customStyle="1" w:styleId="cit-name-given-names">
    <w:name w:val="cit-name-given-names"/>
    <w:basedOn w:val="DefaultParagraphFont"/>
    <w:rsid w:val="0030595D"/>
  </w:style>
  <w:style w:type="character" w:styleId="HTMLCite">
    <w:name w:val="HTML Cite"/>
    <w:rsid w:val="0030595D"/>
    <w:rPr>
      <w:i/>
      <w:iCs/>
    </w:rPr>
  </w:style>
  <w:style w:type="character" w:customStyle="1" w:styleId="cit-pub-date">
    <w:name w:val="cit-pub-date"/>
    <w:basedOn w:val="DefaultParagraphFont"/>
    <w:rsid w:val="0030595D"/>
  </w:style>
  <w:style w:type="character" w:customStyle="1" w:styleId="cit-article-title">
    <w:name w:val="cit-article-title"/>
    <w:basedOn w:val="DefaultParagraphFont"/>
    <w:rsid w:val="0030595D"/>
  </w:style>
  <w:style w:type="character" w:customStyle="1" w:styleId="cit-vol">
    <w:name w:val="cit-vol"/>
    <w:basedOn w:val="DefaultParagraphFont"/>
    <w:rsid w:val="0030595D"/>
  </w:style>
  <w:style w:type="character" w:customStyle="1" w:styleId="cit-fpage">
    <w:name w:val="cit-fpage"/>
    <w:basedOn w:val="DefaultParagraphFont"/>
    <w:rsid w:val="0030595D"/>
  </w:style>
  <w:style w:type="character" w:customStyle="1" w:styleId="cit-lpage">
    <w:name w:val="cit-lpage"/>
    <w:basedOn w:val="DefaultParagraphFont"/>
    <w:rsid w:val="0030595D"/>
  </w:style>
  <w:style w:type="character" w:customStyle="1" w:styleId="cit-etal">
    <w:name w:val="cit-etal"/>
    <w:basedOn w:val="DefaultParagraphFont"/>
    <w:rsid w:val="00FB0DC5"/>
  </w:style>
  <w:style w:type="character" w:customStyle="1" w:styleId="cit-comment">
    <w:name w:val="cit-comment"/>
    <w:basedOn w:val="DefaultParagraphFont"/>
    <w:rsid w:val="00C115AC"/>
  </w:style>
  <w:style w:type="character" w:customStyle="1" w:styleId="ref-label">
    <w:name w:val="ref-label"/>
    <w:basedOn w:val="DefaultParagraphFont"/>
    <w:rsid w:val="00C115AC"/>
  </w:style>
  <w:style w:type="character" w:customStyle="1" w:styleId="reference-txt">
    <w:name w:val="reference-txt"/>
    <w:basedOn w:val="DefaultParagraphFont"/>
    <w:rsid w:val="006F2CF3"/>
  </w:style>
  <w:style w:type="character" w:customStyle="1" w:styleId="contribution-title">
    <w:name w:val="contribution-title"/>
    <w:basedOn w:val="DefaultParagraphFont"/>
    <w:rsid w:val="006F2CF3"/>
  </w:style>
  <w:style w:type="character" w:customStyle="1" w:styleId="reference-title">
    <w:name w:val="reference-title"/>
    <w:basedOn w:val="DefaultParagraphFont"/>
    <w:rsid w:val="006F2CF3"/>
  </w:style>
  <w:style w:type="paragraph" w:customStyle="1" w:styleId="pp-first-last">
    <w:name w:val="p p-first-last"/>
    <w:basedOn w:val="Normal"/>
    <w:rsid w:val="00665909"/>
    <w:pPr>
      <w:bidi w:val="0"/>
      <w:spacing w:before="100" w:beforeAutospacing="1" w:after="100" w:afterAutospacing="1"/>
    </w:pPr>
  </w:style>
  <w:style w:type="paragraph" w:styleId="NormalWeb">
    <w:name w:val="Normal (Web)"/>
    <w:basedOn w:val="Normal"/>
    <w:rsid w:val="00587BEE"/>
    <w:pPr>
      <w:bidi w:val="0"/>
      <w:spacing w:before="100" w:beforeAutospacing="1" w:after="100" w:afterAutospacing="1"/>
    </w:pPr>
  </w:style>
  <w:style w:type="paragraph" w:customStyle="1" w:styleId="svarticlesection">
    <w:name w:val="svarticle section"/>
    <w:basedOn w:val="Normal"/>
    <w:rsid w:val="009113C3"/>
    <w:pPr>
      <w:bidi w:val="0"/>
      <w:spacing w:before="100" w:beforeAutospacing="1" w:after="100" w:afterAutospacing="1"/>
    </w:pPr>
  </w:style>
  <w:style w:type="table" w:styleId="TableGrid">
    <w:name w:val="Table Grid"/>
    <w:basedOn w:val="TableNormal"/>
    <w:rsid w:val="00882BD5"/>
    <w:pPr>
      <w:bidi/>
    </w:pPr>
    <w:rPr>
      <w:rFonts w:eastAsia="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
    <w:name w:val="题注1"/>
    <w:basedOn w:val="DefaultParagraphFont"/>
    <w:rsid w:val="000B7DC4"/>
  </w:style>
  <w:style w:type="paragraph" w:customStyle="1" w:styleId="pp-first">
    <w:name w:val="p p-first"/>
    <w:basedOn w:val="Normal"/>
    <w:rsid w:val="00686472"/>
    <w:pPr>
      <w:bidi w:val="0"/>
      <w:spacing w:before="100" w:beforeAutospacing="1" w:after="100" w:afterAutospacing="1"/>
    </w:pPr>
  </w:style>
  <w:style w:type="paragraph" w:customStyle="1" w:styleId="Default">
    <w:name w:val="Default"/>
    <w:rsid w:val="000B7130"/>
    <w:pPr>
      <w:autoSpaceDE w:val="0"/>
      <w:autoSpaceDN w:val="0"/>
      <w:adjustRightInd w:val="0"/>
    </w:pPr>
    <w:rPr>
      <w:rFonts w:ascii="Arial" w:hAnsi="Arial" w:cs="Arial"/>
      <w:color w:val="000000"/>
      <w:sz w:val="24"/>
      <w:szCs w:val="24"/>
      <w:lang w:eastAsia="en-US"/>
    </w:rPr>
  </w:style>
  <w:style w:type="paragraph" w:styleId="Footer">
    <w:name w:val="footer"/>
    <w:basedOn w:val="Normal"/>
    <w:rsid w:val="00365E3F"/>
    <w:pPr>
      <w:tabs>
        <w:tab w:val="center" w:pos="4153"/>
        <w:tab w:val="right" w:pos="8306"/>
      </w:tabs>
    </w:pPr>
  </w:style>
  <w:style w:type="character" w:styleId="PageNumber">
    <w:name w:val="page number"/>
    <w:basedOn w:val="DefaultParagraphFont"/>
    <w:rsid w:val="00365E3F"/>
  </w:style>
  <w:style w:type="paragraph" w:styleId="Header">
    <w:name w:val="header"/>
    <w:basedOn w:val="Normal"/>
    <w:rsid w:val="00365E3F"/>
    <w:pPr>
      <w:tabs>
        <w:tab w:val="center" w:pos="4153"/>
        <w:tab w:val="right" w:pos="8306"/>
      </w:tabs>
    </w:pPr>
  </w:style>
  <w:style w:type="character" w:customStyle="1" w:styleId="msonormal0">
    <w:name w:val="msonormal0"/>
    <w:rsid w:val="00245368"/>
  </w:style>
  <w:style w:type="character" w:customStyle="1" w:styleId="Absatz-Standardschriftart">
    <w:name w:val="Absatz-Standardschriftart"/>
    <w:rsid w:val="00245368"/>
  </w:style>
  <w:style w:type="character" w:styleId="CommentReference">
    <w:name w:val="annotation reference"/>
    <w:rsid w:val="00BD739A"/>
    <w:rPr>
      <w:sz w:val="16"/>
      <w:szCs w:val="16"/>
    </w:rPr>
  </w:style>
  <w:style w:type="paragraph" w:styleId="CommentText">
    <w:name w:val="annotation text"/>
    <w:basedOn w:val="Normal"/>
    <w:link w:val="CommentTextChar"/>
    <w:rsid w:val="00BD739A"/>
    <w:rPr>
      <w:sz w:val="20"/>
      <w:szCs w:val="20"/>
    </w:rPr>
  </w:style>
  <w:style w:type="character" w:customStyle="1" w:styleId="CommentTextChar">
    <w:name w:val="Comment Text Char"/>
    <w:link w:val="CommentText"/>
    <w:rsid w:val="00BD739A"/>
    <w:rPr>
      <w:lang w:val="en-US" w:eastAsia="en-US"/>
    </w:rPr>
  </w:style>
  <w:style w:type="paragraph" w:styleId="CommentSubject">
    <w:name w:val="annotation subject"/>
    <w:basedOn w:val="CommentText"/>
    <w:next w:val="CommentText"/>
    <w:link w:val="CommentSubjectChar"/>
    <w:rsid w:val="00BD739A"/>
    <w:rPr>
      <w:b/>
      <w:bCs/>
    </w:rPr>
  </w:style>
  <w:style w:type="character" w:customStyle="1" w:styleId="CommentSubjectChar">
    <w:name w:val="Comment Subject Char"/>
    <w:link w:val="CommentSubject"/>
    <w:rsid w:val="00BD739A"/>
    <w:rPr>
      <w:b/>
      <w:bCs/>
      <w:lang w:val="en-US" w:eastAsia="en-US"/>
    </w:rPr>
  </w:style>
  <w:style w:type="paragraph" w:styleId="BalloonText">
    <w:name w:val="Balloon Text"/>
    <w:basedOn w:val="Normal"/>
    <w:link w:val="BalloonTextChar"/>
    <w:rsid w:val="00BD739A"/>
    <w:rPr>
      <w:rFonts w:ascii="Segoe UI" w:hAnsi="Segoe UI"/>
      <w:sz w:val="18"/>
      <w:szCs w:val="18"/>
    </w:rPr>
  </w:style>
  <w:style w:type="character" w:customStyle="1" w:styleId="BalloonTextChar">
    <w:name w:val="Balloon Text Char"/>
    <w:link w:val="BalloonText"/>
    <w:rsid w:val="00BD739A"/>
    <w:rPr>
      <w:rFonts w:ascii="Segoe UI" w:hAnsi="Segoe UI" w:cs="Segoe UI"/>
      <w:sz w:val="18"/>
      <w:szCs w:val="18"/>
      <w:lang w:val="en-US" w:eastAsia="en-US"/>
    </w:rPr>
  </w:style>
  <w:style w:type="paragraph" w:styleId="NoSpacing">
    <w:name w:val="No Spacing"/>
    <w:basedOn w:val="Normal"/>
    <w:link w:val="NoSpacingChar"/>
    <w:qFormat/>
    <w:rsid w:val="002C23A6"/>
    <w:pPr>
      <w:bidi w:val="0"/>
      <w:spacing w:before="100" w:beforeAutospacing="1" w:after="100" w:afterAutospacing="1"/>
    </w:pPr>
    <w:rPr>
      <w:lang w:eastAsia="zh-CN"/>
    </w:rPr>
  </w:style>
  <w:style w:type="character" w:customStyle="1" w:styleId="NoSpacingChar">
    <w:name w:val="No Spacing Char"/>
    <w:basedOn w:val="DefaultParagraphFont"/>
    <w:link w:val="NoSpacing"/>
    <w:locked/>
    <w:rsid w:val="002C23A6"/>
    <w:rPr>
      <w:rFonts w:eastAsia="宋体"/>
      <w:sz w:val="24"/>
      <w:szCs w:val="24"/>
    </w:rPr>
  </w:style>
</w:styles>
</file>

<file path=word/webSettings.xml><?xml version="1.0" encoding="utf-8"?>
<w:webSettings xmlns:r="http://schemas.openxmlformats.org/officeDocument/2006/relationships" xmlns:w="http://schemas.openxmlformats.org/wordprocessingml/2006/main">
  <w:divs>
    <w:div w:id="23099106">
      <w:bodyDiv w:val="1"/>
      <w:marLeft w:val="0"/>
      <w:marRight w:val="0"/>
      <w:marTop w:val="0"/>
      <w:marBottom w:val="0"/>
      <w:divBdr>
        <w:top w:val="none" w:sz="0" w:space="0" w:color="auto"/>
        <w:left w:val="none" w:sz="0" w:space="0" w:color="auto"/>
        <w:bottom w:val="none" w:sz="0" w:space="0" w:color="auto"/>
        <w:right w:val="none" w:sz="0" w:space="0" w:color="auto"/>
      </w:divBdr>
      <w:divsChild>
        <w:div w:id="1861777440">
          <w:marLeft w:val="0"/>
          <w:marRight w:val="0"/>
          <w:marTop w:val="0"/>
          <w:marBottom w:val="0"/>
          <w:divBdr>
            <w:top w:val="none" w:sz="0" w:space="0" w:color="auto"/>
            <w:left w:val="none" w:sz="0" w:space="0" w:color="auto"/>
            <w:bottom w:val="none" w:sz="0" w:space="0" w:color="auto"/>
            <w:right w:val="none" w:sz="0" w:space="0" w:color="auto"/>
          </w:divBdr>
        </w:div>
      </w:divsChild>
    </w:div>
    <w:div w:id="68306183">
      <w:bodyDiv w:val="1"/>
      <w:marLeft w:val="0"/>
      <w:marRight w:val="0"/>
      <w:marTop w:val="0"/>
      <w:marBottom w:val="0"/>
      <w:divBdr>
        <w:top w:val="none" w:sz="0" w:space="0" w:color="auto"/>
        <w:left w:val="none" w:sz="0" w:space="0" w:color="auto"/>
        <w:bottom w:val="none" w:sz="0" w:space="0" w:color="auto"/>
        <w:right w:val="none" w:sz="0" w:space="0" w:color="auto"/>
      </w:divBdr>
    </w:div>
    <w:div w:id="119228054">
      <w:bodyDiv w:val="1"/>
      <w:marLeft w:val="0"/>
      <w:marRight w:val="0"/>
      <w:marTop w:val="0"/>
      <w:marBottom w:val="0"/>
      <w:divBdr>
        <w:top w:val="none" w:sz="0" w:space="0" w:color="auto"/>
        <w:left w:val="none" w:sz="0" w:space="0" w:color="auto"/>
        <w:bottom w:val="none" w:sz="0" w:space="0" w:color="auto"/>
        <w:right w:val="none" w:sz="0" w:space="0" w:color="auto"/>
      </w:divBdr>
      <w:divsChild>
        <w:div w:id="1567758905">
          <w:marLeft w:val="0"/>
          <w:marRight w:val="0"/>
          <w:marTop w:val="0"/>
          <w:marBottom w:val="0"/>
          <w:divBdr>
            <w:top w:val="none" w:sz="0" w:space="0" w:color="auto"/>
            <w:left w:val="none" w:sz="0" w:space="0" w:color="auto"/>
            <w:bottom w:val="none" w:sz="0" w:space="0" w:color="auto"/>
            <w:right w:val="none" w:sz="0" w:space="0" w:color="auto"/>
          </w:divBdr>
        </w:div>
      </w:divsChild>
    </w:div>
    <w:div w:id="141429051">
      <w:bodyDiv w:val="1"/>
      <w:marLeft w:val="0"/>
      <w:marRight w:val="0"/>
      <w:marTop w:val="0"/>
      <w:marBottom w:val="0"/>
      <w:divBdr>
        <w:top w:val="none" w:sz="0" w:space="0" w:color="auto"/>
        <w:left w:val="none" w:sz="0" w:space="0" w:color="auto"/>
        <w:bottom w:val="none" w:sz="0" w:space="0" w:color="auto"/>
        <w:right w:val="none" w:sz="0" w:space="0" w:color="auto"/>
      </w:divBdr>
      <w:divsChild>
        <w:div w:id="1237593221">
          <w:marLeft w:val="0"/>
          <w:marRight w:val="0"/>
          <w:marTop w:val="0"/>
          <w:marBottom w:val="0"/>
          <w:divBdr>
            <w:top w:val="none" w:sz="0" w:space="0" w:color="auto"/>
            <w:left w:val="none" w:sz="0" w:space="0" w:color="auto"/>
            <w:bottom w:val="none" w:sz="0" w:space="0" w:color="auto"/>
            <w:right w:val="none" w:sz="0" w:space="0" w:color="auto"/>
          </w:divBdr>
        </w:div>
      </w:divsChild>
    </w:div>
    <w:div w:id="400451216">
      <w:bodyDiv w:val="1"/>
      <w:marLeft w:val="0"/>
      <w:marRight w:val="0"/>
      <w:marTop w:val="0"/>
      <w:marBottom w:val="0"/>
      <w:divBdr>
        <w:top w:val="none" w:sz="0" w:space="0" w:color="auto"/>
        <w:left w:val="none" w:sz="0" w:space="0" w:color="auto"/>
        <w:bottom w:val="none" w:sz="0" w:space="0" w:color="auto"/>
        <w:right w:val="none" w:sz="0" w:space="0" w:color="auto"/>
      </w:divBdr>
      <w:divsChild>
        <w:div w:id="53360040">
          <w:marLeft w:val="0"/>
          <w:marRight w:val="0"/>
          <w:marTop w:val="0"/>
          <w:marBottom w:val="0"/>
          <w:divBdr>
            <w:top w:val="none" w:sz="0" w:space="0" w:color="auto"/>
            <w:left w:val="none" w:sz="0" w:space="0" w:color="auto"/>
            <w:bottom w:val="none" w:sz="0" w:space="0" w:color="auto"/>
            <w:right w:val="none" w:sz="0" w:space="0" w:color="auto"/>
          </w:divBdr>
        </w:div>
        <w:div w:id="333917279">
          <w:marLeft w:val="0"/>
          <w:marRight w:val="0"/>
          <w:marTop w:val="0"/>
          <w:marBottom w:val="0"/>
          <w:divBdr>
            <w:top w:val="none" w:sz="0" w:space="0" w:color="auto"/>
            <w:left w:val="none" w:sz="0" w:space="0" w:color="auto"/>
            <w:bottom w:val="none" w:sz="0" w:space="0" w:color="auto"/>
            <w:right w:val="none" w:sz="0" w:space="0" w:color="auto"/>
          </w:divBdr>
        </w:div>
        <w:div w:id="342779114">
          <w:marLeft w:val="0"/>
          <w:marRight w:val="0"/>
          <w:marTop w:val="0"/>
          <w:marBottom w:val="0"/>
          <w:divBdr>
            <w:top w:val="none" w:sz="0" w:space="0" w:color="auto"/>
            <w:left w:val="none" w:sz="0" w:space="0" w:color="auto"/>
            <w:bottom w:val="none" w:sz="0" w:space="0" w:color="auto"/>
            <w:right w:val="none" w:sz="0" w:space="0" w:color="auto"/>
          </w:divBdr>
        </w:div>
        <w:div w:id="363361692">
          <w:marLeft w:val="0"/>
          <w:marRight w:val="0"/>
          <w:marTop w:val="0"/>
          <w:marBottom w:val="0"/>
          <w:divBdr>
            <w:top w:val="none" w:sz="0" w:space="0" w:color="auto"/>
            <w:left w:val="none" w:sz="0" w:space="0" w:color="auto"/>
            <w:bottom w:val="none" w:sz="0" w:space="0" w:color="auto"/>
            <w:right w:val="none" w:sz="0" w:space="0" w:color="auto"/>
          </w:divBdr>
        </w:div>
        <w:div w:id="620767272">
          <w:marLeft w:val="0"/>
          <w:marRight w:val="0"/>
          <w:marTop w:val="0"/>
          <w:marBottom w:val="0"/>
          <w:divBdr>
            <w:top w:val="none" w:sz="0" w:space="0" w:color="auto"/>
            <w:left w:val="none" w:sz="0" w:space="0" w:color="auto"/>
            <w:bottom w:val="none" w:sz="0" w:space="0" w:color="auto"/>
            <w:right w:val="none" w:sz="0" w:space="0" w:color="auto"/>
          </w:divBdr>
        </w:div>
        <w:div w:id="661276471">
          <w:marLeft w:val="0"/>
          <w:marRight w:val="0"/>
          <w:marTop w:val="0"/>
          <w:marBottom w:val="0"/>
          <w:divBdr>
            <w:top w:val="none" w:sz="0" w:space="0" w:color="auto"/>
            <w:left w:val="none" w:sz="0" w:space="0" w:color="auto"/>
            <w:bottom w:val="none" w:sz="0" w:space="0" w:color="auto"/>
            <w:right w:val="none" w:sz="0" w:space="0" w:color="auto"/>
          </w:divBdr>
        </w:div>
        <w:div w:id="744837217">
          <w:marLeft w:val="0"/>
          <w:marRight w:val="0"/>
          <w:marTop w:val="0"/>
          <w:marBottom w:val="0"/>
          <w:divBdr>
            <w:top w:val="none" w:sz="0" w:space="0" w:color="auto"/>
            <w:left w:val="none" w:sz="0" w:space="0" w:color="auto"/>
            <w:bottom w:val="none" w:sz="0" w:space="0" w:color="auto"/>
            <w:right w:val="none" w:sz="0" w:space="0" w:color="auto"/>
          </w:divBdr>
        </w:div>
        <w:div w:id="919289349">
          <w:marLeft w:val="0"/>
          <w:marRight w:val="0"/>
          <w:marTop w:val="0"/>
          <w:marBottom w:val="0"/>
          <w:divBdr>
            <w:top w:val="none" w:sz="0" w:space="0" w:color="auto"/>
            <w:left w:val="none" w:sz="0" w:space="0" w:color="auto"/>
            <w:bottom w:val="none" w:sz="0" w:space="0" w:color="auto"/>
            <w:right w:val="none" w:sz="0" w:space="0" w:color="auto"/>
          </w:divBdr>
        </w:div>
        <w:div w:id="1278177752">
          <w:marLeft w:val="0"/>
          <w:marRight w:val="0"/>
          <w:marTop w:val="0"/>
          <w:marBottom w:val="0"/>
          <w:divBdr>
            <w:top w:val="none" w:sz="0" w:space="0" w:color="auto"/>
            <w:left w:val="none" w:sz="0" w:space="0" w:color="auto"/>
            <w:bottom w:val="none" w:sz="0" w:space="0" w:color="auto"/>
            <w:right w:val="none" w:sz="0" w:space="0" w:color="auto"/>
          </w:divBdr>
        </w:div>
        <w:div w:id="1304040538">
          <w:marLeft w:val="0"/>
          <w:marRight w:val="0"/>
          <w:marTop w:val="0"/>
          <w:marBottom w:val="0"/>
          <w:divBdr>
            <w:top w:val="none" w:sz="0" w:space="0" w:color="auto"/>
            <w:left w:val="none" w:sz="0" w:space="0" w:color="auto"/>
            <w:bottom w:val="none" w:sz="0" w:space="0" w:color="auto"/>
            <w:right w:val="none" w:sz="0" w:space="0" w:color="auto"/>
          </w:divBdr>
        </w:div>
        <w:div w:id="1379431930">
          <w:marLeft w:val="0"/>
          <w:marRight w:val="0"/>
          <w:marTop w:val="0"/>
          <w:marBottom w:val="0"/>
          <w:divBdr>
            <w:top w:val="none" w:sz="0" w:space="0" w:color="auto"/>
            <w:left w:val="none" w:sz="0" w:space="0" w:color="auto"/>
            <w:bottom w:val="none" w:sz="0" w:space="0" w:color="auto"/>
            <w:right w:val="none" w:sz="0" w:space="0" w:color="auto"/>
          </w:divBdr>
        </w:div>
        <w:div w:id="1398288696">
          <w:marLeft w:val="0"/>
          <w:marRight w:val="0"/>
          <w:marTop w:val="0"/>
          <w:marBottom w:val="0"/>
          <w:divBdr>
            <w:top w:val="none" w:sz="0" w:space="0" w:color="auto"/>
            <w:left w:val="none" w:sz="0" w:space="0" w:color="auto"/>
            <w:bottom w:val="none" w:sz="0" w:space="0" w:color="auto"/>
            <w:right w:val="none" w:sz="0" w:space="0" w:color="auto"/>
          </w:divBdr>
        </w:div>
        <w:div w:id="1398354938">
          <w:marLeft w:val="0"/>
          <w:marRight w:val="0"/>
          <w:marTop w:val="0"/>
          <w:marBottom w:val="0"/>
          <w:divBdr>
            <w:top w:val="none" w:sz="0" w:space="0" w:color="auto"/>
            <w:left w:val="none" w:sz="0" w:space="0" w:color="auto"/>
            <w:bottom w:val="none" w:sz="0" w:space="0" w:color="auto"/>
            <w:right w:val="none" w:sz="0" w:space="0" w:color="auto"/>
          </w:divBdr>
        </w:div>
        <w:div w:id="1436444995">
          <w:marLeft w:val="0"/>
          <w:marRight w:val="0"/>
          <w:marTop w:val="0"/>
          <w:marBottom w:val="0"/>
          <w:divBdr>
            <w:top w:val="none" w:sz="0" w:space="0" w:color="auto"/>
            <w:left w:val="none" w:sz="0" w:space="0" w:color="auto"/>
            <w:bottom w:val="none" w:sz="0" w:space="0" w:color="auto"/>
            <w:right w:val="none" w:sz="0" w:space="0" w:color="auto"/>
          </w:divBdr>
        </w:div>
        <w:div w:id="1549030918">
          <w:marLeft w:val="0"/>
          <w:marRight w:val="0"/>
          <w:marTop w:val="0"/>
          <w:marBottom w:val="0"/>
          <w:divBdr>
            <w:top w:val="none" w:sz="0" w:space="0" w:color="auto"/>
            <w:left w:val="none" w:sz="0" w:space="0" w:color="auto"/>
            <w:bottom w:val="none" w:sz="0" w:space="0" w:color="auto"/>
            <w:right w:val="none" w:sz="0" w:space="0" w:color="auto"/>
          </w:divBdr>
        </w:div>
        <w:div w:id="1995865592">
          <w:marLeft w:val="0"/>
          <w:marRight w:val="0"/>
          <w:marTop w:val="0"/>
          <w:marBottom w:val="0"/>
          <w:divBdr>
            <w:top w:val="none" w:sz="0" w:space="0" w:color="auto"/>
            <w:left w:val="none" w:sz="0" w:space="0" w:color="auto"/>
            <w:bottom w:val="none" w:sz="0" w:space="0" w:color="auto"/>
            <w:right w:val="none" w:sz="0" w:space="0" w:color="auto"/>
          </w:divBdr>
        </w:div>
      </w:divsChild>
    </w:div>
    <w:div w:id="414517816">
      <w:bodyDiv w:val="1"/>
      <w:marLeft w:val="0"/>
      <w:marRight w:val="0"/>
      <w:marTop w:val="0"/>
      <w:marBottom w:val="0"/>
      <w:divBdr>
        <w:top w:val="none" w:sz="0" w:space="0" w:color="auto"/>
        <w:left w:val="none" w:sz="0" w:space="0" w:color="auto"/>
        <w:bottom w:val="none" w:sz="0" w:space="0" w:color="auto"/>
        <w:right w:val="none" w:sz="0" w:space="0" w:color="auto"/>
      </w:divBdr>
      <w:divsChild>
        <w:div w:id="1368605149">
          <w:marLeft w:val="0"/>
          <w:marRight w:val="0"/>
          <w:marTop w:val="0"/>
          <w:marBottom w:val="0"/>
          <w:divBdr>
            <w:top w:val="none" w:sz="0" w:space="0" w:color="auto"/>
            <w:left w:val="none" w:sz="0" w:space="0" w:color="auto"/>
            <w:bottom w:val="none" w:sz="0" w:space="0" w:color="auto"/>
            <w:right w:val="none" w:sz="0" w:space="0" w:color="auto"/>
          </w:divBdr>
        </w:div>
        <w:div w:id="1437169579">
          <w:marLeft w:val="0"/>
          <w:marRight w:val="0"/>
          <w:marTop w:val="0"/>
          <w:marBottom w:val="0"/>
          <w:divBdr>
            <w:top w:val="none" w:sz="0" w:space="0" w:color="auto"/>
            <w:left w:val="none" w:sz="0" w:space="0" w:color="auto"/>
            <w:bottom w:val="none" w:sz="0" w:space="0" w:color="auto"/>
            <w:right w:val="none" w:sz="0" w:space="0" w:color="auto"/>
          </w:divBdr>
        </w:div>
      </w:divsChild>
    </w:div>
    <w:div w:id="489442908">
      <w:bodyDiv w:val="1"/>
      <w:marLeft w:val="0"/>
      <w:marRight w:val="0"/>
      <w:marTop w:val="0"/>
      <w:marBottom w:val="0"/>
      <w:divBdr>
        <w:top w:val="none" w:sz="0" w:space="0" w:color="auto"/>
        <w:left w:val="none" w:sz="0" w:space="0" w:color="auto"/>
        <w:bottom w:val="none" w:sz="0" w:space="0" w:color="auto"/>
        <w:right w:val="none" w:sz="0" w:space="0" w:color="auto"/>
      </w:divBdr>
    </w:div>
    <w:div w:id="564410899">
      <w:bodyDiv w:val="1"/>
      <w:marLeft w:val="0"/>
      <w:marRight w:val="0"/>
      <w:marTop w:val="0"/>
      <w:marBottom w:val="0"/>
      <w:divBdr>
        <w:top w:val="none" w:sz="0" w:space="0" w:color="auto"/>
        <w:left w:val="none" w:sz="0" w:space="0" w:color="auto"/>
        <w:bottom w:val="none" w:sz="0" w:space="0" w:color="auto"/>
        <w:right w:val="none" w:sz="0" w:space="0" w:color="auto"/>
      </w:divBdr>
    </w:div>
    <w:div w:id="812982900">
      <w:bodyDiv w:val="1"/>
      <w:marLeft w:val="0"/>
      <w:marRight w:val="0"/>
      <w:marTop w:val="0"/>
      <w:marBottom w:val="0"/>
      <w:divBdr>
        <w:top w:val="none" w:sz="0" w:space="0" w:color="auto"/>
        <w:left w:val="none" w:sz="0" w:space="0" w:color="auto"/>
        <w:bottom w:val="none" w:sz="0" w:space="0" w:color="auto"/>
        <w:right w:val="none" w:sz="0" w:space="0" w:color="auto"/>
      </w:divBdr>
    </w:div>
    <w:div w:id="876620790">
      <w:bodyDiv w:val="1"/>
      <w:marLeft w:val="0"/>
      <w:marRight w:val="0"/>
      <w:marTop w:val="0"/>
      <w:marBottom w:val="0"/>
      <w:divBdr>
        <w:top w:val="none" w:sz="0" w:space="0" w:color="auto"/>
        <w:left w:val="none" w:sz="0" w:space="0" w:color="auto"/>
        <w:bottom w:val="none" w:sz="0" w:space="0" w:color="auto"/>
        <w:right w:val="none" w:sz="0" w:space="0" w:color="auto"/>
      </w:divBdr>
      <w:divsChild>
        <w:div w:id="256793788">
          <w:marLeft w:val="0"/>
          <w:marRight w:val="0"/>
          <w:marTop w:val="0"/>
          <w:marBottom w:val="0"/>
          <w:divBdr>
            <w:top w:val="none" w:sz="0" w:space="0" w:color="auto"/>
            <w:left w:val="none" w:sz="0" w:space="0" w:color="auto"/>
            <w:bottom w:val="none" w:sz="0" w:space="0" w:color="auto"/>
            <w:right w:val="none" w:sz="0" w:space="0" w:color="auto"/>
          </w:divBdr>
        </w:div>
        <w:div w:id="976447155">
          <w:marLeft w:val="0"/>
          <w:marRight w:val="0"/>
          <w:marTop w:val="0"/>
          <w:marBottom w:val="0"/>
          <w:divBdr>
            <w:top w:val="none" w:sz="0" w:space="0" w:color="auto"/>
            <w:left w:val="none" w:sz="0" w:space="0" w:color="auto"/>
            <w:bottom w:val="none" w:sz="0" w:space="0" w:color="auto"/>
            <w:right w:val="none" w:sz="0" w:space="0" w:color="auto"/>
          </w:divBdr>
        </w:div>
      </w:divsChild>
    </w:div>
    <w:div w:id="1123769936">
      <w:bodyDiv w:val="1"/>
      <w:marLeft w:val="0"/>
      <w:marRight w:val="0"/>
      <w:marTop w:val="0"/>
      <w:marBottom w:val="0"/>
      <w:divBdr>
        <w:top w:val="none" w:sz="0" w:space="0" w:color="auto"/>
        <w:left w:val="none" w:sz="0" w:space="0" w:color="auto"/>
        <w:bottom w:val="none" w:sz="0" w:space="0" w:color="auto"/>
        <w:right w:val="none" w:sz="0" w:space="0" w:color="auto"/>
      </w:divBdr>
      <w:divsChild>
        <w:div w:id="142815424">
          <w:marLeft w:val="0"/>
          <w:marRight w:val="0"/>
          <w:marTop w:val="0"/>
          <w:marBottom w:val="0"/>
          <w:divBdr>
            <w:top w:val="none" w:sz="0" w:space="0" w:color="auto"/>
            <w:left w:val="none" w:sz="0" w:space="0" w:color="auto"/>
            <w:bottom w:val="none" w:sz="0" w:space="0" w:color="auto"/>
            <w:right w:val="none" w:sz="0" w:space="0" w:color="auto"/>
          </w:divBdr>
        </w:div>
        <w:div w:id="995913131">
          <w:marLeft w:val="0"/>
          <w:marRight w:val="0"/>
          <w:marTop w:val="0"/>
          <w:marBottom w:val="0"/>
          <w:divBdr>
            <w:top w:val="none" w:sz="0" w:space="0" w:color="auto"/>
            <w:left w:val="none" w:sz="0" w:space="0" w:color="auto"/>
            <w:bottom w:val="none" w:sz="0" w:space="0" w:color="auto"/>
            <w:right w:val="none" w:sz="0" w:space="0" w:color="auto"/>
          </w:divBdr>
        </w:div>
        <w:div w:id="1173646400">
          <w:marLeft w:val="0"/>
          <w:marRight w:val="0"/>
          <w:marTop w:val="0"/>
          <w:marBottom w:val="0"/>
          <w:divBdr>
            <w:top w:val="none" w:sz="0" w:space="0" w:color="auto"/>
            <w:left w:val="none" w:sz="0" w:space="0" w:color="auto"/>
            <w:bottom w:val="none" w:sz="0" w:space="0" w:color="auto"/>
            <w:right w:val="none" w:sz="0" w:space="0" w:color="auto"/>
          </w:divBdr>
        </w:div>
        <w:div w:id="1712725646">
          <w:marLeft w:val="0"/>
          <w:marRight w:val="0"/>
          <w:marTop w:val="0"/>
          <w:marBottom w:val="0"/>
          <w:divBdr>
            <w:top w:val="none" w:sz="0" w:space="0" w:color="auto"/>
            <w:left w:val="none" w:sz="0" w:space="0" w:color="auto"/>
            <w:bottom w:val="none" w:sz="0" w:space="0" w:color="auto"/>
            <w:right w:val="none" w:sz="0" w:space="0" w:color="auto"/>
          </w:divBdr>
        </w:div>
        <w:div w:id="1734230186">
          <w:marLeft w:val="0"/>
          <w:marRight w:val="0"/>
          <w:marTop w:val="0"/>
          <w:marBottom w:val="0"/>
          <w:divBdr>
            <w:top w:val="none" w:sz="0" w:space="0" w:color="auto"/>
            <w:left w:val="none" w:sz="0" w:space="0" w:color="auto"/>
            <w:bottom w:val="none" w:sz="0" w:space="0" w:color="auto"/>
            <w:right w:val="none" w:sz="0" w:space="0" w:color="auto"/>
          </w:divBdr>
        </w:div>
        <w:div w:id="1954239607">
          <w:marLeft w:val="0"/>
          <w:marRight w:val="0"/>
          <w:marTop w:val="0"/>
          <w:marBottom w:val="0"/>
          <w:divBdr>
            <w:top w:val="none" w:sz="0" w:space="0" w:color="auto"/>
            <w:left w:val="none" w:sz="0" w:space="0" w:color="auto"/>
            <w:bottom w:val="none" w:sz="0" w:space="0" w:color="auto"/>
            <w:right w:val="none" w:sz="0" w:space="0" w:color="auto"/>
          </w:divBdr>
        </w:div>
      </w:divsChild>
    </w:div>
    <w:div w:id="1193033916">
      <w:bodyDiv w:val="1"/>
      <w:marLeft w:val="0"/>
      <w:marRight w:val="0"/>
      <w:marTop w:val="0"/>
      <w:marBottom w:val="0"/>
      <w:divBdr>
        <w:top w:val="none" w:sz="0" w:space="0" w:color="auto"/>
        <w:left w:val="none" w:sz="0" w:space="0" w:color="auto"/>
        <w:bottom w:val="none" w:sz="0" w:space="0" w:color="auto"/>
        <w:right w:val="none" w:sz="0" w:space="0" w:color="auto"/>
      </w:divBdr>
      <w:divsChild>
        <w:div w:id="15160039">
          <w:marLeft w:val="0"/>
          <w:marRight w:val="0"/>
          <w:marTop w:val="0"/>
          <w:marBottom w:val="0"/>
          <w:divBdr>
            <w:top w:val="none" w:sz="0" w:space="0" w:color="auto"/>
            <w:left w:val="none" w:sz="0" w:space="0" w:color="auto"/>
            <w:bottom w:val="none" w:sz="0" w:space="0" w:color="auto"/>
            <w:right w:val="none" w:sz="0" w:space="0" w:color="auto"/>
          </w:divBdr>
        </w:div>
        <w:div w:id="30350145">
          <w:marLeft w:val="0"/>
          <w:marRight w:val="0"/>
          <w:marTop w:val="0"/>
          <w:marBottom w:val="0"/>
          <w:divBdr>
            <w:top w:val="none" w:sz="0" w:space="0" w:color="auto"/>
            <w:left w:val="none" w:sz="0" w:space="0" w:color="auto"/>
            <w:bottom w:val="none" w:sz="0" w:space="0" w:color="auto"/>
            <w:right w:val="none" w:sz="0" w:space="0" w:color="auto"/>
          </w:divBdr>
        </w:div>
        <w:div w:id="378016501">
          <w:marLeft w:val="0"/>
          <w:marRight w:val="0"/>
          <w:marTop w:val="0"/>
          <w:marBottom w:val="0"/>
          <w:divBdr>
            <w:top w:val="none" w:sz="0" w:space="0" w:color="auto"/>
            <w:left w:val="none" w:sz="0" w:space="0" w:color="auto"/>
            <w:bottom w:val="none" w:sz="0" w:space="0" w:color="auto"/>
            <w:right w:val="none" w:sz="0" w:space="0" w:color="auto"/>
          </w:divBdr>
        </w:div>
        <w:div w:id="422461123">
          <w:marLeft w:val="0"/>
          <w:marRight w:val="0"/>
          <w:marTop w:val="0"/>
          <w:marBottom w:val="0"/>
          <w:divBdr>
            <w:top w:val="none" w:sz="0" w:space="0" w:color="auto"/>
            <w:left w:val="none" w:sz="0" w:space="0" w:color="auto"/>
            <w:bottom w:val="none" w:sz="0" w:space="0" w:color="auto"/>
            <w:right w:val="none" w:sz="0" w:space="0" w:color="auto"/>
          </w:divBdr>
        </w:div>
        <w:div w:id="786310387">
          <w:marLeft w:val="0"/>
          <w:marRight w:val="0"/>
          <w:marTop w:val="0"/>
          <w:marBottom w:val="0"/>
          <w:divBdr>
            <w:top w:val="none" w:sz="0" w:space="0" w:color="auto"/>
            <w:left w:val="none" w:sz="0" w:space="0" w:color="auto"/>
            <w:bottom w:val="none" w:sz="0" w:space="0" w:color="auto"/>
            <w:right w:val="none" w:sz="0" w:space="0" w:color="auto"/>
          </w:divBdr>
        </w:div>
        <w:div w:id="1265069244">
          <w:marLeft w:val="0"/>
          <w:marRight w:val="0"/>
          <w:marTop w:val="0"/>
          <w:marBottom w:val="0"/>
          <w:divBdr>
            <w:top w:val="none" w:sz="0" w:space="0" w:color="auto"/>
            <w:left w:val="none" w:sz="0" w:space="0" w:color="auto"/>
            <w:bottom w:val="none" w:sz="0" w:space="0" w:color="auto"/>
            <w:right w:val="none" w:sz="0" w:space="0" w:color="auto"/>
          </w:divBdr>
        </w:div>
        <w:div w:id="1697195562">
          <w:marLeft w:val="0"/>
          <w:marRight w:val="0"/>
          <w:marTop w:val="0"/>
          <w:marBottom w:val="0"/>
          <w:divBdr>
            <w:top w:val="none" w:sz="0" w:space="0" w:color="auto"/>
            <w:left w:val="none" w:sz="0" w:space="0" w:color="auto"/>
            <w:bottom w:val="none" w:sz="0" w:space="0" w:color="auto"/>
            <w:right w:val="none" w:sz="0" w:space="0" w:color="auto"/>
          </w:divBdr>
        </w:div>
      </w:divsChild>
    </w:div>
    <w:div w:id="1281111269">
      <w:bodyDiv w:val="1"/>
      <w:marLeft w:val="0"/>
      <w:marRight w:val="0"/>
      <w:marTop w:val="0"/>
      <w:marBottom w:val="0"/>
      <w:divBdr>
        <w:top w:val="none" w:sz="0" w:space="0" w:color="auto"/>
        <w:left w:val="none" w:sz="0" w:space="0" w:color="auto"/>
        <w:bottom w:val="none" w:sz="0" w:space="0" w:color="auto"/>
        <w:right w:val="none" w:sz="0" w:space="0" w:color="auto"/>
      </w:divBdr>
    </w:div>
    <w:div w:id="1308392661">
      <w:bodyDiv w:val="1"/>
      <w:marLeft w:val="0"/>
      <w:marRight w:val="0"/>
      <w:marTop w:val="0"/>
      <w:marBottom w:val="0"/>
      <w:divBdr>
        <w:top w:val="none" w:sz="0" w:space="0" w:color="auto"/>
        <w:left w:val="none" w:sz="0" w:space="0" w:color="auto"/>
        <w:bottom w:val="none" w:sz="0" w:space="0" w:color="auto"/>
        <w:right w:val="none" w:sz="0" w:space="0" w:color="auto"/>
      </w:divBdr>
      <w:divsChild>
        <w:div w:id="1255362521">
          <w:marLeft w:val="0"/>
          <w:marRight w:val="0"/>
          <w:marTop w:val="0"/>
          <w:marBottom w:val="0"/>
          <w:divBdr>
            <w:top w:val="none" w:sz="0" w:space="0" w:color="auto"/>
            <w:left w:val="none" w:sz="0" w:space="0" w:color="auto"/>
            <w:bottom w:val="none" w:sz="0" w:space="0" w:color="auto"/>
            <w:right w:val="none" w:sz="0" w:space="0" w:color="auto"/>
          </w:divBdr>
        </w:div>
        <w:div w:id="1547909099">
          <w:marLeft w:val="0"/>
          <w:marRight w:val="0"/>
          <w:marTop w:val="0"/>
          <w:marBottom w:val="0"/>
          <w:divBdr>
            <w:top w:val="none" w:sz="0" w:space="0" w:color="auto"/>
            <w:left w:val="none" w:sz="0" w:space="0" w:color="auto"/>
            <w:bottom w:val="none" w:sz="0" w:space="0" w:color="auto"/>
            <w:right w:val="none" w:sz="0" w:space="0" w:color="auto"/>
          </w:divBdr>
        </w:div>
      </w:divsChild>
    </w:div>
    <w:div w:id="1339580788">
      <w:bodyDiv w:val="1"/>
      <w:marLeft w:val="0"/>
      <w:marRight w:val="0"/>
      <w:marTop w:val="0"/>
      <w:marBottom w:val="0"/>
      <w:divBdr>
        <w:top w:val="none" w:sz="0" w:space="0" w:color="auto"/>
        <w:left w:val="none" w:sz="0" w:space="0" w:color="auto"/>
        <w:bottom w:val="none" w:sz="0" w:space="0" w:color="auto"/>
        <w:right w:val="none" w:sz="0" w:space="0" w:color="auto"/>
      </w:divBdr>
      <w:divsChild>
        <w:div w:id="262881296">
          <w:marLeft w:val="0"/>
          <w:marRight w:val="0"/>
          <w:marTop w:val="0"/>
          <w:marBottom w:val="0"/>
          <w:divBdr>
            <w:top w:val="none" w:sz="0" w:space="0" w:color="auto"/>
            <w:left w:val="none" w:sz="0" w:space="0" w:color="auto"/>
            <w:bottom w:val="none" w:sz="0" w:space="0" w:color="auto"/>
            <w:right w:val="none" w:sz="0" w:space="0" w:color="auto"/>
          </w:divBdr>
        </w:div>
        <w:div w:id="448209650">
          <w:marLeft w:val="0"/>
          <w:marRight w:val="0"/>
          <w:marTop w:val="0"/>
          <w:marBottom w:val="0"/>
          <w:divBdr>
            <w:top w:val="none" w:sz="0" w:space="0" w:color="auto"/>
            <w:left w:val="none" w:sz="0" w:space="0" w:color="auto"/>
            <w:bottom w:val="none" w:sz="0" w:space="0" w:color="auto"/>
            <w:right w:val="none" w:sz="0" w:space="0" w:color="auto"/>
          </w:divBdr>
        </w:div>
        <w:div w:id="671105874">
          <w:marLeft w:val="0"/>
          <w:marRight w:val="0"/>
          <w:marTop w:val="0"/>
          <w:marBottom w:val="0"/>
          <w:divBdr>
            <w:top w:val="none" w:sz="0" w:space="0" w:color="auto"/>
            <w:left w:val="none" w:sz="0" w:space="0" w:color="auto"/>
            <w:bottom w:val="none" w:sz="0" w:space="0" w:color="auto"/>
            <w:right w:val="none" w:sz="0" w:space="0" w:color="auto"/>
          </w:divBdr>
        </w:div>
        <w:div w:id="895895015">
          <w:marLeft w:val="0"/>
          <w:marRight w:val="0"/>
          <w:marTop w:val="0"/>
          <w:marBottom w:val="0"/>
          <w:divBdr>
            <w:top w:val="none" w:sz="0" w:space="0" w:color="auto"/>
            <w:left w:val="none" w:sz="0" w:space="0" w:color="auto"/>
            <w:bottom w:val="none" w:sz="0" w:space="0" w:color="auto"/>
            <w:right w:val="none" w:sz="0" w:space="0" w:color="auto"/>
          </w:divBdr>
        </w:div>
        <w:div w:id="990449444">
          <w:marLeft w:val="0"/>
          <w:marRight w:val="0"/>
          <w:marTop w:val="0"/>
          <w:marBottom w:val="0"/>
          <w:divBdr>
            <w:top w:val="none" w:sz="0" w:space="0" w:color="auto"/>
            <w:left w:val="none" w:sz="0" w:space="0" w:color="auto"/>
            <w:bottom w:val="none" w:sz="0" w:space="0" w:color="auto"/>
            <w:right w:val="none" w:sz="0" w:space="0" w:color="auto"/>
          </w:divBdr>
        </w:div>
        <w:div w:id="992872827">
          <w:marLeft w:val="0"/>
          <w:marRight w:val="0"/>
          <w:marTop w:val="0"/>
          <w:marBottom w:val="0"/>
          <w:divBdr>
            <w:top w:val="none" w:sz="0" w:space="0" w:color="auto"/>
            <w:left w:val="none" w:sz="0" w:space="0" w:color="auto"/>
            <w:bottom w:val="none" w:sz="0" w:space="0" w:color="auto"/>
            <w:right w:val="none" w:sz="0" w:space="0" w:color="auto"/>
          </w:divBdr>
        </w:div>
        <w:div w:id="1268008068">
          <w:marLeft w:val="0"/>
          <w:marRight w:val="0"/>
          <w:marTop w:val="0"/>
          <w:marBottom w:val="0"/>
          <w:divBdr>
            <w:top w:val="none" w:sz="0" w:space="0" w:color="auto"/>
            <w:left w:val="none" w:sz="0" w:space="0" w:color="auto"/>
            <w:bottom w:val="none" w:sz="0" w:space="0" w:color="auto"/>
            <w:right w:val="none" w:sz="0" w:space="0" w:color="auto"/>
          </w:divBdr>
        </w:div>
        <w:div w:id="1380326611">
          <w:marLeft w:val="0"/>
          <w:marRight w:val="0"/>
          <w:marTop w:val="0"/>
          <w:marBottom w:val="0"/>
          <w:divBdr>
            <w:top w:val="none" w:sz="0" w:space="0" w:color="auto"/>
            <w:left w:val="none" w:sz="0" w:space="0" w:color="auto"/>
            <w:bottom w:val="none" w:sz="0" w:space="0" w:color="auto"/>
            <w:right w:val="none" w:sz="0" w:space="0" w:color="auto"/>
          </w:divBdr>
        </w:div>
        <w:div w:id="1450009043">
          <w:marLeft w:val="0"/>
          <w:marRight w:val="0"/>
          <w:marTop w:val="0"/>
          <w:marBottom w:val="0"/>
          <w:divBdr>
            <w:top w:val="none" w:sz="0" w:space="0" w:color="auto"/>
            <w:left w:val="none" w:sz="0" w:space="0" w:color="auto"/>
            <w:bottom w:val="none" w:sz="0" w:space="0" w:color="auto"/>
            <w:right w:val="none" w:sz="0" w:space="0" w:color="auto"/>
          </w:divBdr>
        </w:div>
        <w:div w:id="1682973520">
          <w:marLeft w:val="0"/>
          <w:marRight w:val="0"/>
          <w:marTop w:val="0"/>
          <w:marBottom w:val="0"/>
          <w:divBdr>
            <w:top w:val="none" w:sz="0" w:space="0" w:color="auto"/>
            <w:left w:val="none" w:sz="0" w:space="0" w:color="auto"/>
            <w:bottom w:val="none" w:sz="0" w:space="0" w:color="auto"/>
            <w:right w:val="none" w:sz="0" w:space="0" w:color="auto"/>
          </w:divBdr>
        </w:div>
        <w:div w:id="1864778711">
          <w:marLeft w:val="0"/>
          <w:marRight w:val="0"/>
          <w:marTop w:val="0"/>
          <w:marBottom w:val="0"/>
          <w:divBdr>
            <w:top w:val="none" w:sz="0" w:space="0" w:color="auto"/>
            <w:left w:val="none" w:sz="0" w:space="0" w:color="auto"/>
            <w:bottom w:val="none" w:sz="0" w:space="0" w:color="auto"/>
            <w:right w:val="none" w:sz="0" w:space="0" w:color="auto"/>
          </w:divBdr>
        </w:div>
      </w:divsChild>
    </w:div>
    <w:div w:id="1380134081">
      <w:bodyDiv w:val="1"/>
      <w:marLeft w:val="0"/>
      <w:marRight w:val="0"/>
      <w:marTop w:val="0"/>
      <w:marBottom w:val="0"/>
      <w:divBdr>
        <w:top w:val="none" w:sz="0" w:space="0" w:color="auto"/>
        <w:left w:val="none" w:sz="0" w:space="0" w:color="auto"/>
        <w:bottom w:val="none" w:sz="0" w:space="0" w:color="auto"/>
        <w:right w:val="none" w:sz="0" w:space="0" w:color="auto"/>
      </w:divBdr>
    </w:div>
    <w:div w:id="1394084412">
      <w:bodyDiv w:val="1"/>
      <w:marLeft w:val="0"/>
      <w:marRight w:val="0"/>
      <w:marTop w:val="0"/>
      <w:marBottom w:val="0"/>
      <w:divBdr>
        <w:top w:val="none" w:sz="0" w:space="0" w:color="auto"/>
        <w:left w:val="none" w:sz="0" w:space="0" w:color="auto"/>
        <w:bottom w:val="none" w:sz="0" w:space="0" w:color="auto"/>
        <w:right w:val="none" w:sz="0" w:space="0" w:color="auto"/>
      </w:divBdr>
      <w:divsChild>
        <w:div w:id="1997611209">
          <w:marLeft w:val="0"/>
          <w:marRight w:val="0"/>
          <w:marTop w:val="0"/>
          <w:marBottom w:val="0"/>
          <w:divBdr>
            <w:top w:val="none" w:sz="0" w:space="0" w:color="auto"/>
            <w:left w:val="none" w:sz="0" w:space="0" w:color="auto"/>
            <w:bottom w:val="none" w:sz="0" w:space="0" w:color="auto"/>
            <w:right w:val="none" w:sz="0" w:space="0" w:color="auto"/>
          </w:divBdr>
        </w:div>
        <w:div w:id="2143767110">
          <w:marLeft w:val="0"/>
          <w:marRight w:val="0"/>
          <w:marTop w:val="0"/>
          <w:marBottom w:val="0"/>
          <w:divBdr>
            <w:top w:val="none" w:sz="0" w:space="0" w:color="auto"/>
            <w:left w:val="none" w:sz="0" w:space="0" w:color="auto"/>
            <w:bottom w:val="none" w:sz="0" w:space="0" w:color="auto"/>
            <w:right w:val="none" w:sz="0" w:space="0" w:color="auto"/>
          </w:divBdr>
        </w:div>
      </w:divsChild>
    </w:div>
    <w:div w:id="1738748198">
      <w:bodyDiv w:val="1"/>
      <w:marLeft w:val="0"/>
      <w:marRight w:val="0"/>
      <w:marTop w:val="0"/>
      <w:marBottom w:val="0"/>
      <w:divBdr>
        <w:top w:val="none" w:sz="0" w:space="0" w:color="auto"/>
        <w:left w:val="none" w:sz="0" w:space="0" w:color="auto"/>
        <w:bottom w:val="none" w:sz="0" w:space="0" w:color="auto"/>
        <w:right w:val="none" w:sz="0" w:space="0" w:color="auto"/>
      </w:divBdr>
    </w:div>
    <w:div w:id="1816028541">
      <w:bodyDiv w:val="1"/>
      <w:marLeft w:val="0"/>
      <w:marRight w:val="0"/>
      <w:marTop w:val="0"/>
      <w:marBottom w:val="0"/>
      <w:divBdr>
        <w:top w:val="none" w:sz="0" w:space="0" w:color="auto"/>
        <w:left w:val="none" w:sz="0" w:space="0" w:color="auto"/>
        <w:bottom w:val="none" w:sz="0" w:space="0" w:color="auto"/>
        <w:right w:val="none" w:sz="0" w:space="0" w:color="auto"/>
      </w:divBdr>
    </w:div>
    <w:div w:id="1850175409">
      <w:bodyDiv w:val="1"/>
      <w:marLeft w:val="0"/>
      <w:marRight w:val="0"/>
      <w:marTop w:val="0"/>
      <w:marBottom w:val="0"/>
      <w:divBdr>
        <w:top w:val="none" w:sz="0" w:space="0" w:color="auto"/>
        <w:left w:val="none" w:sz="0" w:space="0" w:color="auto"/>
        <w:bottom w:val="none" w:sz="0" w:space="0" w:color="auto"/>
        <w:right w:val="none" w:sz="0" w:space="0" w:color="auto"/>
      </w:divBdr>
    </w:div>
    <w:div w:id="1853453027">
      <w:bodyDiv w:val="1"/>
      <w:marLeft w:val="0"/>
      <w:marRight w:val="0"/>
      <w:marTop w:val="0"/>
      <w:marBottom w:val="0"/>
      <w:divBdr>
        <w:top w:val="none" w:sz="0" w:space="0" w:color="auto"/>
        <w:left w:val="none" w:sz="0" w:space="0" w:color="auto"/>
        <w:bottom w:val="none" w:sz="0" w:space="0" w:color="auto"/>
        <w:right w:val="none" w:sz="0" w:space="0" w:color="auto"/>
      </w:divBdr>
      <w:divsChild>
        <w:div w:id="53236071">
          <w:marLeft w:val="0"/>
          <w:marRight w:val="0"/>
          <w:marTop w:val="0"/>
          <w:marBottom w:val="0"/>
          <w:divBdr>
            <w:top w:val="none" w:sz="0" w:space="0" w:color="auto"/>
            <w:left w:val="none" w:sz="0" w:space="0" w:color="auto"/>
            <w:bottom w:val="none" w:sz="0" w:space="0" w:color="auto"/>
            <w:right w:val="none" w:sz="0" w:space="0" w:color="auto"/>
          </w:divBdr>
        </w:div>
        <w:div w:id="478305390">
          <w:marLeft w:val="0"/>
          <w:marRight w:val="0"/>
          <w:marTop w:val="0"/>
          <w:marBottom w:val="0"/>
          <w:divBdr>
            <w:top w:val="none" w:sz="0" w:space="0" w:color="auto"/>
            <w:left w:val="none" w:sz="0" w:space="0" w:color="auto"/>
            <w:bottom w:val="none" w:sz="0" w:space="0" w:color="auto"/>
            <w:right w:val="none" w:sz="0" w:space="0" w:color="auto"/>
          </w:divBdr>
        </w:div>
      </w:divsChild>
    </w:div>
    <w:div w:id="1898465821">
      <w:bodyDiv w:val="1"/>
      <w:marLeft w:val="0"/>
      <w:marRight w:val="0"/>
      <w:marTop w:val="0"/>
      <w:marBottom w:val="0"/>
      <w:divBdr>
        <w:top w:val="none" w:sz="0" w:space="0" w:color="auto"/>
        <w:left w:val="none" w:sz="0" w:space="0" w:color="auto"/>
        <w:bottom w:val="none" w:sz="0" w:space="0" w:color="auto"/>
        <w:right w:val="none" w:sz="0" w:space="0" w:color="auto"/>
      </w:divBdr>
      <w:divsChild>
        <w:div w:id="1619488605">
          <w:marLeft w:val="0"/>
          <w:marRight w:val="0"/>
          <w:marTop w:val="0"/>
          <w:marBottom w:val="0"/>
          <w:divBdr>
            <w:top w:val="none" w:sz="0" w:space="0" w:color="auto"/>
            <w:left w:val="none" w:sz="0" w:space="0" w:color="auto"/>
            <w:bottom w:val="none" w:sz="0" w:space="0" w:color="auto"/>
            <w:right w:val="none" w:sz="0" w:space="0" w:color="auto"/>
          </w:divBdr>
        </w:div>
      </w:divsChild>
    </w:div>
    <w:div w:id="1944876854">
      <w:bodyDiv w:val="1"/>
      <w:marLeft w:val="0"/>
      <w:marRight w:val="0"/>
      <w:marTop w:val="0"/>
      <w:marBottom w:val="0"/>
      <w:divBdr>
        <w:top w:val="none" w:sz="0" w:space="0" w:color="auto"/>
        <w:left w:val="none" w:sz="0" w:space="0" w:color="auto"/>
        <w:bottom w:val="none" w:sz="0" w:space="0" w:color="auto"/>
        <w:right w:val="none" w:sz="0" w:space="0" w:color="auto"/>
      </w:divBdr>
      <w:divsChild>
        <w:div w:id="188877134">
          <w:marLeft w:val="0"/>
          <w:marRight w:val="0"/>
          <w:marTop w:val="0"/>
          <w:marBottom w:val="0"/>
          <w:divBdr>
            <w:top w:val="none" w:sz="0" w:space="0" w:color="auto"/>
            <w:left w:val="none" w:sz="0" w:space="0" w:color="auto"/>
            <w:bottom w:val="none" w:sz="0" w:space="0" w:color="auto"/>
            <w:right w:val="none" w:sz="0" w:space="0" w:color="auto"/>
          </w:divBdr>
          <w:divsChild>
            <w:div w:id="1267077809">
              <w:marLeft w:val="0"/>
              <w:marRight w:val="0"/>
              <w:marTop w:val="0"/>
              <w:marBottom w:val="0"/>
              <w:divBdr>
                <w:top w:val="none" w:sz="0" w:space="0" w:color="auto"/>
                <w:left w:val="none" w:sz="0" w:space="0" w:color="auto"/>
                <w:bottom w:val="none" w:sz="0" w:space="0" w:color="auto"/>
                <w:right w:val="none" w:sz="0" w:space="0" w:color="auto"/>
              </w:divBdr>
              <w:divsChild>
                <w:div w:id="172271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588794">
      <w:bodyDiv w:val="1"/>
      <w:marLeft w:val="0"/>
      <w:marRight w:val="0"/>
      <w:marTop w:val="0"/>
      <w:marBottom w:val="0"/>
      <w:divBdr>
        <w:top w:val="none" w:sz="0" w:space="0" w:color="auto"/>
        <w:left w:val="none" w:sz="0" w:space="0" w:color="auto"/>
        <w:bottom w:val="none" w:sz="0" w:space="0" w:color="auto"/>
        <w:right w:val="none" w:sz="0" w:space="0" w:color="auto"/>
      </w:divBdr>
    </w:div>
    <w:div w:id="2138140462">
      <w:bodyDiv w:val="1"/>
      <w:marLeft w:val="0"/>
      <w:marRight w:val="0"/>
      <w:marTop w:val="0"/>
      <w:marBottom w:val="0"/>
      <w:divBdr>
        <w:top w:val="none" w:sz="0" w:space="0" w:color="auto"/>
        <w:left w:val="none" w:sz="0" w:space="0" w:color="auto"/>
        <w:bottom w:val="none" w:sz="0" w:space="0" w:color="auto"/>
        <w:right w:val="none" w:sz="0" w:space="0" w:color="auto"/>
      </w:divBdr>
      <w:divsChild>
        <w:div w:id="49305260">
          <w:marLeft w:val="0"/>
          <w:marRight w:val="0"/>
          <w:marTop w:val="0"/>
          <w:marBottom w:val="0"/>
          <w:divBdr>
            <w:top w:val="none" w:sz="0" w:space="0" w:color="auto"/>
            <w:left w:val="none" w:sz="0" w:space="0" w:color="auto"/>
            <w:bottom w:val="none" w:sz="0" w:space="0" w:color="auto"/>
            <w:right w:val="none" w:sz="0" w:space="0" w:color="auto"/>
          </w:divBdr>
        </w:div>
        <w:div w:id="525220381">
          <w:marLeft w:val="0"/>
          <w:marRight w:val="0"/>
          <w:marTop w:val="0"/>
          <w:marBottom w:val="0"/>
          <w:divBdr>
            <w:top w:val="none" w:sz="0" w:space="0" w:color="auto"/>
            <w:left w:val="none" w:sz="0" w:space="0" w:color="auto"/>
            <w:bottom w:val="none" w:sz="0" w:space="0" w:color="auto"/>
            <w:right w:val="none" w:sz="0" w:space="0" w:color="auto"/>
          </w:divBdr>
          <w:divsChild>
            <w:div w:id="1214386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x.doi.org/10.7537/marscbj060116.01" TargetMode="External"/><Relationship Id="rId13" Type="http://schemas.openxmlformats.org/officeDocument/2006/relationships/header" Target="header2.xml"/><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cancerbio.net" TargetMode="External"/><Relationship Id="rId12" Type="http://schemas.openxmlformats.org/officeDocument/2006/relationships/image" Target="media/image1.emf"/><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jco.ascopubs.org/external-ref?access_num=10.1016/j.eururo.2014.02.038&amp;link_type=DOI"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3080</Words>
  <Characters>17793</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The incidence of bladder cancer rises with age and affects men three times more often than women</vt:lpstr>
    </vt:vector>
  </TitlesOfParts>
  <Company>&lt;egyptian hak&gt;</Company>
  <LinksUpToDate>false</LinksUpToDate>
  <CharactersWithSpaces>20832</CharactersWithSpaces>
  <SharedDoc>false</SharedDoc>
  <HLinks>
    <vt:vector size="18" baseType="variant">
      <vt:variant>
        <vt:i4>2424886</vt:i4>
      </vt:variant>
      <vt:variant>
        <vt:i4>3</vt:i4>
      </vt:variant>
      <vt:variant>
        <vt:i4>0</vt:i4>
      </vt:variant>
      <vt:variant>
        <vt:i4>5</vt:i4>
      </vt:variant>
      <vt:variant>
        <vt:lpwstr>http://jco.ascopubs.org/external-ref?access_num=10.1016/j.eururo.2014.02.038&amp;link_type=DOI</vt:lpwstr>
      </vt:variant>
      <vt:variant>
        <vt:lpwstr/>
      </vt:variant>
      <vt:variant>
        <vt:i4>5505026</vt:i4>
      </vt:variant>
      <vt:variant>
        <vt:i4>0</vt:i4>
      </vt:variant>
      <vt:variant>
        <vt:i4>0</vt:i4>
      </vt:variant>
      <vt:variant>
        <vt:i4>5</vt:i4>
      </vt:variant>
      <vt:variant>
        <vt:lpwstr>http://www.cancerbio.net/</vt:lpwstr>
      </vt:variant>
      <vt:variant>
        <vt:lpwstr/>
      </vt:variant>
      <vt:variant>
        <vt:i4>5505026</vt:i4>
      </vt:variant>
      <vt:variant>
        <vt:i4>0</vt:i4>
      </vt:variant>
      <vt:variant>
        <vt:i4>0</vt:i4>
      </vt:variant>
      <vt:variant>
        <vt:i4>5</vt:i4>
      </vt:variant>
      <vt:variant>
        <vt:lpwstr>http://www.cancerbio.net/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incidence of bladder cancer rises with age and affects men three times more often than women</dc:title>
  <dc:creator>CHANGE_ME1</dc:creator>
  <cp:lastModifiedBy>Administrator</cp:lastModifiedBy>
  <cp:revision>4</cp:revision>
  <cp:lastPrinted>2016-01-05T02:26:00Z</cp:lastPrinted>
  <dcterms:created xsi:type="dcterms:W3CDTF">2016-01-05T07:00:00Z</dcterms:created>
  <dcterms:modified xsi:type="dcterms:W3CDTF">2016-01-05T02:31:00Z</dcterms:modified>
</cp:coreProperties>
</file>