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E" w:rsidRPr="00FC43E4" w:rsidRDefault="003D56CE" w:rsidP="00C811AD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proofErr w:type="spellStart"/>
      <w:r w:rsidRPr="00FC43E4">
        <w:rPr>
          <w:b/>
          <w:bCs/>
          <w:sz w:val="20"/>
          <w:szCs w:val="20"/>
          <w:lang w:bidi="ar-EG"/>
        </w:rPr>
        <w:t>Imatinib</w:t>
      </w:r>
      <w:proofErr w:type="spellEnd"/>
      <w:r w:rsidR="00CC6129">
        <w:rPr>
          <w:rFonts w:eastAsiaTheme="minorEastAsia" w:hint="eastAsia"/>
          <w:b/>
          <w:bCs/>
          <w:sz w:val="20"/>
          <w:szCs w:val="20"/>
          <w:lang w:eastAsia="zh-CN" w:bidi="ar-EG"/>
        </w:rPr>
        <w:t xml:space="preserve"> </w:t>
      </w:r>
      <w:proofErr w:type="spellStart"/>
      <w:r w:rsidRPr="00FC43E4">
        <w:rPr>
          <w:b/>
          <w:bCs/>
          <w:sz w:val="20"/>
          <w:szCs w:val="20"/>
          <w:lang w:bidi="ar-EG"/>
        </w:rPr>
        <w:t>Mesylate</w:t>
      </w:r>
      <w:proofErr w:type="spellEnd"/>
      <w:r w:rsidRPr="00FC43E4">
        <w:rPr>
          <w:b/>
          <w:bCs/>
          <w:sz w:val="20"/>
          <w:szCs w:val="20"/>
          <w:lang w:bidi="ar-EG"/>
        </w:rPr>
        <w:t xml:space="preserve"> Effectiveness in Chronic Myeloid Leukemia</w:t>
      </w:r>
      <w:r w:rsidR="006720FE" w:rsidRPr="00FC43E4">
        <w:rPr>
          <w:b/>
          <w:bCs/>
          <w:sz w:val="20"/>
          <w:szCs w:val="20"/>
          <w:lang w:bidi="ar-EG"/>
        </w:rPr>
        <w:t xml:space="preserve"> </w:t>
      </w:r>
      <w:r w:rsidR="00EA43A8" w:rsidRPr="00FC43E4">
        <w:rPr>
          <w:b/>
          <w:bCs/>
          <w:sz w:val="20"/>
          <w:szCs w:val="20"/>
          <w:lang w:bidi="ar-EG"/>
        </w:rPr>
        <w:t>patients</w:t>
      </w:r>
      <w:r w:rsidR="006720FE" w:rsidRPr="00FC43E4">
        <w:rPr>
          <w:b/>
          <w:bCs/>
          <w:sz w:val="20"/>
          <w:szCs w:val="20"/>
          <w:lang w:bidi="ar-EG"/>
        </w:rPr>
        <w:t xml:space="preserve"> </w:t>
      </w:r>
      <w:r w:rsidRPr="00FC43E4">
        <w:rPr>
          <w:b/>
          <w:bCs/>
          <w:sz w:val="20"/>
          <w:szCs w:val="20"/>
        </w:rPr>
        <w:t>in Upper Egypt</w:t>
      </w:r>
    </w:p>
    <w:p w:rsidR="003D56CE" w:rsidRPr="00FC43E4" w:rsidRDefault="003D56CE" w:rsidP="00C811AD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3D56CE" w:rsidRPr="00FC43E4" w:rsidRDefault="003D56CE" w:rsidP="00C811AD">
      <w:pPr>
        <w:bidi w:val="0"/>
        <w:snapToGrid w:val="0"/>
        <w:jc w:val="center"/>
        <w:rPr>
          <w:rFonts w:eastAsiaTheme="minorEastAsia"/>
          <w:sz w:val="20"/>
          <w:szCs w:val="20"/>
          <w:lang w:eastAsia="zh-CN" w:bidi="ar-EG"/>
        </w:rPr>
      </w:pPr>
      <w:proofErr w:type="spellStart"/>
      <w:r w:rsidRPr="00FC43E4">
        <w:rPr>
          <w:sz w:val="20"/>
          <w:szCs w:val="20"/>
          <w:lang w:bidi="ar-EG"/>
        </w:rPr>
        <w:t>Mervat</w:t>
      </w:r>
      <w:proofErr w:type="spellEnd"/>
      <w:r w:rsidRPr="00FC43E4">
        <w:rPr>
          <w:sz w:val="20"/>
          <w:szCs w:val="20"/>
          <w:lang w:bidi="ar-EG"/>
        </w:rPr>
        <w:t xml:space="preserve"> M</w:t>
      </w:r>
      <w:r w:rsidR="00E71712" w:rsidRPr="00FC43E4">
        <w:rPr>
          <w:sz w:val="20"/>
          <w:szCs w:val="20"/>
          <w:lang w:bidi="ar-EG"/>
        </w:rPr>
        <w:t>.</w:t>
      </w:r>
      <w:r w:rsidRPr="00FC43E4">
        <w:rPr>
          <w:sz w:val="20"/>
          <w:szCs w:val="20"/>
          <w:lang w:bidi="ar-EG"/>
        </w:rPr>
        <w:t xml:space="preserve"> Omar</w:t>
      </w:r>
    </w:p>
    <w:p w:rsidR="00C811AD" w:rsidRPr="00FC43E4" w:rsidRDefault="00C811AD" w:rsidP="00C811AD">
      <w:pPr>
        <w:bidi w:val="0"/>
        <w:snapToGrid w:val="0"/>
        <w:jc w:val="center"/>
        <w:rPr>
          <w:rFonts w:eastAsiaTheme="minorEastAsia"/>
          <w:sz w:val="20"/>
          <w:szCs w:val="20"/>
          <w:lang w:eastAsia="zh-CN" w:bidi="ar-EG"/>
        </w:rPr>
      </w:pPr>
    </w:p>
    <w:p w:rsidR="003D56CE" w:rsidRPr="00FC43E4" w:rsidRDefault="003D56CE" w:rsidP="00C811AD">
      <w:pPr>
        <w:bidi w:val="0"/>
        <w:snapToGrid w:val="0"/>
        <w:jc w:val="center"/>
        <w:rPr>
          <w:sz w:val="20"/>
          <w:szCs w:val="20"/>
        </w:rPr>
      </w:pPr>
      <w:r w:rsidRPr="00FC43E4">
        <w:rPr>
          <w:sz w:val="20"/>
          <w:szCs w:val="20"/>
          <w:lang w:bidi="ar-EG"/>
        </w:rPr>
        <w:t xml:space="preserve">Department of Oncology, </w:t>
      </w:r>
      <w:proofErr w:type="spellStart"/>
      <w:r w:rsidRPr="00FC43E4">
        <w:rPr>
          <w:sz w:val="20"/>
          <w:szCs w:val="20"/>
          <w:lang w:bidi="ar-EG"/>
        </w:rPr>
        <w:t>A</w:t>
      </w:r>
      <w:r w:rsidR="00850AC9" w:rsidRPr="00FC43E4">
        <w:rPr>
          <w:sz w:val="20"/>
          <w:szCs w:val="20"/>
          <w:lang w:bidi="ar-EG"/>
        </w:rPr>
        <w:t>ssui</w:t>
      </w:r>
      <w:r w:rsidRPr="00FC43E4">
        <w:rPr>
          <w:sz w:val="20"/>
          <w:szCs w:val="20"/>
          <w:lang w:bidi="ar-EG"/>
        </w:rPr>
        <w:t>t</w:t>
      </w:r>
      <w:proofErr w:type="spellEnd"/>
      <w:r w:rsidRPr="00FC43E4">
        <w:rPr>
          <w:sz w:val="20"/>
          <w:szCs w:val="20"/>
          <w:lang w:bidi="ar-EG"/>
        </w:rPr>
        <w:t xml:space="preserve"> University Hospital</w:t>
      </w:r>
      <w:r w:rsidR="0079320F" w:rsidRPr="00FC43E4">
        <w:rPr>
          <w:sz w:val="20"/>
          <w:szCs w:val="20"/>
          <w:lang w:bidi="ar-EG"/>
        </w:rPr>
        <w:t xml:space="preserve">, </w:t>
      </w:r>
      <w:proofErr w:type="spellStart"/>
      <w:r w:rsidR="0079320F" w:rsidRPr="00FC43E4">
        <w:rPr>
          <w:sz w:val="20"/>
          <w:szCs w:val="20"/>
          <w:lang w:bidi="ar-EG"/>
        </w:rPr>
        <w:t>A</w:t>
      </w:r>
      <w:r w:rsidR="00850AC9" w:rsidRPr="00FC43E4">
        <w:rPr>
          <w:sz w:val="20"/>
          <w:szCs w:val="20"/>
          <w:lang w:bidi="ar-EG"/>
        </w:rPr>
        <w:t>ssui</w:t>
      </w:r>
      <w:r w:rsidR="0079320F" w:rsidRPr="00FC43E4">
        <w:rPr>
          <w:sz w:val="20"/>
          <w:szCs w:val="20"/>
          <w:lang w:bidi="ar-EG"/>
        </w:rPr>
        <w:t>t</w:t>
      </w:r>
      <w:proofErr w:type="spellEnd"/>
      <w:r w:rsidR="0079320F" w:rsidRPr="00FC43E4">
        <w:rPr>
          <w:sz w:val="20"/>
          <w:szCs w:val="20"/>
          <w:lang w:bidi="ar-EG"/>
        </w:rPr>
        <w:t>, Egypt</w:t>
      </w:r>
    </w:p>
    <w:p w:rsidR="0079320F" w:rsidRPr="00FC43E4" w:rsidRDefault="00DC5C46" w:rsidP="00C811AD">
      <w:pPr>
        <w:tabs>
          <w:tab w:val="left" w:pos="5351"/>
          <w:tab w:val="right" w:pos="8306"/>
        </w:tabs>
        <w:bidi w:val="0"/>
        <w:snapToGrid w:val="0"/>
        <w:jc w:val="center"/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</w:pPr>
      <w:hyperlink r:id="rId8" w:tgtFrame="_blank" w:history="1">
        <w:r w:rsidR="0079320F" w:rsidRPr="00FC43E4">
          <w:rPr>
            <w:color w:val="338FE9"/>
            <w:sz w:val="20"/>
            <w:szCs w:val="20"/>
            <w:u w:val="single"/>
            <w:shd w:val="clear" w:color="auto" w:fill="FFFFFF"/>
          </w:rPr>
          <w:t>drmervatomar@yahoo.com</w:t>
        </w:r>
      </w:hyperlink>
    </w:p>
    <w:p w:rsidR="0079320F" w:rsidRPr="00FC43E4" w:rsidRDefault="0079320F" w:rsidP="00C811AD">
      <w:pPr>
        <w:tabs>
          <w:tab w:val="left" w:pos="5351"/>
          <w:tab w:val="right" w:pos="8306"/>
        </w:tabs>
        <w:bidi w:val="0"/>
        <w:snapToGrid w:val="0"/>
        <w:jc w:val="center"/>
        <w:rPr>
          <w:b/>
          <w:bCs/>
          <w:sz w:val="20"/>
          <w:szCs w:val="20"/>
        </w:rPr>
      </w:pPr>
    </w:p>
    <w:p w:rsidR="003D56CE" w:rsidRPr="00FC43E4" w:rsidRDefault="003D56CE" w:rsidP="00FC43E4">
      <w:pPr>
        <w:tabs>
          <w:tab w:val="left" w:pos="5351"/>
          <w:tab w:val="right" w:pos="8306"/>
        </w:tabs>
        <w:bidi w:val="0"/>
        <w:snapToGrid w:val="0"/>
        <w:jc w:val="both"/>
        <w:rPr>
          <w:color w:val="000000" w:themeColor="text1"/>
          <w:sz w:val="20"/>
          <w:szCs w:val="20"/>
        </w:rPr>
      </w:pPr>
      <w:r w:rsidRPr="00FC43E4">
        <w:rPr>
          <w:b/>
          <w:bCs/>
          <w:color w:val="000000" w:themeColor="text1"/>
          <w:sz w:val="20"/>
          <w:szCs w:val="20"/>
          <w:lang w:bidi="ar-EG"/>
        </w:rPr>
        <w:t>Abstrac</w:t>
      </w:r>
      <w:r w:rsidR="0079320F" w:rsidRPr="00FC43E4">
        <w:rPr>
          <w:b/>
          <w:bCs/>
          <w:color w:val="000000" w:themeColor="text1"/>
          <w:sz w:val="20"/>
          <w:szCs w:val="20"/>
          <w:lang w:bidi="ar-EG"/>
        </w:rPr>
        <w:t>t:</w:t>
      </w:r>
      <w:r w:rsidR="006720FE" w:rsidRPr="00FC43E4">
        <w:rPr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FC43E4">
        <w:rPr>
          <w:b/>
          <w:bCs/>
          <w:color w:val="000000" w:themeColor="text1"/>
          <w:sz w:val="20"/>
          <w:szCs w:val="20"/>
        </w:rPr>
        <w:t>Background and objectives:</w:t>
      </w:r>
      <w:r w:rsidRPr="00FC43E4">
        <w:rPr>
          <w:color w:val="000000" w:themeColor="text1"/>
          <w:sz w:val="20"/>
          <w:szCs w:val="20"/>
        </w:rPr>
        <w:t xml:space="preserve"> Chronic myeloid leukemia (CML) is a relatively indolent hematologic malignancy that carries poor prognosis if left untreated; </w:t>
      </w:r>
      <w:proofErr w:type="spellStart"/>
      <w:r w:rsidRPr="00FC43E4">
        <w:rPr>
          <w:color w:val="000000" w:themeColor="text1"/>
          <w:sz w:val="20"/>
          <w:szCs w:val="20"/>
        </w:rPr>
        <w:t>imatinib</w:t>
      </w:r>
      <w:proofErr w:type="spellEnd"/>
      <w:r w:rsidRPr="00FC43E4">
        <w:rPr>
          <w:color w:val="000000" w:themeColor="text1"/>
          <w:sz w:val="20"/>
          <w:szCs w:val="20"/>
        </w:rPr>
        <w:t xml:space="preserve"> (IM) and other tyros</w:t>
      </w:r>
      <w:r w:rsidR="00E71712" w:rsidRPr="00FC43E4">
        <w:rPr>
          <w:color w:val="000000" w:themeColor="text1"/>
          <w:sz w:val="20"/>
          <w:szCs w:val="20"/>
        </w:rPr>
        <w:t xml:space="preserve">ine </w:t>
      </w:r>
      <w:proofErr w:type="spellStart"/>
      <w:r w:rsidR="00E71712" w:rsidRPr="00FC43E4">
        <w:rPr>
          <w:color w:val="000000" w:themeColor="text1"/>
          <w:sz w:val="20"/>
          <w:szCs w:val="20"/>
        </w:rPr>
        <w:t>kinase</w:t>
      </w:r>
      <w:proofErr w:type="spellEnd"/>
      <w:r w:rsidR="00E71712" w:rsidRPr="00FC43E4">
        <w:rPr>
          <w:color w:val="000000" w:themeColor="text1"/>
          <w:sz w:val="20"/>
          <w:szCs w:val="20"/>
        </w:rPr>
        <w:t xml:space="preserve"> inhibitors (TKIs) have</w:t>
      </w:r>
      <w:r w:rsidRPr="00FC43E4">
        <w:rPr>
          <w:color w:val="000000" w:themeColor="text1"/>
          <w:sz w:val="20"/>
          <w:szCs w:val="20"/>
        </w:rPr>
        <w:t xml:space="preserve"> radically improved the outcome of patients with CML.</w:t>
      </w:r>
      <w:r w:rsidR="00FC43E4" w:rsidRPr="00FC43E4">
        <w:rPr>
          <w:color w:val="000000" w:themeColor="text1"/>
          <w:sz w:val="20"/>
          <w:szCs w:val="20"/>
        </w:rPr>
        <w:t xml:space="preserve"> </w:t>
      </w:r>
      <w:r w:rsidRPr="00FC43E4">
        <w:rPr>
          <w:color w:val="000000" w:themeColor="text1"/>
          <w:sz w:val="20"/>
          <w:szCs w:val="20"/>
        </w:rPr>
        <w:t>The aim</w:t>
      </w:r>
      <w:r w:rsidR="00E71712" w:rsidRPr="00FC43E4">
        <w:rPr>
          <w:color w:val="000000" w:themeColor="text1"/>
          <w:sz w:val="20"/>
          <w:szCs w:val="20"/>
        </w:rPr>
        <w:t xml:space="preserve"> of the study</w:t>
      </w:r>
      <w:r w:rsidRPr="00FC43E4">
        <w:rPr>
          <w:color w:val="000000" w:themeColor="text1"/>
          <w:sz w:val="20"/>
          <w:szCs w:val="20"/>
        </w:rPr>
        <w:t xml:space="preserve"> was to evaluate the response of </w:t>
      </w:r>
      <w:proofErr w:type="spellStart"/>
      <w:r w:rsidRPr="00FC43E4">
        <w:rPr>
          <w:color w:val="000000" w:themeColor="text1"/>
          <w:sz w:val="20"/>
          <w:szCs w:val="20"/>
        </w:rPr>
        <w:t>imatinibmesylate</w:t>
      </w:r>
      <w:proofErr w:type="spellEnd"/>
      <w:r w:rsidRPr="00FC43E4">
        <w:rPr>
          <w:color w:val="000000" w:themeColor="text1"/>
          <w:sz w:val="20"/>
          <w:szCs w:val="20"/>
        </w:rPr>
        <w:t xml:space="preserve"> in CML and to observe the significance of </w:t>
      </w:r>
      <w:proofErr w:type="spellStart"/>
      <w:r w:rsidRPr="00FC43E4">
        <w:rPr>
          <w:color w:val="000000" w:themeColor="text1"/>
          <w:sz w:val="20"/>
          <w:szCs w:val="20"/>
        </w:rPr>
        <w:t>Sokal</w:t>
      </w:r>
      <w:proofErr w:type="spellEnd"/>
      <w:r w:rsidRPr="00FC43E4">
        <w:rPr>
          <w:color w:val="000000" w:themeColor="text1"/>
          <w:sz w:val="20"/>
          <w:szCs w:val="20"/>
        </w:rPr>
        <w:t xml:space="preserve"> score and various factors which predict the response.</w:t>
      </w:r>
      <w:r w:rsidR="006720FE" w:rsidRPr="00FC43E4">
        <w:rPr>
          <w:color w:val="000000" w:themeColor="text1"/>
          <w:sz w:val="20"/>
          <w:szCs w:val="20"/>
        </w:rPr>
        <w:t xml:space="preserve"> </w:t>
      </w:r>
      <w:r w:rsidRPr="00FC43E4">
        <w:rPr>
          <w:b/>
          <w:bCs/>
          <w:color w:val="000000" w:themeColor="text1"/>
          <w:sz w:val="20"/>
          <w:szCs w:val="20"/>
        </w:rPr>
        <w:t>Patients and methods:</w:t>
      </w:r>
      <w:r w:rsidR="006720FE" w:rsidRPr="00FC43E4">
        <w:rPr>
          <w:b/>
          <w:bCs/>
          <w:color w:val="000000" w:themeColor="text1"/>
          <w:sz w:val="20"/>
          <w:szCs w:val="20"/>
        </w:rPr>
        <w:t xml:space="preserve"> </w:t>
      </w:r>
      <w:r w:rsidR="0079320F" w:rsidRPr="00FC43E4">
        <w:rPr>
          <w:color w:val="000000" w:themeColor="text1"/>
          <w:sz w:val="20"/>
          <w:szCs w:val="20"/>
        </w:rPr>
        <w:t>A</w:t>
      </w:r>
      <w:r w:rsidRPr="00FC43E4">
        <w:rPr>
          <w:color w:val="000000" w:themeColor="text1"/>
          <w:sz w:val="20"/>
          <w:szCs w:val="20"/>
        </w:rPr>
        <w:t xml:space="preserve"> prospective study carried out in the department of clinical oncology of </w:t>
      </w:r>
      <w:proofErr w:type="spellStart"/>
      <w:r w:rsidRPr="00FC43E4">
        <w:rPr>
          <w:color w:val="000000" w:themeColor="text1"/>
          <w:sz w:val="20"/>
          <w:szCs w:val="20"/>
        </w:rPr>
        <w:t>Assuit</w:t>
      </w:r>
      <w:proofErr w:type="spellEnd"/>
      <w:r w:rsidRPr="00FC43E4">
        <w:rPr>
          <w:color w:val="000000" w:themeColor="text1"/>
          <w:sz w:val="20"/>
          <w:szCs w:val="20"/>
        </w:rPr>
        <w:t xml:space="preserve"> University Hospital; Twenty-three CML patients positive for </w:t>
      </w:r>
      <w:proofErr w:type="spellStart"/>
      <w:r w:rsidRPr="00FC43E4">
        <w:rPr>
          <w:color w:val="000000" w:themeColor="text1"/>
          <w:sz w:val="20"/>
          <w:szCs w:val="20"/>
        </w:rPr>
        <w:t>bcr-abl</w:t>
      </w:r>
      <w:proofErr w:type="spellEnd"/>
      <w:r w:rsidRPr="00FC43E4">
        <w:rPr>
          <w:color w:val="000000" w:themeColor="text1"/>
          <w:sz w:val="20"/>
          <w:szCs w:val="20"/>
        </w:rPr>
        <w:t xml:space="preserve"> were treated with </w:t>
      </w:r>
      <w:proofErr w:type="spellStart"/>
      <w:r w:rsidRPr="00FC43E4">
        <w:rPr>
          <w:color w:val="000000" w:themeColor="text1"/>
          <w:sz w:val="20"/>
          <w:szCs w:val="20"/>
        </w:rPr>
        <w:t>Imatinib</w:t>
      </w:r>
      <w:proofErr w:type="spellEnd"/>
      <w:r w:rsidR="00FC43E4" w:rsidRPr="00FC43E4">
        <w:rPr>
          <w:rFonts w:eastAsiaTheme="minorEastAsia" w:hint="eastAsia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FC43E4">
        <w:rPr>
          <w:color w:val="000000" w:themeColor="text1"/>
          <w:sz w:val="20"/>
          <w:szCs w:val="20"/>
        </w:rPr>
        <w:t>Mesylate</w:t>
      </w:r>
      <w:proofErr w:type="spellEnd"/>
      <w:r w:rsidRPr="00FC43E4">
        <w:rPr>
          <w:color w:val="000000" w:themeColor="text1"/>
          <w:sz w:val="20"/>
          <w:szCs w:val="20"/>
        </w:rPr>
        <w:t xml:space="preserve"> from (May 2010 to May 2012), at the end of study Hematologic and cytogenetic response was analyzed according to various factors which predict the response and </w:t>
      </w:r>
      <w:proofErr w:type="spellStart"/>
      <w:r w:rsidRPr="00FC43E4">
        <w:rPr>
          <w:color w:val="000000" w:themeColor="text1"/>
          <w:sz w:val="20"/>
          <w:szCs w:val="20"/>
        </w:rPr>
        <w:t>Sokal</w:t>
      </w:r>
      <w:r w:rsidR="0079320F" w:rsidRPr="00FC43E4">
        <w:rPr>
          <w:color w:val="000000" w:themeColor="text1"/>
          <w:sz w:val="20"/>
          <w:szCs w:val="20"/>
        </w:rPr>
        <w:t>score</w:t>
      </w:r>
      <w:proofErr w:type="spellEnd"/>
      <w:r w:rsidR="0079320F" w:rsidRPr="00FC43E4">
        <w:rPr>
          <w:color w:val="000000" w:themeColor="text1"/>
          <w:sz w:val="20"/>
          <w:szCs w:val="20"/>
        </w:rPr>
        <w:t>, the</w:t>
      </w:r>
      <w:r w:rsidRPr="00FC43E4">
        <w:rPr>
          <w:color w:val="000000" w:themeColor="text1"/>
          <w:sz w:val="20"/>
          <w:szCs w:val="20"/>
        </w:rPr>
        <w:t xml:space="preserve"> median follow-up of the patients was two years.</w:t>
      </w:r>
      <w:r w:rsidR="00FC43E4">
        <w:rPr>
          <w:rFonts w:eastAsia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Pr="00FC43E4">
        <w:rPr>
          <w:b/>
          <w:bCs/>
          <w:color w:val="000000" w:themeColor="text1"/>
          <w:sz w:val="20"/>
          <w:szCs w:val="20"/>
        </w:rPr>
        <w:t>Results:</w:t>
      </w:r>
      <w:r w:rsidRPr="00FC43E4">
        <w:rPr>
          <w:color w:val="000000" w:themeColor="text1"/>
          <w:sz w:val="20"/>
          <w:szCs w:val="20"/>
        </w:rPr>
        <w:t xml:space="preserve"> mean age was 49year range in age from (22-76) year. Among them 14 male</w:t>
      </w:r>
      <w:r w:rsidR="00BD43C5" w:rsidRPr="00FC43E4">
        <w:rPr>
          <w:color w:val="000000" w:themeColor="text1"/>
          <w:sz w:val="20"/>
          <w:szCs w:val="20"/>
        </w:rPr>
        <w:t>s</w:t>
      </w:r>
      <w:r w:rsidRPr="00FC43E4">
        <w:rPr>
          <w:color w:val="000000" w:themeColor="text1"/>
          <w:sz w:val="20"/>
          <w:szCs w:val="20"/>
        </w:rPr>
        <w:t xml:space="preserve"> and 9 female</w:t>
      </w:r>
      <w:r w:rsidR="00BD43C5" w:rsidRPr="00FC43E4">
        <w:rPr>
          <w:color w:val="000000" w:themeColor="text1"/>
          <w:sz w:val="20"/>
          <w:szCs w:val="20"/>
        </w:rPr>
        <w:t>s</w:t>
      </w:r>
      <w:r w:rsidRPr="00FC43E4">
        <w:rPr>
          <w:color w:val="000000" w:themeColor="text1"/>
          <w:sz w:val="20"/>
          <w:szCs w:val="20"/>
        </w:rPr>
        <w:t>, treatment response were assessed in 19 patients, complete hematologic response CHR in (52%) of patients with a significant higher proportion of patients with chronic phase diseases CHR (</w:t>
      </w:r>
      <w:r w:rsidRPr="00FC43E4">
        <w:rPr>
          <w:i/>
          <w:iCs/>
          <w:color w:val="000000" w:themeColor="text1"/>
          <w:sz w:val="20"/>
          <w:szCs w:val="20"/>
        </w:rPr>
        <w:t>P</w:t>
      </w:r>
      <w:r w:rsidRPr="00FC43E4">
        <w:rPr>
          <w:color w:val="000000" w:themeColor="text1"/>
          <w:sz w:val="20"/>
          <w:szCs w:val="20"/>
        </w:rPr>
        <w:t>&lt;0.01*). complete and partial cytogenet</w:t>
      </w:r>
      <w:r w:rsidR="00E71712" w:rsidRPr="00FC43E4">
        <w:rPr>
          <w:color w:val="000000" w:themeColor="text1"/>
          <w:sz w:val="20"/>
          <w:szCs w:val="20"/>
        </w:rPr>
        <w:t>ic response</w:t>
      </w:r>
      <w:r w:rsidRPr="00FC43E4">
        <w:rPr>
          <w:color w:val="000000" w:themeColor="text1"/>
          <w:sz w:val="20"/>
          <w:szCs w:val="20"/>
        </w:rPr>
        <w:t xml:space="preserve"> in (32% and 26% of patients respectively)</w:t>
      </w:r>
      <w:r w:rsidR="00FC43E4">
        <w:rPr>
          <w:rFonts w:eastAsia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Pr="00FC43E4">
        <w:rPr>
          <w:color w:val="000000" w:themeColor="text1"/>
          <w:sz w:val="20"/>
          <w:szCs w:val="20"/>
        </w:rPr>
        <w:t xml:space="preserve">and a significantly higher proportion of patients with chronic phase diseases and intermediate </w:t>
      </w:r>
      <w:proofErr w:type="spellStart"/>
      <w:r w:rsidR="00067ADC" w:rsidRPr="00FC43E4">
        <w:rPr>
          <w:color w:val="000000" w:themeColor="text1"/>
          <w:sz w:val="20"/>
          <w:szCs w:val="20"/>
        </w:rPr>
        <w:t>S</w:t>
      </w:r>
      <w:r w:rsidRPr="00FC43E4">
        <w:rPr>
          <w:color w:val="000000" w:themeColor="text1"/>
          <w:sz w:val="20"/>
          <w:szCs w:val="20"/>
        </w:rPr>
        <w:t>okel</w:t>
      </w:r>
      <w:proofErr w:type="spellEnd"/>
      <w:r w:rsidRPr="00FC43E4">
        <w:rPr>
          <w:color w:val="000000" w:themeColor="text1"/>
          <w:sz w:val="20"/>
          <w:szCs w:val="20"/>
        </w:rPr>
        <w:t xml:space="preserve"> score achieved </w:t>
      </w:r>
      <w:proofErr w:type="spellStart"/>
      <w:r w:rsidRPr="00FC43E4">
        <w:rPr>
          <w:color w:val="000000" w:themeColor="text1"/>
          <w:sz w:val="20"/>
          <w:szCs w:val="20"/>
        </w:rPr>
        <w:t>CyR</w:t>
      </w:r>
      <w:proofErr w:type="spellEnd"/>
      <w:r w:rsidRPr="00FC43E4">
        <w:rPr>
          <w:color w:val="000000" w:themeColor="text1"/>
          <w:sz w:val="20"/>
          <w:szCs w:val="20"/>
        </w:rPr>
        <w:t xml:space="preserve"> (</w:t>
      </w:r>
      <w:r w:rsidRPr="00FC43E4">
        <w:rPr>
          <w:i/>
          <w:iCs/>
          <w:color w:val="000000" w:themeColor="text1"/>
          <w:sz w:val="20"/>
          <w:szCs w:val="20"/>
        </w:rPr>
        <w:t>P</w:t>
      </w:r>
      <w:r w:rsidRPr="00FC43E4">
        <w:rPr>
          <w:color w:val="000000" w:themeColor="text1"/>
          <w:sz w:val="20"/>
          <w:szCs w:val="20"/>
        </w:rPr>
        <w:t>&lt;0.04*)</w:t>
      </w:r>
      <w:r w:rsidR="00067ADC" w:rsidRPr="00FC43E4">
        <w:rPr>
          <w:color w:val="000000" w:themeColor="text1"/>
          <w:sz w:val="20"/>
          <w:szCs w:val="20"/>
        </w:rPr>
        <w:t xml:space="preserve">. </w:t>
      </w:r>
      <w:r w:rsidRPr="00FC43E4">
        <w:rPr>
          <w:b/>
          <w:bCs/>
          <w:color w:val="000000" w:themeColor="text1"/>
          <w:sz w:val="20"/>
          <w:szCs w:val="20"/>
        </w:rPr>
        <w:t>Conclusion:</w:t>
      </w:r>
      <w:r w:rsidR="00FC43E4" w:rsidRPr="00FC43E4">
        <w:rPr>
          <w:rFonts w:eastAsia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FC43E4">
        <w:rPr>
          <w:color w:val="000000" w:themeColor="text1"/>
          <w:sz w:val="20"/>
          <w:szCs w:val="20"/>
        </w:rPr>
        <w:t>Imatinibmesylate</w:t>
      </w:r>
      <w:proofErr w:type="spellEnd"/>
      <w:r w:rsidRPr="00FC43E4">
        <w:rPr>
          <w:color w:val="000000" w:themeColor="text1"/>
          <w:sz w:val="20"/>
          <w:szCs w:val="20"/>
        </w:rPr>
        <w:t xml:space="preserve"> has substantial activity in CML</w:t>
      </w:r>
      <w:r w:rsidR="00865707" w:rsidRPr="00FC43E4">
        <w:rPr>
          <w:color w:val="000000" w:themeColor="text1"/>
          <w:sz w:val="20"/>
          <w:szCs w:val="20"/>
        </w:rPr>
        <w:t>,</w:t>
      </w:r>
      <w:r w:rsidRPr="00FC43E4">
        <w:rPr>
          <w:color w:val="000000" w:themeColor="text1"/>
          <w:sz w:val="20"/>
          <w:szCs w:val="20"/>
        </w:rPr>
        <w:t xml:space="preserve"> and a Lower </w:t>
      </w:r>
      <w:proofErr w:type="spellStart"/>
      <w:r w:rsidRPr="00FC43E4">
        <w:rPr>
          <w:color w:val="000000" w:themeColor="text1"/>
          <w:sz w:val="20"/>
          <w:szCs w:val="20"/>
        </w:rPr>
        <w:t>Sokal</w:t>
      </w:r>
      <w:proofErr w:type="spellEnd"/>
      <w:r w:rsidRPr="00FC43E4">
        <w:rPr>
          <w:color w:val="000000" w:themeColor="text1"/>
          <w:sz w:val="20"/>
          <w:szCs w:val="20"/>
        </w:rPr>
        <w:t xml:space="preserve"> score at time of presentation predict the higher cytogenetic response in patients with chronic phase CML.</w:t>
      </w:r>
    </w:p>
    <w:p w:rsidR="00C811AD" w:rsidRPr="00FC43E4" w:rsidRDefault="00A15A2E" w:rsidP="00C811AD">
      <w:pPr>
        <w:pStyle w:val="NoSpacing"/>
        <w:bidi w:val="0"/>
        <w:snapToGrid w:val="0"/>
        <w:jc w:val="both"/>
        <w:rPr>
          <w:color w:val="000000"/>
          <w:sz w:val="20"/>
          <w:szCs w:val="20"/>
          <w:shd w:val="clear" w:color="auto" w:fill="FFFFFF"/>
        </w:rPr>
      </w:pPr>
      <w:r w:rsidRPr="00FC43E4">
        <w:rPr>
          <w:color w:val="000000" w:themeColor="text1"/>
          <w:sz w:val="20"/>
          <w:szCs w:val="20"/>
        </w:rPr>
        <w:t>[</w:t>
      </w:r>
      <w:proofErr w:type="spellStart"/>
      <w:r w:rsidRPr="00FC43E4">
        <w:rPr>
          <w:color w:val="000000" w:themeColor="text1"/>
          <w:sz w:val="20"/>
          <w:szCs w:val="20"/>
          <w:lang w:bidi="ar-EG"/>
        </w:rPr>
        <w:t>Mervat</w:t>
      </w:r>
      <w:proofErr w:type="spellEnd"/>
      <w:r w:rsidRPr="00FC43E4">
        <w:rPr>
          <w:color w:val="000000" w:themeColor="text1"/>
          <w:sz w:val="20"/>
          <w:szCs w:val="20"/>
          <w:lang w:bidi="ar-EG"/>
        </w:rPr>
        <w:t xml:space="preserve"> M. Omar</w:t>
      </w:r>
      <w:r w:rsidR="00C811AD" w:rsidRPr="00FC43E4">
        <w:rPr>
          <w:rFonts w:eastAsiaTheme="minorEastAsia" w:hint="eastAsia"/>
          <w:color w:val="000000" w:themeColor="text1"/>
          <w:sz w:val="20"/>
          <w:szCs w:val="20"/>
          <w:lang w:eastAsia="zh-CN" w:bidi="ar-EG"/>
        </w:rPr>
        <w:t xml:space="preserve">. </w:t>
      </w:r>
      <w:proofErr w:type="spellStart"/>
      <w:proofErr w:type="gramStart"/>
      <w:r w:rsidRPr="00FC43E4">
        <w:rPr>
          <w:b/>
          <w:bCs/>
          <w:color w:val="000000" w:themeColor="text1"/>
          <w:sz w:val="20"/>
          <w:szCs w:val="20"/>
          <w:lang w:bidi="ar-EG"/>
        </w:rPr>
        <w:t>Imatinib</w:t>
      </w:r>
      <w:proofErr w:type="spellEnd"/>
      <w:r w:rsidR="00FC43E4" w:rsidRPr="00FC43E4">
        <w:rPr>
          <w:rFonts w:eastAsiaTheme="minorEastAsia" w:hint="eastAsia"/>
          <w:b/>
          <w:bCs/>
          <w:color w:val="000000" w:themeColor="text1"/>
          <w:sz w:val="20"/>
          <w:szCs w:val="20"/>
          <w:lang w:eastAsia="zh-CN" w:bidi="ar-EG"/>
        </w:rPr>
        <w:t xml:space="preserve"> </w:t>
      </w:r>
      <w:proofErr w:type="spellStart"/>
      <w:r w:rsidRPr="00FC43E4">
        <w:rPr>
          <w:b/>
          <w:bCs/>
          <w:color w:val="000000" w:themeColor="text1"/>
          <w:sz w:val="20"/>
          <w:szCs w:val="20"/>
          <w:lang w:bidi="ar-EG"/>
        </w:rPr>
        <w:t>Mesylate</w:t>
      </w:r>
      <w:proofErr w:type="spellEnd"/>
      <w:r w:rsidRPr="00FC43E4">
        <w:rPr>
          <w:b/>
          <w:bCs/>
          <w:color w:val="000000" w:themeColor="text1"/>
          <w:sz w:val="20"/>
          <w:szCs w:val="20"/>
          <w:lang w:bidi="ar-EG"/>
        </w:rPr>
        <w:t xml:space="preserve"> Effectiveness in Chronic Myeloid Leukemia </w:t>
      </w:r>
      <w:r w:rsidRPr="00FC43E4">
        <w:rPr>
          <w:b/>
          <w:bCs/>
          <w:color w:val="000000" w:themeColor="text1"/>
          <w:sz w:val="20"/>
          <w:szCs w:val="20"/>
        </w:rPr>
        <w:t>in Upper Egypt</w:t>
      </w:r>
      <w:r w:rsidR="00C811AD" w:rsidRPr="00FC43E4">
        <w:rPr>
          <w:b/>
          <w:bCs/>
          <w:color w:val="000000" w:themeColor="text1"/>
          <w:sz w:val="20"/>
          <w:szCs w:val="20"/>
          <w:lang w:bidi="fa-IR"/>
        </w:rPr>
        <w:t>.</w:t>
      </w:r>
      <w:proofErr w:type="gramEnd"/>
      <w:r w:rsidR="00C811AD" w:rsidRPr="00FC43E4">
        <w:rPr>
          <w:i/>
          <w:color w:val="000000" w:themeColor="text1"/>
          <w:sz w:val="20"/>
          <w:szCs w:val="20"/>
        </w:rPr>
        <w:t xml:space="preserve"> Cancer Biology</w:t>
      </w:r>
      <w:r w:rsidR="00C811AD" w:rsidRPr="00FC43E4">
        <w:rPr>
          <w:color w:val="000000" w:themeColor="text1"/>
          <w:sz w:val="20"/>
          <w:szCs w:val="20"/>
        </w:rPr>
        <w:t xml:space="preserve"> 201</w:t>
      </w:r>
      <w:r w:rsidR="00C811AD" w:rsidRPr="00FC43E4">
        <w:rPr>
          <w:rFonts w:hint="eastAsia"/>
          <w:color w:val="000000" w:themeColor="text1"/>
          <w:sz w:val="20"/>
          <w:szCs w:val="20"/>
        </w:rPr>
        <w:t>6</w:t>
      </w:r>
      <w:proofErr w:type="gramStart"/>
      <w:r w:rsidR="00C811AD" w:rsidRPr="00FC43E4">
        <w:rPr>
          <w:color w:val="000000" w:themeColor="text1"/>
          <w:sz w:val="20"/>
          <w:szCs w:val="20"/>
        </w:rPr>
        <w:t>;</w:t>
      </w:r>
      <w:r w:rsidR="00C811AD" w:rsidRPr="00FC43E4">
        <w:rPr>
          <w:rFonts w:hint="eastAsia"/>
          <w:color w:val="000000" w:themeColor="text1"/>
          <w:sz w:val="20"/>
          <w:szCs w:val="20"/>
        </w:rPr>
        <w:t>6</w:t>
      </w:r>
      <w:proofErr w:type="gramEnd"/>
      <w:r w:rsidR="00C811AD" w:rsidRPr="00FC43E4">
        <w:rPr>
          <w:color w:val="000000" w:themeColor="text1"/>
          <w:sz w:val="20"/>
          <w:szCs w:val="20"/>
        </w:rPr>
        <w:t>(</w:t>
      </w:r>
      <w:r w:rsidR="00C811AD" w:rsidRPr="00FC43E4">
        <w:rPr>
          <w:rFonts w:hint="eastAsia"/>
          <w:color w:val="000000" w:themeColor="text1"/>
          <w:sz w:val="20"/>
          <w:szCs w:val="20"/>
        </w:rPr>
        <w:t>1</w:t>
      </w:r>
      <w:r w:rsidR="00C811AD" w:rsidRPr="00FC43E4">
        <w:rPr>
          <w:color w:val="000000" w:themeColor="text1"/>
          <w:sz w:val="20"/>
          <w:szCs w:val="20"/>
        </w:rPr>
        <w:t>):</w:t>
      </w:r>
      <w:r w:rsidR="00214ABF" w:rsidRPr="00FC43E4">
        <w:rPr>
          <w:noProof/>
          <w:color w:val="000000" w:themeColor="text1"/>
          <w:sz w:val="20"/>
          <w:szCs w:val="20"/>
        </w:rPr>
        <w:t>15</w:t>
      </w:r>
      <w:r w:rsidR="00C811AD" w:rsidRPr="00FC43E4">
        <w:rPr>
          <w:color w:val="000000" w:themeColor="text1"/>
          <w:sz w:val="20"/>
          <w:szCs w:val="20"/>
        </w:rPr>
        <w:t>-</w:t>
      </w:r>
      <w:r w:rsidR="00214ABF" w:rsidRPr="00FC43E4">
        <w:rPr>
          <w:noProof/>
          <w:color w:val="000000" w:themeColor="text1"/>
          <w:sz w:val="20"/>
          <w:szCs w:val="20"/>
        </w:rPr>
        <w:t>19</w:t>
      </w:r>
      <w:r w:rsidR="00C811AD" w:rsidRPr="00FC43E4">
        <w:rPr>
          <w:color w:val="000000" w:themeColor="text1"/>
          <w:sz w:val="20"/>
          <w:szCs w:val="20"/>
        </w:rPr>
        <w:t xml:space="preserve">]. </w:t>
      </w:r>
      <w:r w:rsidR="00C811AD" w:rsidRPr="00FC43E4">
        <w:rPr>
          <w:rStyle w:val="msonormal0"/>
          <w:rFonts w:eastAsia="宋"/>
          <w:color w:val="000000" w:themeColor="text1"/>
          <w:sz w:val="20"/>
          <w:szCs w:val="20"/>
        </w:rPr>
        <w:t>ISSN: 2150-1041 (print); ISSN: 2150-105X (online)</w:t>
      </w:r>
      <w:r w:rsidR="00C811AD" w:rsidRPr="00FC43E4">
        <w:rPr>
          <w:color w:val="000000" w:themeColor="text1"/>
          <w:sz w:val="20"/>
          <w:szCs w:val="20"/>
        </w:rPr>
        <w:t xml:space="preserve">. </w:t>
      </w:r>
      <w:hyperlink r:id="rId9" w:history="1">
        <w:r w:rsidR="00C811AD" w:rsidRPr="00FC43E4">
          <w:rPr>
            <w:rStyle w:val="Hyperlink"/>
            <w:sz w:val="20"/>
            <w:szCs w:val="20"/>
          </w:rPr>
          <w:t>http://www.cancerbio.net</w:t>
        </w:r>
      </w:hyperlink>
      <w:r w:rsidR="00C811AD" w:rsidRPr="00FC43E4">
        <w:rPr>
          <w:sz w:val="20"/>
          <w:szCs w:val="20"/>
        </w:rPr>
        <w:t>.</w:t>
      </w:r>
      <w:r w:rsidR="00C811AD" w:rsidRPr="00FC43E4">
        <w:rPr>
          <w:rFonts w:hint="eastAsia"/>
          <w:sz w:val="20"/>
          <w:szCs w:val="20"/>
        </w:rPr>
        <w:t xml:space="preserve"> </w:t>
      </w:r>
      <w:r w:rsidR="00C811AD" w:rsidRPr="00FC43E4">
        <w:rPr>
          <w:rFonts w:eastAsiaTheme="minorEastAsia" w:hint="eastAsia"/>
          <w:sz w:val="20"/>
          <w:szCs w:val="20"/>
          <w:lang w:eastAsia="zh-CN"/>
        </w:rPr>
        <w:t>4</w:t>
      </w:r>
      <w:r w:rsidR="00C811AD" w:rsidRPr="00FC43E4">
        <w:rPr>
          <w:rFonts w:hint="eastAsia"/>
          <w:sz w:val="20"/>
          <w:szCs w:val="20"/>
        </w:rPr>
        <w:t xml:space="preserve">. </w:t>
      </w:r>
      <w:proofErr w:type="gramStart"/>
      <w:r w:rsidR="00C811AD" w:rsidRPr="00FC43E4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="00C811AD" w:rsidRPr="00FC43E4">
        <w:rPr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="00C811AD" w:rsidRPr="00FC43E4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C811AD" w:rsidRPr="00FC43E4">
          <w:rPr>
            <w:rStyle w:val="Hyperlink"/>
            <w:rFonts w:hint="eastAsia"/>
            <w:sz w:val="20"/>
            <w:szCs w:val="20"/>
            <w:shd w:val="clear" w:color="auto" w:fill="FFFFFF"/>
          </w:rPr>
          <w:t>cbj0601</w:t>
        </w:r>
        <w:r w:rsidR="00C811AD" w:rsidRPr="00FC43E4">
          <w:rPr>
            <w:rStyle w:val="Hyperlink"/>
            <w:sz w:val="20"/>
            <w:szCs w:val="20"/>
            <w:shd w:val="clear" w:color="auto" w:fill="FFFFFF"/>
          </w:rPr>
          <w:t>1</w:t>
        </w:r>
        <w:r w:rsidR="00C811AD" w:rsidRPr="00FC43E4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  <w:r w:rsidR="00C811AD" w:rsidRPr="00FC43E4">
          <w:rPr>
            <w:rStyle w:val="Hyperlink"/>
            <w:sz w:val="20"/>
            <w:szCs w:val="20"/>
            <w:shd w:val="clear" w:color="auto" w:fill="FFFFFF"/>
          </w:rPr>
          <w:t>0</w:t>
        </w:r>
        <w:r w:rsidR="00C811AD" w:rsidRPr="00FC43E4">
          <w:rPr>
            <w:rStyle w:val="Hyperlink"/>
            <w:rFonts w:eastAsiaTheme="minorEastAsia" w:hint="eastAsia"/>
            <w:sz w:val="20"/>
            <w:szCs w:val="20"/>
            <w:shd w:val="clear" w:color="auto" w:fill="FFFFFF"/>
            <w:lang w:eastAsia="zh-CN"/>
          </w:rPr>
          <w:t>4</w:t>
        </w:r>
      </w:hyperlink>
      <w:r w:rsidR="00C811AD" w:rsidRPr="00FC43E4">
        <w:rPr>
          <w:color w:val="000000"/>
          <w:sz w:val="20"/>
          <w:szCs w:val="20"/>
          <w:shd w:val="clear" w:color="auto" w:fill="FFFFFF"/>
        </w:rPr>
        <w:t>.</w:t>
      </w:r>
    </w:p>
    <w:p w:rsidR="00A15A2E" w:rsidRPr="00FC43E4" w:rsidRDefault="00A15A2E" w:rsidP="00C811AD">
      <w:pPr>
        <w:pStyle w:val="NoSpacing1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320F" w:rsidRPr="00FC43E4" w:rsidRDefault="0079320F" w:rsidP="00C811AD">
      <w:pPr>
        <w:bidi w:val="0"/>
        <w:snapToGrid w:val="0"/>
        <w:jc w:val="both"/>
        <w:rPr>
          <w:sz w:val="20"/>
          <w:szCs w:val="20"/>
        </w:rPr>
      </w:pPr>
      <w:r w:rsidRPr="00FC43E4">
        <w:rPr>
          <w:b/>
          <w:bCs/>
          <w:sz w:val="20"/>
          <w:szCs w:val="20"/>
        </w:rPr>
        <w:t>Keywords:</w:t>
      </w:r>
      <w:r w:rsidR="002F2F7F" w:rsidRPr="00FC43E4">
        <w:rPr>
          <w:b/>
          <w:bCs/>
          <w:sz w:val="20"/>
          <w:szCs w:val="20"/>
        </w:rPr>
        <w:t xml:space="preserve"> </w:t>
      </w:r>
      <w:r w:rsidR="002F2F7F" w:rsidRPr="00FC43E4">
        <w:rPr>
          <w:sz w:val="20"/>
          <w:szCs w:val="20"/>
        </w:rPr>
        <w:t>chronic myeloid leukemia</w:t>
      </w:r>
      <w:r w:rsidR="00FC43E4" w:rsidRPr="00FC43E4">
        <w:rPr>
          <w:sz w:val="20"/>
          <w:szCs w:val="20"/>
        </w:rPr>
        <w:t>,</w:t>
      </w:r>
      <w:r w:rsidR="002F2F7F" w:rsidRPr="00FC43E4">
        <w:rPr>
          <w:sz w:val="20"/>
          <w:szCs w:val="20"/>
        </w:rPr>
        <w:t xml:space="preserve"> chronic </w:t>
      </w:r>
      <w:proofErr w:type="spellStart"/>
      <w:r w:rsidR="002F2F7F" w:rsidRPr="00FC43E4">
        <w:rPr>
          <w:sz w:val="20"/>
          <w:szCs w:val="20"/>
        </w:rPr>
        <w:t>phase</w:t>
      </w:r>
      <w:proofErr w:type="gramStart"/>
      <w:r w:rsidR="00FC43E4" w:rsidRPr="00FC43E4">
        <w:rPr>
          <w:sz w:val="20"/>
          <w:szCs w:val="20"/>
        </w:rPr>
        <w:t>,</w:t>
      </w:r>
      <w:r w:rsidR="002F2F7F" w:rsidRPr="00FC43E4">
        <w:rPr>
          <w:sz w:val="20"/>
          <w:szCs w:val="20"/>
        </w:rPr>
        <w:t>imatinib</w:t>
      </w:r>
      <w:r w:rsidR="00FC43E4" w:rsidRPr="00FC43E4">
        <w:rPr>
          <w:sz w:val="20"/>
          <w:szCs w:val="20"/>
        </w:rPr>
        <w:t>,</w:t>
      </w:r>
      <w:r w:rsidR="002F2F7F" w:rsidRPr="00FC43E4">
        <w:rPr>
          <w:sz w:val="20"/>
          <w:szCs w:val="20"/>
        </w:rPr>
        <w:t>tyrosine</w:t>
      </w:r>
      <w:proofErr w:type="spellEnd"/>
      <w:proofErr w:type="gramEnd"/>
      <w:r w:rsidR="002F2F7F" w:rsidRPr="00FC43E4">
        <w:rPr>
          <w:sz w:val="20"/>
          <w:szCs w:val="20"/>
        </w:rPr>
        <w:t xml:space="preserve"> </w:t>
      </w:r>
      <w:proofErr w:type="spellStart"/>
      <w:r w:rsidR="002F2F7F" w:rsidRPr="00FC43E4">
        <w:rPr>
          <w:sz w:val="20"/>
          <w:szCs w:val="20"/>
        </w:rPr>
        <w:t>kinase</w:t>
      </w:r>
      <w:proofErr w:type="spellEnd"/>
      <w:r w:rsidR="00FC43E4" w:rsidRPr="00FC43E4">
        <w:rPr>
          <w:sz w:val="20"/>
          <w:szCs w:val="20"/>
        </w:rPr>
        <w:t>,</w:t>
      </w:r>
      <w:r w:rsidR="002F2F7F" w:rsidRPr="00FC43E4">
        <w:rPr>
          <w:sz w:val="20"/>
          <w:szCs w:val="20"/>
        </w:rPr>
        <w:t xml:space="preserve"> </w:t>
      </w:r>
      <w:proofErr w:type="spellStart"/>
      <w:r w:rsidR="002F2F7F" w:rsidRPr="00FC43E4">
        <w:rPr>
          <w:sz w:val="20"/>
          <w:szCs w:val="20"/>
        </w:rPr>
        <w:t>sokal</w:t>
      </w:r>
      <w:proofErr w:type="spellEnd"/>
    </w:p>
    <w:p w:rsidR="0079320F" w:rsidRPr="00FC43E4" w:rsidRDefault="0079320F" w:rsidP="00C811AD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C811AD" w:rsidRPr="00FC43E4" w:rsidRDefault="00C811AD" w:rsidP="00C811AD">
      <w:pPr>
        <w:bidi w:val="0"/>
        <w:snapToGrid w:val="0"/>
        <w:jc w:val="both"/>
        <w:rPr>
          <w:b/>
          <w:bCs/>
          <w:sz w:val="20"/>
          <w:szCs w:val="20"/>
        </w:rPr>
        <w:sectPr w:rsidR="00C811AD" w:rsidRPr="00FC43E4" w:rsidSect="00214ABF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15"/>
          <w:cols w:space="708"/>
          <w:bidi/>
          <w:docGrid w:linePitch="360"/>
        </w:sectPr>
      </w:pPr>
    </w:p>
    <w:p w:rsidR="003D56CE" w:rsidRPr="00FC43E4" w:rsidRDefault="00A15A2E" w:rsidP="00C811AD">
      <w:pPr>
        <w:bidi w:val="0"/>
        <w:snapToGrid w:val="0"/>
        <w:jc w:val="both"/>
        <w:rPr>
          <w:sz w:val="20"/>
          <w:szCs w:val="20"/>
        </w:rPr>
      </w:pPr>
      <w:r w:rsidRPr="00FC43E4">
        <w:rPr>
          <w:b/>
          <w:bCs/>
          <w:sz w:val="20"/>
          <w:szCs w:val="20"/>
        </w:rPr>
        <w:lastRenderedPageBreak/>
        <w:t xml:space="preserve">1. </w:t>
      </w:r>
      <w:r w:rsidR="003D56CE" w:rsidRPr="00FC43E4">
        <w:rPr>
          <w:b/>
          <w:bCs/>
          <w:sz w:val="20"/>
          <w:szCs w:val="20"/>
        </w:rPr>
        <w:t>Introduction</w:t>
      </w:r>
      <w:r w:rsidR="003D56CE" w:rsidRPr="00FC43E4">
        <w:rPr>
          <w:sz w:val="20"/>
          <w:szCs w:val="20"/>
        </w:rPr>
        <w:t>:</w:t>
      </w:r>
    </w:p>
    <w:p w:rsidR="001C5C99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Chronic myeloid leukemia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is a chronic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di</w:t>
      </w:r>
      <w:r w:rsidR="00E22E4B" w:rsidRPr="00FC43E4">
        <w:rPr>
          <w:sz w:val="20"/>
          <w:szCs w:val="20"/>
        </w:rPr>
        <w:t>sorder of the bone marrow,</w:t>
      </w:r>
      <w:r w:rsidRPr="00FC43E4">
        <w:rPr>
          <w:sz w:val="20"/>
          <w:szCs w:val="20"/>
        </w:rPr>
        <w:t xml:space="preserve"> characterized by the predominant</w:t>
      </w:r>
      <w:r w:rsidR="006E1BAF" w:rsidRPr="00FC43E4">
        <w:rPr>
          <w:sz w:val="20"/>
          <w:szCs w:val="20"/>
        </w:rPr>
        <w:t xml:space="preserve"> unregulated</w:t>
      </w:r>
      <w:r w:rsidRPr="00FC43E4">
        <w:rPr>
          <w:sz w:val="20"/>
          <w:szCs w:val="20"/>
        </w:rPr>
        <w:t xml:space="preserve"> proli</w:t>
      </w:r>
      <w:r w:rsidR="006E1BAF" w:rsidRPr="00FC43E4">
        <w:rPr>
          <w:sz w:val="20"/>
          <w:szCs w:val="20"/>
        </w:rPr>
        <w:t>feration of myeloid cells</w:t>
      </w:r>
      <w:r w:rsidR="00FC43E4" w:rsidRPr="00FC43E4">
        <w:rPr>
          <w:sz w:val="20"/>
          <w:szCs w:val="20"/>
        </w:rPr>
        <w:t>,</w:t>
      </w:r>
      <w:r w:rsidRPr="00FC43E4">
        <w:rPr>
          <w:sz w:val="20"/>
          <w:szCs w:val="20"/>
        </w:rPr>
        <w:t xml:space="preserve"> and by the existence of a cyt</w:t>
      </w:r>
      <w:r w:rsidR="006E1BAF" w:rsidRPr="00FC43E4">
        <w:rPr>
          <w:sz w:val="20"/>
          <w:szCs w:val="20"/>
        </w:rPr>
        <w:t>ogenetic abnormality in the form of chromosomal</w:t>
      </w:r>
      <w:r w:rsidRPr="00FC43E4">
        <w:rPr>
          <w:sz w:val="20"/>
          <w:szCs w:val="20"/>
        </w:rPr>
        <w:t xml:space="preserve"> translocation t (9; 22) (q34; q11) with BCR/ABL rearrangement.</w:t>
      </w:r>
    </w:p>
    <w:p w:rsidR="001501E0" w:rsidRPr="00FC43E4" w:rsidRDefault="003B0F50" w:rsidP="00C811AD">
      <w:pPr>
        <w:bidi w:val="0"/>
        <w:snapToGrid w:val="0"/>
        <w:ind w:firstLine="425"/>
        <w:jc w:val="both"/>
        <w:rPr>
          <w:rStyle w:val="headingendmark"/>
          <w:sz w:val="20"/>
          <w:szCs w:val="20"/>
        </w:rPr>
      </w:pPr>
      <w:r w:rsidRPr="00FC43E4">
        <w:rPr>
          <w:sz w:val="20"/>
          <w:szCs w:val="20"/>
        </w:rPr>
        <w:t>R</w:t>
      </w:r>
      <w:r w:rsidR="003D56CE" w:rsidRPr="00FC43E4">
        <w:rPr>
          <w:sz w:val="20"/>
          <w:szCs w:val="20"/>
        </w:rPr>
        <w:t xml:space="preserve">esearchers directed their efforts at developing compounds that could selectively inhibit BCR-ABL tyrosine </w:t>
      </w:r>
      <w:proofErr w:type="spellStart"/>
      <w:r w:rsidR="003D56CE" w:rsidRPr="00FC43E4">
        <w:rPr>
          <w:sz w:val="20"/>
          <w:szCs w:val="20"/>
        </w:rPr>
        <w:t>kinase</w:t>
      </w:r>
      <w:proofErr w:type="spellEnd"/>
      <w:r w:rsidR="003D56CE" w:rsidRPr="00FC43E4">
        <w:rPr>
          <w:sz w:val="20"/>
          <w:szCs w:val="20"/>
        </w:rPr>
        <w:t xml:space="preserve"> which is abnormal enzyme, resulting in the development of a class of medications known as tyrosin</w:t>
      </w:r>
      <w:r w:rsidR="00E22E4B" w:rsidRPr="00FC43E4">
        <w:rPr>
          <w:sz w:val="20"/>
          <w:szCs w:val="20"/>
        </w:rPr>
        <w:t xml:space="preserve">e </w:t>
      </w:r>
      <w:proofErr w:type="spellStart"/>
      <w:r w:rsidR="00E22E4B" w:rsidRPr="00FC43E4">
        <w:rPr>
          <w:sz w:val="20"/>
          <w:szCs w:val="20"/>
        </w:rPr>
        <w:t>kinase</w:t>
      </w:r>
      <w:proofErr w:type="spellEnd"/>
      <w:r w:rsidR="00E22E4B" w:rsidRPr="00FC43E4">
        <w:rPr>
          <w:sz w:val="20"/>
          <w:szCs w:val="20"/>
        </w:rPr>
        <w:t xml:space="preserve"> inhibitors (TKIs).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22E4B" w:rsidRPr="00FC43E4">
        <w:rPr>
          <w:sz w:val="20"/>
          <w:szCs w:val="20"/>
        </w:rPr>
        <w:t>Which</w:t>
      </w:r>
      <w:r w:rsidR="00FC43E4" w:rsidRPr="00FC43E4">
        <w:rPr>
          <w:sz w:val="20"/>
          <w:szCs w:val="20"/>
        </w:rPr>
        <w:t xml:space="preserve"> </w:t>
      </w:r>
      <w:r w:rsidR="003D56CE" w:rsidRPr="00FC43E4">
        <w:rPr>
          <w:sz w:val="20"/>
          <w:szCs w:val="20"/>
        </w:rPr>
        <w:t xml:space="preserve">are able to achieve long-term control </w:t>
      </w:r>
      <w:r w:rsidR="006E1BAF" w:rsidRPr="00FC43E4">
        <w:rPr>
          <w:sz w:val="20"/>
          <w:szCs w:val="20"/>
        </w:rPr>
        <w:t>of CML in the majority of patients</w:t>
      </w:r>
      <w:r w:rsidR="003D56CE" w:rsidRPr="00FC43E4">
        <w:rPr>
          <w:sz w:val="20"/>
          <w:szCs w:val="20"/>
        </w:rPr>
        <w:t>; thus, they have become</w:t>
      </w:r>
      <w:r w:rsidR="006E1BAF" w:rsidRPr="00FC43E4">
        <w:rPr>
          <w:sz w:val="20"/>
          <w:szCs w:val="20"/>
        </w:rPr>
        <w:t xml:space="preserve"> the initial treatment for almost all</w:t>
      </w:r>
      <w:r w:rsidR="003D56CE" w:rsidRPr="00FC43E4">
        <w:rPr>
          <w:sz w:val="20"/>
          <w:szCs w:val="20"/>
        </w:rPr>
        <w:t xml:space="preserve"> newly diagnosed </w:t>
      </w:r>
      <w:r w:rsidR="006E1BAF" w:rsidRPr="00FC43E4">
        <w:rPr>
          <w:sz w:val="20"/>
          <w:szCs w:val="20"/>
        </w:rPr>
        <w:t xml:space="preserve">patients </w:t>
      </w:r>
      <w:r w:rsidR="003D56CE" w:rsidRPr="00FC43E4">
        <w:rPr>
          <w:sz w:val="20"/>
          <w:szCs w:val="20"/>
        </w:rPr>
        <w:t>with CML. All of the available TKIs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22E4B" w:rsidRPr="00FC43E4">
        <w:rPr>
          <w:sz w:val="20"/>
          <w:szCs w:val="20"/>
        </w:rPr>
        <w:t>(</w:t>
      </w:r>
      <w:proofErr w:type="spellStart"/>
      <w:r w:rsidR="00DC5C46" w:rsidRPr="00FC43E4">
        <w:rPr>
          <w:sz w:val="20"/>
          <w:szCs w:val="20"/>
        </w:rPr>
        <w:fldChar w:fldCharType="begin"/>
      </w:r>
      <w:r w:rsidR="00F23D7D" w:rsidRPr="00FC43E4">
        <w:rPr>
          <w:sz w:val="20"/>
          <w:szCs w:val="20"/>
        </w:rPr>
        <w:instrText>HYPERLINK "http://www.uptodate.com/contents/imatinib-drug-information?source=see_link"</w:instrText>
      </w:r>
      <w:r w:rsidR="00DC5C46" w:rsidRPr="00FC43E4">
        <w:rPr>
          <w:sz w:val="20"/>
          <w:szCs w:val="20"/>
        </w:rPr>
        <w:fldChar w:fldCharType="separate"/>
      </w:r>
      <w:r w:rsidR="004B5DEF" w:rsidRPr="00FC43E4">
        <w:rPr>
          <w:sz w:val="20"/>
          <w:szCs w:val="20"/>
        </w:rPr>
        <w:t>imatinib</w:t>
      </w:r>
      <w:proofErr w:type="spellEnd"/>
      <w:r w:rsidR="00DC5C46" w:rsidRPr="00FC43E4">
        <w:rPr>
          <w:sz w:val="20"/>
          <w:szCs w:val="20"/>
        </w:rPr>
        <w:fldChar w:fldCharType="end"/>
      </w:r>
      <w:r w:rsidR="004B5DEF" w:rsidRPr="00FC43E4">
        <w:rPr>
          <w:sz w:val="20"/>
          <w:szCs w:val="20"/>
        </w:rPr>
        <w:t>,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hyperlink r:id="rId13" w:history="1">
        <w:proofErr w:type="spellStart"/>
        <w:r w:rsidR="004B5DEF" w:rsidRPr="00FC43E4">
          <w:rPr>
            <w:sz w:val="20"/>
            <w:szCs w:val="20"/>
          </w:rPr>
          <w:t>dasatinib</w:t>
        </w:r>
        <w:proofErr w:type="spellEnd"/>
      </w:hyperlink>
      <w:r w:rsidR="004B5DEF" w:rsidRPr="00FC43E4">
        <w:rPr>
          <w:sz w:val="20"/>
          <w:szCs w:val="20"/>
        </w:rPr>
        <w:t>, and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hyperlink r:id="rId14" w:history="1">
        <w:proofErr w:type="spellStart"/>
        <w:r w:rsidR="004B5DEF" w:rsidRPr="00FC43E4">
          <w:rPr>
            <w:sz w:val="20"/>
            <w:szCs w:val="20"/>
          </w:rPr>
          <w:t>nilotinib</w:t>
        </w:r>
        <w:proofErr w:type="spellEnd"/>
      </w:hyperlink>
      <w:r w:rsidR="00E6595F" w:rsidRPr="00FC43E4">
        <w:rPr>
          <w:sz w:val="20"/>
          <w:szCs w:val="20"/>
        </w:rPr>
        <w:t>)</w:t>
      </w:r>
      <w:r w:rsidR="003D56CE" w:rsidRPr="00FC43E4">
        <w:rPr>
          <w:sz w:val="20"/>
          <w:szCs w:val="20"/>
        </w:rPr>
        <w:t xml:space="preserve"> are able to induce hematological and cytogenetic responses i</w:t>
      </w:r>
      <w:r w:rsidR="00A27D5D" w:rsidRPr="00FC43E4">
        <w:rPr>
          <w:sz w:val="20"/>
          <w:szCs w:val="20"/>
        </w:rPr>
        <w:t>n all stages of the disease (</w:t>
      </w:r>
      <w:r w:rsidR="006370B4" w:rsidRPr="00FC43E4">
        <w:rPr>
          <w:sz w:val="20"/>
          <w:szCs w:val="20"/>
        </w:rPr>
        <w:t>15-16</w:t>
      </w:r>
      <w:r w:rsidR="003D56CE" w:rsidRPr="00FC43E4">
        <w:rPr>
          <w:sz w:val="20"/>
          <w:szCs w:val="20"/>
        </w:rPr>
        <w:t>).</w:t>
      </w:r>
    </w:p>
    <w:p w:rsidR="001501E0" w:rsidRPr="00FC43E4" w:rsidRDefault="00FC43E4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>
        <w:rPr>
          <w:sz w:val="20"/>
          <w:szCs w:val="20"/>
        </w:rPr>
        <w:t>Before the development of TKIs,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="001501E0" w:rsidRPr="00FC43E4">
        <w:rPr>
          <w:sz w:val="20"/>
          <w:szCs w:val="20"/>
        </w:rPr>
        <w:t>allogeneic</w:t>
      </w:r>
      <w:proofErr w:type="spellEnd"/>
      <w:r w:rsidR="001501E0" w:rsidRPr="00FC43E4">
        <w:rPr>
          <w:sz w:val="20"/>
          <w:szCs w:val="20"/>
        </w:rPr>
        <w:t xml:space="preserve"> HCT remains the only treatment option with proven ability to cure CML especially for younger patients in chronic phase</w:t>
      </w:r>
      <w:r w:rsidRPr="00FC43E4">
        <w:rPr>
          <w:sz w:val="20"/>
          <w:szCs w:val="20"/>
        </w:rPr>
        <w:t>.</w:t>
      </w:r>
      <w:r w:rsidR="001501E0" w:rsidRPr="00FC43E4">
        <w:rPr>
          <w:sz w:val="20"/>
          <w:szCs w:val="20"/>
        </w:rPr>
        <w:t xml:space="preserve"> However, as TKIs have demonstrated long term disease control and good tolerability, few patients choose </w:t>
      </w:r>
      <w:proofErr w:type="spellStart"/>
      <w:r w:rsidR="001501E0" w:rsidRPr="00FC43E4">
        <w:rPr>
          <w:sz w:val="20"/>
          <w:szCs w:val="20"/>
        </w:rPr>
        <w:t>allogeneic</w:t>
      </w:r>
      <w:proofErr w:type="spellEnd"/>
      <w:r w:rsidR="001501E0" w:rsidRPr="00FC43E4">
        <w:rPr>
          <w:sz w:val="20"/>
          <w:szCs w:val="20"/>
        </w:rPr>
        <w:t xml:space="preserve"> HCT as initial therapy. Instead, they are treated with TKIs and careful follow-up</w:t>
      </w:r>
      <w:r w:rsidRPr="00FC43E4">
        <w:rPr>
          <w:sz w:val="20"/>
          <w:szCs w:val="20"/>
        </w:rPr>
        <w:t>.</w:t>
      </w:r>
      <w:r w:rsidR="001501E0" w:rsidRPr="00FC43E4">
        <w:rPr>
          <w:sz w:val="20"/>
          <w:szCs w:val="20"/>
        </w:rPr>
        <w:t xml:space="preserve"> </w:t>
      </w:r>
      <w:proofErr w:type="spellStart"/>
      <w:r w:rsidR="001501E0" w:rsidRPr="00FC43E4">
        <w:rPr>
          <w:sz w:val="20"/>
          <w:szCs w:val="20"/>
        </w:rPr>
        <w:t>Allogeneic</w:t>
      </w:r>
      <w:proofErr w:type="spellEnd"/>
      <w:r w:rsidR="001501E0" w:rsidRPr="00FC43E4">
        <w:rPr>
          <w:sz w:val="20"/>
          <w:szCs w:val="20"/>
        </w:rPr>
        <w:t xml:space="preserve"> HCT remains a principal therapeutic </w:t>
      </w:r>
      <w:r w:rsidR="001501E0" w:rsidRPr="00FC43E4">
        <w:rPr>
          <w:sz w:val="20"/>
          <w:szCs w:val="20"/>
        </w:rPr>
        <w:lastRenderedPageBreak/>
        <w:t>option for patients who develop resis</w:t>
      </w:r>
      <w:r w:rsidR="00660937" w:rsidRPr="00FC43E4">
        <w:rPr>
          <w:sz w:val="20"/>
          <w:szCs w:val="20"/>
        </w:rPr>
        <w:t>tance or intolerance to TKIs</w:t>
      </w:r>
      <w:proofErr w:type="gramStart"/>
      <w:r w:rsidR="00660937" w:rsidRPr="00FC43E4">
        <w:rPr>
          <w:sz w:val="20"/>
          <w:szCs w:val="20"/>
        </w:rPr>
        <w:t>.(</w:t>
      </w:r>
      <w:proofErr w:type="gramEnd"/>
      <w:r w:rsidR="00660937" w:rsidRPr="00FC43E4">
        <w:rPr>
          <w:sz w:val="20"/>
          <w:szCs w:val="20"/>
        </w:rPr>
        <w:t>20</w:t>
      </w:r>
      <w:r w:rsidR="001501E0" w:rsidRPr="00FC43E4">
        <w:rPr>
          <w:sz w:val="20"/>
          <w:szCs w:val="20"/>
        </w:rPr>
        <w:t>)</w:t>
      </w:r>
      <w:r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FC43E4">
        <w:rPr>
          <w:sz w:val="20"/>
          <w:szCs w:val="20"/>
        </w:rPr>
        <w:t>Imatinibmesylate</w:t>
      </w:r>
      <w:proofErr w:type="spellEnd"/>
      <w:r w:rsidR="00FC43E4" w:rsidRPr="00FC43E4">
        <w:rPr>
          <w:sz w:val="20"/>
          <w:szCs w:val="20"/>
        </w:rPr>
        <w:t>,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3D704E" w:rsidRPr="00FC43E4">
        <w:rPr>
          <w:sz w:val="20"/>
          <w:szCs w:val="20"/>
        </w:rPr>
        <w:t xml:space="preserve">a selective BCR-ABL tyrosine </w:t>
      </w:r>
      <w:proofErr w:type="spellStart"/>
      <w:r w:rsidR="003D704E" w:rsidRPr="00FC43E4">
        <w:rPr>
          <w:sz w:val="20"/>
          <w:szCs w:val="20"/>
        </w:rPr>
        <w:t>kinase</w:t>
      </w:r>
      <w:proofErr w:type="spellEnd"/>
      <w:r w:rsidR="003D704E" w:rsidRPr="00FC43E4">
        <w:rPr>
          <w:sz w:val="20"/>
          <w:szCs w:val="20"/>
        </w:rPr>
        <w:t xml:space="preserve"> inhibitor</w:t>
      </w:r>
      <w:r w:rsidRPr="00FC43E4">
        <w:rPr>
          <w:sz w:val="20"/>
          <w:szCs w:val="20"/>
        </w:rPr>
        <w:t xml:space="preserve"> is</w:t>
      </w:r>
      <w:r w:rsidR="007B3360" w:rsidRPr="00FC43E4">
        <w:rPr>
          <w:sz w:val="20"/>
          <w:szCs w:val="20"/>
        </w:rPr>
        <w:t xml:space="preserve"> the first line therapy</w:t>
      </w:r>
      <w:r w:rsidR="004C2C7F" w:rsidRPr="00FC43E4">
        <w:rPr>
          <w:sz w:val="20"/>
          <w:szCs w:val="20"/>
        </w:rPr>
        <w:t xml:space="preserve"> in patients</w:t>
      </w:r>
      <w:r w:rsidRPr="00FC43E4">
        <w:rPr>
          <w:sz w:val="20"/>
          <w:szCs w:val="20"/>
        </w:rPr>
        <w:t xml:space="preserve"> with all phases of CML. It is proven to have significant ben</w:t>
      </w:r>
      <w:r w:rsidR="007234EE" w:rsidRPr="00FC43E4">
        <w:rPr>
          <w:sz w:val="20"/>
          <w:szCs w:val="20"/>
        </w:rPr>
        <w:t>efits.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7234EE" w:rsidRPr="00FC43E4">
        <w:rPr>
          <w:sz w:val="20"/>
          <w:szCs w:val="20"/>
        </w:rPr>
        <w:t>C</w:t>
      </w:r>
      <w:r w:rsidRPr="00FC43E4">
        <w:rPr>
          <w:sz w:val="20"/>
          <w:szCs w:val="20"/>
        </w:rPr>
        <w:t xml:space="preserve">omparing </w:t>
      </w:r>
      <w:proofErr w:type="spellStart"/>
      <w:r w:rsidRPr="00FC43E4">
        <w:rPr>
          <w:sz w:val="20"/>
          <w:szCs w:val="20"/>
        </w:rPr>
        <w:t>imatinib</w:t>
      </w:r>
      <w:proofErr w:type="spellEnd"/>
      <w:r w:rsidRPr="00FC43E4">
        <w:rPr>
          <w:sz w:val="20"/>
          <w:szCs w:val="20"/>
        </w:rPr>
        <w:t xml:space="preserve"> vers</w:t>
      </w:r>
      <w:r w:rsidR="004C2C7F" w:rsidRPr="00FC43E4">
        <w:rPr>
          <w:sz w:val="20"/>
          <w:szCs w:val="20"/>
        </w:rPr>
        <w:t xml:space="preserve">us interferon plus </w:t>
      </w:r>
      <w:proofErr w:type="spellStart"/>
      <w:r w:rsidR="004C2C7F" w:rsidRPr="00FC43E4">
        <w:rPr>
          <w:sz w:val="20"/>
          <w:szCs w:val="20"/>
        </w:rPr>
        <w:t>cytarabine</w:t>
      </w:r>
      <w:proofErr w:type="spellEnd"/>
      <w:r w:rsidR="004C2C7F" w:rsidRPr="00FC43E4">
        <w:rPr>
          <w:sz w:val="20"/>
          <w:szCs w:val="20"/>
        </w:rPr>
        <w:t xml:space="preserve"> for patients</w:t>
      </w:r>
      <w:r w:rsidRPr="00FC43E4">
        <w:rPr>
          <w:sz w:val="20"/>
          <w:szCs w:val="20"/>
        </w:rPr>
        <w:t xml:space="preserve"> with newly diagnosed, chronic pha</w:t>
      </w:r>
      <w:r w:rsidR="004C2C7F" w:rsidRPr="00FC43E4">
        <w:rPr>
          <w:sz w:val="20"/>
          <w:szCs w:val="20"/>
        </w:rPr>
        <w:t>se CML found that 97 % of patients</w:t>
      </w:r>
      <w:r w:rsidRPr="00FC43E4">
        <w:rPr>
          <w:sz w:val="20"/>
          <w:szCs w:val="20"/>
        </w:rPr>
        <w:t xml:space="preserve"> who were given </w:t>
      </w:r>
      <w:proofErr w:type="spellStart"/>
      <w:r w:rsidRPr="00FC43E4">
        <w:rPr>
          <w:sz w:val="20"/>
          <w:szCs w:val="20"/>
        </w:rPr>
        <w:t>imatinib</w:t>
      </w:r>
      <w:proofErr w:type="spellEnd"/>
      <w:r w:rsidRPr="00FC43E4">
        <w:rPr>
          <w:sz w:val="20"/>
          <w:szCs w:val="20"/>
        </w:rPr>
        <w:t xml:space="preserve"> had a complete hematologic response rate, and 76 % achieved a</w:t>
      </w:r>
      <w:r w:rsidR="009B7981" w:rsidRPr="00FC43E4">
        <w:rPr>
          <w:sz w:val="20"/>
          <w:szCs w:val="20"/>
        </w:rPr>
        <w:t xml:space="preserve"> complete cytogenetic response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9B7981" w:rsidRPr="00FC43E4">
        <w:rPr>
          <w:sz w:val="20"/>
          <w:szCs w:val="20"/>
        </w:rPr>
        <w:t>(15</w:t>
      </w:r>
      <w:r w:rsidRPr="00FC43E4">
        <w:rPr>
          <w:sz w:val="20"/>
          <w:szCs w:val="20"/>
        </w:rPr>
        <w:t>). Progression to blast crisis can occur desp</w:t>
      </w:r>
      <w:r w:rsidR="004C2C7F" w:rsidRPr="00FC43E4">
        <w:rPr>
          <w:sz w:val="20"/>
          <w:szCs w:val="20"/>
        </w:rPr>
        <w:t xml:space="preserve">ite </w:t>
      </w:r>
      <w:proofErr w:type="spellStart"/>
      <w:r w:rsidR="004C2C7F" w:rsidRPr="00FC43E4">
        <w:rPr>
          <w:sz w:val="20"/>
          <w:szCs w:val="20"/>
        </w:rPr>
        <w:t>imatinib</w:t>
      </w:r>
      <w:proofErr w:type="spellEnd"/>
      <w:r w:rsidR="004C2C7F" w:rsidRPr="00FC43E4">
        <w:rPr>
          <w:sz w:val="20"/>
          <w:szCs w:val="20"/>
        </w:rPr>
        <w:t xml:space="preserve"> treatment in patients</w:t>
      </w:r>
      <w:r w:rsidRPr="00FC43E4">
        <w:rPr>
          <w:sz w:val="20"/>
          <w:szCs w:val="20"/>
        </w:rPr>
        <w:t xml:space="preserve"> with accelerated phase disease and in those who acquire new genetic mutations.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Despite the positive results obtained in previous studies, approximately 33% of patients with CML treated with </w:t>
      </w:r>
      <w:proofErr w:type="spellStart"/>
      <w:r w:rsidRPr="00FC43E4">
        <w:rPr>
          <w:sz w:val="20"/>
          <w:szCs w:val="20"/>
        </w:rPr>
        <w:t>imatinib</w:t>
      </w:r>
      <w:proofErr w:type="spellEnd"/>
      <w:r w:rsidRPr="00FC43E4">
        <w:rPr>
          <w:sz w:val="20"/>
          <w:szCs w:val="20"/>
        </w:rPr>
        <w:t xml:space="preserve"> do not achieve a complete cytogenetic response (</w:t>
      </w:r>
      <w:proofErr w:type="spellStart"/>
      <w:r w:rsidRPr="00FC43E4">
        <w:rPr>
          <w:sz w:val="20"/>
          <w:szCs w:val="20"/>
        </w:rPr>
        <w:t>CCyR</w:t>
      </w:r>
      <w:proofErr w:type="spellEnd"/>
      <w:r w:rsidRPr="00FC43E4">
        <w:rPr>
          <w:sz w:val="20"/>
          <w:szCs w:val="20"/>
        </w:rPr>
        <w:t>), while others have drug resistance or cannot tol</w:t>
      </w:r>
      <w:r w:rsidR="00EE691B" w:rsidRPr="00FC43E4">
        <w:rPr>
          <w:sz w:val="20"/>
          <w:szCs w:val="20"/>
        </w:rPr>
        <w:t>erate drug-related toxicities (3</w:t>
      </w:r>
      <w:r w:rsidRPr="00FC43E4">
        <w:rPr>
          <w:sz w:val="20"/>
          <w:szCs w:val="20"/>
        </w:rPr>
        <w:t>).</w:t>
      </w:r>
    </w:p>
    <w:p w:rsidR="0039456F" w:rsidRPr="00FC43E4" w:rsidRDefault="000E249E" w:rsidP="00C811AD">
      <w:pPr>
        <w:bidi w:val="0"/>
        <w:snapToGrid w:val="0"/>
        <w:ind w:firstLine="425"/>
        <w:jc w:val="both"/>
        <w:rPr>
          <w:b/>
          <w:bCs/>
          <w:sz w:val="20"/>
          <w:szCs w:val="20"/>
          <w:shd w:val="clear" w:color="auto" w:fill="FFFFFF"/>
        </w:rPr>
      </w:pPr>
      <w:r w:rsidRPr="00FC43E4">
        <w:rPr>
          <w:rFonts w:eastAsia="Arial Unicode MS"/>
          <w:sz w:val="20"/>
          <w:szCs w:val="20"/>
          <w:shd w:val="clear" w:color="auto" w:fill="FFFFFF"/>
        </w:rPr>
        <w:t xml:space="preserve">Prognostic scoring systems have been developed for risk stratification </w:t>
      </w:r>
      <w:r w:rsidR="0039456F" w:rsidRPr="00FC43E4">
        <w:rPr>
          <w:rFonts w:eastAsia="Arial Unicode MS"/>
          <w:sz w:val="20"/>
          <w:szCs w:val="20"/>
          <w:shd w:val="clear" w:color="auto" w:fill="FFFFFF"/>
        </w:rPr>
        <w:t>of patients with CML. T</w:t>
      </w:r>
      <w:r w:rsidRPr="00FC43E4">
        <w:rPr>
          <w:rFonts w:eastAsia="Arial Unicode MS"/>
          <w:sz w:val="20"/>
          <w:szCs w:val="20"/>
          <w:shd w:val="clear" w:color="auto" w:fill="FFFFFF"/>
        </w:rPr>
        <w:t>hree prognostic systems are widely accep</w:t>
      </w:r>
      <w:r w:rsidR="00A75CEA" w:rsidRPr="00FC43E4">
        <w:rPr>
          <w:rFonts w:eastAsia="Arial Unicode MS"/>
          <w:sz w:val="20"/>
          <w:szCs w:val="20"/>
          <w:shd w:val="clear" w:color="auto" w:fill="FFFFFF"/>
        </w:rPr>
        <w:t xml:space="preserve">ted in clinical practice: </w:t>
      </w:r>
      <w:proofErr w:type="spellStart"/>
      <w:r w:rsidR="00A75CEA" w:rsidRPr="00FC43E4">
        <w:rPr>
          <w:rFonts w:eastAsia="Arial Unicode MS"/>
          <w:sz w:val="20"/>
          <w:szCs w:val="20"/>
          <w:shd w:val="clear" w:color="auto" w:fill="FFFFFF"/>
        </w:rPr>
        <w:t>Sokal</w:t>
      </w:r>
      <w:proofErr w:type="spellEnd"/>
      <w:r w:rsidR="00A75CEA" w:rsidRPr="00FC43E4">
        <w:rPr>
          <w:rFonts w:eastAsia="Arial Unicode MS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,</w:t>
      </w:r>
      <w:r w:rsidR="00FC43E4">
        <w:rPr>
          <w:rFonts w:eastAsia="Arial Unicode MS" w:hint="eastAsia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zh-CN"/>
        </w:rPr>
        <w:t xml:space="preserve"> </w:t>
      </w:r>
      <w:proofErr w:type="spellStart"/>
      <w:r w:rsidR="00A75CEA" w:rsidRPr="00FC43E4">
        <w:rPr>
          <w:rFonts w:eastAsia="Arial Unicode MS"/>
          <w:sz w:val="20"/>
          <w:szCs w:val="20"/>
          <w:shd w:val="clear" w:color="auto" w:fill="FFFFFF"/>
        </w:rPr>
        <w:t>Hasford</w:t>
      </w:r>
      <w:r w:rsidRPr="00FC43E4">
        <w:rPr>
          <w:rFonts w:eastAsia="Arial Unicode MS"/>
          <w:sz w:val="20"/>
          <w:szCs w:val="20"/>
          <w:shd w:val="clear" w:color="auto" w:fill="FFFFFF"/>
        </w:rPr>
        <w:t>and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European </w:t>
      </w:r>
      <w:r w:rsidR="00A75CEA" w:rsidRPr="00FC43E4">
        <w:rPr>
          <w:rFonts w:eastAsia="Arial Unicode MS"/>
          <w:sz w:val="20"/>
          <w:szCs w:val="20"/>
          <w:shd w:val="clear" w:color="auto" w:fill="FFFFFF"/>
        </w:rPr>
        <w:t>Treatment Outcome Study (EUTOS)</w:t>
      </w:r>
      <w:r w:rsidR="00686FBD">
        <w:rPr>
          <w:rFonts w:eastAsia="Arial Unicode MS" w:hint="eastAsia"/>
          <w:sz w:val="20"/>
          <w:szCs w:val="20"/>
          <w:shd w:val="clear" w:color="auto" w:fill="FFFFFF"/>
          <w:lang w:eastAsia="zh-CN"/>
        </w:rPr>
        <w:t xml:space="preserve">. </w:t>
      </w:r>
      <w:r w:rsidRPr="00FC43E4">
        <w:rPr>
          <w:rFonts w:eastAsia="Arial Unicode MS"/>
          <w:sz w:val="20"/>
          <w:szCs w:val="20"/>
          <w:shd w:val="clear" w:color="auto" w:fill="FFFFFF"/>
        </w:rPr>
        <w:t xml:space="preserve">The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Sokal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score is based on patient age and clinical characteristics including spleen size, platelet count, and the percentage of blasts in the peripheral blood,</w:t>
      </w:r>
      <w:r w:rsidR="00FC43E4">
        <w:rPr>
          <w:rFonts w:eastAsia="Arial Unicode MS"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FC43E4">
        <w:rPr>
          <w:rFonts w:eastAsia="Arial Unicode MS"/>
          <w:sz w:val="20"/>
          <w:szCs w:val="20"/>
          <w:shd w:val="clear" w:color="auto" w:fill="FFFFFF"/>
        </w:rPr>
        <w:t xml:space="preserve">and the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Hasford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model also includes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eosinophil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and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basophil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counts. Both systems </w:t>
      </w:r>
      <w:r w:rsidRPr="00FC43E4">
        <w:rPr>
          <w:rFonts w:eastAsia="Arial Unicode MS"/>
          <w:sz w:val="20"/>
          <w:szCs w:val="20"/>
          <w:shd w:val="clear" w:color="auto" w:fill="FFFFFF"/>
        </w:rPr>
        <w:lastRenderedPageBreak/>
        <w:t xml:space="preserve">categorize patients as high, medium, or low risk, but the capacity of such measures to accurately predict response </w:t>
      </w:r>
      <w:r w:rsidR="006654F8" w:rsidRPr="00FC43E4">
        <w:rPr>
          <w:rFonts w:eastAsia="Arial Unicode MS"/>
          <w:sz w:val="20"/>
          <w:szCs w:val="20"/>
          <w:shd w:val="clear" w:color="auto" w:fill="FFFFFF"/>
        </w:rPr>
        <w:t xml:space="preserve">to treatment </w:t>
      </w:r>
      <w:r w:rsidRPr="00FC43E4">
        <w:rPr>
          <w:rFonts w:eastAsia="Arial Unicode MS"/>
          <w:sz w:val="20"/>
          <w:szCs w:val="20"/>
          <w:shd w:val="clear" w:color="auto" w:fill="FFFFFF"/>
        </w:rPr>
        <w:t>re</w:t>
      </w:r>
      <w:r w:rsidR="006654F8" w:rsidRPr="00FC43E4">
        <w:rPr>
          <w:rFonts w:eastAsia="Arial Unicode MS"/>
          <w:sz w:val="20"/>
          <w:szCs w:val="20"/>
          <w:shd w:val="clear" w:color="auto" w:fill="FFFFFF"/>
        </w:rPr>
        <w:t xml:space="preserve">mains </w:t>
      </w:r>
      <w:proofErr w:type="spellStart"/>
      <w:r w:rsidR="006654F8" w:rsidRPr="00FC43E4">
        <w:rPr>
          <w:rFonts w:eastAsia="Arial Unicode MS"/>
          <w:sz w:val="20"/>
          <w:szCs w:val="20"/>
          <w:shd w:val="clear" w:color="auto" w:fill="FFFFFF"/>
        </w:rPr>
        <w:t>controversial</w:t>
      </w:r>
      <w:r w:rsidR="00FC43E4" w:rsidRPr="00FC43E4">
        <w:rPr>
          <w:rFonts w:eastAsia="Arial Unicode MS"/>
          <w:sz w:val="20"/>
          <w:szCs w:val="20"/>
          <w:shd w:val="clear" w:color="auto" w:fill="FFFFFF"/>
        </w:rPr>
        <w:t>.</w:t>
      </w:r>
      <w:r w:rsidRPr="00FC43E4">
        <w:rPr>
          <w:rFonts w:eastAsia="Arial Unicode MS"/>
          <w:sz w:val="20"/>
          <w:szCs w:val="20"/>
          <w:shd w:val="clear" w:color="auto" w:fill="FFFFFF"/>
        </w:rPr>
        <w:t>The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EUTOS score is defined only by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basophil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 xml:space="preserve"> count and spleen si</w:t>
      </w:r>
      <w:r w:rsidR="003A0B51" w:rsidRPr="00FC43E4">
        <w:rPr>
          <w:rFonts w:eastAsia="Arial Unicode MS"/>
          <w:sz w:val="20"/>
          <w:szCs w:val="20"/>
          <w:shd w:val="clear" w:color="auto" w:fill="FFFFFF"/>
        </w:rPr>
        <w:t>ze</w:t>
      </w:r>
      <w:proofErr w:type="gramStart"/>
      <w:r w:rsidRPr="00FC43E4">
        <w:rPr>
          <w:rFonts w:eastAsia="Arial Unicode MS"/>
          <w:sz w:val="20"/>
          <w:szCs w:val="20"/>
          <w:shd w:val="clear" w:color="auto" w:fill="FFFFFF"/>
        </w:rPr>
        <w:t>.</w:t>
      </w:r>
      <w:r w:rsidR="0011682A" w:rsidRPr="00FC43E4">
        <w:rPr>
          <w:rFonts w:eastAsia="Arial Unicode MS"/>
          <w:sz w:val="20"/>
          <w:szCs w:val="20"/>
          <w:shd w:val="clear" w:color="auto" w:fill="FFFFFF"/>
        </w:rPr>
        <w:t>(</w:t>
      </w:r>
      <w:proofErr w:type="gramEnd"/>
      <w:r w:rsidR="008176A9" w:rsidRPr="00FC43E4">
        <w:rPr>
          <w:sz w:val="20"/>
          <w:szCs w:val="20"/>
          <w:shd w:val="clear" w:color="auto" w:fill="FFFFFF"/>
        </w:rPr>
        <w:t>7-18</w:t>
      </w:r>
      <w:r w:rsidR="0011682A" w:rsidRPr="00FC43E4">
        <w:rPr>
          <w:sz w:val="20"/>
          <w:szCs w:val="20"/>
          <w:shd w:val="clear" w:color="auto" w:fill="FFFFFF"/>
        </w:rPr>
        <w:t>)</w:t>
      </w:r>
    </w:p>
    <w:p w:rsidR="000E249E" w:rsidRPr="00FC43E4" w:rsidRDefault="0039456F" w:rsidP="00C811AD">
      <w:pPr>
        <w:bidi w:val="0"/>
        <w:snapToGrid w:val="0"/>
        <w:ind w:firstLine="425"/>
        <w:jc w:val="both"/>
        <w:rPr>
          <w:rFonts w:eastAsia="Arial Unicode MS"/>
          <w:sz w:val="20"/>
          <w:szCs w:val="20"/>
        </w:rPr>
      </w:pPr>
      <w:r w:rsidRPr="00FC43E4">
        <w:rPr>
          <w:sz w:val="20"/>
          <w:szCs w:val="20"/>
          <w:shd w:val="clear" w:color="auto" w:fill="FFFFFF"/>
        </w:rPr>
        <w:t>Swedish CML Registry recently reported that</w:t>
      </w:r>
      <w:r w:rsidR="00FC43E4" w:rsidRP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 w:rsidRPr="00FC43E4">
        <w:rPr>
          <w:sz w:val="20"/>
          <w:szCs w:val="20"/>
          <w:shd w:val="clear" w:color="auto" w:fill="FFFFFF"/>
        </w:rPr>
        <w:t>Sokal</w:t>
      </w:r>
      <w:proofErr w:type="spellEnd"/>
      <w:r w:rsidRPr="00FC43E4">
        <w:rPr>
          <w:sz w:val="20"/>
          <w:szCs w:val="20"/>
          <w:shd w:val="clear" w:color="auto" w:fill="FFFFFF"/>
        </w:rPr>
        <w:t>, but not EUTOS, predicted survival in a population-based cohort</w:t>
      </w:r>
      <w:r w:rsidR="0011682A" w:rsidRPr="00FC43E4">
        <w:rPr>
          <w:sz w:val="20"/>
          <w:szCs w:val="20"/>
          <w:shd w:val="clear" w:color="auto" w:fill="FFFFFF"/>
        </w:rPr>
        <w:t xml:space="preserve"> study</w:t>
      </w:r>
      <w:proofErr w:type="gramStart"/>
      <w:r w:rsidR="00FC43E4" w:rsidRPr="00FC43E4">
        <w:rPr>
          <w:sz w:val="20"/>
          <w:szCs w:val="20"/>
          <w:shd w:val="clear" w:color="auto" w:fill="FFFFFF"/>
        </w:rPr>
        <w:t>.</w:t>
      </w:r>
      <w:r w:rsidR="00440D90" w:rsidRPr="00FC43E4">
        <w:rPr>
          <w:rFonts w:eastAsia="Arial Unicode MS"/>
          <w:sz w:val="20"/>
          <w:szCs w:val="20"/>
        </w:rPr>
        <w:t>(</w:t>
      </w:r>
      <w:proofErr w:type="gramEnd"/>
      <w:r w:rsidR="00440D90" w:rsidRPr="00FC43E4">
        <w:rPr>
          <w:rFonts w:eastAsia="Arial Unicode MS"/>
          <w:sz w:val="20"/>
          <w:szCs w:val="20"/>
        </w:rPr>
        <w:t>19</w:t>
      </w:r>
      <w:r w:rsidR="009A004A" w:rsidRPr="00FC43E4">
        <w:rPr>
          <w:rFonts w:eastAsia="Arial Unicode MS"/>
          <w:sz w:val="20"/>
          <w:szCs w:val="20"/>
        </w:rPr>
        <w:t>)</w:t>
      </w:r>
    </w:p>
    <w:p w:rsidR="003D56CE" w:rsidRPr="00FC43E4" w:rsidRDefault="00C76A9A" w:rsidP="00C811AD">
      <w:pPr>
        <w:bidi w:val="0"/>
        <w:snapToGrid w:val="0"/>
        <w:jc w:val="both"/>
        <w:rPr>
          <w:b/>
          <w:bCs/>
          <w:sz w:val="20"/>
          <w:szCs w:val="20"/>
        </w:rPr>
      </w:pPr>
      <w:proofErr w:type="spellStart"/>
      <w:r w:rsidRPr="00FC43E4">
        <w:rPr>
          <w:b/>
          <w:bCs/>
          <w:sz w:val="20"/>
          <w:szCs w:val="20"/>
        </w:rPr>
        <w:t>S</w:t>
      </w:r>
      <w:r w:rsidR="003D56CE" w:rsidRPr="00FC43E4">
        <w:rPr>
          <w:b/>
          <w:bCs/>
          <w:sz w:val="20"/>
          <w:szCs w:val="20"/>
        </w:rPr>
        <w:t>tudy</w:t>
      </w:r>
      <w:r w:rsidRPr="00FC43E4">
        <w:rPr>
          <w:b/>
          <w:bCs/>
          <w:sz w:val="20"/>
          <w:szCs w:val="20"/>
        </w:rPr>
        <w:t>design</w:t>
      </w:r>
      <w:proofErr w:type="spellEnd"/>
      <w:r w:rsidR="00FC43E4">
        <w:rPr>
          <w:b/>
          <w:bCs/>
          <w:sz w:val="20"/>
          <w:szCs w:val="20"/>
        </w:rPr>
        <w:t>: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This study was a prospective; phase II single institution study. The Ethics Committee in Faculty of Medicine, </w:t>
      </w:r>
      <w:proofErr w:type="spellStart"/>
      <w:r w:rsidRPr="00FC43E4">
        <w:rPr>
          <w:sz w:val="20"/>
          <w:szCs w:val="20"/>
        </w:rPr>
        <w:t>Assuit</w:t>
      </w:r>
      <w:proofErr w:type="spellEnd"/>
      <w:r w:rsidRPr="00FC43E4">
        <w:rPr>
          <w:sz w:val="20"/>
          <w:szCs w:val="20"/>
        </w:rPr>
        <w:t xml:space="preserve"> University, granted protocol approval and all patients signed an informed consent before the initiation of any treatment.</w:t>
      </w:r>
    </w:p>
    <w:p w:rsidR="0079320F" w:rsidRPr="00FC43E4" w:rsidRDefault="0079320F" w:rsidP="00C811AD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3D56CE" w:rsidRPr="00FC43E4" w:rsidRDefault="0079320F" w:rsidP="00C811AD">
      <w:pPr>
        <w:bidi w:val="0"/>
        <w:snapToGrid w:val="0"/>
        <w:jc w:val="both"/>
        <w:rPr>
          <w:b/>
          <w:bCs/>
          <w:sz w:val="20"/>
          <w:szCs w:val="20"/>
        </w:rPr>
      </w:pPr>
      <w:r w:rsidRPr="00FC43E4">
        <w:rPr>
          <w:b/>
          <w:bCs/>
          <w:sz w:val="20"/>
          <w:szCs w:val="20"/>
        </w:rPr>
        <w:t xml:space="preserve">2. </w:t>
      </w:r>
      <w:r w:rsidR="003D56CE" w:rsidRPr="00FC43E4">
        <w:rPr>
          <w:b/>
          <w:bCs/>
          <w:sz w:val="20"/>
          <w:szCs w:val="20"/>
        </w:rPr>
        <w:t>Patients and Methods</w:t>
      </w:r>
    </w:p>
    <w:p w:rsidR="00EE23A9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Our study was carried out at the department of clinical oncology of </w:t>
      </w:r>
      <w:proofErr w:type="spellStart"/>
      <w:r w:rsidRPr="00FC43E4">
        <w:rPr>
          <w:sz w:val="20"/>
          <w:szCs w:val="20"/>
        </w:rPr>
        <w:t>Assuit</w:t>
      </w:r>
      <w:proofErr w:type="spellEnd"/>
      <w:r w:rsidRPr="00FC43E4">
        <w:rPr>
          <w:sz w:val="20"/>
          <w:szCs w:val="20"/>
        </w:rPr>
        <w:t xml:space="preserve"> University Hospital; it involved Twenty-three CML patients from (May 2010 to May 2012), </w:t>
      </w:r>
      <w:proofErr w:type="gramStart"/>
      <w:r w:rsidRPr="00FC43E4">
        <w:rPr>
          <w:sz w:val="20"/>
          <w:szCs w:val="20"/>
        </w:rPr>
        <w:t>Before</w:t>
      </w:r>
      <w:proofErr w:type="gramEnd"/>
      <w:r w:rsidRPr="00FC43E4">
        <w:rPr>
          <w:sz w:val="20"/>
          <w:szCs w:val="20"/>
        </w:rPr>
        <w:t xml:space="preserve"> therapy,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E23A9" w:rsidRPr="00FC43E4">
        <w:rPr>
          <w:sz w:val="20"/>
          <w:szCs w:val="20"/>
        </w:rPr>
        <w:t>patient fulfill the inclusion criteria as follows: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 w:rsidRPr="00FC43E4">
        <w:rPr>
          <w:sz w:val="20"/>
          <w:szCs w:val="20"/>
        </w:rPr>
        <w:t xml:space="preserve">All patients had morphologic evidence of CML and were positive for </w:t>
      </w:r>
      <w:proofErr w:type="spellStart"/>
      <w:r w:rsidRPr="00FC43E4">
        <w:rPr>
          <w:sz w:val="20"/>
          <w:szCs w:val="20"/>
        </w:rPr>
        <w:t>bcr-abl</w:t>
      </w:r>
      <w:proofErr w:type="spellEnd"/>
      <w:r w:rsidRPr="00FC43E4">
        <w:rPr>
          <w:sz w:val="20"/>
          <w:szCs w:val="20"/>
        </w:rPr>
        <w:t xml:space="preserve"> by reverse transcriptase–polymerase chain reaction (RT-PCR) and </w:t>
      </w:r>
      <w:proofErr w:type="spellStart"/>
      <w:r w:rsidRPr="00FC43E4">
        <w:rPr>
          <w:sz w:val="20"/>
          <w:szCs w:val="20"/>
        </w:rPr>
        <w:t>interphase</w:t>
      </w:r>
      <w:proofErr w:type="spellEnd"/>
      <w:r w:rsidRPr="00FC43E4">
        <w:rPr>
          <w:sz w:val="20"/>
          <w:szCs w:val="20"/>
        </w:rPr>
        <w:t xml:space="preserve"> fluorescence in situ hybridization (FISH)</w:t>
      </w:r>
      <w:r w:rsid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Patients had an ECOG (Eastern Co-operative Oncology Group) performance status of 0–2.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Patients signed an informed consent form.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The exclusion criteria were as follows: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Ph chromosome negative CML p</w:t>
      </w:r>
      <w:r w:rsidR="00A11FE2" w:rsidRPr="00FC43E4">
        <w:rPr>
          <w:sz w:val="20"/>
          <w:szCs w:val="20"/>
        </w:rPr>
        <w:t>atients were not included in the</w:t>
      </w:r>
      <w:r w:rsidRPr="00FC43E4">
        <w:rPr>
          <w:sz w:val="20"/>
          <w:szCs w:val="20"/>
        </w:rPr>
        <w:t xml:space="preserve"> study.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Pregnant women or nursing mothers </w:t>
      </w:r>
      <w:r w:rsidR="00EE642A" w:rsidRPr="00FC43E4">
        <w:rPr>
          <w:sz w:val="20"/>
          <w:szCs w:val="20"/>
        </w:rPr>
        <w:t>were not eligible</w:t>
      </w:r>
      <w:r w:rsidR="00FC43E4" w:rsidRPr="00FC43E4">
        <w:rPr>
          <w:sz w:val="20"/>
          <w:szCs w:val="20"/>
        </w:rPr>
        <w:t>.</w:t>
      </w:r>
    </w:p>
    <w:p w:rsidR="00EE23A9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Patients did not receive any other concurrent chemotherapy or radiation therapy during this study.</w:t>
      </w:r>
    </w:p>
    <w:p w:rsidR="003D56CE" w:rsidRPr="00FC43E4" w:rsidRDefault="00A11FE2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Patients with</w:t>
      </w:r>
      <w:r w:rsidR="00EE23A9" w:rsidRPr="00FC43E4">
        <w:rPr>
          <w:sz w:val="20"/>
          <w:szCs w:val="20"/>
        </w:rPr>
        <w:t xml:space="preserve"> medical problems such as uncontrolled diabetes mellitus, hypertension, severe cardiovascular disease or active infections were not eligible for this study.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FC43E4">
        <w:rPr>
          <w:sz w:val="20"/>
          <w:szCs w:val="20"/>
        </w:rPr>
        <w:t>Imatinibmesylate</w:t>
      </w:r>
      <w:proofErr w:type="spellEnd"/>
      <w:r w:rsidRPr="00FC43E4">
        <w:rPr>
          <w:sz w:val="20"/>
          <w:szCs w:val="20"/>
        </w:rPr>
        <w:t xml:space="preserve"> was administered at a dose of 400mg/day in chronic phase and 600mg/day in accelerated phase, doses that were adjusted according to tolerance and response. Doses were reduced for </w:t>
      </w:r>
      <w:proofErr w:type="spellStart"/>
      <w:r w:rsidRPr="00FC43E4">
        <w:rPr>
          <w:sz w:val="20"/>
          <w:szCs w:val="20"/>
        </w:rPr>
        <w:t>neu</w:t>
      </w:r>
      <w:r w:rsidR="007B2326" w:rsidRPr="00FC43E4">
        <w:rPr>
          <w:sz w:val="20"/>
          <w:szCs w:val="20"/>
        </w:rPr>
        <w:t>tropenia</w:t>
      </w:r>
      <w:proofErr w:type="spellEnd"/>
      <w:r w:rsidR="007B2326" w:rsidRPr="00FC43E4">
        <w:rPr>
          <w:sz w:val="20"/>
          <w:szCs w:val="20"/>
        </w:rPr>
        <w:t xml:space="preserve"> and thrombocytopenia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grade 3 or 4.</w:t>
      </w:r>
    </w:p>
    <w:p w:rsidR="003D56CE" w:rsidRPr="00FC43E4" w:rsidRDefault="00EE23A9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C</w:t>
      </w:r>
      <w:r w:rsidR="003D56CE" w:rsidRPr="00FC43E4">
        <w:rPr>
          <w:sz w:val="20"/>
          <w:szCs w:val="20"/>
        </w:rPr>
        <w:t>ollection</w:t>
      </w:r>
      <w:r w:rsidR="00FC43E4" w:rsidRPr="00FC43E4">
        <w:rPr>
          <w:sz w:val="20"/>
          <w:szCs w:val="20"/>
        </w:rPr>
        <w:t xml:space="preserve"> </w:t>
      </w:r>
      <w:r w:rsidR="003D56CE" w:rsidRPr="00FC43E4">
        <w:rPr>
          <w:sz w:val="20"/>
          <w:szCs w:val="20"/>
        </w:rPr>
        <w:t>and analysis of epidemiological data (age, sex), clinical data (</w:t>
      </w:r>
      <w:proofErr w:type="spellStart"/>
      <w:r w:rsidR="003D56CE" w:rsidRPr="00FC43E4">
        <w:rPr>
          <w:sz w:val="20"/>
          <w:szCs w:val="20"/>
        </w:rPr>
        <w:t>lymphadenopathy</w:t>
      </w:r>
      <w:proofErr w:type="spellEnd"/>
      <w:r w:rsidR="003D56CE" w:rsidRPr="00FC43E4">
        <w:rPr>
          <w:sz w:val="20"/>
          <w:szCs w:val="20"/>
        </w:rPr>
        <w:t xml:space="preserve">, </w:t>
      </w:r>
      <w:proofErr w:type="spellStart"/>
      <w:r w:rsidR="003D56CE" w:rsidRPr="00FC43E4">
        <w:rPr>
          <w:sz w:val="20"/>
          <w:szCs w:val="20"/>
        </w:rPr>
        <w:t>splenomegaly</w:t>
      </w:r>
      <w:proofErr w:type="spellEnd"/>
      <w:r w:rsidR="003D56CE" w:rsidRPr="00FC43E4">
        <w:rPr>
          <w:sz w:val="20"/>
          <w:szCs w:val="20"/>
        </w:rPr>
        <w:t xml:space="preserve">, </w:t>
      </w:r>
      <w:proofErr w:type="spellStart"/>
      <w:r w:rsidR="003D56CE" w:rsidRPr="00FC43E4">
        <w:rPr>
          <w:sz w:val="20"/>
          <w:szCs w:val="20"/>
        </w:rPr>
        <w:t>hepatomegaly</w:t>
      </w:r>
      <w:proofErr w:type="spellEnd"/>
      <w:r w:rsidR="003D56CE" w:rsidRPr="00FC43E4">
        <w:rPr>
          <w:sz w:val="20"/>
          <w:szCs w:val="20"/>
        </w:rPr>
        <w:t xml:space="preserve">, performance status, bone pain, and fever), biological data (white blood cell count, platelet count, hemoglobin count, blood blasts rates, blood </w:t>
      </w:r>
      <w:proofErr w:type="spellStart"/>
      <w:r w:rsidR="003D56CE" w:rsidRPr="00FC43E4">
        <w:rPr>
          <w:sz w:val="20"/>
          <w:szCs w:val="20"/>
        </w:rPr>
        <w:t>promyelocytes</w:t>
      </w:r>
      <w:proofErr w:type="spellEnd"/>
      <w:r w:rsidR="003D56CE" w:rsidRPr="00FC43E4">
        <w:rPr>
          <w:sz w:val="20"/>
          <w:szCs w:val="20"/>
        </w:rPr>
        <w:t xml:space="preserve"> biological data rates, and the result of cytogenetic or molecular biology), </w:t>
      </w:r>
      <w:proofErr w:type="spellStart"/>
      <w:r w:rsidR="00C62CCA" w:rsidRPr="00FC43E4">
        <w:rPr>
          <w:sz w:val="20"/>
          <w:szCs w:val="20"/>
        </w:rPr>
        <w:t>Sokal</w:t>
      </w:r>
      <w:proofErr w:type="spellEnd"/>
      <w:r w:rsidR="00C62CCA" w:rsidRPr="00FC43E4">
        <w:rPr>
          <w:sz w:val="20"/>
          <w:szCs w:val="20"/>
        </w:rPr>
        <w:t xml:space="preserve"> classification,</w:t>
      </w:r>
      <w:r w:rsidR="00FC43E4" w:rsidRPr="00FC43E4">
        <w:rPr>
          <w:sz w:val="20"/>
          <w:szCs w:val="20"/>
        </w:rPr>
        <w:t xml:space="preserve"> </w:t>
      </w:r>
      <w:r w:rsidR="003D56CE" w:rsidRPr="00FC43E4">
        <w:rPr>
          <w:sz w:val="20"/>
          <w:szCs w:val="20"/>
        </w:rPr>
        <w:t>treatment data (hematologic remission, cytogenetic remission and progression free survival).</w:t>
      </w:r>
    </w:p>
    <w:p w:rsidR="003D56CE" w:rsidRPr="00FC43E4" w:rsidRDefault="00C62CCA" w:rsidP="00C811AD">
      <w:pPr>
        <w:bidi w:val="0"/>
        <w:snapToGrid w:val="0"/>
        <w:jc w:val="both"/>
        <w:rPr>
          <w:sz w:val="20"/>
          <w:szCs w:val="20"/>
        </w:rPr>
      </w:pPr>
      <w:r w:rsidRPr="00FC43E4">
        <w:rPr>
          <w:b/>
          <w:bCs/>
          <w:sz w:val="20"/>
          <w:szCs w:val="20"/>
        </w:rPr>
        <w:t>D</w:t>
      </w:r>
      <w:r w:rsidR="009B431D" w:rsidRPr="00FC43E4">
        <w:rPr>
          <w:b/>
          <w:bCs/>
          <w:sz w:val="20"/>
          <w:szCs w:val="20"/>
        </w:rPr>
        <w:t>efinition of Treatment</w:t>
      </w:r>
      <w:r w:rsidR="003D56CE" w:rsidRPr="00FC43E4">
        <w:rPr>
          <w:b/>
          <w:bCs/>
          <w:sz w:val="20"/>
          <w:szCs w:val="20"/>
        </w:rPr>
        <w:t xml:space="preserve"> responses</w:t>
      </w:r>
      <w:r w:rsidR="003D56CE" w:rsidRPr="00FC43E4">
        <w:rPr>
          <w:sz w:val="20"/>
          <w:szCs w:val="20"/>
        </w:rPr>
        <w:t>: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Complete hematologic response (CHR) was defined as a total </w:t>
      </w:r>
      <w:proofErr w:type="spellStart"/>
      <w:r w:rsidRPr="00FC43E4">
        <w:rPr>
          <w:sz w:val="20"/>
          <w:szCs w:val="20"/>
        </w:rPr>
        <w:t>leukocytic</w:t>
      </w:r>
      <w:proofErr w:type="spellEnd"/>
      <w:r w:rsidRPr="00FC43E4">
        <w:rPr>
          <w:sz w:val="20"/>
          <w:szCs w:val="20"/>
        </w:rPr>
        <w:t xml:space="preserve"> count less than 10 × 10 </w:t>
      </w:r>
      <w:r w:rsidRPr="00FC43E4">
        <w:rPr>
          <w:sz w:val="20"/>
          <w:szCs w:val="20"/>
          <w:vertAlign w:val="superscript"/>
        </w:rPr>
        <w:t>9</w:t>
      </w:r>
      <w:r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lastRenderedPageBreak/>
        <w:t xml:space="preserve">/l without immature granulocytes, with less than 5% </w:t>
      </w:r>
      <w:proofErr w:type="spellStart"/>
      <w:r w:rsidRPr="00FC43E4">
        <w:rPr>
          <w:sz w:val="20"/>
          <w:szCs w:val="20"/>
        </w:rPr>
        <w:t>basophils</w:t>
      </w:r>
      <w:proofErr w:type="spellEnd"/>
      <w:r w:rsidRPr="00FC43E4">
        <w:rPr>
          <w:sz w:val="20"/>
          <w:szCs w:val="20"/>
        </w:rPr>
        <w:t xml:space="preserve">, and a platelet count less than 450 × 10 </w:t>
      </w:r>
      <w:r w:rsidRPr="00FC43E4">
        <w:rPr>
          <w:sz w:val="20"/>
          <w:szCs w:val="20"/>
          <w:vertAlign w:val="superscript"/>
        </w:rPr>
        <w:t>9</w:t>
      </w:r>
      <w:r w:rsidRPr="00FC43E4">
        <w:rPr>
          <w:sz w:val="20"/>
          <w:szCs w:val="20"/>
        </w:rPr>
        <w:t xml:space="preserve"> /l. Complete cytogenetic remission corresponds to the absence of the Philadelphia chromosome at the cytogenetic examination (0% Ph + metaphases). It may be partial (1–35% Ph + metaphases) or minor (35%–95% Ph + metaphases) or minimal (96%–100% Ph + metaphases). Molecular responses were unavailable for most of our patients and thus were not included in analyses.</w:t>
      </w:r>
    </w:p>
    <w:p w:rsidR="003D56CE" w:rsidRPr="00FC43E4" w:rsidRDefault="003D56CE" w:rsidP="00C811AD">
      <w:pPr>
        <w:bidi w:val="0"/>
        <w:snapToGrid w:val="0"/>
        <w:jc w:val="both"/>
        <w:rPr>
          <w:sz w:val="20"/>
          <w:szCs w:val="20"/>
        </w:rPr>
      </w:pPr>
      <w:r w:rsidRPr="00FC43E4">
        <w:rPr>
          <w:b/>
          <w:bCs/>
          <w:sz w:val="20"/>
          <w:szCs w:val="20"/>
        </w:rPr>
        <w:t>Statistical methods</w:t>
      </w:r>
      <w:r w:rsidRPr="00FC43E4">
        <w:rPr>
          <w:sz w:val="20"/>
          <w:szCs w:val="20"/>
        </w:rPr>
        <w:t>:</w:t>
      </w:r>
    </w:p>
    <w:p w:rsidR="0079320F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The frequency tables and standard descriptive statistics (mean, median, minimum, and maximum) were used to summarize patient characteristics.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>Correlations of patients' data and therapeutic responses were assessed using Spearman's correlation test.</w:t>
      </w:r>
      <w:r w:rsidRPr="00FC43E4">
        <w:rPr>
          <w:sz w:val="20"/>
          <w:szCs w:val="20"/>
        </w:rPr>
        <w:br/>
        <w:t>Level of statistical significance was set at 0.05. Analyses were performed using statistical software SPSS, 0.17.</w:t>
      </w:r>
    </w:p>
    <w:p w:rsidR="007B2326" w:rsidRPr="00FC43E4" w:rsidRDefault="007B2326" w:rsidP="00C811AD">
      <w:pPr>
        <w:bidi w:val="0"/>
        <w:snapToGrid w:val="0"/>
        <w:jc w:val="both"/>
        <w:rPr>
          <w:sz w:val="20"/>
          <w:szCs w:val="20"/>
        </w:rPr>
      </w:pPr>
    </w:p>
    <w:p w:rsidR="003D56CE" w:rsidRPr="00FC43E4" w:rsidRDefault="003D56CE" w:rsidP="00C811AD">
      <w:pPr>
        <w:bidi w:val="0"/>
        <w:snapToGrid w:val="0"/>
        <w:jc w:val="both"/>
        <w:rPr>
          <w:sz w:val="20"/>
          <w:szCs w:val="20"/>
        </w:rPr>
      </w:pPr>
      <w:r w:rsidRPr="00FC43E4">
        <w:rPr>
          <w:b/>
          <w:bCs/>
          <w:sz w:val="20"/>
          <w:szCs w:val="20"/>
        </w:rPr>
        <w:t>Results: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 w:rsidRPr="00FC43E4">
        <w:rPr>
          <w:sz w:val="20"/>
          <w:szCs w:val="20"/>
        </w:rPr>
        <w:t>Twenty-</w:t>
      </w:r>
      <w:r w:rsidR="0079320F" w:rsidRPr="00FC43E4">
        <w:rPr>
          <w:sz w:val="20"/>
          <w:szCs w:val="20"/>
        </w:rPr>
        <w:t xml:space="preserve">three </w:t>
      </w:r>
      <w:proofErr w:type="spellStart"/>
      <w:r w:rsidR="0079320F" w:rsidRPr="00FC43E4">
        <w:rPr>
          <w:sz w:val="20"/>
          <w:szCs w:val="20"/>
        </w:rPr>
        <w:t>phladilphia</w:t>
      </w:r>
      <w:proofErr w:type="spellEnd"/>
      <w:r w:rsidRPr="00FC43E4">
        <w:rPr>
          <w:sz w:val="20"/>
          <w:szCs w:val="20"/>
        </w:rPr>
        <w:t xml:space="preserve"> positive CML patients </w:t>
      </w:r>
      <w:r w:rsidR="00D21112" w:rsidRPr="00FC43E4">
        <w:rPr>
          <w:sz w:val="20"/>
          <w:szCs w:val="20"/>
          <w:lang w:bidi="ar-EG"/>
        </w:rPr>
        <w:t xml:space="preserve">were </w:t>
      </w:r>
      <w:r w:rsidR="0079320F" w:rsidRPr="00FC43E4">
        <w:rPr>
          <w:sz w:val="20"/>
          <w:szCs w:val="20"/>
          <w:lang w:bidi="ar-EG"/>
        </w:rPr>
        <w:t>treated with</w:t>
      </w:r>
      <w:r w:rsidR="00FC43E4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proofErr w:type="spellStart"/>
      <w:r w:rsidRPr="00FC43E4">
        <w:rPr>
          <w:sz w:val="20"/>
          <w:szCs w:val="20"/>
        </w:rPr>
        <w:t>imatinibmesylate</w:t>
      </w:r>
      <w:proofErr w:type="spellEnd"/>
      <w:r w:rsidRPr="00FC43E4">
        <w:rPr>
          <w:sz w:val="20"/>
          <w:szCs w:val="20"/>
          <w:lang w:bidi="ar-EG"/>
        </w:rPr>
        <w:t xml:space="preserve"> during the period (</w:t>
      </w:r>
      <w:r w:rsidRPr="00FC43E4">
        <w:rPr>
          <w:sz w:val="20"/>
          <w:szCs w:val="20"/>
        </w:rPr>
        <w:t>From May 2010 to May 2012)</w:t>
      </w:r>
      <w:r w:rsidRPr="00FC43E4">
        <w:rPr>
          <w:b/>
          <w:bCs/>
          <w:sz w:val="20"/>
          <w:szCs w:val="20"/>
        </w:rPr>
        <w:t>.</w:t>
      </w:r>
      <w:r w:rsidRPr="00FC43E4">
        <w:rPr>
          <w:sz w:val="20"/>
          <w:szCs w:val="20"/>
        </w:rPr>
        <w:t xml:space="preserve"> The epidemiological, clinical, and biological features of those patients are summarized in Table 1</w:t>
      </w:r>
      <w:r w:rsidR="00D21112" w:rsidRPr="00FC43E4">
        <w:rPr>
          <w:sz w:val="20"/>
          <w:szCs w:val="20"/>
        </w:rPr>
        <w:t>.P</w:t>
      </w:r>
      <w:r w:rsidRPr="00FC43E4">
        <w:rPr>
          <w:sz w:val="20"/>
          <w:szCs w:val="20"/>
        </w:rPr>
        <w:t>atients range in age from (22-76) year and mean age was 49year</w:t>
      </w:r>
      <w:r w:rsidR="00FC43E4" w:rsidRPr="00FC43E4">
        <w:rPr>
          <w:sz w:val="20"/>
          <w:szCs w:val="20"/>
        </w:rPr>
        <w:t>.</w:t>
      </w:r>
      <w:r w:rsidR="00686FBD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There were 14 male</w:t>
      </w:r>
      <w:r w:rsidR="008454C6" w:rsidRPr="00FC43E4">
        <w:rPr>
          <w:sz w:val="20"/>
          <w:szCs w:val="20"/>
        </w:rPr>
        <w:t>s and</w:t>
      </w:r>
      <w:r w:rsidRPr="00FC43E4">
        <w:rPr>
          <w:sz w:val="20"/>
          <w:szCs w:val="20"/>
        </w:rPr>
        <w:t>9 female, male: female ratio was1.5:1</w:t>
      </w:r>
      <w:r w:rsidR="00FC43E4" w:rsidRPr="00FC43E4">
        <w:rPr>
          <w:sz w:val="20"/>
          <w:szCs w:val="20"/>
        </w:rPr>
        <w:t>,</w:t>
      </w:r>
      <w:r w:rsidR="005E4698" w:rsidRPr="00FC43E4">
        <w:rPr>
          <w:sz w:val="20"/>
          <w:szCs w:val="20"/>
        </w:rPr>
        <w:t>all</w:t>
      </w:r>
      <w:r w:rsidR="00D21112" w:rsidRPr="00FC43E4">
        <w:rPr>
          <w:sz w:val="20"/>
          <w:szCs w:val="20"/>
        </w:rPr>
        <w:t xml:space="preserve"> patients were</w:t>
      </w:r>
      <w:r w:rsidRPr="00FC43E4">
        <w:rPr>
          <w:sz w:val="20"/>
          <w:szCs w:val="20"/>
        </w:rPr>
        <w:t xml:space="preserve"> symptomatic with a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  <w:lang w:bidi="ar-EG"/>
        </w:rPr>
        <w:t>Performance status was mainly 2 in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>(65%)</w:t>
      </w:r>
      <w:r w:rsidRPr="00FC43E4">
        <w:rPr>
          <w:sz w:val="20"/>
          <w:szCs w:val="20"/>
        </w:rPr>
        <w:t xml:space="preserve"> of patients</w:t>
      </w:r>
      <w:r w:rsidRPr="00FC43E4">
        <w:rPr>
          <w:sz w:val="20"/>
          <w:szCs w:val="20"/>
          <w:lang w:bidi="ar-EG"/>
        </w:rPr>
        <w:t>;</w:t>
      </w:r>
      <w:r w:rsidR="00FC43E4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proofErr w:type="spellStart"/>
      <w:r w:rsidRPr="00FC43E4">
        <w:rPr>
          <w:sz w:val="20"/>
          <w:szCs w:val="20"/>
          <w:lang w:bidi="ar-EG"/>
        </w:rPr>
        <w:t>splenomegaly</w:t>
      </w:r>
      <w:proofErr w:type="spellEnd"/>
      <w:r w:rsidRPr="00FC43E4">
        <w:rPr>
          <w:sz w:val="20"/>
          <w:szCs w:val="20"/>
          <w:lang w:bidi="ar-EG"/>
        </w:rPr>
        <w:t xml:space="preserve"> in 100%</w:t>
      </w:r>
      <w:r w:rsidR="00FC43E4" w:rsidRPr="00FC43E4">
        <w:rPr>
          <w:sz w:val="20"/>
          <w:szCs w:val="20"/>
          <w:lang w:bidi="ar-EG"/>
        </w:rPr>
        <w:t>,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 xml:space="preserve">fever in 65% </w:t>
      </w:r>
      <w:proofErr w:type="spellStart"/>
      <w:r w:rsidRPr="00FC43E4">
        <w:rPr>
          <w:sz w:val="20"/>
          <w:szCs w:val="20"/>
          <w:lang w:bidi="ar-EG"/>
        </w:rPr>
        <w:t>hepatomegaly</w:t>
      </w:r>
      <w:proofErr w:type="spellEnd"/>
      <w:r w:rsidRPr="00FC43E4">
        <w:rPr>
          <w:sz w:val="20"/>
          <w:szCs w:val="20"/>
          <w:lang w:bidi="ar-EG"/>
        </w:rPr>
        <w:t xml:space="preserve"> in35%,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>bone pain in30%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 xml:space="preserve">and </w:t>
      </w:r>
      <w:proofErr w:type="spellStart"/>
      <w:r w:rsidRPr="00FC43E4">
        <w:rPr>
          <w:sz w:val="20"/>
          <w:szCs w:val="20"/>
          <w:lang w:bidi="ar-EG"/>
        </w:rPr>
        <w:t>lymphadenopathy</w:t>
      </w:r>
      <w:proofErr w:type="spellEnd"/>
      <w:r w:rsidRPr="00FC43E4">
        <w:rPr>
          <w:sz w:val="20"/>
          <w:szCs w:val="20"/>
          <w:lang w:bidi="ar-EG"/>
        </w:rPr>
        <w:t xml:space="preserve"> in 13%,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>the median of white blood cell count was</w:t>
      </w:r>
      <w:r w:rsidRPr="00FC43E4">
        <w:rPr>
          <w:sz w:val="20"/>
          <w:szCs w:val="20"/>
        </w:rPr>
        <w:t xml:space="preserve"> 277× 109/L,</w:t>
      </w:r>
      <w:r w:rsidR="00FC43E4">
        <w:rPr>
          <w:sz w:val="20"/>
          <w:szCs w:val="20"/>
        </w:rPr>
        <w:t>:</w:t>
      </w:r>
      <w:r w:rsidR="00FC43E4" w:rsidRPr="00FC43E4">
        <w:rPr>
          <w:sz w:val="20"/>
          <w:szCs w:val="20"/>
          <w:lang w:bidi="ar-EG"/>
        </w:rPr>
        <w:t xml:space="preserve"> </w:t>
      </w:r>
      <w:r w:rsidRPr="00FC43E4">
        <w:rPr>
          <w:sz w:val="20"/>
          <w:szCs w:val="20"/>
          <w:lang w:bidi="ar-EG"/>
        </w:rPr>
        <w:t>310</w:t>
      </w:r>
      <w:r w:rsidRPr="00FC43E4">
        <w:rPr>
          <w:sz w:val="20"/>
          <w:szCs w:val="20"/>
        </w:rPr>
        <w:t>×</w:t>
      </w:r>
      <w:r w:rsidRPr="00FC43E4">
        <w:rPr>
          <w:sz w:val="20"/>
          <w:szCs w:val="20"/>
          <w:lang w:bidi="ar-EG"/>
        </w:rPr>
        <w:t xml:space="preserve">109/L; basophiles, blasts, and </w:t>
      </w:r>
      <w:proofErr w:type="spellStart"/>
      <w:r w:rsidRPr="00FC43E4">
        <w:rPr>
          <w:sz w:val="20"/>
          <w:szCs w:val="20"/>
          <w:lang w:bidi="ar-EG"/>
        </w:rPr>
        <w:t>promyelocytes</w:t>
      </w:r>
      <w:proofErr w:type="spellEnd"/>
      <w:r w:rsidRPr="00FC43E4">
        <w:rPr>
          <w:sz w:val="20"/>
          <w:szCs w:val="20"/>
          <w:lang w:bidi="ar-EG"/>
        </w:rPr>
        <w:t xml:space="preserve"> were respectively,7, 3</w:t>
      </w:r>
      <w:r w:rsidR="00FC43E4" w:rsidRPr="00FC43E4">
        <w:rPr>
          <w:sz w:val="20"/>
          <w:szCs w:val="20"/>
          <w:lang w:bidi="ar-EG"/>
        </w:rPr>
        <w:t>,</w:t>
      </w:r>
      <w:r w:rsidRPr="00FC43E4">
        <w:rPr>
          <w:sz w:val="20"/>
          <w:szCs w:val="20"/>
          <w:lang w:bidi="ar-EG"/>
        </w:rPr>
        <w:t xml:space="preserve">10 and the </w:t>
      </w:r>
      <w:proofErr w:type="spellStart"/>
      <w:r w:rsidRPr="00FC43E4">
        <w:rPr>
          <w:sz w:val="20"/>
          <w:szCs w:val="20"/>
          <w:lang w:bidi="ar-EG"/>
        </w:rPr>
        <w:t>Sokal</w:t>
      </w:r>
      <w:proofErr w:type="spellEnd"/>
      <w:r w:rsidRPr="00FC43E4">
        <w:rPr>
          <w:sz w:val="20"/>
          <w:szCs w:val="20"/>
          <w:lang w:bidi="ar-EG"/>
        </w:rPr>
        <w:t xml:space="preserve"> score was</w:t>
      </w:r>
      <w:r w:rsidR="00686FBD">
        <w:rPr>
          <w:rFonts w:eastAsiaTheme="minorEastAsia" w:hint="eastAsia"/>
          <w:sz w:val="20"/>
          <w:szCs w:val="20"/>
          <w:lang w:eastAsia="zh-CN" w:bidi="ar-EG"/>
        </w:rPr>
        <w:t xml:space="preserve"> </w:t>
      </w:r>
      <w:r w:rsidRPr="00FC43E4">
        <w:rPr>
          <w:sz w:val="20"/>
          <w:szCs w:val="20"/>
          <w:lang w:bidi="ar-EG"/>
        </w:rPr>
        <w:t>(65% of intermediate score and 35% of high score</w:t>
      </w:r>
      <w:r w:rsidR="006C5DB3" w:rsidRPr="00FC43E4">
        <w:rPr>
          <w:sz w:val="20"/>
          <w:szCs w:val="20"/>
        </w:rPr>
        <w:t>)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90% of the patients were in chronic phase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while 10% in accelerated phase ;treatment response were assessed in 19 patients wher</w:t>
      </w:r>
      <w:r w:rsidR="006C5DB3" w:rsidRPr="00FC43E4">
        <w:rPr>
          <w:sz w:val="20"/>
          <w:szCs w:val="20"/>
        </w:rPr>
        <w:t>e four</w:t>
      </w:r>
      <w:r w:rsidRPr="00FC43E4">
        <w:rPr>
          <w:sz w:val="20"/>
          <w:szCs w:val="20"/>
        </w:rPr>
        <w:t xml:space="preserve"> patients were missed before start of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trea</w:t>
      </w:r>
      <w:r w:rsidR="006C5DB3" w:rsidRPr="00FC43E4">
        <w:rPr>
          <w:sz w:val="20"/>
          <w:szCs w:val="20"/>
        </w:rPr>
        <w:t>tment</w:t>
      </w:r>
      <w:r w:rsidR="00FC43E4" w:rsidRPr="00FC43E4">
        <w:rPr>
          <w:sz w:val="20"/>
          <w:szCs w:val="20"/>
        </w:rPr>
        <w:t>,</w:t>
      </w:r>
      <w:r w:rsidR="006C5DB3" w:rsidRPr="00FC43E4">
        <w:rPr>
          <w:sz w:val="20"/>
          <w:szCs w:val="20"/>
        </w:rPr>
        <w:t xml:space="preserve"> (52%) of patients developed</w:t>
      </w:r>
      <w:r w:rsidRPr="00FC43E4">
        <w:rPr>
          <w:sz w:val="20"/>
          <w:szCs w:val="20"/>
        </w:rPr>
        <w:t xml:space="preserve"> complete hematologic response </w:t>
      </w:r>
      <w:r w:rsidR="006C5DB3" w:rsidRPr="00FC43E4">
        <w:rPr>
          <w:sz w:val="20"/>
          <w:szCs w:val="20"/>
        </w:rPr>
        <w:t>(CHR) and (48%) of patients</w:t>
      </w:r>
      <w:r w:rsidRPr="00FC43E4">
        <w:rPr>
          <w:sz w:val="20"/>
          <w:szCs w:val="20"/>
        </w:rPr>
        <w:t xml:space="preserve"> partial hem</w:t>
      </w:r>
      <w:r w:rsidR="005E4698" w:rsidRPr="00FC43E4">
        <w:rPr>
          <w:sz w:val="20"/>
          <w:szCs w:val="20"/>
        </w:rPr>
        <w:t>atologic response (PHR). complet</w:t>
      </w:r>
      <w:r w:rsidRPr="00FC43E4">
        <w:rPr>
          <w:sz w:val="20"/>
          <w:szCs w:val="20"/>
        </w:rPr>
        <w:t>e cytogenetic response in (32%)of patients, partial cytogenetic response (26%) of patients, minor cytogenetic response (26%) of patients, minimal cytogenetic response (16% of patients)</w:t>
      </w:r>
      <w:r w:rsidRPr="00FC43E4">
        <w:rPr>
          <w:b/>
          <w:bCs/>
          <w:sz w:val="20"/>
          <w:szCs w:val="20"/>
        </w:rPr>
        <w:t xml:space="preserve"> (Table</w:t>
      </w:r>
      <w:r w:rsidR="00FC43E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FC43E4">
        <w:rPr>
          <w:b/>
          <w:bCs/>
          <w:sz w:val="20"/>
          <w:szCs w:val="20"/>
        </w:rPr>
        <w:t>2</w:t>
      </w:r>
      <w:r w:rsidRPr="00FC43E4">
        <w:rPr>
          <w:sz w:val="20"/>
          <w:szCs w:val="20"/>
        </w:rPr>
        <w:t>)</w:t>
      </w:r>
      <w:r w:rsid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3D56CE" w:rsidRPr="00FC43E4" w:rsidRDefault="003D56CE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A significantly higher proportion of patients with chronic phase diseases, and intermediate </w:t>
      </w:r>
      <w:proofErr w:type="spellStart"/>
      <w:r w:rsidRPr="00FC43E4">
        <w:rPr>
          <w:sz w:val="20"/>
          <w:szCs w:val="20"/>
        </w:rPr>
        <w:t>sokel</w:t>
      </w:r>
      <w:proofErr w:type="spellEnd"/>
      <w:r w:rsidRPr="00FC43E4">
        <w:rPr>
          <w:sz w:val="20"/>
          <w:szCs w:val="20"/>
        </w:rPr>
        <w:t xml:space="preserve"> score achieved </w:t>
      </w:r>
      <w:proofErr w:type="spellStart"/>
      <w:r w:rsidRPr="00FC43E4">
        <w:rPr>
          <w:sz w:val="20"/>
          <w:szCs w:val="20"/>
        </w:rPr>
        <w:t>CyR</w:t>
      </w:r>
      <w:proofErr w:type="spellEnd"/>
      <w:r w:rsidRPr="00FC43E4">
        <w:rPr>
          <w:sz w:val="20"/>
          <w:szCs w:val="20"/>
        </w:rPr>
        <w:t xml:space="preserve"> (</w:t>
      </w:r>
      <w:r w:rsidRPr="00FC43E4">
        <w:rPr>
          <w:i/>
          <w:iCs/>
          <w:sz w:val="20"/>
          <w:szCs w:val="20"/>
        </w:rPr>
        <w:t>P</w:t>
      </w:r>
      <w:r w:rsidRPr="00FC43E4">
        <w:rPr>
          <w:sz w:val="20"/>
          <w:szCs w:val="20"/>
        </w:rPr>
        <w:t>&lt;0.04*) while a significant higher proportion of patients with chronic phase diseases achieved CHR (</w:t>
      </w:r>
      <w:r w:rsidRPr="00FC43E4">
        <w:rPr>
          <w:i/>
          <w:iCs/>
          <w:sz w:val="20"/>
          <w:szCs w:val="20"/>
        </w:rPr>
        <w:t>P</w:t>
      </w:r>
      <w:r w:rsidRPr="00FC43E4">
        <w:rPr>
          <w:sz w:val="20"/>
          <w:szCs w:val="20"/>
        </w:rPr>
        <w:t>&lt;0.01*</w:t>
      </w:r>
      <w:r w:rsidR="0079320F" w:rsidRPr="00FC43E4">
        <w:rPr>
          <w:sz w:val="20"/>
          <w:szCs w:val="20"/>
        </w:rPr>
        <w:t xml:space="preserve">). </w:t>
      </w:r>
      <w:proofErr w:type="gramStart"/>
      <w:r w:rsidRPr="00FC43E4">
        <w:rPr>
          <w:b/>
          <w:bCs/>
          <w:sz w:val="20"/>
          <w:szCs w:val="20"/>
        </w:rPr>
        <w:t>(Table 3)</w:t>
      </w:r>
      <w:r w:rsidRPr="00FC43E4">
        <w:rPr>
          <w:sz w:val="20"/>
          <w:szCs w:val="20"/>
        </w:rPr>
        <w:t>.</w:t>
      </w:r>
      <w:proofErr w:type="gramEnd"/>
    </w:p>
    <w:p w:rsidR="003D56CE" w:rsidRPr="00FC43E4" w:rsidRDefault="003D56CE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 w:bidi="ar-EG"/>
        </w:rPr>
      </w:pPr>
      <w:r w:rsidRPr="00FC43E4">
        <w:rPr>
          <w:sz w:val="20"/>
          <w:szCs w:val="20"/>
        </w:rPr>
        <w:t xml:space="preserve">The median PFS was 4months </w:t>
      </w:r>
      <w:r w:rsidRPr="00FC43E4">
        <w:rPr>
          <w:b/>
          <w:bCs/>
          <w:sz w:val="20"/>
          <w:szCs w:val="20"/>
        </w:rPr>
        <w:t>(figure 1)</w:t>
      </w:r>
      <w:r w:rsidRPr="00FC43E4">
        <w:rPr>
          <w:sz w:val="20"/>
          <w:szCs w:val="20"/>
        </w:rPr>
        <w:t xml:space="preserve"> and the only reported grade 3 or 4 was hematological toxicity. The outcome was fatal in 32%, and the causes of </w:t>
      </w:r>
      <w:r w:rsidRPr="00FC43E4">
        <w:rPr>
          <w:sz w:val="20"/>
          <w:szCs w:val="20"/>
        </w:rPr>
        <w:lastRenderedPageBreak/>
        <w:t>death were dominated by hematologic toxicity in 50% of patients followed by infection in 33% of patients</w:t>
      </w:r>
      <w:r w:rsid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3D56CE" w:rsidRDefault="003D56CE" w:rsidP="00FC43E4">
      <w:pPr>
        <w:bidi w:val="0"/>
        <w:snapToGrid w:val="0"/>
        <w:rPr>
          <w:rFonts w:eastAsiaTheme="minorEastAsia" w:hint="eastAsia"/>
          <w:sz w:val="20"/>
          <w:szCs w:val="20"/>
          <w:lang w:eastAsia="zh-CN"/>
        </w:rPr>
      </w:pPr>
    </w:p>
    <w:p w:rsidR="00FC43E4" w:rsidRPr="00FC43E4" w:rsidRDefault="00FC43E4" w:rsidP="00FC43E4">
      <w:pPr>
        <w:bidi w:val="0"/>
        <w:snapToGrid w:val="0"/>
        <w:ind w:firstLine="425"/>
        <w:jc w:val="both"/>
        <w:rPr>
          <w:noProof/>
          <w:sz w:val="20"/>
          <w:szCs w:val="20"/>
        </w:rPr>
      </w:pPr>
    </w:p>
    <w:p w:rsidR="00FC43E4" w:rsidRPr="00FC43E4" w:rsidRDefault="00FC43E4" w:rsidP="00FC43E4">
      <w:pPr>
        <w:bidi w:val="0"/>
        <w:snapToGrid w:val="0"/>
        <w:jc w:val="center"/>
        <w:rPr>
          <w:noProof/>
          <w:sz w:val="20"/>
          <w:szCs w:val="20"/>
        </w:rPr>
      </w:pPr>
      <w:r w:rsidRPr="00FC43E4">
        <w:rPr>
          <w:noProof/>
          <w:sz w:val="20"/>
          <w:szCs w:val="20"/>
          <w:lang w:eastAsia="zh-CN"/>
        </w:rPr>
        <w:drawing>
          <wp:inline distT="0" distB="0" distL="0" distR="0">
            <wp:extent cx="2799650" cy="2241550"/>
            <wp:effectExtent l="0" t="0" r="1270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E4" w:rsidRPr="00FC43E4" w:rsidRDefault="00FC43E4" w:rsidP="00FC43E4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FC43E4">
        <w:rPr>
          <w:rFonts w:eastAsia="Batang"/>
          <w:b/>
          <w:bCs/>
          <w:sz w:val="20"/>
          <w:szCs w:val="20"/>
          <w:lang w:eastAsia="ja-JP"/>
        </w:rPr>
        <w:t>Figure (1): Progression free Survival Time in the</w:t>
      </w:r>
      <w:r w:rsidRPr="00FC43E4">
        <w:rPr>
          <w:b/>
          <w:bCs/>
          <w:sz w:val="20"/>
          <w:szCs w:val="20"/>
          <w:lang w:bidi="ar-EG"/>
        </w:rPr>
        <w:t xml:space="preserve"> study group.</w:t>
      </w:r>
    </w:p>
    <w:p w:rsidR="00FC43E4" w:rsidRPr="00FC43E4" w:rsidRDefault="00FC43E4" w:rsidP="00FC43E4">
      <w:pPr>
        <w:bidi w:val="0"/>
        <w:snapToGrid w:val="0"/>
        <w:rPr>
          <w:rFonts w:eastAsiaTheme="minorEastAsia" w:hint="eastAsia"/>
          <w:sz w:val="20"/>
          <w:szCs w:val="20"/>
          <w:lang w:eastAsia="zh-CN"/>
        </w:rPr>
      </w:pPr>
    </w:p>
    <w:p w:rsidR="003D56CE" w:rsidRPr="00FC43E4" w:rsidRDefault="003D56CE" w:rsidP="00C811AD">
      <w:pPr>
        <w:bidi w:val="0"/>
        <w:snapToGrid w:val="0"/>
        <w:jc w:val="both"/>
        <w:rPr>
          <w:b/>
          <w:bCs/>
          <w:sz w:val="20"/>
          <w:szCs w:val="20"/>
        </w:rPr>
      </w:pPr>
      <w:proofErr w:type="gramStart"/>
      <w:r w:rsidRPr="00FC43E4">
        <w:rPr>
          <w:b/>
          <w:bCs/>
          <w:sz w:val="20"/>
          <w:szCs w:val="20"/>
        </w:rPr>
        <w:t>Table</w:t>
      </w:r>
      <w:r w:rsidR="00FC43E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FC43E4">
        <w:rPr>
          <w:b/>
          <w:bCs/>
          <w:sz w:val="20"/>
          <w:szCs w:val="20"/>
        </w:rPr>
        <w:t>1: Epidemiological, clinical, and biological features of patients.</w:t>
      </w:r>
      <w:proofErr w:type="gramEnd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3156"/>
      </w:tblGrid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Numbers (%)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</w:tr>
      <w:tr w:rsidR="0079320F" w:rsidRPr="00FC43E4" w:rsidTr="00FC43E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(22-76) 49</w:t>
            </w:r>
            <w:r w:rsidRPr="00FC43E4">
              <w:rPr>
                <w:color w:val="000000"/>
                <w:sz w:val="20"/>
                <w:szCs w:val="20"/>
                <w:lang w:bidi="ar-EG"/>
              </w:rPr>
              <w:tab/>
              <w:t>Age (years) mean age</w:t>
            </w:r>
          </w:p>
        </w:tc>
      </w:tr>
      <w:tr w:rsidR="0079320F" w:rsidRPr="00FC43E4" w:rsidTr="00FC43E4">
        <w:trPr>
          <w:trHeight w:val="5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F" w:rsidRPr="00FC43E4" w:rsidRDefault="0079320F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79320F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(%61)14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(39)9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Sex: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Male-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-Female</w:t>
            </w:r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(%0)0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(%65)15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(35)8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(%0)0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Performance status:</w:t>
            </w:r>
            <w:r w:rsidR="00E85546"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 xml:space="preserve"> ECOG score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1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2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3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4</w:t>
            </w:r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(%30)7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:</w:t>
            </w: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ab/>
              <w:t>Bone pain</w:t>
            </w:r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(%65)15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Fever</w:t>
            </w:r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(%35)8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Hepatomegaly</w:t>
            </w:r>
            <w:proofErr w:type="spellEnd"/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(%13)3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Lymphadenopathy</w:t>
            </w:r>
            <w:proofErr w:type="spellEnd"/>
          </w:p>
        </w:tc>
      </w:tr>
      <w:tr w:rsidR="0079320F" w:rsidRPr="00FC43E4" w:rsidTr="00FC43E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(%70)16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(%30)7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Splenomegaly</w:t>
            </w:r>
            <w:proofErr w:type="spellEnd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10cm ≥ 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≥10cm</w:t>
            </w:r>
          </w:p>
        </w:tc>
      </w:tr>
      <w:tr w:rsidR="002861FD" w:rsidRPr="00FC43E4" w:rsidTr="00FC43E4">
        <w:trPr>
          <w:trHeight w:val="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2861FD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bidi="ar-EG"/>
              </w:rPr>
            </w:pPr>
            <w:proofErr w:type="spellStart"/>
            <w:r w:rsidRPr="00FC43E4">
              <w:rPr>
                <w:b/>
                <w:bCs/>
                <w:color w:val="000000"/>
                <w:sz w:val="20"/>
                <w:szCs w:val="20"/>
                <w:u w:val="single"/>
                <w:lang w:bidi="ar-EG"/>
              </w:rPr>
              <w:t>Hemogram</w:t>
            </w:r>
            <w:proofErr w:type="spellEnd"/>
            <w:r w:rsidRPr="00FC43E4">
              <w:rPr>
                <w:b/>
                <w:bCs/>
                <w:color w:val="000000"/>
                <w:sz w:val="20"/>
                <w:szCs w:val="20"/>
                <w:u w:val="single"/>
                <w:lang w:bidi="ar-EG"/>
              </w:rPr>
              <w:t xml:space="preserve"> (median values and extremes)</w:t>
            </w:r>
          </w:p>
        </w:tc>
      </w:tr>
      <w:tr w:rsidR="002861FD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</w:rPr>
              <w:t>277(99-396)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2861FD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-White Blood Cells</w:t>
            </w:r>
            <w:r w:rsidRPr="00FC43E4">
              <w:rPr>
                <w:color w:val="000000"/>
                <w:sz w:val="20"/>
                <w:szCs w:val="20"/>
              </w:rPr>
              <w:t>:</w:t>
            </w:r>
          </w:p>
        </w:tc>
      </w:tr>
      <w:tr w:rsidR="002861FD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FC43E4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(</w:t>
            </w:r>
            <w:r w:rsidR="00A15A2E"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11 - 6</w:t>
            </w: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)</w:t>
            </w:r>
            <w:r w:rsidR="00A15A2E"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 xml:space="preserve"> </w:t>
            </w:r>
            <w:r w:rsidR="00A15A2E" w:rsidRPr="00FC43E4">
              <w:rPr>
                <w:color w:val="000000"/>
                <w:sz w:val="20"/>
                <w:szCs w:val="20"/>
                <w:lang w:bidi="ar-EG"/>
              </w:rPr>
              <w:t>9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2861FD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-Hemoglobin</w:t>
            </w:r>
            <w:r w:rsidR="00A15A2E" w:rsidRPr="00FC43E4">
              <w:rPr>
                <w:color w:val="000000"/>
                <w:sz w:val="20"/>
                <w:szCs w:val="20"/>
                <w:lang w:bidi="ar-EG"/>
              </w:rPr>
              <w:t>:</w:t>
            </w:r>
          </w:p>
        </w:tc>
      </w:tr>
      <w:tr w:rsidR="002861FD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310</w:t>
            </w: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(1078-113)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-Platelets:</w:t>
            </w:r>
          </w:p>
        </w:tc>
      </w:tr>
      <w:tr w:rsidR="002861FD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D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-Blast cells</w:t>
            </w:r>
            <w:r w:rsidR="00FC43E4">
              <w:rPr>
                <w:color w:val="000000"/>
                <w:sz w:val="20"/>
                <w:szCs w:val="20"/>
                <w:lang w:bidi="ar-EG"/>
              </w:rPr>
              <w:t>:</w:t>
            </w:r>
          </w:p>
        </w:tc>
      </w:tr>
      <w:tr w:rsidR="00A15A2E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E" w:rsidRPr="00FC43E4" w:rsidRDefault="00FC43E4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(</w:t>
            </w:r>
            <w:r w:rsidR="00A15A2E"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15 -2</w:t>
            </w:r>
            <w:r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 xml:space="preserve">) </w:t>
            </w:r>
            <w:r w:rsidR="00A15A2E" w:rsidRPr="00FC43E4">
              <w:rPr>
                <w:rFonts w:hint="cs"/>
                <w:color w:val="000000"/>
                <w:sz w:val="20"/>
                <w:szCs w:val="20"/>
                <w:lang w:bidi="ar-EG"/>
              </w:rPr>
              <w:t>7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E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-Basophiles</w:t>
            </w:r>
            <w:r w:rsidR="00FC43E4">
              <w:rPr>
                <w:color w:val="000000"/>
                <w:sz w:val="20"/>
                <w:szCs w:val="20"/>
                <w:lang w:bidi="ar-EG"/>
              </w:rPr>
              <w:t>:</w:t>
            </w:r>
          </w:p>
        </w:tc>
      </w:tr>
      <w:tr w:rsidR="00A15A2E" w:rsidRPr="00FC43E4" w:rsidTr="00FC43E4">
        <w:trPr>
          <w:trHeight w:val="30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E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10 (4-18)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E" w:rsidRPr="00FC43E4" w:rsidRDefault="00A15A2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</w:t>
            </w:r>
            <w:proofErr w:type="spellStart"/>
            <w:r w:rsidRPr="00FC43E4">
              <w:rPr>
                <w:color w:val="000000"/>
                <w:sz w:val="20"/>
                <w:szCs w:val="20"/>
                <w:lang w:bidi="ar-EG"/>
              </w:rPr>
              <w:t>Promyelocytes</w:t>
            </w:r>
            <w:proofErr w:type="spellEnd"/>
            <w:r w:rsidRPr="00FC43E4">
              <w:rPr>
                <w:color w:val="000000"/>
                <w:sz w:val="20"/>
                <w:szCs w:val="20"/>
                <w:lang w:bidi="ar-EG"/>
              </w:rPr>
              <w:t>:</w:t>
            </w:r>
          </w:p>
        </w:tc>
      </w:tr>
      <w:tr w:rsidR="002861FD" w:rsidRPr="00FC43E4" w:rsidTr="00FC43E4">
        <w:trPr>
          <w:trHeight w:val="53"/>
          <w:jc w:val="center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0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(%65)15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(%35)8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Sokal</w:t>
            </w:r>
            <w:proofErr w:type="spellEnd"/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 xml:space="preserve"> score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-Low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-Intermediate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-High</w:t>
            </w:r>
          </w:p>
        </w:tc>
      </w:tr>
    </w:tbl>
    <w:p w:rsidR="003D56CE" w:rsidRPr="00FC43E4" w:rsidRDefault="003D56CE" w:rsidP="00C811AD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FC43E4" w:rsidRDefault="00FC43E4" w:rsidP="00C811AD">
      <w:pPr>
        <w:bidi w:val="0"/>
        <w:snapToGrid w:val="0"/>
        <w:jc w:val="center"/>
        <w:rPr>
          <w:rFonts w:eastAsiaTheme="minorEastAsia" w:hint="eastAsia"/>
          <w:b/>
          <w:bCs/>
          <w:sz w:val="20"/>
          <w:szCs w:val="20"/>
          <w:lang w:eastAsia="zh-CN"/>
        </w:rPr>
      </w:pPr>
    </w:p>
    <w:p w:rsidR="00FC43E4" w:rsidRDefault="00FC43E4" w:rsidP="00FC43E4">
      <w:pPr>
        <w:bidi w:val="0"/>
        <w:snapToGrid w:val="0"/>
        <w:jc w:val="center"/>
        <w:rPr>
          <w:rFonts w:eastAsiaTheme="minorEastAsia" w:hint="eastAsia"/>
          <w:b/>
          <w:bCs/>
          <w:sz w:val="20"/>
          <w:szCs w:val="20"/>
          <w:lang w:eastAsia="zh-CN"/>
        </w:rPr>
      </w:pPr>
    </w:p>
    <w:p w:rsidR="003D56CE" w:rsidRPr="00FC43E4" w:rsidRDefault="003D56CE" w:rsidP="00FC43E4">
      <w:pPr>
        <w:bidi w:val="0"/>
        <w:snapToGrid w:val="0"/>
        <w:jc w:val="center"/>
        <w:rPr>
          <w:sz w:val="20"/>
          <w:szCs w:val="20"/>
        </w:rPr>
      </w:pPr>
      <w:proofErr w:type="gramStart"/>
      <w:r w:rsidRPr="00FC43E4">
        <w:rPr>
          <w:b/>
          <w:bCs/>
          <w:sz w:val="20"/>
          <w:szCs w:val="20"/>
        </w:rPr>
        <w:lastRenderedPageBreak/>
        <w:t>Table</w:t>
      </w:r>
      <w:r w:rsidR="00FC43E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E5E35" w:rsidRPr="00FC43E4">
        <w:rPr>
          <w:b/>
          <w:bCs/>
          <w:sz w:val="20"/>
          <w:szCs w:val="20"/>
        </w:rPr>
        <w:t>2: Therapeutic</w:t>
      </w:r>
      <w:r w:rsidRPr="00FC43E4">
        <w:rPr>
          <w:b/>
          <w:bCs/>
          <w:sz w:val="20"/>
          <w:szCs w:val="20"/>
        </w:rPr>
        <w:t xml:space="preserve"> features.</w:t>
      </w:r>
      <w:proofErr w:type="gram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3108"/>
      </w:tblGrid>
      <w:tr w:rsidR="0079320F" w:rsidRPr="00FC43E4" w:rsidTr="00FC43E4">
        <w:trPr>
          <w:trHeight w:val="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Numbers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</w:tr>
      <w:tr w:rsidR="0079320F" w:rsidRPr="00FC43E4" w:rsidTr="00FC43E4">
        <w:trPr>
          <w:trHeight w:val="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(%90)20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(%10)3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</w:rPr>
              <w:t>Phase</w:t>
            </w:r>
            <w:r w:rsidRPr="00FC43E4">
              <w:rPr>
                <w:color w:val="000000"/>
                <w:sz w:val="20"/>
                <w:szCs w:val="20"/>
                <w:lang w:bidi="ar-EG"/>
              </w:rPr>
              <w:t>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Chronic phase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Accelerated phase</w:t>
            </w:r>
          </w:p>
        </w:tc>
      </w:tr>
      <w:tr w:rsidR="0079320F" w:rsidRPr="00FC43E4" w:rsidTr="00FC43E4">
        <w:trPr>
          <w:trHeight w:val="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(%52)12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(%48)11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(%0)0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(%0)0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Hematological remission: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Complete: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Partial: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Stable:</w:t>
            </w:r>
          </w:p>
          <w:p w:rsidR="003D56CE" w:rsidRPr="00FC43E4" w:rsidRDefault="00E46C31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P</w:t>
            </w:r>
            <w:r w:rsidR="003D56CE" w:rsidRPr="00FC43E4">
              <w:rPr>
                <w:color w:val="000000"/>
                <w:sz w:val="20"/>
                <w:szCs w:val="20"/>
                <w:lang w:bidi="ar-EG"/>
              </w:rPr>
              <w:t>rogressive</w:t>
            </w:r>
          </w:p>
        </w:tc>
      </w:tr>
      <w:tr w:rsidR="0079320F" w:rsidRPr="00FC43E4" w:rsidTr="00FC43E4">
        <w:trPr>
          <w:trHeight w:val="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(%58)11(%32) 6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(%26)5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(%26)5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(%16)3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-Major cytogenetic response (Ph+ ≤ 35%)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Complete cytogenetic response (Ph+ 0%)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Partial cytogenetic response (Ph+ 1%–35%)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-Minor cytogenetic response (Ph+ 36%–95%)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-Minimal cytogenetic response (Ph+ 96%–100%)</w:t>
            </w:r>
          </w:p>
        </w:tc>
      </w:tr>
      <w:tr w:rsidR="0079320F" w:rsidRPr="00FC43E4" w:rsidTr="00FC43E4">
        <w:trPr>
          <w:trHeight w:val="4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(%37)7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(%26)5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(%32)6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B874A1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Hematological toxicity</w:t>
            </w:r>
            <w:r w:rsid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>:</w:t>
            </w:r>
            <w:r w:rsidR="003D56CE" w:rsidRPr="00FC43E4">
              <w:rPr>
                <w:b/>
                <w:bCs/>
                <w:color w:val="000000"/>
                <w:sz w:val="20"/>
                <w:szCs w:val="20"/>
                <w:lang w:bidi="ar-EG"/>
              </w:rPr>
              <w:t xml:space="preserve"> grade 3 and 4</w:t>
            </w:r>
            <w:r w:rsidR="003D56CE" w:rsidRPr="00FC43E4">
              <w:rPr>
                <w:color w:val="000000"/>
                <w:sz w:val="20"/>
                <w:szCs w:val="20"/>
                <w:lang w:bidi="ar-EG"/>
              </w:rPr>
              <w:t> 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:-Anemia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:-</w:t>
            </w:r>
            <w:proofErr w:type="spellStart"/>
            <w:r w:rsidRPr="00FC43E4">
              <w:rPr>
                <w:color w:val="000000"/>
                <w:sz w:val="20"/>
                <w:szCs w:val="20"/>
                <w:lang w:bidi="ar-EG"/>
              </w:rPr>
              <w:t>Leukopenia</w:t>
            </w:r>
            <w:proofErr w:type="spellEnd"/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:-Thrombocytopenia</w:t>
            </w:r>
          </w:p>
        </w:tc>
      </w:tr>
      <w:tr w:rsidR="00A15A2E" w:rsidRPr="00FC43E4" w:rsidTr="00FC43E4">
        <w:trPr>
          <w:trHeight w:val="2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13 (68%)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6 (32%)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3 (50%)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2(33%)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1(17%)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</w:rPr>
              <w:t>Outcome: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FC43E4">
              <w:rPr>
                <w:color w:val="000000"/>
                <w:sz w:val="20"/>
                <w:szCs w:val="20"/>
                <w:lang w:bidi="ar-EG"/>
              </w:rPr>
              <w:t>Alive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-Dead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b/>
                <w:bCs/>
                <w:color w:val="000000"/>
                <w:sz w:val="20"/>
                <w:szCs w:val="20"/>
              </w:rPr>
              <w:t>Causes of death: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Hematologic toxicity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Infection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  <w:lang w:bidi="ar-EG"/>
              </w:rPr>
              <w:t>Unspecified:</w:t>
            </w:r>
          </w:p>
        </w:tc>
      </w:tr>
    </w:tbl>
    <w:p w:rsidR="006720FE" w:rsidRPr="00FC43E4" w:rsidRDefault="006720FE" w:rsidP="00C811AD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3D56CE" w:rsidRPr="00FC43E4" w:rsidRDefault="003D56CE" w:rsidP="00C811AD">
      <w:pPr>
        <w:bidi w:val="0"/>
        <w:snapToGrid w:val="0"/>
        <w:jc w:val="both"/>
        <w:rPr>
          <w:b/>
          <w:bCs/>
          <w:sz w:val="20"/>
          <w:szCs w:val="20"/>
        </w:rPr>
      </w:pPr>
      <w:r w:rsidRPr="00FC43E4">
        <w:rPr>
          <w:b/>
          <w:bCs/>
          <w:sz w:val="20"/>
          <w:szCs w:val="20"/>
        </w:rPr>
        <w:t>Table 3: Correlations between patient characteristics and the hematologic and cytogenetic therapeutic responses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499"/>
        <w:gridCol w:w="1566"/>
      </w:tblGrid>
      <w:tr w:rsidR="0079320F" w:rsidRPr="00FC43E4" w:rsidTr="00FC43E4">
        <w:trPr>
          <w:trHeight w:val="126"/>
          <w:jc w:val="center"/>
        </w:trPr>
        <w:tc>
          <w:tcPr>
            <w:tcW w:w="1674" w:type="pct"/>
            <w:vMerge w:val="restart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Patients characteristic</w:t>
            </w:r>
          </w:p>
        </w:tc>
        <w:tc>
          <w:tcPr>
            <w:tcW w:w="1627" w:type="pct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Cytogenetic remission</w:t>
            </w:r>
          </w:p>
        </w:tc>
        <w:tc>
          <w:tcPr>
            <w:tcW w:w="1699" w:type="pct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Hematologic remission</w:t>
            </w:r>
          </w:p>
        </w:tc>
      </w:tr>
      <w:tr w:rsidR="0079320F" w:rsidRPr="00FC43E4" w:rsidTr="00FC43E4">
        <w:trPr>
          <w:trHeight w:val="126"/>
          <w:jc w:val="center"/>
        </w:trPr>
        <w:tc>
          <w:tcPr>
            <w:tcW w:w="1674" w:type="pct"/>
            <w:vMerge/>
            <w:vAlign w:val="center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FC43E4">
              <w:rPr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699" w:type="pct"/>
            <w:hideMark/>
          </w:tcPr>
          <w:p w:rsidR="003D56CE" w:rsidRPr="00FC43E4" w:rsidRDefault="0077644B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="003D56CE" w:rsidRPr="00FC43E4">
              <w:rPr>
                <w:color w:val="000000"/>
                <w:sz w:val="20"/>
                <w:szCs w:val="20"/>
              </w:rPr>
              <w:t>-value</w:t>
            </w:r>
          </w:p>
        </w:tc>
      </w:tr>
      <w:tr w:rsidR="0079320F" w:rsidRPr="00FC43E4" w:rsidTr="00FC43E4">
        <w:trPr>
          <w:trHeight w:val="126"/>
          <w:jc w:val="center"/>
        </w:trPr>
        <w:tc>
          <w:tcPr>
            <w:tcW w:w="1674" w:type="pct"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Phase: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Chronic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-accelerated</w:t>
            </w:r>
          </w:p>
        </w:tc>
        <w:tc>
          <w:tcPr>
            <w:tcW w:w="1627" w:type="pct"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3D56CE" w:rsidRPr="00FC43E4" w:rsidRDefault="0077644B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="003D56CE" w:rsidRPr="00FC43E4">
              <w:rPr>
                <w:color w:val="000000"/>
                <w:sz w:val="20"/>
                <w:szCs w:val="20"/>
              </w:rPr>
              <w:t>&lt;0.04*</w:t>
            </w:r>
          </w:p>
        </w:tc>
        <w:tc>
          <w:tcPr>
            <w:tcW w:w="1699" w:type="pct"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3D56CE" w:rsidRPr="00FC43E4" w:rsidRDefault="0077644B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="003D56CE" w:rsidRPr="00FC43E4">
              <w:rPr>
                <w:color w:val="000000"/>
                <w:sz w:val="20"/>
                <w:szCs w:val="20"/>
              </w:rPr>
              <w:t>&lt;0.04*</w:t>
            </w:r>
          </w:p>
        </w:tc>
      </w:tr>
      <w:tr w:rsidR="0079320F" w:rsidRPr="00FC43E4" w:rsidTr="00FC43E4">
        <w:trPr>
          <w:trHeight w:val="293"/>
          <w:jc w:val="center"/>
        </w:trPr>
        <w:tc>
          <w:tcPr>
            <w:tcW w:w="1674" w:type="pct"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C43E4">
              <w:rPr>
                <w:color w:val="000000"/>
                <w:sz w:val="20"/>
                <w:szCs w:val="20"/>
              </w:rPr>
              <w:t>Sokal</w:t>
            </w:r>
            <w:proofErr w:type="spellEnd"/>
            <w:r w:rsidRPr="00FC43E4">
              <w:rPr>
                <w:color w:val="000000"/>
                <w:sz w:val="20"/>
                <w:szCs w:val="20"/>
              </w:rPr>
              <w:t xml:space="preserve"> Score</w:t>
            </w:r>
            <w:r w:rsidRPr="00FC43E4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-High</w:t>
            </w:r>
          </w:p>
          <w:p w:rsidR="003D56CE" w:rsidRPr="00FC43E4" w:rsidRDefault="003D56CE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-Intermediate</w:t>
            </w:r>
          </w:p>
        </w:tc>
        <w:tc>
          <w:tcPr>
            <w:tcW w:w="1627" w:type="pct"/>
            <w:hideMark/>
          </w:tcPr>
          <w:p w:rsidR="003D56CE" w:rsidRPr="00FC43E4" w:rsidRDefault="0077644B" w:rsidP="00C811AD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43E4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="003D56CE" w:rsidRPr="00FC43E4">
              <w:rPr>
                <w:color w:val="000000"/>
                <w:sz w:val="20"/>
                <w:szCs w:val="20"/>
              </w:rPr>
              <w:t>&lt;0.04*</w:t>
            </w:r>
          </w:p>
        </w:tc>
        <w:tc>
          <w:tcPr>
            <w:tcW w:w="1699" w:type="pct"/>
            <w:hideMark/>
          </w:tcPr>
          <w:p w:rsidR="003D56CE" w:rsidRPr="00FC43E4" w:rsidRDefault="003D56CE" w:rsidP="00C811AD">
            <w:pPr>
              <w:bidi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43E4">
              <w:rPr>
                <w:color w:val="000000"/>
                <w:sz w:val="20"/>
                <w:szCs w:val="20"/>
              </w:rPr>
              <w:t>0.250 ns</w:t>
            </w:r>
          </w:p>
        </w:tc>
      </w:tr>
    </w:tbl>
    <w:p w:rsidR="003239F4" w:rsidRPr="00FC43E4" w:rsidRDefault="003239F4" w:rsidP="00C811AD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3239F4" w:rsidRPr="00FC43E4" w:rsidRDefault="003239F4" w:rsidP="00C811AD">
      <w:pPr>
        <w:bidi w:val="0"/>
        <w:snapToGrid w:val="0"/>
        <w:jc w:val="both"/>
        <w:rPr>
          <w:b/>
          <w:bCs/>
          <w:sz w:val="20"/>
          <w:szCs w:val="20"/>
        </w:rPr>
      </w:pPr>
      <w:r w:rsidRPr="00FC43E4">
        <w:rPr>
          <w:b/>
          <w:bCs/>
          <w:sz w:val="20"/>
          <w:szCs w:val="20"/>
        </w:rPr>
        <w:t>4. Discussion:</w:t>
      </w:r>
    </w:p>
    <w:p w:rsidR="003239F4" w:rsidRPr="00FC43E4" w:rsidRDefault="003239F4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 w:rsidRPr="00FC43E4">
        <w:rPr>
          <w:sz w:val="20"/>
          <w:szCs w:val="20"/>
        </w:rPr>
        <w:t>The patients range in age from (22-76) years and The mean age of our patients was 49 years which was higher than that reported by other authors (5, 6)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&amp;</w:t>
      </w:r>
      <w:r w:rsidRPr="00FC43E4">
        <w:rPr>
          <w:sz w:val="20"/>
          <w:szCs w:val="20"/>
          <w:shd w:val="clear" w:color="auto" w:fill="FFFFFF"/>
        </w:rPr>
        <w:t xml:space="preserve"> significantly lower than the onset age observed in western countries (60–65 years)</w:t>
      </w:r>
      <w:r w:rsid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r w:rsidR="00106741" w:rsidRPr="00FC43E4">
        <w:rPr>
          <w:sz w:val="20"/>
          <w:szCs w:val="20"/>
        </w:rPr>
        <w:t>(2</w:t>
      </w:r>
      <w:r w:rsidR="00FC43E4" w:rsidRPr="00FC43E4">
        <w:rPr>
          <w:sz w:val="20"/>
          <w:szCs w:val="20"/>
        </w:rPr>
        <w:t xml:space="preserve">) </w:t>
      </w:r>
      <w:r w:rsidRPr="00FC43E4">
        <w:rPr>
          <w:sz w:val="20"/>
          <w:szCs w:val="20"/>
        </w:rPr>
        <w:t xml:space="preserve">and this could be attributed to smaller number of patients in our study and latter diagnosis. </w:t>
      </w:r>
      <w:proofErr w:type="gramStart"/>
      <w:r w:rsidRPr="00FC43E4">
        <w:rPr>
          <w:sz w:val="20"/>
          <w:szCs w:val="20"/>
        </w:rPr>
        <w:t>males</w:t>
      </w:r>
      <w:proofErr w:type="gramEnd"/>
      <w:r w:rsidRPr="00FC43E4">
        <w:rPr>
          <w:sz w:val="20"/>
          <w:szCs w:val="20"/>
        </w:rPr>
        <w:t xml:space="preserve"> were more affected than females (There were 14 male</w:t>
      </w:r>
      <w:r w:rsidR="00B94CA9" w:rsidRPr="00FC43E4">
        <w:rPr>
          <w:sz w:val="20"/>
          <w:szCs w:val="20"/>
        </w:rPr>
        <w:t>s</w:t>
      </w:r>
      <w:r w:rsidRPr="00FC43E4">
        <w:rPr>
          <w:sz w:val="20"/>
          <w:szCs w:val="20"/>
        </w:rPr>
        <w:t xml:space="preserve"> and 9 female</w:t>
      </w:r>
      <w:r w:rsidR="00B94CA9" w:rsidRPr="00FC43E4">
        <w:rPr>
          <w:sz w:val="20"/>
          <w:szCs w:val="20"/>
        </w:rPr>
        <w:t>s</w:t>
      </w:r>
      <w:bookmarkStart w:id="0" w:name="_GoBack"/>
      <w:bookmarkEnd w:id="0"/>
      <w:r w:rsidRPr="00FC43E4">
        <w:rPr>
          <w:sz w:val="20"/>
          <w:szCs w:val="20"/>
        </w:rPr>
        <w:t xml:space="preserve">, with </w:t>
      </w:r>
      <w:r w:rsidRPr="00FC43E4">
        <w:rPr>
          <w:sz w:val="20"/>
          <w:szCs w:val="20"/>
        </w:rPr>
        <w:lastRenderedPageBreak/>
        <w:t>male: female ratio was 1.5:1) and this agree with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hyperlink r:id="rId16" w:tgtFrame="_blank" w:tooltip="Click to find out more papers by Shereen Mahmoud" w:history="1">
        <w:proofErr w:type="spellStart"/>
        <w:r w:rsidRPr="00FC43E4">
          <w:rPr>
            <w:rStyle w:val="Hyperlink"/>
            <w:color w:val="auto"/>
            <w:sz w:val="20"/>
            <w:szCs w:val="20"/>
            <w:u w:val="none"/>
          </w:rPr>
          <w:t>Shereen</w:t>
        </w:r>
        <w:proofErr w:type="spellEnd"/>
      </w:hyperlink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i/>
          <w:iCs/>
          <w:sz w:val="20"/>
          <w:szCs w:val="20"/>
        </w:rPr>
        <w:t>et al</w:t>
      </w:r>
      <w:r w:rsidR="0077644B" w:rsidRPr="00FC43E4">
        <w:rPr>
          <w:i/>
          <w:iCs/>
          <w:sz w:val="20"/>
          <w:szCs w:val="20"/>
        </w:rPr>
        <w:t>.</w:t>
      </w:r>
      <w:r w:rsidRPr="00FC43E4">
        <w:rPr>
          <w:sz w:val="20"/>
          <w:szCs w:val="20"/>
        </w:rPr>
        <w:t xml:space="preserve"> (</w:t>
      </w:r>
      <w:r w:rsidR="008B33D7" w:rsidRPr="00FC43E4">
        <w:rPr>
          <w:sz w:val="20"/>
          <w:szCs w:val="20"/>
        </w:rPr>
        <w:t>17</w:t>
      </w:r>
      <w:r w:rsidRPr="00FC43E4">
        <w:rPr>
          <w:sz w:val="20"/>
          <w:szCs w:val="20"/>
        </w:rPr>
        <w:t>),</w:t>
      </w:r>
      <w:r w:rsidRPr="00FC43E4">
        <w:rPr>
          <w:sz w:val="20"/>
          <w:szCs w:val="20"/>
          <w:shd w:val="clear" w:color="auto" w:fill="FFFFFF"/>
        </w:rPr>
        <w:t xml:space="preserve"> This male predominance was also noted by </w:t>
      </w:r>
      <w:proofErr w:type="spellStart"/>
      <w:r w:rsidRPr="00FC43E4">
        <w:rPr>
          <w:sz w:val="20"/>
          <w:szCs w:val="20"/>
          <w:shd w:val="clear" w:color="auto" w:fill="FFFFFF"/>
        </w:rPr>
        <w:t>Luatti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</w:t>
      </w:r>
      <w:r w:rsidR="0077644B" w:rsidRPr="00FC43E4">
        <w:rPr>
          <w:i/>
          <w:iCs/>
          <w:sz w:val="20"/>
          <w:szCs w:val="20"/>
        </w:rPr>
        <w:t>et al.</w:t>
      </w:r>
      <w:r w:rsidR="00FC43E4" w:rsidRPr="00FC43E4">
        <w:rPr>
          <w:sz w:val="20"/>
          <w:szCs w:val="20"/>
        </w:rPr>
        <w:t>(</w:t>
      </w:r>
      <w:r w:rsidRPr="00FC43E4">
        <w:rPr>
          <w:sz w:val="20"/>
          <w:szCs w:val="20"/>
        </w:rPr>
        <w:t>13</w:t>
      </w:r>
      <w:r w:rsidR="00FC43E4" w:rsidRPr="00FC43E4">
        <w:rPr>
          <w:sz w:val="20"/>
          <w:szCs w:val="20"/>
        </w:rPr>
        <w:t>).</w:t>
      </w:r>
      <w:r w:rsidRPr="00FC43E4">
        <w:rPr>
          <w:sz w:val="20"/>
          <w:szCs w:val="20"/>
        </w:rPr>
        <w:t xml:space="preserve"> Most of our patients were severely symptomatic with a performance status ≥2 in 100%, (</w:t>
      </w:r>
      <w:proofErr w:type="spellStart"/>
      <w:r w:rsidRPr="00FC43E4">
        <w:rPr>
          <w:sz w:val="20"/>
          <w:szCs w:val="20"/>
        </w:rPr>
        <w:t>splenomegaly</w:t>
      </w:r>
      <w:proofErr w:type="spellEnd"/>
      <w:r w:rsidRPr="00FC43E4">
        <w:rPr>
          <w:sz w:val="20"/>
          <w:szCs w:val="20"/>
        </w:rPr>
        <w:t xml:space="preserve"> in 100% which was relatively large, ≥10cm in 30%), fever in 65%, </w:t>
      </w:r>
      <w:proofErr w:type="spellStart"/>
      <w:r w:rsidRPr="00FC43E4">
        <w:rPr>
          <w:sz w:val="20"/>
          <w:szCs w:val="20"/>
        </w:rPr>
        <w:t>hepatomegaly</w:t>
      </w:r>
      <w:proofErr w:type="spellEnd"/>
      <w:r w:rsidRPr="00FC43E4">
        <w:rPr>
          <w:sz w:val="20"/>
          <w:szCs w:val="20"/>
        </w:rPr>
        <w:t xml:space="preserve"> in 35%, bone pains in 30% and </w:t>
      </w:r>
      <w:proofErr w:type="spellStart"/>
      <w:r w:rsidRPr="00FC43E4">
        <w:rPr>
          <w:sz w:val="20"/>
          <w:szCs w:val="20"/>
        </w:rPr>
        <w:t>lymphadenopathy</w:t>
      </w:r>
      <w:proofErr w:type="spellEnd"/>
      <w:r w:rsidRPr="00FC43E4">
        <w:rPr>
          <w:sz w:val="20"/>
          <w:szCs w:val="20"/>
        </w:rPr>
        <w:t xml:space="preserve"> in 13%. whereas in the study by </w:t>
      </w:r>
      <w:proofErr w:type="spellStart"/>
      <w:r w:rsidRPr="00FC43E4">
        <w:rPr>
          <w:sz w:val="20"/>
          <w:szCs w:val="20"/>
        </w:rPr>
        <w:t>Koffi</w:t>
      </w:r>
      <w:proofErr w:type="spellEnd"/>
      <w:r w:rsidRPr="00FC43E4">
        <w:rPr>
          <w:sz w:val="20"/>
          <w:szCs w:val="20"/>
        </w:rPr>
        <w:t xml:space="preserve"> </w:t>
      </w:r>
      <w:r w:rsidR="0077644B" w:rsidRPr="00FC43E4">
        <w:rPr>
          <w:i/>
          <w:iCs/>
          <w:sz w:val="20"/>
          <w:szCs w:val="20"/>
        </w:rPr>
        <w:t>et al.</w:t>
      </w:r>
      <w:r w:rsidR="00FC43E4">
        <w:rPr>
          <w:rFonts w:eastAsiaTheme="minorEastAsia" w:hint="eastAsia"/>
          <w:i/>
          <w:iCs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(</w:t>
      </w:r>
      <w:r w:rsidR="008B33D7" w:rsidRPr="00FC43E4">
        <w:rPr>
          <w:sz w:val="20"/>
          <w:szCs w:val="20"/>
        </w:rPr>
        <w:t>11</w:t>
      </w:r>
      <w:r w:rsidRPr="00FC43E4">
        <w:rPr>
          <w:sz w:val="20"/>
          <w:szCs w:val="20"/>
        </w:rPr>
        <w:t xml:space="preserve">) that were 59% of performance status was </w:t>
      </w:r>
      <w:r w:rsidR="00FC43E4" w:rsidRPr="00FC43E4">
        <w:rPr>
          <w:sz w:val="20"/>
          <w:szCs w:val="20"/>
        </w:rPr>
        <w:t>(</w:t>
      </w:r>
      <w:r w:rsidRPr="00FC43E4">
        <w:rPr>
          <w:sz w:val="20"/>
          <w:szCs w:val="20"/>
        </w:rPr>
        <w:t>0</w:t>
      </w:r>
      <w:r w:rsidR="00FC43E4" w:rsidRPr="00FC43E4">
        <w:rPr>
          <w:sz w:val="20"/>
          <w:szCs w:val="20"/>
        </w:rPr>
        <w:t>,</w:t>
      </w:r>
      <w:r w:rsidRPr="00FC43E4">
        <w:rPr>
          <w:sz w:val="20"/>
          <w:szCs w:val="20"/>
        </w:rPr>
        <w:t>1</w:t>
      </w:r>
      <w:r w:rsidR="00FC43E4" w:rsidRPr="00FC43E4">
        <w:rPr>
          <w:sz w:val="20"/>
          <w:szCs w:val="20"/>
        </w:rPr>
        <w:t>)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 xml:space="preserve">and 10% had no </w:t>
      </w:r>
      <w:proofErr w:type="spellStart"/>
      <w:r w:rsidRPr="00FC43E4">
        <w:rPr>
          <w:sz w:val="20"/>
          <w:szCs w:val="20"/>
        </w:rPr>
        <w:t>splenomegaly</w:t>
      </w:r>
      <w:proofErr w:type="spellEnd"/>
      <w:r w:rsidRPr="00FC43E4">
        <w:rPr>
          <w:sz w:val="20"/>
          <w:szCs w:val="20"/>
        </w:rPr>
        <w:t xml:space="preserve"> ;however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 xml:space="preserve">the long delays (consultation and treatment) contribute to alter the condition of the patient, to increase the volume of the spleen, white blood cell count and the </w:t>
      </w:r>
      <w:proofErr w:type="spellStart"/>
      <w:r w:rsidRPr="00FC43E4">
        <w:rPr>
          <w:sz w:val="20"/>
          <w:szCs w:val="20"/>
        </w:rPr>
        <w:t>Sokal</w:t>
      </w:r>
      <w:proofErr w:type="spellEnd"/>
      <w:r w:rsidRPr="00FC43E4">
        <w:rPr>
          <w:sz w:val="20"/>
          <w:szCs w:val="20"/>
        </w:rPr>
        <w:t xml:space="preserve"> score, and favor the transition to the accelerate phase of the disease. On the therapeutic level, we obtained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 xml:space="preserve">complete hematologic response in 52% which was lower than those reported by </w:t>
      </w:r>
      <w:proofErr w:type="spellStart"/>
      <w:r w:rsidRPr="00FC43E4">
        <w:rPr>
          <w:sz w:val="20"/>
          <w:szCs w:val="20"/>
        </w:rPr>
        <w:t>Koffi</w:t>
      </w:r>
      <w:proofErr w:type="spellEnd"/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77644B" w:rsidRPr="00FC43E4">
        <w:rPr>
          <w:i/>
          <w:iCs/>
          <w:sz w:val="20"/>
          <w:szCs w:val="20"/>
        </w:rPr>
        <w:t>et al.</w:t>
      </w:r>
      <w:r w:rsidR="00FC43E4">
        <w:rPr>
          <w:rFonts w:eastAsiaTheme="minorEastAsia" w:hint="eastAsia"/>
          <w:i/>
          <w:iCs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who had 76% of CHR while cytogenetic response was 32% in our study which was higher than those reported in the same study (</w:t>
      </w:r>
      <w:r w:rsidR="00A27D5D" w:rsidRPr="00FC43E4">
        <w:rPr>
          <w:sz w:val="20"/>
          <w:szCs w:val="20"/>
        </w:rPr>
        <w:t>11</w:t>
      </w:r>
      <w:r w:rsidRPr="00FC43E4">
        <w:rPr>
          <w:sz w:val="20"/>
          <w:szCs w:val="20"/>
        </w:rPr>
        <w:t xml:space="preserve">); the low rate of CHR could be related to the </w:t>
      </w:r>
      <w:proofErr w:type="spellStart"/>
      <w:r w:rsidRPr="00FC43E4">
        <w:rPr>
          <w:sz w:val="20"/>
          <w:szCs w:val="20"/>
        </w:rPr>
        <w:t>Sokal</w:t>
      </w:r>
      <w:proofErr w:type="spellEnd"/>
      <w:r w:rsidRPr="00FC43E4">
        <w:rPr>
          <w:sz w:val="20"/>
          <w:szCs w:val="20"/>
        </w:rPr>
        <w:t xml:space="preserve"> score (65% of intermediate score and 35% of high score with no reported low score) or to treatment interruption due to development of adverse events or drug unavailability due to financial issues.</w:t>
      </w:r>
      <w:r w:rsidR="00FC43E4" w:rsidRPr="00FC43E4">
        <w:rPr>
          <w:sz w:val="20"/>
          <w:szCs w:val="20"/>
        </w:rPr>
        <w:t xml:space="preserve"> </w:t>
      </w:r>
      <w:r w:rsidRPr="00FC43E4">
        <w:rPr>
          <w:sz w:val="20"/>
          <w:szCs w:val="20"/>
        </w:rPr>
        <w:t>This explanation is supported by the work of others who demonstrated that treatment interruption leads to loss of the gained therapeutic responses and even to disease progression. (</w:t>
      </w:r>
      <w:r w:rsidR="00A27D5D" w:rsidRPr="00FC43E4">
        <w:rPr>
          <w:sz w:val="20"/>
          <w:szCs w:val="20"/>
        </w:rPr>
        <w:t>1-5</w:t>
      </w:r>
      <w:r w:rsidRPr="00FC43E4">
        <w:rPr>
          <w:sz w:val="20"/>
          <w:szCs w:val="20"/>
        </w:rPr>
        <w:t>)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3239F4" w:rsidRPr="00FC43E4" w:rsidRDefault="003239F4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 w:rsidRPr="00FC43E4">
        <w:rPr>
          <w:sz w:val="20"/>
          <w:szCs w:val="20"/>
        </w:rPr>
        <w:t>In our study, there was MCR in 58%</w:t>
      </w:r>
      <w:r w:rsidR="00FC43E4" w:rsidRPr="00FC43E4">
        <w:rPr>
          <w:sz w:val="20"/>
          <w:szCs w:val="20"/>
        </w:rPr>
        <w:t>,</w:t>
      </w:r>
      <w:r w:rsidRPr="00FC43E4">
        <w:rPr>
          <w:sz w:val="20"/>
          <w:szCs w:val="20"/>
        </w:rPr>
        <w:t xml:space="preserve"> CCR 32%</w:t>
      </w:r>
      <w:r w:rsidR="00FC43E4" w:rsidRPr="00FC43E4">
        <w:rPr>
          <w:sz w:val="20"/>
          <w:szCs w:val="20"/>
        </w:rPr>
        <w:t>,</w:t>
      </w:r>
      <w:r w:rsidRPr="00FC43E4">
        <w:rPr>
          <w:sz w:val="20"/>
          <w:szCs w:val="20"/>
        </w:rPr>
        <w:t xml:space="preserve"> which are comparable with Jacob </w:t>
      </w:r>
      <w:r w:rsidR="0077644B" w:rsidRPr="00FC43E4">
        <w:rPr>
          <w:i/>
          <w:iCs/>
          <w:sz w:val="20"/>
          <w:szCs w:val="20"/>
        </w:rPr>
        <w:t>et al.</w:t>
      </w:r>
      <w:r w:rsidR="00FC43E4" w:rsidRPr="00FC43E4">
        <w:rPr>
          <w:sz w:val="20"/>
          <w:szCs w:val="20"/>
        </w:rPr>
        <w:t>,</w:t>
      </w:r>
      <w:r w:rsidRPr="00FC43E4">
        <w:rPr>
          <w:sz w:val="20"/>
          <w:szCs w:val="20"/>
        </w:rPr>
        <w:t xml:space="preserve"> where MCR 55%, CCR </w:t>
      </w:r>
      <w:proofErr w:type="gramStart"/>
      <w:r w:rsidRPr="00FC43E4">
        <w:rPr>
          <w:sz w:val="20"/>
          <w:szCs w:val="20"/>
        </w:rPr>
        <w:t>38%</w:t>
      </w:r>
      <w:proofErr w:type="gramEnd"/>
      <w:r w:rsidR="00FC43E4" w:rsidRPr="00FC43E4">
        <w:rPr>
          <w:sz w:val="20"/>
          <w:szCs w:val="20"/>
        </w:rPr>
        <w:t>.(</w:t>
      </w:r>
      <w:r w:rsidR="00A27D5D" w:rsidRPr="00FC43E4">
        <w:rPr>
          <w:sz w:val="20"/>
          <w:szCs w:val="20"/>
        </w:rPr>
        <w:t>9</w:t>
      </w:r>
      <w:r w:rsidR="00FC43E4" w:rsidRPr="00FC43E4">
        <w:rPr>
          <w:sz w:val="20"/>
          <w:szCs w:val="20"/>
        </w:rPr>
        <w:t>)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3239F4" w:rsidRPr="00FC43E4" w:rsidRDefault="003239F4" w:rsidP="00C811AD">
      <w:pPr>
        <w:bidi w:val="0"/>
        <w:snapToGrid w:val="0"/>
        <w:ind w:firstLine="425"/>
        <w:jc w:val="both"/>
        <w:rPr>
          <w:rFonts w:eastAsiaTheme="minorEastAsia" w:hint="eastAsia"/>
          <w:sz w:val="20"/>
          <w:szCs w:val="20"/>
          <w:lang w:eastAsia="zh-CN"/>
        </w:rPr>
      </w:pPr>
      <w:r w:rsidRPr="00FC43E4">
        <w:rPr>
          <w:sz w:val="20"/>
          <w:szCs w:val="20"/>
          <w:shd w:val="clear" w:color="auto" w:fill="FFFFFF"/>
        </w:rPr>
        <w:t xml:space="preserve">As reported previously by </w:t>
      </w:r>
      <w:proofErr w:type="spellStart"/>
      <w:r w:rsidRPr="00FC43E4">
        <w:rPr>
          <w:sz w:val="20"/>
          <w:szCs w:val="20"/>
          <w:shd w:val="clear" w:color="auto" w:fill="FFFFFF"/>
        </w:rPr>
        <w:t>Höglund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</w:t>
      </w:r>
      <w:r w:rsidR="0077644B" w:rsidRPr="00FC43E4">
        <w:rPr>
          <w:i/>
          <w:iCs/>
          <w:sz w:val="20"/>
          <w:szCs w:val="20"/>
        </w:rPr>
        <w:t>et al.</w:t>
      </w:r>
      <w:r w:rsidR="00FC43E4" w:rsidRPr="00FC43E4">
        <w:rPr>
          <w:sz w:val="20"/>
          <w:szCs w:val="20"/>
          <w:shd w:val="clear" w:color="auto" w:fill="FFFFFF"/>
        </w:rPr>
        <w:t xml:space="preserve"> </w:t>
      </w:r>
      <w:r w:rsidRPr="00FC43E4">
        <w:rPr>
          <w:sz w:val="20"/>
          <w:szCs w:val="20"/>
          <w:shd w:val="clear" w:color="auto" w:fill="FFFFFF"/>
        </w:rPr>
        <w:t>(</w:t>
      </w:r>
      <w:r w:rsidR="00A27D5D" w:rsidRPr="00FC43E4">
        <w:rPr>
          <w:sz w:val="20"/>
          <w:szCs w:val="20"/>
          <w:shd w:val="clear" w:color="auto" w:fill="FFFFFF"/>
        </w:rPr>
        <w:t>8</w:t>
      </w:r>
      <w:r w:rsidRPr="00FC43E4">
        <w:rPr>
          <w:sz w:val="20"/>
          <w:szCs w:val="20"/>
          <w:shd w:val="clear" w:color="auto" w:fill="FFFFFF"/>
        </w:rPr>
        <w:t>)</w:t>
      </w:r>
      <w:r w:rsid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FC43E4">
        <w:rPr>
          <w:sz w:val="20"/>
          <w:szCs w:val="20"/>
          <w:shd w:val="clear" w:color="auto" w:fill="FFFFFF"/>
        </w:rPr>
        <w:t xml:space="preserve">we observed statistically significant differences in the PFS of CP-CML patients in the </w:t>
      </w:r>
      <w:proofErr w:type="spellStart"/>
      <w:r w:rsidRPr="00FC43E4">
        <w:rPr>
          <w:sz w:val="20"/>
          <w:szCs w:val="20"/>
          <w:shd w:val="clear" w:color="auto" w:fill="FFFFFF"/>
        </w:rPr>
        <w:t>Sokal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high-risk group and</w:t>
      </w:r>
      <w:r w:rsidR="00FC43E4" w:rsidRPr="00FC43E4">
        <w:rPr>
          <w:sz w:val="20"/>
          <w:szCs w:val="20"/>
          <w:shd w:val="clear" w:color="auto" w:fill="FFFFFF"/>
        </w:rPr>
        <w:t xml:space="preserve"> </w:t>
      </w:r>
      <w:r w:rsidRPr="00FC43E4">
        <w:rPr>
          <w:sz w:val="20"/>
          <w:szCs w:val="20"/>
          <w:shd w:val="clear" w:color="auto" w:fill="FFFFFF"/>
        </w:rPr>
        <w:t xml:space="preserve">intermediate-risk group. PFS and </w:t>
      </w:r>
      <w:proofErr w:type="spellStart"/>
      <w:r w:rsidRPr="00FC43E4">
        <w:rPr>
          <w:sz w:val="20"/>
          <w:szCs w:val="20"/>
          <w:shd w:val="clear" w:color="auto" w:fill="FFFFFF"/>
        </w:rPr>
        <w:t>CCyR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were previously reported to be associated with the </w:t>
      </w:r>
      <w:proofErr w:type="spellStart"/>
      <w:r w:rsidRPr="00FC43E4">
        <w:rPr>
          <w:sz w:val="20"/>
          <w:szCs w:val="20"/>
          <w:shd w:val="clear" w:color="auto" w:fill="FFFFFF"/>
        </w:rPr>
        <w:t>Sokal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score, we have</w:t>
      </w:r>
      <w:r w:rsidRPr="00FC43E4">
        <w:rPr>
          <w:sz w:val="20"/>
          <w:szCs w:val="20"/>
        </w:rPr>
        <w:t xml:space="preserve"> a significantly higher proportion of patients with chronic phase diseases, and intermediate </w:t>
      </w:r>
      <w:proofErr w:type="spellStart"/>
      <w:r w:rsidR="0073262B" w:rsidRPr="00FC43E4">
        <w:rPr>
          <w:sz w:val="20"/>
          <w:szCs w:val="20"/>
        </w:rPr>
        <w:t>S</w:t>
      </w:r>
      <w:r w:rsidRPr="00FC43E4">
        <w:rPr>
          <w:sz w:val="20"/>
          <w:szCs w:val="20"/>
        </w:rPr>
        <w:t>okel</w:t>
      </w:r>
      <w:proofErr w:type="spellEnd"/>
      <w:r w:rsidRPr="00FC43E4">
        <w:rPr>
          <w:sz w:val="20"/>
          <w:szCs w:val="20"/>
        </w:rPr>
        <w:t xml:space="preserve"> score achieved </w:t>
      </w:r>
      <w:proofErr w:type="spellStart"/>
      <w:r w:rsidRPr="00FC43E4">
        <w:rPr>
          <w:sz w:val="20"/>
          <w:szCs w:val="20"/>
        </w:rPr>
        <w:t>CyR</w:t>
      </w:r>
      <w:proofErr w:type="spellEnd"/>
      <w:r w:rsidRPr="00FC43E4">
        <w:rPr>
          <w:sz w:val="20"/>
          <w:szCs w:val="20"/>
        </w:rPr>
        <w:t xml:space="preserve"> (</w:t>
      </w:r>
      <w:r w:rsidRPr="00FC43E4">
        <w:rPr>
          <w:i/>
          <w:iCs/>
          <w:sz w:val="20"/>
          <w:szCs w:val="20"/>
        </w:rPr>
        <w:t>P</w:t>
      </w:r>
      <w:r w:rsidRPr="00FC43E4">
        <w:rPr>
          <w:sz w:val="20"/>
          <w:szCs w:val="20"/>
        </w:rPr>
        <w:t>&lt;0.04*).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The outcome was fatal in 32%, and the causes of death were dominated by hematologic toxicity (50%), followed by infection in 33%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  <w:shd w:val="clear" w:color="auto" w:fill="FFFFFF"/>
        </w:rPr>
        <w:t xml:space="preserve">Regarding the toxicities, generated by </w:t>
      </w:r>
      <w:proofErr w:type="spellStart"/>
      <w:r w:rsidRPr="00FC43E4">
        <w:rPr>
          <w:sz w:val="20"/>
          <w:szCs w:val="20"/>
          <w:shd w:val="clear" w:color="auto" w:fill="FFFFFF"/>
        </w:rPr>
        <w:t>imatinibmesylate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therapy, the significant difference has been observed in </w:t>
      </w:r>
      <w:proofErr w:type="spellStart"/>
      <w:r w:rsidRPr="00FC43E4">
        <w:rPr>
          <w:sz w:val="20"/>
          <w:szCs w:val="20"/>
          <w:shd w:val="clear" w:color="auto" w:fill="FFFFFF"/>
        </w:rPr>
        <w:t>haematological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toxicities. Incidences of </w:t>
      </w:r>
      <w:proofErr w:type="spellStart"/>
      <w:r w:rsidRPr="00FC43E4">
        <w:rPr>
          <w:sz w:val="20"/>
          <w:szCs w:val="20"/>
          <w:shd w:val="clear" w:color="auto" w:fill="FFFFFF"/>
        </w:rPr>
        <w:t>neutropenia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and thrombocytopenia are comparatively lower in other studies (</w:t>
      </w:r>
      <w:r w:rsidR="00A27D5D" w:rsidRPr="00FC43E4">
        <w:rPr>
          <w:sz w:val="20"/>
          <w:szCs w:val="20"/>
          <w:shd w:val="clear" w:color="auto" w:fill="FFFFFF"/>
        </w:rPr>
        <w:t>9</w:t>
      </w:r>
      <w:r w:rsidRPr="00FC43E4">
        <w:rPr>
          <w:sz w:val="20"/>
          <w:szCs w:val="20"/>
          <w:shd w:val="clear" w:color="auto" w:fill="FFFFFF"/>
        </w:rPr>
        <w:t>)</w:t>
      </w:r>
      <w:r w:rsidR="00FC43E4" w:rsidRP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>.</w:t>
      </w:r>
    </w:p>
    <w:p w:rsidR="003239F4" w:rsidRPr="00FC43E4" w:rsidRDefault="003239F4" w:rsidP="00C811AD">
      <w:pPr>
        <w:bidi w:val="0"/>
        <w:snapToGrid w:val="0"/>
        <w:ind w:firstLine="425"/>
        <w:jc w:val="both"/>
        <w:rPr>
          <w:sz w:val="20"/>
          <w:szCs w:val="20"/>
        </w:rPr>
      </w:pPr>
      <w:r w:rsidRPr="00FC43E4">
        <w:rPr>
          <w:sz w:val="20"/>
          <w:szCs w:val="20"/>
          <w:shd w:val="clear" w:color="auto" w:fill="FFFFFF"/>
        </w:rPr>
        <w:t xml:space="preserve">Patients, who are in disease progression or blast crisis, may acquire additional cytogenetic abnormalities. It may induce the conformational change of the BCR-ABL fusion protein further which may not be blocked by the tyrosine </w:t>
      </w:r>
      <w:proofErr w:type="spellStart"/>
      <w:r w:rsidRPr="00FC43E4">
        <w:rPr>
          <w:sz w:val="20"/>
          <w:szCs w:val="20"/>
          <w:shd w:val="clear" w:color="auto" w:fill="FFFFFF"/>
        </w:rPr>
        <w:t>kinase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inhibitor activities of </w:t>
      </w:r>
      <w:proofErr w:type="spellStart"/>
      <w:r w:rsidRPr="00FC43E4">
        <w:rPr>
          <w:sz w:val="20"/>
          <w:szCs w:val="20"/>
          <w:shd w:val="clear" w:color="auto" w:fill="FFFFFF"/>
        </w:rPr>
        <w:t>imatinibmesylate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alone. So, further molecular mutation detection </w:t>
      </w:r>
      <w:proofErr w:type="gramStart"/>
      <w:r w:rsidRPr="00FC43E4">
        <w:rPr>
          <w:sz w:val="20"/>
          <w:szCs w:val="20"/>
          <w:shd w:val="clear" w:color="auto" w:fill="FFFFFF"/>
        </w:rPr>
        <w:t>are</w:t>
      </w:r>
      <w:proofErr w:type="gramEnd"/>
      <w:r w:rsidRPr="00FC43E4">
        <w:rPr>
          <w:sz w:val="20"/>
          <w:szCs w:val="20"/>
          <w:shd w:val="clear" w:color="auto" w:fill="FFFFFF"/>
        </w:rPr>
        <w:t xml:space="preserve"> needed for these patients and accordingly new targeted therapy </w:t>
      </w:r>
      <w:r w:rsidRPr="00FC43E4">
        <w:rPr>
          <w:sz w:val="20"/>
          <w:szCs w:val="20"/>
          <w:shd w:val="clear" w:color="auto" w:fill="FFFFFF"/>
        </w:rPr>
        <w:lastRenderedPageBreak/>
        <w:t>(</w:t>
      </w:r>
      <w:proofErr w:type="spellStart"/>
      <w:r w:rsidRPr="00FC43E4">
        <w:rPr>
          <w:sz w:val="20"/>
          <w:szCs w:val="20"/>
          <w:shd w:val="clear" w:color="auto" w:fill="FFFFFF"/>
        </w:rPr>
        <w:t>Nilotinib</w:t>
      </w:r>
      <w:proofErr w:type="spellEnd"/>
      <w:r w:rsidRPr="00FC43E4">
        <w:rPr>
          <w:sz w:val="20"/>
          <w:szCs w:val="20"/>
          <w:shd w:val="clear" w:color="auto" w:fill="FFFFFF"/>
        </w:rPr>
        <w:t>,</w:t>
      </w:r>
      <w:r w:rsidR="00A27D5D" w:rsidRPr="00FC43E4">
        <w:rPr>
          <w:sz w:val="20"/>
          <w:szCs w:val="20"/>
          <w:shd w:val="clear" w:color="auto" w:fill="FFFFFF"/>
        </w:rPr>
        <w:t xml:space="preserve"> </w:t>
      </w:r>
      <w:proofErr w:type="spellStart"/>
      <w:r w:rsidR="00A27D5D" w:rsidRPr="00FC43E4">
        <w:rPr>
          <w:sz w:val="20"/>
          <w:szCs w:val="20"/>
          <w:shd w:val="clear" w:color="auto" w:fill="FFFFFF"/>
        </w:rPr>
        <w:t>Dasatinib</w:t>
      </w:r>
      <w:proofErr w:type="spellEnd"/>
      <w:r w:rsidR="00A27D5D" w:rsidRPr="00FC43E4">
        <w:rPr>
          <w:sz w:val="20"/>
          <w:szCs w:val="20"/>
          <w:shd w:val="clear" w:color="auto" w:fill="FFFFFF"/>
        </w:rPr>
        <w:t xml:space="preserve">, </w:t>
      </w:r>
      <w:proofErr w:type="spellStart"/>
      <w:r w:rsidR="00A27D5D" w:rsidRPr="00FC43E4">
        <w:rPr>
          <w:sz w:val="20"/>
          <w:szCs w:val="20"/>
          <w:shd w:val="clear" w:color="auto" w:fill="FFFFFF"/>
        </w:rPr>
        <w:t>Basutinib</w:t>
      </w:r>
      <w:proofErr w:type="spellEnd"/>
      <w:r w:rsidR="00A27D5D" w:rsidRPr="00FC43E4">
        <w:rPr>
          <w:sz w:val="20"/>
          <w:szCs w:val="20"/>
          <w:shd w:val="clear" w:color="auto" w:fill="FFFFFF"/>
        </w:rPr>
        <w:t xml:space="preserve"> etc.) (6</w:t>
      </w:r>
      <w:r w:rsidRPr="00FC43E4">
        <w:rPr>
          <w:sz w:val="20"/>
          <w:szCs w:val="20"/>
          <w:shd w:val="clear" w:color="auto" w:fill="FFFFFF"/>
        </w:rPr>
        <w:t xml:space="preserve">) </w:t>
      </w:r>
      <w:proofErr w:type="gramStart"/>
      <w:r w:rsidRPr="00FC43E4">
        <w:rPr>
          <w:sz w:val="20"/>
          <w:szCs w:val="20"/>
          <w:shd w:val="clear" w:color="auto" w:fill="FFFFFF"/>
        </w:rPr>
        <w:t>may</w:t>
      </w:r>
      <w:proofErr w:type="gramEnd"/>
      <w:r w:rsidRPr="00FC43E4">
        <w:rPr>
          <w:sz w:val="20"/>
          <w:szCs w:val="20"/>
          <w:shd w:val="clear" w:color="auto" w:fill="FFFFFF"/>
        </w:rPr>
        <w:t xml:space="preserve"> be planned.</w:t>
      </w:r>
    </w:p>
    <w:p w:rsidR="0019198A" w:rsidRPr="00FC43E4" w:rsidRDefault="0019198A" w:rsidP="00C811AD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19198A" w:rsidRPr="00FC43E4" w:rsidRDefault="0019198A" w:rsidP="00C811AD">
      <w:pPr>
        <w:bidi w:val="0"/>
        <w:snapToGrid w:val="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FC43E4">
        <w:rPr>
          <w:b/>
          <w:bCs/>
          <w:sz w:val="20"/>
          <w:szCs w:val="20"/>
        </w:rPr>
        <w:t>Conclusion:</w:t>
      </w:r>
    </w:p>
    <w:p w:rsidR="006720FE" w:rsidRPr="00FC43E4" w:rsidRDefault="0019198A" w:rsidP="00C811AD">
      <w:pPr>
        <w:bidi w:val="0"/>
        <w:snapToGrid w:val="0"/>
        <w:ind w:firstLine="425"/>
        <w:jc w:val="both"/>
        <w:rPr>
          <w:rFonts w:eastAsiaTheme="minorEastAsia"/>
          <w:b/>
          <w:bCs/>
          <w:sz w:val="20"/>
          <w:szCs w:val="20"/>
          <w:lang w:eastAsia="zh-CN"/>
        </w:rPr>
      </w:pPr>
      <w:proofErr w:type="spellStart"/>
      <w:r w:rsidRPr="00FC43E4">
        <w:rPr>
          <w:b/>
          <w:bCs/>
          <w:sz w:val="20"/>
          <w:szCs w:val="20"/>
        </w:rPr>
        <w:t>Imatinib</w:t>
      </w:r>
      <w:proofErr w:type="spellEnd"/>
      <w:r w:rsidRPr="00FC43E4">
        <w:rPr>
          <w:b/>
          <w:bCs/>
          <w:sz w:val="20"/>
          <w:szCs w:val="20"/>
        </w:rPr>
        <w:t xml:space="preserve"> </w:t>
      </w:r>
      <w:proofErr w:type="spellStart"/>
      <w:r w:rsidRPr="00FC43E4">
        <w:rPr>
          <w:b/>
          <w:bCs/>
          <w:sz w:val="20"/>
          <w:szCs w:val="20"/>
        </w:rPr>
        <w:t>mesylate</w:t>
      </w:r>
      <w:proofErr w:type="spellEnd"/>
      <w:r w:rsidRPr="00FC43E4">
        <w:rPr>
          <w:b/>
          <w:bCs/>
          <w:sz w:val="20"/>
          <w:szCs w:val="20"/>
        </w:rPr>
        <w:t xml:space="preserve"> has substantial activity in CML. Lower </w:t>
      </w:r>
      <w:proofErr w:type="spellStart"/>
      <w:r w:rsidRPr="00FC43E4">
        <w:rPr>
          <w:b/>
          <w:bCs/>
          <w:sz w:val="20"/>
          <w:szCs w:val="20"/>
        </w:rPr>
        <w:t>Sokal</w:t>
      </w:r>
      <w:proofErr w:type="spellEnd"/>
      <w:r w:rsidRPr="00FC43E4">
        <w:rPr>
          <w:b/>
          <w:bCs/>
          <w:sz w:val="20"/>
          <w:szCs w:val="20"/>
        </w:rPr>
        <w:t xml:space="preserve"> score at time of presentation predict the higher cytogenetic response in patients with chronic phase CML.</w:t>
      </w:r>
    </w:p>
    <w:p w:rsidR="006F007B" w:rsidRPr="00FC43E4" w:rsidRDefault="006F007B" w:rsidP="006F007B">
      <w:pPr>
        <w:bidi w:val="0"/>
        <w:snapToGrid w:val="0"/>
        <w:ind w:firstLine="425"/>
        <w:jc w:val="both"/>
        <w:rPr>
          <w:rFonts w:eastAsiaTheme="minorEastAsia"/>
          <w:b/>
          <w:bCs/>
          <w:sz w:val="20"/>
          <w:szCs w:val="20"/>
          <w:lang w:eastAsia="zh-CN"/>
        </w:rPr>
      </w:pPr>
    </w:p>
    <w:p w:rsidR="006720FE" w:rsidRPr="00FC43E4" w:rsidRDefault="006720FE" w:rsidP="00C811AD">
      <w:pPr>
        <w:bidi w:val="0"/>
        <w:snapToGrid w:val="0"/>
        <w:jc w:val="both"/>
        <w:rPr>
          <w:b/>
          <w:bCs/>
          <w:sz w:val="20"/>
          <w:szCs w:val="20"/>
          <w:shd w:val="clear" w:color="auto" w:fill="FFFFFF"/>
        </w:rPr>
      </w:pPr>
      <w:r w:rsidRPr="00FC43E4">
        <w:rPr>
          <w:b/>
          <w:bCs/>
          <w:sz w:val="20"/>
          <w:szCs w:val="20"/>
          <w:shd w:val="clear" w:color="auto" w:fill="FFFFFF"/>
        </w:rPr>
        <w:t>References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sz w:val="20"/>
          <w:szCs w:val="20"/>
        </w:rPr>
      </w:pPr>
      <w:proofErr w:type="spellStart"/>
      <w:r w:rsidRPr="00FC43E4">
        <w:rPr>
          <w:sz w:val="20"/>
          <w:szCs w:val="20"/>
        </w:rPr>
        <w:t>Apperley</w:t>
      </w:r>
      <w:proofErr w:type="spellEnd"/>
      <w:r w:rsidRPr="00FC43E4">
        <w:rPr>
          <w:sz w:val="20"/>
          <w:szCs w:val="20"/>
        </w:rPr>
        <w:t xml:space="preserve"> JF. Part 1: mechanisms of resistance to </w:t>
      </w:r>
      <w:proofErr w:type="spellStart"/>
      <w:r w:rsidRPr="00FC43E4">
        <w:rPr>
          <w:sz w:val="20"/>
          <w:szCs w:val="20"/>
        </w:rPr>
        <w:t>imatinib</w:t>
      </w:r>
      <w:proofErr w:type="spellEnd"/>
      <w:r w:rsidRPr="00FC43E4">
        <w:rPr>
          <w:sz w:val="20"/>
          <w:szCs w:val="20"/>
        </w:rPr>
        <w:t xml:space="preserve"> in chronic myeloid leukemia. </w:t>
      </w:r>
      <w:r w:rsidRPr="00FC43E4">
        <w:rPr>
          <w:i/>
          <w:iCs/>
          <w:sz w:val="20"/>
          <w:szCs w:val="20"/>
        </w:rPr>
        <w:t xml:space="preserve">Lancet </w:t>
      </w:r>
      <w:proofErr w:type="spellStart"/>
      <w:r w:rsidRPr="00FC43E4">
        <w:rPr>
          <w:i/>
          <w:iCs/>
          <w:sz w:val="20"/>
          <w:szCs w:val="20"/>
        </w:rPr>
        <w:t>Oncol</w:t>
      </w:r>
      <w:proofErr w:type="spellEnd"/>
      <w:r w:rsidRPr="00FC43E4">
        <w:rPr>
          <w:sz w:val="20"/>
          <w:szCs w:val="20"/>
        </w:rPr>
        <w:t xml:space="preserve"> 2007; </w:t>
      </w:r>
      <w:r w:rsidRPr="00FC43E4">
        <w:rPr>
          <w:bCs/>
          <w:sz w:val="20"/>
          <w:szCs w:val="20"/>
        </w:rPr>
        <w:t>8</w:t>
      </w:r>
      <w:r w:rsidR="00FC43E4">
        <w:rPr>
          <w:sz w:val="20"/>
          <w:szCs w:val="20"/>
        </w:rPr>
        <w:t>:</w:t>
      </w:r>
      <w:r w:rsidRPr="00FC43E4">
        <w:rPr>
          <w:sz w:val="20"/>
          <w:szCs w:val="20"/>
        </w:rPr>
        <w:t>1018-1029</w:t>
      </w:r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mixed-citation"/>
          <w:sz w:val="20"/>
          <w:szCs w:val="20"/>
          <w:shd w:val="clear" w:color="auto" w:fill="FFFFFF"/>
        </w:rPr>
      </w:pPr>
      <w:proofErr w:type="spellStart"/>
      <w:r w:rsidRPr="00FC43E4">
        <w:rPr>
          <w:sz w:val="20"/>
          <w:szCs w:val="20"/>
        </w:rPr>
        <w:t>Baccarani</w:t>
      </w:r>
      <w:proofErr w:type="spellEnd"/>
      <w:r w:rsidRPr="00FC43E4">
        <w:rPr>
          <w:sz w:val="20"/>
          <w:szCs w:val="20"/>
        </w:rPr>
        <w:t xml:space="preserve"> M, </w:t>
      </w:r>
      <w:proofErr w:type="spellStart"/>
      <w:r w:rsidRPr="00FC43E4">
        <w:rPr>
          <w:sz w:val="20"/>
          <w:szCs w:val="20"/>
        </w:rPr>
        <w:t>Dreyling</w:t>
      </w:r>
      <w:proofErr w:type="spellEnd"/>
      <w:r w:rsidRPr="00FC43E4">
        <w:rPr>
          <w:sz w:val="20"/>
          <w:szCs w:val="20"/>
        </w:rPr>
        <w:t xml:space="preserve"> M; ESMO Guidelines Working Group. Chronic myeloid </w:t>
      </w:r>
      <w:proofErr w:type="spellStart"/>
      <w:r w:rsidRPr="00FC43E4">
        <w:rPr>
          <w:sz w:val="20"/>
          <w:szCs w:val="20"/>
        </w:rPr>
        <w:t>leukaemia</w:t>
      </w:r>
      <w:proofErr w:type="spellEnd"/>
      <w:r w:rsidRPr="00FC43E4">
        <w:rPr>
          <w:sz w:val="20"/>
          <w:szCs w:val="20"/>
        </w:rPr>
        <w:t>: ESMO Clinical Practice Guidelines for diagnosis, treatment and follow-up.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i/>
          <w:iCs/>
          <w:sz w:val="20"/>
          <w:szCs w:val="20"/>
          <w:bdr w:val="none" w:sz="0" w:space="0" w:color="auto" w:frame="1"/>
        </w:rPr>
        <w:t xml:space="preserve">Ann </w:t>
      </w:r>
      <w:proofErr w:type="spellStart"/>
      <w:r w:rsidRPr="00FC43E4">
        <w:rPr>
          <w:i/>
          <w:iCs/>
          <w:sz w:val="20"/>
          <w:szCs w:val="20"/>
          <w:bdr w:val="none" w:sz="0" w:space="0" w:color="auto" w:frame="1"/>
        </w:rPr>
        <w:t>Oncol</w:t>
      </w:r>
      <w:proofErr w:type="spellEnd"/>
      <w:r w:rsidRPr="00FC43E4">
        <w:rPr>
          <w:sz w:val="20"/>
          <w:szCs w:val="20"/>
        </w:rPr>
        <w:t>. 2010</w:t>
      </w:r>
      <w:proofErr w:type="gramStart"/>
      <w:r w:rsidRPr="00FC43E4">
        <w:rPr>
          <w:sz w:val="20"/>
          <w:szCs w:val="20"/>
        </w:rPr>
        <w:t>;21</w:t>
      </w:r>
      <w:proofErr w:type="gramEnd"/>
      <w:r w:rsidRPr="00FC43E4">
        <w:rPr>
          <w:sz w:val="20"/>
          <w:szCs w:val="20"/>
        </w:rPr>
        <w:t>(</w:t>
      </w:r>
      <w:proofErr w:type="spellStart"/>
      <w:r w:rsidRPr="00FC43E4">
        <w:rPr>
          <w:sz w:val="20"/>
          <w:szCs w:val="20"/>
        </w:rPr>
        <w:t>suppl</w:t>
      </w:r>
      <w:proofErr w:type="spellEnd"/>
      <w:r w:rsidRPr="00FC43E4">
        <w:rPr>
          <w:sz w:val="20"/>
          <w:szCs w:val="20"/>
        </w:rPr>
        <w:t xml:space="preserve"> 5):v165–v167.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mixed-citation"/>
          <w:sz w:val="20"/>
          <w:szCs w:val="20"/>
        </w:rPr>
      </w:pPr>
      <w:r w:rsidRPr="00FC43E4">
        <w:rPr>
          <w:rStyle w:val="mixed-citation"/>
          <w:sz w:val="20"/>
          <w:szCs w:val="20"/>
        </w:rPr>
        <w:t>Bixby D.,</w:t>
      </w:r>
      <w:r w:rsidR="00FC43E4" w:rsidRPr="00FC43E4">
        <w:rPr>
          <w:rStyle w:val="mixed-citation"/>
          <w:sz w:val="20"/>
          <w:szCs w:val="20"/>
        </w:rPr>
        <w:t xml:space="preserve"> </w:t>
      </w:r>
      <w:proofErr w:type="spellStart"/>
      <w:r w:rsidRPr="00FC43E4">
        <w:rPr>
          <w:rStyle w:val="mixed-citation"/>
          <w:sz w:val="20"/>
          <w:szCs w:val="20"/>
        </w:rPr>
        <w:t>Talpaz</w:t>
      </w:r>
      <w:proofErr w:type="spellEnd"/>
      <w:r w:rsidRPr="00FC43E4">
        <w:rPr>
          <w:rStyle w:val="mixed-citation"/>
          <w:sz w:val="20"/>
          <w:szCs w:val="20"/>
        </w:rPr>
        <w:t xml:space="preserve"> M. (2009)</w:t>
      </w:r>
      <w:r w:rsidR="00FC43E4" w:rsidRPr="00FC43E4">
        <w:rPr>
          <w:rStyle w:val="mixed-citation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Mechanisms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of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 xml:space="preserve">resistance to tyrosine </w:t>
      </w:r>
      <w:proofErr w:type="spellStart"/>
      <w:r w:rsidRPr="00FC43E4">
        <w:rPr>
          <w:rStyle w:val="ref-title"/>
          <w:sz w:val="20"/>
          <w:szCs w:val="20"/>
        </w:rPr>
        <w:t>kinase</w:t>
      </w:r>
      <w:proofErr w:type="spellEnd"/>
      <w:r w:rsidRPr="00FC43E4">
        <w:rPr>
          <w:rStyle w:val="ref-title"/>
          <w:sz w:val="20"/>
          <w:szCs w:val="20"/>
        </w:rPr>
        <w:t xml:space="preserve"> inhibitors in chronic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myeloid leukemia and recent therapeutic strategies to overcome resistance</w:t>
      </w:r>
      <w:r w:rsidRPr="00FC43E4">
        <w:rPr>
          <w:rStyle w:val="mixed-citation"/>
          <w:sz w:val="20"/>
          <w:szCs w:val="20"/>
        </w:rPr>
        <w:t xml:space="preserve">. </w:t>
      </w:r>
      <w:r w:rsidRPr="00FC43E4">
        <w:rPr>
          <w:rStyle w:val="ref-journal"/>
          <w:sz w:val="20"/>
          <w:szCs w:val="20"/>
        </w:rPr>
        <w:t>Hematology Am Soc</w:t>
      </w:r>
      <w:r w:rsidR="00FC43E4">
        <w:rPr>
          <w:rStyle w:val="ref-journal"/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FC43E4">
        <w:rPr>
          <w:rStyle w:val="ref-journal"/>
          <w:sz w:val="20"/>
          <w:szCs w:val="20"/>
        </w:rPr>
        <w:t>Hematol</w:t>
      </w:r>
      <w:proofErr w:type="spellEnd"/>
      <w:r w:rsidR="00FC43E4">
        <w:rPr>
          <w:rStyle w:val="ref-journal"/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FC43E4">
        <w:rPr>
          <w:rStyle w:val="ref-journal"/>
          <w:sz w:val="20"/>
          <w:szCs w:val="20"/>
        </w:rPr>
        <w:t>Educ</w:t>
      </w:r>
      <w:proofErr w:type="spellEnd"/>
      <w:r w:rsidRPr="00FC43E4">
        <w:rPr>
          <w:rStyle w:val="ref-journal"/>
          <w:sz w:val="20"/>
          <w:szCs w:val="20"/>
        </w:rPr>
        <w:t xml:space="preserve"> Program</w:t>
      </w:r>
      <w:r w:rsidRPr="00FC43E4">
        <w:rPr>
          <w:rStyle w:val="mixed-citation"/>
          <w:sz w:val="20"/>
          <w:szCs w:val="20"/>
        </w:rPr>
        <w:t xml:space="preserve"> 461–476</w:t>
      </w:r>
      <w:r w:rsidR="00FC43E4" w:rsidRPr="00FC43E4">
        <w:rPr>
          <w:rStyle w:val="mixed-citation"/>
          <w:rFonts w:eastAsiaTheme="minorEastAsia" w:hint="eastAsia"/>
          <w:sz w:val="20"/>
          <w:szCs w:val="20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sz w:val="20"/>
          <w:szCs w:val="20"/>
        </w:rPr>
      </w:pPr>
      <w:proofErr w:type="spellStart"/>
      <w:r w:rsidRPr="00FC43E4">
        <w:rPr>
          <w:rStyle w:val="ref-title"/>
          <w:sz w:val="20"/>
          <w:szCs w:val="20"/>
        </w:rPr>
        <w:t>Doaa</w:t>
      </w:r>
      <w:proofErr w:type="spellEnd"/>
      <w:r w:rsidRPr="00FC43E4">
        <w:rPr>
          <w:rStyle w:val="ref-title"/>
          <w:sz w:val="20"/>
          <w:szCs w:val="20"/>
        </w:rPr>
        <w:t xml:space="preserve"> M. </w:t>
      </w:r>
      <w:proofErr w:type="spellStart"/>
      <w:r w:rsidRPr="00FC43E4">
        <w:rPr>
          <w:rStyle w:val="ref-title"/>
          <w:sz w:val="20"/>
          <w:szCs w:val="20"/>
        </w:rPr>
        <w:t>Elghannam</w:t>
      </w:r>
      <w:proofErr w:type="spellEnd"/>
      <w:r w:rsidRPr="00FC43E4">
        <w:rPr>
          <w:rStyle w:val="ref-title"/>
          <w:sz w:val="20"/>
          <w:szCs w:val="20"/>
        </w:rPr>
        <w:t xml:space="preserve">, Lamia Ibrahim, Mohamed A. </w:t>
      </w:r>
      <w:proofErr w:type="spellStart"/>
      <w:r w:rsidRPr="00FC43E4">
        <w:rPr>
          <w:rStyle w:val="ref-title"/>
          <w:sz w:val="20"/>
          <w:szCs w:val="20"/>
        </w:rPr>
        <w:t>Ebrahim</w:t>
      </w:r>
      <w:proofErr w:type="spellEnd"/>
      <w:r w:rsidRPr="00FC43E4">
        <w:rPr>
          <w:rStyle w:val="ref-title"/>
          <w:sz w:val="20"/>
          <w:szCs w:val="20"/>
        </w:rPr>
        <w:t xml:space="preserve"> </w:t>
      </w:r>
      <w:r w:rsidRPr="00FC43E4">
        <w:rPr>
          <w:i/>
          <w:iCs/>
          <w:sz w:val="20"/>
          <w:szCs w:val="20"/>
        </w:rPr>
        <w:t>et al.</w:t>
      </w:r>
      <w:r w:rsidR="00FC43E4">
        <w:rPr>
          <w:rFonts w:eastAsiaTheme="minorEastAsia" w:hint="eastAsia"/>
          <w:i/>
          <w:iCs/>
          <w:sz w:val="20"/>
          <w:szCs w:val="20"/>
          <w:lang w:eastAsia="zh-CN"/>
        </w:rPr>
        <w:t xml:space="preserve"> </w:t>
      </w:r>
      <w:r w:rsidRPr="00FC43E4">
        <w:rPr>
          <w:rStyle w:val="ref-title"/>
          <w:sz w:val="20"/>
          <w:szCs w:val="20"/>
        </w:rPr>
        <w:t xml:space="preserve">Association of MDR1 gene polymorphism(G2677T) with </w:t>
      </w:r>
      <w:proofErr w:type="spellStart"/>
      <w:r w:rsidRPr="00FC43E4">
        <w:rPr>
          <w:rStyle w:val="ref-title"/>
          <w:sz w:val="20"/>
          <w:szCs w:val="20"/>
        </w:rPr>
        <w:t>imatinib</w:t>
      </w:r>
      <w:proofErr w:type="spellEnd"/>
      <w:r w:rsidRPr="00FC43E4">
        <w:rPr>
          <w:rStyle w:val="ref-title"/>
          <w:sz w:val="20"/>
          <w:szCs w:val="20"/>
        </w:rPr>
        <w:t xml:space="preserve"> response in Egyptian chronic myeloid leukemia patients Hematology 2014 VOL. 19 NO.3</w:t>
      </w:r>
      <w:r w:rsidR="00FC43E4" w:rsidRPr="00FC43E4">
        <w:rPr>
          <w:rStyle w:val="ref-title"/>
          <w:rFonts w:eastAsiaTheme="minorEastAsia" w:hint="eastAsia"/>
          <w:sz w:val="20"/>
          <w:szCs w:val="20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C43E4">
        <w:rPr>
          <w:sz w:val="20"/>
          <w:szCs w:val="20"/>
        </w:rPr>
        <w:t xml:space="preserve">Faber E, </w:t>
      </w:r>
      <w:proofErr w:type="spellStart"/>
      <w:r w:rsidRPr="00FC43E4">
        <w:rPr>
          <w:sz w:val="20"/>
          <w:szCs w:val="20"/>
        </w:rPr>
        <w:t>Nausová</w:t>
      </w:r>
      <w:proofErr w:type="spellEnd"/>
      <w:r w:rsidRPr="00FC43E4">
        <w:rPr>
          <w:sz w:val="20"/>
          <w:szCs w:val="20"/>
        </w:rPr>
        <w:t xml:space="preserve"> J, </w:t>
      </w:r>
      <w:proofErr w:type="spellStart"/>
      <w:r w:rsidRPr="00FC43E4">
        <w:rPr>
          <w:sz w:val="20"/>
          <w:szCs w:val="20"/>
        </w:rPr>
        <w:t>Jarosová</w:t>
      </w:r>
      <w:proofErr w:type="spellEnd"/>
      <w:r w:rsidRPr="00FC43E4">
        <w:rPr>
          <w:sz w:val="20"/>
          <w:szCs w:val="20"/>
        </w:rPr>
        <w:t xml:space="preserve"> M, </w:t>
      </w:r>
      <w:proofErr w:type="spellStart"/>
      <w:r w:rsidRPr="00FC43E4">
        <w:rPr>
          <w:sz w:val="20"/>
          <w:szCs w:val="20"/>
        </w:rPr>
        <w:t>Egorin</w:t>
      </w:r>
      <w:proofErr w:type="spellEnd"/>
      <w:r w:rsidRPr="00FC43E4">
        <w:rPr>
          <w:sz w:val="20"/>
          <w:szCs w:val="20"/>
        </w:rPr>
        <w:t xml:space="preserve"> MJ, </w:t>
      </w:r>
      <w:proofErr w:type="spellStart"/>
      <w:r w:rsidRPr="00FC43E4">
        <w:rPr>
          <w:sz w:val="20"/>
          <w:szCs w:val="20"/>
        </w:rPr>
        <w:t>Holzerová</w:t>
      </w:r>
      <w:proofErr w:type="spellEnd"/>
      <w:r w:rsidRPr="00FC43E4">
        <w:rPr>
          <w:sz w:val="20"/>
          <w:szCs w:val="20"/>
        </w:rPr>
        <w:t xml:space="preserve"> M, </w:t>
      </w:r>
      <w:proofErr w:type="spellStart"/>
      <w:r w:rsidRPr="00FC43E4">
        <w:rPr>
          <w:sz w:val="20"/>
          <w:szCs w:val="20"/>
        </w:rPr>
        <w:t>Rozmanová</w:t>
      </w:r>
      <w:proofErr w:type="spellEnd"/>
      <w:r w:rsidRPr="00FC43E4">
        <w:rPr>
          <w:sz w:val="20"/>
          <w:szCs w:val="20"/>
        </w:rPr>
        <w:t xml:space="preserve"> S, </w:t>
      </w:r>
      <w:r w:rsidRPr="00FC43E4">
        <w:rPr>
          <w:i/>
          <w:iCs/>
          <w:sz w:val="20"/>
          <w:szCs w:val="20"/>
        </w:rPr>
        <w:t>et al.</w:t>
      </w:r>
      <w:r w:rsidRPr="00FC43E4">
        <w:rPr>
          <w:sz w:val="20"/>
          <w:szCs w:val="20"/>
        </w:rPr>
        <w:t xml:space="preserve"> Intermittent dosage of </w:t>
      </w:r>
      <w:proofErr w:type="spellStart"/>
      <w:r w:rsidRPr="00FC43E4">
        <w:rPr>
          <w:sz w:val="20"/>
          <w:szCs w:val="20"/>
        </w:rPr>
        <w:t>imatinibmesylate</w:t>
      </w:r>
      <w:proofErr w:type="spellEnd"/>
      <w:r w:rsidRPr="00FC43E4">
        <w:rPr>
          <w:sz w:val="20"/>
          <w:szCs w:val="20"/>
        </w:rPr>
        <w:t xml:space="preserve"> in CML patients with a history of significant hematologic toxicity after standard dosing. </w:t>
      </w:r>
      <w:proofErr w:type="spellStart"/>
      <w:r w:rsidRPr="00FC43E4">
        <w:rPr>
          <w:i/>
          <w:iCs/>
          <w:sz w:val="20"/>
          <w:szCs w:val="20"/>
        </w:rPr>
        <w:t>Leuk</w:t>
      </w:r>
      <w:proofErr w:type="spellEnd"/>
      <w:r w:rsidRPr="00FC43E4">
        <w:rPr>
          <w:i/>
          <w:iCs/>
          <w:sz w:val="20"/>
          <w:szCs w:val="20"/>
        </w:rPr>
        <w:t xml:space="preserve"> Lymphoma</w:t>
      </w:r>
      <w:r w:rsidRPr="00FC43E4">
        <w:rPr>
          <w:sz w:val="20"/>
          <w:szCs w:val="20"/>
        </w:rPr>
        <w:t xml:space="preserve"> 2006; </w:t>
      </w:r>
      <w:r w:rsidRPr="00FC43E4">
        <w:rPr>
          <w:bCs/>
          <w:sz w:val="20"/>
          <w:szCs w:val="20"/>
        </w:rPr>
        <w:t>47</w:t>
      </w:r>
      <w:r w:rsidR="00FC43E4">
        <w:rPr>
          <w:sz w:val="20"/>
          <w:szCs w:val="20"/>
        </w:rPr>
        <w:t>:</w:t>
      </w:r>
      <w:r w:rsidRPr="00FC43E4">
        <w:rPr>
          <w:sz w:val="20"/>
          <w:szCs w:val="20"/>
        </w:rPr>
        <w:t>1082-1090.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mixed-citation"/>
          <w:sz w:val="20"/>
          <w:szCs w:val="20"/>
          <w:shd w:val="clear" w:color="auto" w:fill="FFFFFF"/>
        </w:rPr>
      </w:pPr>
      <w:proofErr w:type="spellStart"/>
      <w:r w:rsidRPr="00FC43E4">
        <w:rPr>
          <w:sz w:val="20"/>
          <w:szCs w:val="20"/>
          <w:shd w:val="clear" w:color="auto" w:fill="FFFFFF"/>
        </w:rPr>
        <w:t>Guoqing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W, </w:t>
      </w:r>
      <w:proofErr w:type="spellStart"/>
      <w:r w:rsidRPr="00FC43E4">
        <w:rPr>
          <w:sz w:val="20"/>
          <w:szCs w:val="20"/>
          <w:shd w:val="clear" w:color="auto" w:fill="FFFFFF"/>
        </w:rPr>
        <w:t>Shamudheen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R, Delong L. First line treatment for chronic myeloid leukemia: </w:t>
      </w:r>
      <w:proofErr w:type="spellStart"/>
      <w:r w:rsidRPr="00FC43E4">
        <w:rPr>
          <w:sz w:val="20"/>
          <w:szCs w:val="20"/>
          <w:shd w:val="clear" w:color="auto" w:fill="FFFFFF"/>
        </w:rPr>
        <w:t>dasatinib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FC43E4">
        <w:rPr>
          <w:sz w:val="20"/>
          <w:szCs w:val="20"/>
          <w:shd w:val="clear" w:color="auto" w:fill="FFFFFF"/>
        </w:rPr>
        <w:t>nilotinib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or </w:t>
      </w:r>
      <w:proofErr w:type="spellStart"/>
      <w:r w:rsidRPr="00FC43E4">
        <w:rPr>
          <w:sz w:val="20"/>
          <w:szCs w:val="20"/>
          <w:shd w:val="clear" w:color="auto" w:fill="FFFFFF"/>
        </w:rPr>
        <w:t>imatinib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. J </w:t>
      </w:r>
      <w:proofErr w:type="spellStart"/>
      <w:r w:rsidRPr="00FC43E4">
        <w:rPr>
          <w:sz w:val="20"/>
          <w:szCs w:val="20"/>
          <w:shd w:val="clear" w:color="auto" w:fill="FFFFFF"/>
        </w:rPr>
        <w:t>Hematol</w:t>
      </w:r>
      <w:proofErr w:type="spellEnd"/>
      <w:r w:rsid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 w:rsidRPr="00FC43E4">
        <w:rPr>
          <w:sz w:val="20"/>
          <w:szCs w:val="20"/>
          <w:shd w:val="clear" w:color="auto" w:fill="FFFFFF"/>
        </w:rPr>
        <w:t>Oncol</w:t>
      </w:r>
      <w:proofErr w:type="spellEnd"/>
      <w:r w:rsidRPr="00FC43E4">
        <w:rPr>
          <w:sz w:val="20"/>
          <w:szCs w:val="20"/>
          <w:shd w:val="clear" w:color="auto" w:fill="FFFFFF"/>
        </w:rPr>
        <w:t>.</w:t>
      </w:r>
      <w:r w:rsid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FC43E4">
        <w:rPr>
          <w:sz w:val="20"/>
          <w:szCs w:val="20"/>
          <w:shd w:val="clear" w:color="auto" w:fill="FFFFFF"/>
        </w:rPr>
        <w:t>2010</w:t>
      </w:r>
      <w:proofErr w:type="gramStart"/>
      <w:r w:rsidRPr="00FC43E4">
        <w:rPr>
          <w:sz w:val="20"/>
          <w:szCs w:val="20"/>
          <w:shd w:val="clear" w:color="auto" w:fill="FFFFFF"/>
        </w:rPr>
        <w:t>;3</w:t>
      </w:r>
      <w:proofErr w:type="gramEnd"/>
      <w:r w:rsidRPr="00FC43E4">
        <w:rPr>
          <w:sz w:val="20"/>
          <w:szCs w:val="20"/>
          <w:shd w:val="clear" w:color="auto" w:fill="FFFFFF"/>
        </w:rPr>
        <w:t>(47):3–10.</w:t>
      </w:r>
      <w:r w:rsid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FC43E4">
        <w:rPr>
          <w:sz w:val="20"/>
          <w:szCs w:val="20"/>
          <w:shd w:val="clear" w:color="auto" w:fill="FFFFFF"/>
        </w:rPr>
        <w:t>[</w:t>
      </w:r>
      <w:hyperlink r:id="rId17" w:history="1">
        <w:r w:rsidRPr="00FC43E4">
          <w:rPr>
            <w:sz w:val="20"/>
            <w:szCs w:val="20"/>
            <w:shd w:val="clear" w:color="auto" w:fill="FFFFFF"/>
          </w:rPr>
          <w:t>PMC free article</w:t>
        </w:r>
      </w:hyperlink>
      <w:r w:rsidRPr="00FC43E4">
        <w:rPr>
          <w:sz w:val="20"/>
          <w:szCs w:val="20"/>
          <w:shd w:val="clear" w:color="auto" w:fill="FFFFFF"/>
        </w:rPr>
        <w:t>] [</w:t>
      </w:r>
      <w:proofErr w:type="spellStart"/>
      <w:r w:rsidR="00DC5C46" w:rsidRPr="00FC43E4">
        <w:rPr>
          <w:sz w:val="20"/>
          <w:szCs w:val="20"/>
        </w:rPr>
        <w:fldChar w:fldCharType="begin"/>
      </w:r>
      <w:r w:rsidR="00F23D7D" w:rsidRPr="00FC43E4">
        <w:rPr>
          <w:sz w:val="20"/>
          <w:szCs w:val="20"/>
        </w:rPr>
        <w:instrText>HYPERLINK "http://www.ncbi.nlm.nih.gov/pubmed/21108851" \t "pmc_ext"</w:instrText>
      </w:r>
      <w:r w:rsidR="00DC5C46" w:rsidRPr="00FC43E4">
        <w:rPr>
          <w:sz w:val="20"/>
          <w:szCs w:val="20"/>
        </w:rPr>
        <w:fldChar w:fldCharType="separate"/>
      </w:r>
      <w:r w:rsidRPr="00FC43E4">
        <w:rPr>
          <w:sz w:val="20"/>
          <w:szCs w:val="20"/>
          <w:shd w:val="clear" w:color="auto" w:fill="FFFFFF"/>
        </w:rPr>
        <w:t>PubMed</w:t>
      </w:r>
      <w:proofErr w:type="spellEnd"/>
      <w:r w:rsidR="00DC5C46" w:rsidRPr="00FC43E4">
        <w:rPr>
          <w:sz w:val="20"/>
          <w:szCs w:val="20"/>
        </w:rPr>
        <w:fldChar w:fldCharType="end"/>
      </w:r>
      <w:r w:rsidRPr="00FC43E4">
        <w:rPr>
          <w:sz w:val="20"/>
          <w:szCs w:val="20"/>
          <w:shd w:val="clear" w:color="auto" w:fill="FFFFFF"/>
        </w:rPr>
        <w:t>]</w:t>
      </w:r>
      <w:r w:rsidR="00FC43E4" w:rsidRPr="00FC43E4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Fonts w:eastAsia="Arial Unicode MS"/>
          <w:sz w:val="20"/>
          <w:szCs w:val="20"/>
        </w:rPr>
      </w:pPr>
      <w:proofErr w:type="spellStart"/>
      <w:r w:rsidRPr="00FC43E4">
        <w:rPr>
          <w:sz w:val="20"/>
          <w:szCs w:val="20"/>
          <w:shd w:val="clear" w:color="auto" w:fill="FFFFFF"/>
          <w:lang w:val="fr-FR"/>
        </w:rPr>
        <w:t>Hasford</w:t>
      </w:r>
      <w:proofErr w:type="spellEnd"/>
      <w:r w:rsidRPr="00FC43E4">
        <w:rPr>
          <w:sz w:val="20"/>
          <w:szCs w:val="20"/>
          <w:shd w:val="clear" w:color="auto" w:fill="FFFFFF"/>
          <w:lang w:val="fr-FR"/>
        </w:rPr>
        <w:t xml:space="preserve"> J, </w:t>
      </w:r>
      <w:proofErr w:type="spellStart"/>
      <w:r w:rsidRPr="00FC43E4">
        <w:rPr>
          <w:sz w:val="20"/>
          <w:szCs w:val="20"/>
          <w:shd w:val="clear" w:color="auto" w:fill="FFFFFF"/>
          <w:lang w:val="fr-FR"/>
        </w:rPr>
        <w:t>Baccarani</w:t>
      </w:r>
      <w:proofErr w:type="spellEnd"/>
      <w:r w:rsidRPr="00FC43E4">
        <w:rPr>
          <w:sz w:val="20"/>
          <w:szCs w:val="20"/>
          <w:shd w:val="clear" w:color="auto" w:fill="FFFFFF"/>
          <w:lang w:val="fr-FR"/>
        </w:rPr>
        <w:t xml:space="preserve"> M, Hoffmann V, </w:t>
      </w:r>
      <w:r w:rsidRPr="00FC43E4">
        <w:rPr>
          <w:i/>
          <w:iCs/>
          <w:sz w:val="20"/>
          <w:szCs w:val="20"/>
          <w:lang w:val="fr-FR"/>
        </w:rPr>
        <w:t>et al.</w:t>
      </w:r>
      <w:r w:rsidRPr="00FC43E4">
        <w:rPr>
          <w:sz w:val="20"/>
          <w:szCs w:val="20"/>
          <w:shd w:val="clear" w:color="auto" w:fill="FFFFFF"/>
        </w:rPr>
        <w:t xml:space="preserve">Predicting complete cytogenetic response and subsequent progression-free survival in 2,060 patients with CML on </w:t>
      </w:r>
      <w:proofErr w:type="spellStart"/>
      <w:r w:rsidRPr="00FC43E4">
        <w:rPr>
          <w:sz w:val="20"/>
          <w:szCs w:val="20"/>
          <w:shd w:val="clear" w:color="auto" w:fill="FFFFFF"/>
        </w:rPr>
        <w:t>imatinib</w:t>
      </w:r>
      <w:proofErr w:type="spellEnd"/>
      <w:r w:rsidRPr="00FC43E4">
        <w:rPr>
          <w:sz w:val="20"/>
          <w:szCs w:val="20"/>
          <w:shd w:val="clear" w:color="auto" w:fill="FFFFFF"/>
        </w:rPr>
        <w:t xml:space="preserve"> treatment: the EUTOS </w:t>
      </w:r>
      <w:r w:rsidRPr="00FC43E4">
        <w:rPr>
          <w:rFonts w:eastAsia="Arial Unicode MS"/>
          <w:sz w:val="20"/>
          <w:szCs w:val="20"/>
          <w:shd w:val="clear" w:color="auto" w:fill="FFFFFF"/>
        </w:rPr>
        <w:t>score.</w:t>
      </w:r>
      <w:r w:rsidRPr="00FC43E4">
        <w:rPr>
          <w:rStyle w:val="apple-converted-space"/>
          <w:rFonts w:eastAsia="Arial Unicode MS"/>
          <w:sz w:val="20"/>
          <w:szCs w:val="20"/>
          <w:shd w:val="clear" w:color="auto" w:fill="FFFFFF"/>
        </w:rPr>
        <w:t> </w:t>
      </w:r>
      <w:r w:rsidRPr="00FC43E4">
        <w:rPr>
          <w:rStyle w:val="Emphasis"/>
          <w:rFonts w:eastAsia="Arial Unicode MS"/>
          <w:sz w:val="20"/>
          <w:szCs w:val="20"/>
          <w:bdr w:val="none" w:sz="0" w:space="0" w:color="auto" w:frame="1"/>
          <w:shd w:val="clear" w:color="auto" w:fill="FFFFFF"/>
        </w:rPr>
        <w:t>Blood</w:t>
      </w:r>
      <w:r w:rsidRPr="00FC43E4">
        <w:rPr>
          <w:rFonts w:eastAsia="Arial Unicode MS"/>
          <w:sz w:val="20"/>
          <w:szCs w:val="20"/>
          <w:shd w:val="clear" w:color="auto" w:fill="FFFFFF"/>
        </w:rPr>
        <w:t>. 2011</w:t>
      </w:r>
      <w:proofErr w:type="gramStart"/>
      <w:r w:rsidRPr="00FC43E4">
        <w:rPr>
          <w:rFonts w:eastAsia="Arial Unicode MS"/>
          <w:sz w:val="20"/>
          <w:szCs w:val="20"/>
          <w:shd w:val="clear" w:color="auto" w:fill="FFFFFF"/>
        </w:rPr>
        <w:t>;118</w:t>
      </w:r>
      <w:proofErr w:type="gramEnd"/>
      <w:r w:rsidRPr="00FC43E4">
        <w:rPr>
          <w:rFonts w:eastAsia="Arial Unicode MS"/>
          <w:sz w:val="20"/>
          <w:szCs w:val="20"/>
          <w:shd w:val="clear" w:color="auto" w:fill="FFFFFF"/>
        </w:rPr>
        <w:t>(3):686–692</w:t>
      </w:r>
      <w:r w:rsidR="00FC43E4" w:rsidRPr="00FC43E4">
        <w:rPr>
          <w:rFonts w:eastAsia="Arial Unicode MS" w:hint="eastAsia"/>
          <w:sz w:val="20"/>
          <w:szCs w:val="20"/>
          <w:shd w:val="clear" w:color="auto" w:fill="FFFFFF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mixed-citation"/>
          <w:sz w:val="20"/>
          <w:szCs w:val="20"/>
          <w:shd w:val="clear" w:color="auto" w:fill="FFFFFF"/>
        </w:rPr>
      </w:pPr>
      <w:proofErr w:type="spellStart"/>
      <w:r w:rsidRPr="00FC43E4">
        <w:rPr>
          <w:sz w:val="20"/>
          <w:szCs w:val="20"/>
        </w:rPr>
        <w:t>Höglund</w:t>
      </w:r>
      <w:proofErr w:type="spellEnd"/>
      <w:r w:rsidRPr="00FC43E4">
        <w:rPr>
          <w:sz w:val="20"/>
          <w:szCs w:val="20"/>
        </w:rPr>
        <w:t xml:space="preserve"> M, </w:t>
      </w:r>
      <w:proofErr w:type="spellStart"/>
      <w:r w:rsidRPr="00FC43E4">
        <w:rPr>
          <w:sz w:val="20"/>
          <w:szCs w:val="20"/>
        </w:rPr>
        <w:t>Sandin</w:t>
      </w:r>
      <w:proofErr w:type="spellEnd"/>
      <w:r w:rsidRPr="00FC43E4">
        <w:rPr>
          <w:sz w:val="20"/>
          <w:szCs w:val="20"/>
        </w:rPr>
        <w:t xml:space="preserve"> F, </w:t>
      </w:r>
      <w:proofErr w:type="spellStart"/>
      <w:r w:rsidRPr="00FC43E4">
        <w:rPr>
          <w:sz w:val="20"/>
          <w:szCs w:val="20"/>
        </w:rPr>
        <w:t>Hellström</w:t>
      </w:r>
      <w:proofErr w:type="spellEnd"/>
      <w:r w:rsidRPr="00FC43E4">
        <w:rPr>
          <w:sz w:val="20"/>
          <w:szCs w:val="20"/>
        </w:rPr>
        <w:t xml:space="preserve"> K, </w:t>
      </w:r>
      <w:proofErr w:type="gramStart"/>
      <w:r w:rsidRPr="00FC43E4">
        <w:rPr>
          <w:i/>
          <w:iCs/>
          <w:sz w:val="20"/>
          <w:szCs w:val="20"/>
        </w:rPr>
        <w:t>et</w:t>
      </w:r>
      <w:proofErr w:type="gramEnd"/>
      <w:r w:rsidRPr="00FC43E4">
        <w:rPr>
          <w:i/>
          <w:iCs/>
          <w:sz w:val="20"/>
          <w:szCs w:val="20"/>
        </w:rPr>
        <w:t xml:space="preserve"> </w:t>
      </w:r>
      <w:proofErr w:type="spellStart"/>
      <w:r w:rsidRPr="00FC43E4">
        <w:rPr>
          <w:i/>
          <w:iCs/>
          <w:sz w:val="20"/>
          <w:szCs w:val="20"/>
        </w:rPr>
        <w:t>al.</w:t>
      </w:r>
      <w:r w:rsidRPr="00FC43E4">
        <w:rPr>
          <w:sz w:val="20"/>
          <w:szCs w:val="20"/>
        </w:rPr>
        <w:t>Tyrosine</w:t>
      </w:r>
      <w:proofErr w:type="spellEnd"/>
      <w:r w:rsidRPr="00FC43E4">
        <w:rPr>
          <w:sz w:val="20"/>
          <w:szCs w:val="20"/>
        </w:rPr>
        <w:t xml:space="preserve"> </w:t>
      </w:r>
      <w:proofErr w:type="spellStart"/>
      <w:r w:rsidRPr="00FC43E4">
        <w:rPr>
          <w:sz w:val="20"/>
          <w:szCs w:val="20"/>
        </w:rPr>
        <w:t>kinase</w:t>
      </w:r>
      <w:proofErr w:type="spellEnd"/>
      <w:r w:rsidRPr="00FC43E4">
        <w:rPr>
          <w:sz w:val="20"/>
          <w:szCs w:val="20"/>
        </w:rPr>
        <w:t xml:space="preserve"> inhibitor usage, treatment outcome, and prognostic scores in CML: report from the population-based Swedish CML registry.</w:t>
      </w:r>
      <w:r w:rsidR="00686FBD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i/>
          <w:iCs/>
          <w:sz w:val="20"/>
          <w:szCs w:val="20"/>
          <w:bdr w:val="none" w:sz="0" w:space="0" w:color="auto" w:frame="1"/>
        </w:rPr>
        <w:t>Blood</w:t>
      </w:r>
      <w:r w:rsidRPr="00FC43E4">
        <w:rPr>
          <w:sz w:val="20"/>
          <w:szCs w:val="20"/>
        </w:rPr>
        <w:t>. 2013</w:t>
      </w:r>
      <w:proofErr w:type="gramStart"/>
      <w:r w:rsidRPr="00FC43E4">
        <w:rPr>
          <w:sz w:val="20"/>
          <w:szCs w:val="20"/>
        </w:rPr>
        <w:t>;122</w:t>
      </w:r>
      <w:proofErr w:type="gramEnd"/>
      <w:r w:rsidRPr="00FC43E4">
        <w:rPr>
          <w:sz w:val="20"/>
          <w:szCs w:val="20"/>
        </w:rPr>
        <w:t>(7):1284–1292.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mixed-citation"/>
          <w:sz w:val="20"/>
          <w:szCs w:val="20"/>
          <w:shd w:val="clear" w:color="auto" w:fill="FFFFFF"/>
        </w:rPr>
      </w:pPr>
      <w:r w:rsidRPr="00FC43E4">
        <w:rPr>
          <w:rStyle w:val="mixed-citation"/>
          <w:sz w:val="20"/>
          <w:szCs w:val="20"/>
          <w:shd w:val="clear" w:color="auto" w:fill="FFFFFF"/>
        </w:rPr>
        <w:t xml:space="preserve">Jacob LA, </w:t>
      </w:r>
      <w:proofErr w:type="spellStart"/>
      <w:r w:rsidRPr="00FC43E4">
        <w:rPr>
          <w:rStyle w:val="mixed-citation"/>
          <w:sz w:val="20"/>
          <w:szCs w:val="20"/>
          <w:shd w:val="clear" w:color="auto" w:fill="FFFFFF"/>
        </w:rPr>
        <w:t>Bapsy</w:t>
      </w:r>
      <w:proofErr w:type="spellEnd"/>
      <w:r w:rsidRPr="00FC43E4">
        <w:rPr>
          <w:rStyle w:val="mixed-citation"/>
          <w:sz w:val="20"/>
          <w:szCs w:val="20"/>
          <w:shd w:val="clear" w:color="auto" w:fill="FFFFFF"/>
        </w:rPr>
        <w:t xml:space="preserve"> PP, </w:t>
      </w:r>
      <w:proofErr w:type="spellStart"/>
      <w:r w:rsidRPr="00FC43E4">
        <w:rPr>
          <w:rStyle w:val="mixed-citation"/>
          <w:sz w:val="20"/>
          <w:szCs w:val="20"/>
          <w:shd w:val="clear" w:color="auto" w:fill="FFFFFF"/>
        </w:rPr>
        <w:t>GovindBabuK</w:t>
      </w:r>
      <w:proofErr w:type="spellEnd"/>
      <w:r w:rsidRPr="00FC43E4">
        <w:rPr>
          <w:rStyle w:val="mixed-citation"/>
          <w:sz w:val="20"/>
          <w:szCs w:val="20"/>
          <w:shd w:val="clear" w:color="auto" w:fill="FFFFFF"/>
        </w:rPr>
        <w:t xml:space="preserve">, </w:t>
      </w:r>
      <w:proofErr w:type="spellStart"/>
      <w:r w:rsidRPr="00FC43E4">
        <w:rPr>
          <w:rStyle w:val="mixed-citation"/>
          <w:sz w:val="20"/>
          <w:szCs w:val="20"/>
          <w:shd w:val="clear" w:color="auto" w:fill="FFFFFF"/>
        </w:rPr>
        <w:t>LokanathaImatinibmesylate</w:t>
      </w:r>
      <w:proofErr w:type="spellEnd"/>
      <w:r w:rsidRPr="00FC43E4">
        <w:rPr>
          <w:rStyle w:val="mixed-citation"/>
          <w:sz w:val="20"/>
          <w:szCs w:val="20"/>
          <w:shd w:val="clear" w:color="auto" w:fill="FFFFFF"/>
        </w:rPr>
        <w:t xml:space="preserve"> in newly diagnosed patients of chronic myeloid leukemia.</w:t>
      </w:r>
      <w:r w:rsidRPr="00FC43E4">
        <w:rPr>
          <w:rStyle w:val="apple-converted-space"/>
          <w:sz w:val="20"/>
          <w:szCs w:val="20"/>
          <w:shd w:val="clear" w:color="auto" w:fill="FFFFFF"/>
        </w:rPr>
        <w:t> </w:t>
      </w:r>
      <w:r w:rsidRPr="00FC43E4">
        <w:rPr>
          <w:rStyle w:val="ref-journal"/>
          <w:sz w:val="20"/>
          <w:szCs w:val="20"/>
          <w:shd w:val="clear" w:color="auto" w:fill="FFFFFF"/>
        </w:rPr>
        <w:t xml:space="preserve">Indian J Med </w:t>
      </w:r>
      <w:proofErr w:type="spellStart"/>
      <w:r w:rsidRPr="00FC43E4">
        <w:rPr>
          <w:rStyle w:val="ref-journal"/>
          <w:sz w:val="20"/>
          <w:szCs w:val="20"/>
          <w:shd w:val="clear" w:color="auto" w:fill="FFFFFF"/>
        </w:rPr>
        <w:t>Paediatr</w:t>
      </w:r>
      <w:proofErr w:type="spellEnd"/>
      <w:r w:rsidR="00686FBD">
        <w:rPr>
          <w:rStyle w:val="ref-journal"/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 w:rsidRPr="00FC43E4">
        <w:rPr>
          <w:rStyle w:val="ref-journal"/>
          <w:sz w:val="20"/>
          <w:szCs w:val="20"/>
          <w:shd w:val="clear" w:color="auto" w:fill="FFFFFF"/>
        </w:rPr>
        <w:t>Oncol</w:t>
      </w:r>
      <w:proofErr w:type="spellEnd"/>
      <w:r w:rsidRPr="00FC43E4">
        <w:rPr>
          <w:rStyle w:val="ref-journal"/>
          <w:sz w:val="20"/>
          <w:szCs w:val="20"/>
          <w:shd w:val="clear" w:color="auto" w:fill="FFFFFF"/>
        </w:rPr>
        <w:t>.</w:t>
      </w:r>
      <w:r w:rsidRPr="00FC43E4">
        <w:rPr>
          <w:rStyle w:val="apple-converted-space"/>
          <w:sz w:val="20"/>
          <w:szCs w:val="20"/>
          <w:shd w:val="clear" w:color="auto" w:fill="FFFFFF"/>
        </w:rPr>
        <w:t> </w:t>
      </w:r>
      <w:r w:rsidRPr="00FC43E4">
        <w:rPr>
          <w:rStyle w:val="mixed-citation"/>
          <w:sz w:val="20"/>
          <w:szCs w:val="20"/>
          <w:shd w:val="clear" w:color="auto" w:fill="FFFFFF"/>
        </w:rPr>
        <w:t>2007</w:t>
      </w:r>
      <w:proofErr w:type="gramStart"/>
      <w:r w:rsidRPr="00FC43E4">
        <w:rPr>
          <w:rStyle w:val="mixed-citation"/>
          <w:sz w:val="20"/>
          <w:szCs w:val="20"/>
          <w:shd w:val="clear" w:color="auto" w:fill="FFFFFF"/>
        </w:rPr>
        <w:t>;</w:t>
      </w:r>
      <w:r w:rsidRPr="00FC43E4">
        <w:rPr>
          <w:rStyle w:val="ref-vol"/>
          <w:sz w:val="20"/>
          <w:szCs w:val="20"/>
          <w:shd w:val="clear" w:color="auto" w:fill="FFFFFF"/>
        </w:rPr>
        <w:t>28</w:t>
      </w:r>
      <w:r w:rsidRPr="00FC43E4">
        <w:rPr>
          <w:rStyle w:val="mixed-citation"/>
          <w:sz w:val="20"/>
          <w:szCs w:val="20"/>
          <w:shd w:val="clear" w:color="auto" w:fill="FFFFFF"/>
        </w:rPr>
        <w:t>:1</w:t>
      </w:r>
      <w:proofErr w:type="gramEnd"/>
      <w:r w:rsidRPr="00FC43E4">
        <w:rPr>
          <w:rStyle w:val="mixed-citation"/>
          <w:sz w:val="20"/>
          <w:szCs w:val="20"/>
          <w:shd w:val="clear" w:color="auto" w:fill="FFFFFF"/>
        </w:rPr>
        <w:t>.</w:t>
      </w:r>
    </w:p>
    <w:p w:rsidR="006720FE" w:rsidRPr="00FC43E4" w:rsidRDefault="00DC5C46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hyperlink r:id="rId18" w:history="1"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Kantarjian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H, Shah NP,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Hochhaus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A, </w:t>
        </w:r>
        <w:r w:rsidR="006720FE" w:rsidRPr="00FC43E4">
          <w:rPr>
            <w:i/>
            <w:iCs/>
            <w:sz w:val="20"/>
            <w:szCs w:val="20"/>
          </w:rPr>
          <w:t>et al.</w:t>
        </w:r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Dasatinib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versus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imatinib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in newly diagnosed chronic-phase chronic myeloid leukemia. N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Engl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J Med 2010; 362:2260.</w:t>
        </w:r>
      </w:hyperlink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sz w:val="20"/>
          <w:szCs w:val="20"/>
        </w:rPr>
      </w:pPr>
      <w:proofErr w:type="spellStart"/>
      <w:r w:rsidRPr="00FC43E4">
        <w:rPr>
          <w:rStyle w:val="ref-title"/>
          <w:sz w:val="20"/>
          <w:szCs w:val="20"/>
        </w:rPr>
        <w:lastRenderedPageBreak/>
        <w:t>Koffi</w:t>
      </w:r>
      <w:proofErr w:type="spellEnd"/>
      <w:r w:rsidRPr="00FC43E4">
        <w:rPr>
          <w:rStyle w:val="ref-title"/>
          <w:sz w:val="20"/>
          <w:szCs w:val="20"/>
        </w:rPr>
        <w:t xml:space="preserve"> K. G., D. C. </w:t>
      </w:r>
      <w:proofErr w:type="spellStart"/>
      <w:r w:rsidRPr="00FC43E4">
        <w:rPr>
          <w:rStyle w:val="ref-title"/>
          <w:sz w:val="20"/>
          <w:szCs w:val="20"/>
        </w:rPr>
        <w:t>Nanho</w:t>
      </w:r>
      <w:proofErr w:type="spellEnd"/>
      <w:r w:rsidRPr="00FC43E4">
        <w:rPr>
          <w:rStyle w:val="ref-title"/>
          <w:sz w:val="20"/>
          <w:szCs w:val="20"/>
        </w:rPr>
        <w:t xml:space="preserve">, E. </w:t>
      </w:r>
      <w:proofErr w:type="spellStart"/>
      <w:r w:rsidRPr="00FC43E4">
        <w:rPr>
          <w:rStyle w:val="ref-title"/>
          <w:sz w:val="20"/>
          <w:szCs w:val="20"/>
        </w:rPr>
        <w:t>N'Dathz</w:t>
      </w:r>
      <w:proofErr w:type="spellEnd"/>
      <w:r w:rsidRPr="00FC43E4">
        <w:rPr>
          <w:rStyle w:val="ref-title"/>
          <w:sz w:val="20"/>
          <w:szCs w:val="20"/>
        </w:rPr>
        <w:t xml:space="preserve"> </w:t>
      </w:r>
      <w:r w:rsidRPr="00FC43E4">
        <w:rPr>
          <w:i/>
          <w:iCs/>
          <w:sz w:val="20"/>
          <w:szCs w:val="20"/>
        </w:rPr>
        <w:t>et al.</w:t>
      </w:r>
      <w:r w:rsidRPr="00FC43E4">
        <w:rPr>
          <w:rStyle w:val="ref-title"/>
          <w:sz w:val="20"/>
          <w:szCs w:val="20"/>
        </w:rPr>
        <w:t xml:space="preserve">, “The effect of </w:t>
      </w:r>
      <w:proofErr w:type="spellStart"/>
      <w:r w:rsidRPr="00FC43E4">
        <w:rPr>
          <w:rStyle w:val="ref-title"/>
          <w:sz w:val="20"/>
          <w:szCs w:val="20"/>
        </w:rPr>
        <w:t>imatinibmesylate</w:t>
      </w:r>
      <w:proofErr w:type="spellEnd"/>
      <w:r w:rsidRPr="00FC43E4">
        <w:rPr>
          <w:rStyle w:val="ref-title"/>
          <w:sz w:val="20"/>
          <w:szCs w:val="20"/>
        </w:rPr>
        <w:t xml:space="preserve"> for newly diagnosed Philadelphia chromosome-positive, chronic-phase myeloid leukemia in sub-</w:t>
      </w:r>
      <w:proofErr w:type="spellStart"/>
      <w:r w:rsidRPr="00FC43E4">
        <w:rPr>
          <w:rStyle w:val="ref-title"/>
          <w:sz w:val="20"/>
          <w:szCs w:val="20"/>
        </w:rPr>
        <w:t>saharanafrican</w:t>
      </w:r>
      <w:proofErr w:type="spellEnd"/>
      <w:r w:rsidRPr="00FC43E4">
        <w:rPr>
          <w:rStyle w:val="ref-title"/>
          <w:sz w:val="20"/>
          <w:szCs w:val="20"/>
        </w:rPr>
        <w:t xml:space="preserve"> patients: the experience of </w:t>
      </w:r>
      <w:proofErr w:type="spellStart"/>
      <w:r w:rsidRPr="00FC43E4">
        <w:rPr>
          <w:rStyle w:val="ref-title"/>
          <w:sz w:val="20"/>
          <w:szCs w:val="20"/>
        </w:rPr>
        <w:t>côted'ivoire</w:t>
      </w:r>
      <w:proofErr w:type="spellEnd"/>
      <w:r w:rsidRPr="00FC43E4">
        <w:rPr>
          <w:rStyle w:val="ref-title"/>
          <w:sz w:val="20"/>
          <w:szCs w:val="20"/>
        </w:rPr>
        <w:t>,” Advances in Hematology, vol. 2010, Article ID 268921, 6 pages, 2010.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rFonts w:eastAsia="Arial Unicode MS"/>
          <w:sz w:val="20"/>
          <w:szCs w:val="20"/>
        </w:rPr>
      </w:pPr>
      <w:proofErr w:type="spellStart"/>
      <w:r w:rsidRPr="00FC43E4">
        <w:rPr>
          <w:rFonts w:eastAsia="Arial Unicode MS"/>
          <w:sz w:val="20"/>
          <w:szCs w:val="20"/>
          <w:lang w:val="fr-FR"/>
        </w:rPr>
        <w:t>Lahaye</w:t>
      </w:r>
      <w:proofErr w:type="spellEnd"/>
      <w:r w:rsidRPr="00FC43E4">
        <w:rPr>
          <w:rFonts w:eastAsia="Arial Unicode MS"/>
          <w:sz w:val="20"/>
          <w:szCs w:val="20"/>
          <w:lang w:val="fr-FR"/>
        </w:rPr>
        <w:t xml:space="preserve"> T, </w:t>
      </w:r>
      <w:proofErr w:type="spellStart"/>
      <w:r w:rsidRPr="00FC43E4">
        <w:rPr>
          <w:rFonts w:eastAsia="Arial Unicode MS"/>
          <w:sz w:val="20"/>
          <w:szCs w:val="20"/>
          <w:lang w:val="fr-FR"/>
        </w:rPr>
        <w:t>Riehm</w:t>
      </w:r>
      <w:proofErr w:type="spellEnd"/>
      <w:r w:rsidRPr="00FC43E4">
        <w:rPr>
          <w:rFonts w:eastAsia="Arial Unicode MS"/>
          <w:sz w:val="20"/>
          <w:szCs w:val="20"/>
          <w:lang w:val="fr-FR"/>
        </w:rPr>
        <w:t xml:space="preserve"> B, Berger U, </w:t>
      </w:r>
      <w:proofErr w:type="spellStart"/>
      <w:r w:rsidRPr="00FC43E4">
        <w:rPr>
          <w:rFonts w:eastAsia="Arial Unicode MS"/>
          <w:sz w:val="20"/>
          <w:szCs w:val="20"/>
          <w:lang w:val="fr-FR"/>
        </w:rPr>
        <w:t>Paschka</w:t>
      </w:r>
      <w:proofErr w:type="spellEnd"/>
      <w:r w:rsidRPr="00FC43E4">
        <w:rPr>
          <w:rFonts w:eastAsia="Arial Unicode MS"/>
          <w:sz w:val="20"/>
          <w:szCs w:val="20"/>
          <w:lang w:val="fr-FR"/>
        </w:rPr>
        <w:t xml:space="preserve"> P, Müller MC, </w:t>
      </w:r>
      <w:proofErr w:type="spellStart"/>
      <w:r w:rsidRPr="00FC43E4">
        <w:rPr>
          <w:rFonts w:eastAsia="Arial Unicode MS"/>
          <w:sz w:val="20"/>
          <w:szCs w:val="20"/>
          <w:lang w:val="fr-FR"/>
        </w:rPr>
        <w:t>Kreil</w:t>
      </w:r>
      <w:proofErr w:type="spellEnd"/>
      <w:r w:rsidRPr="00FC43E4">
        <w:rPr>
          <w:rFonts w:eastAsia="Arial Unicode MS"/>
          <w:sz w:val="20"/>
          <w:szCs w:val="20"/>
          <w:lang w:val="fr-FR"/>
        </w:rPr>
        <w:t xml:space="preserve"> S, </w:t>
      </w:r>
      <w:r w:rsidRPr="00FC43E4">
        <w:rPr>
          <w:rFonts w:eastAsia="Arial Unicode MS"/>
          <w:i/>
          <w:iCs/>
          <w:sz w:val="20"/>
          <w:szCs w:val="20"/>
          <w:lang w:val="fr-FR"/>
        </w:rPr>
        <w:t>et al.</w:t>
      </w:r>
      <w:r w:rsidRPr="00FC43E4">
        <w:rPr>
          <w:rFonts w:eastAsia="Arial Unicode MS"/>
          <w:sz w:val="20"/>
          <w:szCs w:val="20"/>
        </w:rPr>
        <w:t xml:space="preserve">Response and resistance in 300 patients with BCR-ABL-positive leukemia </w:t>
      </w:r>
      <w:proofErr w:type="spellStart"/>
      <w:r w:rsidRPr="00FC43E4">
        <w:rPr>
          <w:rFonts w:eastAsia="Arial Unicode MS"/>
          <w:sz w:val="20"/>
          <w:szCs w:val="20"/>
        </w:rPr>
        <w:t>treate</w:t>
      </w:r>
      <w:proofErr w:type="spellEnd"/>
      <w:r w:rsidRPr="00FC43E4">
        <w:rPr>
          <w:rFonts w:eastAsia="Arial Unicode MS"/>
          <w:sz w:val="20"/>
          <w:szCs w:val="20"/>
        </w:rPr>
        <w:t xml:space="preserve"> with </w:t>
      </w:r>
      <w:proofErr w:type="spellStart"/>
      <w:r w:rsidRPr="00FC43E4">
        <w:rPr>
          <w:rFonts w:eastAsia="Arial Unicode MS"/>
          <w:sz w:val="20"/>
          <w:szCs w:val="20"/>
        </w:rPr>
        <w:t>imatinib</w:t>
      </w:r>
      <w:proofErr w:type="spellEnd"/>
      <w:r w:rsidRPr="00FC43E4">
        <w:rPr>
          <w:rFonts w:eastAsia="Arial Unicode MS"/>
          <w:sz w:val="20"/>
          <w:szCs w:val="20"/>
        </w:rPr>
        <w:t xml:space="preserve"> in a single center: a 4.5-year follow up. </w:t>
      </w:r>
      <w:r w:rsidRPr="00FC43E4">
        <w:rPr>
          <w:rFonts w:eastAsia="Arial Unicode MS"/>
          <w:i/>
          <w:iCs/>
          <w:sz w:val="20"/>
          <w:szCs w:val="20"/>
        </w:rPr>
        <w:t>Cancer</w:t>
      </w:r>
      <w:r w:rsidRPr="00FC43E4">
        <w:rPr>
          <w:rFonts w:eastAsia="Arial Unicode MS"/>
          <w:sz w:val="20"/>
          <w:szCs w:val="20"/>
        </w:rPr>
        <w:t xml:space="preserve"> 2005; </w:t>
      </w:r>
      <w:r w:rsidRPr="00FC43E4">
        <w:rPr>
          <w:rFonts w:eastAsia="Arial Unicode MS"/>
          <w:bCs/>
          <w:sz w:val="20"/>
          <w:szCs w:val="20"/>
        </w:rPr>
        <w:t>103</w:t>
      </w:r>
      <w:r w:rsidR="00FC43E4">
        <w:rPr>
          <w:rFonts w:eastAsia="Arial Unicode MS"/>
          <w:sz w:val="20"/>
          <w:szCs w:val="20"/>
        </w:rPr>
        <w:t>:</w:t>
      </w:r>
      <w:r w:rsidRPr="00FC43E4">
        <w:rPr>
          <w:rFonts w:eastAsia="Arial Unicode MS"/>
          <w:sz w:val="20"/>
          <w:szCs w:val="20"/>
        </w:rPr>
        <w:t>1659-1669.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FC43E4">
        <w:rPr>
          <w:sz w:val="20"/>
          <w:szCs w:val="20"/>
        </w:rPr>
        <w:t>Luatti</w:t>
      </w:r>
      <w:proofErr w:type="spellEnd"/>
      <w:r w:rsidRPr="00FC43E4">
        <w:rPr>
          <w:sz w:val="20"/>
          <w:szCs w:val="20"/>
        </w:rPr>
        <w:t xml:space="preserve"> S., F. </w:t>
      </w:r>
      <w:proofErr w:type="spellStart"/>
      <w:r w:rsidRPr="00FC43E4">
        <w:rPr>
          <w:sz w:val="20"/>
          <w:szCs w:val="20"/>
        </w:rPr>
        <w:t>Castagnetti</w:t>
      </w:r>
      <w:proofErr w:type="spellEnd"/>
      <w:r w:rsidRPr="00FC43E4">
        <w:rPr>
          <w:sz w:val="20"/>
          <w:szCs w:val="20"/>
        </w:rPr>
        <w:t xml:space="preserve">, G. </w:t>
      </w:r>
      <w:proofErr w:type="spellStart"/>
      <w:r w:rsidRPr="00FC43E4">
        <w:rPr>
          <w:sz w:val="20"/>
          <w:szCs w:val="20"/>
        </w:rPr>
        <w:t>Marzocchi</w:t>
      </w:r>
      <w:proofErr w:type="spellEnd"/>
      <w:r w:rsidRPr="00FC43E4">
        <w:rPr>
          <w:sz w:val="20"/>
          <w:szCs w:val="20"/>
        </w:rPr>
        <w:t xml:space="preserve">, </w:t>
      </w:r>
      <w:r w:rsidRPr="00FC43E4">
        <w:rPr>
          <w:i/>
          <w:iCs/>
          <w:sz w:val="20"/>
          <w:szCs w:val="20"/>
        </w:rPr>
        <w:t>et al.</w:t>
      </w:r>
      <w:r w:rsidRPr="00FC43E4">
        <w:rPr>
          <w:sz w:val="20"/>
          <w:szCs w:val="20"/>
        </w:rPr>
        <w:t xml:space="preserve">, “Additional chromosomal abnormalities in Philadelphia-positive clone: adverse prognostic impact on frontline </w:t>
      </w:r>
      <w:proofErr w:type="spellStart"/>
      <w:r w:rsidRPr="00FC43E4">
        <w:rPr>
          <w:sz w:val="20"/>
          <w:szCs w:val="20"/>
        </w:rPr>
        <w:t>imatinib</w:t>
      </w:r>
      <w:proofErr w:type="spellEnd"/>
      <w:r w:rsidRPr="00FC43E4">
        <w:rPr>
          <w:sz w:val="20"/>
          <w:szCs w:val="20"/>
        </w:rPr>
        <w:t xml:space="preserve"> therapy: a GIMEMA Working Party on CML analysis,”</w:t>
      </w:r>
      <w:r w:rsidR="00FC43E4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C43E4">
        <w:rPr>
          <w:sz w:val="20"/>
          <w:szCs w:val="20"/>
        </w:rPr>
        <w:t>Blood, vol. 120, no. 4, pp. 761–767, 2012.</w:t>
      </w:r>
      <w:r w:rsidRPr="00FC43E4">
        <w:rPr>
          <w:sz w:val="20"/>
          <w:szCs w:val="20"/>
          <w:bdr w:val="none" w:sz="0" w:space="0" w:color="auto" w:frame="1"/>
        </w:rPr>
        <w:t> </w:t>
      </w:r>
      <w:hyperlink r:id="rId19" w:tgtFrame="blank" w:history="1">
        <w:r w:rsidRPr="00FC43E4">
          <w:rPr>
            <w:sz w:val="20"/>
            <w:szCs w:val="20"/>
            <w:bdr w:val="none" w:sz="0" w:space="0" w:color="auto" w:frame="1"/>
          </w:rPr>
          <w:t>View at Google Scholar</w:t>
        </w:r>
      </w:hyperlink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sz w:val="20"/>
          <w:szCs w:val="20"/>
        </w:rPr>
      </w:pPr>
      <w:r w:rsidRPr="00FC43E4">
        <w:rPr>
          <w:rStyle w:val="ref-title"/>
          <w:sz w:val="20"/>
          <w:szCs w:val="20"/>
        </w:rPr>
        <w:t xml:space="preserve">Mohamed </w:t>
      </w:r>
      <w:proofErr w:type="spellStart"/>
      <w:r w:rsidRPr="00FC43E4">
        <w:rPr>
          <w:rStyle w:val="ref-title"/>
          <w:sz w:val="20"/>
          <w:szCs w:val="20"/>
        </w:rPr>
        <w:t>osman</w:t>
      </w:r>
      <w:proofErr w:type="spellEnd"/>
      <w:r w:rsidR="00FC43E4">
        <w:rPr>
          <w:rStyle w:val="ref-title"/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FC43E4">
        <w:rPr>
          <w:rStyle w:val="ref-title"/>
          <w:sz w:val="20"/>
          <w:szCs w:val="20"/>
        </w:rPr>
        <w:t>Azzazi</w:t>
      </w:r>
      <w:proofErr w:type="spellEnd"/>
      <w:r w:rsidRPr="00FC43E4">
        <w:rPr>
          <w:rStyle w:val="ref-title"/>
          <w:sz w:val="20"/>
          <w:szCs w:val="20"/>
        </w:rPr>
        <w:t>,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 xml:space="preserve">Omar </w:t>
      </w:r>
      <w:proofErr w:type="spellStart"/>
      <w:r w:rsidRPr="00FC43E4">
        <w:rPr>
          <w:rStyle w:val="ref-title"/>
          <w:sz w:val="20"/>
          <w:szCs w:val="20"/>
        </w:rPr>
        <w:t>Fahmy</w:t>
      </w:r>
      <w:proofErr w:type="spellEnd"/>
      <w:r w:rsidRPr="00FC43E4">
        <w:rPr>
          <w:rStyle w:val="ref-title"/>
          <w:sz w:val="20"/>
          <w:szCs w:val="20"/>
        </w:rPr>
        <w:t>,</w:t>
      </w:r>
      <w:r w:rsidR="00FC43E4" w:rsidRPr="00FC43E4">
        <w:rPr>
          <w:rStyle w:val="ref-title"/>
          <w:sz w:val="20"/>
          <w:szCs w:val="20"/>
        </w:rPr>
        <w:t xml:space="preserve"> </w:t>
      </w:r>
      <w:proofErr w:type="spellStart"/>
      <w:r w:rsidRPr="00FC43E4">
        <w:rPr>
          <w:rStyle w:val="ref-title"/>
          <w:sz w:val="20"/>
          <w:szCs w:val="20"/>
        </w:rPr>
        <w:t>Mervat</w:t>
      </w:r>
      <w:proofErr w:type="spellEnd"/>
      <w:r w:rsidR="00FC43E4">
        <w:rPr>
          <w:rStyle w:val="ref-title"/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Pr="00FC43E4">
        <w:rPr>
          <w:rStyle w:val="ref-title"/>
          <w:sz w:val="20"/>
          <w:szCs w:val="20"/>
        </w:rPr>
        <w:t>Mattar</w:t>
      </w:r>
      <w:proofErr w:type="spellEnd"/>
      <w:r w:rsidRPr="00FC43E4">
        <w:rPr>
          <w:rStyle w:val="ref-title"/>
          <w:sz w:val="20"/>
          <w:szCs w:val="20"/>
        </w:rPr>
        <w:t xml:space="preserve">, </w:t>
      </w:r>
      <w:r w:rsidRPr="00FC43E4">
        <w:rPr>
          <w:i/>
          <w:iCs/>
          <w:sz w:val="20"/>
          <w:szCs w:val="20"/>
        </w:rPr>
        <w:t>et al.</w:t>
      </w:r>
      <w:r w:rsidR="00FC43E4">
        <w:rPr>
          <w:rFonts w:eastAsiaTheme="minorEastAsia" w:hint="eastAsia"/>
          <w:i/>
          <w:iCs/>
          <w:sz w:val="20"/>
          <w:szCs w:val="20"/>
          <w:lang w:eastAsia="zh-CN"/>
        </w:rPr>
        <w:t xml:space="preserve"> </w:t>
      </w:r>
      <w:r w:rsidRPr="00FC43E4">
        <w:rPr>
          <w:rStyle w:val="ref-title"/>
          <w:sz w:val="20"/>
          <w:szCs w:val="20"/>
        </w:rPr>
        <w:t>Second Report of Arab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Leukemia Net (ALN)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Registry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for Chronic Myeloid Leukemia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(CML) in the Middle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East &amp;North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Africa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Region (AFME). Epidemiology of CML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and Additional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>Chromosomal Abnormalities</w:t>
      </w:r>
      <w:r w:rsidR="00FC43E4" w:rsidRPr="00FC43E4">
        <w:rPr>
          <w:rStyle w:val="ref-title"/>
          <w:sz w:val="20"/>
          <w:szCs w:val="20"/>
        </w:rPr>
        <w:t xml:space="preserve"> </w:t>
      </w:r>
      <w:r w:rsidRPr="00FC43E4">
        <w:rPr>
          <w:rStyle w:val="ref-title"/>
          <w:sz w:val="20"/>
          <w:szCs w:val="20"/>
        </w:rPr>
        <w:t xml:space="preserve">(ACAs) in Egypt, Multicenter Results. </w:t>
      </w:r>
      <w:hyperlink r:id="rId20" w:history="1">
        <w:r w:rsidRPr="00FC43E4">
          <w:rPr>
            <w:rStyle w:val="Hyperlink"/>
            <w:color w:val="auto"/>
            <w:sz w:val="20"/>
            <w:szCs w:val="20"/>
            <w:u w:val="none"/>
          </w:rPr>
          <w:t>December 6, 2014; Blood: 124 (21)</w:t>
        </w:r>
      </w:hyperlink>
      <w:r w:rsidR="00FC43E4" w:rsidRPr="00FC43E4">
        <w:rPr>
          <w:rFonts w:eastAsiaTheme="minorEastAsia" w:hint="eastAsia"/>
          <w:sz w:val="20"/>
          <w:szCs w:val="20"/>
          <w:lang w:eastAsia="zh-CN"/>
        </w:rPr>
        <w:t>.</w:t>
      </w:r>
    </w:p>
    <w:p w:rsidR="006720FE" w:rsidRPr="00FC43E4" w:rsidRDefault="00DC5C46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hyperlink r:id="rId21" w:history="1">
        <w:r w:rsidR="006720FE" w:rsidRPr="00FC43E4">
          <w:rPr>
            <w:rStyle w:val="Hyperlink"/>
            <w:color w:val="auto"/>
            <w:sz w:val="20"/>
            <w:szCs w:val="20"/>
            <w:u w:val="none"/>
            <w:lang w:val="fr-FR"/>
          </w:rPr>
          <w:t xml:space="preserve">O'Brien SG,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  <w:lang w:val="fr-FR"/>
          </w:rPr>
          <w:t>Guilhot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  <w:lang w:val="fr-FR"/>
          </w:rPr>
          <w:t xml:space="preserve"> F,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  <w:lang w:val="fr-FR"/>
          </w:rPr>
          <w:t>Larson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  <w:lang w:val="fr-FR"/>
          </w:rPr>
          <w:t xml:space="preserve"> RA, </w:t>
        </w:r>
        <w:r w:rsidR="006720FE" w:rsidRPr="00FC43E4">
          <w:rPr>
            <w:i/>
            <w:iCs/>
            <w:sz w:val="20"/>
            <w:szCs w:val="20"/>
            <w:lang w:val="fr-FR"/>
          </w:rPr>
          <w:t>et al.</w:t>
        </w:r>
        <w:r w:rsidR="00686FBD">
          <w:rPr>
            <w:rFonts w:eastAsiaTheme="minorEastAsia" w:hint="eastAsia"/>
            <w:i/>
            <w:iCs/>
            <w:sz w:val="20"/>
            <w:szCs w:val="20"/>
            <w:lang w:val="fr-FR" w:eastAsia="zh-CN"/>
          </w:rPr>
          <w:t xml:space="preserve">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Imatinib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compared with interferon and low-dose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lastRenderedPageBreak/>
          <w:t>cytarabine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for newly diagnosed chronic-phase chronic myeloid leukemia. N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Engl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J Med 2003; 348:994.</w:t>
        </w:r>
      </w:hyperlink>
    </w:p>
    <w:p w:rsidR="006720FE" w:rsidRPr="00FC43E4" w:rsidRDefault="00DC5C46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hyperlink r:id="rId22" w:history="1"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Saglio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G, Kim DW,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Issaragrisil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S, </w:t>
        </w:r>
        <w:r w:rsidR="006720FE" w:rsidRPr="00FC43E4">
          <w:rPr>
            <w:i/>
            <w:iCs/>
            <w:sz w:val="20"/>
            <w:szCs w:val="20"/>
          </w:rPr>
          <w:t>et al.</w:t>
        </w:r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Nilotinib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versus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imatinib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for newly diagnosed chronic myeloid leukemia. N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Engl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J Med 2010; 362:2251.</w:t>
        </w:r>
      </w:hyperlink>
    </w:p>
    <w:p w:rsidR="006720FE" w:rsidRPr="00FC43E4" w:rsidRDefault="00DC5C46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Style w:val="ref-title"/>
          <w:sz w:val="20"/>
          <w:szCs w:val="20"/>
        </w:rPr>
      </w:pPr>
      <w:hyperlink r:id="rId23" w:tgtFrame="_blank" w:tooltip="Click to find out more papers by Shereen Mahmoud" w:history="1"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Shereen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Mahmoud</w:t>
        </w:r>
        <w:proofErr w:type="spellEnd"/>
      </w:hyperlink>
      <w:r w:rsidR="006720FE" w:rsidRPr="00FC43E4">
        <w:rPr>
          <w:rStyle w:val="ref-title"/>
          <w:bCs/>
          <w:sz w:val="20"/>
          <w:szCs w:val="20"/>
        </w:rPr>
        <w:t xml:space="preserve">, </w:t>
      </w:r>
      <w:hyperlink r:id="rId24" w:tgtFrame="_blank" w:tooltip="Click to find out more papers by Dalia A. Labib" w:history="1"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Dalia A.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Labib</w:t>
        </w:r>
        <w:proofErr w:type="spellEnd"/>
      </w:hyperlink>
      <w:r w:rsidR="006720FE" w:rsidRPr="00FC43E4">
        <w:rPr>
          <w:rStyle w:val="ref-title"/>
          <w:bCs/>
          <w:sz w:val="20"/>
          <w:szCs w:val="20"/>
        </w:rPr>
        <w:t xml:space="preserve">, </w:t>
      </w:r>
      <w:hyperlink r:id="rId25" w:tgtFrame="_blank" w:tooltip="Click to find out more papers by Rania H. Khalifa" w:history="1"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Rania</w:t>
        </w:r>
        <w:proofErr w:type="spellEnd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 xml:space="preserve"> H. </w:t>
        </w:r>
        <w:proofErr w:type="spellStart"/>
        <w:r w:rsidR="006720FE" w:rsidRPr="00FC43E4">
          <w:rPr>
            <w:rStyle w:val="Hyperlink"/>
            <w:color w:val="auto"/>
            <w:sz w:val="20"/>
            <w:szCs w:val="20"/>
            <w:u w:val="none"/>
          </w:rPr>
          <w:t>Khalifa</w:t>
        </w:r>
        <w:proofErr w:type="spellEnd"/>
      </w:hyperlink>
      <w:r w:rsidR="006720FE" w:rsidRPr="00FC43E4">
        <w:rPr>
          <w:rStyle w:val="ref-title"/>
          <w:bCs/>
          <w:sz w:val="20"/>
          <w:szCs w:val="20"/>
        </w:rPr>
        <w:t xml:space="preserve">, </w:t>
      </w:r>
      <w:r w:rsidR="006720FE" w:rsidRPr="00FC43E4">
        <w:rPr>
          <w:i/>
          <w:iCs/>
          <w:sz w:val="20"/>
          <w:szCs w:val="20"/>
        </w:rPr>
        <w:t>et al.</w:t>
      </w:r>
      <w:r w:rsidR="00686FBD">
        <w:rPr>
          <w:rFonts w:eastAsiaTheme="minorEastAsia" w:hint="eastAsia"/>
          <w:i/>
          <w:iCs/>
          <w:sz w:val="20"/>
          <w:szCs w:val="20"/>
          <w:lang w:eastAsia="zh-CN"/>
        </w:rPr>
        <w:t xml:space="preserve"> </w:t>
      </w:r>
      <w:r w:rsidR="006720FE" w:rsidRPr="00FC43E4">
        <w:rPr>
          <w:rStyle w:val="ref-title"/>
          <w:sz w:val="20"/>
          <w:szCs w:val="20"/>
        </w:rPr>
        <w:t>CYP1A1, GSTM1 and GSTT1 Genetic Polymorphism in Egyptian Chronic Myeloid Leukemia Patients</w:t>
      </w:r>
      <w:r w:rsidR="006720FE" w:rsidRPr="00FC43E4">
        <w:rPr>
          <w:sz w:val="20"/>
          <w:szCs w:val="20"/>
        </w:rPr>
        <w:t xml:space="preserve"> 2010. CYP1A1, GSTM1 and GSTT1 Genetic Polymorphism in Egyptian Chronic Myeloid Leukemia</w:t>
      </w:r>
      <w:r w:rsidR="00FC43E4" w:rsidRPr="00FC43E4">
        <w:rPr>
          <w:sz w:val="20"/>
          <w:szCs w:val="20"/>
        </w:rPr>
        <w:t xml:space="preserve"> </w:t>
      </w:r>
      <w:r w:rsidR="006720FE" w:rsidRPr="00FC43E4">
        <w:rPr>
          <w:sz w:val="20"/>
          <w:szCs w:val="20"/>
        </w:rPr>
        <w:t xml:space="preserve">Patients. </w:t>
      </w:r>
      <w:r w:rsidR="006720FE" w:rsidRPr="00FC43E4">
        <w:rPr>
          <w:i/>
          <w:iCs/>
          <w:sz w:val="20"/>
          <w:szCs w:val="20"/>
        </w:rPr>
        <w:t>Research Journal of Immunology, 3: 12-21</w:t>
      </w:r>
      <w:r w:rsidR="00FC43E4" w:rsidRPr="00FC43E4">
        <w:rPr>
          <w:rFonts w:eastAsiaTheme="minorEastAsia" w:hint="eastAsia"/>
          <w:i/>
          <w:iCs/>
          <w:sz w:val="20"/>
          <w:szCs w:val="20"/>
          <w:lang w:eastAsia="zh-CN"/>
        </w:rPr>
        <w:t>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  <w:shd w:val="clear" w:color="auto" w:fill="FFFFFF"/>
        </w:rPr>
      </w:pPr>
      <w:proofErr w:type="spellStart"/>
      <w:r w:rsidRPr="00FC43E4">
        <w:rPr>
          <w:sz w:val="20"/>
          <w:szCs w:val="20"/>
          <w:shd w:val="clear" w:color="auto" w:fill="FFFFFF"/>
          <w:lang w:val="fr-FR"/>
        </w:rPr>
        <w:t>Sokal</w:t>
      </w:r>
      <w:proofErr w:type="spellEnd"/>
      <w:r w:rsidRPr="00FC43E4">
        <w:rPr>
          <w:sz w:val="20"/>
          <w:szCs w:val="20"/>
          <w:shd w:val="clear" w:color="auto" w:fill="FFFFFF"/>
          <w:lang w:val="fr-FR"/>
        </w:rPr>
        <w:t xml:space="preserve"> JE, Cox EB, </w:t>
      </w:r>
      <w:proofErr w:type="spellStart"/>
      <w:r w:rsidRPr="00FC43E4">
        <w:rPr>
          <w:sz w:val="20"/>
          <w:szCs w:val="20"/>
          <w:shd w:val="clear" w:color="auto" w:fill="FFFFFF"/>
          <w:lang w:val="fr-FR"/>
        </w:rPr>
        <w:t>Baccarani</w:t>
      </w:r>
      <w:proofErr w:type="spellEnd"/>
      <w:r w:rsidRPr="00FC43E4">
        <w:rPr>
          <w:sz w:val="20"/>
          <w:szCs w:val="20"/>
          <w:shd w:val="clear" w:color="auto" w:fill="FFFFFF"/>
          <w:lang w:val="fr-FR"/>
        </w:rPr>
        <w:t xml:space="preserve"> M, </w:t>
      </w:r>
      <w:r w:rsidRPr="00FC43E4">
        <w:rPr>
          <w:i/>
          <w:iCs/>
          <w:sz w:val="20"/>
          <w:szCs w:val="20"/>
          <w:lang w:val="fr-FR"/>
        </w:rPr>
        <w:t>et al.</w:t>
      </w:r>
      <w:r w:rsidR="00686FBD">
        <w:rPr>
          <w:rFonts w:eastAsiaTheme="minorEastAsia" w:hint="eastAsia"/>
          <w:i/>
          <w:iCs/>
          <w:sz w:val="20"/>
          <w:szCs w:val="20"/>
          <w:lang w:val="fr-FR" w:eastAsia="zh-CN"/>
        </w:rPr>
        <w:t xml:space="preserve"> </w:t>
      </w:r>
      <w:r w:rsidRPr="00FC43E4">
        <w:rPr>
          <w:sz w:val="20"/>
          <w:szCs w:val="20"/>
          <w:shd w:val="clear" w:color="auto" w:fill="FFFFFF"/>
        </w:rPr>
        <w:t>Prognostic discrimination in “good-risk” chronic granulocytic leukemia.</w:t>
      </w:r>
      <w:r w:rsidR="00686FBD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FC43E4">
        <w:rPr>
          <w:rStyle w:val="Emphasis"/>
          <w:sz w:val="20"/>
          <w:szCs w:val="20"/>
          <w:bdr w:val="none" w:sz="0" w:space="0" w:color="auto" w:frame="1"/>
          <w:shd w:val="clear" w:color="auto" w:fill="FFFFFF"/>
        </w:rPr>
        <w:t>Blood</w:t>
      </w:r>
      <w:r w:rsidRPr="00FC43E4">
        <w:rPr>
          <w:sz w:val="20"/>
          <w:szCs w:val="20"/>
          <w:shd w:val="clear" w:color="auto" w:fill="FFFFFF"/>
        </w:rPr>
        <w:t>. 1984</w:t>
      </w:r>
      <w:proofErr w:type="gramStart"/>
      <w:r w:rsidRPr="00FC43E4">
        <w:rPr>
          <w:sz w:val="20"/>
          <w:szCs w:val="20"/>
          <w:shd w:val="clear" w:color="auto" w:fill="FFFFFF"/>
        </w:rPr>
        <w:t>;63</w:t>
      </w:r>
      <w:proofErr w:type="gramEnd"/>
      <w:r w:rsidRPr="00FC43E4">
        <w:rPr>
          <w:sz w:val="20"/>
          <w:szCs w:val="20"/>
          <w:shd w:val="clear" w:color="auto" w:fill="FFFFFF"/>
        </w:rPr>
        <w:t>(4):789–799.</w:t>
      </w:r>
    </w:p>
    <w:p w:rsidR="006720FE" w:rsidRPr="00FC43E4" w:rsidRDefault="006720FE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rFonts w:eastAsia="Arial Unicode MS"/>
          <w:sz w:val="20"/>
          <w:szCs w:val="20"/>
          <w:shd w:val="clear" w:color="auto" w:fill="FFFFFF"/>
        </w:rPr>
      </w:pPr>
      <w:r w:rsidRPr="00FC43E4">
        <w:rPr>
          <w:rFonts w:eastAsia="Arial Unicode MS"/>
          <w:sz w:val="20"/>
          <w:szCs w:val="20"/>
          <w:shd w:val="clear" w:color="auto" w:fill="FFFFFF"/>
          <w:lang w:val="fr-FR"/>
        </w:rPr>
        <w:t xml:space="preserve">Tao Z, Liu B, Zhao Y, </w:t>
      </w:r>
      <w:r w:rsidRPr="00FC43E4">
        <w:rPr>
          <w:i/>
          <w:iCs/>
          <w:sz w:val="20"/>
          <w:szCs w:val="20"/>
          <w:lang w:val="fr-FR"/>
        </w:rPr>
        <w:t>et al.</w:t>
      </w:r>
      <w:r w:rsidRPr="00FC43E4">
        <w:rPr>
          <w:rFonts w:eastAsia="Arial Unicode MS"/>
          <w:sz w:val="20"/>
          <w:szCs w:val="20"/>
          <w:shd w:val="clear" w:color="auto" w:fill="FFFFFF"/>
        </w:rPr>
        <w:t xml:space="preserve">EUTOS score predicts survival and cytogenetic response in patients with chronic phase chronic myeloid leukemia treated with first-line </w:t>
      </w:r>
      <w:proofErr w:type="spellStart"/>
      <w:r w:rsidRPr="00FC43E4">
        <w:rPr>
          <w:rFonts w:eastAsia="Arial Unicode MS"/>
          <w:sz w:val="20"/>
          <w:szCs w:val="20"/>
          <w:shd w:val="clear" w:color="auto" w:fill="FFFFFF"/>
        </w:rPr>
        <w:t>imatinib</w:t>
      </w:r>
      <w:proofErr w:type="spellEnd"/>
      <w:r w:rsidRPr="00FC43E4">
        <w:rPr>
          <w:rFonts w:eastAsia="Arial Unicode MS"/>
          <w:sz w:val="20"/>
          <w:szCs w:val="20"/>
          <w:shd w:val="clear" w:color="auto" w:fill="FFFFFF"/>
        </w:rPr>
        <w:t>.</w:t>
      </w:r>
      <w:r w:rsidRPr="00FC43E4">
        <w:rPr>
          <w:rStyle w:val="apple-converted-space"/>
          <w:rFonts w:eastAsia="Arial Unicode MS"/>
          <w:sz w:val="20"/>
          <w:szCs w:val="20"/>
          <w:shd w:val="clear" w:color="auto" w:fill="FFFFFF"/>
        </w:rPr>
        <w:t> </w:t>
      </w:r>
      <w:proofErr w:type="spellStart"/>
      <w:r w:rsidRPr="00FC43E4">
        <w:rPr>
          <w:rStyle w:val="Emphasis"/>
          <w:rFonts w:eastAsia="Arial Unicode MS"/>
          <w:sz w:val="20"/>
          <w:szCs w:val="20"/>
          <w:bdr w:val="none" w:sz="0" w:space="0" w:color="auto" w:frame="1"/>
          <w:shd w:val="clear" w:color="auto" w:fill="FFFFFF"/>
        </w:rPr>
        <w:t>Leuk</w:t>
      </w:r>
      <w:proofErr w:type="spellEnd"/>
      <w:r w:rsidRPr="00FC43E4">
        <w:rPr>
          <w:rStyle w:val="Emphasis"/>
          <w:rFonts w:eastAsia="Arial Unicode MS"/>
          <w:sz w:val="20"/>
          <w:szCs w:val="20"/>
          <w:bdr w:val="none" w:sz="0" w:space="0" w:color="auto" w:frame="1"/>
          <w:shd w:val="clear" w:color="auto" w:fill="FFFFFF"/>
        </w:rPr>
        <w:t xml:space="preserve"> Res</w:t>
      </w:r>
      <w:r w:rsidRPr="00FC43E4">
        <w:rPr>
          <w:rFonts w:eastAsia="Arial Unicode MS"/>
          <w:sz w:val="20"/>
          <w:szCs w:val="20"/>
          <w:shd w:val="clear" w:color="auto" w:fill="FFFFFF"/>
        </w:rPr>
        <w:t>. 2014</w:t>
      </w:r>
      <w:proofErr w:type="gramStart"/>
      <w:r w:rsidRPr="00FC43E4">
        <w:rPr>
          <w:rFonts w:eastAsia="Arial Unicode MS"/>
          <w:sz w:val="20"/>
          <w:szCs w:val="20"/>
          <w:shd w:val="clear" w:color="auto" w:fill="FFFFFF"/>
        </w:rPr>
        <w:t>;38</w:t>
      </w:r>
      <w:proofErr w:type="gramEnd"/>
      <w:r w:rsidRPr="00FC43E4">
        <w:rPr>
          <w:rFonts w:eastAsia="Arial Unicode MS"/>
          <w:sz w:val="20"/>
          <w:szCs w:val="20"/>
          <w:shd w:val="clear" w:color="auto" w:fill="FFFFFF"/>
        </w:rPr>
        <w:t>(9):1030–1035.</w:t>
      </w:r>
    </w:p>
    <w:p w:rsidR="006720FE" w:rsidRPr="00FC43E4" w:rsidRDefault="00DC5C46" w:rsidP="00C811AD">
      <w:pPr>
        <w:pStyle w:val="ListParagraph"/>
        <w:numPr>
          <w:ilvl w:val="0"/>
          <w:numId w:val="5"/>
        </w:numPr>
        <w:bidi w:val="0"/>
        <w:snapToGrid w:val="0"/>
        <w:ind w:left="425" w:hanging="425"/>
        <w:jc w:val="both"/>
        <w:rPr>
          <w:sz w:val="20"/>
          <w:szCs w:val="20"/>
        </w:rPr>
      </w:pPr>
      <w:hyperlink r:id="rId26" w:history="1">
        <w:proofErr w:type="spellStart"/>
        <w:r w:rsidR="006720FE" w:rsidRPr="00FC43E4">
          <w:rPr>
            <w:sz w:val="20"/>
            <w:szCs w:val="20"/>
          </w:rPr>
          <w:t>Yeung</w:t>
        </w:r>
        <w:proofErr w:type="spellEnd"/>
        <w:r w:rsidR="00686FBD">
          <w:rPr>
            <w:sz w:val="20"/>
            <w:szCs w:val="20"/>
          </w:rPr>
          <w:t xml:space="preserve"> DT, Osborn MP, White DL, </w:t>
        </w:r>
        <w:r w:rsidR="006720FE" w:rsidRPr="00FC43E4">
          <w:rPr>
            <w:i/>
            <w:iCs/>
            <w:sz w:val="20"/>
            <w:szCs w:val="20"/>
          </w:rPr>
          <w:t>et al.</w:t>
        </w:r>
        <w:r w:rsidR="006720FE" w:rsidRPr="00FC43E4">
          <w:rPr>
            <w:sz w:val="20"/>
            <w:szCs w:val="20"/>
          </w:rPr>
          <w:t xml:space="preserve"> TIDEL-II: first-line use of </w:t>
        </w:r>
        <w:proofErr w:type="spellStart"/>
        <w:r w:rsidR="006720FE" w:rsidRPr="00FC43E4">
          <w:rPr>
            <w:sz w:val="20"/>
            <w:szCs w:val="20"/>
          </w:rPr>
          <w:t>imatinib</w:t>
        </w:r>
        <w:proofErr w:type="spellEnd"/>
        <w:r w:rsidR="006720FE" w:rsidRPr="00FC43E4">
          <w:rPr>
            <w:sz w:val="20"/>
            <w:szCs w:val="20"/>
          </w:rPr>
          <w:t xml:space="preserve"> in CML with early switch to </w:t>
        </w:r>
        <w:proofErr w:type="spellStart"/>
        <w:r w:rsidR="006720FE" w:rsidRPr="00FC43E4">
          <w:rPr>
            <w:sz w:val="20"/>
            <w:szCs w:val="20"/>
          </w:rPr>
          <w:t>nilotinib</w:t>
        </w:r>
        <w:proofErr w:type="spellEnd"/>
        <w:r w:rsidR="006720FE" w:rsidRPr="00FC43E4">
          <w:rPr>
            <w:sz w:val="20"/>
            <w:szCs w:val="20"/>
          </w:rPr>
          <w:t xml:space="preserve"> for failure to achieve time-dependent molecular targets. Blood 2015; 125:915.</w:t>
        </w:r>
      </w:hyperlink>
      <w:r w:rsidR="00FC43E4" w:rsidRPr="00FC43E4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:rsidR="00C811AD" w:rsidRPr="00FC43E4" w:rsidRDefault="00C811AD" w:rsidP="00C811AD">
      <w:pPr>
        <w:bidi w:val="0"/>
        <w:snapToGrid w:val="0"/>
        <w:ind w:left="425" w:hanging="425"/>
        <w:jc w:val="both"/>
        <w:rPr>
          <w:bCs/>
          <w:sz w:val="20"/>
          <w:szCs w:val="20"/>
        </w:rPr>
        <w:sectPr w:rsidR="00C811AD" w:rsidRPr="00FC43E4" w:rsidSect="00FC43E4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6720FE" w:rsidRPr="00FC43E4" w:rsidRDefault="006720FE" w:rsidP="00C811AD">
      <w:pPr>
        <w:bidi w:val="0"/>
        <w:snapToGrid w:val="0"/>
        <w:ind w:left="425" w:hanging="425"/>
        <w:jc w:val="both"/>
        <w:rPr>
          <w:bCs/>
          <w:sz w:val="20"/>
          <w:szCs w:val="20"/>
        </w:rPr>
      </w:pPr>
    </w:p>
    <w:p w:rsidR="00C811AD" w:rsidRPr="00FC43E4" w:rsidRDefault="00C811AD" w:rsidP="00C811AD">
      <w:pPr>
        <w:bidi w:val="0"/>
        <w:snapToGrid w:val="0"/>
        <w:ind w:left="425" w:hanging="425"/>
        <w:jc w:val="both"/>
        <w:rPr>
          <w:rFonts w:eastAsiaTheme="minorEastAsia"/>
          <w:bCs/>
          <w:sz w:val="20"/>
          <w:szCs w:val="20"/>
          <w:lang w:eastAsia="zh-CN"/>
        </w:rPr>
      </w:pPr>
    </w:p>
    <w:p w:rsidR="00C811AD" w:rsidRPr="00FC43E4" w:rsidRDefault="00C811AD" w:rsidP="00C811AD">
      <w:pPr>
        <w:bidi w:val="0"/>
        <w:snapToGrid w:val="0"/>
        <w:ind w:left="425" w:hanging="425"/>
        <w:jc w:val="both"/>
        <w:rPr>
          <w:rFonts w:eastAsiaTheme="minorEastAsia"/>
          <w:bCs/>
          <w:sz w:val="20"/>
          <w:szCs w:val="20"/>
          <w:lang w:eastAsia="zh-CN"/>
        </w:rPr>
      </w:pPr>
    </w:p>
    <w:p w:rsidR="00E32E8B" w:rsidRPr="00FC43E4" w:rsidRDefault="00C811AD" w:rsidP="00C811AD">
      <w:pPr>
        <w:bidi w:val="0"/>
        <w:snapToGrid w:val="0"/>
        <w:ind w:left="425" w:hanging="425"/>
        <w:jc w:val="both"/>
        <w:rPr>
          <w:bCs/>
          <w:sz w:val="20"/>
          <w:szCs w:val="20"/>
        </w:rPr>
      </w:pPr>
      <w:r w:rsidRPr="00FC43E4">
        <w:rPr>
          <w:bCs/>
          <w:sz w:val="20"/>
          <w:szCs w:val="20"/>
        </w:rPr>
        <w:t>2/1/2016</w:t>
      </w:r>
    </w:p>
    <w:sectPr w:rsidR="00E32E8B" w:rsidRPr="00FC43E4" w:rsidSect="00CF5E21">
      <w:type w:val="continuous"/>
      <w:pgSz w:w="12240" w:h="15840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1080C" w15:done="0"/>
  <w15:commentEx w15:paraId="72FE8D4C" w15:done="0"/>
  <w15:commentEx w15:paraId="2A7F8DC1" w15:done="0"/>
  <w15:commentEx w15:paraId="7A6DE360" w15:done="0"/>
  <w15:commentEx w15:paraId="64B8D7E7" w15:done="0"/>
  <w15:commentEx w15:paraId="223FA6D7" w15:done="0"/>
  <w15:commentEx w15:paraId="7EF04B7C" w15:done="0"/>
  <w15:commentEx w15:paraId="638CDBE4" w15:done="0"/>
  <w15:commentEx w15:paraId="2DDC9F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E0" w:rsidRDefault="00EA7FE0" w:rsidP="003239F4">
      <w:r>
        <w:separator/>
      </w:r>
    </w:p>
  </w:endnote>
  <w:endnote w:type="continuationSeparator" w:id="0">
    <w:p w:rsidR="00EA7FE0" w:rsidRDefault="00EA7FE0" w:rsidP="0032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AD" w:rsidRPr="00C811AD" w:rsidRDefault="00DC5C46" w:rsidP="00C811AD">
    <w:pPr>
      <w:bidi w:val="0"/>
      <w:jc w:val="center"/>
      <w:rPr>
        <w:sz w:val="20"/>
      </w:rPr>
    </w:pPr>
    <w:r w:rsidRPr="00C811AD">
      <w:rPr>
        <w:sz w:val="20"/>
      </w:rPr>
      <w:fldChar w:fldCharType="begin"/>
    </w:r>
    <w:r w:rsidR="00C811AD" w:rsidRPr="00C811AD">
      <w:rPr>
        <w:sz w:val="20"/>
      </w:rPr>
      <w:instrText xml:space="preserve"> page </w:instrText>
    </w:r>
    <w:r w:rsidRPr="00C811AD">
      <w:rPr>
        <w:sz w:val="20"/>
      </w:rPr>
      <w:fldChar w:fldCharType="separate"/>
    </w:r>
    <w:r w:rsidR="00CC6129">
      <w:rPr>
        <w:noProof/>
        <w:sz w:val="20"/>
      </w:rPr>
      <w:t>15</w:t>
    </w:r>
    <w:r w:rsidRPr="00C811A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E0" w:rsidRDefault="00EA7FE0" w:rsidP="003239F4">
      <w:r>
        <w:separator/>
      </w:r>
    </w:p>
  </w:footnote>
  <w:footnote w:type="continuationSeparator" w:id="0">
    <w:p w:rsidR="00EA7FE0" w:rsidRDefault="00EA7FE0" w:rsidP="0032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AD" w:rsidRPr="00C811AD" w:rsidRDefault="00C811AD" w:rsidP="00C811AD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color w:val="0000FF"/>
        <w:sz w:val="20"/>
      </w:rPr>
    </w:pPr>
    <w:r w:rsidRPr="00C811AD">
      <w:rPr>
        <w:rFonts w:hint="eastAsia"/>
        <w:iCs/>
        <w:color w:val="000000"/>
        <w:sz w:val="20"/>
      </w:rPr>
      <w:tab/>
    </w:r>
    <w:r w:rsidRPr="00C811AD">
      <w:rPr>
        <w:iCs/>
        <w:color w:val="000000"/>
        <w:sz w:val="20"/>
      </w:rPr>
      <w:t xml:space="preserve">Cancer Biology </w:t>
    </w:r>
    <w:r w:rsidRPr="00C811AD">
      <w:rPr>
        <w:iCs/>
        <w:sz w:val="20"/>
      </w:rPr>
      <w:t>201</w:t>
    </w:r>
    <w:r w:rsidRPr="00C811AD">
      <w:rPr>
        <w:rFonts w:hint="eastAsia"/>
        <w:iCs/>
        <w:sz w:val="20"/>
      </w:rPr>
      <w:t>6</w:t>
    </w:r>
    <w:proofErr w:type="gramStart"/>
    <w:r w:rsidRPr="00C811AD">
      <w:rPr>
        <w:iCs/>
        <w:sz w:val="20"/>
      </w:rPr>
      <w:t>;</w:t>
    </w:r>
    <w:r w:rsidRPr="00C811AD">
      <w:rPr>
        <w:rFonts w:hint="eastAsia"/>
        <w:iCs/>
        <w:sz w:val="20"/>
      </w:rPr>
      <w:t>6</w:t>
    </w:r>
    <w:proofErr w:type="gramEnd"/>
    <w:r w:rsidRPr="00C811AD">
      <w:rPr>
        <w:iCs/>
        <w:sz w:val="20"/>
      </w:rPr>
      <w:t>(</w:t>
    </w:r>
    <w:r w:rsidRPr="00C811AD">
      <w:rPr>
        <w:rFonts w:hint="eastAsia"/>
        <w:iCs/>
        <w:sz w:val="20"/>
      </w:rPr>
      <w:t>1</w:t>
    </w:r>
    <w:r w:rsidRPr="00C811AD">
      <w:rPr>
        <w:iCs/>
        <w:sz w:val="20"/>
      </w:rPr>
      <w:t>)</w:t>
    </w:r>
    <w:r w:rsidR="00FC43E4">
      <w:rPr>
        <w:iCs/>
        <w:sz w:val="20"/>
      </w:rPr>
      <w:t xml:space="preserve"> </w:t>
    </w:r>
    <w:r w:rsidR="00FC43E4">
      <w:rPr>
        <w:rFonts w:hint="eastAsia"/>
        <w:iCs/>
        <w:sz w:val="20"/>
      </w:rPr>
      <w:t xml:space="preserve"> </w:t>
    </w:r>
    <w:r w:rsidRPr="00C811AD">
      <w:rPr>
        <w:rFonts w:hint="eastAsia"/>
        <w:iCs/>
        <w:sz w:val="20"/>
      </w:rPr>
      <w:t xml:space="preserve"> </w:t>
    </w:r>
    <w:r w:rsidRPr="00C811AD">
      <w:rPr>
        <w:rFonts w:hint="eastAsia"/>
        <w:iCs/>
        <w:sz w:val="20"/>
      </w:rPr>
      <w:tab/>
    </w:r>
    <w:r w:rsidR="00FC43E4">
      <w:rPr>
        <w:rFonts w:hint="eastAsia"/>
        <w:iCs/>
        <w:sz w:val="20"/>
      </w:rPr>
      <w:t xml:space="preserve">   </w:t>
    </w:r>
    <w:r w:rsidR="00FC43E4">
      <w:rPr>
        <w:sz w:val="20"/>
      </w:rPr>
      <w:t xml:space="preserve"> </w:t>
    </w:r>
    <w:hyperlink r:id="rId1" w:history="1">
      <w:r w:rsidRPr="00C811AD">
        <w:rPr>
          <w:rStyle w:val="Hyperlink"/>
          <w:sz w:val="20"/>
        </w:rPr>
        <w:t>http://www.cancerbio.net</w:t>
      </w:r>
    </w:hyperlink>
  </w:p>
  <w:p w:rsidR="00C811AD" w:rsidRPr="00C811AD" w:rsidRDefault="00C811AD" w:rsidP="00C811AD">
    <w:pP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506"/>
    <w:multiLevelType w:val="hybridMultilevel"/>
    <w:tmpl w:val="83A49218"/>
    <w:lvl w:ilvl="0" w:tplc="0409000F">
      <w:start w:val="1"/>
      <w:numFmt w:val="decimal"/>
      <w:lvlText w:val="%1."/>
      <w:lvlJc w:val="left"/>
      <w:pPr>
        <w:ind w:left="1896" w:hanging="360"/>
      </w:p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>
    <w:nsid w:val="55FE2C82"/>
    <w:multiLevelType w:val="multilevel"/>
    <w:tmpl w:val="7E9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427B56"/>
    <w:multiLevelType w:val="multilevel"/>
    <w:tmpl w:val="DC38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EF47AC"/>
    <w:multiLevelType w:val="multilevel"/>
    <w:tmpl w:val="95B6F0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F2883"/>
    <w:multiLevelType w:val="multilevel"/>
    <w:tmpl w:val="C25E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6CE"/>
    <w:rsid w:val="000302B0"/>
    <w:rsid w:val="00037A7E"/>
    <w:rsid w:val="00067ADC"/>
    <w:rsid w:val="000A59FE"/>
    <w:rsid w:val="000E249E"/>
    <w:rsid w:val="00106741"/>
    <w:rsid w:val="00115B55"/>
    <w:rsid w:val="0011682A"/>
    <w:rsid w:val="00135734"/>
    <w:rsid w:val="001501E0"/>
    <w:rsid w:val="00175A9E"/>
    <w:rsid w:val="0019198A"/>
    <w:rsid w:val="001C5C99"/>
    <w:rsid w:val="001D1A57"/>
    <w:rsid w:val="00214ABF"/>
    <w:rsid w:val="00234995"/>
    <w:rsid w:val="002861FD"/>
    <w:rsid w:val="002D0465"/>
    <w:rsid w:val="002E6D37"/>
    <w:rsid w:val="002F2F7F"/>
    <w:rsid w:val="003239F4"/>
    <w:rsid w:val="00330A6C"/>
    <w:rsid w:val="00336487"/>
    <w:rsid w:val="003712B1"/>
    <w:rsid w:val="0039456F"/>
    <w:rsid w:val="003A0B51"/>
    <w:rsid w:val="003B0F50"/>
    <w:rsid w:val="003D56CE"/>
    <w:rsid w:val="003D704E"/>
    <w:rsid w:val="00421FBA"/>
    <w:rsid w:val="00440D90"/>
    <w:rsid w:val="00462B18"/>
    <w:rsid w:val="00491D4B"/>
    <w:rsid w:val="00494461"/>
    <w:rsid w:val="004B5DEF"/>
    <w:rsid w:val="004C2C7F"/>
    <w:rsid w:val="004E5E35"/>
    <w:rsid w:val="005229E5"/>
    <w:rsid w:val="00525BC8"/>
    <w:rsid w:val="0054256A"/>
    <w:rsid w:val="0056157D"/>
    <w:rsid w:val="00563599"/>
    <w:rsid w:val="005D2E58"/>
    <w:rsid w:val="005E4698"/>
    <w:rsid w:val="005F44E1"/>
    <w:rsid w:val="00614393"/>
    <w:rsid w:val="006370B4"/>
    <w:rsid w:val="00660937"/>
    <w:rsid w:val="006654F8"/>
    <w:rsid w:val="0067184F"/>
    <w:rsid w:val="006720FE"/>
    <w:rsid w:val="00686FBD"/>
    <w:rsid w:val="006C5DB3"/>
    <w:rsid w:val="006E1BAF"/>
    <w:rsid w:val="006E24A2"/>
    <w:rsid w:val="006F007B"/>
    <w:rsid w:val="007234EE"/>
    <w:rsid w:val="0073262B"/>
    <w:rsid w:val="00766B86"/>
    <w:rsid w:val="0077644B"/>
    <w:rsid w:val="0079320F"/>
    <w:rsid w:val="007B2326"/>
    <w:rsid w:val="007B3360"/>
    <w:rsid w:val="007B5DA0"/>
    <w:rsid w:val="0080658C"/>
    <w:rsid w:val="008176A9"/>
    <w:rsid w:val="008407E3"/>
    <w:rsid w:val="008454C6"/>
    <w:rsid w:val="00850AC9"/>
    <w:rsid w:val="00865707"/>
    <w:rsid w:val="008671EF"/>
    <w:rsid w:val="008B33D7"/>
    <w:rsid w:val="009A004A"/>
    <w:rsid w:val="009B431D"/>
    <w:rsid w:val="009B7981"/>
    <w:rsid w:val="009B7EA5"/>
    <w:rsid w:val="009D56F3"/>
    <w:rsid w:val="00A05757"/>
    <w:rsid w:val="00A10610"/>
    <w:rsid w:val="00A11FE2"/>
    <w:rsid w:val="00A15A2E"/>
    <w:rsid w:val="00A26A6E"/>
    <w:rsid w:val="00A27D5D"/>
    <w:rsid w:val="00A43CD3"/>
    <w:rsid w:val="00A75CEA"/>
    <w:rsid w:val="00A95599"/>
    <w:rsid w:val="00AF4BD5"/>
    <w:rsid w:val="00B26BDC"/>
    <w:rsid w:val="00B34072"/>
    <w:rsid w:val="00B74F59"/>
    <w:rsid w:val="00B874A1"/>
    <w:rsid w:val="00B90B75"/>
    <w:rsid w:val="00B94CA9"/>
    <w:rsid w:val="00BA1353"/>
    <w:rsid w:val="00BC576B"/>
    <w:rsid w:val="00BD43C5"/>
    <w:rsid w:val="00BD588C"/>
    <w:rsid w:val="00C23A20"/>
    <w:rsid w:val="00C30FFB"/>
    <w:rsid w:val="00C62CCA"/>
    <w:rsid w:val="00C63F81"/>
    <w:rsid w:val="00C76967"/>
    <w:rsid w:val="00C76A9A"/>
    <w:rsid w:val="00C811AD"/>
    <w:rsid w:val="00CC32DD"/>
    <w:rsid w:val="00CC6129"/>
    <w:rsid w:val="00CE35B4"/>
    <w:rsid w:val="00CE4B0A"/>
    <w:rsid w:val="00CF5E21"/>
    <w:rsid w:val="00D1546F"/>
    <w:rsid w:val="00D21112"/>
    <w:rsid w:val="00D44C19"/>
    <w:rsid w:val="00D57F5F"/>
    <w:rsid w:val="00D62569"/>
    <w:rsid w:val="00D732F4"/>
    <w:rsid w:val="00D93853"/>
    <w:rsid w:val="00D9638E"/>
    <w:rsid w:val="00DA182F"/>
    <w:rsid w:val="00DC5C46"/>
    <w:rsid w:val="00DE3445"/>
    <w:rsid w:val="00E0359F"/>
    <w:rsid w:val="00E15488"/>
    <w:rsid w:val="00E21A37"/>
    <w:rsid w:val="00E22E4B"/>
    <w:rsid w:val="00E32E8B"/>
    <w:rsid w:val="00E46C31"/>
    <w:rsid w:val="00E57DD2"/>
    <w:rsid w:val="00E6595F"/>
    <w:rsid w:val="00E71712"/>
    <w:rsid w:val="00E85546"/>
    <w:rsid w:val="00EA43A8"/>
    <w:rsid w:val="00EA7FE0"/>
    <w:rsid w:val="00ED1A77"/>
    <w:rsid w:val="00EE23A9"/>
    <w:rsid w:val="00EE642A"/>
    <w:rsid w:val="00EE691B"/>
    <w:rsid w:val="00EF7A89"/>
    <w:rsid w:val="00F17F18"/>
    <w:rsid w:val="00F203F7"/>
    <w:rsid w:val="00F23D7D"/>
    <w:rsid w:val="00F5705F"/>
    <w:rsid w:val="00F6154D"/>
    <w:rsid w:val="00F902AB"/>
    <w:rsid w:val="00F9099A"/>
    <w:rsid w:val="00FB268E"/>
    <w:rsid w:val="00FC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56CE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semiHidden/>
    <w:unhideWhenUsed/>
    <w:rsid w:val="003D5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56CE"/>
    <w:pPr>
      <w:bidi w:val="0"/>
      <w:spacing w:before="100" w:beforeAutospacing="1" w:after="100" w:afterAutospacing="1"/>
    </w:pPr>
  </w:style>
  <w:style w:type="paragraph" w:customStyle="1" w:styleId="svarticlesection">
    <w:name w:val="svarticle section"/>
    <w:basedOn w:val="Normal"/>
    <w:rsid w:val="003D56CE"/>
    <w:pPr>
      <w:bidi w:val="0"/>
      <w:spacing w:before="100" w:beforeAutospacing="1" w:after="100" w:afterAutospacing="1"/>
    </w:pPr>
  </w:style>
  <w:style w:type="character" w:customStyle="1" w:styleId="headingendmark">
    <w:name w:val="headingendmark"/>
    <w:basedOn w:val="DefaultParagraphFont"/>
    <w:rsid w:val="003D56CE"/>
  </w:style>
  <w:style w:type="character" w:customStyle="1" w:styleId="mixed-citation">
    <w:name w:val="mixed-citation"/>
    <w:basedOn w:val="DefaultParagraphFont"/>
    <w:rsid w:val="003D56CE"/>
  </w:style>
  <w:style w:type="character" w:customStyle="1" w:styleId="ref-title">
    <w:name w:val="ref-title"/>
    <w:basedOn w:val="DefaultParagraphFont"/>
    <w:rsid w:val="003D56CE"/>
  </w:style>
  <w:style w:type="character" w:customStyle="1" w:styleId="ref-journal">
    <w:name w:val="ref-journal"/>
    <w:basedOn w:val="DefaultParagraphFont"/>
    <w:rsid w:val="003D56CE"/>
  </w:style>
  <w:style w:type="paragraph" w:styleId="BalloonText">
    <w:name w:val="Balloon Text"/>
    <w:basedOn w:val="Normal"/>
    <w:link w:val="BalloonTextChar"/>
    <w:uiPriority w:val="99"/>
    <w:semiHidden/>
    <w:unhideWhenUsed/>
    <w:rsid w:val="003D5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D588C"/>
  </w:style>
  <w:style w:type="character" w:styleId="Emphasis">
    <w:name w:val="Emphasis"/>
    <w:basedOn w:val="DefaultParagraphFont"/>
    <w:uiPriority w:val="20"/>
    <w:qFormat/>
    <w:rsid w:val="00F9099A"/>
    <w:rPr>
      <w:i/>
      <w:iCs/>
    </w:rPr>
  </w:style>
  <w:style w:type="paragraph" w:styleId="ListParagraph">
    <w:name w:val="List Paragraph"/>
    <w:basedOn w:val="Normal"/>
    <w:uiPriority w:val="34"/>
    <w:qFormat/>
    <w:rsid w:val="00EE23A9"/>
    <w:pPr>
      <w:ind w:left="720"/>
      <w:contextualSpacing/>
    </w:pPr>
  </w:style>
  <w:style w:type="character" w:customStyle="1" w:styleId="ref-vol">
    <w:name w:val="ref-vol"/>
    <w:basedOn w:val="DefaultParagraphFont"/>
    <w:rsid w:val="00234995"/>
  </w:style>
  <w:style w:type="paragraph" w:customStyle="1" w:styleId="reftext">
    <w:name w:val="reftext"/>
    <w:basedOn w:val="Normal"/>
    <w:rsid w:val="00336487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23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9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F4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3239F4"/>
    <w:pPr>
      <w:spacing w:after="0" w:line="240" w:lineRule="auto"/>
    </w:pPr>
  </w:style>
  <w:style w:type="paragraph" w:styleId="NoSpacing">
    <w:name w:val="No Spacing"/>
    <w:link w:val="NoSpacingChar"/>
    <w:qFormat/>
    <w:rsid w:val="003239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A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C32DD"/>
  </w:style>
  <w:style w:type="paragraph" w:styleId="EndnoteText">
    <w:name w:val="endnote text"/>
    <w:basedOn w:val="Normal"/>
    <w:link w:val="EndnoteTextChar"/>
    <w:uiPriority w:val="99"/>
    <w:semiHidden/>
    <w:unhideWhenUsed/>
    <w:rsid w:val="00E32E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2E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2E8B"/>
    <w:rPr>
      <w:vertAlign w:val="superscript"/>
    </w:rPr>
  </w:style>
  <w:style w:type="paragraph" w:styleId="Revision">
    <w:name w:val="Revision"/>
    <w:hidden/>
    <w:uiPriority w:val="99"/>
    <w:semiHidden/>
    <w:rsid w:val="00C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9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9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98A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locked/>
    <w:rsid w:val="00C811AD"/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0"/>
    <w:basedOn w:val="DefaultParagraphFont"/>
    <w:rsid w:val="00C8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ervatomar@yahoo.com" TargetMode="External"/><Relationship Id="rId13" Type="http://schemas.openxmlformats.org/officeDocument/2006/relationships/hyperlink" Target="http://www.uptodate.com/contents/dasatinib-drug-information?source=see_link" TargetMode="External"/><Relationship Id="rId18" Type="http://schemas.openxmlformats.org/officeDocument/2006/relationships/hyperlink" Target="http://www.uptodate.com/contents/chronic-myeloid-leukemia-cml-in-adults-beyond-the-basics/abstract/2" TargetMode="External"/><Relationship Id="rId26" Type="http://schemas.openxmlformats.org/officeDocument/2006/relationships/hyperlink" Target="http://www.uptodate.com/contents/initial-treatment-of-chronic-myeloid-leukemia-in-chronic-phase/abstract/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ptodate.com/contents/chronic-myeloid-leukemia-cml-in-adults-beyond-the-basics/abstract/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ncbi.nlm.nih.gov/pmc/articles/PMC3000369/" TargetMode="External"/><Relationship Id="rId25" Type="http://schemas.openxmlformats.org/officeDocument/2006/relationships/hyperlink" Target="http://ascidatabase.com/author.php?author=Rania&amp;last=H.%20Khali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cidatabase.com/author.php?author=Shereen&amp;last=Mahmoud" TargetMode="External"/><Relationship Id="rId20" Type="http://schemas.openxmlformats.org/officeDocument/2006/relationships/hyperlink" Target="http://www.bloodjournal.org/content/124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ascidatabase.com/author.php?author=Dalia&amp;last=A.%20Labib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ascidatabase.com/author.php?author=Shereen&amp;last=Mahmou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x.doi.org/10.7537/marscbj06011604" TargetMode="External"/><Relationship Id="rId19" Type="http://schemas.openxmlformats.org/officeDocument/2006/relationships/hyperlink" Target="http://scholar.google.com/scholar_lookup?title=Additional+chromosomal+abnormalities+in+Philadelphia-positive+clone%3a+adverse+prognostic+impact+on+frontline+imatinib+therapy%3a+a+GIMEMA+Working+Party+on+CML+analysis&amp;author=S.+Luatti&amp;author=F.+Castagnetti&amp;author=G.+Marzocchi&amp;author=et+al.&amp;publication_year=2012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hyperlink" Target="http://www.uptodate.com/contents/nilotinib-drug-information?source=see_link" TargetMode="External"/><Relationship Id="rId22" Type="http://schemas.openxmlformats.org/officeDocument/2006/relationships/hyperlink" Target="http://www.uptodate.com/contents/chronic-myeloid-leukemia-cml-in-adults-beyond-the-basics/abstract/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BDAC-623C-4B56-AD91-7B5BE32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5</cp:revision>
  <cp:lastPrinted>2016-02-02T01:43:00Z</cp:lastPrinted>
  <dcterms:created xsi:type="dcterms:W3CDTF">2016-02-02T10:58:00Z</dcterms:created>
  <dcterms:modified xsi:type="dcterms:W3CDTF">2016-02-02T02:44:00Z</dcterms:modified>
</cp:coreProperties>
</file>