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70" w:rsidRDefault="007E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in Bacillus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Calmette-Guérin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(BCG) refractory non muscle invasive bladder cancer</w:t>
      </w:r>
    </w:p>
    <w:p w:rsidR="00010F70" w:rsidRDefault="0001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10F70" w:rsidRDefault="007E1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Ahmed Z Alattar</w:t>
      </w: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Nashwa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Nawwar</w:t>
      </w: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>, Ahmad M. Alhosainy</w:t>
      </w: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Khalid Abdelwahab</w:t>
      </w:r>
      <w:r>
        <w:rPr>
          <w:rFonts w:ascii="Times New Roman" w:eastAsia="Times New Roman" w:hAnsi="Times New Roman" w:cs="Times New Roman"/>
          <w:sz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Mohmed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naguib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0"/>
        </w:rPr>
        <w:t>and Salem Khalil</w:t>
      </w:r>
      <w:r>
        <w:rPr>
          <w:rFonts w:ascii="Times New Roman" w:eastAsia="Times New Roman" w:hAnsi="Times New Roman" w:cs="Times New Roman"/>
          <w:sz w:val="20"/>
          <w:vertAlign w:val="superscript"/>
        </w:rPr>
        <w:t>2</w:t>
      </w:r>
    </w:p>
    <w:p w:rsidR="00010F70" w:rsidRDefault="0001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vertAlign w:val="superscript"/>
        </w:rPr>
      </w:pPr>
    </w:p>
    <w:p w:rsidR="00010F70" w:rsidRDefault="007E15F1" w:rsidP="003B7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>Clinical Oncology &amp;</w:t>
      </w:r>
      <w:r>
        <w:rPr>
          <w:rFonts w:ascii="Times New Roman" w:eastAsia="Times New Roman" w:hAnsi="Times New Roman" w:cs="Times New Roman"/>
          <w:sz w:val="20"/>
        </w:rPr>
        <w:t xml:space="preserve"> Nuclear Medicine Department, Faculty of Medicine, </w:t>
      </w:r>
      <w:proofErr w:type="spellStart"/>
      <w:r>
        <w:rPr>
          <w:rFonts w:ascii="Times New Roman" w:eastAsia="Times New Roman" w:hAnsi="Times New Roman" w:cs="Times New Roman"/>
          <w:sz w:val="20"/>
        </w:rPr>
        <w:t>Zagazig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University</w:t>
      </w:r>
      <w:r>
        <w:rPr>
          <w:rFonts w:ascii="Times New Roman" w:eastAsia="Times New Roman" w:hAnsi="Times New Roman" w:cs="Times New Roman"/>
          <w:sz w:val="20"/>
        </w:rPr>
        <w:t>, Egypt</w:t>
      </w:r>
    </w:p>
    <w:p w:rsidR="00010F70" w:rsidRDefault="007E15F1" w:rsidP="003B7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Urology Departments, Faculty of Medicine, </w:t>
      </w:r>
      <w:proofErr w:type="spellStart"/>
      <w:r>
        <w:rPr>
          <w:rFonts w:ascii="Times New Roman" w:eastAsia="Times New Roman" w:hAnsi="Times New Roman" w:cs="Times New Roman"/>
          <w:sz w:val="20"/>
        </w:rPr>
        <w:t>Zagazig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University</w:t>
      </w:r>
      <w:r w:rsidR="003B7469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Egypt</w:t>
      </w:r>
    </w:p>
    <w:p w:rsidR="00010F70" w:rsidRDefault="0001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hyperlink r:id="rId7">
        <w:r w:rsidR="007E15F1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ahmedenbedo@hotmail.com</w:t>
        </w:r>
      </w:hyperlink>
    </w:p>
    <w:p w:rsidR="00010F70" w:rsidRDefault="0001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10F70" w:rsidRDefault="007E15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Abstract: Objective</w:t>
      </w:r>
      <w:r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To evaluate the efficacy and safety of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(GEM) in cases of </w:t>
      </w:r>
      <w:proofErr w:type="gramStart"/>
      <w:r>
        <w:rPr>
          <w:rFonts w:ascii="Times New Roman" w:eastAsia="Times New Roman" w:hAnsi="Times New Roman" w:cs="Times New Roman"/>
          <w:sz w:val="20"/>
        </w:rPr>
        <w:t>non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muscle invasive bladder cancer (NMIBC) refractory to Bacillus </w:t>
      </w:r>
      <w:proofErr w:type="spellStart"/>
      <w:r>
        <w:rPr>
          <w:rFonts w:ascii="Times New Roman" w:eastAsia="Times New Roman" w:hAnsi="Times New Roman" w:cs="Times New Roman"/>
          <w:sz w:val="20"/>
        </w:rPr>
        <w:t>Calmette-Guérin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(BCG).</w:t>
      </w:r>
      <w:r>
        <w:rPr>
          <w:rFonts w:ascii="Times New Roman" w:eastAsia="Times New Roman" w:hAnsi="Times New Roman" w:cs="Times New Roman"/>
          <w:b/>
          <w:sz w:val="20"/>
        </w:rPr>
        <w:t xml:space="preserve"> Patients and methods: </w:t>
      </w:r>
      <w:r>
        <w:rPr>
          <w:rFonts w:ascii="Times New Roman" w:eastAsia="Times New Roman" w:hAnsi="Times New Roman" w:cs="Times New Roman"/>
          <w:sz w:val="20"/>
        </w:rPr>
        <w:t xml:space="preserve">This study included 45 patients with </w:t>
      </w:r>
      <w:proofErr w:type="spellStart"/>
      <w:r>
        <w:rPr>
          <w:rFonts w:ascii="Times New Roman" w:eastAsia="Times New Roman" w:hAnsi="Times New Roman" w:cs="Times New Roman"/>
          <w:sz w:val="20"/>
        </w:rPr>
        <w:t>histologically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proven NMI</w:t>
      </w:r>
      <w:r>
        <w:rPr>
          <w:rFonts w:ascii="Times New Roman" w:eastAsia="Times New Roman" w:hAnsi="Times New Roman" w:cs="Times New Roman"/>
          <w:sz w:val="20"/>
        </w:rPr>
        <w:t xml:space="preserve">BC refractory to BCG therapy, who refused or were not-eligible for radical </w:t>
      </w:r>
      <w:proofErr w:type="spellStart"/>
      <w:r>
        <w:rPr>
          <w:rFonts w:ascii="Times New Roman" w:eastAsia="Times New Roman" w:hAnsi="Times New Roman" w:cs="Times New Roman"/>
          <w:sz w:val="20"/>
        </w:rPr>
        <w:t>cystectomy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of them 36 were evaluable. Patients' selection based upon European Association of Urology (EAU) guidelines 2011 definition of BCG refractory disease. </w:t>
      </w:r>
      <w:proofErr w:type="gramStart"/>
      <w:r>
        <w:rPr>
          <w:rFonts w:ascii="Times New Roman" w:eastAsia="Times New Roman" w:hAnsi="Times New Roman" w:cs="Times New Roman"/>
          <w:sz w:val="20"/>
        </w:rPr>
        <w:t>Performance score (P</w:t>
      </w:r>
      <w:r>
        <w:rPr>
          <w:rFonts w:ascii="Times New Roman" w:eastAsia="Times New Roman" w:hAnsi="Times New Roman" w:cs="Times New Roman"/>
          <w:sz w:val="20"/>
        </w:rPr>
        <w:t>S) &lt;2, and adequate hematological profile.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All patients were planned to receive consecutive 12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instillations of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[2 g/100 </w:t>
      </w:r>
      <w:proofErr w:type="spellStart"/>
      <w:r>
        <w:rPr>
          <w:rFonts w:ascii="Times New Roman" w:eastAsia="Times New Roman" w:hAnsi="Times New Roman" w:cs="Times New Roman"/>
          <w:sz w:val="20"/>
        </w:rPr>
        <w:t>mL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twice weekly].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and cytology were performed initially at 3 months with biopsy as clinically indic</w:t>
      </w:r>
      <w:r>
        <w:rPr>
          <w:rFonts w:ascii="Times New Roman" w:eastAsia="Times New Roman" w:hAnsi="Times New Roman" w:cs="Times New Roman"/>
          <w:sz w:val="20"/>
        </w:rPr>
        <w:t>ated, then repeated every 3 months till 24 months. The primary endpoint was tumor recurrence rate at one year follow-up. . Secondary end points included +</w:t>
      </w:r>
      <w:proofErr w:type="spellStart"/>
      <w:r>
        <w:rPr>
          <w:rFonts w:ascii="Times New Roman" w:eastAsia="Times New Roman" w:hAnsi="Times New Roman" w:cs="Times New Roman"/>
          <w:sz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cytology-free survival, +</w:t>
      </w:r>
      <w:proofErr w:type="spellStart"/>
      <w:r>
        <w:rPr>
          <w:rFonts w:ascii="Times New Roman" w:eastAsia="Times New Roman" w:hAnsi="Times New Roman" w:cs="Times New Roman"/>
          <w:sz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 free survival and overall survival at the end of the study </w:t>
      </w:r>
      <w:r>
        <w:rPr>
          <w:rFonts w:ascii="Times New Roman" w:eastAsia="Times New Roman" w:hAnsi="Times New Roman" w:cs="Times New Roman"/>
          <w:sz w:val="20"/>
        </w:rPr>
        <w:t xml:space="preserve">follow up period. </w:t>
      </w:r>
      <w:r>
        <w:rPr>
          <w:rFonts w:ascii="Times New Roman" w:eastAsia="Times New Roman" w:hAnsi="Times New Roman" w:cs="Times New Roman"/>
          <w:b/>
          <w:sz w:val="20"/>
        </w:rPr>
        <w:t xml:space="preserve">Results: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GEM was well tolerated with no cases of treatment discontinuation due to adverse effects. Complete response (Negative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and negative cytology) was achieved in 15 (41.7%) patients, of these five patients main</w:t>
      </w:r>
      <w:r>
        <w:rPr>
          <w:rFonts w:ascii="Times New Roman" w:eastAsia="Times New Roman" w:hAnsi="Times New Roman" w:cs="Times New Roman"/>
          <w:sz w:val="20"/>
        </w:rPr>
        <w:t xml:space="preserve">tained this state until the end of the follow-up period. Failed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GEM presented as positive cytology (7 patients), NMIBC (11 patients) and muscle invasive disease (3 patients). Over the follow-up period, the median +</w:t>
      </w:r>
      <w:proofErr w:type="spellStart"/>
      <w:r>
        <w:rPr>
          <w:rFonts w:ascii="Times New Roman" w:eastAsia="Times New Roman" w:hAnsi="Times New Roman" w:cs="Times New Roman"/>
          <w:sz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cytology-free survival tim</w:t>
      </w:r>
      <w:r>
        <w:rPr>
          <w:rFonts w:ascii="Times New Roman" w:eastAsia="Times New Roman" w:hAnsi="Times New Roman" w:cs="Times New Roman"/>
          <w:sz w:val="20"/>
        </w:rPr>
        <w:t>e was 15 months, while median +</w:t>
      </w:r>
      <w:proofErr w:type="spellStart"/>
      <w:r>
        <w:rPr>
          <w:rFonts w:ascii="Times New Roman" w:eastAsia="Times New Roman" w:hAnsi="Times New Roman" w:cs="Times New Roman"/>
          <w:sz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-free survival time was 21 months and overall survival was 13.5 months. At the end of the study, </w:t>
      </w:r>
      <w:proofErr w:type="gramStart"/>
      <w:r>
        <w:rPr>
          <w:rFonts w:ascii="Times New Roman" w:eastAsia="Times New Roman" w:hAnsi="Times New Roman" w:cs="Times New Roman"/>
          <w:sz w:val="20"/>
        </w:rPr>
        <w:t>After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one year, 15 patients (41%) were free at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Of them 14 patients (93.3%) were free for cytology, the </w:t>
      </w:r>
      <w:r>
        <w:rPr>
          <w:rFonts w:ascii="Times New Roman" w:eastAsia="Times New Roman" w:hAnsi="Times New Roman" w:cs="Times New Roman"/>
          <w:sz w:val="20"/>
        </w:rPr>
        <w:t>relapse free survival rate at one year was 39%, but was 14% only at 2 years, the progression free survival time was 21 months and its rate was 33%, and overall survival rate was</w:t>
      </w:r>
      <w:r>
        <w:rPr>
          <w:rFonts w:ascii="Times New Roman" w:eastAsia="Times New Roman" w:hAnsi="Times New Roman" w:cs="Times New Roman"/>
          <w:color w:val="C00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86.7%. Conclusion: IV GEM is well tolerated and sets hope for patients with NMIBC refractory to BCG who </w:t>
      </w:r>
      <w:proofErr w:type="gramStart"/>
      <w:r>
        <w:rPr>
          <w:rFonts w:ascii="Times New Roman" w:eastAsia="Times New Roman" w:hAnsi="Times New Roman" w:cs="Times New Roman"/>
          <w:sz w:val="20"/>
        </w:rPr>
        <w:t>are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willing to keep their bladders or were unfit for radical surgery. </w:t>
      </w:r>
    </w:p>
    <w:p w:rsidR="00010F70" w:rsidRDefault="007E1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 xml:space="preserve">[Ahmed Z </w:t>
      </w:r>
      <w:proofErr w:type="spellStart"/>
      <w:r>
        <w:rPr>
          <w:rFonts w:ascii="Times New Roman" w:eastAsia="Times New Roman" w:hAnsi="Times New Roman" w:cs="Times New Roman"/>
          <w:sz w:val="20"/>
        </w:rPr>
        <w:t>Alattar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Nashwa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Nawwar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Ahmad M. </w:t>
      </w:r>
      <w:proofErr w:type="spellStart"/>
      <w:r>
        <w:rPr>
          <w:rFonts w:ascii="Times New Roman" w:eastAsia="Times New Roman" w:hAnsi="Times New Roman" w:cs="Times New Roman"/>
          <w:sz w:val="20"/>
        </w:rPr>
        <w:t>Alhosainy</w:t>
      </w:r>
      <w:proofErr w:type="spellEnd"/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Khalid </w:t>
      </w:r>
      <w:proofErr w:type="spellStart"/>
      <w:r>
        <w:rPr>
          <w:rFonts w:ascii="Times New Roman" w:eastAsia="Times New Roman" w:hAnsi="Times New Roman" w:cs="Times New Roman"/>
          <w:sz w:val="20"/>
        </w:rPr>
        <w:t>Abdelwahab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Mohmed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nag</w:t>
      </w:r>
      <w:r>
        <w:rPr>
          <w:rFonts w:ascii="Times New Roman" w:eastAsia="Times New Roman" w:hAnsi="Times New Roman" w:cs="Times New Roman"/>
          <w:sz w:val="20"/>
        </w:rPr>
        <w:t>uib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Salem </w:t>
      </w:r>
      <w:proofErr w:type="spellStart"/>
      <w:r>
        <w:rPr>
          <w:rFonts w:ascii="Times New Roman" w:eastAsia="Times New Roman" w:hAnsi="Times New Roman" w:cs="Times New Roman"/>
          <w:sz w:val="20"/>
        </w:rPr>
        <w:t>Khalil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in Bacillus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Calmette-Guérin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(BCG) refractory non muscle invasive bladder cancer.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Cancer Biology</w:t>
      </w:r>
      <w:r>
        <w:rPr>
          <w:rFonts w:ascii="Times New Roman" w:eastAsia="Times New Roman" w:hAnsi="Times New Roman" w:cs="Times New Roman"/>
          <w:sz w:val="20"/>
        </w:rPr>
        <w:t xml:space="preserve"> 2016</w:t>
      </w:r>
      <w:proofErr w:type="gramStart"/>
      <w:r>
        <w:rPr>
          <w:rFonts w:ascii="Times New Roman" w:eastAsia="Times New Roman" w:hAnsi="Times New Roman" w:cs="Times New Roman"/>
          <w:sz w:val="20"/>
        </w:rPr>
        <w:t>;6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(1):20-25]. ISSN: 2150-1041 (print); ISSN: 2150-105X (online).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://www.cancerbio.net</w:t>
        </w:r>
      </w:hyperlink>
      <w:r>
        <w:rPr>
          <w:rFonts w:ascii="Times New Roman" w:eastAsia="Times New Roman" w:hAnsi="Times New Roman" w:cs="Times New Roman"/>
          <w:sz w:val="20"/>
        </w:rPr>
        <w:t xml:space="preserve">. 5.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doi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: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/>
            <w:shd w:val="clear" w:color="auto" w:fill="FFFFFF"/>
          </w:rPr>
          <w:t>10.7537/marscbj06011605</w:t>
        </w:r>
      </w:hyperlink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.</w:t>
      </w:r>
    </w:p>
    <w:p w:rsidR="00010F70" w:rsidRPr="003B7469" w:rsidRDefault="0001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6"/>
        </w:rPr>
      </w:pPr>
    </w:p>
    <w:p w:rsidR="00010F70" w:rsidRDefault="007E15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Key words:</w:t>
      </w:r>
      <w:r>
        <w:rPr>
          <w:rFonts w:ascii="Times New Roman" w:eastAsia="Times New Roman" w:hAnsi="Times New Roman" w:cs="Times New Roman"/>
          <w:sz w:val="20"/>
        </w:rPr>
        <w:t xml:space="preserve"> superficial bladder cancer,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intravasical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</w:p>
    <w:p w:rsidR="00010F70" w:rsidRPr="003B7469" w:rsidRDefault="0001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6"/>
        </w:rPr>
      </w:pPr>
    </w:p>
    <w:p w:rsidR="003B7469" w:rsidRDefault="003B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  <w:sectPr w:rsidR="003B7469" w:rsidSect="003B7469">
          <w:headerReference w:type="default" r:id="rId10"/>
          <w:footerReference w:type="default" r:id="rId11"/>
          <w:pgSz w:w="12240" w:h="15840"/>
          <w:pgMar w:top="1440" w:right="1800" w:bottom="1440" w:left="1800" w:header="720" w:footer="720" w:gutter="0"/>
          <w:pgNumType w:start="20"/>
          <w:cols w:space="720"/>
          <w:docGrid w:linePitch="360"/>
        </w:sectPr>
      </w:pPr>
    </w:p>
    <w:p w:rsidR="00010F70" w:rsidRDefault="007E1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1. Introduction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About two thirds of bladder tumors discovered as superficial tumors including carcinoma in situ (</w:t>
      </w:r>
      <w:proofErr w:type="spellStart"/>
      <w:r>
        <w:rPr>
          <w:rFonts w:ascii="Times New Roman" w:eastAsia="Times New Roman" w:hAnsi="Times New Roman" w:cs="Times New Roman"/>
          <w:sz w:val="20"/>
        </w:rPr>
        <w:t>Cis</w:t>
      </w:r>
      <w:proofErr w:type="spellEnd"/>
      <w:r>
        <w:rPr>
          <w:rFonts w:ascii="Times New Roman" w:eastAsia="Times New Roman" w:hAnsi="Times New Roman" w:cs="Times New Roman"/>
          <w:sz w:val="20"/>
        </w:rPr>
        <w:t>), Ta, and T1 disease, and are managed conservatively by resection (TUR), however two thirds of superficial tumors develop recurrence,</w:t>
      </w: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high risk patients a</w:t>
      </w:r>
      <w:r>
        <w:rPr>
          <w:rFonts w:ascii="Times New Roman" w:eastAsia="Times New Roman" w:hAnsi="Times New Roman" w:cs="Times New Roman"/>
          <w:sz w:val="20"/>
        </w:rPr>
        <w:t xml:space="preserve">re treated with TUR followed by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BCG instillations,</w:t>
      </w:r>
      <w:r>
        <w:rPr>
          <w:rFonts w:ascii="Times New Roman" w:eastAsia="Times New Roman" w:hAnsi="Times New Roman" w:cs="Times New Roman"/>
          <w:sz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and 20% to 30% of recurrent tumors will develop progressive disease either a higher stage or grade.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0"/>
        </w:rPr>
        <w:t xml:space="preserve">BCG is the most effective therapy in the treatment of </w:t>
      </w:r>
      <w:proofErr w:type="spellStart"/>
      <w:r>
        <w:rPr>
          <w:rFonts w:ascii="Times New Roman" w:eastAsia="Times New Roman" w:hAnsi="Times New Roman" w:cs="Times New Roman"/>
          <w:sz w:val="20"/>
        </w:rPr>
        <w:t>Cis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and minimizes the progression ra</w:t>
      </w:r>
      <w:r>
        <w:rPr>
          <w:rFonts w:ascii="Times New Roman" w:eastAsia="Times New Roman" w:hAnsi="Times New Roman" w:cs="Times New Roman"/>
          <w:sz w:val="20"/>
        </w:rPr>
        <w:t xml:space="preserve">te </w:t>
      </w:r>
      <w:r>
        <w:rPr>
          <w:rFonts w:ascii="Times New Roman" w:eastAsia="Times New Roman" w:hAnsi="Times New Roman" w:cs="Times New Roman"/>
          <w:sz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</w:rPr>
        <w:t>; however, only seventy percent of patients respond to BCG, and one third of them will develop recurrent disease, which is associated with a dismal outcome.</w:t>
      </w:r>
      <w:r>
        <w:rPr>
          <w:rFonts w:ascii="Times New Roman" w:eastAsia="Times New Roman" w:hAnsi="Times New Roman" w:cs="Times New Roman"/>
          <w:sz w:val="20"/>
          <w:vertAlign w:val="superscript"/>
        </w:rPr>
        <w:t>5,6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Provided that the only accepted standard treatment for BCG refractory </w:t>
      </w:r>
      <w:proofErr w:type="spellStart"/>
      <w:r>
        <w:rPr>
          <w:rFonts w:ascii="Times New Roman" w:eastAsia="Times New Roman" w:hAnsi="Times New Roman" w:cs="Times New Roman"/>
          <w:sz w:val="20"/>
        </w:rPr>
        <w:t>urothelial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tumors is </w:t>
      </w:r>
      <w:r>
        <w:rPr>
          <w:rFonts w:ascii="Times New Roman" w:eastAsia="Times New Roman" w:hAnsi="Times New Roman" w:cs="Times New Roman"/>
          <w:sz w:val="20"/>
        </w:rPr>
        <w:lastRenderedPageBreak/>
        <w:t>r</w:t>
      </w:r>
      <w:r>
        <w:rPr>
          <w:rFonts w:ascii="Times New Roman" w:eastAsia="Times New Roman" w:hAnsi="Times New Roman" w:cs="Times New Roman"/>
          <w:sz w:val="20"/>
        </w:rPr>
        <w:t xml:space="preserve">adical </w:t>
      </w:r>
      <w:proofErr w:type="spellStart"/>
      <w:r>
        <w:rPr>
          <w:rFonts w:ascii="Times New Roman" w:eastAsia="Times New Roman" w:hAnsi="Times New Roman" w:cs="Times New Roman"/>
          <w:sz w:val="20"/>
        </w:rPr>
        <w:t>cystectomy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it deserves identification of active agents in this setting, </w:t>
      </w:r>
      <w:proofErr w:type="spellStart"/>
      <w:r>
        <w:rPr>
          <w:rFonts w:ascii="Times New Roman" w:eastAsia="Times New Roman" w:hAnsi="Times New Roman" w:cs="Times New Roman"/>
          <w:sz w:val="20"/>
        </w:rPr>
        <w:t>instellation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of</w:t>
      </w:r>
      <w:r>
        <w:rPr>
          <w:rFonts w:ascii="Times New Roman" w:eastAsia="Times New Roman" w:hAnsi="Times New Roman" w:cs="Times New Roman"/>
          <w:color w:val="0000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chemotherapy after BCG can provide another response in selected patients who fails BCG instillation. In spite of that, many urologists recommend </w:t>
      </w:r>
      <w:proofErr w:type="spellStart"/>
      <w:r>
        <w:rPr>
          <w:rFonts w:ascii="Times New Roman" w:eastAsia="Times New Roman" w:hAnsi="Times New Roman" w:cs="Times New Roman"/>
          <w:sz w:val="20"/>
        </w:rPr>
        <w:t>cystectomy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most cases of high-risk BCG failure </w:t>
      </w:r>
      <w:r>
        <w:rPr>
          <w:rFonts w:ascii="Times New Roman" w:eastAsia="Times New Roman" w:hAnsi="Times New Roman" w:cs="Times New Roman"/>
          <w:sz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. However some of these patients refuse radical surgery and </w:t>
      </w:r>
      <w:r>
        <w:rPr>
          <w:rFonts w:ascii="Times New Roman" w:eastAsia="Times New Roman" w:hAnsi="Times New Roman" w:cs="Times New Roman"/>
          <w:sz w:val="20"/>
        </w:rPr>
        <w:t xml:space="preserve">some have medical unfitness, this was the base for seeking conservative approaches with other </w:t>
      </w:r>
      <w:proofErr w:type="spellStart"/>
      <w:r>
        <w:rPr>
          <w:rFonts w:ascii="Times New Roman" w:eastAsia="Times New Roman" w:hAnsi="Times New Roman" w:cs="Times New Roman"/>
          <w:sz w:val="20"/>
        </w:rPr>
        <w:t>chemotheraputics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these patients. </w:t>
      </w:r>
      <w:r>
        <w:rPr>
          <w:rFonts w:ascii="Times New Roman" w:eastAsia="Times New Roman" w:hAnsi="Times New Roman" w:cs="Times New Roman"/>
          <w:sz w:val="20"/>
          <w:vertAlign w:val="superscript"/>
        </w:rPr>
        <w:t>8 -16</w:t>
      </w:r>
    </w:p>
    <w:p w:rsidR="00010F70" w:rsidRDefault="0001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10F70" w:rsidRDefault="007E1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 Patients and methods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C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This study began on January 2013 in urology and clinical oncology departments Faculty of </w:t>
      </w:r>
      <w:proofErr w:type="spellStart"/>
      <w:r>
        <w:rPr>
          <w:rFonts w:ascii="Times New Roman" w:eastAsia="Times New Roman" w:hAnsi="Times New Roman" w:cs="Times New Roman"/>
          <w:sz w:val="20"/>
        </w:rPr>
        <w:t>medcin</w:t>
      </w:r>
      <w:r>
        <w:rPr>
          <w:rFonts w:ascii="Times New Roman" w:eastAsia="Times New Roman" w:hAnsi="Times New Roman" w:cs="Times New Roman"/>
          <w:sz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Zagazig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University. We included patients with </w:t>
      </w:r>
      <w:proofErr w:type="spellStart"/>
      <w:r>
        <w:rPr>
          <w:rFonts w:ascii="Times New Roman" w:eastAsia="Times New Roman" w:hAnsi="Times New Roman" w:cs="Times New Roman"/>
          <w:sz w:val="20"/>
        </w:rPr>
        <w:t>histologically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proven bladder superficial TCC, refractory to BCG </w:t>
      </w:r>
      <w:r>
        <w:rPr>
          <w:rFonts w:ascii="Times New Roman" w:eastAsia="Times New Roman" w:hAnsi="Times New Roman" w:cs="Times New Roman"/>
          <w:sz w:val="20"/>
        </w:rPr>
        <w:lastRenderedPageBreak/>
        <w:t xml:space="preserve">therapy,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BCG resistant disease was defined as recurrence 3 months after an induction cycle. BCG relapsing disease was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deﬁned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as disease recurre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nce after the patient was disease-free for 6 months.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0"/>
        </w:rPr>
        <w:t xml:space="preserve">who were offered radical </w:t>
      </w:r>
      <w:proofErr w:type="spellStart"/>
      <w:r>
        <w:rPr>
          <w:rFonts w:ascii="Times New Roman" w:eastAsia="Times New Roman" w:hAnsi="Times New Roman" w:cs="Times New Roman"/>
          <w:sz w:val="20"/>
        </w:rPr>
        <w:t>cystectomy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but refused or were not fit for surgery. Patients were selected based upon EAU guidelines 2011 definition of BCG refractory disease </w:t>
      </w:r>
      <w:r>
        <w:rPr>
          <w:rFonts w:ascii="Times New Roman" w:eastAsia="Times New Roman" w:hAnsi="Times New Roman" w:cs="Times New Roman"/>
          <w:sz w:val="20"/>
          <w:vertAlign w:val="superscript"/>
        </w:rPr>
        <w:t>17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color w:val="C00000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performance score &lt;2 accord</w:t>
      </w:r>
      <w:r>
        <w:rPr>
          <w:rFonts w:ascii="Times New Roman" w:eastAsia="Times New Roman" w:hAnsi="Times New Roman" w:cs="Times New Roman"/>
          <w:sz w:val="20"/>
        </w:rPr>
        <w:t>ing to the Eastern Cooperative Oncology Group (ECOG) scale,</w:t>
      </w:r>
      <w:r>
        <w:rPr>
          <w:rFonts w:ascii="Times New Roman" w:eastAsia="Times New Roman" w:hAnsi="Times New Roman" w:cs="Times New Roman"/>
          <w:color w:val="C00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adequate CBC. Thirty-Six patients completed the study. Patient’s evaluation included, complete medical history taking and physical examination, Blood chemistry, </w:t>
      </w:r>
      <w:proofErr w:type="spellStart"/>
      <w:r>
        <w:rPr>
          <w:rFonts w:ascii="Times New Roman" w:eastAsia="Times New Roman" w:hAnsi="Times New Roman" w:cs="Times New Roman"/>
          <w:sz w:val="20"/>
        </w:rPr>
        <w:t>urogram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computed tomography (CT)-, </w:t>
      </w:r>
      <w:r>
        <w:rPr>
          <w:rFonts w:ascii="Times New Roman" w:eastAsia="Times New Roman" w:hAnsi="Times New Roman" w:cs="Times New Roman"/>
          <w:sz w:val="20"/>
        </w:rPr>
        <w:t>plain chest imaging.</w:t>
      </w:r>
      <w:r>
        <w:rPr>
          <w:rFonts w:ascii="Times New Roman" w:eastAsia="Times New Roman" w:hAnsi="Times New Roman" w:cs="Times New Roman"/>
          <w:color w:val="C00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Complete urine analyses with culture and sensitivity were done on once weekly basis all through the treatment course. Clinical and laboratory assessments were done every three weeks.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was performed 3 month after the end of </w:t>
      </w:r>
      <w:proofErr w:type="spellStart"/>
      <w:r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>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GEM and for responsive cases it was repeated every three months for two years</w:t>
      </w:r>
      <w:r>
        <w:rPr>
          <w:rFonts w:ascii="Times New Roman" w:eastAsia="Times New Roman" w:hAnsi="Times New Roman" w:cs="Times New Roman"/>
          <w:color w:val="C00000"/>
          <w:sz w:val="20"/>
        </w:rPr>
        <w:t>.</w:t>
      </w:r>
    </w:p>
    <w:p w:rsidR="00010F70" w:rsidRDefault="007E15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gemcitabine</w:t>
      </w:r>
      <w:proofErr w:type="spellEnd"/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In all patients, an informed consent was obtained before starting treatment. Treatment started 4 to 6 weeks after the last transurethral resection (TURBT). Patients were planned to receive consecutive 12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instillations of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bi weekly </w:t>
      </w:r>
      <w:r>
        <w:rPr>
          <w:rFonts w:ascii="Times New Roman" w:eastAsia="Times New Roman" w:hAnsi="Times New Roman" w:cs="Times New Roman"/>
          <w:sz w:val="20"/>
        </w:rPr>
        <w:t xml:space="preserve">(Days 1 and 4) at a dose of 2 gm/100 </w:t>
      </w:r>
      <w:proofErr w:type="spellStart"/>
      <w:r>
        <w:rPr>
          <w:rFonts w:ascii="Times New Roman" w:eastAsia="Times New Roman" w:hAnsi="Times New Roman" w:cs="Times New Roman"/>
          <w:sz w:val="20"/>
        </w:rPr>
        <w:t>mL.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The bladder was completely evacuated initially at the time of catheterization for the instillation. Patients were instructed to avoid fluid intake 4 hours before treatment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and to hold the drug for 1 hour after insti</w:t>
      </w:r>
      <w:r>
        <w:rPr>
          <w:rFonts w:ascii="Times New Roman" w:eastAsia="Times New Roman" w:hAnsi="Times New Roman" w:cs="Times New Roman"/>
          <w:sz w:val="20"/>
        </w:rPr>
        <w:t xml:space="preserve">llation with changing position every 10 minutes.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instillation was stopped if the patient developed </w:t>
      </w:r>
      <w:proofErr w:type="spellStart"/>
      <w:r>
        <w:rPr>
          <w:rFonts w:ascii="Times New Roman" w:eastAsia="Times New Roman" w:hAnsi="Times New Roman" w:cs="Times New Roman"/>
          <w:sz w:val="20"/>
        </w:rPr>
        <w:t>neutropenic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fever, </w:t>
      </w:r>
      <w:proofErr w:type="spellStart"/>
      <w:r>
        <w:rPr>
          <w:rFonts w:ascii="Times New Roman" w:eastAsia="Times New Roman" w:hAnsi="Times New Roman" w:cs="Times New Roman"/>
          <w:sz w:val="20"/>
        </w:rPr>
        <w:t>bacteremia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the presence of </w:t>
      </w:r>
      <w:proofErr w:type="spellStart"/>
      <w:r>
        <w:rPr>
          <w:rFonts w:ascii="Times New Roman" w:eastAsia="Times New Roman" w:hAnsi="Times New Roman" w:cs="Times New Roman"/>
          <w:sz w:val="20"/>
        </w:rPr>
        <w:t>neutropenia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grade 3 or 4 </w:t>
      </w:r>
      <w:proofErr w:type="spellStart"/>
      <w:r>
        <w:rPr>
          <w:rFonts w:ascii="Times New Roman" w:eastAsia="Times New Roman" w:hAnsi="Times New Roman" w:cs="Times New Roman"/>
          <w:sz w:val="20"/>
        </w:rPr>
        <w:t>neutropenia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or thrombocytopenia, High </w:t>
      </w:r>
      <w:proofErr w:type="spellStart"/>
      <w:r>
        <w:rPr>
          <w:rFonts w:ascii="Times New Roman" w:eastAsia="Times New Roman" w:hAnsi="Times New Roman" w:cs="Times New Roman"/>
          <w:sz w:val="20"/>
        </w:rPr>
        <w:t>transaminases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or grade </w:t>
      </w:r>
      <w:proofErr w:type="gramStart"/>
      <w:r>
        <w:rPr>
          <w:rFonts w:ascii="Times New Roman" w:eastAsia="Times New Roman" w:hAnsi="Times New Roman" w:cs="Times New Roman"/>
          <w:sz w:val="20"/>
        </w:rPr>
        <w:t>4 bladde</w:t>
      </w:r>
      <w:r>
        <w:rPr>
          <w:rFonts w:ascii="Times New Roman" w:eastAsia="Times New Roman" w:hAnsi="Times New Roman" w:cs="Times New Roman"/>
          <w:sz w:val="20"/>
        </w:rPr>
        <w:t>r toxicity,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but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grade 3 bladder toxicity delays next instillation for one week.</w:t>
      </w:r>
    </w:p>
    <w:p w:rsidR="00010F70" w:rsidRDefault="007E1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Statistical Analysis: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Recurrence-free survival time (defined as the time from TURBT to the date of occurrence of the first recurrence) was estimated.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Tumor progression definiti</w:t>
      </w:r>
      <w:r>
        <w:rPr>
          <w:rFonts w:ascii="Times New Roman" w:eastAsia="Times New Roman" w:hAnsi="Times New Roman" w:cs="Times New Roman"/>
          <w:sz w:val="20"/>
        </w:rPr>
        <w:t>on; an increase in stage or grade, and time to progression was defined as the time between TURBT and first progression.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</w:rPr>
        <w:t xml:space="preserve">Response to IV GEM instillation was reported as one of 3 categories, including 1) Complete response (CR) when no tumor was seen 3 months after treatment and the patient had </w:t>
      </w:r>
      <w:r>
        <w:rPr>
          <w:rFonts w:ascii="Times New Roman" w:eastAsia="Times New Roman" w:hAnsi="Times New Roman" w:cs="Times New Roman"/>
          <w:sz w:val="20"/>
        </w:rPr>
        <w:lastRenderedPageBreak/>
        <w:t>negative cytology results, 2) Partial response (PR) when no tumor was seen at 3 mon</w:t>
      </w:r>
      <w:r>
        <w:rPr>
          <w:rFonts w:ascii="Times New Roman" w:eastAsia="Times New Roman" w:hAnsi="Times New Roman" w:cs="Times New Roman"/>
          <w:sz w:val="20"/>
        </w:rPr>
        <w:t>ths but the patient had positive cytology results, and 3) No response (NR) when there was a viable tumor 3 months after treatment. The primary endpoint was tumor recurrence rate at one year follow-up. Secondary endpoints were tumor progression rate, time t</w:t>
      </w:r>
      <w:r>
        <w:rPr>
          <w:rFonts w:ascii="Times New Roman" w:eastAsia="Times New Roman" w:hAnsi="Times New Roman" w:cs="Times New Roman"/>
          <w:sz w:val="20"/>
        </w:rPr>
        <w:t>o recurrence, time to progression, and toxicity.</w:t>
      </w:r>
      <w:r>
        <w:rPr>
          <w:rFonts w:ascii="Times New Roman" w:eastAsia="Times New Roman" w:hAnsi="Times New Roman" w:cs="Times New Roman"/>
          <w:sz w:val="20"/>
          <w:vertAlign w:val="superscript"/>
        </w:rPr>
        <w:t>18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We estimated progression-, recurrence-free and overall survival using Kaplan-Meier methodology for survival estimation. </w:t>
      </w:r>
      <w:r>
        <w:rPr>
          <w:rFonts w:ascii="Times New Roman" w:eastAsia="Times New Roman" w:hAnsi="Times New Roman" w:cs="Times New Roman"/>
          <w:sz w:val="20"/>
          <w:vertAlign w:val="superscript"/>
        </w:rPr>
        <w:t>19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Continuous variables were expressed as the mean ± SD &amp; median (range), and the cat</w:t>
      </w:r>
      <w:r>
        <w:rPr>
          <w:rFonts w:ascii="Times New Roman" w:eastAsia="Times New Roman" w:hAnsi="Times New Roman" w:cs="Times New Roman"/>
          <w:sz w:val="20"/>
        </w:rPr>
        <w:t>egorical variables were expressed as a number (percentage). Positive cytology free survival was calculated as the time from CR to positive cytology or date last known negative cytology (censored).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Positive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free survival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was calculated as the tim</w:t>
      </w:r>
      <w:r>
        <w:rPr>
          <w:rFonts w:ascii="Times New Roman" w:eastAsia="Times New Roman" w:hAnsi="Times New Roman" w:cs="Times New Roman"/>
          <w:sz w:val="20"/>
        </w:rPr>
        <w:t xml:space="preserve">e from CR to positive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or date last known negative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(censored). Overall Survival (OS) time was calculated as the time from IV GEM administration to death or the most recent follow-up contact (censored). All statistics were performed usi</w:t>
      </w:r>
      <w:r>
        <w:rPr>
          <w:rFonts w:ascii="Times New Roman" w:eastAsia="Times New Roman" w:hAnsi="Times New Roman" w:cs="Times New Roman"/>
          <w:sz w:val="20"/>
        </w:rPr>
        <w:t xml:space="preserve">ng SPSS 22.0 for windows (SPSS Inc., Chicago, IL, USA) &amp; </w:t>
      </w:r>
      <w:proofErr w:type="spellStart"/>
      <w:r>
        <w:rPr>
          <w:rFonts w:ascii="Times New Roman" w:eastAsia="Times New Roman" w:hAnsi="Times New Roman" w:cs="Times New Roman"/>
          <w:sz w:val="20"/>
        </w:rPr>
        <w:t>MedCalc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13 for windows (</w:t>
      </w:r>
      <w:proofErr w:type="spellStart"/>
      <w:r>
        <w:rPr>
          <w:rFonts w:ascii="Times New Roman" w:eastAsia="Times New Roman" w:hAnsi="Times New Roman" w:cs="Times New Roman"/>
          <w:sz w:val="20"/>
        </w:rPr>
        <w:t>MedCalc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sz w:val="20"/>
        </w:rPr>
        <w:t>bvba</w:t>
      </w:r>
      <w:proofErr w:type="spellEnd"/>
      <w:r>
        <w:rPr>
          <w:rFonts w:ascii="Times New Roman" w:eastAsia="Times New Roman" w:hAnsi="Times New Roman" w:cs="Times New Roman"/>
          <w:sz w:val="20"/>
        </w:rPr>
        <w:t>, Ostend, Belgium).</w:t>
      </w:r>
    </w:p>
    <w:p w:rsidR="00010F70" w:rsidRDefault="00010F7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</w:p>
    <w:p w:rsidR="00010F70" w:rsidRDefault="007E1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3. Results:</w:t>
      </w:r>
    </w:p>
    <w:p w:rsidR="00010F70" w:rsidRDefault="007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Most of the patients were male (70%), with PS of 2 (39%), and less than 60 years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(56%).</w:t>
      </w:r>
    </w:p>
    <w:p w:rsidR="003B7469" w:rsidRPr="003B7469" w:rsidRDefault="003B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2"/>
        </w:rPr>
      </w:pPr>
    </w:p>
    <w:p w:rsidR="003B7469" w:rsidRDefault="003B7469" w:rsidP="003B746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Table (1): </w:t>
      </w:r>
      <w:r>
        <w:rPr>
          <w:rFonts w:ascii="Times New Roman" w:eastAsia="Times New Roman" w:hAnsi="Times New Roman" w:cs="Times New Roman"/>
          <w:sz w:val="20"/>
        </w:rPr>
        <w:t>patient's characteristics</w:t>
      </w:r>
    </w:p>
    <w:tbl>
      <w:tblPr>
        <w:tblW w:w="0" w:type="auto"/>
        <w:jc w:val="center"/>
        <w:tblInd w:w="50" w:type="dxa"/>
        <w:tblCellMar>
          <w:left w:w="10" w:type="dxa"/>
          <w:right w:w="10" w:type="dxa"/>
        </w:tblCellMar>
        <w:tblLook w:val="04A0"/>
      </w:tblPr>
      <w:tblGrid>
        <w:gridCol w:w="2190"/>
        <w:gridCol w:w="824"/>
        <w:gridCol w:w="720"/>
      </w:tblGrid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(%)</w:t>
            </w: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Age (year)</w:t>
            </w:r>
          </w:p>
        </w:tc>
        <w:tc>
          <w:tcPr>
            <w:tcW w:w="1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Mean ± SD</w:t>
            </w:r>
          </w:p>
        </w:tc>
        <w:tc>
          <w:tcPr>
            <w:tcW w:w="1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58.19 ± 8.91</w:t>
            </w: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Median (Range)</w:t>
            </w:r>
          </w:p>
        </w:tc>
        <w:tc>
          <w:tcPr>
            <w:tcW w:w="1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57.50 (41 – 72)</w:t>
            </w: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Cambria Math" w:eastAsia="Cambria Math" w:hAnsi="Cambria Math" w:cs="Cambria Math"/>
                <w:color w:val="000000"/>
                <w:sz w:val="18"/>
                <w:szCs w:val="20"/>
              </w:rPr>
              <w:t>≤</w:t>
            </w: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60 years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55.6%</w:t>
            </w: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&gt; 60 years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44.4%</w:t>
            </w: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Gender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3B7469" w:rsidRPr="003B7469" w:rsidTr="003B7469">
        <w:tblPrEx>
          <w:tblCellMar>
            <w:top w:w="0" w:type="dxa"/>
            <w:bottom w:w="0" w:type="dxa"/>
          </w:tblCellMar>
        </w:tblPrEx>
        <w:trPr>
          <w:trHeight w:val="73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Male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69.4%</w:t>
            </w: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Female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30.6%</w:t>
            </w: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Tumor diameter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&lt; 3cm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36.1%</w:t>
            </w: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&gt; 3cm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63.9%</w:t>
            </w: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Stages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5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Cis</w:t>
            </w:r>
            <w:proofErr w:type="spellEnd"/>
          </w:p>
          <w:p w:rsidR="003B7469" w:rsidRPr="003B7469" w:rsidRDefault="003B7469" w:rsidP="002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Ta</w:t>
            </w:r>
          </w:p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T1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  <w:p w:rsidR="003B7469" w:rsidRPr="003B7469" w:rsidRDefault="003B7469" w:rsidP="00276BC4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</w:t>
            </w:r>
          </w:p>
          <w:p w:rsidR="003B7469" w:rsidRPr="003B7469" w:rsidRDefault="003B7469" w:rsidP="00276BC4">
            <w:pPr>
              <w:tabs>
                <w:tab w:val="left" w:pos="2745"/>
              </w:tabs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5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47.2%</w:t>
            </w:r>
          </w:p>
          <w:p w:rsidR="003B7469" w:rsidRPr="003B7469" w:rsidRDefault="003B7469" w:rsidP="00276BC4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44.5%</w:t>
            </w:r>
          </w:p>
          <w:p w:rsidR="003B7469" w:rsidRPr="003B7469" w:rsidRDefault="003B7469" w:rsidP="00276BC4">
            <w:pPr>
              <w:tabs>
                <w:tab w:val="left" w:pos="2745"/>
              </w:tabs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8.3%</w:t>
            </w: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ECOG</w:t>
            </w:r>
          </w:p>
        </w:tc>
        <w:tc>
          <w:tcPr>
            <w:tcW w:w="1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27.8%</w:t>
            </w: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33.3%</w:t>
            </w:r>
          </w:p>
        </w:tc>
      </w:tr>
      <w:tr w:rsidR="003B7469" w:rsidRPr="003B7469" w:rsidTr="00276BC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7469" w:rsidRPr="003B7469" w:rsidRDefault="003B7469" w:rsidP="00276BC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3B74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38.9%</w:t>
            </w:r>
          </w:p>
        </w:tc>
      </w:tr>
    </w:tbl>
    <w:p w:rsidR="003B7469" w:rsidRDefault="003B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  <w:sectPr w:rsidR="003B7469" w:rsidSect="003B7469">
          <w:type w:val="continuous"/>
          <w:pgSz w:w="12240" w:h="15840"/>
          <w:pgMar w:top="1440" w:right="1800" w:bottom="1440" w:left="1800" w:header="720" w:footer="720" w:gutter="0"/>
          <w:pgNumType w:start="20"/>
          <w:cols w:num="2" w:space="720"/>
          <w:docGrid w:linePitch="360"/>
        </w:sectPr>
      </w:pPr>
    </w:p>
    <w:p w:rsidR="00010F70" w:rsidRDefault="0001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10F70" w:rsidRDefault="007E15F1" w:rsidP="003B746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Table (2):</w:t>
      </w:r>
      <w:r>
        <w:rPr>
          <w:rFonts w:ascii="Times New Roman" w:eastAsia="Times New Roman" w:hAnsi="Times New Roman" w:cs="Times New Roman"/>
          <w:sz w:val="20"/>
        </w:rPr>
        <w:t xml:space="preserve"> Outcome of the studied patients 6 months after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Gem </w:t>
      </w:r>
      <w:proofErr w:type="spellStart"/>
      <w:r>
        <w:rPr>
          <w:rFonts w:ascii="Times New Roman" w:eastAsia="Times New Roman" w:hAnsi="Times New Roman" w:cs="Times New Roman"/>
          <w:sz w:val="20"/>
        </w:rPr>
        <w:t>instellatin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(N= 36)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567"/>
        <w:gridCol w:w="2567"/>
        <w:gridCol w:w="1853"/>
      </w:tblGrid>
      <w:tr w:rsidR="00010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010F7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010F7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75"/>
          <w:jc w:val="center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cystoscopy</w:t>
            </w:r>
            <w:proofErr w:type="spellEnd"/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cytology (CR)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 (41.7 %)</w:t>
            </w: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75"/>
          <w:jc w:val="center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010F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cytology (PR)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 (19.4 %)</w:t>
            </w: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cystoscopy</w:t>
            </w:r>
            <w:proofErr w:type="spellEnd"/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superficial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 (30.6 %)</w:t>
            </w: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010F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deep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 (8.3 %)</w:t>
            </w:r>
          </w:p>
        </w:tc>
      </w:tr>
    </w:tbl>
    <w:p w:rsidR="00010F70" w:rsidRDefault="007E15F1" w:rsidP="003B746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22 patients (61%) were free at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after 6 months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. </w:t>
      </w:r>
      <w:r>
        <w:rPr>
          <w:rFonts w:ascii="Times New Roman" w:eastAsia="Times New Roman" w:hAnsi="Times New Roman" w:cs="Times New Roman"/>
          <w:sz w:val="20"/>
        </w:rPr>
        <w:t>Of them 15 patients (68%) were free for cytology.</w:t>
      </w:r>
    </w:p>
    <w:p w:rsidR="00010F70" w:rsidRDefault="0001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10F70" w:rsidRDefault="007E1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Table (3):</w:t>
      </w:r>
      <w:r>
        <w:rPr>
          <w:rFonts w:ascii="Times New Roman" w:eastAsia="Times New Roman" w:hAnsi="Times New Roman" w:cs="Times New Roman"/>
          <w:sz w:val="20"/>
        </w:rPr>
        <w:t xml:space="preserve"> Follow-up of responders to maximal TURT &amp;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(N=15).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451"/>
        <w:gridCol w:w="1307"/>
        <w:gridCol w:w="1004"/>
        <w:gridCol w:w="906"/>
        <w:gridCol w:w="906"/>
        <w:gridCol w:w="906"/>
        <w:gridCol w:w="793"/>
        <w:gridCol w:w="793"/>
        <w:gridCol w:w="790"/>
      </w:tblGrid>
      <w:tr w:rsidR="00010F7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010F7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3m &amp;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</w:t>
            </w:r>
          </w:p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(N=15)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</w:t>
            </w:r>
          </w:p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(N=15)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 m</w:t>
            </w:r>
          </w:p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(N=15)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 m</w:t>
            </w:r>
          </w:p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(N=14)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(N=9)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 m</w:t>
            </w:r>
          </w:p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(N=8)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 m</w:t>
            </w:r>
          </w:p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(N=5)</w:t>
            </w: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cystoscopy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cytology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010F7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cytology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cystoscopy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superficial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010F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deep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</w:tr>
    </w:tbl>
    <w:p w:rsidR="00010F70" w:rsidRDefault="00010F7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</w:p>
    <w:p w:rsidR="003B7469" w:rsidRDefault="003B74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  <w:sectPr w:rsidR="003B7469" w:rsidSect="003B7469">
          <w:type w:val="continuous"/>
          <w:pgSz w:w="12240" w:h="15840"/>
          <w:pgMar w:top="1440" w:right="1800" w:bottom="1440" w:left="1800" w:header="720" w:footer="720" w:gutter="0"/>
          <w:pgNumType w:start="21"/>
          <w:cols w:space="720"/>
          <w:docGrid w:linePitch="360"/>
        </w:sectPr>
      </w:pP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After one year, 15 patients (41%) were free at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Of them 14 patients (93.3%) were free for cytology, the relapse free survival rate at </w:t>
      </w:r>
      <w:r>
        <w:rPr>
          <w:rFonts w:ascii="Times New Roman" w:eastAsia="Times New Roman" w:hAnsi="Times New Roman" w:cs="Times New Roman"/>
          <w:sz w:val="20"/>
        </w:rPr>
        <w:lastRenderedPageBreak/>
        <w:t>one year was 39%, but was 14% only at 2 years, the progression free survival time was 21 months and its rate wa</w:t>
      </w:r>
      <w:r>
        <w:rPr>
          <w:rFonts w:ascii="Times New Roman" w:eastAsia="Times New Roman" w:hAnsi="Times New Roman" w:cs="Times New Roman"/>
          <w:sz w:val="20"/>
        </w:rPr>
        <w:t>s 33%.</w:t>
      </w:r>
    </w:p>
    <w:p w:rsidR="003B7469" w:rsidRDefault="003B7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3B7469" w:rsidSect="003B7469">
          <w:type w:val="continuous"/>
          <w:pgSz w:w="12240" w:h="15840"/>
          <w:pgMar w:top="1440" w:right="1800" w:bottom="1440" w:left="1800" w:header="720" w:footer="720" w:gutter="0"/>
          <w:pgNumType w:start="20"/>
          <w:cols w:num="2" w:space="720"/>
          <w:docGrid w:linePitch="360"/>
        </w:sectPr>
      </w:pPr>
    </w:p>
    <w:p w:rsidR="00010F70" w:rsidRDefault="0001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10F70" w:rsidRDefault="0001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10F70" w:rsidRDefault="007E15F1" w:rsidP="003B74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Table (4):</w:t>
      </w:r>
      <w:r>
        <w:rPr>
          <w:rFonts w:ascii="Times New Roman" w:eastAsia="Times New Roman" w:hAnsi="Times New Roman" w:cs="Times New Roman"/>
          <w:sz w:val="20"/>
        </w:rPr>
        <w:t xml:space="preserve"> Recurrence free and overall survival time.</w:t>
      </w:r>
    </w:p>
    <w:tbl>
      <w:tblPr>
        <w:tblW w:w="0" w:type="auto"/>
        <w:jc w:val="center"/>
        <w:tblInd w:w="142" w:type="dxa"/>
        <w:tblCellMar>
          <w:left w:w="10" w:type="dxa"/>
          <w:right w:w="10" w:type="dxa"/>
        </w:tblCellMar>
        <w:tblLook w:val="04A0"/>
      </w:tblPr>
      <w:tblGrid>
        <w:gridCol w:w="1589"/>
        <w:gridCol w:w="2399"/>
        <w:gridCol w:w="2367"/>
        <w:gridCol w:w="2359"/>
      </w:tblGrid>
      <w:tr w:rsidR="00010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010F7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cystoscopy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free survival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cytology free survival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Overall survival</w:t>
            </w: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Median(month)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not reached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 months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not reached</w:t>
            </w: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100%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100%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100 %</w:t>
            </w: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100%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78.6%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100 %</w:t>
            </w: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75"/>
          <w:jc w:val="center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86.7%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52.4%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100 %</w:t>
            </w:r>
          </w:p>
        </w:tc>
      </w:tr>
      <w:tr w:rsidR="00010F70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80%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43.7%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86.7%</w:t>
            </w:r>
          </w:p>
        </w:tc>
      </w:tr>
    </w:tbl>
    <w:p w:rsidR="00010F70" w:rsidRDefault="00010F7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</w:p>
    <w:p w:rsidR="003B7469" w:rsidRDefault="003B74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  <w:sectPr w:rsidR="003B7469" w:rsidSect="003B7469">
          <w:type w:val="continuous"/>
          <w:pgSz w:w="12240" w:h="15840"/>
          <w:pgMar w:top="1440" w:right="1800" w:bottom="1440" w:left="1800" w:header="720" w:footer="720" w:gutter="0"/>
          <w:pgNumType w:start="20"/>
          <w:cols w:space="720"/>
          <w:docGrid w:linePitch="360"/>
        </w:sectPr>
      </w:pP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At one year all patients were free at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but the cytology of 78.6% was free. While at 2 years 80% of patients were free at </w:t>
      </w:r>
      <w:proofErr w:type="spellStart"/>
      <w:r>
        <w:rPr>
          <w:rFonts w:ascii="Times New Roman" w:eastAsia="Times New Roman" w:hAnsi="Times New Roman" w:cs="Times New Roman"/>
          <w:sz w:val="20"/>
        </w:rPr>
        <w:lastRenderedPageBreak/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>, but the cytology of 43.7% was</w:t>
      </w:r>
      <w:r>
        <w:rPr>
          <w:rFonts w:ascii="Times New Roman" w:eastAsia="Times New Roman" w:hAnsi="Times New Roman" w:cs="Times New Roman"/>
          <w:color w:val="0000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free, the CR rate was 38.88%, 22.22%, and 13.88% at one year, 18 months, and 2 years respectively.</w:t>
      </w:r>
    </w:p>
    <w:p w:rsidR="003B7469" w:rsidRDefault="003B74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  <w:sectPr w:rsidR="003B7469" w:rsidSect="003B7469">
          <w:type w:val="continuous"/>
          <w:pgSz w:w="12240" w:h="15840"/>
          <w:pgMar w:top="1440" w:right="1800" w:bottom="1440" w:left="1800" w:header="720" w:footer="720" w:gutter="0"/>
          <w:pgNumType w:start="20"/>
          <w:cols w:num="2" w:space="720"/>
          <w:docGrid w:linePitch="360"/>
        </w:sectPr>
      </w:pPr>
    </w:p>
    <w:p w:rsidR="00010F70" w:rsidRDefault="00010F7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</w:p>
    <w:p w:rsidR="00010F70" w:rsidRDefault="00010F7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527"/>
        <w:gridCol w:w="4329"/>
      </w:tblGrid>
      <w:tr w:rsidR="00010F70" w:rsidTr="003B7469">
        <w:tblPrEx>
          <w:tblCellMar>
            <w:top w:w="0" w:type="dxa"/>
            <w:bottom w:w="0" w:type="dxa"/>
          </w:tblCellMar>
        </w:tblPrEx>
        <w:trPr>
          <w:trHeight w:val="3139"/>
          <w:jc w:val="center"/>
        </w:trPr>
        <w:tc>
          <w:tcPr>
            <w:tcW w:w="4675" w:type="dxa"/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010F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4170" w:dyaOrig="3624">
                <v:rect id="rectole0000000000" o:spid="_x0000_i1025" style="width:208.5pt;height:181.5pt" o:ole="" o:preferrelative="t" stroked="f">
                  <v:imagedata r:id="rId12" o:title=""/>
                </v:rect>
                <o:OLEObject Type="Embed" ProgID="StaticMetafile" ShapeID="rectole0000000000" DrawAspect="Content" ObjectID="_1518256656" r:id="rId13"/>
              </w:object>
            </w:r>
          </w:p>
        </w:tc>
        <w:tc>
          <w:tcPr>
            <w:tcW w:w="4567" w:type="dxa"/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010F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887" w:dyaOrig="3624">
                <v:rect id="rectole0000000001" o:spid="_x0000_i1026" style="width:194.25pt;height:181.5pt" o:ole="" o:preferrelative="t" stroked="f">
                  <v:imagedata r:id="rId14" o:title=""/>
                </v:rect>
                <o:OLEObject Type="Embed" ProgID="StaticMetafile" ShapeID="rectole0000000001" DrawAspect="Content" ObjectID="_1518256657" r:id="rId15"/>
              </w:object>
            </w:r>
          </w:p>
        </w:tc>
      </w:tr>
      <w:tr w:rsidR="00010F70" w:rsidTr="003B7469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4675" w:type="dxa"/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(a)</w:t>
            </w:r>
          </w:p>
        </w:tc>
        <w:tc>
          <w:tcPr>
            <w:tcW w:w="4567" w:type="dxa"/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7E1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(b)</w:t>
            </w:r>
          </w:p>
        </w:tc>
      </w:tr>
      <w:tr w:rsidR="00010F70" w:rsidTr="003B7469">
        <w:tblPrEx>
          <w:tblCellMar>
            <w:top w:w="0" w:type="dxa"/>
            <w:bottom w:w="0" w:type="dxa"/>
          </w:tblCellMar>
        </w:tblPrEx>
        <w:trPr>
          <w:trHeight w:val="3423"/>
          <w:jc w:val="center"/>
        </w:trPr>
        <w:tc>
          <w:tcPr>
            <w:tcW w:w="924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10F70" w:rsidRDefault="0001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object w:dxaOrig="4575" w:dyaOrig="3259">
                <v:rect id="rectole0000000002" o:spid="_x0000_i1027" style="width:228.75pt;height:162.75pt" o:ole="" o:preferrelative="t" stroked="f">
                  <v:imagedata r:id="rId16" o:title=""/>
                </v:rect>
                <o:OLEObject Type="Embed" ProgID="StaticMetafile" ShapeID="rectole0000000002" DrawAspect="Content" ObjectID="_1518256658" r:id="rId17"/>
              </w:object>
            </w:r>
          </w:p>
          <w:p w:rsidR="00010F70" w:rsidRDefault="007E1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(c)</w:t>
            </w:r>
          </w:p>
        </w:tc>
      </w:tr>
    </w:tbl>
    <w:p w:rsidR="00010F70" w:rsidRDefault="007E15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Figure (1):</w:t>
      </w:r>
      <w:r>
        <w:rPr>
          <w:rFonts w:ascii="Times New Roman" w:eastAsia="Times New Roman" w:hAnsi="Times New Roman" w:cs="Times New Roman"/>
          <w:sz w:val="20"/>
        </w:rPr>
        <w:t xml:space="preserve"> Kaplan–Meier plots of studied patients</w:t>
      </w:r>
      <w:r>
        <w:rPr>
          <w:rFonts w:ascii="Times New Roman" w:eastAsia="Times New Roman" w:hAnsi="Times New Roman" w:cs="Times New Roman"/>
          <w:color w:val="FF0000"/>
          <w:sz w:val="20"/>
        </w:rPr>
        <w:t>;</w:t>
      </w:r>
      <w:r>
        <w:rPr>
          <w:rFonts w:ascii="Times New Roman" w:eastAsia="Times New Roman" w:hAnsi="Times New Roman" w:cs="Times New Roman"/>
          <w:sz w:val="20"/>
        </w:rPr>
        <w:t xml:space="preserve"> (a) positive cytology free survival (b) positive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free survival (c) overall survival At 2 years the cytology of 43.7%of patients were free, 80%were free at </w:t>
      </w:r>
      <w:proofErr w:type="spellStart"/>
      <w:r>
        <w:rPr>
          <w:rFonts w:ascii="Times New Roman" w:eastAsia="Times New Roman" w:hAnsi="Times New Roman" w:cs="Times New Roman"/>
          <w:sz w:val="20"/>
        </w:rPr>
        <w:t>cystoscopy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and the </w:t>
      </w:r>
      <w:proofErr w:type="spellStart"/>
      <w:r>
        <w:rPr>
          <w:rFonts w:ascii="Times New Roman" w:eastAsia="Times New Roman" w:hAnsi="Times New Roman" w:cs="Times New Roman"/>
          <w:sz w:val="20"/>
        </w:rPr>
        <w:t>over all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survival was 86.7%.</w:t>
      </w:r>
    </w:p>
    <w:p w:rsidR="00010F70" w:rsidRDefault="00010F7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</w:p>
    <w:p w:rsidR="003B7469" w:rsidRDefault="003B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  <w:sectPr w:rsidR="003B7469" w:rsidSect="003B7469">
          <w:type w:val="continuous"/>
          <w:pgSz w:w="12240" w:h="15840"/>
          <w:pgMar w:top="1440" w:right="1800" w:bottom="1440" w:left="1800" w:header="720" w:footer="720" w:gutter="0"/>
          <w:pgNumType w:start="22"/>
          <w:cols w:space="720"/>
          <w:docGrid w:linePitch="360"/>
        </w:sectPr>
      </w:pPr>
    </w:p>
    <w:p w:rsidR="00010F70" w:rsidRDefault="007E1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4. Discussion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High risk superficial bl</w:t>
      </w:r>
      <w:r>
        <w:rPr>
          <w:rFonts w:ascii="Times New Roman" w:eastAsia="Times New Roman" w:hAnsi="Times New Roman" w:cs="Times New Roman"/>
          <w:sz w:val="20"/>
        </w:rPr>
        <w:t xml:space="preserve">adder </w:t>
      </w:r>
      <w:proofErr w:type="gramStart"/>
      <w:r>
        <w:rPr>
          <w:rFonts w:ascii="Times New Roman" w:eastAsia="Times New Roman" w:hAnsi="Times New Roman" w:cs="Times New Roman"/>
          <w:sz w:val="20"/>
        </w:rPr>
        <w:t>cancer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who fail BCG are treated by radical </w:t>
      </w:r>
      <w:proofErr w:type="spellStart"/>
      <w:r>
        <w:rPr>
          <w:rFonts w:ascii="Times New Roman" w:eastAsia="Times New Roman" w:hAnsi="Times New Roman" w:cs="Times New Roman"/>
          <w:sz w:val="20"/>
        </w:rPr>
        <w:t>cystectomy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or alternative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therapy to prevent tumor recurrence and progression and to avoid surgical morbidity.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is an option that may add to the urologist’s options in ac</w:t>
      </w:r>
      <w:r>
        <w:rPr>
          <w:rFonts w:ascii="Times New Roman" w:eastAsia="Times New Roman" w:hAnsi="Times New Roman" w:cs="Times New Roman"/>
          <w:sz w:val="20"/>
        </w:rPr>
        <w:t xml:space="preserve">hieving this strategy.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20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In our study, there were 36 evaluable patients with BCG refractory high risk non invasive bladder cancer, underwent TURT, then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instillation of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2gm on days 1and 4 for 6 weeks. Patients were evaluated by </w:t>
      </w:r>
      <w:proofErr w:type="spellStart"/>
      <w:r>
        <w:rPr>
          <w:rFonts w:ascii="Times New Roman" w:eastAsia="Times New Roman" w:hAnsi="Times New Roman" w:cs="Times New Roman"/>
          <w:sz w:val="20"/>
        </w:rPr>
        <w:t>cys</w:t>
      </w:r>
      <w:r>
        <w:rPr>
          <w:rFonts w:ascii="Times New Roman" w:eastAsia="Times New Roman" w:hAnsi="Times New Roman" w:cs="Times New Roman"/>
          <w:sz w:val="20"/>
        </w:rPr>
        <w:t>toscopy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and cytology every three months. Fifteen patients (41.7%) maintained CR for 9 months while CR rates were 39%, 22%, and 14% at 12, 18, and 24 months respectively. These results are comparable  the results of  Skinner et al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26</w:t>
      </w:r>
      <w:r>
        <w:rPr>
          <w:rFonts w:ascii="Times New Roman" w:eastAsia="Times New Roman" w:hAnsi="Times New Roman" w:cs="Times New Roman"/>
          <w:sz w:val="20"/>
        </w:rPr>
        <w:t xml:space="preserve">  (45%) and Sternberg et</w:t>
      </w:r>
      <w:r>
        <w:rPr>
          <w:rFonts w:ascii="Times New Roman" w:eastAsia="Times New Roman" w:hAnsi="Times New Roman" w:cs="Times New Roman"/>
          <w:sz w:val="20"/>
        </w:rPr>
        <w:t xml:space="preserve"> al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27</w:t>
      </w:r>
      <w:r>
        <w:rPr>
          <w:rFonts w:ascii="Times New Roman" w:eastAsia="Times New Roman" w:hAnsi="Times New Roman" w:cs="Times New Roman"/>
          <w:sz w:val="20"/>
        </w:rPr>
        <w:t xml:space="preserve"> (39%).We reported that  the relapse free survival rate at one year was 39%, while it was 28% at the SWOG study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26</w:t>
      </w:r>
      <w:r>
        <w:rPr>
          <w:rFonts w:ascii="Times New Roman" w:eastAsia="Times New Roman" w:hAnsi="Times New Roman" w:cs="Times New Roman"/>
          <w:sz w:val="20"/>
        </w:rPr>
        <w:t xml:space="preserve">. Our results showed </w:t>
      </w:r>
      <w:proofErr w:type="gramStart"/>
      <w:r>
        <w:rPr>
          <w:rFonts w:ascii="Times New Roman" w:eastAsia="Times New Roman" w:hAnsi="Times New Roman" w:cs="Times New Roman"/>
          <w:sz w:val="20"/>
        </w:rPr>
        <w:t>that  the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2 years relapse  free survival rate was 14% (5 patients) compared to 19% by Lorenzo et, al</w:t>
      </w:r>
      <w:r>
        <w:rPr>
          <w:rFonts w:ascii="Times New Roman" w:eastAsia="Times New Roman" w:hAnsi="Times New Roman" w:cs="Times New Roman"/>
          <w:sz w:val="20"/>
          <w:vertAlign w:val="superscript"/>
        </w:rPr>
        <w:t>25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</w:rPr>
        <w:t>and  21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% b</w:t>
      </w:r>
      <w:r>
        <w:rPr>
          <w:rFonts w:ascii="Times New Roman" w:eastAsia="Times New Roman" w:hAnsi="Times New Roman" w:cs="Times New Roman"/>
          <w:sz w:val="20"/>
        </w:rPr>
        <w:t xml:space="preserve">y Skinner et al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26</w:t>
      </w:r>
      <w:r>
        <w:rPr>
          <w:rFonts w:ascii="Times New Roman" w:eastAsia="Times New Roman" w:hAnsi="Times New Roman" w:cs="Times New Roman"/>
          <w:sz w:val="20"/>
        </w:rPr>
        <w:t xml:space="preserve">. The recurrence rate at one year was 61 % (22 patients) compared to the published results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22, 23</w:t>
      </w:r>
      <w:proofErr w:type="gramStart"/>
      <w:r>
        <w:rPr>
          <w:rFonts w:ascii="Times New Roman" w:eastAsia="Times New Roman" w:hAnsi="Times New Roman" w:cs="Times New Roman"/>
          <w:sz w:val="20"/>
          <w:vertAlign w:val="superscript"/>
        </w:rPr>
        <w:t>,24</w:t>
      </w:r>
      <w:proofErr w:type="gramEnd"/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and to </w:t>
      </w:r>
      <w:proofErr w:type="spellStart"/>
      <w:r>
        <w:rPr>
          <w:rFonts w:ascii="Times New Roman" w:eastAsia="Times New Roman" w:hAnsi="Times New Roman" w:cs="Times New Roman"/>
          <w:sz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the results of Lorenzo et al who concluded that the 1 year recurrence rate was 52.5%, while the 2 years recurrence rate was 86 </w:t>
      </w:r>
      <w:r>
        <w:rPr>
          <w:rFonts w:ascii="Times New Roman" w:eastAsia="Times New Roman" w:hAnsi="Times New Roman" w:cs="Times New Roman"/>
          <w:sz w:val="20"/>
        </w:rPr>
        <w:t xml:space="preserve">% (31 patients) compared to the results of the SWOG study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26 </w:t>
      </w:r>
      <w:r>
        <w:rPr>
          <w:rFonts w:ascii="Times New Roman" w:eastAsia="Times New Roman" w:hAnsi="Times New Roman" w:cs="Times New Roman"/>
          <w:sz w:val="20"/>
        </w:rPr>
        <w:t xml:space="preserve">which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showed that 21% remained continuously free of disease at 2 years.  In this trial the </w:t>
      </w:r>
      <w:proofErr w:type="spellStart"/>
      <w:r>
        <w:rPr>
          <w:rFonts w:ascii="Times New Roman" w:eastAsia="Times New Roman" w:hAnsi="Times New Roman" w:cs="Times New Roman"/>
          <w:sz w:val="20"/>
        </w:rPr>
        <w:t>over all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survival </w:t>
      </w:r>
      <w:proofErr w:type="gramStart"/>
      <w:r>
        <w:rPr>
          <w:rFonts w:ascii="Times New Roman" w:eastAsia="Times New Roman" w:hAnsi="Times New Roman" w:cs="Times New Roman"/>
          <w:sz w:val="20"/>
        </w:rPr>
        <w:t>rate  at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2 years was 86.7%. 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The safety of GEM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intravescical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administration up to 2,</w:t>
      </w:r>
      <w:r>
        <w:rPr>
          <w:rFonts w:ascii="Times New Roman" w:eastAsia="Times New Roman" w:hAnsi="Times New Roman" w:cs="Times New Roman"/>
          <w:sz w:val="20"/>
        </w:rPr>
        <w:t xml:space="preserve">000 mg in 50 </w:t>
      </w:r>
      <w:proofErr w:type="spellStart"/>
      <w:r>
        <w:rPr>
          <w:rFonts w:ascii="Times New Roman" w:eastAsia="Times New Roman" w:hAnsi="Times New Roman" w:cs="Times New Roman"/>
          <w:sz w:val="20"/>
        </w:rPr>
        <w:t>mL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saline is well documented; IV GEM was first reported as </w:t>
      </w:r>
      <w:r>
        <w:rPr>
          <w:rFonts w:ascii="Times New Roman" w:eastAsia="Times New Roman" w:hAnsi="Times New Roman" w:cs="Times New Roman"/>
          <w:sz w:val="20"/>
        </w:rPr>
        <w:lastRenderedPageBreak/>
        <w:t xml:space="preserve">a new treatment option for BCG-refractory non-muscle-invasive BC patients by </w:t>
      </w:r>
      <w:proofErr w:type="spellStart"/>
      <w:r>
        <w:rPr>
          <w:rFonts w:ascii="Times New Roman" w:eastAsia="Times New Roman" w:hAnsi="Times New Roman" w:cs="Times New Roman"/>
          <w:sz w:val="20"/>
        </w:rPr>
        <w:t>Dalbagni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et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al.</w:t>
      </w:r>
      <w:r>
        <w:rPr>
          <w:rFonts w:ascii="Times New Roman" w:eastAsia="Times New Roman" w:hAnsi="Times New Roman" w:cs="Times New Roman"/>
          <w:sz w:val="20"/>
          <w:vertAlign w:val="superscript"/>
        </w:rPr>
        <w:t>21</w:t>
      </w:r>
      <w:r>
        <w:rPr>
          <w:rFonts w:ascii="Times New Roman" w:eastAsia="Times New Roman" w:hAnsi="Times New Roman" w:cs="Times New Roman"/>
          <w:sz w:val="20"/>
        </w:rPr>
        <w:t xml:space="preserve">. The same group reported a phase II studied the efficacy of GEM </w:t>
      </w:r>
      <w:proofErr w:type="spellStart"/>
      <w:r>
        <w:rPr>
          <w:rFonts w:ascii="Times New Roman" w:eastAsia="Times New Roman" w:hAnsi="Times New Roman" w:cs="Times New Roman"/>
          <w:sz w:val="20"/>
        </w:rPr>
        <w:t>instillated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intravesicall</w:t>
      </w:r>
      <w:r>
        <w:rPr>
          <w:rFonts w:ascii="Times New Roman" w:eastAsia="Times New Roman" w:hAnsi="Times New Roman" w:cs="Times New Roman"/>
          <w:sz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for BCG-refractory patients who refuse </w:t>
      </w:r>
      <w:proofErr w:type="spellStart"/>
      <w:r>
        <w:rPr>
          <w:rFonts w:ascii="Times New Roman" w:eastAsia="Times New Roman" w:hAnsi="Times New Roman" w:cs="Times New Roman"/>
          <w:sz w:val="20"/>
        </w:rPr>
        <w:t>cystectomy</w:t>
      </w:r>
      <w:proofErr w:type="spellEnd"/>
      <w:r>
        <w:rPr>
          <w:rFonts w:ascii="Times New Roman" w:eastAsia="Times New Roman" w:hAnsi="Times New Roman" w:cs="Times New Roman"/>
          <w:sz w:val="20"/>
        </w:rPr>
        <w:t>. With median follow-up 15 patients (50%) responded completely. However, the 2-year disease-free survival rate was only about 8% indicating that it is an effective agent but without a durable response.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Bar</w:t>
      </w:r>
      <w:r>
        <w:rPr>
          <w:rFonts w:ascii="Times New Roman" w:eastAsia="Times New Roman" w:hAnsi="Times New Roman" w:cs="Times New Roman"/>
          <w:sz w:val="20"/>
        </w:rPr>
        <w:t>toletti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et al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. 22 </w:t>
      </w:r>
      <w:r>
        <w:rPr>
          <w:rFonts w:ascii="Times New Roman" w:eastAsia="Times New Roman" w:hAnsi="Times New Roman" w:cs="Times New Roman"/>
          <w:sz w:val="20"/>
        </w:rPr>
        <w:t xml:space="preserve">reported the results of a prospective multi centre study of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(2 gm weekly x 6) after transurethral resection in 116 patients with refractory superficial bladder cancer), in all, with intermediate (24 BCG refractory</w:t>
      </w:r>
      <w:r>
        <w:rPr>
          <w:rFonts w:ascii="Times New Roman" w:eastAsia="Times New Roman" w:hAnsi="Times New Roman" w:cs="Times New Roman"/>
          <w:sz w:val="20"/>
        </w:rPr>
        <w:t>) and high-risk (16 BCG refractory bladder cancer. after 12 months follow-up recurrence developed in 25% (6/24), in the BCG refractory intermediate- risk group, vs.56% (9/16) in the corresponding high-risk group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22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Gunelli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et al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23</w:t>
      </w:r>
      <w:r>
        <w:rPr>
          <w:rFonts w:ascii="Times New Roman" w:eastAsia="Times New Roman" w:hAnsi="Times New Roman" w:cs="Times New Roman"/>
          <w:sz w:val="20"/>
        </w:rPr>
        <w:t xml:space="preserve"> evaluated the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</w:t>
      </w:r>
      <w:r>
        <w:rPr>
          <w:rFonts w:ascii="Times New Roman" w:eastAsia="Times New Roman" w:hAnsi="Times New Roman" w:cs="Times New Roman"/>
          <w:sz w:val="20"/>
        </w:rPr>
        <w:t>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40 patients with NMIBC (TaG3 – T1G3) who were BCG-refractory to whom TUR of the bladder was done and then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instillation with 2 gm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diluted in 50 </w:t>
      </w:r>
      <w:proofErr w:type="spellStart"/>
      <w:r>
        <w:rPr>
          <w:rFonts w:ascii="Times New Roman" w:eastAsia="Times New Roman" w:hAnsi="Times New Roman" w:cs="Times New Roman"/>
          <w:sz w:val="20"/>
        </w:rPr>
        <w:t>mL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saline on Days 1 and 3 x 6 weeks. Thirty-eight (95%) of patients m</w:t>
      </w:r>
      <w:r>
        <w:rPr>
          <w:rFonts w:ascii="Times New Roman" w:eastAsia="Times New Roman" w:hAnsi="Times New Roman" w:cs="Times New Roman"/>
          <w:sz w:val="20"/>
        </w:rPr>
        <w:t>aintained CR for 6 months after treatment. At a median follow-up of 28 months, recurrence rate was (35 %).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Mohanty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et al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24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intravesically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treated 35 patients with ‘BCG failure’ with 2000 mg of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x6 weeks. With a median follow-up of 18 months, 60</w:t>
      </w:r>
      <w:r>
        <w:rPr>
          <w:rFonts w:ascii="Times New Roman" w:eastAsia="Times New Roman" w:hAnsi="Times New Roman" w:cs="Times New Roman"/>
          <w:sz w:val="20"/>
        </w:rPr>
        <w:t>% had CR, 31% recurred and three patients (9%) progressed.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Lorenzo et al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25</w:t>
      </w:r>
      <w:r>
        <w:rPr>
          <w:rFonts w:ascii="Times New Roman" w:eastAsia="Times New Roman" w:hAnsi="Times New Roman" w:cs="Times New Roman"/>
          <w:sz w:val="20"/>
        </w:rPr>
        <w:t xml:space="preserve"> investigated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vs. BCG in a multi-center, prospective </w:t>
      </w:r>
      <w:r>
        <w:rPr>
          <w:rFonts w:ascii="Times New Roman" w:eastAsia="Times New Roman" w:hAnsi="Times New Roman" w:cs="Times New Roman"/>
          <w:sz w:val="20"/>
        </w:rPr>
        <w:lastRenderedPageBreak/>
        <w:t xml:space="preserve">randomized study, in 80 high-risk patients who were refractory to BCG therapy and refusing or were not fit for </w:t>
      </w:r>
      <w:proofErr w:type="spellStart"/>
      <w:r>
        <w:rPr>
          <w:rFonts w:ascii="Times New Roman" w:eastAsia="Times New Roman" w:hAnsi="Times New Roman" w:cs="Times New Roman"/>
          <w:sz w:val="20"/>
        </w:rPr>
        <w:t>cystectomy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Patients were randomized to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(40 patients), or BCG (40 pa</w:t>
      </w:r>
      <w:r>
        <w:rPr>
          <w:rFonts w:ascii="Times New Roman" w:eastAsia="Times New Roman" w:hAnsi="Times New Roman" w:cs="Times New Roman"/>
          <w:sz w:val="20"/>
        </w:rPr>
        <w:t xml:space="preserve">tients). Recurrence rate was 52.5% (21/40) for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vs. 87.5% (35/40) for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BCG. This difference was statistically significant (P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= 0.002). The recurrence free survival rates at 2 years confirmed the significant difference (1</w:t>
      </w:r>
      <w:r>
        <w:rPr>
          <w:rFonts w:ascii="Times New Roman" w:eastAsia="Times New Roman" w:hAnsi="Times New Roman" w:cs="Times New Roman"/>
          <w:sz w:val="20"/>
        </w:rPr>
        <w:t xml:space="preserve">9%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vs. 3% BCG; </w:t>
      </w:r>
      <w:r>
        <w:rPr>
          <w:rFonts w:ascii="Times New Roman" w:eastAsia="Times New Roman" w:hAnsi="Times New Roman" w:cs="Times New Roman"/>
          <w:i/>
          <w:sz w:val="20"/>
        </w:rPr>
        <w:t xml:space="preserve">P </w:t>
      </w:r>
      <w:r>
        <w:rPr>
          <w:rFonts w:ascii="Times New Roman" w:eastAsia="Times New Roman" w:hAnsi="Times New Roman" w:cs="Times New Roman"/>
          <w:sz w:val="20"/>
        </w:rPr>
        <w:t>&lt; 0.008). No significant difference in the disease progression (33% vs. 37.5% P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= 0.12). They concluded that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is an effective option as a salvage treatment for this category of patients who refuse </w:t>
      </w:r>
      <w:proofErr w:type="spellStart"/>
      <w:r>
        <w:rPr>
          <w:rFonts w:ascii="Times New Roman" w:eastAsia="Times New Roman" w:hAnsi="Times New Roman" w:cs="Times New Roman"/>
          <w:sz w:val="20"/>
        </w:rPr>
        <w:t>cystectomy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or not s</w:t>
      </w:r>
      <w:r>
        <w:rPr>
          <w:rFonts w:ascii="Times New Roman" w:eastAsia="Times New Roman" w:hAnsi="Times New Roman" w:cs="Times New Roman"/>
          <w:sz w:val="20"/>
        </w:rPr>
        <w:t xml:space="preserve">uitable.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25</w:t>
      </w:r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In the SWOG S0353 Skinner et al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26</w:t>
      </w:r>
      <w:r>
        <w:rPr>
          <w:rFonts w:ascii="Times New Roman" w:eastAsia="Times New Roman" w:hAnsi="Times New Roman" w:cs="Times New Roman"/>
          <w:sz w:val="20"/>
        </w:rPr>
        <w:t xml:space="preserve">, patients had recurrent non muscle invasive bladder cancer after at least 2 prior courses of BCG. Patients were treated with 2 gm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100 cc normal saline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intravesically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weekly x 6 and then monthly </w:t>
      </w:r>
      <w:r>
        <w:rPr>
          <w:rFonts w:ascii="Times New Roman" w:eastAsia="Times New Roman" w:hAnsi="Times New Roman" w:cs="Times New Roman"/>
          <w:sz w:val="20"/>
        </w:rPr>
        <w:t xml:space="preserve">to 12 months. 47 patients were evaluated for response. Of the evaluable patients 42 (89%) had high risk disease, 28% remained continuously free of disease at 1 year and 21% remained continuously free of disease at 2 </w:t>
      </w:r>
      <w:proofErr w:type="gramStart"/>
      <w:r>
        <w:rPr>
          <w:rFonts w:ascii="Times New Roman" w:eastAsia="Times New Roman" w:hAnsi="Times New Roman" w:cs="Times New Roman"/>
          <w:sz w:val="20"/>
        </w:rPr>
        <w:t>years.</w:t>
      </w:r>
      <w:proofErr w:type="gramEnd"/>
    </w:p>
    <w:p w:rsidR="00010F70" w:rsidRDefault="007E15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Sternberg et al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27</w:t>
      </w:r>
      <w:r>
        <w:rPr>
          <w:rFonts w:ascii="Times New Roman" w:eastAsia="Times New Roman" w:hAnsi="Times New Roman" w:cs="Times New Roman"/>
          <w:sz w:val="20"/>
        </w:rPr>
        <w:t xml:space="preserve"> retrospectivel</w:t>
      </w:r>
      <w:r>
        <w:rPr>
          <w:rFonts w:ascii="Times New Roman" w:eastAsia="Times New Roman" w:hAnsi="Times New Roman" w:cs="Times New Roman"/>
          <w:sz w:val="20"/>
        </w:rPr>
        <w:t xml:space="preserve">y reviewed the records of patients treated with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after bacillus </w:t>
      </w:r>
      <w:proofErr w:type="spellStart"/>
      <w:r>
        <w:rPr>
          <w:rFonts w:ascii="Times New Roman" w:eastAsia="Times New Roman" w:hAnsi="Times New Roman" w:cs="Times New Roman"/>
          <w:sz w:val="20"/>
        </w:rPr>
        <w:t>Calmette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-Guerin failure. They estimated progression-free, recurrence-free, and cancer specific survivals. Of 69 patients treated with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37 had BC</w:t>
      </w:r>
      <w:r>
        <w:rPr>
          <w:rFonts w:ascii="Times New Roman" w:eastAsia="Times New Roman" w:hAnsi="Times New Roman" w:cs="Times New Roman"/>
          <w:sz w:val="20"/>
        </w:rPr>
        <w:t>G refractory disease. Median follow up in progression-free patients was 3.3 years. The full treatment course was completed as planned in 61 patients (88%), 27 patients had CR  (44%) ,while 19 patients had PR (31%) , and only 62% of the patients with CR (17</w:t>
      </w:r>
      <w:r>
        <w:rPr>
          <w:rFonts w:ascii="Times New Roman" w:eastAsia="Times New Roman" w:hAnsi="Times New Roman" w:cs="Times New Roman"/>
          <w:sz w:val="20"/>
        </w:rPr>
        <w:t>/27) were disease free at 12 months (28% of total).</w:t>
      </w:r>
    </w:p>
    <w:p w:rsidR="00010F70" w:rsidRDefault="0001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10F70" w:rsidRDefault="007E15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Conclusion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010F70" w:rsidRDefault="007E1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open a new horizon for BCG refractory NMIBC who refuse </w:t>
      </w:r>
      <w:proofErr w:type="spellStart"/>
      <w:r>
        <w:rPr>
          <w:rFonts w:ascii="Times New Roman" w:eastAsia="Times New Roman" w:hAnsi="Times New Roman" w:cs="Times New Roman"/>
          <w:sz w:val="20"/>
        </w:rPr>
        <w:t>cystectomy</w:t>
      </w:r>
      <w:proofErr w:type="spellEnd"/>
      <w:r>
        <w:rPr>
          <w:rFonts w:ascii="Times New Roman" w:eastAsia="Times New Roman" w:hAnsi="Times New Roman" w:cs="Times New Roman"/>
          <w:sz w:val="20"/>
        </w:rPr>
        <w:t>, but it needs a large randomized study with big number of patients, and longer follow up period com</w:t>
      </w:r>
      <w:r>
        <w:rPr>
          <w:rFonts w:ascii="Times New Roman" w:eastAsia="Times New Roman" w:hAnsi="Times New Roman" w:cs="Times New Roman"/>
          <w:sz w:val="20"/>
        </w:rPr>
        <w:t xml:space="preserve">paring TURBT followed by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vs. </w:t>
      </w:r>
      <w:proofErr w:type="spellStart"/>
      <w:r>
        <w:rPr>
          <w:rFonts w:ascii="Times New Roman" w:eastAsia="Times New Roman" w:hAnsi="Times New Roman" w:cs="Times New Roman"/>
          <w:sz w:val="20"/>
        </w:rPr>
        <w:t>cystectomy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010F70" w:rsidRDefault="0001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10F70" w:rsidRDefault="007E1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References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Hall MC, Chang SS, </w:t>
      </w:r>
      <w:proofErr w:type="spellStart"/>
      <w:r>
        <w:rPr>
          <w:rFonts w:ascii="Times New Roman" w:eastAsia="Times New Roman" w:hAnsi="Times New Roman" w:cs="Times New Roman"/>
          <w:sz w:val="20"/>
        </w:rPr>
        <w:t>Dalbagni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G et al: Guideline for the management of </w:t>
      </w:r>
      <w:proofErr w:type="spellStart"/>
      <w:r>
        <w:rPr>
          <w:rFonts w:ascii="Times New Roman" w:eastAsia="Times New Roman" w:hAnsi="Times New Roman" w:cs="Times New Roman"/>
          <w:sz w:val="20"/>
        </w:rPr>
        <w:t>nonmuscle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invasive bladder cancer (stages Ta, T1, and </w:t>
      </w:r>
      <w:proofErr w:type="spellStart"/>
      <w:r>
        <w:rPr>
          <w:rFonts w:ascii="Times New Roman" w:eastAsia="Times New Roman" w:hAnsi="Times New Roman" w:cs="Times New Roman"/>
          <w:sz w:val="20"/>
        </w:rPr>
        <w:t>Tis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): 2007 update. J </w:t>
      </w:r>
      <w:proofErr w:type="spellStart"/>
      <w:r>
        <w:rPr>
          <w:rFonts w:ascii="Times New Roman" w:eastAsia="Times New Roman" w:hAnsi="Times New Roman" w:cs="Times New Roman"/>
          <w:sz w:val="20"/>
        </w:rPr>
        <w:t>Urol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2007; 178: 2314.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Babjuk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0"/>
        </w:rPr>
        <w:t>Oosterlinck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W, Sylvester R et al: EAU guidelines on non-muscle-invasive </w:t>
      </w:r>
      <w:proofErr w:type="spellStart"/>
      <w:r>
        <w:rPr>
          <w:rFonts w:ascii="Times New Roman" w:eastAsia="Times New Roman" w:hAnsi="Times New Roman" w:cs="Times New Roman"/>
          <w:sz w:val="20"/>
        </w:rPr>
        <w:lastRenderedPageBreak/>
        <w:t>urothelial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carcinoma of the bladder, the 2011 update. </w:t>
      </w:r>
      <w:proofErr w:type="spellStart"/>
      <w:r>
        <w:rPr>
          <w:rFonts w:ascii="Times New Roman" w:eastAsia="Times New Roman" w:hAnsi="Times New Roman" w:cs="Times New Roman"/>
          <w:sz w:val="20"/>
        </w:rPr>
        <w:t>Eur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Urol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2011; 59: 997.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Soloway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MS: Overview of treatment of superficial bladder cancer. Urology 26:18-26, 1985.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Dalbagn</w:t>
      </w:r>
      <w:r>
        <w:rPr>
          <w:rFonts w:ascii="Times New Roman" w:eastAsia="Times New Roman" w:hAnsi="Times New Roman" w:cs="Times New Roman"/>
          <w:sz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G, Herr HW: Current use and questions concerning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bladder cancer group for superficial bladder cancer. </w:t>
      </w:r>
      <w:proofErr w:type="spellStart"/>
      <w:r>
        <w:rPr>
          <w:rFonts w:ascii="Times New Roman" w:eastAsia="Times New Roman" w:hAnsi="Times New Roman" w:cs="Times New Roman"/>
          <w:sz w:val="20"/>
        </w:rPr>
        <w:t>Urol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Clin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North Am 27:137-146, 2000.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Hudson MA, Herr HW: Carcinoma in situ of the bladder. J </w:t>
      </w:r>
      <w:proofErr w:type="spellStart"/>
      <w:r>
        <w:rPr>
          <w:rFonts w:ascii="Times New Roman" w:eastAsia="Times New Roman" w:hAnsi="Times New Roman" w:cs="Times New Roman"/>
          <w:sz w:val="20"/>
        </w:rPr>
        <w:t>Urol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153:564-572, 1995.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Herr HW, </w:t>
      </w:r>
      <w:proofErr w:type="spellStart"/>
      <w:r>
        <w:rPr>
          <w:rFonts w:ascii="Times New Roman" w:eastAsia="Times New Roman" w:hAnsi="Times New Roman" w:cs="Times New Roman"/>
          <w:sz w:val="20"/>
        </w:rPr>
        <w:t>Badalament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RA</w:t>
      </w:r>
      <w:r>
        <w:rPr>
          <w:rFonts w:ascii="Times New Roman" w:eastAsia="Times New Roman" w:hAnsi="Times New Roman" w:cs="Times New Roman"/>
          <w:sz w:val="20"/>
        </w:rPr>
        <w:t xml:space="preserve">, Amato DA, et al: Superficial bladder cancer treated with bacillus </w:t>
      </w:r>
      <w:proofErr w:type="spellStart"/>
      <w:r>
        <w:rPr>
          <w:rFonts w:ascii="Times New Roman" w:eastAsia="Times New Roman" w:hAnsi="Times New Roman" w:cs="Times New Roman"/>
          <w:sz w:val="20"/>
        </w:rPr>
        <w:t>Calmette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-Guerin: A multivariate analysis of factors affecting tumor progression. J </w:t>
      </w:r>
      <w:proofErr w:type="spellStart"/>
      <w:r>
        <w:rPr>
          <w:rFonts w:ascii="Times New Roman" w:eastAsia="Times New Roman" w:hAnsi="Times New Roman" w:cs="Times New Roman"/>
          <w:sz w:val="20"/>
        </w:rPr>
        <w:t>Urol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141:22-29, 1989.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Babjuk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0"/>
        </w:rPr>
        <w:t>Oosterlinck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W, Sylvester R, </w:t>
      </w:r>
      <w:proofErr w:type="spellStart"/>
      <w:r>
        <w:rPr>
          <w:rFonts w:ascii="Times New Roman" w:eastAsia="Times New Roman" w:hAnsi="Times New Roman" w:cs="Times New Roman"/>
          <w:sz w:val="20"/>
        </w:rPr>
        <w:t>Kaasinen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0"/>
        </w:rPr>
        <w:t>Bohle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A, Palou-</w:t>
      </w:r>
      <w:proofErr w:type="spellStart"/>
      <w:r>
        <w:rPr>
          <w:rFonts w:ascii="Times New Roman" w:eastAsia="Times New Roman" w:hAnsi="Times New Roman" w:cs="Times New Roman"/>
          <w:sz w:val="20"/>
        </w:rPr>
        <w:t>Redorta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J. EAU gui</w:t>
      </w:r>
      <w:r>
        <w:rPr>
          <w:rFonts w:ascii="Times New Roman" w:eastAsia="Times New Roman" w:hAnsi="Times New Roman" w:cs="Times New Roman"/>
          <w:sz w:val="20"/>
        </w:rPr>
        <w:t xml:space="preserve">delines on non-muscle-invasive </w:t>
      </w:r>
      <w:proofErr w:type="spellStart"/>
      <w:r>
        <w:rPr>
          <w:rFonts w:ascii="Times New Roman" w:eastAsia="Times New Roman" w:hAnsi="Times New Roman" w:cs="Times New Roman"/>
          <w:sz w:val="20"/>
        </w:rPr>
        <w:t>urothelial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carcinoma of the bladder. </w:t>
      </w:r>
      <w:proofErr w:type="spellStart"/>
      <w:r>
        <w:rPr>
          <w:rFonts w:ascii="Times New Roman" w:eastAsia="Times New Roman" w:hAnsi="Times New Roman" w:cs="Times New Roman"/>
          <w:sz w:val="20"/>
        </w:rPr>
        <w:t>Eur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Urol. 2008</w:t>
      </w:r>
      <w:proofErr w:type="gramStart"/>
      <w:r>
        <w:rPr>
          <w:rFonts w:ascii="Times New Roman" w:eastAsia="Times New Roman" w:hAnsi="Times New Roman" w:cs="Times New Roman"/>
          <w:sz w:val="20"/>
        </w:rPr>
        <w:t>;54:303</w:t>
      </w:r>
      <w:proofErr w:type="gramEnd"/>
      <w:r>
        <w:rPr>
          <w:rFonts w:ascii="Times New Roman" w:eastAsia="Times New Roman" w:hAnsi="Times New Roman" w:cs="Times New Roman"/>
          <w:sz w:val="20"/>
        </w:rPr>
        <w:t>-314.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Joudi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FN, O’Donnell MA. Second-line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therapy versus </w:t>
      </w:r>
      <w:proofErr w:type="spellStart"/>
      <w:r>
        <w:rPr>
          <w:rFonts w:ascii="Times New Roman" w:eastAsia="Times New Roman" w:hAnsi="Times New Roman" w:cs="Times New Roman"/>
          <w:sz w:val="20"/>
        </w:rPr>
        <w:t>cystectomy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0"/>
        </w:rPr>
        <w:t>bacille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Calmette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-Guerin (BCG) failures. </w:t>
      </w:r>
      <w:proofErr w:type="spellStart"/>
      <w:r>
        <w:rPr>
          <w:rFonts w:ascii="Times New Roman" w:eastAsia="Times New Roman" w:hAnsi="Times New Roman" w:cs="Times New Roman"/>
          <w:sz w:val="20"/>
        </w:rPr>
        <w:t>Curr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Opin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Urol. 2004</w:t>
      </w:r>
      <w:proofErr w:type="gramStart"/>
      <w:r>
        <w:rPr>
          <w:rFonts w:ascii="Times New Roman" w:eastAsia="Times New Roman" w:hAnsi="Times New Roman" w:cs="Times New Roman"/>
          <w:sz w:val="20"/>
        </w:rPr>
        <w:t>;14:271</w:t>
      </w:r>
      <w:proofErr w:type="gramEnd"/>
      <w:r>
        <w:rPr>
          <w:rFonts w:ascii="Times New Roman" w:eastAsia="Times New Roman" w:hAnsi="Times New Roman" w:cs="Times New Roman"/>
          <w:sz w:val="20"/>
        </w:rPr>
        <w:t>-275.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Barlow LJ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Seager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CM, Benson MC et al: Novel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therapies for non-muscle-invasive bladder cancer refractory to BCG. </w:t>
      </w:r>
      <w:proofErr w:type="spellStart"/>
      <w:r>
        <w:rPr>
          <w:rFonts w:ascii="Times New Roman" w:eastAsia="Times New Roman" w:hAnsi="Times New Roman" w:cs="Times New Roman"/>
          <w:sz w:val="20"/>
        </w:rPr>
        <w:t>Urol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Oncol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2010; 28: 108.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Yates DR and </w:t>
      </w:r>
      <w:proofErr w:type="spellStart"/>
      <w:r>
        <w:rPr>
          <w:rFonts w:ascii="Times New Roman" w:eastAsia="Times New Roman" w:hAnsi="Times New Roman" w:cs="Times New Roman"/>
          <w:sz w:val="20"/>
        </w:rPr>
        <w:t>Roupret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M: Contemporary management of patients with high-risk </w:t>
      </w:r>
      <w:proofErr w:type="spellStart"/>
      <w:r>
        <w:rPr>
          <w:rFonts w:ascii="Times New Roman" w:eastAsia="Times New Roman" w:hAnsi="Times New Roman" w:cs="Times New Roman"/>
          <w:sz w:val="20"/>
        </w:rPr>
        <w:t>nonmuscle</w:t>
      </w:r>
      <w:proofErr w:type="spellEnd"/>
      <w:r>
        <w:rPr>
          <w:rFonts w:ascii="Times New Roman" w:eastAsia="Times New Roman" w:hAnsi="Times New Roman" w:cs="Times New Roman"/>
          <w:sz w:val="20"/>
        </w:rPr>
        <w:t>- invasive bladder cancer who</w:t>
      </w:r>
      <w:r>
        <w:rPr>
          <w:rFonts w:ascii="Times New Roman" w:eastAsia="Times New Roman" w:hAnsi="Times New Roman" w:cs="Times New Roman"/>
          <w:sz w:val="20"/>
        </w:rPr>
        <w:t xml:space="preserve"> fail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BCG therapy. World J </w:t>
      </w:r>
      <w:proofErr w:type="spellStart"/>
      <w:r>
        <w:rPr>
          <w:rFonts w:ascii="Times New Roman" w:eastAsia="Times New Roman" w:hAnsi="Times New Roman" w:cs="Times New Roman"/>
          <w:sz w:val="20"/>
        </w:rPr>
        <w:t>Urol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2011; 29: 415.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Dash A, </w:t>
      </w:r>
      <w:proofErr w:type="spellStart"/>
      <w:r>
        <w:rPr>
          <w:rFonts w:ascii="Times New Roman" w:eastAsia="Times New Roman" w:hAnsi="Times New Roman" w:cs="Times New Roman"/>
          <w:sz w:val="20"/>
        </w:rPr>
        <w:t>Pettus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JA 4th, Herr HW et al: A role for </w:t>
      </w:r>
      <w:proofErr w:type="spellStart"/>
      <w:r>
        <w:rPr>
          <w:rFonts w:ascii="Times New Roman" w:eastAsia="Times New Roman" w:hAnsi="Times New Roman" w:cs="Times New Roman"/>
          <w:sz w:val="20"/>
        </w:rPr>
        <w:t>neoadjuvant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plus </w:t>
      </w:r>
      <w:proofErr w:type="spellStart"/>
      <w:r>
        <w:rPr>
          <w:rFonts w:ascii="Times New Roman" w:eastAsia="Times New Roman" w:hAnsi="Times New Roman" w:cs="Times New Roman"/>
          <w:sz w:val="20"/>
        </w:rPr>
        <w:t>cisplatin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muscle invasive </w:t>
      </w:r>
      <w:proofErr w:type="spellStart"/>
      <w:r>
        <w:rPr>
          <w:rFonts w:ascii="Times New Roman" w:eastAsia="Times New Roman" w:hAnsi="Times New Roman" w:cs="Times New Roman"/>
          <w:sz w:val="20"/>
        </w:rPr>
        <w:t>urothelial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carcinoma of the bladder: a retrospective experience. Cancer 2008; 113: 2471.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Jin JO, Lehmann J, </w:t>
      </w:r>
      <w:proofErr w:type="spellStart"/>
      <w:r>
        <w:rPr>
          <w:rFonts w:ascii="Times New Roman" w:eastAsia="Times New Roman" w:hAnsi="Times New Roman" w:cs="Times New Roman"/>
          <w:sz w:val="20"/>
        </w:rPr>
        <w:t>Taxy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J et al: Phase II trial of adjuvant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plus </w:t>
      </w:r>
      <w:proofErr w:type="spellStart"/>
      <w:r>
        <w:rPr>
          <w:rFonts w:ascii="Times New Roman" w:eastAsia="Times New Roman" w:hAnsi="Times New Roman" w:cs="Times New Roman"/>
          <w:sz w:val="20"/>
        </w:rPr>
        <w:t>cisplatin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-based chemotherapy in patients with locally advanced bladder cancer. </w:t>
      </w:r>
      <w:proofErr w:type="spellStart"/>
      <w:r>
        <w:rPr>
          <w:rFonts w:ascii="Times New Roman" w:eastAsia="Times New Roman" w:hAnsi="Times New Roman" w:cs="Times New Roman"/>
          <w:sz w:val="20"/>
        </w:rPr>
        <w:t>Clin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Genitourin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Cancer 2006; 5: 150.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Lorusso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V, </w:t>
      </w:r>
      <w:proofErr w:type="spellStart"/>
      <w:r>
        <w:rPr>
          <w:rFonts w:ascii="Times New Roman" w:eastAsia="Times New Roman" w:hAnsi="Times New Roman" w:cs="Times New Roman"/>
          <w:sz w:val="20"/>
        </w:rPr>
        <w:t>Pollera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CF, </w:t>
      </w:r>
      <w:proofErr w:type="spellStart"/>
      <w:r>
        <w:rPr>
          <w:rFonts w:ascii="Times New Roman" w:eastAsia="Times New Roman" w:hAnsi="Times New Roman" w:cs="Times New Roman"/>
          <w:sz w:val="20"/>
        </w:rPr>
        <w:t>Antimi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 et al: A phase II study of </w:t>
      </w:r>
      <w:proofErr w:type="spellStart"/>
      <w:r>
        <w:rPr>
          <w:rFonts w:ascii="Times New Roman" w:eastAsia="Times New Roman" w:hAnsi="Times New Roman" w:cs="Times New Roman"/>
          <w:sz w:val="20"/>
        </w:rPr>
        <w:t>gemc</w:t>
      </w:r>
      <w:r>
        <w:rPr>
          <w:rFonts w:ascii="Times New Roman" w:eastAsia="Times New Roman" w:hAnsi="Times New Roman" w:cs="Times New Roman"/>
          <w:sz w:val="20"/>
        </w:rPr>
        <w:t>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patients with transitional cell carcinoma of the urinary tract previously treated with platinum. Italian Co-operative Group on Bladder Cancer. </w:t>
      </w:r>
      <w:proofErr w:type="spellStart"/>
      <w:r>
        <w:rPr>
          <w:rFonts w:ascii="Times New Roman" w:eastAsia="Times New Roman" w:hAnsi="Times New Roman" w:cs="Times New Roman"/>
          <w:sz w:val="20"/>
        </w:rPr>
        <w:t>Eur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J Cancer 1998; 34: 1208.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Meliani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0"/>
        </w:rPr>
        <w:t>Lapini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0"/>
        </w:rPr>
        <w:t>Serni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 et al: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plus </w:t>
      </w:r>
      <w:proofErr w:type="spellStart"/>
      <w:r>
        <w:rPr>
          <w:rFonts w:ascii="Times New Roman" w:eastAsia="Times New Roman" w:hAnsi="Times New Roman" w:cs="Times New Roman"/>
          <w:sz w:val="20"/>
        </w:rPr>
        <w:t>cisplatin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adjuvan</w:t>
      </w:r>
      <w:r>
        <w:rPr>
          <w:rFonts w:ascii="Times New Roman" w:eastAsia="Times New Roman" w:hAnsi="Times New Roman" w:cs="Times New Roman"/>
          <w:sz w:val="20"/>
        </w:rPr>
        <w:t xml:space="preserve">t regimen for bladder cancer. Toxicity evaluation. </w:t>
      </w:r>
      <w:proofErr w:type="spellStart"/>
      <w:r>
        <w:rPr>
          <w:rFonts w:ascii="Times New Roman" w:eastAsia="Times New Roman" w:hAnsi="Times New Roman" w:cs="Times New Roman"/>
          <w:sz w:val="20"/>
        </w:rPr>
        <w:t>Urol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Int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2003; 71: 37.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lastRenderedPageBreak/>
        <w:t>Scosyrev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E, Messing EM, van </w:t>
      </w:r>
      <w:proofErr w:type="spellStart"/>
      <w:r>
        <w:rPr>
          <w:rFonts w:ascii="Times New Roman" w:eastAsia="Times New Roman" w:hAnsi="Times New Roman" w:cs="Times New Roman"/>
          <w:sz w:val="20"/>
        </w:rPr>
        <w:t>Wijngaarden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 et al: </w:t>
      </w:r>
      <w:proofErr w:type="spellStart"/>
      <w:r>
        <w:rPr>
          <w:rFonts w:ascii="Times New Roman" w:eastAsia="Times New Roman" w:hAnsi="Times New Roman" w:cs="Times New Roman"/>
          <w:sz w:val="20"/>
        </w:rPr>
        <w:t>Neoadjuvant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</w:rPr>
        <w:t>cisplatin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chemotherapy for locally advanced </w:t>
      </w:r>
      <w:proofErr w:type="spellStart"/>
      <w:r>
        <w:rPr>
          <w:rFonts w:ascii="Times New Roman" w:eastAsia="Times New Roman" w:hAnsi="Times New Roman" w:cs="Times New Roman"/>
          <w:sz w:val="20"/>
        </w:rPr>
        <w:t>urothelial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cancer of the bladder. Cancer 2012; 118: 72.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Shell</w:t>
      </w:r>
      <w:r>
        <w:rPr>
          <w:rFonts w:ascii="Times New Roman" w:eastAsia="Times New Roman" w:hAnsi="Times New Roman" w:cs="Times New Roman"/>
          <w:sz w:val="20"/>
        </w:rPr>
        <w:t xml:space="preserve">ey M, Cleves </w:t>
      </w:r>
      <w:proofErr w:type="gramStart"/>
      <w:r>
        <w:rPr>
          <w:rFonts w:ascii="Times New Roman" w:eastAsia="Times New Roman" w:hAnsi="Times New Roman" w:cs="Times New Roman"/>
          <w:sz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Wilt TJ et al: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0"/>
        </w:rPr>
        <w:t>unresectable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locally advanced or metastatic bladder cancer. Cochrane Database </w:t>
      </w:r>
      <w:proofErr w:type="spellStart"/>
      <w:r>
        <w:rPr>
          <w:rFonts w:ascii="Times New Roman" w:eastAsia="Times New Roman" w:hAnsi="Times New Roman" w:cs="Times New Roman"/>
          <w:sz w:val="20"/>
        </w:rPr>
        <w:t>Syst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Rev 2011; 4: CD008976.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Lerner SP, Schoenberg MP and Sternberg CN: Textbook of Bladder Cancer. Abingdon, United Kingdom: Taylo</w:t>
      </w:r>
      <w:r>
        <w:rPr>
          <w:rFonts w:ascii="Times New Roman" w:eastAsia="Times New Roman" w:hAnsi="Times New Roman" w:cs="Times New Roman"/>
          <w:sz w:val="20"/>
        </w:rPr>
        <w:t>r &amp; Francis 2006.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MB </w:t>
      </w:r>
      <w:proofErr w:type="spellStart"/>
      <w:r>
        <w:rPr>
          <w:rFonts w:ascii="Times New Roman" w:eastAsia="Times New Roman" w:hAnsi="Times New Roman" w:cs="Times New Roman"/>
          <w:sz w:val="20"/>
        </w:rPr>
        <w:t>Rausi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JA </w:t>
      </w:r>
      <w:proofErr w:type="spellStart"/>
      <w:r>
        <w:rPr>
          <w:rFonts w:ascii="Times New Roman" w:eastAsia="Times New Roman" w:hAnsi="Times New Roman" w:cs="Times New Roman"/>
          <w:sz w:val="20"/>
        </w:rPr>
        <w:t>Witjas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D.Lamm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</w:rPr>
        <w:t>al;review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of current guidelines and best practice recommendation for management of </w:t>
      </w:r>
      <w:proofErr w:type="spellStart"/>
      <w:r>
        <w:rPr>
          <w:rFonts w:ascii="Times New Roman" w:eastAsia="Times New Roman" w:hAnsi="Times New Roman" w:cs="Times New Roman"/>
          <w:sz w:val="20"/>
        </w:rPr>
        <w:t>nonmuscle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invasive bladder cancer by international bladder cancer group J </w:t>
      </w:r>
      <w:proofErr w:type="spellStart"/>
      <w:r>
        <w:rPr>
          <w:rFonts w:ascii="Times New Roman" w:eastAsia="Times New Roman" w:hAnsi="Times New Roman" w:cs="Times New Roman"/>
          <w:sz w:val="20"/>
        </w:rPr>
        <w:t>Urol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2011; 186, pp.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Guido </w:t>
      </w:r>
      <w:proofErr w:type="spellStart"/>
      <w:r>
        <w:rPr>
          <w:rFonts w:ascii="Times New Roman" w:eastAsia="Times New Roman" w:hAnsi="Times New Roman" w:cs="Times New Roman"/>
          <w:sz w:val="20"/>
        </w:rPr>
        <w:t>Dalbagni</w:t>
      </w:r>
      <w:proofErr w:type="spellEnd"/>
      <w:r>
        <w:rPr>
          <w:rFonts w:ascii="Times New Roman" w:eastAsia="Times New Roman" w:hAnsi="Times New Roman" w:cs="Times New Roman"/>
          <w:sz w:val="20"/>
        </w:rPr>
        <w:t>, Paul Russo, Be</w:t>
      </w:r>
      <w:r>
        <w:rPr>
          <w:rFonts w:ascii="Times New Roman" w:eastAsia="Times New Roman" w:hAnsi="Times New Roman" w:cs="Times New Roman"/>
          <w:sz w:val="20"/>
        </w:rPr>
        <w:t xml:space="preserve">rnard </w:t>
      </w:r>
      <w:proofErr w:type="spellStart"/>
      <w:r>
        <w:rPr>
          <w:rFonts w:ascii="Times New Roman" w:eastAsia="Times New Roman" w:hAnsi="Times New Roman" w:cs="Times New Roman"/>
          <w:sz w:val="20"/>
        </w:rPr>
        <w:t>Bochner</w:t>
      </w:r>
      <w:proofErr w:type="spellEnd"/>
      <w:r>
        <w:rPr>
          <w:rFonts w:ascii="Times New Roman" w:eastAsia="Times New Roman" w:hAnsi="Times New Roman" w:cs="Times New Roman"/>
          <w:sz w:val="20"/>
        </w:rPr>
        <w:t>, Leah Ben-</w:t>
      </w:r>
      <w:proofErr w:type="spellStart"/>
      <w:r>
        <w:rPr>
          <w:rFonts w:ascii="Times New Roman" w:eastAsia="Times New Roman" w:hAnsi="Times New Roman" w:cs="Times New Roman"/>
          <w:sz w:val="20"/>
        </w:rPr>
        <w:t>Porat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et al Phase II Trial of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</w:rPr>
        <w:t>Bacille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Calmette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</w:rPr>
        <w:t>Guérin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– Refractory Transitional Cell Carcinoma of the Bladder J </w:t>
      </w:r>
      <w:proofErr w:type="spellStart"/>
      <w:r>
        <w:rPr>
          <w:rFonts w:ascii="Times New Roman" w:eastAsia="Times New Roman" w:hAnsi="Times New Roman" w:cs="Times New Roman"/>
          <w:sz w:val="20"/>
        </w:rPr>
        <w:t>Clin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Oncol</w:t>
      </w:r>
      <w:proofErr w:type="spellEnd"/>
      <w:r>
        <w:rPr>
          <w:rFonts w:ascii="Times New Roman" w:eastAsia="Times New Roman" w:hAnsi="Times New Roman" w:cs="Times New Roman"/>
          <w:sz w:val="20"/>
        </w:rPr>
        <w:t>. 2006 Jun 20</w:t>
      </w:r>
      <w:proofErr w:type="gramStart"/>
      <w:r>
        <w:rPr>
          <w:rFonts w:ascii="Times New Roman" w:eastAsia="Times New Roman" w:hAnsi="Times New Roman" w:cs="Times New Roman"/>
          <w:sz w:val="20"/>
        </w:rPr>
        <w:t>;24</w:t>
      </w:r>
      <w:proofErr w:type="gramEnd"/>
      <w:r>
        <w:rPr>
          <w:rFonts w:ascii="Times New Roman" w:eastAsia="Times New Roman" w:hAnsi="Times New Roman" w:cs="Times New Roman"/>
          <w:sz w:val="20"/>
        </w:rPr>
        <w:t>(18):2729-34.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Gray R: A class of K-sample tests for comparing the</w:t>
      </w:r>
      <w:r>
        <w:rPr>
          <w:rFonts w:ascii="Times New Roman" w:eastAsia="Times New Roman" w:hAnsi="Times New Roman" w:cs="Times New Roman"/>
          <w:sz w:val="20"/>
        </w:rPr>
        <w:t xml:space="preserve"> cumulative incidence of a competing risk. Ann Stat 16:1141-1154, 1988].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Dalbagni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G, Russo P, </w:t>
      </w:r>
      <w:proofErr w:type="spellStart"/>
      <w:r>
        <w:rPr>
          <w:rFonts w:ascii="Times New Roman" w:eastAsia="Times New Roman" w:hAnsi="Times New Roman" w:cs="Times New Roman"/>
          <w:sz w:val="20"/>
        </w:rPr>
        <w:t>Sheinfeld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J, et al. Phase I trial of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bacillus </w:t>
      </w:r>
      <w:proofErr w:type="spellStart"/>
      <w:r>
        <w:rPr>
          <w:rFonts w:ascii="Times New Roman" w:eastAsia="Times New Roman" w:hAnsi="Times New Roman" w:cs="Times New Roman"/>
          <w:sz w:val="20"/>
        </w:rPr>
        <w:t>Calmette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-Guerin-refractory transitional-cell carcinoma of the bladder. J </w:t>
      </w:r>
      <w:proofErr w:type="spellStart"/>
      <w:r>
        <w:rPr>
          <w:rFonts w:ascii="Times New Roman" w:eastAsia="Times New Roman" w:hAnsi="Times New Roman" w:cs="Times New Roman"/>
          <w:sz w:val="20"/>
        </w:rPr>
        <w:t>Clin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Oncol</w:t>
      </w:r>
      <w:proofErr w:type="spellEnd"/>
      <w:r>
        <w:rPr>
          <w:rFonts w:ascii="Times New Roman" w:eastAsia="Times New Roman" w:hAnsi="Times New Roman" w:cs="Times New Roman"/>
          <w:sz w:val="20"/>
        </w:rPr>
        <w:t>. 200</w:t>
      </w:r>
      <w:r>
        <w:rPr>
          <w:rFonts w:ascii="Times New Roman" w:eastAsia="Times New Roman" w:hAnsi="Times New Roman" w:cs="Times New Roman"/>
          <w:sz w:val="20"/>
        </w:rPr>
        <w:t>2</w:t>
      </w:r>
      <w:proofErr w:type="gramStart"/>
      <w:r>
        <w:rPr>
          <w:rFonts w:ascii="Times New Roman" w:eastAsia="Times New Roman" w:hAnsi="Times New Roman" w:cs="Times New Roman"/>
          <w:sz w:val="20"/>
        </w:rPr>
        <w:t>;20:3193</w:t>
      </w:r>
      <w:proofErr w:type="gramEnd"/>
      <w:r>
        <w:rPr>
          <w:rFonts w:ascii="Times New Roman" w:eastAsia="Times New Roman" w:hAnsi="Times New Roman" w:cs="Times New Roman"/>
          <w:sz w:val="20"/>
        </w:rPr>
        <w:t>-3198.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lastRenderedPageBreak/>
        <w:t>Bartoletti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R, </w:t>
      </w:r>
      <w:proofErr w:type="spellStart"/>
      <w:r>
        <w:rPr>
          <w:rFonts w:ascii="Times New Roman" w:eastAsia="Times New Roman" w:hAnsi="Times New Roman" w:cs="Times New Roman"/>
          <w:sz w:val="20"/>
        </w:rPr>
        <w:t>Cai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T, </w:t>
      </w:r>
      <w:proofErr w:type="spellStart"/>
      <w:r>
        <w:rPr>
          <w:rFonts w:ascii="Times New Roman" w:eastAsia="Times New Roman" w:hAnsi="Times New Roman" w:cs="Times New Roman"/>
          <w:sz w:val="20"/>
        </w:rPr>
        <w:t>Gacci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 et al.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therapy for superficial transitional cell carcinoma: results of a Phase II prospective multicenter study. Urology 2005; 66: 726–31.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Gunelli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R, </w:t>
      </w:r>
      <w:proofErr w:type="spellStart"/>
      <w:r>
        <w:rPr>
          <w:rFonts w:ascii="Times New Roman" w:eastAsia="Times New Roman" w:hAnsi="Times New Roman" w:cs="Times New Roman"/>
          <w:sz w:val="20"/>
        </w:rPr>
        <w:t>Bercovich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0"/>
        </w:rPr>
        <w:t>Nanni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 et al: Activity of </w:t>
      </w:r>
      <w:proofErr w:type="spellStart"/>
      <w:r>
        <w:rPr>
          <w:rFonts w:ascii="Times New Roman" w:eastAsia="Times New Roman" w:hAnsi="Times New Roman" w:cs="Times New Roman"/>
          <w:sz w:val="20"/>
        </w:rPr>
        <w:t>endovesical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BCG-refractory bladder cancer patients: a translational study. </w:t>
      </w:r>
      <w:r>
        <w:rPr>
          <w:rFonts w:ascii="Times New Roman" w:eastAsia="Times New Roman" w:hAnsi="Times New Roman" w:cs="Times New Roman"/>
          <w:i/>
          <w:sz w:val="20"/>
        </w:rPr>
        <w:t xml:space="preserve">Br J Cancer </w:t>
      </w:r>
      <w:r>
        <w:rPr>
          <w:rFonts w:ascii="Times New Roman" w:eastAsia="Times New Roman" w:hAnsi="Times New Roman" w:cs="Times New Roman"/>
          <w:sz w:val="20"/>
        </w:rPr>
        <w:t>2007; 97</w:t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1499 – 504.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Mohanty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NK, </w:t>
      </w:r>
      <w:proofErr w:type="spellStart"/>
      <w:r>
        <w:rPr>
          <w:rFonts w:ascii="Times New Roman" w:eastAsia="Times New Roman" w:hAnsi="Times New Roman" w:cs="Times New Roman"/>
          <w:sz w:val="20"/>
        </w:rPr>
        <w:t>Nayak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RL, </w:t>
      </w:r>
      <w:proofErr w:type="spellStart"/>
      <w:r>
        <w:rPr>
          <w:rFonts w:ascii="Times New Roman" w:eastAsia="Times New Roman" w:hAnsi="Times New Roman" w:cs="Times New Roman"/>
          <w:sz w:val="20"/>
        </w:rPr>
        <w:t>Vasudeva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P, </w:t>
      </w:r>
      <w:proofErr w:type="spellStart"/>
      <w:r>
        <w:rPr>
          <w:rFonts w:ascii="Times New Roman" w:eastAsia="Times New Roman" w:hAnsi="Times New Roman" w:cs="Times New Roman"/>
          <w:sz w:val="20"/>
        </w:rPr>
        <w:t>Arora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RP</w:t>
      </w:r>
      <w:r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managemen</w:t>
      </w:r>
      <w:r>
        <w:rPr>
          <w:rFonts w:ascii="Times New Roman" w:eastAsia="Times New Roman" w:hAnsi="Times New Roman" w:cs="Times New Roman"/>
          <w:sz w:val="20"/>
        </w:rPr>
        <w:t xml:space="preserve">t of BCG refractory superficial TCC of urinary bladder-our experience.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Urol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Oncol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2008; 26: 616–9.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Lorenzo G, </w:t>
      </w:r>
      <w:proofErr w:type="spellStart"/>
      <w:r>
        <w:rPr>
          <w:rFonts w:ascii="Times New Roman" w:eastAsia="Times New Roman" w:hAnsi="Times New Roman" w:cs="Times New Roman"/>
          <w:sz w:val="20"/>
        </w:rPr>
        <w:t>Perdona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sz w:val="20"/>
        </w:rPr>
        <w:t>Damiano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 </w:t>
      </w:r>
      <w:r>
        <w:rPr>
          <w:rFonts w:ascii="Times New Roman" w:eastAsia="Times New Roman" w:hAnsi="Times New Roman" w:cs="Times New Roman"/>
          <w:i/>
          <w:sz w:val="20"/>
        </w:rPr>
        <w:t xml:space="preserve">et </w:t>
      </w:r>
      <w:r>
        <w:rPr>
          <w:rFonts w:ascii="Times New Roman" w:eastAsia="Times New Roman" w:hAnsi="Times New Roman" w:cs="Times New Roman"/>
          <w:sz w:val="20"/>
        </w:rPr>
        <w:t>al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versus Bacillus </w:t>
      </w:r>
      <w:proofErr w:type="spellStart"/>
      <w:r>
        <w:rPr>
          <w:rFonts w:ascii="Times New Roman" w:eastAsia="Times New Roman" w:hAnsi="Times New Roman" w:cs="Times New Roman"/>
          <w:sz w:val="20"/>
        </w:rPr>
        <w:t>Calmette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-Guerin after initial Bacillus </w:t>
      </w:r>
      <w:proofErr w:type="spellStart"/>
      <w:r>
        <w:rPr>
          <w:rFonts w:ascii="Times New Roman" w:eastAsia="Times New Roman" w:hAnsi="Times New Roman" w:cs="Times New Roman"/>
          <w:sz w:val="20"/>
        </w:rPr>
        <w:t>Calmette</w:t>
      </w:r>
      <w:proofErr w:type="spellEnd"/>
      <w:r>
        <w:rPr>
          <w:rFonts w:ascii="Times New Roman" w:eastAsia="Times New Roman" w:hAnsi="Times New Roman" w:cs="Times New Roman"/>
          <w:sz w:val="20"/>
        </w:rPr>
        <w:t>-Guerin failure in non-muscle invasive blad</w:t>
      </w:r>
      <w:r>
        <w:rPr>
          <w:rFonts w:ascii="Times New Roman" w:eastAsia="Times New Roman" w:hAnsi="Times New Roman" w:cs="Times New Roman"/>
          <w:sz w:val="20"/>
        </w:rPr>
        <w:t xml:space="preserve">der cancer. </w:t>
      </w:r>
      <w:r>
        <w:rPr>
          <w:rFonts w:ascii="Times New Roman" w:eastAsia="Times New Roman" w:hAnsi="Times New Roman" w:cs="Times New Roman"/>
          <w:i/>
          <w:sz w:val="20"/>
        </w:rPr>
        <w:t xml:space="preserve">Cancer </w:t>
      </w:r>
      <w:r>
        <w:rPr>
          <w:rFonts w:ascii="Times New Roman" w:eastAsia="Times New Roman" w:hAnsi="Times New Roman" w:cs="Times New Roman"/>
          <w:sz w:val="20"/>
        </w:rPr>
        <w:t>2010</w:t>
      </w:r>
      <w:proofErr w:type="gramStart"/>
      <w:r>
        <w:rPr>
          <w:rFonts w:ascii="Times New Roman" w:eastAsia="Times New Roman" w:hAnsi="Times New Roman" w:cs="Times New Roman"/>
          <w:sz w:val="20"/>
        </w:rPr>
        <w:t>;116</w:t>
      </w:r>
      <w:proofErr w:type="gramEnd"/>
      <w:r>
        <w:rPr>
          <w:rFonts w:ascii="Times New Roman" w:eastAsia="Times New Roman" w:hAnsi="Times New Roman" w:cs="Times New Roman"/>
          <w:sz w:val="20"/>
        </w:rPr>
        <w:t>: 1893 – 900.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Skinner EC, Bryan Goldman, </w:t>
      </w:r>
      <w:proofErr w:type="spellStart"/>
      <w:r>
        <w:rPr>
          <w:rFonts w:ascii="Times New Roman" w:eastAsia="Times New Roman" w:hAnsi="Times New Roman" w:cs="Times New Roman"/>
          <w:sz w:val="20"/>
        </w:rPr>
        <w:t>Wael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sz w:val="20"/>
        </w:rPr>
        <w:t>Sakr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Daniel P. </w:t>
      </w:r>
      <w:proofErr w:type="spellStart"/>
      <w:r>
        <w:rPr>
          <w:rFonts w:ascii="Times New Roman" w:eastAsia="Times New Roman" w:hAnsi="Times New Roman" w:cs="Times New Roman"/>
          <w:sz w:val="20"/>
        </w:rPr>
        <w:t>Petrylak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,: SWOG S0353: Phase II Trial of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Patients with </w:t>
      </w:r>
      <w:proofErr w:type="spellStart"/>
      <w:r>
        <w:rPr>
          <w:rFonts w:ascii="Times New Roman" w:eastAsia="Times New Roman" w:hAnsi="Times New Roman" w:cs="Times New Roman"/>
          <w:sz w:val="20"/>
        </w:rPr>
        <w:t>Nonmuscle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Invasive Bladder Cancer and Recurrence after 2 Prior Courses of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</w:t>
      </w:r>
      <w:r>
        <w:rPr>
          <w:rFonts w:ascii="Times New Roman" w:eastAsia="Times New Roman" w:hAnsi="Times New Roman" w:cs="Times New Roman"/>
          <w:sz w:val="20"/>
        </w:rPr>
        <w:t>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Bacillus </w:t>
      </w:r>
      <w:proofErr w:type="spellStart"/>
      <w:r>
        <w:rPr>
          <w:rFonts w:ascii="Times New Roman" w:eastAsia="Times New Roman" w:hAnsi="Times New Roman" w:cs="Times New Roman"/>
          <w:sz w:val="20"/>
        </w:rPr>
        <w:t>Calmette-Gu_erin</w:t>
      </w:r>
      <w:proofErr w:type="spellEnd"/>
      <w:r>
        <w:rPr>
          <w:rFonts w:ascii="Times New Roman" w:eastAsia="Times New Roman" w:hAnsi="Times New Roman" w:cs="Times New Roman"/>
          <w:sz w:val="20"/>
        </w:rPr>
        <w:t>. The journal of urology Vol. 190, 1200-1204, October 2013.</w:t>
      </w:r>
    </w:p>
    <w:p w:rsidR="00010F70" w:rsidRDefault="007E15F1" w:rsidP="003B746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Sternberg </w:t>
      </w:r>
      <w:proofErr w:type="spellStart"/>
      <w:r>
        <w:rPr>
          <w:rFonts w:ascii="Times New Roman" w:eastAsia="Times New Roman" w:hAnsi="Times New Roman" w:cs="Times New Roman"/>
          <w:sz w:val="20"/>
        </w:rPr>
        <w:t>Itay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A., Guido </w:t>
      </w:r>
      <w:proofErr w:type="spellStart"/>
      <w:r>
        <w:rPr>
          <w:rFonts w:ascii="Times New Roman" w:eastAsia="Times New Roman" w:hAnsi="Times New Roman" w:cs="Times New Roman"/>
          <w:sz w:val="20"/>
        </w:rPr>
        <w:t>Dalbagni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Ling Y. Chen, Sherri M. </w:t>
      </w:r>
      <w:proofErr w:type="spellStart"/>
      <w:r>
        <w:rPr>
          <w:rFonts w:ascii="Times New Roman" w:eastAsia="Times New Roman" w:hAnsi="Times New Roman" w:cs="Times New Roman"/>
          <w:sz w:val="20"/>
        </w:rPr>
        <w:t>Donat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Intravesical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Gemcitabine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for High Risk, </w:t>
      </w:r>
      <w:proofErr w:type="spellStart"/>
      <w:r>
        <w:rPr>
          <w:rFonts w:ascii="Times New Roman" w:eastAsia="Times New Roman" w:hAnsi="Times New Roman" w:cs="Times New Roman"/>
          <w:sz w:val="20"/>
        </w:rPr>
        <w:t>Nonmuscle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Invasive Bladder Cancer after Bacillus </w:t>
      </w:r>
      <w:proofErr w:type="spellStart"/>
      <w:r>
        <w:rPr>
          <w:rFonts w:ascii="Times New Roman" w:eastAsia="Times New Roman" w:hAnsi="Times New Roman" w:cs="Times New Roman"/>
          <w:sz w:val="20"/>
        </w:rPr>
        <w:t>Calmette-G</w:t>
      </w:r>
      <w:r>
        <w:rPr>
          <w:rFonts w:ascii="Times New Roman" w:eastAsia="Times New Roman" w:hAnsi="Times New Roman" w:cs="Times New Roman"/>
          <w:sz w:val="20"/>
        </w:rPr>
        <w:t>u_erin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Treatment Failure j.juro.2013.04.120 Vol. 190, 1686-1691, November 2013. </w:t>
      </w:r>
    </w:p>
    <w:p w:rsidR="003B7469" w:rsidRDefault="003B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  <w:sectPr w:rsidR="003B7469" w:rsidSect="003B7469">
          <w:type w:val="continuous"/>
          <w:pgSz w:w="12240" w:h="15840"/>
          <w:pgMar w:top="1440" w:right="1800" w:bottom="1440" w:left="1800" w:header="720" w:footer="720" w:gutter="0"/>
          <w:pgNumType w:start="23"/>
          <w:cols w:num="2" w:space="720"/>
          <w:docGrid w:linePitch="360"/>
        </w:sectPr>
      </w:pPr>
    </w:p>
    <w:p w:rsidR="00010F70" w:rsidRDefault="0001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10F70" w:rsidRDefault="0001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sectPr w:rsidR="00010F70" w:rsidSect="003B7469">
      <w:type w:val="continuous"/>
      <w:pgSz w:w="12240" w:h="15840"/>
      <w:pgMar w:top="1440" w:right="1800" w:bottom="1440" w:left="1800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F1" w:rsidRDefault="007E15F1" w:rsidP="003B7469">
      <w:pPr>
        <w:spacing w:after="0" w:line="240" w:lineRule="auto"/>
      </w:pPr>
      <w:r>
        <w:separator/>
      </w:r>
    </w:p>
  </w:endnote>
  <w:endnote w:type="continuationSeparator" w:id="0">
    <w:p w:rsidR="007E15F1" w:rsidRDefault="007E15F1" w:rsidP="003B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6801"/>
      <w:docPartObj>
        <w:docPartGallery w:val="Page Numbers (Bottom of Page)"/>
        <w:docPartUnique/>
      </w:docPartObj>
    </w:sdtPr>
    <w:sdtContent>
      <w:p w:rsidR="003B7469" w:rsidRDefault="003B7469">
        <w:pPr>
          <w:pStyle w:val="Footer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3B7469" w:rsidRDefault="003B7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F1" w:rsidRDefault="007E15F1" w:rsidP="003B7469">
      <w:pPr>
        <w:spacing w:after="0" w:line="240" w:lineRule="auto"/>
      </w:pPr>
      <w:r>
        <w:separator/>
      </w:r>
    </w:p>
  </w:footnote>
  <w:footnote w:type="continuationSeparator" w:id="0">
    <w:p w:rsidR="007E15F1" w:rsidRDefault="007E15F1" w:rsidP="003B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69" w:rsidRPr="00CB6AF5" w:rsidRDefault="003B7469" w:rsidP="003B746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Theme="majorBidi" w:hAnsiTheme="majorBidi" w:cstheme="majorBidi"/>
        <w:iCs/>
        <w:color w:val="0000FF"/>
        <w:sz w:val="20"/>
        <w:szCs w:val="20"/>
        <w:rtl/>
        <w:lang w:bidi="ar-EG"/>
      </w:rPr>
    </w:pPr>
    <w:r w:rsidRPr="00CB6AF5">
      <w:rPr>
        <w:rFonts w:asciiTheme="majorBidi" w:hAnsiTheme="majorBidi" w:cstheme="majorBidi"/>
        <w:iCs/>
        <w:color w:val="000000"/>
        <w:sz w:val="20"/>
        <w:szCs w:val="20"/>
      </w:rPr>
      <w:tab/>
      <w:t xml:space="preserve">Cancer Biology </w:t>
    </w:r>
    <w:r w:rsidRPr="00CB6AF5">
      <w:rPr>
        <w:rFonts w:asciiTheme="majorBidi" w:hAnsiTheme="majorBidi" w:cstheme="majorBidi"/>
        <w:iCs/>
        <w:sz w:val="20"/>
        <w:szCs w:val="20"/>
      </w:rPr>
      <w:t>2016</w:t>
    </w:r>
    <w:proofErr w:type="gramStart"/>
    <w:r w:rsidRPr="00CB6AF5">
      <w:rPr>
        <w:rFonts w:asciiTheme="majorBidi" w:hAnsiTheme="majorBidi" w:cstheme="majorBidi"/>
        <w:iCs/>
        <w:sz w:val="20"/>
        <w:szCs w:val="20"/>
      </w:rPr>
      <w:t>;6</w:t>
    </w:r>
    <w:proofErr w:type="gramEnd"/>
    <w:r w:rsidRPr="00CB6AF5">
      <w:rPr>
        <w:rFonts w:asciiTheme="majorBidi" w:hAnsiTheme="majorBidi" w:cstheme="majorBidi"/>
        <w:iCs/>
        <w:sz w:val="20"/>
        <w:szCs w:val="20"/>
      </w:rPr>
      <w:t xml:space="preserve">(1)     </w:t>
    </w:r>
    <w:r w:rsidRPr="00CB6AF5">
      <w:rPr>
        <w:rFonts w:asciiTheme="majorBidi" w:hAnsiTheme="majorBidi" w:cstheme="majorBidi"/>
        <w:iCs/>
        <w:sz w:val="20"/>
        <w:szCs w:val="20"/>
      </w:rPr>
      <w:tab/>
      <w:t xml:space="preserve">      </w:t>
    </w:r>
    <w:r w:rsidRPr="00CB6AF5">
      <w:rPr>
        <w:rFonts w:asciiTheme="majorBidi" w:hAnsiTheme="majorBidi" w:cstheme="majorBidi"/>
        <w:sz w:val="20"/>
        <w:szCs w:val="20"/>
      </w:rPr>
      <w:t xml:space="preserve">  </w:t>
    </w:r>
    <w:hyperlink r:id="rId1" w:history="1">
      <w:r w:rsidRPr="00CB6AF5">
        <w:rPr>
          <w:rStyle w:val="Hyperlink"/>
          <w:rFonts w:asciiTheme="majorBidi" w:hAnsiTheme="majorBidi" w:cstheme="majorBidi"/>
          <w:sz w:val="20"/>
          <w:szCs w:val="20"/>
        </w:rPr>
        <w:t>http://www.cancerbio.net</w:t>
      </w:r>
    </w:hyperlink>
  </w:p>
  <w:p w:rsidR="003B7469" w:rsidRDefault="003B7469">
    <w:pPr>
      <w:pStyle w:val="Header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00E50"/>
    <w:multiLevelType w:val="multilevel"/>
    <w:tmpl w:val="84D673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0F70"/>
    <w:rsid w:val="00010F70"/>
    <w:rsid w:val="003B7469"/>
    <w:rsid w:val="007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74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469"/>
  </w:style>
  <w:style w:type="paragraph" w:styleId="Footer">
    <w:name w:val="footer"/>
    <w:basedOn w:val="Normal"/>
    <w:link w:val="FooterChar"/>
    <w:uiPriority w:val="99"/>
    <w:unhideWhenUsed/>
    <w:rsid w:val="003B74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469"/>
  </w:style>
  <w:style w:type="character" w:styleId="Hyperlink">
    <w:name w:val="Hyperlink"/>
    <w:basedOn w:val="DefaultParagraphFont"/>
    <w:uiPriority w:val="99"/>
    <w:semiHidden/>
    <w:rsid w:val="003B74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/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medenbedo@hotmail.com" TargetMode="External"/><Relationship Id="rId12" Type="http://schemas.openxmlformats.org/officeDocument/2006/relationships/image" Target="media/image1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06011605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3074</Words>
  <Characters>17527</Characters>
  <Application>Microsoft Office Word</Application>
  <DocSecurity>0</DocSecurity>
  <Lines>146</Lines>
  <Paragraphs>41</Paragraphs>
  <ScaleCrop>false</ScaleCrop>
  <Company/>
  <LinksUpToDate>false</LinksUpToDate>
  <CharactersWithSpaces>20560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ww</cp:lastModifiedBy>
  <cp:revision>2</cp:revision>
  <dcterms:created xsi:type="dcterms:W3CDTF">2016-02-29T11:10:00Z</dcterms:created>
  <dcterms:modified xsi:type="dcterms:W3CDTF">2016-02-29T11:10:00Z</dcterms:modified>
</cp:coreProperties>
</file>