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C7" w:rsidRPr="00794173" w:rsidRDefault="003452C7" w:rsidP="00255289">
      <w:pPr>
        <w:spacing w:after="0" w:line="240" w:lineRule="auto"/>
        <w:jc w:val="center"/>
        <w:rPr>
          <w:rFonts w:ascii="Times New Roman" w:hAnsi="Times New Roman" w:cs="Times New Roman"/>
          <w:b/>
          <w:bCs/>
          <w:sz w:val="20"/>
          <w:szCs w:val="20"/>
        </w:rPr>
      </w:pPr>
      <w:proofErr w:type="spellStart"/>
      <w:r w:rsidRPr="00794173">
        <w:rPr>
          <w:rFonts w:ascii="Times New Roman" w:hAnsi="Times New Roman" w:cs="Times New Roman"/>
          <w:b/>
          <w:bCs/>
          <w:sz w:val="20"/>
          <w:szCs w:val="20"/>
        </w:rPr>
        <w:t>Gemcitabine</w:t>
      </w:r>
      <w:proofErr w:type="spellEnd"/>
      <w:r w:rsidRPr="00794173">
        <w:rPr>
          <w:rFonts w:ascii="Times New Roman" w:hAnsi="Times New Roman" w:cs="Times New Roman"/>
          <w:b/>
          <w:bCs/>
          <w:sz w:val="20"/>
          <w:szCs w:val="20"/>
        </w:rPr>
        <w:t xml:space="preserve"> versus </w:t>
      </w:r>
      <w:proofErr w:type="spellStart"/>
      <w:r w:rsidRPr="00794173">
        <w:rPr>
          <w:rFonts w:ascii="Times New Roman" w:hAnsi="Times New Roman" w:cs="Times New Roman"/>
          <w:b/>
          <w:bCs/>
          <w:sz w:val="20"/>
          <w:szCs w:val="20"/>
        </w:rPr>
        <w:t>cisplatin</w:t>
      </w:r>
      <w:proofErr w:type="spellEnd"/>
      <w:r w:rsidRPr="00794173">
        <w:rPr>
          <w:rFonts w:ascii="Times New Roman" w:hAnsi="Times New Roman" w:cs="Times New Roman"/>
          <w:b/>
          <w:bCs/>
          <w:sz w:val="20"/>
          <w:szCs w:val="20"/>
        </w:rPr>
        <w:t xml:space="preserve"> in concurrent </w:t>
      </w:r>
      <w:r w:rsidR="003050D9" w:rsidRPr="00794173">
        <w:rPr>
          <w:rFonts w:ascii="Times New Roman" w:hAnsi="Times New Roman" w:cs="Times New Roman"/>
          <w:b/>
          <w:bCs/>
          <w:sz w:val="20"/>
          <w:szCs w:val="20"/>
        </w:rPr>
        <w:t>radio chemotherapy</w:t>
      </w:r>
      <w:r w:rsidRPr="00794173">
        <w:rPr>
          <w:rFonts w:ascii="Times New Roman" w:hAnsi="Times New Roman" w:cs="Times New Roman"/>
          <w:b/>
          <w:bCs/>
          <w:sz w:val="20"/>
          <w:szCs w:val="20"/>
        </w:rPr>
        <w:t xml:space="preserve"> for bladder preservation</w:t>
      </w:r>
    </w:p>
    <w:p w:rsidR="007E6164" w:rsidRPr="00794173" w:rsidRDefault="007E6164" w:rsidP="00255289">
      <w:pPr>
        <w:spacing w:after="0" w:line="240" w:lineRule="auto"/>
        <w:jc w:val="center"/>
        <w:rPr>
          <w:rFonts w:ascii="Times New Roman" w:hAnsi="Times New Roman" w:cs="Times New Roman"/>
          <w:b/>
          <w:bCs/>
          <w:sz w:val="20"/>
          <w:szCs w:val="20"/>
        </w:rPr>
      </w:pPr>
    </w:p>
    <w:p w:rsidR="003452C7" w:rsidRPr="00794173" w:rsidRDefault="00A4202B" w:rsidP="00255289">
      <w:pPr>
        <w:spacing w:after="0" w:line="240" w:lineRule="auto"/>
        <w:jc w:val="center"/>
        <w:rPr>
          <w:rFonts w:ascii="Times New Roman" w:hAnsi="Times New Roman" w:cs="Times New Roman"/>
          <w:sz w:val="20"/>
          <w:szCs w:val="20"/>
        </w:rPr>
      </w:pPr>
      <w:proofErr w:type="spellStart"/>
      <w:r w:rsidRPr="00794173">
        <w:rPr>
          <w:rFonts w:ascii="Times New Roman" w:hAnsi="Times New Roman" w:cs="Times New Roman"/>
          <w:sz w:val="20"/>
          <w:szCs w:val="20"/>
        </w:rPr>
        <w:t>Mahmoud</w:t>
      </w:r>
      <w:proofErr w:type="spellEnd"/>
      <w:r w:rsidRPr="00794173">
        <w:rPr>
          <w:rFonts w:ascii="Times New Roman" w:hAnsi="Times New Roman" w:cs="Times New Roman"/>
          <w:sz w:val="20"/>
          <w:szCs w:val="20"/>
        </w:rPr>
        <w:t xml:space="preserve"> Hussin</w:t>
      </w:r>
      <w:r w:rsidRPr="00794173">
        <w:rPr>
          <w:rFonts w:ascii="Times New Roman" w:hAnsi="Times New Roman" w:cs="Times New Roman"/>
          <w:sz w:val="20"/>
          <w:szCs w:val="20"/>
          <w:vertAlign w:val="superscript"/>
        </w:rPr>
        <w:t>1</w:t>
      </w:r>
      <w:r w:rsidRPr="00794173">
        <w:rPr>
          <w:rFonts w:ascii="Times New Roman" w:hAnsi="Times New Roman" w:cs="Times New Roman"/>
          <w:sz w:val="20"/>
          <w:szCs w:val="20"/>
        </w:rPr>
        <w:t xml:space="preserve">, </w:t>
      </w:r>
      <w:proofErr w:type="spellStart"/>
      <w:r w:rsidR="003050D9" w:rsidRPr="00794173">
        <w:rPr>
          <w:rFonts w:ascii="Times New Roman" w:hAnsi="Times New Roman" w:cs="Times New Roman"/>
          <w:sz w:val="20"/>
          <w:szCs w:val="20"/>
        </w:rPr>
        <w:t>Ham</w:t>
      </w:r>
      <w:r w:rsidR="00815B70" w:rsidRPr="00794173">
        <w:rPr>
          <w:rFonts w:ascii="Times New Roman" w:hAnsi="Times New Roman" w:cs="Times New Roman"/>
          <w:sz w:val="20"/>
          <w:szCs w:val="20"/>
        </w:rPr>
        <w:t>za</w:t>
      </w:r>
      <w:proofErr w:type="spellEnd"/>
      <w:r w:rsidR="003452C7" w:rsidRPr="00794173">
        <w:rPr>
          <w:rFonts w:ascii="Times New Roman" w:hAnsi="Times New Roman" w:cs="Times New Roman"/>
          <w:sz w:val="20"/>
          <w:szCs w:val="20"/>
        </w:rPr>
        <w:t xml:space="preserve"> Abbas</w:t>
      </w:r>
      <w:r w:rsidRPr="00794173">
        <w:rPr>
          <w:rFonts w:ascii="Times New Roman" w:hAnsi="Times New Roman" w:cs="Times New Roman"/>
          <w:sz w:val="20"/>
          <w:szCs w:val="20"/>
          <w:vertAlign w:val="superscript"/>
        </w:rPr>
        <w:t>2</w:t>
      </w:r>
      <w:r w:rsidR="003452C7" w:rsidRPr="00794173">
        <w:rPr>
          <w:rFonts w:ascii="Times New Roman" w:hAnsi="Times New Roman" w:cs="Times New Roman"/>
          <w:sz w:val="20"/>
          <w:szCs w:val="20"/>
        </w:rPr>
        <w:t xml:space="preserve">, </w:t>
      </w:r>
      <w:proofErr w:type="spellStart"/>
      <w:r w:rsidR="003452C7" w:rsidRPr="00794173">
        <w:rPr>
          <w:rFonts w:ascii="Times New Roman" w:hAnsi="Times New Roman" w:cs="Times New Roman"/>
          <w:sz w:val="20"/>
          <w:szCs w:val="20"/>
        </w:rPr>
        <w:t>Shimaa</w:t>
      </w:r>
      <w:proofErr w:type="spellEnd"/>
      <w:r w:rsidR="003452C7" w:rsidRPr="00794173">
        <w:rPr>
          <w:rFonts w:ascii="Times New Roman" w:hAnsi="Times New Roman" w:cs="Times New Roman"/>
          <w:sz w:val="20"/>
          <w:szCs w:val="20"/>
        </w:rPr>
        <w:t xml:space="preserve"> Ahmed</w:t>
      </w:r>
      <w:r w:rsidRPr="00794173">
        <w:rPr>
          <w:rFonts w:ascii="Times New Roman" w:hAnsi="Times New Roman" w:cs="Times New Roman"/>
          <w:sz w:val="20"/>
          <w:szCs w:val="20"/>
          <w:vertAlign w:val="superscript"/>
        </w:rPr>
        <w:t>2</w:t>
      </w:r>
      <w:r w:rsidRPr="00794173">
        <w:rPr>
          <w:rFonts w:ascii="Times New Roman" w:hAnsi="Times New Roman" w:cs="Times New Roman"/>
          <w:sz w:val="20"/>
          <w:szCs w:val="20"/>
        </w:rPr>
        <w:t xml:space="preserve"> and</w:t>
      </w:r>
      <w:r w:rsidR="003452C7" w:rsidRPr="00794173">
        <w:rPr>
          <w:rFonts w:ascii="Times New Roman" w:hAnsi="Times New Roman" w:cs="Times New Roman"/>
          <w:sz w:val="20"/>
          <w:szCs w:val="20"/>
        </w:rPr>
        <w:t xml:space="preserve"> Mohamed </w:t>
      </w:r>
      <w:proofErr w:type="spellStart"/>
      <w:r w:rsidR="003452C7" w:rsidRPr="00794173">
        <w:rPr>
          <w:rFonts w:ascii="Times New Roman" w:hAnsi="Times New Roman" w:cs="Times New Roman"/>
          <w:sz w:val="20"/>
          <w:szCs w:val="20"/>
        </w:rPr>
        <w:t>Abou</w:t>
      </w:r>
      <w:proofErr w:type="spellEnd"/>
      <w:r w:rsidR="003452C7" w:rsidRPr="00794173">
        <w:rPr>
          <w:rFonts w:ascii="Times New Roman" w:hAnsi="Times New Roman" w:cs="Times New Roman"/>
          <w:sz w:val="20"/>
          <w:szCs w:val="20"/>
        </w:rPr>
        <w:t xml:space="preserve"> </w:t>
      </w:r>
      <w:proofErr w:type="spellStart"/>
      <w:r w:rsidR="003452C7" w:rsidRPr="00794173">
        <w:rPr>
          <w:rFonts w:ascii="Times New Roman" w:hAnsi="Times New Roman" w:cs="Times New Roman"/>
          <w:sz w:val="20"/>
          <w:szCs w:val="20"/>
        </w:rPr>
        <w:t>Elmagd</w:t>
      </w:r>
      <w:proofErr w:type="spellEnd"/>
      <w:r w:rsidR="003452C7" w:rsidRPr="00794173">
        <w:rPr>
          <w:rFonts w:ascii="Times New Roman" w:hAnsi="Times New Roman" w:cs="Times New Roman"/>
          <w:sz w:val="20"/>
          <w:szCs w:val="20"/>
        </w:rPr>
        <w:t xml:space="preserve"> Salem</w:t>
      </w:r>
      <w:r w:rsidRPr="00794173">
        <w:rPr>
          <w:rFonts w:ascii="Times New Roman" w:hAnsi="Times New Roman" w:cs="Times New Roman"/>
          <w:sz w:val="20"/>
          <w:szCs w:val="20"/>
          <w:vertAlign w:val="superscript"/>
        </w:rPr>
        <w:t>1</w:t>
      </w:r>
      <w:r w:rsidR="00747ABF" w:rsidRPr="00794173">
        <w:rPr>
          <w:rFonts w:ascii="Times New Roman" w:hAnsi="Times New Roman" w:cs="Times New Roman"/>
          <w:sz w:val="20"/>
          <w:szCs w:val="20"/>
        </w:rPr>
        <w:t xml:space="preserve"> </w:t>
      </w:r>
      <w:r w:rsidR="003452C7" w:rsidRPr="00794173">
        <w:rPr>
          <w:rFonts w:ascii="Times New Roman" w:hAnsi="Times New Roman" w:cs="Times New Roman"/>
          <w:sz w:val="20"/>
          <w:szCs w:val="20"/>
        </w:rPr>
        <w:t xml:space="preserve"> </w:t>
      </w:r>
    </w:p>
    <w:p w:rsidR="007E6164" w:rsidRPr="00794173" w:rsidRDefault="007E6164" w:rsidP="00255289">
      <w:pPr>
        <w:spacing w:after="0" w:line="240" w:lineRule="auto"/>
        <w:jc w:val="center"/>
        <w:rPr>
          <w:rFonts w:ascii="Times New Roman" w:hAnsi="Times New Roman" w:cs="Times New Roman"/>
          <w:sz w:val="20"/>
          <w:szCs w:val="20"/>
        </w:rPr>
      </w:pPr>
    </w:p>
    <w:p w:rsidR="00AA549C" w:rsidRPr="00794173" w:rsidRDefault="00815B70" w:rsidP="00255289">
      <w:pPr>
        <w:spacing w:after="0" w:line="240" w:lineRule="auto"/>
        <w:jc w:val="center"/>
        <w:rPr>
          <w:rFonts w:ascii="Times New Roman" w:hAnsi="Times New Roman" w:cs="Times New Roman"/>
          <w:sz w:val="20"/>
          <w:szCs w:val="20"/>
        </w:rPr>
      </w:pPr>
      <w:r w:rsidRPr="00794173">
        <w:rPr>
          <w:rFonts w:ascii="Times New Roman" w:hAnsi="Times New Roman" w:cs="Times New Roman"/>
          <w:sz w:val="20"/>
          <w:szCs w:val="20"/>
          <w:vertAlign w:val="superscript"/>
        </w:rPr>
        <w:t>1</w:t>
      </w:r>
      <w:r w:rsidR="003452C7" w:rsidRPr="00794173">
        <w:rPr>
          <w:rFonts w:ascii="Times New Roman" w:hAnsi="Times New Roman" w:cs="Times New Roman"/>
          <w:sz w:val="20"/>
          <w:szCs w:val="20"/>
        </w:rPr>
        <w:t xml:space="preserve">Department of Surgical Oncology, South Egypt Cancer Institute, </w:t>
      </w:r>
      <w:proofErr w:type="spellStart"/>
      <w:r w:rsidR="003452C7" w:rsidRPr="00794173">
        <w:rPr>
          <w:rFonts w:ascii="Times New Roman" w:hAnsi="Times New Roman" w:cs="Times New Roman"/>
          <w:sz w:val="20"/>
          <w:szCs w:val="20"/>
        </w:rPr>
        <w:t>Assiut</w:t>
      </w:r>
      <w:proofErr w:type="spellEnd"/>
      <w:r w:rsidR="003452C7" w:rsidRPr="00794173">
        <w:rPr>
          <w:rFonts w:ascii="Times New Roman" w:hAnsi="Times New Roman" w:cs="Times New Roman"/>
          <w:sz w:val="20"/>
          <w:szCs w:val="20"/>
        </w:rPr>
        <w:t xml:space="preserve"> University, </w:t>
      </w:r>
      <w:proofErr w:type="spellStart"/>
      <w:r w:rsidR="003452C7" w:rsidRPr="00794173">
        <w:rPr>
          <w:rFonts w:ascii="Times New Roman" w:hAnsi="Times New Roman" w:cs="Times New Roman"/>
          <w:sz w:val="20"/>
          <w:szCs w:val="20"/>
        </w:rPr>
        <w:t>Assiut</w:t>
      </w:r>
      <w:proofErr w:type="spellEnd"/>
      <w:r w:rsidR="003452C7" w:rsidRPr="00794173">
        <w:rPr>
          <w:rFonts w:ascii="Times New Roman" w:hAnsi="Times New Roman" w:cs="Times New Roman"/>
          <w:sz w:val="20"/>
          <w:szCs w:val="20"/>
        </w:rPr>
        <w:t>, Egypt</w:t>
      </w:r>
    </w:p>
    <w:p w:rsidR="00815B70" w:rsidRPr="00794173" w:rsidRDefault="00815B70" w:rsidP="00255289">
      <w:pPr>
        <w:spacing w:after="0" w:line="240" w:lineRule="auto"/>
        <w:jc w:val="center"/>
        <w:rPr>
          <w:rFonts w:ascii="Times New Roman" w:hAnsi="Times New Roman" w:cs="Times New Roman"/>
          <w:sz w:val="20"/>
          <w:szCs w:val="20"/>
        </w:rPr>
      </w:pPr>
      <w:r w:rsidRPr="00794173">
        <w:rPr>
          <w:rFonts w:ascii="Times New Roman" w:hAnsi="Times New Roman" w:cs="Times New Roman"/>
          <w:sz w:val="20"/>
          <w:szCs w:val="20"/>
          <w:vertAlign w:val="superscript"/>
        </w:rPr>
        <w:t>2</w:t>
      </w:r>
      <w:r w:rsidRPr="00794173">
        <w:rPr>
          <w:rFonts w:ascii="Times New Roman" w:hAnsi="Times New Roman" w:cs="Times New Roman"/>
          <w:sz w:val="20"/>
          <w:szCs w:val="20"/>
        </w:rPr>
        <w:t xml:space="preserve">Department of Radiation Oncology, South Egypt Cancer Institute, </w:t>
      </w:r>
      <w:proofErr w:type="spellStart"/>
      <w:r w:rsidRPr="00794173">
        <w:rPr>
          <w:rFonts w:ascii="Times New Roman" w:hAnsi="Times New Roman" w:cs="Times New Roman"/>
          <w:sz w:val="20"/>
          <w:szCs w:val="20"/>
        </w:rPr>
        <w:t>Assiut</w:t>
      </w:r>
      <w:proofErr w:type="spellEnd"/>
      <w:r w:rsidRPr="00794173">
        <w:rPr>
          <w:rFonts w:ascii="Times New Roman" w:hAnsi="Times New Roman" w:cs="Times New Roman"/>
          <w:sz w:val="20"/>
          <w:szCs w:val="20"/>
        </w:rPr>
        <w:t xml:space="preserve"> University, </w:t>
      </w:r>
      <w:proofErr w:type="spellStart"/>
      <w:r w:rsidRPr="00794173">
        <w:rPr>
          <w:rFonts w:ascii="Times New Roman" w:hAnsi="Times New Roman" w:cs="Times New Roman"/>
          <w:sz w:val="20"/>
          <w:szCs w:val="20"/>
        </w:rPr>
        <w:t>Assiut</w:t>
      </w:r>
      <w:proofErr w:type="spellEnd"/>
      <w:r w:rsidRPr="00794173">
        <w:rPr>
          <w:rFonts w:ascii="Times New Roman" w:hAnsi="Times New Roman" w:cs="Times New Roman"/>
          <w:sz w:val="20"/>
          <w:szCs w:val="20"/>
        </w:rPr>
        <w:t>, Egypt</w:t>
      </w:r>
    </w:p>
    <w:p w:rsidR="00FA2E9A" w:rsidRPr="00794173" w:rsidRDefault="00B702FE" w:rsidP="00255289">
      <w:pPr>
        <w:spacing w:after="0" w:line="240" w:lineRule="auto"/>
        <w:jc w:val="center"/>
        <w:rPr>
          <w:rFonts w:asciiTheme="majorBidi" w:hAnsiTheme="majorBidi" w:cstheme="majorBidi"/>
          <w:color w:val="0000CC"/>
          <w:sz w:val="20"/>
          <w:szCs w:val="20"/>
          <w:shd w:val="clear" w:color="auto" w:fill="FFFFFF"/>
        </w:rPr>
      </w:pPr>
      <w:hyperlink r:id="rId8" w:history="1">
        <w:r w:rsidR="006F5978" w:rsidRPr="00794173">
          <w:rPr>
            <w:rStyle w:val="Hyperlink"/>
            <w:rFonts w:asciiTheme="majorBidi" w:hAnsiTheme="majorBidi" w:cstheme="majorBidi"/>
            <w:sz w:val="20"/>
            <w:szCs w:val="20"/>
            <w:shd w:val="clear" w:color="auto" w:fill="FFFFFF"/>
          </w:rPr>
          <w:t>elshoieby@live.co.uk</w:t>
        </w:r>
      </w:hyperlink>
    </w:p>
    <w:p w:rsidR="006F5978" w:rsidRPr="00794173" w:rsidRDefault="006F5978" w:rsidP="00255289">
      <w:pPr>
        <w:spacing w:after="0" w:line="240" w:lineRule="auto"/>
        <w:jc w:val="center"/>
        <w:rPr>
          <w:rFonts w:asciiTheme="majorBidi" w:hAnsiTheme="majorBidi" w:cstheme="majorBidi"/>
          <w:b/>
          <w:bCs/>
          <w:color w:val="0000CC"/>
          <w:sz w:val="20"/>
          <w:szCs w:val="20"/>
        </w:rPr>
      </w:pPr>
    </w:p>
    <w:p w:rsidR="00B73977" w:rsidRPr="00794173" w:rsidRDefault="00747ABF" w:rsidP="00255289">
      <w:pPr>
        <w:spacing w:after="0" w:line="240" w:lineRule="auto"/>
        <w:jc w:val="both"/>
        <w:rPr>
          <w:rFonts w:ascii="Times New Roman" w:hAnsi="Times New Roman" w:cs="Times New Roman"/>
          <w:sz w:val="20"/>
          <w:szCs w:val="20"/>
        </w:rPr>
      </w:pPr>
      <w:r w:rsidRPr="00794173">
        <w:rPr>
          <w:rFonts w:ascii="Times New Roman" w:hAnsi="Times New Roman" w:cs="Times New Roman"/>
          <w:b/>
          <w:bCs/>
          <w:sz w:val="20"/>
          <w:szCs w:val="20"/>
        </w:rPr>
        <w:t>Abstract</w:t>
      </w:r>
      <w:r w:rsidR="003050D9" w:rsidRPr="00794173">
        <w:rPr>
          <w:rFonts w:ascii="Times New Roman" w:hAnsi="Times New Roman" w:cs="Times New Roman"/>
          <w:b/>
          <w:bCs/>
          <w:sz w:val="20"/>
          <w:szCs w:val="20"/>
        </w:rPr>
        <w:t xml:space="preserve">: </w:t>
      </w:r>
      <w:r w:rsidR="00B73977" w:rsidRPr="00794173">
        <w:rPr>
          <w:rFonts w:ascii="Times New Roman" w:hAnsi="Times New Roman" w:cs="Times New Roman"/>
          <w:b/>
          <w:bCs/>
          <w:sz w:val="20"/>
          <w:szCs w:val="20"/>
        </w:rPr>
        <w:t>Purpose:</w:t>
      </w:r>
      <w:r w:rsidR="00F7533E" w:rsidRPr="00794173">
        <w:rPr>
          <w:rFonts w:ascii="Times New Roman" w:hAnsi="Times New Roman" w:cs="Times New Roman"/>
          <w:sz w:val="20"/>
          <w:szCs w:val="20"/>
        </w:rPr>
        <w:t xml:space="preserve"> The aim of </w:t>
      </w:r>
      <w:r w:rsidR="003050D9" w:rsidRPr="00794173">
        <w:rPr>
          <w:rFonts w:ascii="Times New Roman" w:hAnsi="Times New Roman" w:cs="Times New Roman"/>
          <w:sz w:val="20"/>
          <w:szCs w:val="20"/>
        </w:rPr>
        <w:t>this prospective</w:t>
      </w:r>
      <w:r w:rsidR="00B73977" w:rsidRPr="00794173">
        <w:rPr>
          <w:rFonts w:ascii="Times New Roman" w:hAnsi="Times New Roman" w:cs="Times New Roman"/>
          <w:sz w:val="20"/>
          <w:szCs w:val="20"/>
        </w:rPr>
        <w:t xml:space="preserve"> study </w:t>
      </w:r>
      <w:r w:rsidR="00F7533E" w:rsidRPr="00794173">
        <w:rPr>
          <w:rFonts w:ascii="Times New Roman" w:hAnsi="Times New Roman" w:cs="Times New Roman"/>
          <w:sz w:val="20"/>
          <w:szCs w:val="20"/>
        </w:rPr>
        <w:t xml:space="preserve">was to </w:t>
      </w:r>
      <w:r w:rsidR="00B73977" w:rsidRPr="00794173">
        <w:rPr>
          <w:rFonts w:ascii="Times New Roman" w:hAnsi="Times New Roman" w:cs="Times New Roman"/>
          <w:sz w:val="20"/>
          <w:szCs w:val="20"/>
        </w:rPr>
        <w:t>compare the efficacy</w:t>
      </w:r>
      <w:r w:rsidR="00061E6A" w:rsidRPr="00794173">
        <w:rPr>
          <w:rFonts w:ascii="Times New Roman" w:hAnsi="Times New Roman" w:cs="Times New Roman"/>
          <w:sz w:val="20"/>
          <w:szCs w:val="20"/>
        </w:rPr>
        <w:t xml:space="preserve"> and toxicities of </w:t>
      </w:r>
      <w:proofErr w:type="spellStart"/>
      <w:r w:rsidR="00061E6A" w:rsidRPr="00794173">
        <w:rPr>
          <w:rFonts w:ascii="Times New Roman" w:hAnsi="Times New Roman" w:cs="Times New Roman"/>
          <w:sz w:val="20"/>
          <w:szCs w:val="20"/>
        </w:rPr>
        <w:t>gemcitabine</w:t>
      </w:r>
      <w:proofErr w:type="spellEnd"/>
      <w:r w:rsidR="00061E6A" w:rsidRPr="00794173">
        <w:rPr>
          <w:rFonts w:ascii="Times New Roman" w:hAnsi="Times New Roman" w:cs="Times New Roman"/>
          <w:sz w:val="20"/>
          <w:szCs w:val="20"/>
        </w:rPr>
        <w:t xml:space="preserve"> </w:t>
      </w:r>
      <w:r w:rsidR="00B73977" w:rsidRPr="00794173">
        <w:rPr>
          <w:rFonts w:ascii="Times New Roman" w:hAnsi="Times New Roman" w:cs="Times New Roman"/>
          <w:sz w:val="20"/>
          <w:szCs w:val="20"/>
        </w:rPr>
        <w:t xml:space="preserve">to </w:t>
      </w:r>
      <w:proofErr w:type="spellStart"/>
      <w:r w:rsidR="00B73977" w:rsidRPr="00794173">
        <w:rPr>
          <w:rFonts w:ascii="Times New Roman" w:hAnsi="Times New Roman" w:cs="Times New Roman"/>
          <w:sz w:val="20"/>
          <w:szCs w:val="20"/>
        </w:rPr>
        <w:t>cisplatin</w:t>
      </w:r>
      <w:proofErr w:type="spellEnd"/>
      <w:r w:rsidR="00B73977" w:rsidRPr="00794173">
        <w:rPr>
          <w:rFonts w:ascii="Times New Roman" w:hAnsi="Times New Roman" w:cs="Times New Roman"/>
          <w:sz w:val="20"/>
          <w:szCs w:val="20"/>
        </w:rPr>
        <w:t xml:space="preserve"> as a </w:t>
      </w:r>
      <w:r w:rsidR="003050D9" w:rsidRPr="00794173">
        <w:rPr>
          <w:rFonts w:ascii="Times New Roman" w:hAnsi="Times New Roman" w:cs="Times New Roman"/>
          <w:sz w:val="20"/>
          <w:szCs w:val="20"/>
        </w:rPr>
        <w:t>radio sensitizer</w:t>
      </w:r>
      <w:r w:rsidR="00B73977" w:rsidRPr="00794173">
        <w:rPr>
          <w:rFonts w:ascii="Times New Roman" w:hAnsi="Times New Roman" w:cs="Times New Roman"/>
          <w:sz w:val="20"/>
          <w:szCs w:val="20"/>
        </w:rPr>
        <w:t xml:space="preserve"> in </w:t>
      </w:r>
      <w:proofErr w:type="spellStart"/>
      <w:r w:rsidR="00B73977" w:rsidRPr="00794173">
        <w:rPr>
          <w:rFonts w:ascii="Times New Roman" w:hAnsi="Times New Roman" w:cs="Times New Roman"/>
          <w:sz w:val="20"/>
          <w:szCs w:val="20"/>
        </w:rPr>
        <w:t>trimodality</w:t>
      </w:r>
      <w:proofErr w:type="spellEnd"/>
      <w:r w:rsidR="00B73977" w:rsidRPr="00794173">
        <w:rPr>
          <w:rFonts w:ascii="Times New Roman" w:hAnsi="Times New Roman" w:cs="Times New Roman"/>
          <w:sz w:val="20"/>
          <w:szCs w:val="20"/>
        </w:rPr>
        <w:t xml:space="preserve"> treatment of bladder transitional cell carcinoma.</w:t>
      </w:r>
      <w:r w:rsidR="006F5978" w:rsidRPr="00794173">
        <w:rPr>
          <w:rFonts w:ascii="Times New Roman" w:hAnsi="Times New Roman" w:cs="Times New Roman"/>
          <w:sz w:val="20"/>
          <w:szCs w:val="20"/>
        </w:rPr>
        <w:t xml:space="preserve"> </w:t>
      </w:r>
      <w:proofErr w:type="gramStart"/>
      <w:r w:rsidR="003050D9" w:rsidRPr="00794173">
        <w:rPr>
          <w:rFonts w:ascii="Times New Roman" w:hAnsi="Times New Roman" w:cs="Times New Roman"/>
          <w:b/>
          <w:bCs/>
          <w:sz w:val="20"/>
          <w:szCs w:val="20"/>
        </w:rPr>
        <w:t>Methods:</w:t>
      </w:r>
      <w:r w:rsidR="003050D9" w:rsidRPr="00794173">
        <w:rPr>
          <w:rFonts w:ascii="Times New Roman" w:hAnsi="Times New Roman" w:cs="Times New Roman"/>
          <w:sz w:val="20"/>
          <w:szCs w:val="20"/>
        </w:rPr>
        <w:t xml:space="preserve"> It</w:t>
      </w:r>
      <w:r w:rsidR="00F7533E" w:rsidRPr="00794173">
        <w:rPr>
          <w:rFonts w:ascii="Times New Roman" w:hAnsi="Times New Roman" w:cs="Times New Roman"/>
          <w:sz w:val="20"/>
          <w:szCs w:val="20"/>
        </w:rPr>
        <w:t xml:space="preserve"> was a prospective </w:t>
      </w:r>
      <w:r w:rsidR="003050D9" w:rsidRPr="00794173">
        <w:rPr>
          <w:rFonts w:ascii="Times New Roman" w:hAnsi="Times New Roman" w:cs="Times New Roman"/>
          <w:sz w:val="20"/>
          <w:szCs w:val="20"/>
        </w:rPr>
        <w:t>study on</w:t>
      </w:r>
      <w:r w:rsidR="00F7533E" w:rsidRPr="00794173">
        <w:rPr>
          <w:rFonts w:ascii="Times New Roman" w:hAnsi="Times New Roman" w:cs="Times New Roman"/>
          <w:sz w:val="20"/>
          <w:szCs w:val="20"/>
        </w:rPr>
        <w:t xml:space="preserve"> 100 </w:t>
      </w:r>
      <w:r w:rsidR="00B73977" w:rsidRPr="00794173">
        <w:rPr>
          <w:rFonts w:ascii="Times New Roman" w:hAnsi="Times New Roman" w:cs="Times New Roman"/>
          <w:sz w:val="20"/>
          <w:szCs w:val="20"/>
        </w:rPr>
        <w:t xml:space="preserve">patients with bladder TCC, clinical stage T2 or T3 N0 M0 </w:t>
      </w:r>
      <w:r w:rsidR="00F7533E" w:rsidRPr="00794173">
        <w:rPr>
          <w:rFonts w:ascii="Times New Roman" w:hAnsi="Times New Roman" w:cs="Times New Roman"/>
          <w:sz w:val="20"/>
          <w:szCs w:val="20"/>
        </w:rPr>
        <w:t xml:space="preserve">who </w:t>
      </w:r>
      <w:r w:rsidR="00B73977" w:rsidRPr="00794173">
        <w:rPr>
          <w:rFonts w:ascii="Times New Roman" w:hAnsi="Times New Roman" w:cs="Times New Roman"/>
          <w:sz w:val="20"/>
          <w:szCs w:val="20"/>
        </w:rPr>
        <w:t>underwent</w:t>
      </w:r>
      <w:r w:rsidR="00061E6A" w:rsidRPr="00794173">
        <w:rPr>
          <w:rFonts w:ascii="Times New Roman" w:hAnsi="Times New Roman" w:cs="Times New Roman"/>
          <w:sz w:val="20"/>
          <w:szCs w:val="20"/>
        </w:rPr>
        <w:t xml:space="preserve"> concurrent </w:t>
      </w:r>
      <w:r w:rsidR="00D01371" w:rsidRPr="00794173">
        <w:rPr>
          <w:rFonts w:ascii="Times New Roman" w:hAnsi="Times New Roman" w:cs="Times New Roman"/>
          <w:sz w:val="20"/>
          <w:szCs w:val="20"/>
        </w:rPr>
        <w:t>radio chemotherapy</w:t>
      </w:r>
      <w:r w:rsidR="00061E6A" w:rsidRPr="00794173">
        <w:rPr>
          <w:rFonts w:ascii="Times New Roman" w:hAnsi="Times New Roman" w:cs="Times New Roman"/>
          <w:sz w:val="20"/>
          <w:szCs w:val="20"/>
        </w:rPr>
        <w:t xml:space="preserve"> after</w:t>
      </w:r>
      <w:r w:rsidR="00B73977" w:rsidRPr="00794173">
        <w:rPr>
          <w:rFonts w:ascii="Times New Roman" w:hAnsi="Times New Roman" w:cs="Times New Roman"/>
          <w:sz w:val="20"/>
          <w:szCs w:val="20"/>
        </w:rPr>
        <w:t xml:space="preserve"> maximum safe trans-urethral resection.</w:t>
      </w:r>
      <w:proofErr w:type="gramEnd"/>
      <w:r w:rsidR="00B73977" w:rsidRPr="00794173">
        <w:rPr>
          <w:rFonts w:ascii="Times New Roman" w:hAnsi="Times New Roman" w:cs="Times New Roman"/>
          <w:sz w:val="20"/>
          <w:szCs w:val="20"/>
        </w:rPr>
        <w:t xml:space="preserve"> Patients </w:t>
      </w:r>
      <w:r w:rsidR="00F7533E" w:rsidRPr="00794173">
        <w:rPr>
          <w:rFonts w:ascii="Times New Roman" w:hAnsi="Times New Roman" w:cs="Times New Roman"/>
          <w:sz w:val="20"/>
          <w:szCs w:val="20"/>
        </w:rPr>
        <w:t xml:space="preserve">were </w:t>
      </w:r>
      <w:r w:rsidR="00B73977" w:rsidRPr="00794173">
        <w:rPr>
          <w:rFonts w:ascii="Times New Roman" w:hAnsi="Times New Roman" w:cs="Times New Roman"/>
          <w:sz w:val="20"/>
          <w:szCs w:val="20"/>
        </w:rPr>
        <w:t>divided into 2 groups</w:t>
      </w:r>
      <w:r w:rsidR="00F7533E"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proofErr w:type="spellStart"/>
      <w:r w:rsidR="00157D65" w:rsidRPr="00794173">
        <w:rPr>
          <w:rFonts w:ascii="Times New Roman" w:hAnsi="Times New Roman" w:cs="Times New Roman"/>
          <w:sz w:val="20"/>
          <w:szCs w:val="20"/>
        </w:rPr>
        <w:t>g</w:t>
      </w:r>
      <w:r w:rsidR="00061E6A" w:rsidRPr="00794173">
        <w:rPr>
          <w:rFonts w:ascii="Times New Roman" w:hAnsi="Times New Roman" w:cs="Times New Roman"/>
          <w:sz w:val="20"/>
          <w:szCs w:val="20"/>
        </w:rPr>
        <w:t>emcitabine</w:t>
      </w:r>
      <w:proofErr w:type="spellEnd"/>
      <w:r w:rsidR="00061E6A" w:rsidRPr="00794173">
        <w:rPr>
          <w:rFonts w:ascii="Times New Roman" w:hAnsi="Times New Roman" w:cs="Times New Roman"/>
          <w:sz w:val="20"/>
          <w:szCs w:val="20"/>
        </w:rPr>
        <w:t xml:space="preserve"> </w:t>
      </w:r>
      <w:proofErr w:type="gramStart"/>
      <w:r w:rsidR="003050D9" w:rsidRPr="00794173">
        <w:rPr>
          <w:rFonts w:ascii="Times New Roman" w:hAnsi="Times New Roman" w:cs="Times New Roman"/>
          <w:sz w:val="20"/>
          <w:szCs w:val="20"/>
        </w:rPr>
        <w:t>group,</w:t>
      </w:r>
      <w:proofErr w:type="gramEnd"/>
      <w:r w:rsidR="003050D9" w:rsidRPr="00794173">
        <w:rPr>
          <w:rFonts w:ascii="Times New Roman" w:hAnsi="Times New Roman" w:cs="Times New Roman"/>
          <w:sz w:val="20"/>
          <w:szCs w:val="20"/>
        </w:rPr>
        <w:t xml:space="preserve"> received</w:t>
      </w:r>
      <w:r w:rsidR="00B73977" w:rsidRPr="00794173">
        <w:rPr>
          <w:rFonts w:ascii="Times New Roman" w:hAnsi="Times New Roman" w:cs="Times New Roman"/>
          <w:sz w:val="20"/>
          <w:szCs w:val="20"/>
        </w:rPr>
        <w:t xml:space="preserve"> weekly doses of </w:t>
      </w:r>
      <w:proofErr w:type="spellStart"/>
      <w:r w:rsidR="00B73977" w:rsidRPr="00794173">
        <w:rPr>
          <w:rFonts w:ascii="Times New Roman" w:hAnsi="Times New Roman" w:cs="Times New Roman"/>
          <w:sz w:val="20"/>
          <w:szCs w:val="20"/>
        </w:rPr>
        <w:t>gemcitabine</w:t>
      </w:r>
      <w:proofErr w:type="spellEnd"/>
      <w:r w:rsidR="00B73977" w:rsidRPr="00794173">
        <w:rPr>
          <w:rFonts w:ascii="Times New Roman" w:hAnsi="Times New Roman" w:cs="Times New Roman"/>
          <w:sz w:val="20"/>
          <w:szCs w:val="20"/>
        </w:rPr>
        <w:t xml:space="preserve"> 125mg/m</w:t>
      </w:r>
      <w:r w:rsidR="00B73977" w:rsidRPr="00794173">
        <w:rPr>
          <w:rFonts w:ascii="Times New Roman" w:hAnsi="Times New Roman" w:cs="Times New Roman"/>
          <w:sz w:val="20"/>
          <w:szCs w:val="20"/>
          <w:vertAlign w:val="superscript"/>
        </w:rPr>
        <w:t>2</w:t>
      </w:r>
      <w:r w:rsidR="00B73977" w:rsidRPr="00794173">
        <w:rPr>
          <w:rFonts w:ascii="Times New Roman" w:hAnsi="Times New Roman" w:cs="Times New Roman"/>
          <w:sz w:val="20"/>
          <w:szCs w:val="20"/>
        </w:rPr>
        <w:t xml:space="preserve">, </w:t>
      </w:r>
      <w:r w:rsidR="00061E6A" w:rsidRPr="00794173">
        <w:rPr>
          <w:rFonts w:ascii="Times New Roman" w:hAnsi="Times New Roman" w:cs="Times New Roman"/>
          <w:sz w:val="20"/>
          <w:szCs w:val="20"/>
        </w:rPr>
        <w:t xml:space="preserve">and </w:t>
      </w:r>
      <w:proofErr w:type="spellStart"/>
      <w:r w:rsidR="00061E6A" w:rsidRPr="00794173">
        <w:rPr>
          <w:rFonts w:ascii="Times New Roman" w:hAnsi="Times New Roman" w:cs="Times New Roman"/>
          <w:sz w:val="20"/>
          <w:szCs w:val="20"/>
        </w:rPr>
        <w:t>cisplatin</w:t>
      </w:r>
      <w:proofErr w:type="spellEnd"/>
      <w:r w:rsidR="00061E6A" w:rsidRPr="00794173">
        <w:rPr>
          <w:rFonts w:ascii="Times New Roman" w:hAnsi="Times New Roman" w:cs="Times New Roman"/>
          <w:sz w:val="20"/>
          <w:szCs w:val="20"/>
        </w:rPr>
        <w:t xml:space="preserve"> </w:t>
      </w:r>
      <w:r w:rsidR="00D01371" w:rsidRPr="00794173">
        <w:rPr>
          <w:rFonts w:ascii="Times New Roman" w:hAnsi="Times New Roman" w:cs="Times New Roman"/>
          <w:sz w:val="20"/>
          <w:szCs w:val="20"/>
        </w:rPr>
        <w:t>group, received</w:t>
      </w:r>
      <w:r w:rsidR="00061E6A" w:rsidRPr="00794173">
        <w:rPr>
          <w:rFonts w:ascii="Times New Roman" w:hAnsi="Times New Roman" w:cs="Times New Roman"/>
          <w:sz w:val="20"/>
          <w:szCs w:val="20"/>
        </w:rPr>
        <w:t xml:space="preserve"> weekly doses of </w:t>
      </w:r>
      <w:proofErr w:type="spellStart"/>
      <w:r w:rsidR="00B73977" w:rsidRPr="00794173">
        <w:rPr>
          <w:rFonts w:ascii="Times New Roman" w:hAnsi="Times New Roman" w:cs="Times New Roman"/>
          <w:sz w:val="20"/>
          <w:szCs w:val="20"/>
        </w:rPr>
        <w:t>cisplatin</w:t>
      </w:r>
      <w:proofErr w:type="spellEnd"/>
      <w:r w:rsidR="00B73977" w:rsidRPr="00794173">
        <w:rPr>
          <w:rFonts w:ascii="Times New Roman" w:hAnsi="Times New Roman" w:cs="Times New Roman"/>
          <w:sz w:val="20"/>
          <w:szCs w:val="20"/>
        </w:rPr>
        <w:t xml:space="preserve"> 40mg/m</w:t>
      </w:r>
      <w:r w:rsidR="00B73977" w:rsidRPr="00794173">
        <w:rPr>
          <w:rFonts w:ascii="Times New Roman" w:hAnsi="Times New Roman" w:cs="Times New Roman"/>
          <w:sz w:val="20"/>
          <w:szCs w:val="20"/>
          <w:vertAlign w:val="superscript"/>
        </w:rPr>
        <w:t>2</w:t>
      </w:r>
      <w:r w:rsidR="00B73977" w:rsidRPr="00794173">
        <w:rPr>
          <w:rFonts w:ascii="Times New Roman" w:hAnsi="Times New Roman" w:cs="Times New Roman"/>
          <w:sz w:val="20"/>
          <w:szCs w:val="20"/>
        </w:rPr>
        <w:t xml:space="preserve"> concurrently with 66 </w:t>
      </w:r>
      <w:proofErr w:type="spellStart"/>
      <w:r w:rsidR="00B73977" w:rsidRPr="00794173">
        <w:rPr>
          <w:rFonts w:ascii="Times New Roman" w:hAnsi="Times New Roman" w:cs="Times New Roman"/>
          <w:sz w:val="20"/>
          <w:szCs w:val="20"/>
        </w:rPr>
        <w:t>Gy</w:t>
      </w:r>
      <w:proofErr w:type="spellEnd"/>
      <w:r w:rsidR="00B73977" w:rsidRPr="00794173">
        <w:rPr>
          <w:rFonts w:ascii="Times New Roman" w:hAnsi="Times New Roman" w:cs="Times New Roman"/>
          <w:sz w:val="20"/>
          <w:szCs w:val="20"/>
        </w:rPr>
        <w:t xml:space="preserve"> of conventional radi</w:t>
      </w:r>
      <w:r w:rsidR="006C2892" w:rsidRPr="00794173">
        <w:rPr>
          <w:rFonts w:ascii="Times New Roman" w:hAnsi="Times New Roman" w:cs="Times New Roman"/>
          <w:sz w:val="20"/>
          <w:szCs w:val="20"/>
        </w:rPr>
        <w:t>ati</w:t>
      </w:r>
      <w:r w:rsidR="00B73977" w:rsidRPr="00794173">
        <w:rPr>
          <w:rFonts w:ascii="Times New Roman" w:hAnsi="Times New Roman" w:cs="Times New Roman"/>
          <w:sz w:val="20"/>
          <w:szCs w:val="20"/>
        </w:rPr>
        <w:t>o</w:t>
      </w:r>
      <w:r w:rsidR="006C2892" w:rsidRPr="00794173">
        <w:rPr>
          <w:rFonts w:ascii="Times New Roman" w:hAnsi="Times New Roman" w:cs="Times New Roman"/>
          <w:sz w:val="20"/>
          <w:szCs w:val="20"/>
        </w:rPr>
        <w:t xml:space="preserve">n </w:t>
      </w:r>
      <w:r w:rsidR="006F5978" w:rsidRPr="00794173">
        <w:rPr>
          <w:rFonts w:ascii="Times New Roman" w:hAnsi="Times New Roman" w:cs="Times New Roman"/>
          <w:sz w:val="20"/>
          <w:szCs w:val="20"/>
        </w:rPr>
        <w:t xml:space="preserve">therapy. </w:t>
      </w:r>
      <w:r w:rsidR="00B73977" w:rsidRPr="00794173">
        <w:rPr>
          <w:rFonts w:ascii="Times New Roman" w:hAnsi="Times New Roman" w:cs="Times New Roman"/>
          <w:b/>
          <w:bCs/>
          <w:sz w:val="20"/>
          <w:szCs w:val="20"/>
        </w:rPr>
        <w:t>Results</w:t>
      </w:r>
      <w:r w:rsidR="00061E6A" w:rsidRPr="00794173">
        <w:rPr>
          <w:rFonts w:ascii="Times New Roman" w:hAnsi="Times New Roman" w:cs="Times New Roman"/>
          <w:b/>
          <w:bCs/>
          <w:sz w:val="20"/>
          <w:szCs w:val="20"/>
        </w:rPr>
        <w:t xml:space="preserve">: </w:t>
      </w:r>
      <w:r w:rsidR="00B73977" w:rsidRPr="00794173">
        <w:rPr>
          <w:rFonts w:ascii="Times New Roman" w:hAnsi="Times New Roman" w:cs="Times New Roman"/>
          <w:sz w:val="20"/>
          <w:szCs w:val="20"/>
        </w:rPr>
        <w:t xml:space="preserve">Disease free survival in </w:t>
      </w:r>
      <w:proofErr w:type="spellStart"/>
      <w:r w:rsidR="00482ED2" w:rsidRPr="00794173">
        <w:rPr>
          <w:rFonts w:ascii="Times New Roman" w:hAnsi="Times New Roman" w:cs="Times New Roman"/>
          <w:sz w:val="20"/>
          <w:szCs w:val="20"/>
        </w:rPr>
        <w:t>gemcitabine</w:t>
      </w:r>
      <w:proofErr w:type="spellEnd"/>
      <w:r w:rsidR="00482ED2" w:rsidRPr="00794173">
        <w:rPr>
          <w:rFonts w:ascii="Times New Roman" w:hAnsi="Times New Roman" w:cs="Times New Roman"/>
          <w:sz w:val="20"/>
          <w:szCs w:val="20"/>
        </w:rPr>
        <w:t xml:space="preserve"> group</w:t>
      </w:r>
      <w:r w:rsidR="00B73977" w:rsidRPr="00794173">
        <w:rPr>
          <w:rFonts w:ascii="Times New Roman" w:hAnsi="Times New Roman" w:cs="Times New Roman"/>
          <w:sz w:val="20"/>
          <w:szCs w:val="20"/>
        </w:rPr>
        <w:t xml:space="preserve"> was 79.4%, while in </w:t>
      </w:r>
      <w:proofErr w:type="spellStart"/>
      <w:r w:rsidR="00482ED2" w:rsidRPr="00794173">
        <w:rPr>
          <w:rFonts w:ascii="Times New Roman" w:hAnsi="Times New Roman" w:cs="Times New Roman"/>
          <w:sz w:val="20"/>
          <w:szCs w:val="20"/>
        </w:rPr>
        <w:t>cisplatin</w:t>
      </w:r>
      <w:proofErr w:type="spellEnd"/>
      <w:r w:rsidR="00482ED2" w:rsidRPr="00794173">
        <w:rPr>
          <w:rFonts w:ascii="Times New Roman" w:hAnsi="Times New Roman" w:cs="Times New Roman"/>
          <w:sz w:val="20"/>
          <w:szCs w:val="20"/>
        </w:rPr>
        <w:t xml:space="preserve"> group</w:t>
      </w:r>
      <w:r w:rsidR="00B73977" w:rsidRPr="00794173">
        <w:rPr>
          <w:rFonts w:ascii="Times New Roman" w:hAnsi="Times New Roman" w:cs="Times New Roman"/>
          <w:sz w:val="20"/>
          <w:szCs w:val="20"/>
        </w:rPr>
        <w:t xml:space="preserve"> was 77.6% with insignificant differences. </w:t>
      </w:r>
      <w:r w:rsidR="006C2892" w:rsidRPr="00794173">
        <w:rPr>
          <w:rFonts w:ascii="Times New Roman" w:hAnsi="Times New Roman" w:cs="Times New Roman"/>
          <w:sz w:val="20"/>
          <w:szCs w:val="20"/>
        </w:rPr>
        <w:t xml:space="preserve">All patients in </w:t>
      </w:r>
      <w:proofErr w:type="spellStart"/>
      <w:r w:rsidR="006C2892" w:rsidRPr="00794173">
        <w:rPr>
          <w:rFonts w:ascii="Times New Roman" w:hAnsi="Times New Roman" w:cs="Times New Roman"/>
          <w:sz w:val="20"/>
          <w:szCs w:val="20"/>
        </w:rPr>
        <w:t>cisplatin</w:t>
      </w:r>
      <w:proofErr w:type="spellEnd"/>
      <w:r w:rsidR="006C2892" w:rsidRPr="00794173">
        <w:rPr>
          <w:rFonts w:ascii="Times New Roman" w:hAnsi="Times New Roman" w:cs="Times New Roman"/>
          <w:sz w:val="20"/>
          <w:szCs w:val="20"/>
        </w:rPr>
        <w:t xml:space="preserve"> group tolerate</w:t>
      </w:r>
      <w:r w:rsidR="00157D65" w:rsidRPr="00794173">
        <w:rPr>
          <w:rFonts w:ascii="Times New Roman" w:hAnsi="Times New Roman" w:cs="Times New Roman"/>
          <w:sz w:val="20"/>
          <w:szCs w:val="20"/>
        </w:rPr>
        <w:t>d</w:t>
      </w:r>
      <w:r w:rsidR="006C2892" w:rsidRPr="00794173">
        <w:rPr>
          <w:rFonts w:ascii="Times New Roman" w:hAnsi="Times New Roman" w:cs="Times New Roman"/>
          <w:sz w:val="20"/>
          <w:szCs w:val="20"/>
        </w:rPr>
        <w:t xml:space="preserve"> t</w:t>
      </w:r>
      <w:r w:rsidR="00B73977" w:rsidRPr="00794173">
        <w:rPr>
          <w:rFonts w:ascii="Times New Roman" w:hAnsi="Times New Roman" w:cs="Times New Roman"/>
          <w:sz w:val="20"/>
          <w:szCs w:val="20"/>
        </w:rPr>
        <w:t xml:space="preserve">reatment protocol completely, while six patients in </w:t>
      </w:r>
      <w:proofErr w:type="spellStart"/>
      <w:r w:rsidR="00482ED2" w:rsidRPr="00794173">
        <w:rPr>
          <w:rFonts w:ascii="Times New Roman" w:hAnsi="Times New Roman" w:cs="Times New Roman"/>
          <w:sz w:val="20"/>
          <w:szCs w:val="20"/>
        </w:rPr>
        <w:t>gemcitabine</w:t>
      </w:r>
      <w:proofErr w:type="spellEnd"/>
      <w:r w:rsidR="00482ED2" w:rsidRPr="00794173">
        <w:rPr>
          <w:rFonts w:ascii="Times New Roman" w:hAnsi="Times New Roman" w:cs="Times New Roman"/>
          <w:sz w:val="20"/>
          <w:szCs w:val="20"/>
        </w:rPr>
        <w:t xml:space="preserve"> group</w:t>
      </w:r>
      <w:r w:rsidR="00B73977" w:rsidRPr="00794173">
        <w:rPr>
          <w:rFonts w:ascii="Times New Roman" w:hAnsi="Times New Roman" w:cs="Times New Roman"/>
          <w:sz w:val="20"/>
          <w:szCs w:val="20"/>
        </w:rPr>
        <w:t xml:space="preserve"> could not complete</w:t>
      </w:r>
      <w:r w:rsidR="00157D65" w:rsidRPr="00794173">
        <w:rPr>
          <w:rFonts w:ascii="Times New Roman" w:hAnsi="Times New Roman" w:cs="Times New Roman"/>
          <w:sz w:val="20"/>
          <w:szCs w:val="20"/>
        </w:rPr>
        <w:t>d</w:t>
      </w:r>
      <w:r w:rsidR="00B73977" w:rsidRPr="00794173">
        <w:rPr>
          <w:rFonts w:ascii="Times New Roman" w:hAnsi="Times New Roman" w:cs="Times New Roman"/>
          <w:sz w:val="20"/>
          <w:szCs w:val="20"/>
        </w:rPr>
        <w:t xml:space="preserve"> their weekly </w:t>
      </w:r>
      <w:proofErr w:type="spellStart"/>
      <w:r w:rsidR="00B73977" w:rsidRPr="00794173">
        <w:rPr>
          <w:rFonts w:ascii="Times New Roman" w:hAnsi="Times New Roman" w:cs="Times New Roman"/>
          <w:sz w:val="20"/>
          <w:szCs w:val="20"/>
        </w:rPr>
        <w:t>gemcitabine</w:t>
      </w:r>
      <w:proofErr w:type="spellEnd"/>
      <w:r w:rsidR="00B73977" w:rsidRPr="00794173">
        <w:rPr>
          <w:rFonts w:ascii="Times New Roman" w:hAnsi="Times New Roman" w:cs="Times New Roman"/>
          <w:sz w:val="20"/>
          <w:szCs w:val="20"/>
        </w:rPr>
        <w:t xml:space="preserve"> doses because of grade </w:t>
      </w:r>
      <w:r w:rsidR="006C2892" w:rsidRPr="00794173">
        <w:rPr>
          <w:rFonts w:ascii="Times New Roman" w:hAnsi="Times New Roman" w:cs="Times New Roman"/>
          <w:sz w:val="20"/>
          <w:szCs w:val="20"/>
        </w:rPr>
        <w:t>III</w:t>
      </w:r>
      <w:r w:rsidR="00B73977" w:rsidRPr="00794173">
        <w:rPr>
          <w:rFonts w:ascii="Times New Roman" w:hAnsi="Times New Roman" w:cs="Times New Roman"/>
          <w:sz w:val="20"/>
          <w:szCs w:val="20"/>
        </w:rPr>
        <w:t xml:space="preserve"> gastrointestinal toxicity.</w:t>
      </w:r>
      <w:r w:rsidR="006F5978" w:rsidRPr="00794173">
        <w:rPr>
          <w:rFonts w:ascii="Times New Roman" w:hAnsi="Times New Roman" w:cs="Times New Roman"/>
          <w:sz w:val="20"/>
          <w:szCs w:val="20"/>
        </w:rPr>
        <w:t xml:space="preserve"> </w:t>
      </w:r>
      <w:r w:rsidR="00B73977" w:rsidRPr="00794173">
        <w:rPr>
          <w:rFonts w:ascii="Times New Roman" w:hAnsi="Times New Roman" w:cs="Times New Roman"/>
          <w:b/>
          <w:bCs/>
          <w:sz w:val="20"/>
          <w:szCs w:val="20"/>
        </w:rPr>
        <w:t>Conclusions</w:t>
      </w:r>
      <w:r w:rsidR="006C2892" w:rsidRPr="00794173">
        <w:rPr>
          <w:rFonts w:ascii="Times New Roman" w:hAnsi="Times New Roman" w:cs="Times New Roman"/>
          <w:b/>
          <w:bCs/>
          <w:sz w:val="20"/>
          <w:szCs w:val="20"/>
        </w:rPr>
        <w:t>:</w:t>
      </w:r>
      <w:r w:rsidR="003050D9" w:rsidRPr="00794173">
        <w:rPr>
          <w:rFonts w:ascii="Times New Roman" w:hAnsi="Times New Roman" w:cs="Times New Roman"/>
          <w:b/>
          <w:bCs/>
          <w:sz w:val="20"/>
          <w:szCs w:val="20"/>
        </w:rPr>
        <w:t xml:space="preserve"> </w:t>
      </w:r>
      <w:proofErr w:type="spellStart"/>
      <w:r w:rsidR="006C2892" w:rsidRPr="00794173">
        <w:rPr>
          <w:rFonts w:ascii="Times New Roman" w:hAnsi="Times New Roman" w:cs="Times New Roman"/>
          <w:sz w:val="20"/>
          <w:szCs w:val="20"/>
        </w:rPr>
        <w:t>G</w:t>
      </w:r>
      <w:r w:rsidR="00B73977" w:rsidRPr="00794173">
        <w:rPr>
          <w:rFonts w:ascii="Times New Roman" w:hAnsi="Times New Roman" w:cs="Times New Roman"/>
          <w:sz w:val="20"/>
          <w:szCs w:val="20"/>
        </w:rPr>
        <w:t>emcitabine</w:t>
      </w:r>
      <w:proofErr w:type="spellEnd"/>
      <w:r w:rsidR="00B73977" w:rsidRPr="00794173">
        <w:rPr>
          <w:rFonts w:ascii="Times New Roman" w:hAnsi="Times New Roman" w:cs="Times New Roman"/>
          <w:sz w:val="20"/>
          <w:szCs w:val="20"/>
        </w:rPr>
        <w:t xml:space="preserve"> is a reasonable option in </w:t>
      </w:r>
      <w:proofErr w:type="spellStart"/>
      <w:r w:rsidR="00B73977" w:rsidRPr="00794173">
        <w:rPr>
          <w:rFonts w:ascii="Times New Roman" w:hAnsi="Times New Roman" w:cs="Times New Roman"/>
          <w:sz w:val="20"/>
          <w:szCs w:val="20"/>
        </w:rPr>
        <w:t>trimodality</w:t>
      </w:r>
      <w:proofErr w:type="spellEnd"/>
      <w:r w:rsidR="00B73977" w:rsidRPr="00794173">
        <w:rPr>
          <w:rFonts w:ascii="Times New Roman" w:hAnsi="Times New Roman" w:cs="Times New Roman"/>
          <w:sz w:val="20"/>
          <w:szCs w:val="20"/>
        </w:rPr>
        <w:t xml:space="preserve"> treatments in urinary bladder preservative strategies.</w:t>
      </w:r>
    </w:p>
    <w:p w:rsidR="00255289" w:rsidRPr="00794173" w:rsidRDefault="003050D9" w:rsidP="00255289">
      <w:pPr>
        <w:pStyle w:val="NoSpacing"/>
        <w:spacing w:before="0" w:beforeAutospacing="0" w:after="0" w:afterAutospacing="0"/>
        <w:jc w:val="both"/>
        <w:rPr>
          <w:color w:val="000000"/>
          <w:sz w:val="20"/>
          <w:szCs w:val="20"/>
          <w:shd w:val="clear" w:color="auto" w:fill="FFFFFF"/>
        </w:rPr>
      </w:pPr>
      <w:proofErr w:type="gramStart"/>
      <w:r w:rsidRPr="00794173">
        <w:rPr>
          <w:sz w:val="20"/>
          <w:szCs w:val="20"/>
        </w:rPr>
        <w:t>[</w:t>
      </w:r>
      <w:proofErr w:type="spellStart"/>
      <w:r w:rsidR="005F5981" w:rsidRPr="00794173">
        <w:rPr>
          <w:sz w:val="20"/>
          <w:szCs w:val="20"/>
        </w:rPr>
        <w:t>Mahmoud</w:t>
      </w:r>
      <w:proofErr w:type="spellEnd"/>
      <w:r w:rsidR="005F5981" w:rsidRPr="00794173">
        <w:rPr>
          <w:sz w:val="20"/>
          <w:szCs w:val="20"/>
        </w:rPr>
        <w:t xml:space="preserve"> </w:t>
      </w:r>
      <w:proofErr w:type="spellStart"/>
      <w:r w:rsidR="00AF697B" w:rsidRPr="00794173">
        <w:rPr>
          <w:sz w:val="20"/>
          <w:szCs w:val="20"/>
        </w:rPr>
        <w:t>Hussin</w:t>
      </w:r>
      <w:proofErr w:type="spellEnd"/>
      <w:r w:rsidR="00AF697B" w:rsidRPr="00794173">
        <w:rPr>
          <w:sz w:val="20"/>
          <w:szCs w:val="20"/>
          <w:vertAlign w:val="superscript"/>
        </w:rPr>
        <w:t>,</w:t>
      </w:r>
      <w:r w:rsidR="005F5981" w:rsidRPr="00794173">
        <w:rPr>
          <w:sz w:val="20"/>
          <w:szCs w:val="20"/>
        </w:rPr>
        <w:t xml:space="preserve"> </w:t>
      </w:r>
      <w:proofErr w:type="spellStart"/>
      <w:r w:rsidR="005F5981" w:rsidRPr="00794173">
        <w:rPr>
          <w:sz w:val="20"/>
          <w:szCs w:val="20"/>
        </w:rPr>
        <w:t>Hamza</w:t>
      </w:r>
      <w:proofErr w:type="spellEnd"/>
      <w:r w:rsidR="005F5981" w:rsidRPr="00794173">
        <w:rPr>
          <w:sz w:val="20"/>
          <w:szCs w:val="20"/>
        </w:rPr>
        <w:t xml:space="preserve"> </w:t>
      </w:r>
      <w:proofErr w:type="spellStart"/>
      <w:r w:rsidR="005F5981" w:rsidRPr="00794173">
        <w:rPr>
          <w:sz w:val="20"/>
          <w:szCs w:val="20"/>
        </w:rPr>
        <w:t>Abbas</w:t>
      </w:r>
      <w:proofErr w:type="spellEnd"/>
      <w:r w:rsidR="005F5981" w:rsidRPr="00794173">
        <w:rPr>
          <w:sz w:val="20"/>
          <w:szCs w:val="20"/>
        </w:rPr>
        <w:t xml:space="preserve">, </w:t>
      </w:r>
      <w:proofErr w:type="spellStart"/>
      <w:r w:rsidR="005F5981" w:rsidRPr="00794173">
        <w:rPr>
          <w:sz w:val="20"/>
          <w:szCs w:val="20"/>
        </w:rPr>
        <w:t>Shimaa</w:t>
      </w:r>
      <w:proofErr w:type="spellEnd"/>
      <w:r w:rsidR="005F5981" w:rsidRPr="00794173">
        <w:rPr>
          <w:sz w:val="20"/>
          <w:szCs w:val="20"/>
        </w:rPr>
        <w:t xml:space="preserve"> </w:t>
      </w:r>
      <w:r w:rsidR="00AF697B" w:rsidRPr="00794173">
        <w:rPr>
          <w:sz w:val="20"/>
          <w:szCs w:val="20"/>
        </w:rPr>
        <w:t>Ahmed</w:t>
      </w:r>
      <w:r w:rsidR="00AF697B" w:rsidRPr="00794173">
        <w:rPr>
          <w:sz w:val="20"/>
          <w:szCs w:val="20"/>
          <w:vertAlign w:val="superscript"/>
        </w:rPr>
        <w:t xml:space="preserve"> </w:t>
      </w:r>
      <w:r w:rsidR="00AF697B" w:rsidRPr="00794173">
        <w:rPr>
          <w:sz w:val="20"/>
          <w:szCs w:val="20"/>
        </w:rPr>
        <w:t>and</w:t>
      </w:r>
      <w:r w:rsidR="005F5981" w:rsidRPr="00794173">
        <w:rPr>
          <w:sz w:val="20"/>
          <w:szCs w:val="20"/>
        </w:rPr>
        <w:t xml:space="preserve"> Mohamed </w:t>
      </w:r>
      <w:proofErr w:type="spellStart"/>
      <w:r w:rsidR="005F5981" w:rsidRPr="00794173">
        <w:rPr>
          <w:sz w:val="20"/>
          <w:szCs w:val="20"/>
        </w:rPr>
        <w:t>Abou</w:t>
      </w:r>
      <w:proofErr w:type="spellEnd"/>
      <w:r w:rsidR="005F5981" w:rsidRPr="00794173">
        <w:rPr>
          <w:sz w:val="20"/>
          <w:szCs w:val="20"/>
        </w:rPr>
        <w:t xml:space="preserve"> </w:t>
      </w:r>
      <w:proofErr w:type="spellStart"/>
      <w:r w:rsidR="005F5981" w:rsidRPr="00794173">
        <w:rPr>
          <w:sz w:val="20"/>
          <w:szCs w:val="20"/>
        </w:rPr>
        <w:t>Elmagd</w:t>
      </w:r>
      <w:proofErr w:type="spellEnd"/>
      <w:r w:rsidR="005F5981" w:rsidRPr="00794173">
        <w:rPr>
          <w:sz w:val="20"/>
          <w:szCs w:val="20"/>
        </w:rPr>
        <w:t xml:space="preserve"> Salem</w:t>
      </w:r>
      <w:r w:rsidR="00183CA5" w:rsidRPr="00794173">
        <w:rPr>
          <w:sz w:val="20"/>
          <w:szCs w:val="20"/>
        </w:rPr>
        <w:t>.</w:t>
      </w:r>
      <w:proofErr w:type="gramEnd"/>
      <w:r w:rsidR="005F5981" w:rsidRPr="00794173">
        <w:rPr>
          <w:sz w:val="20"/>
          <w:szCs w:val="20"/>
          <w:vertAlign w:val="superscript"/>
        </w:rPr>
        <w:t xml:space="preserve"> </w:t>
      </w:r>
      <w:proofErr w:type="spellStart"/>
      <w:proofErr w:type="gramStart"/>
      <w:r w:rsidRPr="00794173">
        <w:rPr>
          <w:b/>
          <w:bCs/>
          <w:sz w:val="20"/>
          <w:szCs w:val="20"/>
        </w:rPr>
        <w:t>Gemcitabine</w:t>
      </w:r>
      <w:proofErr w:type="spellEnd"/>
      <w:r w:rsidRPr="00794173">
        <w:rPr>
          <w:b/>
          <w:bCs/>
          <w:sz w:val="20"/>
          <w:szCs w:val="20"/>
        </w:rPr>
        <w:t xml:space="preserve"> versus </w:t>
      </w:r>
      <w:proofErr w:type="spellStart"/>
      <w:r w:rsidRPr="00794173">
        <w:rPr>
          <w:b/>
          <w:bCs/>
          <w:sz w:val="20"/>
          <w:szCs w:val="20"/>
        </w:rPr>
        <w:t>cisplatin</w:t>
      </w:r>
      <w:proofErr w:type="spellEnd"/>
      <w:r w:rsidRPr="00794173">
        <w:rPr>
          <w:b/>
          <w:bCs/>
          <w:sz w:val="20"/>
          <w:szCs w:val="20"/>
        </w:rPr>
        <w:t xml:space="preserve"> in concurrent radio </w:t>
      </w:r>
      <w:r w:rsidRPr="00794173">
        <w:rPr>
          <w:rFonts w:asciiTheme="majorBidi" w:hAnsiTheme="majorBidi" w:cstheme="majorBidi"/>
          <w:b/>
          <w:bCs/>
          <w:sz w:val="20"/>
          <w:szCs w:val="20"/>
        </w:rPr>
        <w:t>chemotherapy for bladder preservation</w:t>
      </w:r>
      <w:r w:rsidR="00255289" w:rsidRPr="00794173">
        <w:rPr>
          <w:rFonts w:eastAsia="Times New Roman"/>
          <w:b/>
          <w:bCs/>
          <w:sz w:val="20"/>
          <w:szCs w:val="20"/>
          <w:lang w:bidi="fa-IR"/>
        </w:rPr>
        <w:t>.</w:t>
      </w:r>
      <w:proofErr w:type="gramEnd"/>
      <w:r w:rsidR="00255289" w:rsidRPr="00794173">
        <w:rPr>
          <w:i/>
          <w:sz w:val="20"/>
          <w:szCs w:val="20"/>
        </w:rPr>
        <w:t xml:space="preserve"> Cancer Biology</w:t>
      </w:r>
      <w:r w:rsidR="00255289" w:rsidRPr="00794173">
        <w:rPr>
          <w:sz w:val="20"/>
          <w:szCs w:val="20"/>
        </w:rPr>
        <w:t xml:space="preserve"> 201</w:t>
      </w:r>
      <w:r w:rsidR="00255289" w:rsidRPr="00794173">
        <w:rPr>
          <w:rFonts w:hint="eastAsia"/>
          <w:sz w:val="20"/>
          <w:szCs w:val="20"/>
        </w:rPr>
        <w:t>6</w:t>
      </w:r>
      <w:proofErr w:type="gramStart"/>
      <w:r w:rsidR="00255289" w:rsidRPr="00794173">
        <w:rPr>
          <w:sz w:val="20"/>
          <w:szCs w:val="20"/>
        </w:rPr>
        <w:t>;</w:t>
      </w:r>
      <w:r w:rsidR="00255289" w:rsidRPr="00794173">
        <w:rPr>
          <w:rFonts w:hint="eastAsia"/>
          <w:sz w:val="20"/>
          <w:szCs w:val="20"/>
        </w:rPr>
        <w:t>6</w:t>
      </w:r>
      <w:proofErr w:type="gramEnd"/>
      <w:r w:rsidR="00255289" w:rsidRPr="00794173">
        <w:rPr>
          <w:sz w:val="20"/>
          <w:szCs w:val="20"/>
        </w:rPr>
        <w:t>(</w:t>
      </w:r>
      <w:r w:rsidR="00255289" w:rsidRPr="00794173">
        <w:rPr>
          <w:rFonts w:hint="eastAsia"/>
          <w:sz w:val="20"/>
          <w:szCs w:val="20"/>
        </w:rPr>
        <w:t>1</w:t>
      </w:r>
      <w:r w:rsidR="00255289" w:rsidRPr="00794173">
        <w:rPr>
          <w:sz w:val="20"/>
          <w:szCs w:val="20"/>
        </w:rPr>
        <w:t>):</w:t>
      </w:r>
      <w:r w:rsidR="00A8260B" w:rsidRPr="00794173">
        <w:rPr>
          <w:noProof/>
          <w:color w:val="000000"/>
          <w:sz w:val="20"/>
          <w:szCs w:val="20"/>
        </w:rPr>
        <w:t>46</w:t>
      </w:r>
      <w:r w:rsidR="00255289" w:rsidRPr="00794173">
        <w:rPr>
          <w:color w:val="000000"/>
          <w:sz w:val="20"/>
          <w:szCs w:val="20"/>
        </w:rPr>
        <w:t>-</w:t>
      </w:r>
      <w:r w:rsidR="00A8260B" w:rsidRPr="00794173">
        <w:rPr>
          <w:noProof/>
          <w:color w:val="000000"/>
          <w:sz w:val="20"/>
          <w:szCs w:val="20"/>
        </w:rPr>
        <w:t>50</w:t>
      </w:r>
      <w:r w:rsidR="00255289" w:rsidRPr="00794173">
        <w:rPr>
          <w:sz w:val="20"/>
          <w:szCs w:val="20"/>
        </w:rPr>
        <w:t xml:space="preserve">]. </w:t>
      </w:r>
      <w:r w:rsidR="00255289" w:rsidRPr="00794173">
        <w:rPr>
          <w:rStyle w:val="msonormal0"/>
          <w:rFonts w:eastAsia="宋"/>
          <w:sz w:val="20"/>
          <w:szCs w:val="20"/>
        </w:rPr>
        <w:t>ISSN: 2150-1041 (print)</w:t>
      </w:r>
      <w:proofErr w:type="gramStart"/>
      <w:r w:rsidR="00255289" w:rsidRPr="00794173">
        <w:rPr>
          <w:rStyle w:val="msonormal0"/>
          <w:rFonts w:eastAsia="宋"/>
          <w:sz w:val="20"/>
          <w:szCs w:val="20"/>
        </w:rPr>
        <w:t>;</w:t>
      </w:r>
      <w:proofErr w:type="gramEnd"/>
      <w:r w:rsidR="00255289" w:rsidRPr="00794173">
        <w:rPr>
          <w:rStyle w:val="msonormal0"/>
          <w:rFonts w:eastAsia="宋"/>
          <w:sz w:val="20"/>
          <w:szCs w:val="20"/>
        </w:rPr>
        <w:t xml:space="preserve"> ISSN: 2150-105X (online)</w:t>
      </w:r>
      <w:r w:rsidR="00255289" w:rsidRPr="00794173">
        <w:rPr>
          <w:sz w:val="20"/>
          <w:szCs w:val="20"/>
        </w:rPr>
        <w:t xml:space="preserve">. </w:t>
      </w:r>
      <w:hyperlink r:id="rId9" w:history="1">
        <w:r w:rsidR="00255289" w:rsidRPr="00794173">
          <w:rPr>
            <w:rStyle w:val="Hyperlink"/>
            <w:color w:val="0000FF"/>
            <w:sz w:val="20"/>
            <w:szCs w:val="20"/>
          </w:rPr>
          <w:t>http://www.cancerbio.net</w:t>
        </w:r>
      </w:hyperlink>
      <w:r w:rsidR="00255289" w:rsidRPr="00794173">
        <w:rPr>
          <w:sz w:val="20"/>
          <w:szCs w:val="20"/>
        </w:rPr>
        <w:t>.</w:t>
      </w:r>
      <w:r w:rsidR="00255289" w:rsidRPr="00794173">
        <w:rPr>
          <w:rFonts w:hint="eastAsia"/>
          <w:sz w:val="20"/>
          <w:szCs w:val="20"/>
        </w:rPr>
        <w:t xml:space="preserve"> 9. </w:t>
      </w:r>
      <w:proofErr w:type="gramStart"/>
      <w:r w:rsidR="00255289" w:rsidRPr="00794173">
        <w:rPr>
          <w:color w:val="000000"/>
          <w:sz w:val="20"/>
          <w:szCs w:val="20"/>
          <w:shd w:val="clear" w:color="auto" w:fill="FFFFFF"/>
        </w:rPr>
        <w:t>doi</w:t>
      </w:r>
      <w:proofErr w:type="gramEnd"/>
      <w:r w:rsidR="00255289" w:rsidRPr="00794173">
        <w:rPr>
          <w:color w:val="000000"/>
          <w:sz w:val="20"/>
          <w:szCs w:val="20"/>
          <w:shd w:val="clear" w:color="auto" w:fill="FFFFFF"/>
        </w:rPr>
        <w:t>:</w:t>
      </w:r>
      <w:hyperlink r:id="rId10" w:history="1">
        <w:r w:rsidR="00255289" w:rsidRPr="00794173">
          <w:rPr>
            <w:rStyle w:val="Hyperlink"/>
            <w:color w:val="0000FF"/>
            <w:sz w:val="20"/>
            <w:szCs w:val="20"/>
            <w:shd w:val="clear" w:color="auto" w:fill="FFFFFF"/>
          </w:rPr>
          <w:t>10.7537/mars</w:t>
        </w:r>
        <w:r w:rsidR="00255289" w:rsidRPr="00794173">
          <w:rPr>
            <w:rStyle w:val="Hyperlink"/>
            <w:rFonts w:hint="eastAsia"/>
            <w:color w:val="0000FF"/>
            <w:sz w:val="20"/>
            <w:szCs w:val="20"/>
            <w:shd w:val="clear" w:color="auto" w:fill="FFFFFF"/>
          </w:rPr>
          <w:t>cbj0601</w:t>
        </w:r>
        <w:r w:rsidR="00255289" w:rsidRPr="00794173">
          <w:rPr>
            <w:rStyle w:val="Hyperlink"/>
            <w:color w:val="0000FF"/>
            <w:sz w:val="20"/>
            <w:szCs w:val="20"/>
            <w:shd w:val="clear" w:color="auto" w:fill="FFFFFF"/>
          </w:rPr>
          <w:t>1</w:t>
        </w:r>
        <w:r w:rsidR="00255289" w:rsidRPr="00794173">
          <w:rPr>
            <w:rStyle w:val="Hyperlink"/>
            <w:rFonts w:hint="eastAsia"/>
            <w:color w:val="0000FF"/>
            <w:sz w:val="20"/>
            <w:szCs w:val="20"/>
            <w:shd w:val="clear" w:color="auto" w:fill="FFFFFF"/>
          </w:rPr>
          <w:t>6</w:t>
        </w:r>
        <w:r w:rsidR="00255289" w:rsidRPr="00794173">
          <w:rPr>
            <w:rStyle w:val="Hyperlink"/>
            <w:color w:val="0000FF"/>
            <w:sz w:val="20"/>
            <w:szCs w:val="20"/>
            <w:shd w:val="clear" w:color="auto" w:fill="FFFFFF"/>
          </w:rPr>
          <w:t>0</w:t>
        </w:r>
        <w:r w:rsidR="00255289" w:rsidRPr="00794173">
          <w:rPr>
            <w:rStyle w:val="Hyperlink"/>
            <w:rFonts w:hint="eastAsia"/>
            <w:color w:val="0000FF"/>
            <w:sz w:val="20"/>
            <w:szCs w:val="20"/>
            <w:shd w:val="clear" w:color="auto" w:fill="FFFFFF"/>
          </w:rPr>
          <w:t>9</w:t>
        </w:r>
      </w:hyperlink>
      <w:r w:rsidR="00255289" w:rsidRPr="00794173">
        <w:rPr>
          <w:color w:val="000000"/>
          <w:sz w:val="20"/>
          <w:szCs w:val="20"/>
          <w:shd w:val="clear" w:color="auto" w:fill="FFFFFF"/>
        </w:rPr>
        <w:t>.</w:t>
      </w:r>
    </w:p>
    <w:p w:rsidR="00BA0EFA" w:rsidRPr="00794173" w:rsidRDefault="00BA0EFA" w:rsidP="00255289">
      <w:pPr>
        <w:spacing w:after="0" w:line="240" w:lineRule="auto"/>
        <w:jc w:val="both"/>
        <w:rPr>
          <w:rFonts w:ascii="Times New Roman" w:hAnsi="Times New Roman" w:cs="Times New Roman"/>
          <w:b/>
          <w:bCs/>
          <w:sz w:val="20"/>
          <w:szCs w:val="20"/>
        </w:rPr>
      </w:pPr>
    </w:p>
    <w:p w:rsidR="00B73977" w:rsidRPr="00794173" w:rsidRDefault="00B73977" w:rsidP="00255289">
      <w:pPr>
        <w:spacing w:after="0" w:line="240" w:lineRule="auto"/>
        <w:jc w:val="both"/>
        <w:rPr>
          <w:rFonts w:ascii="Times New Roman" w:hAnsi="Times New Roman" w:cs="Times New Roman"/>
          <w:sz w:val="20"/>
          <w:szCs w:val="20"/>
        </w:rPr>
      </w:pPr>
      <w:r w:rsidRPr="00794173">
        <w:rPr>
          <w:rFonts w:ascii="Times New Roman" w:hAnsi="Times New Roman" w:cs="Times New Roman"/>
          <w:b/>
          <w:bCs/>
          <w:sz w:val="20"/>
          <w:szCs w:val="20"/>
        </w:rPr>
        <w:t>Key</w:t>
      </w:r>
      <w:r w:rsidR="00984D43" w:rsidRPr="00794173">
        <w:rPr>
          <w:rFonts w:ascii="Times New Roman" w:hAnsi="Times New Roman" w:cs="Times New Roman"/>
          <w:b/>
          <w:bCs/>
          <w:sz w:val="20"/>
          <w:szCs w:val="20"/>
        </w:rPr>
        <w:t>w</w:t>
      </w:r>
      <w:r w:rsidRPr="00794173">
        <w:rPr>
          <w:rFonts w:ascii="Times New Roman" w:hAnsi="Times New Roman" w:cs="Times New Roman"/>
          <w:b/>
          <w:bCs/>
          <w:sz w:val="20"/>
          <w:szCs w:val="20"/>
        </w:rPr>
        <w:t>ords</w:t>
      </w:r>
      <w:r w:rsidR="0007739A" w:rsidRPr="00794173">
        <w:rPr>
          <w:rFonts w:ascii="Times New Roman" w:hAnsi="Times New Roman" w:cs="Times New Roman"/>
          <w:b/>
          <w:bCs/>
          <w:sz w:val="20"/>
          <w:szCs w:val="20"/>
        </w:rPr>
        <w:t>:</w:t>
      </w:r>
      <w:r w:rsidR="003050D9" w:rsidRPr="00794173">
        <w:rPr>
          <w:rFonts w:ascii="Times New Roman" w:hAnsi="Times New Roman" w:cs="Times New Roman"/>
          <w:b/>
          <w:bCs/>
          <w:sz w:val="20"/>
          <w:szCs w:val="20"/>
        </w:rPr>
        <w:t xml:space="preserve"> </w:t>
      </w:r>
      <w:proofErr w:type="spellStart"/>
      <w:r w:rsidR="00EB3D04" w:rsidRPr="00794173">
        <w:rPr>
          <w:rFonts w:ascii="Times New Roman" w:hAnsi="Times New Roman" w:cs="Times New Roman"/>
          <w:sz w:val="20"/>
          <w:szCs w:val="20"/>
        </w:rPr>
        <w:t>g</w:t>
      </w:r>
      <w:r w:rsidRPr="00794173">
        <w:rPr>
          <w:rFonts w:ascii="Times New Roman" w:hAnsi="Times New Roman" w:cs="Times New Roman"/>
          <w:sz w:val="20"/>
          <w:szCs w:val="20"/>
        </w:rPr>
        <w:t>emcitabine</w:t>
      </w:r>
      <w:proofErr w:type="spellEnd"/>
      <w:r w:rsidR="00EB3D04"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proofErr w:type="spellStart"/>
      <w:r w:rsidR="00EB3D04" w:rsidRPr="00794173">
        <w:rPr>
          <w:rFonts w:ascii="Times New Roman" w:hAnsi="Times New Roman" w:cs="Times New Roman"/>
          <w:sz w:val="20"/>
          <w:szCs w:val="20"/>
        </w:rPr>
        <w:t>c</w:t>
      </w:r>
      <w:r w:rsidRPr="00794173">
        <w:rPr>
          <w:rFonts w:ascii="Times New Roman" w:hAnsi="Times New Roman" w:cs="Times New Roman"/>
          <w:sz w:val="20"/>
          <w:szCs w:val="20"/>
        </w:rPr>
        <w:t>isplatin</w:t>
      </w:r>
      <w:proofErr w:type="spellEnd"/>
      <w:r w:rsidR="00EB3D04"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r w:rsidR="00EB3D04" w:rsidRPr="00794173">
        <w:rPr>
          <w:rFonts w:ascii="Times New Roman" w:hAnsi="Times New Roman" w:cs="Times New Roman"/>
          <w:sz w:val="20"/>
          <w:szCs w:val="20"/>
        </w:rPr>
        <w:t>r</w:t>
      </w:r>
      <w:r w:rsidRPr="00794173">
        <w:rPr>
          <w:rFonts w:ascii="Times New Roman" w:hAnsi="Times New Roman" w:cs="Times New Roman"/>
          <w:sz w:val="20"/>
          <w:szCs w:val="20"/>
        </w:rPr>
        <w:t>adi</w:t>
      </w:r>
      <w:r w:rsidR="00EB3D04" w:rsidRPr="00794173">
        <w:rPr>
          <w:rFonts w:ascii="Times New Roman" w:hAnsi="Times New Roman" w:cs="Times New Roman"/>
          <w:sz w:val="20"/>
          <w:szCs w:val="20"/>
        </w:rPr>
        <w:t>o</w:t>
      </w:r>
      <w:r w:rsidRPr="00794173">
        <w:rPr>
          <w:rFonts w:ascii="Times New Roman" w:hAnsi="Times New Roman" w:cs="Times New Roman"/>
          <w:sz w:val="20"/>
          <w:szCs w:val="20"/>
        </w:rPr>
        <w:t>therapy</w:t>
      </w:r>
      <w:r w:rsidR="00EB3D04"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r w:rsidR="00EB3D04" w:rsidRPr="00794173">
        <w:rPr>
          <w:rFonts w:ascii="Times New Roman" w:hAnsi="Times New Roman" w:cs="Times New Roman"/>
          <w:sz w:val="20"/>
          <w:szCs w:val="20"/>
        </w:rPr>
        <w:t>b</w:t>
      </w:r>
      <w:r w:rsidRPr="00794173">
        <w:rPr>
          <w:rFonts w:ascii="Times New Roman" w:hAnsi="Times New Roman" w:cs="Times New Roman"/>
          <w:sz w:val="20"/>
          <w:szCs w:val="20"/>
        </w:rPr>
        <w:t>ladder</w:t>
      </w:r>
      <w:r w:rsidR="00EB3D04"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r w:rsidR="00EB3D04" w:rsidRPr="00794173">
        <w:rPr>
          <w:rFonts w:ascii="Times New Roman" w:hAnsi="Times New Roman" w:cs="Times New Roman"/>
          <w:sz w:val="20"/>
          <w:szCs w:val="20"/>
        </w:rPr>
        <w:t>TCC</w:t>
      </w:r>
    </w:p>
    <w:p w:rsidR="00984D43" w:rsidRPr="00794173" w:rsidRDefault="00984D43" w:rsidP="00255289">
      <w:pPr>
        <w:spacing w:after="0" w:line="240" w:lineRule="auto"/>
        <w:jc w:val="both"/>
        <w:rPr>
          <w:rFonts w:ascii="Times New Roman" w:hAnsi="Times New Roman" w:cs="Times New Roman"/>
          <w:sz w:val="20"/>
          <w:szCs w:val="20"/>
        </w:rPr>
      </w:pPr>
    </w:p>
    <w:p w:rsidR="003050D9" w:rsidRPr="00794173" w:rsidRDefault="003050D9" w:rsidP="00255289">
      <w:pPr>
        <w:spacing w:after="0" w:line="240" w:lineRule="auto"/>
        <w:jc w:val="both"/>
        <w:rPr>
          <w:rFonts w:ascii="Times New Roman" w:hAnsi="Times New Roman" w:cs="Times New Roman"/>
          <w:b/>
          <w:bCs/>
          <w:sz w:val="20"/>
          <w:szCs w:val="20"/>
        </w:rPr>
        <w:sectPr w:rsidR="003050D9" w:rsidRPr="00794173" w:rsidSect="00A8260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46"/>
          <w:cols w:space="720"/>
          <w:docGrid w:linePitch="360"/>
        </w:sectPr>
      </w:pPr>
    </w:p>
    <w:p w:rsidR="00592782" w:rsidRPr="00794173" w:rsidRDefault="00984D43" w:rsidP="00255289">
      <w:pPr>
        <w:spacing w:after="0" w:line="240" w:lineRule="auto"/>
        <w:jc w:val="both"/>
        <w:rPr>
          <w:rFonts w:ascii="Times New Roman" w:hAnsi="Times New Roman" w:cs="Times New Roman"/>
          <w:sz w:val="20"/>
          <w:szCs w:val="20"/>
        </w:rPr>
      </w:pPr>
      <w:r w:rsidRPr="00794173">
        <w:rPr>
          <w:rFonts w:ascii="Times New Roman" w:hAnsi="Times New Roman" w:cs="Times New Roman"/>
          <w:b/>
          <w:bCs/>
          <w:sz w:val="20"/>
          <w:szCs w:val="20"/>
        </w:rPr>
        <w:lastRenderedPageBreak/>
        <w:t xml:space="preserve">1. </w:t>
      </w:r>
      <w:r w:rsidR="00792792" w:rsidRPr="00794173">
        <w:rPr>
          <w:rFonts w:ascii="Times New Roman" w:hAnsi="Times New Roman" w:cs="Times New Roman"/>
          <w:b/>
          <w:bCs/>
          <w:sz w:val="20"/>
          <w:szCs w:val="20"/>
        </w:rPr>
        <w:t>Introduction</w:t>
      </w:r>
    </w:p>
    <w:p w:rsidR="00592782" w:rsidRPr="00794173" w:rsidRDefault="000A33D3" w:rsidP="00255289">
      <w:pPr>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C</w:t>
      </w:r>
      <w:r w:rsidR="00592782" w:rsidRPr="00794173">
        <w:rPr>
          <w:rFonts w:ascii="Times New Roman" w:hAnsi="Times New Roman" w:cs="Times New Roman"/>
          <w:sz w:val="20"/>
          <w:szCs w:val="20"/>
        </w:rPr>
        <w:t>ancer</w:t>
      </w:r>
      <w:r w:rsidRPr="00794173">
        <w:rPr>
          <w:rFonts w:ascii="Times New Roman" w:hAnsi="Times New Roman" w:cs="Times New Roman"/>
          <w:sz w:val="20"/>
          <w:szCs w:val="20"/>
        </w:rPr>
        <w:t xml:space="preserve"> bladder</w:t>
      </w:r>
      <w:r w:rsidR="00592782" w:rsidRPr="00794173">
        <w:rPr>
          <w:rFonts w:ascii="Times New Roman" w:hAnsi="Times New Roman" w:cs="Times New Roman"/>
          <w:sz w:val="20"/>
          <w:szCs w:val="20"/>
        </w:rPr>
        <w:t xml:space="preserve"> is the second male cancer in Egyp</w:t>
      </w:r>
      <w:r w:rsidR="008B7582" w:rsidRPr="00794173">
        <w:rPr>
          <w:rFonts w:ascii="Times New Roman" w:hAnsi="Times New Roman" w:cs="Times New Roman"/>
          <w:sz w:val="20"/>
          <w:szCs w:val="20"/>
        </w:rPr>
        <w:t>t,</w:t>
      </w:r>
      <w:r w:rsidR="00592782" w:rsidRPr="00794173">
        <w:rPr>
          <w:rFonts w:ascii="Times New Roman" w:hAnsi="Times New Roman" w:cs="Times New Roman"/>
          <w:sz w:val="20"/>
          <w:szCs w:val="20"/>
        </w:rPr>
        <w:t xml:space="preserve"> and</w:t>
      </w:r>
      <w:r w:rsidR="00823EBF" w:rsidRPr="00794173">
        <w:rPr>
          <w:rFonts w:ascii="Times New Roman" w:hAnsi="Times New Roman" w:cs="Times New Roman"/>
          <w:sz w:val="20"/>
          <w:szCs w:val="20"/>
        </w:rPr>
        <w:t xml:space="preserve"> the</w:t>
      </w:r>
      <w:r w:rsidR="00592782" w:rsidRPr="00794173">
        <w:rPr>
          <w:rFonts w:ascii="Times New Roman" w:hAnsi="Times New Roman" w:cs="Times New Roman"/>
          <w:sz w:val="20"/>
          <w:szCs w:val="20"/>
        </w:rPr>
        <w:t xml:space="preserve"> fourth </w:t>
      </w:r>
      <w:r w:rsidR="001E5AEC" w:rsidRPr="00794173">
        <w:rPr>
          <w:rFonts w:ascii="Times New Roman" w:hAnsi="Times New Roman" w:cs="Times New Roman"/>
          <w:sz w:val="20"/>
          <w:szCs w:val="20"/>
        </w:rPr>
        <w:t>in United States</w:t>
      </w:r>
      <w:r w:rsidR="00592782" w:rsidRPr="00794173">
        <w:rPr>
          <w:rFonts w:ascii="Times New Roman" w:hAnsi="Times New Roman" w:cs="Times New Roman"/>
          <w:sz w:val="20"/>
          <w:szCs w:val="20"/>
        </w:rPr>
        <w:t xml:space="preserve"> and Europe</w:t>
      </w:r>
      <w:r w:rsidR="00984D43" w:rsidRPr="00794173">
        <w:rPr>
          <w:rFonts w:ascii="Times New Roman" w:hAnsi="Times New Roman" w:cs="Times New Roman"/>
          <w:sz w:val="20"/>
          <w:szCs w:val="20"/>
        </w:rPr>
        <w:t xml:space="preserve"> (1-3)</w:t>
      </w:r>
      <w:r w:rsidR="00EF05FB" w:rsidRPr="00794173">
        <w:rPr>
          <w:rFonts w:ascii="Times New Roman" w:hAnsi="Times New Roman" w:cs="Times New Roman"/>
          <w:sz w:val="20"/>
          <w:szCs w:val="20"/>
        </w:rPr>
        <w:t>.</w:t>
      </w:r>
      <w:r w:rsidR="00592782" w:rsidRPr="00794173">
        <w:rPr>
          <w:rFonts w:ascii="Times New Roman" w:hAnsi="Times New Roman" w:cs="Times New Roman"/>
          <w:sz w:val="20"/>
          <w:szCs w:val="20"/>
        </w:rPr>
        <w:t xml:space="preserve">Although, radical </w:t>
      </w:r>
      <w:proofErr w:type="spellStart"/>
      <w:r w:rsidR="00592782" w:rsidRPr="00794173">
        <w:rPr>
          <w:rFonts w:ascii="Times New Roman" w:hAnsi="Times New Roman" w:cs="Times New Roman"/>
          <w:sz w:val="20"/>
          <w:szCs w:val="20"/>
        </w:rPr>
        <w:t>cystectomy</w:t>
      </w:r>
      <w:proofErr w:type="spellEnd"/>
      <w:r w:rsidR="00592782" w:rsidRPr="00794173">
        <w:rPr>
          <w:rFonts w:ascii="Times New Roman" w:hAnsi="Times New Roman" w:cs="Times New Roman"/>
          <w:sz w:val="20"/>
          <w:szCs w:val="20"/>
        </w:rPr>
        <w:t xml:space="preserve"> still considered as a standard especially among urologists, it </w:t>
      </w:r>
      <w:r w:rsidRPr="00794173">
        <w:rPr>
          <w:rFonts w:ascii="Times New Roman" w:hAnsi="Times New Roman" w:cs="Times New Roman"/>
          <w:sz w:val="20"/>
          <w:szCs w:val="20"/>
        </w:rPr>
        <w:t xml:space="preserve">complicated </w:t>
      </w:r>
      <w:proofErr w:type="spellStart"/>
      <w:r w:rsidRPr="00794173">
        <w:rPr>
          <w:rFonts w:ascii="Times New Roman" w:hAnsi="Times New Roman" w:cs="Times New Roman"/>
          <w:sz w:val="20"/>
          <w:szCs w:val="20"/>
        </w:rPr>
        <w:t>bypsychological</w:t>
      </w:r>
      <w:proofErr w:type="spellEnd"/>
      <w:r w:rsidRPr="00794173">
        <w:rPr>
          <w:rFonts w:ascii="Times New Roman" w:hAnsi="Times New Roman" w:cs="Times New Roman"/>
          <w:sz w:val="20"/>
          <w:szCs w:val="20"/>
        </w:rPr>
        <w:t xml:space="preserve">, </w:t>
      </w:r>
      <w:r w:rsidR="00592782" w:rsidRPr="00794173">
        <w:rPr>
          <w:rFonts w:ascii="Times New Roman" w:hAnsi="Times New Roman" w:cs="Times New Roman"/>
          <w:sz w:val="20"/>
          <w:szCs w:val="20"/>
        </w:rPr>
        <w:t>physical,</w:t>
      </w:r>
      <w:r w:rsidR="003050D9" w:rsidRPr="00794173">
        <w:rPr>
          <w:rFonts w:ascii="Times New Roman" w:hAnsi="Times New Roman" w:cs="Times New Roman"/>
          <w:sz w:val="20"/>
          <w:szCs w:val="20"/>
        </w:rPr>
        <w:t xml:space="preserve"> </w:t>
      </w:r>
      <w:r w:rsidR="00592782" w:rsidRPr="00794173">
        <w:rPr>
          <w:rFonts w:ascii="Times New Roman" w:hAnsi="Times New Roman" w:cs="Times New Roman"/>
          <w:sz w:val="20"/>
          <w:szCs w:val="20"/>
        </w:rPr>
        <w:t>sexual, morbidity</w:t>
      </w:r>
      <w:r w:rsidR="00823EBF" w:rsidRPr="00794173">
        <w:rPr>
          <w:rFonts w:ascii="Times New Roman" w:hAnsi="Times New Roman" w:cs="Times New Roman"/>
          <w:sz w:val="20"/>
          <w:szCs w:val="20"/>
        </w:rPr>
        <w:t>,</w:t>
      </w:r>
      <w:r w:rsidR="00592782" w:rsidRPr="00794173">
        <w:rPr>
          <w:rFonts w:ascii="Times New Roman" w:hAnsi="Times New Roman" w:cs="Times New Roman"/>
          <w:sz w:val="20"/>
          <w:szCs w:val="20"/>
        </w:rPr>
        <w:t xml:space="preserve"> and bad effects on quality </w:t>
      </w:r>
      <w:r w:rsidR="00592782" w:rsidRPr="00794173">
        <w:rPr>
          <w:rFonts w:ascii="Times New Roman" w:hAnsi="Times New Roman" w:cs="Times New Roman"/>
          <w:bCs/>
          <w:sz w:val="20"/>
          <w:szCs w:val="20"/>
        </w:rPr>
        <w:t xml:space="preserve">of </w:t>
      </w:r>
      <w:r w:rsidR="00743A83" w:rsidRPr="00794173">
        <w:rPr>
          <w:rFonts w:ascii="Times New Roman" w:hAnsi="Times New Roman" w:cs="Times New Roman"/>
          <w:sz w:val="20"/>
          <w:szCs w:val="20"/>
        </w:rPr>
        <w:t>life.</w:t>
      </w:r>
      <w:r w:rsidR="003050D9" w:rsidRPr="00794173">
        <w:rPr>
          <w:rFonts w:ascii="Times New Roman" w:hAnsi="Times New Roman" w:cs="Times New Roman"/>
          <w:sz w:val="20"/>
          <w:szCs w:val="20"/>
        </w:rPr>
        <w:t xml:space="preserve"> </w:t>
      </w:r>
      <w:proofErr w:type="spellStart"/>
      <w:r w:rsidR="00743A83" w:rsidRPr="00794173">
        <w:rPr>
          <w:rFonts w:ascii="Times New Roman" w:hAnsi="Times New Roman" w:cs="Times New Roman"/>
          <w:sz w:val="20"/>
          <w:szCs w:val="20"/>
        </w:rPr>
        <w:t>Trimodality</w:t>
      </w:r>
      <w:proofErr w:type="spellEnd"/>
      <w:r w:rsidR="00743A83" w:rsidRPr="00794173">
        <w:rPr>
          <w:rFonts w:ascii="Times New Roman" w:hAnsi="Times New Roman" w:cs="Times New Roman"/>
          <w:sz w:val="20"/>
          <w:szCs w:val="20"/>
        </w:rPr>
        <w:t xml:space="preserve"> </w:t>
      </w:r>
      <w:r w:rsidR="00592782" w:rsidRPr="00794173">
        <w:rPr>
          <w:rFonts w:ascii="Times New Roman" w:hAnsi="Times New Roman" w:cs="Times New Roman"/>
          <w:sz w:val="20"/>
          <w:szCs w:val="20"/>
        </w:rPr>
        <w:t xml:space="preserve">treatment, using concurrent </w:t>
      </w:r>
      <w:r w:rsidR="003050D9" w:rsidRPr="00794173">
        <w:rPr>
          <w:rFonts w:ascii="Times New Roman" w:hAnsi="Times New Roman" w:cs="Times New Roman"/>
          <w:sz w:val="20"/>
          <w:szCs w:val="20"/>
        </w:rPr>
        <w:t>radio chemotherapy</w:t>
      </w:r>
      <w:r w:rsidR="00592782" w:rsidRPr="00794173">
        <w:rPr>
          <w:rFonts w:ascii="Times New Roman" w:hAnsi="Times New Roman" w:cs="Times New Roman"/>
          <w:sz w:val="20"/>
          <w:szCs w:val="20"/>
        </w:rPr>
        <w:t xml:space="preserve"> after maximum safe transurethral resection of </w:t>
      </w:r>
      <w:r w:rsidRPr="00794173">
        <w:rPr>
          <w:rFonts w:ascii="Times New Roman" w:hAnsi="Times New Roman" w:cs="Times New Roman"/>
          <w:sz w:val="20"/>
          <w:szCs w:val="20"/>
        </w:rPr>
        <w:t>the</w:t>
      </w:r>
      <w:r w:rsidR="00592782" w:rsidRPr="00794173">
        <w:rPr>
          <w:rFonts w:ascii="Times New Roman" w:hAnsi="Times New Roman" w:cs="Times New Roman"/>
          <w:sz w:val="20"/>
          <w:szCs w:val="20"/>
        </w:rPr>
        <w:t xml:space="preserve"> tumor, is the most effective bladder preserving treatment modality</w:t>
      </w:r>
      <w:r w:rsidR="00984D43" w:rsidRPr="00794173">
        <w:rPr>
          <w:rFonts w:ascii="Times New Roman" w:hAnsi="Times New Roman" w:cs="Times New Roman"/>
          <w:sz w:val="20"/>
          <w:szCs w:val="20"/>
        </w:rPr>
        <w:t xml:space="preserve"> (4)</w:t>
      </w:r>
      <w:r w:rsidR="008B7582" w:rsidRPr="00794173">
        <w:rPr>
          <w:rFonts w:ascii="Times New Roman" w:hAnsi="Times New Roman" w:cs="Times New Roman"/>
          <w:sz w:val="20"/>
          <w:szCs w:val="20"/>
        </w:rPr>
        <w:t>.</w:t>
      </w:r>
      <w:r w:rsidR="00592782" w:rsidRPr="00794173">
        <w:rPr>
          <w:rFonts w:ascii="Times New Roman" w:hAnsi="Times New Roman" w:cs="Times New Roman"/>
          <w:sz w:val="20"/>
          <w:szCs w:val="20"/>
          <w:lang w:val="en-GB"/>
        </w:rPr>
        <w:t>There is no will organized randomized trial compare</w:t>
      </w:r>
      <w:r w:rsidR="00020A69" w:rsidRPr="00794173">
        <w:rPr>
          <w:rFonts w:ascii="Times New Roman" w:hAnsi="Times New Roman" w:cs="Times New Roman"/>
          <w:sz w:val="20"/>
          <w:szCs w:val="20"/>
          <w:lang w:val="en-GB"/>
        </w:rPr>
        <w:t>d</w:t>
      </w:r>
      <w:r w:rsidR="00592782" w:rsidRPr="00794173">
        <w:rPr>
          <w:rFonts w:ascii="Times New Roman" w:hAnsi="Times New Roman" w:cs="Times New Roman"/>
          <w:sz w:val="20"/>
          <w:szCs w:val="20"/>
          <w:lang w:val="en-GB"/>
        </w:rPr>
        <w:t xml:space="preserve"> </w:t>
      </w:r>
      <w:proofErr w:type="spellStart"/>
      <w:r w:rsidR="00592782" w:rsidRPr="00794173">
        <w:rPr>
          <w:rFonts w:ascii="Times New Roman" w:hAnsi="Times New Roman" w:cs="Times New Roman"/>
          <w:sz w:val="20"/>
          <w:szCs w:val="20"/>
          <w:lang w:val="en-GB"/>
        </w:rPr>
        <w:t>cystectomy</w:t>
      </w:r>
      <w:proofErr w:type="spellEnd"/>
      <w:r w:rsidR="00592782" w:rsidRPr="00794173">
        <w:rPr>
          <w:rFonts w:ascii="Times New Roman" w:hAnsi="Times New Roman" w:cs="Times New Roman"/>
          <w:sz w:val="20"/>
          <w:szCs w:val="20"/>
          <w:lang w:val="en-GB"/>
        </w:rPr>
        <w:t xml:space="preserve"> to </w:t>
      </w:r>
      <w:proofErr w:type="spellStart"/>
      <w:r w:rsidR="00592782" w:rsidRPr="00794173">
        <w:rPr>
          <w:rFonts w:ascii="Times New Roman" w:hAnsi="Times New Roman" w:cs="Times New Roman"/>
          <w:sz w:val="20"/>
          <w:szCs w:val="20"/>
          <w:lang w:val="en-GB"/>
        </w:rPr>
        <w:t>trimodality</w:t>
      </w:r>
      <w:proofErr w:type="spellEnd"/>
      <w:r w:rsidR="00592782" w:rsidRPr="00794173">
        <w:rPr>
          <w:rFonts w:ascii="Times New Roman" w:hAnsi="Times New Roman" w:cs="Times New Roman"/>
          <w:sz w:val="20"/>
          <w:szCs w:val="20"/>
          <w:lang w:val="en-GB"/>
        </w:rPr>
        <w:t xml:space="preserve"> treatment </w:t>
      </w:r>
      <w:r w:rsidR="00823EBF" w:rsidRPr="00794173">
        <w:rPr>
          <w:rFonts w:ascii="Times New Roman" w:hAnsi="Times New Roman" w:cs="Times New Roman"/>
          <w:sz w:val="20"/>
          <w:szCs w:val="20"/>
          <w:lang w:val="en-GB"/>
        </w:rPr>
        <w:t>but</w:t>
      </w:r>
      <w:r w:rsidR="00592782" w:rsidRPr="00794173">
        <w:rPr>
          <w:rFonts w:ascii="Times New Roman" w:hAnsi="Times New Roman" w:cs="Times New Roman"/>
          <w:sz w:val="20"/>
          <w:szCs w:val="20"/>
          <w:lang w:val="en-GB"/>
        </w:rPr>
        <w:t xml:space="preserve"> only retrospective and prospective non-randomized studies are present</w:t>
      </w:r>
      <w:r w:rsidR="00020A69" w:rsidRPr="00794173">
        <w:rPr>
          <w:rFonts w:ascii="Times New Roman" w:hAnsi="Times New Roman" w:cs="Times New Roman"/>
          <w:sz w:val="20"/>
          <w:szCs w:val="20"/>
          <w:lang w:val="en-GB"/>
        </w:rPr>
        <w:t xml:space="preserve">. These </w:t>
      </w:r>
      <w:r w:rsidR="003050D9" w:rsidRPr="00794173">
        <w:rPr>
          <w:rFonts w:ascii="Times New Roman" w:hAnsi="Times New Roman" w:cs="Times New Roman"/>
          <w:sz w:val="20"/>
          <w:szCs w:val="20"/>
          <w:lang w:val="en-GB"/>
        </w:rPr>
        <w:t>trials had</w:t>
      </w:r>
      <w:r w:rsidR="00DF105B" w:rsidRPr="00794173">
        <w:rPr>
          <w:rFonts w:ascii="Times New Roman" w:hAnsi="Times New Roman" w:cs="Times New Roman"/>
          <w:sz w:val="20"/>
          <w:szCs w:val="20"/>
          <w:lang w:val="en-GB"/>
        </w:rPr>
        <w:t xml:space="preserve"> several sources of bias</w:t>
      </w:r>
      <w:r w:rsidR="00020A69" w:rsidRPr="00794173">
        <w:rPr>
          <w:rFonts w:ascii="Times New Roman" w:hAnsi="Times New Roman" w:cs="Times New Roman"/>
          <w:sz w:val="20"/>
          <w:szCs w:val="20"/>
          <w:lang w:val="en-GB"/>
        </w:rPr>
        <w:t>,</w:t>
      </w:r>
      <w:r w:rsidR="00DF105B" w:rsidRPr="00794173">
        <w:rPr>
          <w:rFonts w:ascii="Times New Roman" w:hAnsi="Times New Roman" w:cs="Times New Roman"/>
          <w:sz w:val="20"/>
          <w:szCs w:val="20"/>
          <w:lang w:val="en-GB"/>
        </w:rPr>
        <w:t xml:space="preserve"> as t</w:t>
      </w:r>
      <w:r w:rsidR="00592782" w:rsidRPr="00794173">
        <w:rPr>
          <w:rFonts w:ascii="Times New Roman" w:hAnsi="Times New Roman" w:cs="Times New Roman"/>
          <w:sz w:val="20"/>
          <w:szCs w:val="20"/>
        </w:rPr>
        <w:t xml:space="preserve">here are multiple confounding variables against </w:t>
      </w:r>
      <w:proofErr w:type="spellStart"/>
      <w:r w:rsidR="00592782" w:rsidRPr="00794173">
        <w:rPr>
          <w:rFonts w:ascii="Times New Roman" w:hAnsi="Times New Roman" w:cs="Times New Roman"/>
          <w:sz w:val="20"/>
          <w:szCs w:val="20"/>
        </w:rPr>
        <w:t>trimodality</w:t>
      </w:r>
      <w:proofErr w:type="spellEnd"/>
      <w:r w:rsidR="00592782" w:rsidRPr="00794173">
        <w:rPr>
          <w:rFonts w:ascii="Times New Roman" w:hAnsi="Times New Roman" w:cs="Times New Roman"/>
          <w:sz w:val="20"/>
          <w:szCs w:val="20"/>
        </w:rPr>
        <w:t xml:space="preserve"> treatment including clinical staging that under-stage 50% of patients</w:t>
      </w:r>
      <w:r w:rsidR="008B7582" w:rsidRPr="00794173">
        <w:rPr>
          <w:rFonts w:ascii="Times New Roman" w:hAnsi="Times New Roman" w:cs="Times New Roman"/>
          <w:sz w:val="20"/>
          <w:szCs w:val="20"/>
        </w:rPr>
        <w:t>,</w:t>
      </w:r>
      <w:r w:rsidR="00B702FE" w:rsidRPr="00794173">
        <w:rPr>
          <w:rFonts w:ascii="Times New Roman" w:hAnsi="Times New Roman" w:cs="Times New Roman"/>
          <w:sz w:val="20"/>
          <w:szCs w:val="20"/>
        </w:rPr>
        <w:fldChar w:fldCharType="begin" w:fldLock="1"/>
      </w:r>
      <w:r w:rsidR="00EB3D04" w:rsidRPr="00794173">
        <w:rPr>
          <w:rFonts w:ascii="Times New Roman" w:hAnsi="Times New Roman" w:cs="Times New Roman"/>
          <w:sz w:val="20"/>
          <w:szCs w:val="20"/>
        </w:rPr>
        <w:instrText>ADDIN CSL_CITATION { "citationItems" : [ { "id" : "ITEM-1", "itemData" : { "DOI" : "10.1016/j.ijrobp.2014.01.001", "ISSN" : "1879-355X", "PMID" : "24661658", "abstract" : "PURPOSE: To examine the accuracy of clinical staging and its effects on outcome in bladder cancer (BC) patients treated with radical cystectomy (RC), using a large national database.\n\nMETHODS AND MATERIALS: A total of 16,953 patients with BC without distant metastases treated with RC from 1998 to 2009 were analyzed. Factors associated with clinical-pathologic stage discrepancy were assessed by multivariate generalized estimating equation models. Survival analysis was conducted for patients treated between 1998 and 2004 (n=7270) using the Kaplan-Meier method and Cox proportional hazards models.\n\nRESULTS: At RC 41.9% of patients were upstaged, whereas 5.9% were downstaged. Upstaging was more common in females, the elderly, and in patients who underwent a more extensive lymphadenectomy. Downstaging was less common in patients treated at community centers, in the elderly, and in Hispanics. Receipt of preoperative chemotherapy was highly associated with downstaging. Five-year overall survival rates for patients with clinical stages 0, I, II, III, and IV were 67.2%, 62.9%, 50.4%, 36.9%, and 27.2%, respectively, whereas those for the same pathologic stages were 70.8%, 75.8%, 63.7%, 41.5%, and 24.7%, respectively. On multivariate analysis, upstaging was associated with increased 5-year mortality (hazard ratio [HR] 1.80, P&lt;.001), but downstaging was not associated with survival (HR 0.88, P=.160). In contrast, more extensive lymphadenectomy was associated with decreased 5-year mortality (HR 0.76 for \u226510 lymph nodes examined, P&lt;.001), as was treatment at an National Cancer Institute-designated cancer center (HR 0.90, P=.042).\n\nCONCLUSIONS: Clinical-pathologic stage discrepancy in BC patients is remarkably common across the United States. These findings should be considered when selecting patients for preoperative or nonoperative management strategies and when comparing the outcomes of bladder sparing approaches to RC.", "author" : [ { "dropping-particle" : "", "family" : "Gray", "given" : "Phillip J", "non-dropping-particle" : "", "parse-names" : false, "suffix" : "" }, { "dropping-particle" : "", "family" : "Lin", "given" : "Chun Chieh", "non-dropping-particle" : "", "parse-names" : false, "suffix" : "" }, { "dropping-particle" : "", "family" : "Jemal", "given" : "Ahmedin", "non-dropping-particle" : "", "parse-names" : false, "suffix" : "" }, { "dropping-particle" : "", "family" : "Shipley", "given" : "William U", "non-dropping-particle" : "", "parse-names" : false, "suffix" : "" }, { "dropping-particle" : "", "family" : "Fedewa", "given" : "Stacey A", "non-dropping-particle" : "", "parse-names" : false, "suffix" : "" }, { "dropping-particle" : "", "family" : "Kibel", "given" : "Adam S", "non-dropping-particle" : "", "parse-names" : false, "suffix" : "" }, { "dropping-particle" : "", "family" : "Rosenberg", "given" : "Jonathan E", "non-dropping-particle" : "", "parse-names" : false, "suffix" : "" }, { "dropping-particle" : "", "family" : "Kamat", "given" : "Ashish M", "non-dropping-particle" : "", "parse-names" : false, "suffix" : "" }, { "dropping-particle" : "", "family" : "Virgo", "given" : "Katherine S", "non-dropping-particle" : "", "parse-names" : false, "suffix" : "" }, { "dropping-particle" : "", "family" : "Blute", "given" : "Michael L", "non-dropping-particle" : "", "parse-names" : false, "suffix" : "" }, { "dropping-particle" : "", "family" : "Zietman", "given" : "Anthony L", "non-dropping-particle" : "", "parse-names" : false, "suffix" : "" }, { "dropping-particle" : "", "family" : "Efstathiou", "given" : "Jason A", "non-dropping-particle" : "", "parse-names" : false, "suffix" : "" } ], "container-title" : "International journal of radiation oncology, biology, physics", "id" : "ITEM-1", "issue" : "5", "issued" : { "date-parts" : [ [ "2014", "4", "1" ] ] }, "page" : "1048-56", "title" : "Clinical-pathologic stage discrepancy in bladder cancer patients treated with radical cystectomy: results from the national cancer data base.", "type" : "article-journal", "volume" : "88" }, "uris" : [ "http://www.mendeley.com/documents/?uuid=85d0f5d0-8f35-466c-ba89-2f7284b43793" ] } ], "mendeley" : { "formattedCitation" : "&lt;sup&gt;5&lt;/sup&gt;", "plainTextFormattedCitation" : "5", "previouslyFormattedCitation" : "&lt;sup&gt;5&lt;/sup&gt;" }, "properties" : { "noteIndex" : 0 }, "schema" : "https://github.com/citation-style-language/schema/raw/master/csl-citation.json" }</w:instrText>
      </w:r>
      <w:r w:rsidR="00B702FE" w:rsidRPr="00794173">
        <w:rPr>
          <w:rFonts w:ascii="Times New Roman" w:hAnsi="Times New Roman" w:cs="Times New Roman"/>
          <w:sz w:val="20"/>
          <w:szCs w:val="20"/>
        </w:rPr>
        <w:fldChar w:fldCharType="separate"/>
      </w:r>
      <w:r w:rsidR="008B7582" w:rsidRPr="00794173">
        <w:rPr>
          <w:rFonts w:ascii="Times New Roman" w:hAnsi="Times New Roman" w:cs="Times New Roman"/>
          <w:noProof/>
          <w:sz w:val="20"/>
          <w:szCs w:val="20"/>
          <w:vertAlign w:val="superscript"/>
        </w:rPr>
        <w:t>5</w:t>
      </w:r>
      <w:r w:rsidR="00B702FE" w:rsidRPr="00794173">
        <w:rPr>
          <w:rFonts w:ascii="Times New Roman" w:hAnsi="Times New Roman" w:cs="Times New Roman"/>
          <w:sz w:val="20"/>
          <w:szCs w:val="20"/>
        </w:rPr>
        <w:fldChar w:fldCharType="end"/>
      </w:r>
      <w:r w:rsidR="00592782" w:rsidRPr="00794173">
        <w:rPr>
          <w:rFonts w:ascii="Times New Roman" w:hAnsi="Times New Roman" w:cs="Times New Roman"/>
          <w:sz w:val="20"/>
          <w:szCs w:val="20"/>
        </w:rPr>
        <w:t xml:space="preserve"> advanced age, worse performance status and co-morbidities. Despite the above confounding variables, a search of </w:t>
      </w:r>
      <w:r w:rsidR="00020A69" w:rsidRPr="00794173">
        <w:rPr>
          <w:rFonts w:ascii="Times New Roman" w:hAnsi="Times New Roman" w:cs="Times New Roman"/>
          <w:sz w:val="20"/>
          <w:szCs w:val="20"/>
        </w:rPr>
        <w:t>English</w:t>
      </w:r>
      <w:r w:rsidR="00592782" w:rsidRPr="00794173">
        <w:rPr>
          <w:rFonts w:ascii="Times New Roman" w:hAnsi="Times New Roman" w:cs="Times New Roman"/>
          <w:sz w:val="20"/>
          <w:szCs w:val="20"/>
        </w:rPr>
        <w:t xml:space="preserve"> medical literature in </w:t>
      </w:r>
      <w:proofErr w:type="spellStart"/>
      <w:r w:rsidR="00592782" w:rsidRPr="00794173">
        <w:rPr>
          <w:rFonts w:ascii="Times New Roman" w:hAnsi="Times New Roman" w:cs="Times New Roman"/>
          <w:sz w:val="20"/>
          <w:szCs w:val="20"/>
        </w:rPr>
        <w:t>PubMed</w:t>
      </w:r>
      <w:proofErr w:type="spellEnd"/>
      <w:r w:rsidR="00592782" w:rsidRPr="00794173">
        <w:rPr>
          <w:rFonts w:ascii="Times New Roman" w:hAnsi="Times New Roman" w:cs="Times New Roman"/>
          <w:sz w:val="20"/>
          <w:szCs w:val="20"/>
        </w:rPr>
        <w:t xml:space="preserve"> from 1990 until 2013 was carried out, </w:t>
      </w:r>
      <w:r w:rsidRPr="00794173">
        <w:rPr>
          <w:rFonts w:ascii="Times New Roman" w:hAnsi="Times New Roman" w:cs="Times New Roman"/>
          <w:sz w:val="20"/>
          <w:szCs w:val="20"/>
        </w:rPr>
        <w:t>t</w:t>
      </w:r>
      <w:r w:rsidR="00592782" w:rsidRPr="00794173">
        <w:rPr>
          <w:rFonts w:ascii="Times New Roman" w:hAnsi="Times New Roman" w:cs="Times New Roman"/>
          <w:sz w:val="20"/>
          <w:szCs w:val="20"/>
        </w:rPr>
        <w:t>hey compared 3</w:t>
      </w:r>
      <w:r w:rsidR="00020A69" w:rsidRPr="00794173">
        <w:rPr>
          <w:rFonts w:ascii="Times New Roman" w:hAnsi="Times New Roman" w:cs="Times New Roman"/>
          <w:sz w:val="20"/>
          <w:szCs w:val="20"/>
        </w:rPr>
        <w:t>,</w:t>
      </w:r>
      <w:r w:rsidR="00592782" w:rsidRPr="00794173">
        <w:rPr>
          <w:rFonts w:ascii="Times New Roman" w:hAnsi="Times New Roman" w:cs="Times New Roman"/>
          <w:sz w:val="20"/>
          <w:szCs w:val="20"/>
        </w:rPr>
        <w:t xml:space="preserve">131 patients received </w:t>
      </w:r>
      <w:proofErr w:type="spellStart"/>
      <w:r w:rsidR="00592782" w:rsidRPr="00794173">
        <w:rPr>
          <w:rFonts w:ascii="Times New Roman" w:hAnsi="Times New Roman" w:cs="Times New Roman"/>
          <w:sz w:val="20"/>
          <w:szCs w:val="20"/>
        </w:rPr>
        <w:t>trimodality</w:t>
      </w:r>
      <w:proofErr w:type="spellEnd"/>
      <w:r w:rsidR="00592782" w:rsidRPr="00794173">
        <w:rPr>
          <w:rFonts w:ascii="Times New Roman" w:hAnsi="Times New Roman" w:cs="Times New Roman"/>
          <w:sz w:val="20"/>
          <w:szCs w:val="20"/>
        </w:rPr>
        <w:t xml:space="preserve"> treatment </w:t>
      </w:r>
      <w:r w:rsidR="008F4B7C" w:rsidRPr="00794173">
        <w:rPr>
          <w:rFonts w:ascii="Times New Roman" w:hAnsi="Times New Roman" w:cs="Times New Roman"/>
          <w:sz w:val="20"/>
          <w:szCs w:val="20"/>
        </w:rPr>
        <w:t>to</w:t>
      </w:r>
      <w:r w:rsidR="00592782" w:rsidRPr="00794173">
        <w:rPr>
          <w:rFonts w:ascii="Times New Roman" w:hAnsi="Times New Roman" w:cs="Times New Roman"/>
          <w:sz w:val="20"/>
          <w:szCs w:val="20"/>
        </w:rPr>
        <w:t xml:space="preserve"> 10,256 </w:t>
      </w:r>
      <w:r w:rsidR="008F4B7C" w:rsidRPr="00794173">
        <w:rPr>
          <w:rFonts w:ascii="Times New Roman" w:hAnsi="Times New Roman" w:cs="Times New Roman"/>
          <w:sz w:val="20"/>
          <w:szCs w:val="20"/>
        </w:rPr>
        <w:t xml:space="preserve">patients </w:t>
      </w:r>
      <w:r w:rsidR="003050D9" w:rsidRPr="00794173">
        <w:rPr>
          <w:rFonts w:ascii="Times New Roman" w:hAnsi="Times New Roman" w:cs="Times New Roman"/>
          <w:sz w:val="20"/>
          <w:szCs w:val="20"/>
        </w:rPr>
        <w:t>underwent radical</w:t>
      </w:r>
      <w:r w:rsidR="008F4B7C" w:rsidRPr="00794173">
        <w:rPr>
          <w:rFonts w:ascii="Times New Roman" w:hAnsi="Times New Roman" w:cs="Times New Roman"/>
          <w:sz w:val="20"/>
          <w:szCs w:val="20"/>
        </w:rPr>
        <w:t xml:space="preserve"> </w:t>
      </w:r>
      <w:proofErr w:type="spellStart"/>
      <w:r w:rsidR="00592782" w:rsidRPr="00794173">
        <w:rPr>
          <w:rFonts w:ascii="Times New Roman" w:hAnsi="Times New Roman" w:cs="Times New Roman"/>
          <w:sz w:val="20"/>
          <w:szCs w:val="20"/>
        </w:rPr>
        <w:t>cystectom</w:t>
      </w:r>
      <w:r w:rsidR="008F4B7C" w:rsidRPr="00794173">
        <w:rPr>
          <w:rFonts w:ascii="Times New Roman" w:hAnsi="Times New Roman" w:cs="Times New Roman"/>
          <w:sz w:val="20"/>
          <w:szCs w:val="20"/>
        </w:rPr>
        <w:t>y</w:t>
      </w:r>
      <w:proofErr w:type="spellEnd"/>
      <w:r w:rsidR="00020A69"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r w:rsidR="00020A69" w:rsidRPr="00794173">
        <w:rPr>
          <w:rFonts w:ascii="Times New Roman" w:hAnsi="Times New Roman" w:cs="Times New Roman"/>
          <w:sz w:val="20"/>
          <w:szCs w:val="20"/>
        </w:rPr>
        <w:t>T</w:t>
      </w:r>
      <w:r w:rsidR="00592782" w:rsidRPr="00794173">
        <w:rPr>
          <w:rFonts w:ascii="Times New Roman" w:hAnsi="Times New Roman" w:cs="Times New Roman"/>
          <w:sz w:val="20"/>
          <w:szCs w:val="20"/>
        </w:rPr>
        <w:t>hey f</w:t>
      </w:r>
      <w:r w:rsidR="00020A69" w:rsidRPr="00794173">
        <w:rPr>
          <w:rFonts w:ascii="Times New Roman" w:hAnsi="Times New Roman" w:cs="Times New Roman"/>
          <w:sz w:val="20"/>
          <w:szCs w:val="20"/>
        </w:rPr>
        <w:t>ou</w:t>
      </w:r>
      <w:r w:rsidR="00592782" w:rsidRPr="00794173">
        <w:rPr>
          <w:rFonts w:ascii="Times New Roman" w:hAnsi="Times New Roman" w:cs="Times New Roman"/>
          <w:sz w:val="20"/>
          <w:szCs w:val="20"/>
        </w:rPr>
        <w:t xml:space="preserve">nd median 5-year OS rate of 57% in patients undergoing </w:t>
      </w:r>
      <w:proofErr w:type="spellStart"/>
      <w:r w:rsidR="00592782" w:rsidRPr="00794173">
        <w:rPr>
          <w:rFonts w:ascii="Times New Roman" w:hAnsi="Times New Roman" w:cs="Times New Roman"/>
          <w:sz w:val="20"/>
          <w:szCs w:val="20"/>
        </w:rPr>
        <w:t>trimodality</w:t>
      </w:r>
      <w:proofErr w:type="spellEnd"/>
      <w:r w:rsidR="00592782" w:rsidRPr="00794173">
        <w:rPr>
          <w:rFonts w:ascii="Times New Roman" w:hAnsi="Times New Roman" w:cs="Times New Roman"/>
          <w:sz w:val="20"/>
          <w:szCs w:val="20"/>
        </w:rPr>
        <w:t xml:space="preserve"> treatment</w:t>
      </w:r>
      <w:r w:rsidR="00020A69" w:rsidRPr="00794173">
        <w:rPr>
          <w:rFonts w:ascii="Times New Roman" w:hAnsi="Times New Roman" w:cs="Times New Roman"/>
          <w:sz w:val="20"/>
          <w:szCs w:val="20"/>
        </w:rPr>
        <w:t>, that</w:t>
      </w:r>
      <w:r w:rsidR="00592782" w:rsidRPr="00794173">
        <w:rPr>
          <w:rFonts w:ascii="Times New Roman" w:hAnsi="Times New Roman" w:cs="Times New Roman"/>
          <w:sz w:val="20"/>
          <w:szCs w:val="20"/>
        </w:rPr>
        <w:t xml:space="preserve"> was significantly better than the 51% rate in patients </w:t>
      </w:r>
      <w:r w:rsidR="003050D9" w:rsidRPr="00794173">
        <w:rPr>
          <w:rFonts w:ascii="Times New Roman" w:hAnsi="Times New Roman" w:cs="Times New Roman"/>
          <w:sz w:val="20"/>
          <w:szCs w:val="20"/>
        </w:rPr>
        <w:t>underwent radical</w:t>
      </w:r>
      <w:r w:rsidR="00020A69" w:rsidRPr="00794173">
        <w:rPr>
          <w:rFonts w:ascii="Times New Roman" w:hAnsi="Times New Roman" w:cs="Times New Roman"/>
          <w:sz w:val="20"/>
          <w:szCs w:val="20"/>
        </w:rPr>
        <w:t xml:space="preserve"> </w:t>
      </w:r>
      <w:proofErr w:type="spellStart"/>
      <w:r w:rsidR="00020A69" w:rsidRPr="00794173">
        <w:rPr>
          <w:rFonts w:ascii="Times New Roman" w:hAnsi="Times New Roman" w:cs="Times New Roman"/>
          <w:sz w:val="20"/>
          <w:szCs w:val="20"/>
        </w:rPr>
        <w:t>cystectomy</w:t>
      </w:r>
      <w:proofErr w:type="spellEnd"/>
      <w:r w:rsidR="00592782" w:rsidRPr="00794173">
        <w:rPr>
          <w:rFonts w:ascii="Times New Roman" w:hAnsi="Times New Roman" w:cs="Times New Roman"/>
          <w:sz w:val="20"/>
          <w:szCs w:val="20"/>
        </w:rPr>
        <w:t xml:space="preserve"> alone (</w:t>
      </w:r>
      <w:r w:rsidR="00A52C85" w:rsidRPr="00794173">
        <w:rPr>
          <w:rFonts w:ascii="Times New Roman" w:hAnsi="Times New Roman" w:cs="Times New Roman"/>
          <w:sz w:val="20"/>
          <w:szCs w:val="20"/>
        </w:rPr>
        <w:t>p</w:t>
      </w:r>
      <w:r w:rsidR="00592782" w:rsidRPr="00794173">
        <w:rPr>
          <w:rFonts w:ascii="Times New Roman" w:hAnsi="Times New Roman" w:cs="Times New Roman"/>
          <w:sz w:val="20"/>
          <w:szCs w:val="20"/>
        </w:rPr>
        <w:t>=0.02)</w:t>
      </w:r>
      <w:r w:rsidR="00A52C85" w:rsidRPr="00794173">
        <w:rPr>
          <w:rFonts w:ascii="Times New Roman" w:hAnsi="Times New Roman" w:cs="Times New Roman"/>
          <w:sz w:val="20"/>
          <w:szCs w:val="20"/>
        </w:rPr>
        <w:t xml:space="preserve"> (6)</w:t>
      </w:r>
      <w:r w:rsidR="008B7582"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proofErr w:type="spellStart"/>
      <w:r w:rsidR="00020A69" w:rsidRPr="00794173">
        <w:rPr>
          <w:rFonts w:ascii="Times New Roman" w:hAnsi="Times New Roman" w:cs="Times New Roman"/>
          <w:sz w:val="20"/>
          <w:szCs w:val="20"/>
        </w:rPr>
        <w:t>C</w:t>
      </w:r>
      <w:r w:rsidR="00592782" w:rsidRPr="00794173">
        <w:rPr>
          <w:rFonts w:ascii="Times New Roman" w:hAnsi="Times New Roman" w:cs="Times New Roman"/>
          <w:sz w:val="20"/>
          <w:szCs w:val="20"/>
        </w:rPr>
        <w:t>isplatin</w:t>
      </w:r>
      <w:proofErr w:type="spellEnd"/>
      <w:r w:rsidR="00592782" w:rsidRPr="00794173">
        <w:rPr>
          <w:rFonts w:ascii="Times New Roman" w:hAnsi="Times New Roman" w:cs="Times New Roman"/>
          <w:sz w:val="20"/>
          <w:szCs w:val="20"/>
        </w:rPr>
        <w:t xml:space="preserve"> is the recommended </w:t>
      </w:r>
      <w:proofErr w:type="spellStart"/>
      <w:r w:rsidR="00592782" w:rsidRPr="00794173">
        <w:rPr>
          <w:rFonts w:ascii="Times New Roman" w:hAnsi="Times New Roman" w:cs="Times New Roman"/>
          <w:sz w:val="20"/>
          <w:szCs w:val="20"/>
        </w:rPr>
        <w:t>radiosensitizer</w:t>
      </w:r>
      <w:proofErr w:type="spellEnd"/>
      <w:r w:rsidR="00592782" w:rsidRPr="00794173">
        <w:rPr>
          <w:rFonts w:ascii="Times New Roman" w:hAnsi="Times New Roman" w:cs="Times New Roman"/>
          <w:sz w:val="20"/>
          <w:szCs w:val="20"/>
        </w:rPr>
        <w:t xml:space="preserve"> in </w:t>
      </w:r>
      <w:proofErr w:type="spellStart"/>
      <w:r w:rsidR="00592782" w:rsidRPr="00794173">
        <w:rPr>
          <w:rFonts w:ascii="Times New Roman" w:hAnsi="Times New Roman" w:cs="Times New Roman"/>
          <w:sz w:val="20"/>
          <w:szCs w:val="20"/>
        </w:rPr>
        <w:t>trimodality</w:t>
      </w:r>
      <w:proofErr w:type="spellEnd"/>
      <w:r w:rsidR="00592782" w:rsidRPr="00794173">
        <w:rPr>
          <w:rFonts w:ascii="Times New Roman" w:hAnsi="Times New Roman" w:cs="Times New Roman"/>
          <w:sz w:val="20"/>
          <w:szCs w:val="20"/>
        </w:rPr>
        <w:t xml:space="preserve"> treatment</w:t>
      </w:r>
      <w:r w:rsidR="00A52C85" w:rsidRPr="00794173">
        <w:rPr>
          <w:rFonts w:ascii="Times New Roman" w:hAnsi="Times New Roman" w:cs="Times New Roman"/>
          <w:sz w:val="20"/>
          <w:szCs w:val="20"/>
        </w:rPr>
        <w:t xml:space="preserve"> (4, 7);</w:t>
      </w:r>
      <w:r w:rsidR="003050D9" w:rsidRPr="00794173">
        <w:rPr>
          <w:rFonts w:ascii="Times New Roman" w:hAnsi="Times New Roman" w:cs="Times New Roman"/>
          <w:sz w:val="20"/>
          <w:szCs w:val="20"/>
        </w:rPr>
        <w:t xml:space="preserve"> </w:t>
      </w:r>
      <w:proofErr w:type="gramStart"/>
      <w:r w:rsidR="003050D9" w:rsidRPr="00794173">
        <w:rPr>
          <w:rFonts w:ascii="Times New Roman" w:hAnsi="Times New Roman" w:cs="Times New Roman"/>
          <w:sz w:val="20"/>
          <w:szCs w:val="20"/>
        </w:rPr>
        <w:t>however</w:t>
      </w:r>
      <w:proofErr w:type="gramEnd"/>
      <w:r w:rsidR="003050D9" w:rsidRPr="00794173">
        <w:rPr>
          <w:rFonts w:ascii="Times New Roman" w:hAnsi="Times New Roman" w:cs="Times New Roman"/>
          <w:sz w:val="20"/>
          <w:szCs w:val="20"/>
        </w:rPr>
        <w:t xml:space="preserve"> it</w:t>
      </w:r>
      <w:r w:rsidR="00592782" w:rsidRPr="00794173">
        <w:rPr>
          <w:rFonts w:ascii="Times New Roman" w:hAnsi="Times New Roman" w:cs="Times New Roman"/>
          <w:sz w:val="20"/>
          <w:szCs w:val="20"/>
        </w:rPr>
        <w:t xml:space="preserve"> has significant </w:t>
      </w:r>
      <w:proofErr w:type="spellStart"/>
      <w:r w:rsidR="00592782" w:rsidRPr="00794173">
        <w:rPr>
          <w:rFonts w:ascii="Times New Roman" w:hAnsi="Times New Roman" w:cs="Times New Roman"/>
          <w:sz w:val="20"/>
          <w:szCs w:val="20"/>
        </w:rPr>
        <w:t>nephrotoxicity</w:t>
      </w:r>
      <w:proofErr w:type="spellEnd"/>
      <w:r w:rsidR="00592782"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proofErr w:type="spellStart"/>
      <w:r w:rsidR="00592782" w:rsidRPr="00794173">
        <w:rPr>
          <w:rFonts w:ascii="Times New Roman" w:hAnsi="Times New Roman" w:cs="Times New Roman"/>
          <w:sz w:val="20"/>
          <w:szCs w:val="20"/>
        </w:rPr>
        <w:t>myelosuppression</w:t>
      </w:r>
      <w:proofErr w:type="spellEnd"/>
      <w:r w:rsidR="00592782" w:rsidRPr="00794173">
        <w:rPr>
          <w:rFonts w:ascii="Times New Roman" w:hAnsi="Times New Roman" w:cs="Times New Roman"/>
          <w:sz w:val="20"/>
          <w:szCs w:val="20"/>
        </w:rPr>
        <w:t xml:space="preserve"> and </w:t>
      </w:r>
      <w:proofErr w:type="spellStart"/>
      <w:r w:rsidR="00592782" w:rsidRPr="00794173">
        <w:rPr>
          <w:rFonts w:ascii="Times New Roman" w:hAnsi="Times New Roman" w:cs="Times New Roman"/>
          <w:sz w:val="20"/>
          <w:szCs w:val="20"/>
        </w:rPr>
        <w:t>emetogenicity</w:t>
      </w:r>
      <w:proofErr w:type="spellEnd"/>
      <w:r w:rsidR="00592782"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proofErr w:type="spellStart"/>
      <w:proofErr w:type="gramStart"/>
      <w:r w:rsidR="00592782" w:rsidRPr="00794173">
        <w:rPr>
          <w:rFonts w:ascii="Times New Roman" w:hAnsi="Times New Roman" w:cs="Times New Roman"/>
          <w:sz w:val="20"/>
          <w:szCs w:val="20"/>
        </w:rPr>
        <w:t>Gemcitabine</w:t>
      </w:r>
      <w:proofErr w:type="spellEnd"/>
      <w:r w:rsidR="00592782" w:rsidRPr="00794173">
        <w:rPr>
          <w:rFonts w:ascii="Times New Roman" w:hAnsi="Times New Roman" w:cs="Times New Roman"/>
          <w:sz w:val="20"/>
          <w:szCs w:val="20"/>
        </w:rPr>
        <w:t xml:space="preserve"> is </w:t>
      </w:r>
      <w:r w:rsidRPr="00794173">
        <w:rPr>
          <w:rFonts w:ascii="Times New Roman" w:hAnsi="Times New Roman" w:cs="Times New Roman"/>
          <w:sz w:val="20"/>
          <w:szCs w:val="20"/>
        </w:rPr>
        <w:t xml:space="preserve">proved to be </w:t>
      </w:r>
      <w:r w:rsidR="00592782" w:rsidRPr="00794173">
        <w:rPr>
          <w:rFonts w:ascii="Times New Roman" w:hAnsi="Times New Roman" w:cs="Times New Roman"/>
          <w:sz w:val="20"/>
          <w:szCs w:val="20"/>
        </w:rPr>
        <w:t xml:space="preserve">a potent </w:t>
      </w:r>
      <w:r w:rsidR="003050D9" w:rsidRPr="00794173">
        <w:rPr>
          <w:rFonts w:ascii="Times New Roman" w:hAnsi="Times New Roman" w:cs="Times New Roman"/>
          <w:sz w:val="20"/>
          <w:szCs w:val="20"/>
        </w:rPr>
        <w:t>radio sensitizer</w:t>
      </w:r>
      <w:r w:rsidRPr="00794173">
        <w:rPr>
          <w:rFonts w:ascii="Times New Roman" w:hAnsi="Times New Roman" w:cs="Times New Roman"/>
          <w:sz w:val="20"/>
          <w:szCs w:val="20"/>
        </w:rPr>
        <w:t xml:space="preserve"> in vitro</w:t>
      </w:r>
      <w:r w:rsidR="00592782" w:rsidRPr="00794173">
        <w:rPr>
          <w:rFonts w:ascii="Times New Roman" w:hAnsi="Times New Roman" w:cs="Times New Roman"/>
          <w:sz w:val="20"/>
          <w:szCs w:val="20"/>
        </w:rPr>
        <w:t>, and it</w:t>
      </w:r>
      <w:r w:rsidRPr="00794173">
        <w:rPr>
          <w:rFonts w:ascii="Times New Roman" w:hAnsi="Times New Roman" w:cs="Times New Roman"/>
          <w:sz w:val="20"/>
          <w:szCs w:val="20"/>
        </w:rPr>
        <w:t xml:space="preserve"> had a demonstrated </w:t>
      </w:r>
      <w:r w:rsidR="00592782" w:rsidRPr="00794173">
        <w:rPr>
          <w:rFonts w:ascii="Times New Roman" w:hAnsi="Times New Roman" w:cs="Times New Roman"/>
          <w:sz w:val="20"/>
          <w:szCs w:val="20"/>
        </w:rPr>
        <w:t xml:space="preserve">efficacy </w:t>
      </w:r>
      <w:r w:rsidRPr="00794173">
        <w:rPr>
          <w:rFonts w:ascii="Times New Roman" w:hAnsi="Times New Roman" w:cs="Times New Roman"/>
          <w:sz w:val="20"/>
          <w:szCs w:val="20"/>
        </w:rPr>
        <w:t xml:space="preserve">on cancer bladder </w:t>
      </w:r>
      <w:r w:rsidR="00592782" w:rsidRPr="00794173">
        <w:rPr>
          <w:rFonts w:ascii="Times New Roman" w:hAnsi="Times New Roman" w:cs="Times New Roman"/>
          <w:sz w:val="20"/>
          <w:szCs w:val="20"/>
        </w:rPr>
        <w:t>cell</w:t>
      </w:r>
      <w:r w:rsidRPr="00794173">
        <w:rPr>
          <w:rFonts w:ascii="Times New Roman" w:hAnsi="Times New Roman" w:cs="Times New Roman"/>
          <w:sz w:val="20"/>
          <w:szCs w:val="20"/>
        </w:rPr>
        <w:t>s</w:t>
      </w:r>
      <w:r w:rsidR="00592782" w:rsidRPr="00794173">
        <w:rPr>
          <w:rFonts w:ascii="Times New Roman" w:hAnsi="Times New Roman" w:cs="Times New Roman"/>
          <w:sz w:val="20"/>
          <w:szCs w:val="20"/>
        </w:rPr>
        <w:t>,</w:t>
      </w:r>
      <w:r w:rsidR="00B702FE" w:rsidRPr="00794173">
        <w:rPr>
          <w:rFonts w:ascii="Times New Roman" w:hAnsi="Times New Roman" w:cs="Times New Roman"/>
          <w:sz w:val="20"/>
          <w:szCs w:val="20"/>
        </w:rPr>
        <w:fldChar w:fldCharType="begin" w:fldLock="1"/>
      </w:r>
      <w:r w:rsidR="00EB3D04" w:rsidRPr="00794173">
        <w:rPr>
          <w:rFonts w:ascii="Times New Roman" w:hAnsi="Times New Roman" w:cs="Times New Roman"/>
          <w:sz w:val="20"/>
          <w:szCs w:val="20"/>
        </w:rPr>
        <w:instrText>ADDIN CSL_CITATION { "citationItems" : [ { "id" : "ITEM-1", "itemData" : { "DOI" : "10.1038/sj.bjc.6601538", "ISSN" : "0007-0920", "PMID" : "14735206", "abstract" : "The aim of this study was to establish the radiosensitising properties of gemcitabine in a pair of related bladder tumour cell lines with differential radiosensitivity. The radioresistant bladder tumour cell line MGH-U1 and its radiosensitive mutant clone, S40b (both p53 mutant), had SF(2) values (surviving fraction at 2 Gy) of 0.98 and 0.64, respectively (P&lt;0.001). Colony-forming assays showed that at 0.01 microM gemcitabine radiosensitisation occurred only in the S40b cell line (dose-modifying factor (DMF)=1.4). At 0.3 microM (killing 50% of cells), both cell lines were radiosensitised; DMF=2.25 and 1.2 for MGH-U1 and S40b, respectively. These data suggest that gemcitabine is an effective radiosensitiser in bladder cancer cell lines, with greater sensitisation in the radioresistant parental line-a feature that should be useful in a clinical setting.", "author" : [ { "dropping-particle" : "", "family" : "Sangar", "given" : "V K", "non-dropping-particle" : "", "parse-names" : false, "suffix" : "" }, { "dropping-particle" : "", "family" : "Cowan", "given" : "R", "non-dropping-particle" : "", "parse-names" : false, "suffix" : "" }, { "dropping-particle" : "", "family" : "Margison", "given" : "G P", "non-dropping-particle" : "", "parse-names" : false, "suffix" : "" }, { "dropping-particle" : "", "family" : "Hendry", "given" : "J H", "non-dropping-particle" : "", "parse-names" : false, "suffix" : "" }, { "dropping-particle" : "", "family" : "Clarke", "given" : "N W", "non-dropping-particle" : "", "parse-names" : false, "suffix" : "" } ], "container-title" : "British journal of cancer", "id" : "ITEM-1", "issue" : "2", "issued" : { "date-parts" : [ [ "2004", "1", "26" ] ] }, "page" : "542-8", "publisher" : "Cancer Research UK", "title" : "An evaluation of gemcitabines differential radiosensitising effect in related bladder cancer cell lines.", "title-short" : "Br J Cancer", "type" : "article-journal", "volume" : "90" }, "uris" : [ "http://www.mendeley.com/documents/?uuid=135b7fae-8269-4531-95c5-839183038c6e" ] } ], "mendeley" : { "formattedCitation" : "&lt;sup&gt;8&lt;/sup&gt;", "plainTextFormattedCitation" : "8", "previouslyFormattedCitation" : "&lt;sup&gt;8&lt;/sup&gt;" }, "properties" : { "noteIndex" : 0 }, "schema" : "https://github.com/citation-style-language/schema/raw/master/csl-citation.json" }</w:instrText>
      </w:r>
      <w:r w:rsidR="00B702FE" w:rsidRPr="00794173">
        <w:rPr>
          <w:rFonts w:ascii="Times New Roman" w:hAnsi="Times New Roman" w:cs="Times New Roman"/>
          <w:sz w:val="20"/>
          <w:szCs w:val="20"/>
        </w:rPr>
        <w:fldChar w:fldCharType="separate"/>
      </w:r>
      <w:r w:rsidR="008B7582" w:rsidRPr="00794173">
        <w:rPr>
          <w:rFonts w:ascii="Times New Roman" w:hAnsi="Times New Roman" w:cs="Times New Roman"/>
          <w:noProof/>
          <w:sz w:val="20"/>
          <w:szCs w:val="20"/>
          <w:vertAlign w:val="superscript"/>
        </w:rPr>
        <w:t>8</w:t>
      </w:r>
      <w:r w:rsidR="00B702FE" w:rsidRPr="00794173">
        <w:rPr>
          <w:rFonts w:ascii="Times New Roman" w:hAnsi="Times New Roman" w:cs="Times New Roman"/>
          <w:sz w:val="20"/>
          <w:szCs w:val="20"/>
        </w:rPr>
        <w:fldChar w:fldCharType="end"/>
      </w:r>
      <w:r w:rsidRPr="00794173">
        <w:rPr>
          <w:rFonts w:ascii="Times New Roman" w:hAnsi="Times New Roman" w:cs="Times New Roman"/>
          <w:sz w:val="20"/>
          <w:szCs w:val="20"/>
        </w:rPr>
        <w:t xml:space="preserve"> </w:t>
      </w:r>
      <w:r w:rsidRPr="00794173">
        <w:rPr>
          <w:rFonts w:ascii="Times New Roman" w:hAnsi="Times New Roman" w:cs="Times New Roman"/>
          <w:sz w:val="20"/>
          <w:szCs w:val="20"/>
        </w:rPr>
        <w:lastRenderedPageBreak/>
        <w:t xml:space="preserve">in addition </w:t>
      </w:r>
      <w:proofErr w:type="spellStart"/>
      <w:r w:rsidRPr="00794173">
        <w:rPr>
          <w:rFonts w:ascii="Times New Roman" w:hAnsi="Times New Roman" w:cs="Times New Roman"/>
          <w:sz w:val="20"/>
          <w:szCs w:val="20"/>
        </w:rPr>
        <w:t>g</w:t>
      </w:r>
      <w:r w:rsidR="00592782" w:rsidRPr="00794173">
        <w:rPr>
          <w:rFonts w:ascii="Times New Roman" w:hAnsi="Times New Roman" w:cs="Times New Roman"/>
          <w:sz w:val="20"/>
          <w:szCs w:val="20"/>
        </w:rPr>
        <w:t>emcitabine</w:t>
      </w:r>
      <w:proofErr w:type="spellEnd"/>
      <w:r w:rsidR="00592782"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concurrently </w:t>
      </w:r>
      <w:r w:rsidR="00592782" w:rsidRPr="00794173">
        <w:rPr>
          <w:rFonts w:ascii="Times New Roman" w:hAnsi="Times New Roman" w:cs="Times New Roman"/>
          <w:sz w:val="20"/>
          <w:szCs w:val="20"/>
        </w:rPr>
        <w:t xml:space="preserve">with </w:t>
      </w:r>
      <w:r w:rsidR="008F4B7C" w:rsidRPr="00794173">
        <w:rPr>
          <w:rFonts w:ascii="Times New Roman" w:hAnsi="Times New Roman" w:cs="Times New Roman"/>
          <w:sz w:val="20"/>
          <w:szCs w:val="20"/>
        </w:rPr>
        <w:t>radiotherapy</w:t>
      </w:r>
      <w:r w:rsidR="00592782" w:rsidRPr="00794173">
        <w:rPr>
          <w:rFonts w:ascii="Times New Roman" w:hAnsi="Times New Roman" w:cs="Times New Roman"/>
          <w:sz w:val="20"/>
          <w:szCs w:val="20"/>
        </w:rPr>
        <w:t xml:space="preserve"> is well tolerated in bladder cancer patients</w:t>
      </w:r>
      <w:r w:rsidR="00A52C85" w:rsidRPr="00794173">
        <w:rPr>
          <w:rFonts w:ascii="Times New Roman" w:hAnsi="Times New Roman" w:cs="Times New Roman"/>
          <w:sz w:val="20"/>
          <w:szCs w:val="20"/>
        </w:rPr>
        <w:t xml:space="preserve"> (9, 10)</w:t>
      </w:r>
      <w:r w:rsidR="008B7582" w:rsidRPr="00794173">
        <w:rPr>
          <w:rFonts w:ascii="Times New Roman" w:hAnsi="Times New Roman" w:cs="Times New Roman"/>
          <w:sz w:val="20"/>
          <w:szCs w:val="20"/>
        </w:rPr>
        <w:t>.</w:t>
      </w:r>
      <w:r w:rsidR="00592782" w:rsidRPr="00794173">
        <w:rPr>
          <w:rFonts w:ascii="Times New Roman" w:hAnsi="Times New Roman" w:cs="Times New Roman"/>
          <w:sz w:val="20"/>
          <w:szCs w:val="20"/>
        </w:rPr>
        <w:t xml:space="preserve">This is a </w:t>
      </w:r>
      <w:r w:rsidR="00F92832" w:rsidRPr="00794173">
        <w:rPr>
          <w:rFonts w:ascii="Times New Roman" w:hAnsi="Times New Roman" w:cs="Times New Roman"/>
          <w:sz w:val="20"/>
          <w:szCs w:val="20"/>
        </w:rPr>
        <w:t>non-</w:t>
      </w:r>
      <w:r w:rsidR="003050D9" w:rsidRPr="00794173">
        <w:rPr>
          <w:rFonts w:ascii="Times New Roman" w:hAnsi="Times New Roman" w:cs="Times New Roman"/>
          <w:sz w:val="20"/>
          <w:szCs w:val="20"/>
        </w:rPr>
        <w:t>randomized prospective</w:t>
      </w:r>
      <w:r w:rsidR="004923DA" w:rsidRPr="00794173">
        <w:rPr>
          <w:rFonts w:ascii="Times New Roman" w:hAnsi="Times New Roman" w:cs="Times New Roman"/>
          <w:sz w:val="20"/>
          <w:szCs w:val="20"/>
        </w:rPr>
        <w:t xml:space="preserve"> </w:t>
      </w:r>
      <w:r w:rsidR="00592782" w:rsidRPr="00794173">
        <w:rPr>
          <w:rFonts w:ascii="Times New Roman" w:hAnsi="Times New Roman" w:cs="Times New Roman"/>
          <w:sz w:val="20"/>
          <w:szCs w:val="20"/>
        </w:rPr>
        <w:t>study compare</w:t>
      </w:r>
      <w:r w:rsidR="008F4B7C" w:rsidRPr="00794173">
        <w:rPr>
          <w:rFonts w:ascii="Times New Roman" w:hAnsi="Times New Roman" w:cs="Times New Roman"/>
          <w:sz w:val="20"/>
          <w:szCs w:val="20"/>
        </w:rPr>
        <w:t>d</w:t>
      </w:r>
      <w:r w:rsidR="00592782" w:rsidRPr="00794173">
        <w:rPr>
          <w:rFonts w:ascii="Times New Roman" w:hAnsi="Times New Roman" w:cs="Times New Roman"/>
          <w:sz w:val="20"/>
          <w:szCs w:val="20"/>
        </w:rPr>
        <w:t xml:space="preserve"> the efficacy and </w:t>
      </w:r>
      <w:r w:rsidR="00E066B6" w:rsidRPr="00794173">
        <w:rPr>
          <w:rFonts w:ascii="Times New Roman" w:hAnsi="Times New Roman" w:cs="Times New Roman"/>
          <w:sz w:val="20"/>
          <w:szCs w:val="20"/>
        </w:rPr>
        <w:t>toxicity</w:t>
      </w:r>
      <w:r w:rsidR="00592782" w:rsidRPr="00794173">
        <w:rPr>
          <w:rFonts w:ascii="Times New Roman" w:hAnsi="Times New Roman" w:cs="Times New Roman"/>
          <w:sz w:val="20"/>
          <w:szCs w:val="20"/>
        </w:rPr>
        <w:t xml:space="preserve"> of </w:t>
      </w:r>
      <w:proofErr w:type="spellStart"/>
      <w:r w:rsidR="00592782" w:rsidRPr="00794173">
        <w:rPr>
          <w:rFonts w:ascii="Times New Roman" w:hAnsi="Times New Roman" w:cs="Times New Roman"/>
          <w:sz w:val="20"/>
          <w:szCs w:val="20"/>
        </w:rPr>
        <w:t>gemcitabine</w:t>
      </w:r>
      <w:proofErr w:type="spellEnd"/>
      <w:r w:rsidR="00592782" w:rsidRPr="00794173">
        <w:rPr>
          <w:rFonts w:ascii="Times New Roman" w:hAnsi="Times New Roman" w:cs="Times New Roman"/>
          <w:sz w:val="20"/>
          <w:szCs w:val="20"/>
        </w:rPr>
        <w:t xml:space="preserve"> to </w:t>
      </w:r>
      <w:proofErr w:type="spellStart"/>
      <w:r w:rsidR="00592782" w:rsidRPr="00794173">
        <w:rPr>
          <w:rFonts w:ascii="Times New Roman" w:hAnsi="Times New Roman" w:cs="Times New Roman"/>
          <w:sz w:val="20"/>
          <w:szCs w:val="20"/>
        </w:rPr>
        <w:t>cisplatin</w:t>
      </w:r>
      <w:proofErr w:type="spellEnd"/>
      <w:r w:rsidR="00592782" w:rsidRPr="00794173">
        <w:rPr>
          <w:rFonts w:ascii="Times New Roman" w:hAnsi="Times New Roman" w:cs="Times New Roman"/>
          <w:sz w:val="20"/>
          <w:szCs w:val="20"/>
        </w:rPr>
        <w:t xml:space="preserve"> as a radio</w:t>
      </w:r>
      <w:r w:rsidR="006F5978" w:rsidRPr="00794173">
        <w:rPr>
          <w:rFonts w:ascii="Times New Roman" w:hAnsi="Times New Roman" w:cs="Times New Roman"/>
          <w:sz w:val="20"/>
          <w:szCs w:val="20"/>
        </w:rPr>
        <w:t xml:space="preserve"> </w:t>
      </w:r>
      <w:r w:rsidR="00592782" w:rsidRPr="00794173">
        <w:rPr>
          <w:rFonts w:ascii="Times New Roman" w:hAnsi="Times New Roman" w:cs="Times New Roman"/>
          <w:sz w:val="20"/>
          <w:szCs w:val="20"/>
        </w:rPr>
        <w:t xml:space="preserve">sensitizer in </w:t>
      </w:r>
      <w:proofErr w:type="spellStart"/>
      <w:r w:rsidR="00592782" w:rsidRPr="00794173">
        <w:rPr>
          <w:rFonts w:ascii="Times New Roman" w:hAnsi="Times New Roman" w:cs="Times New Roman"/>
          <w:sz w:val="20"/>
          <w:szCs w:val="20"/>
        </w:rPr>
        <w:t>trimodality</w:t>
      </w:r>
      <w:proofErr w:type="spellEnd"/>
      <w:r w:rsidR="00592782" w:rsidRPr="00794173">
        <w:rPr>
          <w:rFonts w:ascii="Times New Roman" w:hAnsi="Times New Roman" w:cs="Times New Roman"/>
          <w:sz w:val="20"/>
          <w:szCs w:val="20"/>
        </w:rPr>
        <w:t xml:space="preserve"> treatment of bladder transitional cell carcinoma.</w:t>
      </w:r>
      <w:proofErr w:type="gramEnd"/>
    </w:p>
    <w:p w:rsidR="00944EAE" w:rsidRPr="00794173" w:rsidRDefault="00944EAE" w:rsidP="00255289">
      <w:pPr>
        <w:spacing w:after="0" w:line="240" w:lineRule="auto"/>
        <w:jc w:val="both"/>
        <w:rPr>
          <w:rFonts w:ascii="Times New Roman" w:hAnsi="Times New Roman" w:cs="Times New Roman"/>
          <w:b/>
          <w:bCs/>
          <w:sz w:val="20"/>
          <w:szCs w:val="20"/>
        </w:rPr>
      </w:pPr>
    </w:p>
    <w:p w:rsidR="00B24B7D" w:rsidRPr="00794173" w:rsidRDefault="00A52C85"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t xml:space="preserve">2. </w:t>
      </w:r>
      <w:r w:rsidR="003050D9" w:rsidRPr="00794173">
        <w:rPr>
          <w:rFonts w:ascii="Times New Roman" w:hAnsi="Times New Roman" w:cs="Times New Roman"/>
          <w:b/>
          <w:bCs/>
          <w:sz w:val="20"/>
          <w:szCs w:val="20"/>
        </w:rPr>
        <w:t>Materials and</w:t>
      </w:r>
      <w:r w:rsidR="00B24B7D" w:rsidRPr="00794173">
        <w:rPr>
          <w:rFonts w:ascii="Times New Roman" w:hAnsi="Times New Roman" w:cs="Times New Roman"/>
          <w:b/>
          <w:bCs/>
          <w:sz w:val="20"/>
          <w:szCs w:val="20"/>
        </w:rPr>
        <w:t xml:space="preserve"> methods</w:t>
      </w:r>
    </w:p>
    <w:p w:rsidR="00592782" w:rsidRPr="00794173" w:rsidRDefault="00B24B7D" w:rsidP="00255289">
      <w:pPr>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 xml:space="preserve">In a </w:t>
      </w:r>
      <w:r w:rsidR="00F92832" w:rsidRPr="00794173">
        <w:rPr>
          <w:rFonts w:ascii="Times New Roman" w:hAnsi="Times New Roman" w:cs="Times New Roman"/>
          <w:sz w:val="20"/>
          <w:szCs w:val="20"/>
        </w:rPr>
        <w:t>non-</w:t>
      </w:r>
      <w:r w:rsidR="003050D9" w:rsidRPr="00794173">
        <w:rPr>
          <w:rFonts w:ascii="Times New Roman" w:hAnsi="Times New Roman" w:cs="Times New Roman"/>
          <w:sz w:val="20"/>
          <w:szCs w:val="20"/>
        </w:rPr>
        <w:t>randomized, prospective</w:t>
      </w:r>
      <w:r w:rsidR="00774599"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study of 100 patients treated at South Egypt Cancer Institute and Military Cancer Center. </w:t>
      </w:r>
      <w:r w:rsidR="003050D9" w:rsidRPr="00794173">
        <w:rPr>
          <w:rFonts w:ascii="Times New Roman" w:hAnsi="Times New Roman" w:cs="Times New Roman"/>
          <w:sz w:val="20"/>
          <w:szCs w:val="20"/>
        </w:rPr>
        <w:t>The ethics</w:t>
      </w:r>
      <w:r w:rsidRPr="00794173">
        <w:rPr>
          <w:rFonts w:ascii="Times New Roman" w:hAnsi="Times New Roman" w:cs="Times New Roman"/>
          <w:sz w:val="20"/>
          <w:szCs w:val="20"/>
        </w:rPr>
        <w:t xml:space="preserve"> committee of South Egypt</w:t>
      </w:r>
      <w:r w:rsidR="008F4B7C" w:rsidRPr="00794173">
        <w:rPr>
          <w:rFonts w:ascii="Times New Roman" w:hAnsi="Times New Roman" w:cs="Times New Roman"/>
          <w:sz w:val="20"/>
          <w:szCs w:val="20"/>
        </w:rPr>
        <w:t xml:space="preserve"> Cancer Institute approved this study, and</w:t>
      </w:r>
      <w:r w:rsidRPr="00794173">
        <w:rPr>
          <w:rFonts w:ascii="Times New Roman" w:hAnsi="Times New Roman" w:cs="Times New Roman"/>
          <w:sz w:val="20"/>
          <w:szCs w:val="20"/>
        </w:rPr>
        <w:t xml:space="preserve"> all patients signed w</w:t>
      </w:r>
      <w:r w:rsidR="00743A83" w:rsidRPr="00794173">
        <w:rPr>
          <w:rFonts w:ascii="Times New Roman" w:hAnsi="Times New Roman" w:cs="Times New Roman"/>
          <w:sz w:val="20"/>
          <w:szCs w:val="20"/>
        </w:rPr>
        <w:t xml:space="preserve">ritten </w:t>
      </w:r>
      <w:r w:rsidR="003050D9" w:rsidRPr="00794173">
        <w:rPr>
          <w:rFonts w:ascii="Times New Roman" w:hAnsi="Times New Roman" w:cs="Times New Roman"/>
          <w:sz w:val="20"/>
          <w:szCs w:val="20"/>
        </w:rPr>
        <w:t>consent. Patients</w:t>
      </w:r>
      <w:r w:rsidRPr="00794173">
        <w:rPr>
          <w:rFonts w:ascii="Times New Roman" w:hAnsi="Times New Roman" w:cs="Times New Roman"/>
          <w:sz w:val="20"/>
          <w:szCs w:val="20"/>
        </w:rPr>
        <w:t xml:space="preserve"> to be eligible must ha</w:t>
      </w:r>
      <w:r w:rsidR="008F4B7C" w:rsidRPr="00794173">
        <w:rPr>
          <w:rFonts w:ascii="Times New Roman" w:hAnsi="Times New Roman" w:cs="Times New Roman"/>
          <w:sz w:val="20"/>
          <w:szCs w:val="20"/>
        </w:rPr>
        <w:t>ve</w:t>
      </w:r>
      <w:r w:rsidRPr="00794173">
        <w:rPr>
          <w:rFonts w:ascii="Times New Roman" w:hAnsi="Times New Roman" w:cs="Times New Roman"/>
          <w:sz w:val="20"/>
          <w:szCs w:val="20"/>
        </w:rPr>
        <w:t xml:space="preserve"> transitional cell carcinoma (TCC) of the urinary bladder, clinical stage T2 or T3 N0 M0, maximum safe trans-urethral resection of bladder tumor, performance status </w:t>
      </w:r>
      <w:r w:rsidR="00EB1B35" w:rsidRPr="00794173">
        <w:rPr>
          <w:rFonts w:ascii="Times New Roman" w:hAnsi="Times New Roman" w:cs="Times New Roman"/>
          <w:sz w:val="20"/>
          <w:szCs w:val="20"/>
        </w:rPr>
        <w:t>≤ 1</w:t>
      </w:r>
      <w:r w:rsidR="008B7582" w:rsidRPr="00794173">
        <w:rPr>
          <w:rFonts w:ascii="Times New Roman" w:hAnsi="Times New Roman" w:cs="Times New Roman"/>
          <w:sz w:val="20"/>
          <w:szCs w:val="20"/>
        </w:rPr>
        <w:t>,</w:t>
      </w:r>
      <w:r w:rsidRPr="00794173">
        <w:rPr>
          <w:rFonts w:ascii="Times New Roman" w:hAnsi="Times New Roman" w:cs="Times New Roman"/>
          <w:sz w:val="20"/>
          <w:szCs w:val="20"/>
        </w:rPr>
        <w:t xml:space="preserve"> normal laboratory values and treated by concurrent </w:t>
      </w:r>
      <w:r w:rsidR="003050D9" w:rsidRPr="00794173">
        <w:rPr>
          <w:rFonts w:ascii="Times New Roman" w:hAnsi="Times New Roman" w:cs="Times New Roman"/>
          <w:sz w:val="20"/>
          <w:szCs w:val="20"/>
        </w:rPr>
        <w:t>radio chemotherapy</w:t>
      </w:r>
      <w:r w:rsidRPr="00794173">
        <w:rPr>
          <w:rFonts w:ascii="Times New Roman" w:hAnsi="Times New Roman" w:cs="Times New Roman"/>
          <w:sz w:val="20"/>
          <w:szCs w:val="20"/>
        </w:rPr>
        <w:t xml:space="preserve"> that started within 6 weeks from </w:t>
      </w:r>
      <w:r w:rsidR="008F4B7C" w:rsidRPr="00794173">
        <w:rPr>
          <w:rFonts w:ascii="Times New Roman" w:hAnsi="Times New Roman" w:cs="Times New Roman"/>
          <w:sz w:val="20"/>
          <w:szCs w:val="20"/>
        </w:rPr>
        <w:t>the resection</w:t>
      </w:r>
      <w:r w:rsidRPr="00794173">
        <w:rPr>
          <w:rFonts w:ascii="Times New Roman" w:hAnsi="Times New Roman" w:cs="Times New Roman"/>
          <w:sz w:val="20"/>
          <w:szCs w:val="20"/>
        </w:rPr>
        <w:t xml:space="preserve">,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or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used as a </w:t>
      </w:r>
      <w:r w:rsidR="003050D9" w:rsidRPr="00794173">
        <w:rPr>
          <w:rFonts w:ascii="Times New Roman" w:hAnsi="Times New Roman" w:cs="Times New Roman"/>
          <w:sz w:val="20"/>
          <w:szCs w:val="20"/>
        </w:rPr>
        <w:t>radio sensitizer</w:t>
      </w:r>
      <w:r w:rsidR="00BE5455" w:rsidRPr="00794173">
        <w:rPr>
          <w:rFonts w:ascii="Times New Roman" w:hAnsi="Times New Roman" w:cs="Times New Roman"/>
          <w:sz w:val="20"/>
          <w:szCs w:val="20"/>
        </w:rPr>
        <w:t xml:space="preserve"> (11)</w:t>
      </w:r>
      <w:r w:rsidRPr="00794173">
        <w:rPr>
          <w:rFonts w:ascii="Times New Roman" w:hAnsi="Times New Roman" w:cs="Times New Roman"/>
          <w:sz w:val="20"/>
          <w:szCs w:val="20"/>
        </w:rPr>
        <w:t>. Exclusion criteria were multi-centric tumors and patient</w:t>
      </w:r>
      <w:r w:rsidR="004177EA" w:rsidRPr="00794173">
        <w:rPr>
          <w:rFonts w:ascii="Times New Roman" w:hAnsi="Times New Roman" w:cs="Times New Roman"/>
          <w:sz w:val="20"/>
          <w:szCs w:val="20"/>
        </w:rPr>
        <w:t>s</w:t>
      </w:r>
      <w:r w:rsidRPr="00794173">
        <w:rPr>
          <w:rFonts w:ascii="Times New Roman" w:hAnsi="Times New Roman" w:cs="Times New Roman"/>
          <w:sz w:val="20"/>
          <w:szCs w:val="20"/>
        </w:rPr>
        <w:t xml:space="preserve"> previously received </w:t>
      </w:r>
      <w:proofErr w:type="spellStart"/>
      <w:r w:rsidRPr="00794173">
        <w:rPr>
          <w:rFonts w:ascii="Times New Roman" w:hAnsi="Times New Roman" w:cs="Times New Roman"/>
          <w:sz w:val="20"/>
          <w:szCs w:val="20"/>
        </w:rPr>
        <w:t>interavesical</w:t>
      </w:r>
      <w:proofErr w:type="spellEnd"/>
      <w:r w:rsidRPr="00794173">
        <w:rPr>
          <w:rFonts w:ascii="Times New Roman" w:hAnsi="Times New Roman" w:cs="Times New Roman"/>
          <w:sz w:val="20"/>
          <w:szCs w:val="20"/>
        </w:rPr>
        <w:t xml:space="preserve"> BCG, </w:t>
      </w:r>
      <w:r w:rsidR="004177EA" w:rsidRPr="00794173">
        <w:rPr>
          <w:rFonts w:ascii="Times New Roman" w:hAnsi="Times New Roman" w:cs="Times New Roman"/>
          <w:sz w:val="20"/>
          <w:szCs w:val="20"/>
        </w:rPr>
        <w:t>chemotherapy,</w:t>
      </w:r>
      <w:r w:rsidRPr="00794173">
        <w:rPr>
          <w:rFonts w:ascii="Times New Roman" w:hAnsi="Times New Roman" w:cs="Times New Roman"/>
          <w:sz w:val="20"/>
          <w:szCs w:val="20"/>
        </w:rPr>
        <w:t xml:space="preserve"> or pelvic </w:t>
      </w:r>
      <w:r w:rsidR="003050D9" w:rsidRPr="00794173">
        <w:rPr>
          <w:rFonts w:ascii="Times New Roman" w:hAnsi="Times New Roman" w:cs="Times New Roman"/>
          <w:sz w:val="20"/>
          <w:szCs w:val="20"/>
        </w:rPr>
        <w:t>irradiation. Eligible</w:t>
      </w:r>
      <w:r w:rsidR="003C4817" w:rsidRPr="00794173">
        <w:rPr>
          <w:rFonts w:ascii="Times New Roman" w:hAnsi="Times New Roman" w:cs="Times New Roman"/>
          <w:sz w:val="20"/>
          <w:szCs w:val="20"/>
        </w:rPr>
        <w:t xml:space="preserve"> patients </w:t>
      </w:r>
      <w:r w:rsidR="001A0BD2" w:rsidRPr="00794173">
        <w:rPr>
          <w:rFonts w:ascii="Times New Roman" w:hAnsi="Times New Roman" w:cs="Times New Roman"/>
          <w:sz w:val="20"/>
          <w:szCs w:val="20"/>
        </w:rPr>
        <w:t>distributed between</w:t>
      </w:r>
      <w:r w:rsidR="003C4817" w:rsidRPr="00794173">
        <w:rPr>
          <w:rFonts w:ascii="Times New Roman" w:hAnsi="Times New Roman" w:cs="Times New Roman"/>
          <w:sz w:val="20"/>
          <w:szCs w:val="20"/>
        </w:rPr>
        <w:t xml:space="preserve"> two groups, </w:t>
      </w:r>
      <w:proofErr w:type="spellStart"/>
      <w:r w:rsidR="003C4817" w:rsidRPr="00794173">
        <w:rPr>
          <w:rFonts w:ascii="Times New Roman" w:hAnsi="Times New Roman" w:cs="Times New Roman"/>
          <w:sz w:val="20"/>
          <w:szCs w:val="20"/>
        </w:rPr>
        <w:t>gemcitabine</w:t>
      </w:r>
      <w:proofErr w:type="spellEnd"/>
      <w:r w:rsidR="003C4817" w:rsidRPr="00794173">
        <w:rPr>
          <w:rFonts w:ascii="Times New Roman" w:hAnsi="Times New Roman" w:cs="Times New Roman"/>
          <w:sz w:val="20"/>
          <w:szCs w:val="20"/>
        </w:rPr>
        <w:t xml:space="preserve"> and </w:t>
      </w:r>
      <w:proofErr w:type="spellStart"/>
      <w:r w:rsidR="003C4817" w:rsidRPr="00794173">
        <w:rPr>
          <w:rFonts w:ascii="Times New Roman" w:hAnsi="Times New Roman" w:cs="Times New Roman"/>
          <w:sz w:val="20"/>
          <w:szCs w:val="20"/>
        </w:rPr>
        <w:t>cisplatin</w:t>
      </w:r>
      <w:proofErr w:type="spellEnd"/>
      <w:r w:rsidR="003C4817" w:rsidRPr="00794173">
        <w:rPr>
          <w:rFonts w:ascii="Times New Roman" w:hAnsi="Times New Roman" w:cs="Times New Roman"/>
          <w:sz w:val="20"/>
          <w:szCs w:val="20"/>
        </w:rPr>
        <w:t xml:space="preserve"> </w:t>
      </w:r>
      <w:r w:rsidR="003050D9" w:rsidRPr="00794173">
        <w:rPr>
          <w:rFonts w:ascii="Times New Roman" w:hAnsi="Times New Roman" w:cs="Times New Roman"/>
          <w:sz w:val="20"/>
          <w:szCs w:val="20"/>
        </w:rPr>
        <w:t>group. All</w:t>
      </w:r>
      <w:r w:rsidRPr="00794173">
        <w:rPr>
          <w:rFonts w:ascii="Times New Roman" w:hAnsi="Times New Roman" w:cs="Times New Roman"/>
          <w:sz w:val="20"/>
          <w:szCs w:val="20"/>
        </w:rPr>
        <w:t xml:space="preserve"> patients planned</w:t>
      </w:r>
      <w:r w:rsidR="004177EA" w:rsidRPr="00794173">
        <w:rPr>
          <w:rFonts w:ascii="Times New Roman" w:hAnsi="Times New Roman" w:cs="Times New Roman"/>
          <w:sz w:val="20"/>
          <w:szCs w:val="20"/>
        </w:rPr>
        <w:t xml:space="preserve"> to</w:t>
      </w:r>
      <w:r w:rsidRPr="00794173">
        <w:rPr>
          <w:rFonts w:ascii="Times New Roman" w:hAnsi="Times New Roman" w:cs="Times New Roman"/>
          <w:sz w:val="20"/>
          <w:szCs w:val="20"/>
        </w:rPr>
        <w:t xml:space="preserve"> receive weekly doses of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125mg/m</w:t>
      </w:r>
      <w:r w:rsidRPr="00794173">
        <w:rPr>
          <w:rFonts w:ascii="Times New Roman" w:hAnsi="Times New Roman" w:cs="Times New Roman"/>
          <w:sz w:val="20"/>
          <w:szCs w:val="20"/>
          <w:vertAlign w:val="superscript"/>
        </w:rPr>
        <w:t>2</w:t>
      </w:r>
      <w:r w:rsidRPr="00794173">
        <w:rPr>
          <w:rFonts w:ascii="Times New Roman" w:hAnsi="Times New Roman" w:cs="Times New Roman"/>
          <w:sz w:val="20"/>
          <w:szCs w:val="20"/>
        </w:rPr>
        <w:t xml:space="preserve">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group)or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40mg/m</w:t>
      </w:r>
      <w:r w:rsidRPr="00794173">
        <w:rPr>
          <w:rFonts w:ascii="Times New Roman" w:hAnsi="Times New Roman" w:cs="Times New Roman"/>
          <w:sz w:val="20"/>
          <w:szCs w:val="20"/>
          <w:vertAlign w:val="superscript"/>
        </w:rPr>
        <w:t>2</w:t>
      </w:r>
      <w:r w:rsidRPr="00794173">
        <w:rPr>
          <w:rFonts w:ascii="Times New Roman" w:hAnsi="Times New Roman" w:cs="Times New Roman"/>
          <w:sz w:val="20"/>
          <w:szCs w:val="20"/>
        </w:rPr>
        <w:t xml:space="preserve">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group) given within two hours before Saturday radiation </w:t>
      </w:r>
      <w:r w:rsidR="003050D9" w:rsidRPr="00794173">
        <w:rPr>
          <w:rFonts w:ascii="Times New Roman" w:hAnsi="Times New Roman" w:cs="Times New Roman"/>
          <w:sz w:val="20"/>
          <w:szCs w:val="20"/>
        </w:rPr>
        <w:t>session. All</w:t>
      </w:r>
      <w:r w:rsidRPr="00794173">
        <w:rPr>
          <w:rFonts w:ascii="Times New Roman" w:hAnsi="Times New Roman" w:cs="Times New Roman"/>
          <w:sz w:val="20"/>
          <w:szCs w:val="20"/>
        </w:rPr>
        <w:t xml:space="preserve"> patients received conformal </w:t>
      </w:r>
      <w:r w:rsidR="00234F09" w:rsidRPr="00794173">
        <w:rPr>
          <w:rFonts w:ascii="Times New Roman" w:hAnsi="Times New Roman" w:cs="Times New Roman"/>
          <w:sz w:val="20"/>
          <w:szCs w:val="20"/>
        </w:rPr>
        <w:t>radiotherapy</w:t>
      </w:r>
      <w:r w:rsidR="00097912" w:rsidRPr="00794173">
        <w:rPr>
          <w:rFonts w:ascii="Times New Roman" w:hAnsi="Times New Roman" w:cs="Times New Roman"/>
          <w:sz w:val="20"/>
          <w:szCs w:val="20"/>
        </w:rPr>
        <w:t>.</w:t>
      </w:r>
      <w:r w:rsidR="00234F09" w:rsidRPr="00794173">
        <w:rPr>
          <w:rFonts w:ascii="Times New Roman" w:hAnsi="Times New Roman" w:cs="Times New Roman"/>
          <w:sz w:val="20"/>
          <w:szCs w:val="20"/>
        </w:rPr>
        <w:t xml:space="preserve"> Pelvis</w:t>
      </w:r>
      <w:r w:rsidRPr="00794173">
        <w:rPr>
          <w:rFonts w:ascii="Times New Roman" w:hAnsi="Times New Roman" w:cs="Times New Roman"/>
          <w:sz w:val="20"/>
          <w:szCs w:val="20"/>
        </w:rPr>
        <w:t xml:space="preserve"> clinical target volume (CTV-pelvis) </w:t>
      </w:r>
      <w:r w:rsidR="003050D9" w:rsidRPr="00794173">
        <w:rPr>
          <w:rFonts w:ascii="Times New Roman" w:hAnsi="Times New Roman" w:cs="Times New Roman"/>
          <w:sz w:val="20"/>
          <w:szCs w:val="20"/>
        </w:rPr>
        <w:t>was whole</w:t>
      </w:r>
      <w:r w:rsidR="0073780B"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bladder, prostate and prostatic urethra (in men), and </w:t>
      </w:r>
      <w:r w:rsidRPr="00794173">
        <w:rPr>
          <w:rFonts w:ascii="Times New Roman" w:hAnsi="Times New Roman" w:cs="Times New Roman"/>
          <w:sz w:val="20"/>
          <w:szCs w:val="20"/>
        </w:rPr>
        <w:lastRenderedPageBreak/>
        <w:t xml:space="preserve">pelvic lymph nodes (internal and external iliac, and </w:t>
      </w:r>
      <w:proofErr w:type="spellStart"/>
      <w:r w:rsidRPr="00794173">
        <w:rPr>
          <w:rFonts w:ascii="Times New Roman" w:hAnsi="Times New Roman" w:cs="Times New Roman"/>
          <w:sz w:val="20"/>
          <w:szCs w:val="20"/>
        </w:rPr>
        <w:t>obturator</w:t>
      </w:r>
      <w:proofErr w:type="spellEnd"/>
      <w:r w:rsidR="004177EA" w:rsidRPr="00794173">
        <w:rPr>
          <w:rFonts w:ascii="Times New Roman" w:hAnsi="Times New Roman" w:cs="Times New Roman"/>
          <w:sz w:val="20"/>
          <w:szCs w:val="20"/>
        </w:rPr>
        <w:t>)</w:t>
      </w:r>
      <w:r w:rsidR="0073780B" w:rsidRPr="00794173">
        <w:rPr>
          <w:rFonts w:ascii="Times New Roman" w:hAnsi="Times New Roman" w:cs="Times New Roman"/>
          <w:sz w:val="20"/>
          <w:szCs w:val="20"/>
        </w:rPr>
        <w:t>.</w:t>
      </w:r>
      <w:r w:rsidRPr="00794173">
        <w:rPr>
          <w:rFonts w:ascii="Times New Roman" w:hAnsi="Times New Roman" w:cs="Times New Roman"/>
          <w:sz w:val="20"/>
          <w:szCs w:val="20"/>
        </w:rPr>
        <w:t xml:space="preserve"> CTV-bladder</w:t>
      </w:r>
      <w:r w:rsidR="004177EA" w:rsidRPr="00794173">
        <w:rPr>
          <w:rFonts w:ascii="Times New Roman" w:hAnsi="Times New Roman" w:cs="Times New Roman"/>
          <w:sz w:val="20"/>
          <w:szCs w:val="20"/>
        </w:rPr>
        <w:t xml:space="preserve"> included any gross tumor</w:t>
      </w:r>
      <w:r w:rsidR="0073780B" w:rsidRPr="00794173">
        <w:rPr>
          <w:rFonts w:ascii="Times New Roman" w:hAnsi="Times New Roman" w:cs="Times New Roman"/>
          <w:sz w:val="20"/>
          <w:szCs w:val="20"/>
        </w:rPr>
        <w:t xml:space="preserve"> volume (GTV)</w:t>
      </w:r>
      <w:r w:rsidR="004177EA" w:rsidRPr="00794173">
        <w:rPr>
          <w:rFonts w:ascii="Times New Roman" w:hAnsi="Times New Roman" w:cs="Times New Roman"/>
          <w:sz w:val="20"/>
          <w:szCs w:val="20"/>
        </w:rPr>
        <w:t xml:space="preserve"> </w:t>
      </w:r>
      <w:r w:rsidR="003050D9" w:rsidRPr="00794173">
        <w:rPr>
          <w:rFonts w:ascii="Times New Roman" w:hAnsi="Times New Roman" w:cs="Times New Roman"/>
          <w:sz w:val="20"/>
          <w:szCs w:val="20"/>
        </w:rPr>
        <w:t>and whole</w:t>
      </w:r>
      <w:r w:rsidR="0073780B" w:rsidRPr="00794173">
        <w:rPr>
          <w:rFonts w:ascii="Times New Roman" w:hAnsi="Times New Roman" w:cs="Times New Roman"/>
          <w:sz w:val="20"/>
          <w:szCs w:val="20"/>
        </w:rPr>
        <w:t xml:space="preserve"> </w:t>
      </w:r>
      <w:r w:rsidRPr="00794173">
        <w:rPr>
          <w:rFonts w:ascii="Times New Roman" w:hAnsi="Times New Roman" w:cs="Times New Roman"/>
          <w:sz w:val="20"/>
          <w:szCs w:val="20"/>
        </w:rPr>
        <w:t>bladder</w:t>
      </w:r>
      <w:r w:rsidR="0073780B" w:rsidRPr="00794173">
        <w:rPr>
          <w:rFonts w:ascii="Times New Roman" w:hAnsi="Times New Roman" w:cs="Times New Roman"/>
          <w:sz w:val="20"/>
          <w:szCs w:val="20"/>
        </w:rPr>
        <w:t xml:space="preserve">. </w:t>
      </w:r>
      <w:r w:rsidRPr="00794173">
        <w:rPr>
          <w:rFonts w:ascii="Times New Roman" w:hAnsi="Times New Roman" w:cs="Times New Roman"/>
          <w:sz w:val="20"/>
          <w:szCs w:val="20"/>
        </w:rPr>
        <w:t>The organs at risk</w:t>
      </w:r>
      <w:r w:rsidR="00157D65" w:rsidRPr="00794173">
        <w:rPr>
          <w:rFonts w:ascii="Times New Roman" w:hAnsi="Times New Roman" w:cs="Times New Roman"/>
          <w:sz w:val="20"/>
          <w:szCs w:val="20"/>
        </w:rPr>
        <w:t xml:space="preserve"> (OAR)</w:t>
      </w:r>
      <w:r w:rsidRPr="00794173">
        <w:rPr>
          <w:rFonts w:ascii="Times New Roman" w:hAnsi="Times New Roman" w:cs="Times New Roman"/>
          <w:sz w:val="20"/>
          <w:szCs w:val="20"/>
        </w:rPr>
        <w:t xml:space="preserve"> were rectum</w:t>
      </w:r>
      <w:r w:rsidR="004177EA"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small intestine, and femoral heads. Radiotherapy delivered in 2 </w:t>
      </w:r>
      <w:r w:rsidR="003050D9" w:rsidRPr="00794173">
        <w:rPr>
          <w:rFonts w:ascii="Times New Roman" w:hAnsi="Times New Roman" w:cs="Times New Roman"/>
          <w:sz w:val="20"/>
          <w:szCs w:val="20"/>
        </w:rPr>
        <w:t xml:space="preserve">phases; </w:t>
      </w:r>
      <w:proofErr w:type="gramStart"/>
      <w:r w:rsidR="003050D9" w:rsidRPr="00794173">
        <w:rPr>
          <w:rFonts w:ascii="Times New Roman" w:hAnsi="Times New Roman" w:cs="Times New Roman"/>
          <w:sz w:val="20"/>
          <w:szCs w:val="20"/>
        </w:rPr>
        <w:t>phase</w:t>
      </w:r>
      <w:proofErr w:type="gramEnd"/>
      <w:r w:rsidRPr="00794173">
        <w:rPr>
          <w:rFonts w:ascii="Times New Roman" w:hAnsi="Times New Roman" w:cs="Times New Roman"/>
          <w:sz w:val="20"/>
          <w:szCs w:val="20"/>
        </w:rPr>
        <w:t xml:space="preserve"> I, 46 </w:t>
      </w:r>
      <w:proofErr w:type="spellStart"/>
      <w:r w:rsidRPr="00794173">
        <w:rPr>
          <w:rFonts w:ascii="Times New Roman" w:hAnsi="Times New Roman" w:cs="Times New Roman"/>
          <w:sz w:val="20"/>
          <w:szCs w:val="20"/>
        </w:rPr>
        <w:t>Gy</w:t>
      </w:r>
      <w:proofErr w:type="spellEnd"/>
      <w:r w:rsidRPr="00794173">
        <w:rPr>
          <w:rFonts w:ascii="Times New Roman" w:hAnsi="Times New Roman" w:cs="Times New Roman"/>
          <w:sz w:val="20"/>
          <w:szCs w:val="20"/>
        </w:rPr>
        <w:t xml:space="preserve"> in 23 fractions given to PTV-pelvis</w:t>
      </w:r>
      <w:r w:rsidR="00ED2BC9" w:rsidRPr="00794173">
        <w:rPr>
          <w:rFonts w:ascii="Times New Roman" w:hAnsi="Times New Roman" w:cs="Times New Roman"/>
          <w:sz w:val="20"/>
          <w:szCs w:val="20"/>
        </w:rPr>
        <w:t>, and</w:t>
      </w:r>
      <w:r w:rsidR="006F5978" w:rsidRPr="00794173">
        <w:rPr>
          <w:rFonts w:ascii="Times New Roman" w:hAnsi="Times New Roman" w:cs="Times New Roman"/>
          <w:sz w:val="20"/>
          <w:szCs w:val="20"/>
        </w:rPr>
        <w:t xml:space="preserve"> </w:t>
      </w:r>
      <w:r w:rsidR="00ED2BC9" w:rsidRPr="00794173">
        <w:rPr>
          <w:rFonts w:ascii="Times New Roman" w:hAnsi="Times New Roman" w:cs="Times New Roman"/>
          <w:sz w:val="20"/>
          <w:szCs w:val="20"/>
        </w:rPr>
        <w:t>p</w:t>
      </w:r>
      <w:r w:rsidRPr="00794173">
        <w:rPr>
          <w:rFonts w:ascii="Times New Roman" w:hAnsi="Times New Roman" w:cs="Times New Roman"/>
          <w:sz w:val="20"/>
          <w:szCs w:val="20"/>
        </w:rPr>
        <w:t xml:space="preserve">hase II, 20 </w:t>
      </w:r>
      <w:proofErr w:type="spellStart"/>
      <w:r w:rsidRPr="00794173">
        <w:rPr>
          <w:rFonts w:ascii="Times New Roman" w:hAnsi="Times New Roman" w:cs="Times New Roman"/>
          <w:sz w:val="20"/>
          <w:szCs w:val="20"/>
        </w:rPr>
        <w:t>Gy</w:t>
      </w:r>
      <w:proofErr w:type="spellEnd"/>
      <w:r w:rsidRPr="00794173">
        <w:rPr>
          <w:rFonts w:ascii="Times New Roman" w:hAnsi="Times New Roman" w:cs="Times New Roman"/>
          <w:sz w:val="20"/>
          <w:szCs w:val="20"/>
        </w:rPr>
        <w:t xml:space="preserve"> in10 fractions </w:t>
      </w:r>
      <w:r w:rsidR="004177EA" w:rsidRPr="00794173">
        <w:rPr>
          <w:rFonts w:ascii="Times New Roman" w:hAnsi="Times New Roman" w:cs="Times New Roman"/>
          <w:sz w:val="20"/>
          <w:szCs w:val="20"/>
        </w:rPr>
        <w:t xml:space="preserve">to </w:t>
      </w:r>
      <w:r w:rsidRPr="00794173">
        <w:rPr>
          <w:rFonts w:ascii="Times New Roman" w:hAnsi="Times New Roman" w:cs="Times New Roman"/>
          <w:sz w:val="20"/>
          <w:szCs w:val="20"/>
        </w:rPr>
        <w:t xml:space="preserve">PTV-bladder. Regarded OAR, </w:t>
      </w:r>
      <w:r w:rsidR="00686435" w:rsidRPr="00794173">
        <w:rPr>
          <w:rFonts w:ascii="Times New Roman" w:hAnsi="Times New Roman" w:cs="Times New Roman"/>
          <w:sz w:val="20"/>
          <w:szCs w:val="20"/>
        </w:rPr>
        <w:t xml:space="preserve">V50 </w:t>
      </w:r>
      <w:r w:rsidR="00157D65" w:rsidRPr="00794173">
        <w:rPr>
          <w:rFonts w:ascii="Times New Roman" w:hAnsi="Times New Roman" w:cs="Times New Roman"/>
          <w:sz w:val="20"/>
          <w:szCs w:val="20"/>
        </w:rPr>
        <w:t xml:space="preserve">for femoral heads </w:t>
      </w:r>
      <w:r w:rsidR="00686435" w:rsidRPr="00794173">
        <w:rPr>
          <w:rFonts w:ascii="Times New Roman" w:hAnsi="Times New Roman" w:cs="Times New Roman"/>
          <w:sz w:val="20"/>
          <w:szCs w:val="20"/>
        </w:rPr>
        <w:t>&lt;5%</w:t>
      </w:r>
      <w:proofErr w:type="gramStart"/>
      <w:r w:rsidR="00686435" w:rsidRPr="00794173">
        <w:rPr>
          <w:rFonts w:ascii="Times New Roman" w:hAnsi="Times New Roman" w:cs="Times New Roman"/>
          <w:sz w:val="20"/>
          <w:szCs w:val="20"/>
        </w:rPr>
        <w:t>,</w:t>
      </w:r>
      <w:r w:rsidR="00234F09" w:rsidRPr="00794173">
        <w:rPr>
          <w:rFonts w:ascii="Times New Roman" w:hAnsi="Times New Roman" w:cs="Times New Roman"/>
          <w:sz w:val="20"/>
          <w:szCs w:val="20"/>
        </w:rPr>
        <w:t>and</w:t>
      </w:r>
      <w:proofErr w:type="gramEnd"/>
      <w:r w:rsidRPr="00794173">
        <w:rPr>
          <w:rFonts w:ascii="Times New Roman" w:hAnsi="Times New Roman" w:cs="Times New Roman"/>
          <w:sz w:val="20"/>
          <w:szCs w:val="20"/>
        </w:rPr>
        <w:t xml:space="preserve"> V55 </w:t>
      </w:r>
      <w:r w:rsidR="003050D9" w:rsidRPr="00794173">
        <w:rPr>
          <w:rFonts w:ascii="Times New Roman" w:hAnsi="Times New Roman" w:cs="Times New Roman"/>
          <w:sz w:val="20"/>
          <w:szCs w:val="20"/>
        </w:rPr>
        <w:t>for rectum</w:t>
      </w:r>
      <w:r w:rsidR="00686435" w:rsidRPr="00794173">
        <w:rPr>
          <w:rFonts w:ascii="Times New Roman" w:hAnsi="Times New Roman" w:cs="Times New Roman"/>
          <w:sz w:val="20"/>
          <w:szCs w:val="20"/>
        </w:rPr>
        <w:t xml:space="preserve"> &lt;50%.</w:t>
      </w:r>
      <w:r w:rsidR="00ED2BC9" w:rsidRPr="00794173">
        <w:rPr>
          <w:rFonts w:ascii="Times New Roman" w:hAnsi="Times New Roman" w:cs="Times New Roman"/>
          <w:sz w:val="20"/>
          <w:szCs w:val="20"/>
        </w:rPr>
        <w:t>D</w:t>
      </w:r>
      <w:r w:rsidR="00234F09" w:rsidRPr="00794173">
        <w:rPr>
          <w:rFonts w:ascii="Times New Roman" w:hAnsi="Times New Roman" w:cs="Times New Roman"/>
          <w:sz w:val="20"/>
          <w:szCs w:val="20"/>
        </w:rPr>
        <w:t>uring</w:t>
      </w:r>
      <w:r w:rsidRPr="00794173">
        <w:rPr>
          <w:rFonts w:ascii="Times New Roman" w:hAnsi="Times New Roman" w:cs="Times New Roman"/>
          <w:sz w:val="20"/>
          <w:szCs w:val="20"/>
        </w:rPr>
        <w:t xml:space="preserve"> radiotherapy</w:t>
      </w:r>
      <w:r w:rsidR="00ED2BC9" w:rsidRPr="00794173">
        <w:rPr>
          <w:rFonts w:ascii="Times New Roman" w:hAnsi="Times New Roman" w:cs="Times New Roman"/>
          <w:sz w:val="20"/>
          <w:szCs w:val="20"/>
        </w:rPr>
        <w:t>,</w:t>
      </w:r>
      <w:r w:rsidR="006F5978" w:rsidRPr="00794173">
        <w:rPr>
          <w:rFonts w:ascii="Times New Roman" w:hAnsi="Times New Roman" w:cs="Times New Roman"/>
          <w:sz w:val="20"/>
          <w:szCs w:val="20"/>
        </w:rPr>
        <w:t xml:space="preserve"> </w:t>
      </w:r>
      <w:r w:rsidR="00B46EDA" w:rsidRPr="00794173">
        <w:rPr>
          <w:rFonts w:ascii="Times New Roman" w:hAnsi="Times New Roman" w:cs="Times New Roman"/>
          <w:sz w:val="20"/>
          <w:szCs w:val="20"/>
        </w:rPr>
        <w:t>we did clinical and</w:t>
      </w:r>
      <w:r w:rsidRPr="00794173">
        <w:rPr>
          <w:rFonts w:ascii="Times New Roman" w:hAnsi="Times New Roman" w:cs="Times New Roman"/>
          <w:sz w:val="20"/>
          <w:szCs w:val="20"/>
        </w:rPr>
        <w:t xml:space="preserve"> laboratory</w:t>
      </w:r>
      <w:r w:rsidR="00B46EDA" w:rsidRPr="00794173">
        <w:rPr>
          <w:rFonts w:ascii="Times New Roman" w:hAnsi="Times New Roman" w:cs="Times New Roman"/>
          <w:sz w:val="20"/>
          <w:szCs w:val="20"/>
        </w:rPr>
        <w:t xml:space="preserve"> evaluation</w:t>
      </w:r>
      <w:r w:rsidRPr="00794173">
        <w:rPr>
          <w:rFonts w:ascii="Times New Roman" w:hAnsi="Times New Roman" w:cs="Times New Roman"/>
          <w:sz w:val="20"/>
          <w:szCs w:val="20"/>
        </w:rPr>
        <w:t xml:space="preserve"> by complete blood counts before each </w:t>
      </w:r>
      <w:r w:rsidR="00B46EDA" w:rsidRPr="00794173">
        <w:rPr>
          <w:rFonts w:ascii="Times New Roman" w:hAnsi="Times New Roman" w:cs="Times New Roman"/>
          <w:sz w:val="20"/>
          <w:szCs w:val="20"/>
        </w:rPr>
        <w:t xml:space="preserve">chemotherapy </w:t>
      </w:r>
      <w:r w:rsidRPr="00794173">
        <w:rPr>
          <w:rFonts w:ascii="Times New Roman" w:hAnsi="Times New Roman" w:cs="Times New Roman"/>
          <w:sz w:val="20"/>
          <w:szCs w:val="20"/>
        </w:rPr>
        <w:t xml:space="preserve">administration, while blood electrolytes, and </w:t>
      </w:r>
      <w:proofErr w:type="spellStart"/>
      <w:r w:rsidR="00B46EDA" w:rsidRPr="00794173">
        <w:rPr>
          <w:rFonts w:ascii="Times New Roman" w:hAnsi="Times New Roman" w:cs="Times New Roman"/>
          <w:sz w:val="20"/>
          <w:szCs w:val="20"/>
        </w:rPr>
        <w:t>creatinine</w:t>
      </w:r>
      <w:proofErr w:type="spellEnd"/>
      <w:r w:rsidRPr="00794173">
        <w:rPr>
          <w:rFonts w:ascii="Times New Roman" w:hAnsi="Times New Roman" w:cs="Times New Roman"/>
          <w:sz w:val="20"/>
          <w:szCs w:val="20"/>
        </w:rPr>
        <w:t xml:space="preserve"> every 3 weeks</w:t>
      </w:r>
      <w:r w:rsidR="00686435" w:rsidRPr="00794173">
        <w:rPr>
          <w:rFonts w:ascii="Times New Roman" w:hAnsi="Times New Roman" w:cs="Times New Roman"/>
          <w:sz w:val="20"/>
          <w:szCs w:val="20"/>
        </w:rPr>
        <w:t>.</w:t>
      </w:r>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After radiotherapy, patients underwent clinical evaluation by history and physical examination monthly during first 6 months, every 2 months during the second 6 months, and every 3 months thereafter. </w:t>
      </w:r>
      <w:r w:rsidR="00B46EDA" w:rsidRPr="00794173">
        <w:rPr>
          <w:rFonts w:ascii="Times New Roman" w:hAnsi="Times New Roman" w:cs="Times New Roman"/>
          <w:sz w:val="20"/>
          <w:szCs w:val="20"/>
        </w:rPr>
        <w:t>They did a</w:t>
      </w:r>
      <w:r w:rsidRPr="00794173">
        <w:rPr>
          <w:rFonts w:ascii="Times New Roman" w:hAnsi="Times New Roman" w:cs="Times New Roman"/>
          <w:sz w:val="20"/>
          <w:szCs w:val="20"/>
        </w:rPr>
        <w:t xml:space="preserve">bdominal pelvic CT or MRI and </w:t>
      </w:r>
      <w:proofErr w:type="spellStart"/>
      <w:r w:rsidRPr="00794173">
        <w:rPr>
          <w:rFonts w:ascii="Times New Roman" w:hAnsi="Times New Roman" w:cs="Times New Roman"/>
          <w:sz w:val="20"/>
          <w:szCs w:val="20"/>
        </w:rPr>
        <w:t>cystoscopy</w:t>
      </w:r>
      <w:proofErr w:type="spellEnd"/>
      <w:r w:rsidRPr="00794173">
        <w:rPr>
          <w:rFonts w:ascii="Times New Roman" w:hAnsi="Times New Roman" w:cs="Times New Roman"/>
          <w:sz w:val="20"/>
          <w:szCs w:val="20"/>
        </w:rPr>
        <w:t xml:space="preserve"> every 3 months in the first year, then every 4 months in the second year then twice a year subsequently</w:t>
      </w:r>
      <w:r w:rsidR="00B46EDA" w:rsidRPr="00794173">
        <w:rPr>
          <w:rFonts w:ascii="Times New Roman" w:hAnsi="Times New Roman" w:cs="Times New Roman"/>
          <w:sz w:val="20"/>
          <w:szCs w:val="20"/>
        </w:rPr>
        <w:t xml:space="preserve">, </w:t>
      </w:r>
      <w:r w:rsidR="003050D9" w:rsidRPr="00794173">
        <w:rPr>
          <w:rFonts w:ascii="Times New Roman" w:hAnsi="Times New Roman" w:cs="Times New Roman"/>
          <w:sz w:val="20"/>
          <w:szCs w:val="20"/>
        </w:rPr>
        <w:t>and chest</w:t>
      </w:r>
      <w:r w:rsidRPr="00794173">
        <w:rPr>
          <w:rFonts w:ascii="Times New Roman" w:hAnsi="Times New Roman" w:cs="Times New Roman"/>
          <w:sz w:val="20"/>
          <w:szCs w:val="20"/>
        </w:rPr>
        <w:t xml:space="preserve"> imaging twice a year for the first 2 years and then </w:t>
      </w:r>
      <w:r w:rsidR="003050D9" w:rsidRPr="00794173">
        <w:rPr>
          <w:rFonts w:ascii="Times New Roman" w:hAnsi="Times New Roman" w:cs="Times New Roman"/>
          <w:sz w:val="20"/>
          <w:szCs w:val="20"/>
        </w:rPr>
        <w:t>annually. Complete</w:t>
      </w:r>
      <w:r w:rsidRPr="00794173">
        <w:rPr>
          <w:rFonts w:ascii="Times New Roman" w:hAnsi="Times New Roman" w:cs="Times New Roman"/>
          <w:sz w:val="20"/>
          <w:szCs w:val="20"/>
        </w:rPr>
        <w:t xml:space="preserve"> remission (CR) defined as no measurable disease that confirmed by </w:t>
      </w:r>
      <w:proofErr w:type="spellStart"/>
      <w:r w:rsidRPr="00794173">
        <w:rPr>
          <w:rFonts w:ascii="Times New Roman" w:hAnsi="Times New Roman" w:cs="Times New Roman"/>
          <w:sz w:val="20"/>
          <w:szCs w:val="20"/>
        </w:rPr>
        <w:t>cystoscopy</w:t>
      </w:r>
      <w:proofErr w:type="spellEnd"/>
      <w:r w:rsidRPr="00794173">
        <w:rPr>
          <w:rFonts w:ascii="Times New Roman" w:hAnsi="Times New Roman" w:cs="Times New Roman"/>
          <w:sz w:val="20"/>
          <w:szCs w:val="20"/>
        </w:rPr>
        <w:t xml:space="preserve"> and biopsy. In case of persistent invasive TCC, </w:t>
      </w:r>
      <w:r w:rsidR="00B46EDA" w:rsidRPr="00794173">
        <w:rPr>
          <w:rFonts w:ascii="Times New Roman" w:hAnsi="Times New Roman" w:cs="Times New Roman"/>
          <w:sz w:val="20"/>
          <w:szCs w:val="20"/>
        </w:rPr>
        <w:t xml:space="preserve">patients underwent </w:t>
      </w:r>
      <w:r w:rsidRPr="00794173">
        <w:rPr>
          <w:rFonts w:ascii="Times New Roman" w:hAnsi="Times New Roman" w:cs="Times New Roman"/>
          <w:sz w:val="20"/>
          <w:szCs w:val="20"/>
        </w:rPr>
        <w:t xml:space="preserve">salvage </w:t>
      </w:r>
      <w:proofErr w:type="spellStart"/>
      <w:r w:rsidRPr="00794173">
        <w:rPr>
          <w:rFonts w:ascii="Times New Roman" w:hAnsi="Times New Roman" w:cs="Times New Roman"/>
          <w:sz w:val="20"/>
          <w:szCs w:val="20"/>
        </w:rPr>
        <w:t>cystectomy</w:t>
      </w:r>
      <w:proofErr w:type="spellEnd"/>
      <w:r w:rsidRPr="00794173">
        <w:rPr>
          <w:rFonts w:ascii="Times New Roman" w:hAnsi="Times New Roman" w:cs="Times New Roman"/>
          <w:sz w:val="20"/>
          <w:szCs w:val="20"/>
        </w:rPr>
        <w:t>.</w:t>
      </w:r>
      <w:r w:rsidR="003050D9" w:rsidRPr="00794173">
        <w:rPr>
          <w:rFonts w:ascii="Times New Roman" w:hAnsi="Times New Roman" w:cs="Times New Roman"/>
          <w:sz w:val="20"/>
          <w:szCs w:val="20"/>
        </w:rPr>
        <w:t xml:space="preserve"> </w:t>
      </w:r>
      <w:r w:rsidR="00B53429" w:rsidRPr="00794173">
        <w:rPr>
          <w:rFonts w:ascii="Times New Roman" w:hAnsi="Times New Roman" w:cs="Times New Roman"/>
          <w:iCs/>
          <w:sz w:val="20"/>
          <w:szCs w:val="20"/>
        </w:rPr>
        <w:t>T</w:t>
      </w:r>
      <w:r w:rsidR="00592782" w:rsidRPr="00794173">
        <w:rPr>
          <w:rFonts w:ascii="Times New Roman" w:hAnsi="Times New Roman" w:cs="Times New Roman"/>
          <w:sz w:val="20"/>
          <w:szCs w:val="20"/>
        </w:rPr>
        <w:t>he statistical analysis included chi-square test for</w:t>
      </w:r>
      <w:r w:rsidR="002A3A37" w:rsidRPr="00794173">
        <w:rPr>
          <w:rFonts w:ascii="Times New Roman" w:hAnsi="Times New Roman" w:cs="Times New Roman"/>
          <w:sz w:val="20"/>
          <w:szCs w:val="20"/>
        </w:rPr>
        <w:t xml:space="preserve"> comparing percentages. </w:t>
      </w:r>
      <w:r w:rsidR="003050D9" w:rsidRPr="00794173">
        <w:rPr>
          <w:rFonts w:ascii="Times New Roman" w:hAnsi="Times New Roman" w:cs="Times New Roman"/>
          <w:sz w:val="20"/>
          <w:szCs w:val="20"/>
        </w:rPr>
        <w:t>D</w:t>
      </w:r>
      <w:r w:rsidR="002A3A37" w:rsidRPr="00794173">
        <w:rPr>
          <w:rFonts w:ascii="Times New Roman" w:hAnsi="Times New Roman" w:cs="Times New Roman"/>
          <w:sz w:val="20"/>
          <w:szCs w:val="20"/>
        </w:rPr>
        <w:t>isease</w:t>
      </w:r>
      <w:r w:rsidR="003050D9" w:rsidRPr="00794173">
        <w:rPr>
          <w:rFonts w:ascii="Times New Roman" w:hAnsi="Times New Roman" w:cs="Times New Roman"/>
          <w:sz w:val="20"/>
          <w:szCs w:val="20"/>
        </w:rPr>
        <w:t xml:space="preserve"> free survival</w:t>
      </w:r>
      <w:r w:rsidR="00592782" w:rsidRPr="00794173">
        <w:rPr>
          <w:rFonts w:ascii="Times New Roman" w:hAnsi="Times New Roman" w:cs="Times New Roman"/>
          <w:sz w:val="20"/>
          <w:szCs w:val="20"/>
        </w:rPr>
        <w:t xml:space="preserve"> (DFS) </w:t>
      </w:r>
      <w:proofErr w:type="gramStart"/>
      <w:r w:rsidR="002A3A37" w:rsidRPr="00794173">
        <w:rPr>
          <w:rFonts w:ascii="Times New Roman" w:hAnsi="Times New Roman" w:cs="Times New Roman"/>
          <w:sz w:val="20"/>
          <w:szCs w:val="20"/>
        </w:rPr>
        <w:t>was</w:t>
      </w:r>
      <w:r w:rsidR="00592782" w:rsidRPr="00794173">
        <w:rPr>
          <w:rFonts w:ascii="Times New Roman" w:hAnsi="Times New Roman" w:cs="Times New Roman"/>
          <w:sz w:val="20"/>
          <w:szCs w:val="20"/>
        </w:rPr>
        <w:t xml:space="preserve"> calculated</w:t>
      </w:r>
      <w:proofErr w:type="gramEnd"/>
      <w:r w:rsidR="00592782" w:rsidRPr="00794173">
        <w:rPr>
          <w:rFonts w:ascii="Times New Roman" w:hAnsi="Times New Roman" w:cs="Times New Roman"/>
          <w:sz w:val="20"/>
          <w:szCs w:val="20"/>
        </w:rPr>
        <w:t xml:space="preserve"> according to Kaplan-Meier actuarial method from the time of diagnosis</w:t>
      </w:r>
      <w:r w:rsidR="00B53429" w:rsidRPr="00794173">
        <w:rPr>
          <w:rFonts w:ascii="Times New Roman" w:hAnsi="Times New Roman" w:cs="Times New Roman"/>
          <w:sz w:val="20"/>
          <w:szCs w:val="20"/>
        </w:rPr>
        <w:t xml:space="preserve"> (12)</w:t>
      </w:r>
      <w:r w:rsidR="00592782" w:rsidRPr="00794173">
        <w:rPr>
          <w:rFonts w:ascii="Times New Roman" w:hAnsi="Times New Roman" w:cs="Times New Roman"/>
          <w:sz w:val="20"/>
          <w:szCs w:val="20"/>
        </w:rPr>
        <w:t xml:space="preserve">. Log rank test used to compare survival rates. The p-values were double-sided and ≤0.05 was the level of significance. </w:t>
      </w:r>
      <w:r w:rsidR="00B46EDA" w:rsidRPr="00794173">
        <w:rPr>
          <w:rFonts w:ascii="Times New Roman" w:hAnsi="Times New Roman" w:cs="Times New Roman"/>
          <w:sz w:val="20"/>
          <w:szCs w:val="20"/>
        </w:rPr>
        <w:t>We reported t</w:t>
      </w:r>
      <w:r w:rsidR="00E066B6" w:rsidRPr="00794173">
        <w:rPr>
          <w:rFonts w:ascii="Times New Roman" w:hAnsi="Times New Roman" w:cs="Times New Roman"/>
          <w:sz w:val="20"/>
          <w:szCs w:val="20"/>
        </w:rPr>
        <w:t>oxicity</w:t>
      </w:r>
      <w:r w:rsidR="00592782" w:rsidRPr="00794173">
        <w:rPr>
          <w:rFonts w:ascii="Times New Roman" w:hAnsi="Times New Roman" w:cs="Times New Roman"/>
          <w:sz w:val="20"/>
          <w:szCs w:val="20"/>
        </w:rPr>
        <w:t xml:space="preserve"> from radiotherapy and chemotherapy according to Common Toxicity </w:t>
      </w:r>
      <w:proofErr w:type="spellStart"/>
      <w:r w:rsidR="00592782" w:rsidRPr="00794173">
        <w:rPr>
          <w:rFonts w:ascii="Times New Roman" w:hAnsi="Times New Roman" w:cs="Times New Roman"/>
          <w:sz w:val="20"/>
          <w:szCs w:val="20"/>
        </w:rPr>
        <w:t>Criteriafor</w:t>
      </w:r>
      <w:proofErr w:type="spellEnd"/>
      <w:r w:rsidR="00592782" w:rsidRPr="00794173">
        <w:rPr>
          <w:rFonts w:ascii="Times New Roman" w:hAnsi="Times New Roman" w:cs="Times New Roman"/>
          <w:sz w:val="20"/>
          <w:szCs w:val="20"/>
        </w:rPr>
        <w:t xml:space="preserve"> Adverse Events (CTCAE) version 3.0</w:t>
      </w:r>
      <w:r w:rsidR="00B53429" w:rsidRPr="00794173">
        <w:rPr>
          <w:rFonts w:ascii="Times New Roman" w:hAnsi="Times New Roman" w:cs="Times New Roman"/>
          <w:sz w:val="20"/>
          <w:szCs w:val="20"/>
        </w:rPr>
        <w:t xml:space="preserve"> (13).</w:t>
      </w:r>
    </w:p>
    <w:p w:rsidR="00592782" w:rsidRPr="00794173" w:rsidRDefault="00592782" w:rsidP="00255289">
      <w:pPr>
        <w:spacing w:after="0" w:line="240" w:lineRule="auto"/>
        <w:ind w:firstLine="567"/>
        <w:jc w:val="both"/>
        <w:rPr>
          <w:rFonts w:ascii="Times New Roman" w:hAnsi="Times New Roman" w:cs="Times New Roman"/>
          <w:sz w:val="20"/>
          <w:szCs w:val="20"/>
        </w:rPr>
      </w:pPr>
    </w:p>
    <w:p w:rsidR="00794173" w:rsidRDefault="00794173" w:rsidP="00255289">
      <w:pPr>
        <w:spacing w:after="0" w:line="240" w:lineRule="auto"/>
        <w:jc w:val="both"/>
        <w:rPr>
          <w:rFonts w:ascii="Times New Roman" w:hAnsi="Times New Roman" w:cs="Times New Roman"/>
          <w:b/>
          <w:bCs/>
          <w:sz w:val="20"/>
          <w:szCs w:val="20"/>
          <w:lang w:eastAsia="zh-CN"/>
        </w:rPr>
      </w:pPr>
    </w:p>
    <w:p w:rsidR="00592782" w:rsidRPr="00794173" w:rsidRDefault="00B53429"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lastRenderedPageBreak/>
        <w:t xml:space="preserve">3. </w:t>
      </w:r>
      <w:r w:rsidR="00592782" w:rsidRPr="00794173">
        <w:rPr>
          <w:rFonts w:ascii="Times New Roman" w:hAnsi="Times New Roman" w:cs="Times New Roman"/>
          <w:b/>
          <w:bCs/>
          <w:sz w:val="20"/>
          <w:szCs w:val="20"/>
        </w:rPr>
        <w:t>Results</w:t>
      </w:r>
    </w:p>
    <w:p w:rsidR="00592782" w:rsidRPr="00794173" w:rsidRDefault="00592782" w:rsidP="00255289">
      <w:pPr>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 xml:space="preserve">Patient’s characteristics listed in Table 1; both </w:t>
      </w:r>
      <w:proofErr w:type="spellStart"/>
      <w:r w:rsidR="00901449" w:rsidRPr="00794173">
        <w:rPr>
          <w:rFonts w:ascii="Times New Roman" w:hAnsi="Times New Roman" w:cs="Times New Roman"/>
          <w:sz w:val="20"/>
          <w:szCs w:val="20"/>
        </w:rPr>
        <w:t>gemcitabine</w:t>
      </w:r>
      <w:proofErr w:type="spellEnd"/>
      <w:r w:rsidR="00901449" w:rsidRPr="00794173">
        <w:rPr>
          <w:rFonts w:ascii="Times New Roman" w:hAnsi="Times New Roman" w:cs="Times New Roman"/>
          <w:sz w:val="20"/>
          <w:szCs w:val="20"/>
        </w:rPr>
        <w:t xml:space="preserve"> and </w:t>
      </w:r>
      <w:proofErr w:type="spellStart"/>
      <w:r w:rsidR="00901449" w:rsidRPr="00794173">
        <w:rPr>
          <w:rFonts w:ascii="Times New Roman" w:hAnsi="Times New Roman" w:cs="Times New Roman"/>
          <w:sz w:val="20"/>
          <w:szCs w:val="20"/>
        </w:rPr>
        <w:t>cisplatin</w:t>
      </w:r>
      <w:proofErr w:type="spellEnd"/>
      <w:r w:rsidR="00901449" w:rsidRPr="00794173">
        <w:rPr>
          <w:rFonts w:ascii="Times New Roman" w:hAnsi="Times New Roman" w:cs="Times New Roman"/>
          <w:sz w:val="20"/>
          <w:szCs w:val="20"/>
        </w:rPr>
        <w:t xml:space="preserve"> </w:t>
      </w:r>
      <w:r w:rsidRPr="00794173">
        <w:rPr>
          <w:rFonts w:ascii="Times New Roman" w:hAnsi="Times New Roman" w:cs="Times New Roman"/>
          <w:sz w:val="20"/>
          <w:szCs w:val="20"/>
        </w:rPr>
        <w:t>group were match</w:t>
      </w:r>
      <w:r w:rsidR="00B767F3" w:rsidRPr="00794173">
        <w:rPr>
          <w:rFonts w:ascii="Times New Roman" w:hAnsi="Times New Roman" w:cs="Times New Roman"/>
          <w:sz w:val="20"/>
          <w:szCs w:val="20"/>
        </w:rPr>
        <w:t xml:space="preserve">ed </w:t>
      </w:r>
      <w:r w:rsidRPr="00794173">
        <w:rPr>
          <w:rFonts w:ascii="Times New Roman" w:hAnsi="Times New Roman" w:cs="Times New Roman"/>
          <w:sz w:val="20"/>
          <w:szCs w:val="20"/>
        </w:rPr>
        <w:t>and no statistical significant regarded different characteristics.</w:t>
      </w:r>
    </w:p>
    <w:p w:rsidR="00592782" w:rsidRPr="00794173" w:rsidRDefault="00A970C5"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t xml:space="preserve">3.1. </w:t>
      </w:r>
      <w:r w:rsidR="00592782" w:rsidRPr="00794173">
        <w:rPr>
          <w:rFonts w:ascii="Times New Roman" w:hAnsi="Times New Roman" w:cs="Times New Roman"/>
          <w:b/>
          <w:bCs/>
          <w:sz w:val="20"/>
          <w:szCs w:val="20"/>
        </w:rPr>
        <w:t>Treatment tolerability</w:t>
      </w:r>
    </w:p>
    <w:p w:rsidR="00A970C5" w:rsidRPr="00794173" w:rsidRDefault="00592782" w:rsidP="00255289">
      <w:pPr>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 xml:space="preserve">All patients completed </w:t>
      </w:r>
      <w:r w:rsidR="007B04C5" w:rsidRPr="00794173">
        <w:rPr>
          <w:rFonts w:ascii="Times New Roman" w:hAnsi="Times New Roman" w:cs="Times New Roman"/>
          <w:sz w:val="20"/>
          <w:szCs w:val="20"/>
        </w:rPr>
        <w:t xml:space="preserve">their </w:t>
      </w:r>
      <w:r w:rsidRPr="00794173">
        <w:rPr>
          <w:rFonts w:ascii="Times New Roman" w:hAnsi="Times New Roman" w:cs="Times New Roman"/>
          <w:sz w:val="20"/>
          <w:szCs w:val="20"/>
        </w:rPr>
        <w:t>radiotherapy</w:t>
      </w:r>
      <w:r w:rsidR="007B04C5" w:rsidRPr="00794173">
        <w:rPr>
          <w:rFonts w:ascii="Times New Roman" w:hAnsi="Times New Roman" w:cs="Times New Roman"/>
          <w:sz w:val="20"/>
          <w:szCs w:val="20"/>
        </w:rPr>
        <w:t xml:space="preserve"> course up to 66Gy</w:t>
      </w:r>
      <w:r w:rsidRPr="00794173">
        <w:rPr>
          <w:rFonts w:ascii="Times New Roman" w:hAnsi="Times New Roman" w:cs="Times New Roman"/>
          <w:sz w:val="20"/>
          <w:szCs w:val="20"/>
        </w:rPr>
        <w:t xml:space="preserve"> in both groups, however </w:t>
      </w:r>
      <w:r w:rsidR="00747ABF" w:rsidRPr="00794173">
        <w:rPr>
          <w:rFonts w:ascii="Times New Roman" w:hAnsi="Times New Roman" w:cs="Times New Roman"/>
          <w:sz w:val="20"/>
          <w:szCs w:val="20"/>
        </w:rPr>
        <w:t>six patients</w:t>
      </w:r>
      <w:r w:rsidRPr="00794173">
        <w:rPr>
          <w:rFonts w:ascii="Times New Roman" w:hAnsi="Times New Roman" w:cs="Times New Roman"/>
          <w:sz w:val="20"/>
          <w:szCs w:val="20"/>
        </w:rPr>
        <w:t xml:space="preserve"> </w:t>
      </w:r>
      <w:r w:rsidR="007B04C5" w:rsidRPr="00794173">
        <w:rPr>
          <w:rFonts w:ascii="Times New Roman" w:hAnsi="Times New Roman" w:cs="Times New Roman"/>
          <w:sz w:val="20"/>
          <w:szCs w:val="20"/>
        </w:rPr>
        <w:t>did</w:t>
      </w:r>
      <w:r w:rsidRPr="00794173">
        <w:rPr>
          <w:rFonts w:ascii="Times New Roman" w:hAnsi="Times New Roman" w:cs="Times New Roman"/>
          <w:sz w:val="20"/>
          <w:szCs w:val="20"/>
        </w:rPr>
        <w:t xml:space="preserve"> not </w:t>
      </w:r>
      <w:r w:rsidR="007B04C5" w:rsidRPr="00794173">
        <w:rPr>
          <w:rFonts w:ascii="Times New Roman" w:hAnsi="Times New Roman" w:cs="Times New Roman"/>
          <w:sz w:val="20"/>
          <w:szCs w:val="20"/>
        </w:rPr>
        <w:t>receive</w:t>
      </w:r>
      <w:r w:rsidRPr="00794173">
        <w:rPr>
          <w:rFonts w:ascii="Times New Roman" w:hAnsi="Times New Roman" w:cs="Times New Roman"/>
          <w:sz w:val="20"/>
          <w:szCs w:val="20"/>
        </w:rPr>
        <w:t xml:space="preserve"> their weekly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doses</w:t>
      </w:r>
      <w:r w:rsidR="007B04C5" w:rsidRPr="00794173">
        <w:rPr>
          <w:rFonts w:ascii="Times New Roman" w:hAnsi="Times New Roman" w:cs="Times New Roman"/>
          <w:sz w:val="20"/>
          <w:szCs w:val="20"/>
        </w:rPr>
        <w:t xml:space="preserve"> completely as follow</w:t>
      </w:r>
      <w:r w:rsidRPr="00794173">
        <w:rPr>
          <w:rFonts w:ascii="Times New Roman" w:hAnsi="Times New Roman" w:cs="Times New Roman"/>
          <w:sz w:val="20"/>
          <w:szCs w:val="20"/>
        </w:rPr>
        <w:t xml:space="preserve">; </w:t>
      </w:r>
      <w:proofErr w:type="gramStart"/>
      <w:r w:rsidR="007B04C5" w:rsidRPr="00794173">
        <w:rPr>
          <w:rFonts w:ascii="Times New Roman" w:hAnsi="Times New Roman" w:cs="Times New Roman"/>
          <w:sz w:val="20"/>
          <w:szCs w:val="20"/>
        </w:rPr>
        <w:t>2</w:t>
      </w:r>
      <w:proofErr w:type="gramEnd"/>
      <w:r w:rsidRPr="00794173">
        <w:rPr>
          <w:rFonts w:ascii="Times New Roman" w:hAnsi="Times New Roman" w:cs="Times New Roman"/>
          <w:sz w:val="20"/>
          <w:szCs w:val="20"/>
        </w:rPr>
        <w:t xml:space="preserve"> patients had three weekly doses,</w:t>
      </w:r>
      <w:r w:rsidR="007B04C5" w:rsidRPr="00794173">
        <w:rPr>
          <w:rFonts w:ascii="Times New Roman" w:hAnsi="Times New Roman" w:cs="Times New Roman"/>
          <w:sz w:val="20"/>
          <w:szCs w:val="20"/>
        </w:rPr>
        <w:t xml:space="preserve"> 2</w:t>
      </w:r>
      <w:r w:rsidRPr="00794173">
        <w:rPr>
          <w:rFonts w:ascii="Times New Roman" w:hAnsi="Times New Roman" w:cs="Times New Roman"/>
          <w:sz w:val="20"/>
          <w:szCs w:val="20"/>
        </w:rPr>
        <w:t xml:space="preserve"> patients had four doses and </w:t>
      </w:r>
      <w:r w:rsidR="007B04C5" w:rsidRPr="00794173">
        <w:rPr>
          <w:rFonts w:ascii="Times New Roman" w:hAnsi="Times New Roman" w:cs="Times New Roman"/>
          <w:sz w:val="20"/>
          <w:szCs w:val="20"/>
        </w:rPr>
        <w:t>2</w:t>
      </w:r>
      <w:r w:rsidRPr="00794173">
        <w:rPr>
          <w:rFonts w:ascii="Times New Roman" w:hAnsi="Times New Roman" w:cs="Times New Roman"/>
          <w:sz w:val="20"/>
          <w:szCs w:val="20"/>
        </w:rPr>
        <w:t xml:space="preserve">patients had </w:t>
      </w:r>
      <w:r w:rsidR="000F6267" w:rsidRPr="00794173">
        <w:rPr>
          <w:rFonts w:ascii="Times New Roman" w:hAnsi="Times New Roman" w:cs="Times New Roman"/>
          <w:sz w:val="20"/>
          <w:szCs w:val="20"/>
        </w:rPr>
        <w:t>five</w:t>
      </w:r>
      <w:r w:rsidR="003050D9" w:rsidRPr="00794173">
        <w:rPr>
          <w:rFonts w:ascii="Times New Roman" w:hAnsi="Times New Roman" w:cs="Times New Roman"/>
          <w:sz w:val="20"/>
          <w:szCs w:val="20"/>
        </w:rPr>
        <w:t xml:space="preserve"> </w:t>
      </w:r>
      <w:proofErr w:type="spellStart"/>
      <w:r w:rsidR="00EE38A7" w:rsidRPr="00794173">
        <w:rPr>
          <w:rFonts w:ascii="Times New Roman" w:hAnsi="Times New Roman" w:cs="Times New Roman"/>
          <w:sz w:val="20"/>
          <w:szCs w:val="20"/>
        </w:rPr>
        <w:t>gemcitabine</w:t>
      </w:r>
      <w:proofErr w:type="spellEnd"/>
      <w:r w:rsidR="00EE38A7"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doses. All six patients </w:t>
      </w:r>
      <w:r w:rsidR="00EE38A7" w:rsidRPr="00794173">
        <w:rPr>
          <w:rFonts w:ascii="Times New Roman" w:hAnsi="Times New Roman" w:cs="Times New Roman"/>
          <w:sz w:val="20"/>
          <w:szCs w:val="20"/>
        </w:rPr>
        <w:t>stopped</w:t>
      </w:r>
      <w:r w:rsidRPr="00794173">
        <w:rPr>
          <w:rFonts w:ascii="Times New Roman" w:hAnsi="Times New Roman" w:cs="Times New Roman"/>
          <w:sz w:val="20"/>
          <w:szCs w:val="20"/>
        </w:rPr>
        <w:t xml:space="preserve"> chemotherapy because of grade III gastrointestinal </w:t>
      </w:r>
      <w:r w:rsidR="00E066B6" w:rsidRPr="00794173">
        <w:rPr>
          <w:rFonts w:ascii="Times New Roman" w:hAnsi="Times New Roman" w:cs="Times New Roman"/>
          <w:sz w:val="20"/>
          <w:szCs w:val="20"/>
        </w:rPr>
        <w:t>toxicity</w:t>
      </w:r>
      <w:r w:rsidRPr="00794173">
        <w:rPr>
          <w:rFonts w:ascii="Times New Roman" w:hAnsi="Times New Roman" w:cs="Times New Roman"/>
          <w:sz w:val="20"/>
          <w:szCs w:val="20"/>
        </w:rPr>
        <w:t>.</w:t>
      </w:r>
    </w:p>
    <w:p w:rsidR="00592782" w:rsidRPr="00794173" w:rsidRDefault="00A970C5"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t xml:space="preserve">3.2. </w:t>
      </w:r>
      <w:r w:rsidR="00592782" w:rsidRPr="00794173">
        <w:rPr>
          <w:rFonts w:ascii="Times New Roman" w:hAnsi="Times New Roman" w:cs="Times New Roman"/>
          <w:b/>
          <w:bCs/>
          <w:sz w:val="20"/>
          <w:szCs w:val="20"/>
        </w:rPr>
        <w:t>Treatment response</w:t>
      </w:r>
    </w:p>
    <w:p w:rsidR="00592782" w:rsidRPr="00794173" w:rsidRDefault="0070670F" w:rsidP="00255289">
      <w:pPr>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 xml:space="preserve">Patients underwent </w:t>
      </w:r>
      <w:proofErr w:type="spellStart"/>
      <w:r w:rsidRPr="00794173">
        <w:rPr>
          <w:rFonts w:ascii="Times New Roman" w:hAnsi="Times New Roman" w:cs="Times New Roman"/>
          <w:sz w:val="20"/>
          <w:szCs w:val="20"/>
        </w:rPr>
        <w:t>c</w:t>
      </w:r>
      <w:r w:rsidR="00592782" w:rsidRPr="00794173">
        <w:rPr>
          <w:rFonts w:ascii="Times New Roman" w:hAnsi="Times New Roman" w:cs="Times New Roman"/>
          <w:sz w:val="20"/>
          <w:szCs w:val="20"/>
        </w:rPr>
        <w:t>ystoscopic</w:t>
      </w:r>
      <w:proofErr w:type="spellEnd"/>
      <w:r w:rsidR="00592782" w:rsidRPr="00794173">
        <w:rPr>
          <w:rFonts w:ascii="Times New Roman" w:hAnsi="Times New Roman" w:cs="Times New Roman"/>
          <w:sz w:val="20"/>
          <w:szCs w:val="20"/>
        </w:rPr>
        <w:t xml:space="preserve"> assessments at 3 months (Table 2), </w:t>
      </w:r>
      <w:r w:rsidR="00EE38A7" w:rsidRPr="00794173">
        <w:rPr>
          <w:rFonts w:ascii="Times New Roman" w:hAnsi="Times New Roman" w:cs="Times New Roman"/>
          <w:sz w:val="20"/>
          <w:szCs w:val="20"/>
        </w:rPr>
        <w:t xml:space="preserve">that </w:t>
      </w:r>
      <w:r w:rsidR="00592782" w:rsidRPr="00794173">
        <w:rPr>
          <w:rFonts w:ascii="Times New Roman" w:hAnsi="Times New Roman" w:cs="Times New Roman"/>
          <w:sz w:val="20"/>
          <w:szCs w:val="20"/>
        </w:rPr>
        <w:t xml:space="preserve">revealed no tumor (CR) </w:t>
      </w:r>
      <w:r w:rsidR="00EE38A7" w:rsidRPr="00794173">
        <w:rPr>
          <w:rFonts w:ascii="Times New Roman" w:hAnsi="Times New Roman" w:cs="Times New Roman"/>
          <w:sz w:val="20"/>
          <w:szCs w:val="20"/>
        </w:rPr>
        <w:t>in</w:t>
      </w:r>
      <w:r w:rsidR="00592782" w:rsidRPr="00794173">
        <w:rPr>
          <w:rFonts w:ascii="Times New Roman" w:hAnsi="Times New Roman" w:cs="Times New Roman"/>
          <w:sz w:val="20"/>
          <w:szCs w:val="20"/>
        </w:rPr>
        <w:t xml:space="preserve"> 41 patients (82%) in </w:t>
      </w:r>
      <w:proofErr w:type="spellStart"/>
      <w:r w:rsidR="00482ED2" w:rsidRPr="00794173">
        <w:rPr>
          <w:rFonts w:ascii="Times New Roman" w:hAnsi="Times New Roman" w:cs="Times New Roman"/>
          <w:sz w:val="20"/>
          <w:szCs w:val="20"/>
        </w:rPr>
        <w:t>gemcitabine</w:t>
      </w:r>
      <w:proofErr w:type="spellEnd"/>
      <w:r w:rsidR="00482ED2" w:rsidRPr="00794173">
        <w:rPr>
          <w:rFonts w:ascii="Times New Roman" w:hAnsi="Times New Roman" w:cs="Times New Roman"/>
          <w:sz w:val="20"/>
          <w:szCs w:val="20"/>
        </w:rPr>
        <w:t xml:space="preserve"> group</w:t>
      </w:r>
      <w:r w:rsidR="00592782" w:rsidRPr="00794173">
        <w:rPr>
          <w:rFonts w:ascii="Times New Roman" w:hAnsi="Times New Roman" w:cs="Times New Roman"/>
          <w:sz w:val="20"/>
          <w:szCs w:val="20"/>
        </w:rPr>
        <w:t xml:space="preserve">, and 36 patients (72%) in </w:t>
      </w:r>
      <w:proofErr w:type="spellStart"/>
      <w:r w:rsidR="00482ED2" w:rsidRPr="00794173">
        <w:rPr>
          <w:rFonts w:ascii="Times New Roman" w:hAnsi="Times New Roman" w:cs="Times New Roman"/>
          <w:sz w:val="20"/>
          <w:szCs w:val="20"/>
        </w:rPr>
        <w:t>cisplatin</w:t>
      </w:r>
      <w:proofErr w:type="spellEnd"/>
      <w:r w:rsidR="00482ED2" w:rsidRPr="00794173">
        <w:rPr>
          <w:rFonts w:ascii="Times New Roman" w:hAnsi="Times New Roman" w:cs="Times New Roman"/>
          <w:sz w:val="20"/>
          <w:szCs w:val="20"/>
        </w:rPr>
        <w:t xml:space="preserve"> group</w:t>
      </w:r>
      <w:r w:rsidR="00592782" w:rsidRPr="00794173">
        <w:rPr>
          <w:rFonts w:ascii="Times New Roman" w:hAnsi="Times New Roman" w:cs="Times New Roman"/>
          <w:sz w:val="20"/>
          <w:szCs w:val="20"/>
        </w:rPr>
        <w:t xml:space="preserve"> with insignificant differences (p=0.34). Patients who had residual tumor after 3 months underwent salvage </w:t>
      </w:r>
      <w:proofErr w:type="spellStart"/>
      <w:r w:rsidR="00592782" w:rsidRPr="00794173">
        <w:rPr>
          <w:rFonts w:ascii="Times New Roman" w:hAnsi="Times New Roman" w:cs="Times New Roman"/>
          <w:sz w:val="20"/>
          <w:szCs w:val="20"/>
        </w:rPr>
        <w:t>cystectom</w:t>
      </w:r>
      <w:r w:rsidR="00EE38A7" w:rsidRPr="00794173">
        <w:rPr>
          <w:rFonts w:ascii="Times New Roman" w:hAnsi="Times New Roman" w:cs="Times New Roman"/>
          <w:sz w:val="20"/>
          <w:szCs w:val="20"/>
        </w:rPr>
        <w:t>y</w:t>
      </w:r>
      <w:proofErr w:type="spellEnd"/>
      <w:r w:rsidR="00592782" w:rsidRPr="00794173">
        <w:rPr>
          <w:rFonts w:ascii="Times New Roman" w:hAnsi="Times New Roman" w:cs="Times New Roman"/>
          <w:sz w:val="20"/>
          <w:szCs w:val="20"/>
        </w:rPr>
        <w:t xml:space="preserve"> (9 patients in </w:t>
      </w:r>
      <w:proofErr w:type="spellStart"/>
      <w:r w:rsidR="00482ED2" w:rsidRPr="00794173">
        <w:rPr>
          <w:rFonts w:ascii="Times New Roman" w:hAnsi="Times New Roman" w:cs="Times New Roman"/>
          <w:sz w:val="20"/>
          <w:szCs w:val="20"/>
        </w:rPr>
        <w:t>gemcitabine</w:t>
      </w:r>
      <w:proofErr w:type="spellEnd"/>
      <w:r w:rsidR="00482ED2" w:rsidRPr="00794173">
        <w:rPr>
          <w:rFonts w:ascii="Times New Roman" w:hAnsi="Times New Roman" w:cs="Times New Roman"/>
          <w:sz w:val="20"/>
          <w:szCs w:val="20"/>
        </w:rPr>
        <w:t xml:space="preserve"> group</w:t>
      </w:r>
      <w:r w:rsidR="00592782" w:rsidRPr="00794173">
        <w:rPr>
          <w:rFonts w:ascii="Times New Roman" w:hAnsi="Times New Roman" w:cs="Times New Roman"/>
          <w:sz w:val="20"/>
          <w:szCs w:val="20"/>
        </w:rPr>
        <w:t xml:space="preserve">, and 14 patients in </w:t>
      </w:r>
      <w:proofErr w:type="spellStart"/>
      <w:r w:rsidR="00482ED2" w:rsidRPr="00794173">
        <w:rPr>
          <w:rFonts w:ascii="Times New Roman" w:hAnsi="Times New Roman" w:cs="Times New Roman"/>
          <w:sz w:val="20"/>
          <w:szCs w:val="20"/>
        </w:rPr>
        <w:t>cisplatin</w:t>
      </w:r>
      <w:proofErr w:type="spellEnd"/>
      <w:r w:rsidR="00482ED2" w:rsidRPr="00794173">
        <w:rPr>
          <w:rFonts w:ascii="Times New Roman" w:hAnsi="Times New Roman" w:cs="Times New Roman"/>
          <w:sz w:val="20"/>
          <w:szCs w:val="20"/>
        </w:rPr>
        <w:t xml:space="preserve"> group</w:t>
      </w:r>
      <w:r w:rsidR="00592782" w:rsidRPr="00794173">
        <w:rPr>
          <w:rFonts w:ascii="Times New Roman" w:hAnsi="Times New Roman" w:cs="Times New Roman"/>
          <w:sz w:val="20"/>
          <w:szCs w:val="20"/>
        </w:rPr>
        <w:t>).</w:t>
      </w:r>
    </w:p>
    <w:p w:rsidR="00592782" w:rsidRPr="00794173" w:rsidRDefault="00A970C5"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t xml:space="preserve">3.3. </w:t>
      </w:r>
      <w:r w:rsidR="00592782" w:rsidRPr="00794173">
        <w:rPr>
          <w:rFonts w:ascii="Times New Roman" w:hAnsi="Times New Roman" w:cs="Times New Roman"/>
          <w:b/>
          <w:bCs/>
          <w:sz w:val="20"/>
          <w:szCs w:val="20"/>
        </w:rPr>
        <w:t>Follow up</w:t>
      </w:r>
    </w:p>
    <w:p w:rsidR="00794173" w:rsidRPr="00794173" w:rsidRDefault="00794173" w:rsidP="00794173">
      <w:pPr>
        <w:pStyle w:val="Caption"/>
        <w:spacing w:after="0"/>
        <w:ind w:firstLine="720"/>
        <w:jc w:val="both"/>
        <w:rPr>
          <w:lang w:eastAsia="zh-CN"/>
        </w:rPr>
      </w:pPr>
      <w:r w:rsidRPr="00794173">
        <w:rPr>
          <w:rFonts w:ascii="Times New Roman" w:hAnsi="Times New Roman" w:cs="Times New Roman"/>
          <w:b w:val="0"/>
          <w:color w:val="000000" w:themeColor="text1"/>
          <w:sz w:val="20"/>
          <w:szCs w:val="20"/>
        </w:rPr>
        <w:t xml:space="preserve">During follow up, five patients in </w:t>
      </w:r>
      <w:proofErr w:type="spellStart"/>
      <w:r w:rsidRPr="00794173">
        <w:rPr>
          <w:rFonts w:ascii="Times New Roman" w:hAnsi="Times New Roman" w:cs="Times New Roman"/>
          <w:b w:val="0"/>
          <w:color w:val="000000" w:themeColor="text1"/>
          <w:sz w:val="20"/>
          <w:szCs w:val="20"/>
        </w:rPr>
        <w:t>gemcitabine</w:t>
      </w:r>
      <w:proofErr w:type="spellEnd"/>
      <w:r w:rsidRPr="00794173">
        <w:rPr>
          <w:rFonts w:ascii="Times New Roman" w:hAnsi="Times New Roman" w:cs="Times New Roman"/>
          <w:b w:val="0"/>
          <w:color w:val="000000" w:themeColor="text1"/>
          <w:sz w:val="20"/>
          <w:szCs w:val="20"/>
        </w:rPr>
        <w:t xml:space="preserve"> group developed invasive recurrences at 6, 10, 15, 21, and 24 months; two of them were metastatic. Six patients in </w:t>
      </w:r>
      <w:proofErr w:type="spellStart"/>
      <w:r w:rsidRPr="00794173">
        <w:rPr>
          <w:rFonts w:ascii="Times New Roman" w:hAnsi="Times New Roman" w:cs="Times New Roman"/>
          <w:b w:val="0"/>
          <w:color w:val="000000" w:themeColor="text1"/>
          <w:sz w:val="20"/>
          <w:szCs w:val="20"/>
        </w:rPr>
        <w:t>cisplatin</w:t>
      </w:r>
      <w:proofErr w:type="spellEnd"/>
      <w:r w:rsidRPr="00794173">
        <w:rPr>
          <w:rFonts w:ascii="Times New Roman" w:hAnsi="Times New Roman" w:cs="Times New Roman"/>
          <w:b w:val="0"/>
          <w:color w:val="000000" w:themeColor="text1"/>
          <w:sz w:val="20"/>
          <w:szCs w:val="20"/>
        </w:rPr>
        <w:t xml:space="preserve"> group developed invasive recurrences occurred at 15, 16, 20, and 23 months of follow up. All patients with invasive non-metastatic recurrences underwent salvage </w:t>
      </w:r>
      <w:proofErr w:type="spellStart"/>
      <w:r w:rsidRPr="00794173">
        <w:rPr>
          <w:rFonts w:ascii="Times New Roman" w:hAnsi="Times New Roman" w:cs="Times New Roman"/>
          <w:b w:val="0"/>
          <w:color w:val="000000" w:themeColor="text1"/>
          <w:sz w:val="20"/>
          <w:szCs w:val="20"/>
        </w:rPr>
        <w:t>cystectomy</w:t>
      </w:r>
      <w:proofErr w:type="spellEnd"/>
      <w:r w:rsidRPr="00794173">
        <w:rPr>
          <w:rFonts w:ascii="Times New Roman" w:hAnsi="Times New Roman" w:cs="Times New Roman"/>
          <w:b w:val="0"/>
          <w:color w:val="000000" w:themeColor="text1"/>
          <w:sz w:val="20"/>
          <w:szCs w:val="20"/>
        </w:rPr>
        <w:t>.</w:t>
      </w:r>
      <w:r>
        <w:rPr>
          <w:rFonts w:ascii="Times New Roman" w:hAnsi="Times New Roman" w:cs="Times New Roman" w:hint="eastAsia"/>
          <w:b w:val="0"/>
          <w:color w:val="000000" w:themeColor="text1"/>
          <w:sz w:val="20"/>
          <w:szCs w:val="20"/>
          <w:lang w:eastAsia="zh-CN"/>
        </w:rPr>
        <w:t xml:space="preserve"> </w:t>
      </w:r>
      <w:r w:rsidRPr="00794173">
        <w:rPr>
          <w:rFonts w:ascii="Times New Roman" w:hAnsi="Times New Roman" w:cs="Times New Roman"/>
          <w:b w:val="0"/>
          <w:color w:val="000000" w:themeColor="text1"/>
          <w:sz w:val="20"/>
          <w:szCs w:val="20"/>
        </w:rPr>
        <w:t xml:space="preserve">We detected four non-invasive recurrences; two in each group, and all became free of tumor after </w:t>
      </w:r>
      <w:proofErr w:type="spellStart"/>
      <w:r w:rsidRPr="00794173">
        <w:rPr>
          <w:rFonts w:ascii="Times New Roman" w:hAnsi="Times New Roman" w:cs="Times New Roman"/>
          <w:b w:val="0"/>
          <w:color w:val="000000" w:themeColor="text1"/>
          <w:sz w:val="20"/>
          <w:szCs w:val="20"/>
        </w:rPr>
        <w:t>interavesical</w:t>
      </w:r>
      <w:proofErr w:type="spellEnd"/>
      <w:r w:rsidRPr="00794173">
        <w:rPr>
          <w:rFonts w:ascii="Times New Roman" w:hAnsi="Times New Roman" w:cs="Times New Roman"/>
          <w:b w:val="0"/>
          <w:color w:val="000000" w:themeColor="text1"/>
          <w:sz w:val="20"/>
          <w:szCs w:val="20"/>
        </w:rPr>
        <w:t xml:space="preserve"> BCG. Two year disease free survival in </w:t>
      </w:r>
      <w:proofErr w:type="spellStart"/>
      <w:r w:rsidRPr="00794173">
        <w:rPr>
          <w:rFonts w:ascii="Times New Roman" w:hAnsi="Times New Roman" w:cs="Times New Roman"/>
          <w:b w:val="0"/>
          <w:color w:val="000000" w:themeColor="text1"/>
          <w:sz w:val="20"/>
          <w:szCs w:val="20"/>
        </w:rPr>
        <w:t>gemcitabine</w:t>
      </w:r>
      <w:proofErr w:type="spellEnd"/>
      <w:r w:rsidRPr="00794173">
        <w:rPr>
          <w:rFonts w:ascii="Times New Roman" w:hAnsi="Times New Roman" w:cs="Times New Roman"/>
          <w:b w:val="0"/>
          <w:color w:val="000000" w:themeColor="text1"/>
          <w:sz w:val="20"/>
          <w:szCs w:val="20"/>
        </w:rPr>
        <w:t xml:space="preserve"> group was </w:t>
      </w:r>
      <w:r w:rsidRPr="00794173">
        <w:rPr>
          <w:rFonts w:ascii="Times New Roman" w:hAnsi="Times New Roman" w:cs="Times New Roman"/>
          <w:b w:val="0"/>
          <w:color w:val="000000" w:themeColor="text1"/>
          <w:sz w:val="20"/>
          <w:szCs w:val="20"/>
          <w:lang w:bidi="ar-EG"/>
        </w:rPr>
        <w:t xml:space="preserve">79.4 ± 7.1 while in </w:t>
      </w:r>
      <w:proofErr w:type="spellStart"/>
      <w:r w:rsidRPr="00794173">
        <w:rPr>
          <w:rFonts w:ascii="Times New Roman" w:hAnsi="Times New Roman" w:cs="Times New Roman"/>
          <w:b w:val="0"/>
          <w:color w:val="000000" w:themeColor="text1"/>
          <w:sz w:val="20"/>
          <w:szCs w:val="20"/>
          <w:lang w:bidi="ar-EG"/>
        </w:rPr>
        <w:t>cisplatin</w:t>
      </w:r>
      <w:proofErr w:type="spellEnd"/>
      <w:r w:rsidRPr="00794173">
        <w:rPr>
          <w:rFonts w:ascii="Times New Roman" w:hAnsi="Times New Roman" w:cs="Times New Roman"/>
          <w:b w:val="0"/>
          <w:color w:val="000000" w:themeColor="text1"/>
          <w:sz w:val="20"/>
          <w:szCs w:val="20"/>
          <w:lang w:bidi="ar-EG"/>
        </w:rPr>
        <w:t xml:space="preserve"> group was 77.6 ± 8.6 (Table 3) with insignificant difference (p=0.3) </w:t>
      </w:r>
      <w:r w:rsidRPr="00794173">
        <w:rPr>
          <w:rFonts w:ascii="Times New Roman" w:hAnsi="Times New Roman" w:cs="Times New Roman"/>
          <w:b w:val="0"/>
          <w:color w:val="000000" w:themeColor="text1"/>
          <w:sz w:val="20"/>
          <w:szCs w:val="20"/>
        </w:rPr>
        <w:t>(Figure 1).</w:t>
      </w:r>
    </w:p>
    <w:p w:rsidR="00794173" w:rsidRPr="00794173" w:rsidRDefault="00794173" w:rsidP="00794173">
      <w:pPr>
        <w:rPr>
          <w:lang w:eastAsia="zh-CN"/>
        </w:rPr>
        <w:sectPr w:rsidR="00794173" w:rsidRPr="00794173" w:rsidSect="00794173">
          <w:type w:val="continuous"/>
          <w:pgSz w:w="12240" w:h="15840" w:code="1"/>
          <w:pgMar w:top="1440" w:right="1440" w:bottom="1440" w:left="1440" w:header="720" w:footer="720" w:gutter="0"/>
          <w:cols w:num="2" w:space="576"/>
          <w:docGrid w:linePitch="360"/>
        </w:sectPr>
      </w:pPr>
    </w:p>
    <w:p w:rsidR="00255289" w:rsidRPr="00794173" w:rsidRDefault="00255289" w:rsidP="00255289">
      <w:pPr>
        <w:pStyle w:val="Caption"/>
        <w:spacing w:after="0"/>
        <w:jc w:val="center"/>
        <w:rPr>
          <w:rFonts w:ascii="Times New Roman" w:hAnsi="Times New Roman" w:cs="Times New Roman"/>
          <w:color w:val="auto"/>
          <w:sz w:val="20"/>
          <w:szCs w:val="20"/>
          <w:lang w:eastAsia="zh-CN"/>
        </w:rPr>
      </w:pPr>
    </w:p>
    <w:p w:rsidR="00794173" w:rsidRDefault="00794173" w:rsidP="00255289">
      <w:pPr>
        <w:pStyle w:val="Caption"/>
        <w:spacing w:after="0"/>
        <w:jc w:val="center"/>
        <w:rPr>
          <w:rFonts w:ascii="Times New Roman" w:hAnsi="Times New Roman" w:cs="Times New Roman"/>
          <w:color w:val="auto"/>
          <w:sz w:val="20"/>
          <w:szCs w:val="20"/>
          <w:lang w:eastAsia="zh-CN"/>
        </w:rPr>
      </w:pPr>
    </w:p>
    <w:p w:rsidR="001E5AEC" w:rsidRPr="00794173" w:rsidRDefault="001E5AEC" w:rsidP="00255289">
      <w:pPr>
        <w:pStyle w:val="Caption"/>
        <w:spacing w:after="0"/>
        <w:jc w:val="center"/>
        <w:rPr>
          <w:rFonts w:ascii="Times New Roman" w:hAnsi="Times New Roman" w:cs="Times New Roman"/>
          <w:b w:val="0"/>
          <w:bCs w:val="0"/>
          <w:color w:val="auto"/>
          <w:sz w:val="20"/>
          <w:szCs w:val="20"/>
        </w:rPr>
      </w:pPr>
      <w:proofErr w:type="gramStart"/>
      <w:r w:rsidRPr="00794173">
        <w:rPr>
          <w:rFonts w:ascii="Times New Roman" w:hAnsi="Times New Roman" w:cs="Times New Roman"/>
          <w:color w:val="auto"/>
          <w:sz w:val="20"/>
          <w:szCs w:val="20"/>
        </w:rPr>
        <w:t>Table 1.</w:t>
      </w:r>
      <w:proofErr w:type="gramEnd"/>
      <w:r w:rsidRPr="00794173">
        <w:rPr>
          <w:rFonts w:ascii="Times New Roman" w:hAnsi="Times New Roman" w:cs="Times New Roman"/>
          <w:b w:val="0"/>
          <w:bCs w:val="0"/>
          <w:color w:val="auto"/>
          <w:sz w:val="20"/>
          <w:szCs w:val="20"/>
        </w:rPr>
        <w:t xml:space="preserve"> Patient characteristics</w:t>
      </w:r>
    </w:p>
    <w:tbl>
      <w:tblPr>
        <w:tblStyle w:val="TableGrid"/>
        <w:tblW w:w="5000" w:type="pct"/>
        <w:tblLook w:val="04A0"/>
      </w:tblPr>
      <w:tblGrid>
        <w:gridCol w:w="2524"/>
        <w:gridCol w:w="1908"/>
        <w:gridCol w:w="2107"/>
        <w:gridCol w:w="1618"/>
        <w:gridCol w:w="1419"/>
      </w:tblGrid>
      <w:tr w:rsidR="001E5AEC" w:rsidRPr="00794173" w:rsidTr="00255289">
        <w:tc>
          <w:tcPr>
            <w:tcW w:w="2314" w:type="pct"/>
            <w:gridSpan w:val="2"/>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Variable</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Gemcitabine</w:t>
            </w:r>
            <w:proofErr w:type="spellEnd"/>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Cisplatin</w:t>
            </w:r>
            <w:proofErr w:type="spellEnd"/>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p-value</w:t>
            </w: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Age</w:t>
            </w:r>
          </w:p>
        </w:tc>
        <w:tc>
          <w:tcPr>
            <w:tcW w:w="996"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≥60</w:t>
            </w:r>
          </w:p>
        </w:tc>
        <w:tc>
          <w:tcPr>
            <w:tcW w:w="1100"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19</w:t>
            </w:r>
          </w:p>
        </w:tc>
        <w:tc>
          <w:tcPr>
            <w:tcW w:w="845"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23</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0.54</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&lt;60</w:t>
            </w:r>
          </w:p>
        </w:tc>
        <w:tc>
          <w:tcPr>
            <w:tcW w:w="1100"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31</w:t>
            </w:r>
          </w:p>
        </w:tc>
        <w:tc>
          <w:tcPr>
            <w:tcW w:w="845"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27</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Sex</w:t>
            </w:r>
          </w:p>
        </w:tc>
        <w:tc>
          <w:tcPr>
            <w:tcW w:w="996"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Male</w:t>
            </w:r>
          </w:p>
        </w:tc>
        <w:tc>
          <w:tcPr>
            <w:tcW w:w="1100"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45</w:t>
            </w:r>
          </w:p>
        </w:tc>
        <w:tc>
          <w:tcPr>
            <w:tcW w:w="845"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43</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0.75</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Female</w:t>
            </w:r>
          </w:p>
        </w:tc>
        <w:tc>
          <w:tcPr>
            <w:tcW w:w="1100"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5</w:t>
            </w:r>
          </w:p>
        </w:tc>
        <w:tc>
          <w:tcPr>
            <w:tcW w:w="845" w:type="pct"/>
            <w:vAlign w:val="center"/>
          </w:tcPr>
          <w:p w:rsidR="001E5AEC" w:rsidRPr="00794173" w:rsidRDefault="001E5AEC" w:rsidP="00255289">
            <w:pPr>
              <w:snapToGrid w:val="0"/>
              <w:jc w:val="both"/>
              <w:rPr>
                <w:rFonts w:ascii="Times New Roman" w:hAnsi="Times New Roman" w:cs="Times New Roman"/>
                <w:sz w:val="20"/>
                <w:szCs w:val="20"/>
              </w:rPr>
            </w:pPr>
            <w:r w:rsidRPr="00794173">
              <w:rPr>
                <w:rFonts w:ascii="Times New Roman" w:hAnsi="Times New Roman" w:cs="Times New Roman"/>
                <w:sz w:val="20"/>
                <w:szCs w:val="20"/>
              </w:rPr>
              <w:t>7</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rPr>
            </w:pPr>
            <w:proofErr w:type="spellStart"/>
            <w:r w:rsidRPr="00794173">
              <w:rPr>
                <w:rFonts w:ascii="Times New Roman" w:hAnsi="Times New Roman" w:cs="Times New Roman"/>
                <w:sz w:val="20"/>
                <w:szCs w:val="20"/>
              </w:rPr>
              <w:t>Bilharziasis</w:t>
            </w:r>
            <w:proofErr w:type="spellEnd"/>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Yes</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13</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18</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0.39</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lang w:bidi="ar-EG"/>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No</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37</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32</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Hydronephrosis</w:t>
            </w:r>
            <w:proofErr w:type="spellEnd"/>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Yes</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26</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16</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0.07</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lang w:bidi="ar-EG"/>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No</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24</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34</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Tumor size</w:t>
            </w: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T2</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29</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24</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0.42</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lang w:bidi="ar-EG"/>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T3</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21</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26</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TUR</w:t>
            </w: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Complete</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19</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20</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1</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lang w:bidi="ar-EG"/>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Incomplete</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31</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30</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r w:rsidR="001E5AEC" w:rsidRPr="00794173" w:rsidTr="00255289">
        <w:tc>
          <w:tcPr>
            <w:tcW w:w="1318" w:type="pct"/>
            <w:vMerge w:val="restar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Grade</w:t>
            </w: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G2</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36</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30</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0.29</w:t>
            </w:r>
          </w:p>
        </w:tc>
      </w:tr>
      <w:tr w:rsidR="001E5AEC" w:rsidRPr="00794173" w:rsidTr="00255289">
        <w:tc>
          <w:tcPr>
            <w:tcW w:w="1318" w:type="pct"/>
            <w:vMerge/>
            <w:vAlign w:val="center"/>
          </w:tcPr>
          <w:p w:rsidR="001E5AEC" w:rsidRPr="00794173" w:rsidRDefault="001E5AEC" w:rsidP="00255289">
            <w:pPr>
              <w:snapToGrid w:val="0"/>
              <w:jc w:val="both"/>
              <w:rPr>
                <w:rFonts w:ascii="Times New Roman" w:hAnsi="Times New Roman" w:cs="Times New Roman"/>
                <w:sz w:val="20"/>
                <w:szCs w:val="20"/>
                <w:lang w:bidi="ar-EG"/>
              </w:rPr>
            </w:pPr>
          </w:p>
        </w:tc>
        <w:tc>
          <w:tcPr>
            <w:tcW w:w="996"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G3</w:t>
            </w:r>
          </w:p>
        </w:tc>
        <w:tc>
          <w:tcPr>
            <w:tcW w:w="1100"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14</w:t>
            </w:r>
          </w:p>
        </w:tc>
        <w:tc>
          <w:tcPr>
            <w:tcW w:w="845" w:type="pct"/>
            <w:vAlign w:val="center"/>
          </w:tcPr>
          <w:p w:rsidR="001E5AEC" w:rsidRPr="00794173" w:rsidRDefault="001E5AEC" w:rsidP="00255289">
            <w:pPr>
              <w:snapToGrid w:val="0"/>
              <w:jc w:val="both"/>
              <w:rPr>
                <w:rFonts w:ascii="Times New Roman" w:hAnsi="Times New Roman" w:cs="Times New Roman"/>
                <w:sz w:val="20"/>
                <w:szCs w:val="20"/>
                <w:lang w:bidi="ar-EG"/>
              </w:rPr>
            </w:pPr>
            <w:r w:rsidRPr="00794173">
              <w:rPr>
                <w:rFonts w:ascii="Times New Roman" w:hAnsi="Times New Roman" w:cs="Times New Roman"/>
                <w:sz w:val="20"/>
                <w:szCs w:val="20"/>
                <w:lang w:bidi="ar-EG"/>
              </w:rPr>
              <w:t>20</w:t>
            </w:r>
          </w:p>
        </w:tc>
        <w:tc>
          <w:tcPr>
            <w:tcW w:w="741" w:type="pct"/>
            <w:vAlign w:val="center"/>
          </w:tcPr>
          <w:p w:rsidR="001E5AEC" w:rsidRPr="00794173" w:rsidRDefault="001E5AEC" w:rsidP="00255289">
            <w:pPr>
              <w:snapToGrid w:val="0"/>
              <w:jc w:val="both"/>
              <w:rPr>
                <w:rFonts w:ascii="Times New Roman" w:hAnsi="Times New Roman" w:cs="Times New Roman"/>
                <w:sz w:val="20"/>
                <w:szCs w:val="20"/>
                <w:lang w:bidi="ar-EG"/>
              </w:rPr>
            </w:pPr>
          </w:p>
        </w:tc>
      </w:tr>
    </w:tbl>
    <w:p w:rsidR="001E5AEC" w:rsidRDefault="001E5AEC" w:rsidP="00255289">
      <w:pPr>
        <w:spacing w:after="0" w:line="240" w:lineRule="auto"/>
        <w:ind w:firstLine="567"/>
        <w:jc w:val="both"/>
        <w:rPr>
          <w:rFonts w:ascii="Times New Roman" w:hAnsi="Times New Roman" w:cs="Times New Roman"/>
          <w:sz w:val="20"/>
          <w:szCs w:val="20"/>
          <w:lang w:eastAsia="zh-CN"/>
        </w:rPr>
      </w:pPr>
    </w:p>
    <w:p w:rsidR="00794173" w:rsidRDefault="00794173" w:rsidP="00255289">
      <w:pPr>
        <w:spacing w:after="0" w:line="240" w:lineRule="auto"/>
        <w:ind w:firstLine="567"/>
        <w:jc w:val="both"/>
        <w:rPr>
          <w:rFonts w:ascii="Times New Roman" w:hAnsi="Times New Roman" w:cs="Times New Roman"/>
          <w:sz w:val="20"/>
          <w:szCs w:val="20"/>
          <w:lang w:eastAsia="zh-CN"/>
        </w:rPr>
      </w:pPr>
    </w:p>
    <w:p w:rsidR="00794173" w:rsidRPr="00794173" w:rsidRDefault="00794173" w:rsidP="00255289">
      <w:pPr>
        <w:spacing w:after="0" w:line="240" w:lineRule="auto"/>
        <w:ind w:firstLine="567"/>
        <w:jc w:val="both"/>
        <w:rPr>
          <w:rFonts w:ascii="Times New Roman" w:hAnsi="Times New Roman" w:cs="Times New Roman"/>
          <w:sz w:val="20"/>
          <w:szCs w:val="20"/>
          <w:lang w:eastAsia="zh-CN"/>
        </w:rPr>
      </w:pPr>
    </w:p>
    <w:p w:rsidR="00255289" w:rsidRPr="00794173" w:rsidRDefault="00255289" w:rsidP="00255289">
      <w:pPr>
        <w:spacing w:after="0" w:line="240" w:lineRule="auto"/>
        <w:ind w:firstLine="567"/>
        <w:jc w:val="both"/>
        <w:rPr>
          <w:rFonts w:ascii="Times New Roman" w:hAnsi="Times New Roman" w:cs="Times New Roman"/>
          <w:sz w:val="20"/>
          <w:szCs w:val="20"/>
          <w:lang w:eastAsia="zh-CN"/>
        </w:rPr>
        <w:sectPr w:rsidR="00255289" w:rsidRPr="00794173" w:rsidSect="00AD3716">
          <w:type w:val="continuous"/>
          <w:pgSz w:w="12240" w:h="15840" w:code="1"/>
          <w:pgMar w:top="1440" w:right="1440" w:bottom="1440" w:left="1440" w:header="720" w:footer="720" w:gutter="0"/>
          <w:cols w:space="720"/>
          <w:docGrid w:linePitch="360"/>
        </w:sectPr>
      </w:pPr>
    </w:p>
    <w:p w:rsidR="00255289" w:rsidRPr="00794173" w:rsidRDefault="00255289" w:rsidP="00255289">
      <w:pPr>
        <w:spacing w:after="0" w:line="240" w:lineRule="auto"/>
        <w:ind w:firstLine="425"/>
        <w:jc w:val="both"/>
        <w:rPr>
          <w:rFonts w:ascii="Times New Roman" w:hAnsi="Times New Roman" w:cs="Times New Roman"/>
          <w:sz w:val="20"/>
          <w:szCs w:val="20"/>
          <w:lang w:eastAsia="zh-CN"/>
        </w:rPr>
      </w:pPr>
      <w:r w:rsidRPr="00794173">
        <w:rPr>
          <w:rFonts w:ascii="Times New Roman" w:hAnsi="Times New Roman" w:cs="Times New Roman"/>
          <w:sz w:val="20"/>
          <w:szCs w:val="20"/>
          <w:lang w:bidi="ar-EG"/>
        </w:rPr>
        <w:lastRenderedPageBreak/>
        <w:t xml:space="preserve">Disease specific survival was 100% for all patients. </w:t>
      </w:r>
      <w:r w:rsidRPr="00794173">
        <w:rPr>
          <w:rFonts w:ascii="Times New Roman" w:hAnsi="Times New Roman" w:cs="Times New Roman"/>
          <w:sz w:val="20"/>
          <w:szCs w:val="20"/>
        </w:rPr>
        <w:t xml:space="preserve">All patients in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group tolerate treatment protocol completely, while six patients in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group could not complete their weekly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doses because of grade III gastrointestinal toxicity, incidence of acute toxicity listed in Table 4.</w:t>
      </w:r>
      <w:r w:rsid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 xml:space="preserve">Patients in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group had all grades of </w:t>
      </w:r>
      <w:r w:rsidRPr="00794173">
        <w:rPr>
          <w:rFonts w:ascii="Times New Roman" w:hAnsi="Times New Roman" w:cs="Times New Roman"/>
          <w:sz w:val="20"/>
          <w:szCs w:val="20"/>
        </w:rPr>
        <w:lastRenderedPageBreak/>
        <w:t xml:space="preserve">toxicity; grade III toxicity detected as diarrhea in 12% and anemia in 10%; grade I-II mainly cystitis in 100%, diarrhea in 62%, and </w:t>
      </w:r>
      <w:proofErr w:type="spellStart"/>
      <w:r w:rsidRPr="00794173">
        <w:rPr>
          <w:rFonts w:ascii="Times New Roman" w:hAnsi="Times New Roman" w:cs="Times New Roman"/>
          <w:sz w:val="20"/>
          <w:szCs w:val="20"/>
        </w:rPr>
        <w:t>proctitis</w:t>
      </w:r>
      <w:proofErr w:type="spellEnd"/>
      <w:r w:rsidRPr="00794173">
        <w:rPr>
          <w:rFonts w:ascii="Times New Roman" w:hAnsi="Times New Roman" w:cs="Times New Roman"/>
          <w:sz w:val="20"/>
          <w:szCs w:val="20"/>
        </w:rPr>
        <w:t xml:space="preserve"> in 38% of patients. Patient in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group had no grade III and only grade I-II toxicity, mainly cystitis in all patients, diarrhea in 60% and vomiting in 40%.</w:t>
      </w:r>
    </w:p>
    <w:p w:rsidR="00255289" w:rsidRPr="00794173" w:rsidRDefault="00255289" w:rsidP="00255289">
      <w:pPr>
        <w:spacing w:after="0" w:line="240" w:lineRule="auto"/>
        <w:ind w:firstLine="567"/>
        <w:jc w:val="both"/>
        <w:rPr>
          <w:rFonts w:ascii="Times New Roman" w:hAnsi="Times New Roman" w:cs="Times New Roman"/>
          <w:sz w:val="20"/>
          <w:szCs w:val="20"/>
          <w:lang w:eastAsia="zh-CN"/>
        </w:rPr>
        <w:sectPr w:rsidR="00255289" w:rsidRPr="00794173" w:rsidSect="00255289">
          <w:type w:val="continuous"/>
          <w:pgSz w:w="12240" w:h="15840" w:code="1"/>
          <w:pgMar w:top="1440" w:right="1440" w:bottom="1440" w:left="1440" w:header="720" w:footer="720" w:gutter="0"/>
          <w:cols w:num="2" w:space="425"/>
          <w:docGrid w:linePitch="360"/>
        </w:sectPr>
      </w:pPr>
    </w:p>
    <w:p w:rsidR="00255289" w:rsidRPr="00794173" w:rsidRDefault="00255289" w:rsidP="00255289">
      <w:pPr>
        <w:spacing w:after="0" w:line="240" w:lineRule="auto"/>
        <w:ind w:firstLine="567"/>
        <w:jc w:val="both"/>
        <w:rPr>
          <w:rFonts w:ascii="Times New Roman" w:hAnsi="Times New Roman" w:cs="Times New Roman"/>
          <w:sz w:val="20"/>
          <w:szCs w:val="20"/>
          <w:lang w:eastAsia="zh-CN"/>
        </w:rPr>
      </w:pPr>
    </w:p>
    <w:p w:rsidR="00794173" w:rsidRDefault="00794173" w:rsidP="00255289">
      <w:pPr>
        <w:pStyle w:val="Caption"/>
        <w:snapToGrid w:val="0"/>
        <w:spacing w:after="0"/>
        <w:jc w:val="center"/>
        <w:rPr>
          <w:rFonts w:ascii="Times New Roman" w:hAnsi="Times New Roman" w:cs="Times New Roman"/>
          <w:color w:val="auto"/>
          <w:sz w:val="20"/>
          <w:szCs w:val="20"/>
          <w:lang w:eastAsia="zh-CN"/>
        </w:rPr>
      </w:pPr>
    </w:p>
    <w:p w:rsidR="009540CB" w:rsidRPr="00794173" w:rsidRDefault="009540CB" w:rsidP="00255289">
      <w:pPr>
        <w:pStyle w:val="Caption"/>
        <w:snapToGrid w:val="0"/>
        <w:spacing w:after="0"/>
        <w:jc w:val="center"/>
        <w:rPr>
          <w:rFonts w:ascii="Times New Roman" w:hAnsi="Times New Roman" w:cs="Times New Roman"/>
          <w:i/>
          <w:iCs/>
          <w:color w:val="auto"/>
          <w:sz w:val="20"/>
          <w:szCs w:val="20"/>
        </w:rPr>
      </w:pPr>
      <w:r w:rsidRPr="00794173">
        <w:rPr>
          <w:rFonts w:ascii="Times New Roman" w:hAnsi="Times New Roman" w:cs="Times New Roman"/>
          <w:color w:val="auto"/>
          <w:sz w:val="20"/>
          <w:szCs w:val="20"/>
        </w:rPr>
        <w:t xml:space="preserve">Table 2. </w:t>
      </w:r>
      <w:proofErr w:type="spellStart"/>
      <w:r w:rsidRPr="00794173">
        <w:rPr>
          <w:rFonts w:ascii="Times New Roman" w:hAnsi="Times New Roman" w:cs="Times New Roman"/>
          <w:i/>
          <w:iCs/>
          <w:color w:val="auto"/>
          <w:sz w:val="20"/>
          <w:szCs w:val="20"/>
        </w:rPr>
        <w:t>Cystoscopic</w:t>
      </w:r>
      <w:proofErr w:type="spellEnd"/>
      <w:r w:rsidRPr="00794173">
        <w:rPr>
          <w:rFonts w:ascii="Times New Roman" w:hAnsi="Times New Roman" w:cs="Times New Roman"/>
          <w:i/>
          <w:iCs/>
          <w:color w:val="auto"/>
          <w:sz w:val="20"/>
          <w:szCs w:val="20"/>
        </w:rPr>
        <w:t xml:space="preserve"> assessment after 3 months</w:t>
      </w:r>
    </w:p>
    <w:tbl>
      <w:tblPr>
        <w:tblStyle w:val="TableGrid"/>
        <w:tblW w:w="0" w:type="auto"/>
        <w:tblLayout w:type="fixed"/>
        <w:tblLook w:val="04A0"/>
      </w:tblPr>
      <w:tblGrid>
        <w:gridCol w:w="1672"/>
        <w:gridCol w:w="1455"/>
        <w:gridCol w:w="2090"/>
        <w:gridCol w:w="2090"/>
        <w:gridCol w:w="2090"/>
      </w:tblGrid>
      <w:tr w:rsidR="009540CB" w:rsidRPr="00794173" w:rsidTr="001E5AEC">
        <w:trPr>
          <w:trHeight w:val="146"/>
        </w:trPr>
        <w:tc>
          <w:tcPr>
            <w:tcW w:w="3127" w:type="dxa"/>
            <w:gridSpan w:val="2"/>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Variable</w:t>
            </w:r>
          </w:p>
        </w:tc>
        <w:tc>
          <w:tcPr>
            <w:tcW w:w="2090" w:type="dxa"/>
          </w:tcPr>
          <w:p w:rsidR="009540CB" w:rsidRPr="00794173" w:rsidRDefault="009540CB" w:rsidP="00255289">
            <w:pPr>
              <w:snapToGrid w:val="0"/>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Gemcitabine</w:t>
            </w:r>
            <w:proofErr w:type="spellEnd"/>
          </w:p>
        </w:tc>
        <w:tc>
          <w:tcPr>
            <w:tcW w:w="2090" w:type="dxa"/>
          </w:tcPr>
          <w:p w:rsidR="009540CB" w:rsidRPr="00794173" w:rsidRDefault="009540CB" w:rsidP="00255289">
            <w:pPr>
              <w:snapToGrid w:val="0"/>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Cisplatin</w:t>
            </w:r>
            <w:proofErr w:type="spellEnd"/>
          </w:p>
        </w:tc>
        <w:tc>
          <w:tcPr>
            <w:tcW w:w="2090"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p-value</w:t>
            </w:r>
          </w:p>
        </w:tc>
      </w:tr>
      <w:tr w:rsidR="009540CB" w:rsidRPr="00794173" w:rsidTr="001E5AEC">
        <w:trPr>
          <w:trHeight w:val="137"/>
        </w:trPr>
        <w:tc>
          <w:tcPr>
            <w:tcW w:w="1672" w:type="dxa"/>
            <w:vMerge w:val="restart"/>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CR</w:t>
            </w:r>
          </w:p>
        </w:tc>
        <w:tc>
          <w:tcPr>
            <w:tcW w:w="1455"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Yes</w:t>
            </w:r>
          </w:p>
        </w:tc>
        <w:tc>
          <w:tcPr>
            <w:tcW w:w="2090"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41 (82%)</w:t>
            </w:r>
          </w:p>
        </w:tc>
        <w:tc>
          <w:tcPr>
            <w:tcW w:w="2090"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36 (72%)</w:t>
            </w:r>
          </w:p>
        </w:tc>
        <w:tc>
          <w:tcPr>
            <w:tcW w:w="2090" w:type="dxa"/>
            <w:vMerge w:val="restart"/>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0.34</w:t>
            </w:r>
          </w:p>
        </w:tc>
      </w:tr>
      <w:tr w:rsidR="009540CB" w:rsidRPr="00794173" w:rsidTr="001E5AEC">
        <w:trPr>
          <w:trHeight w:val="137"/>
        </w:trPr>
        <w:tc>
          <w:tcPr>
            <w:tcW w:w="1672" w:type="dxa"/>
            <w:vMerge/>
          </w:tcPr>
          <w:p w:rsidR="009540CB" w:rsidRPr="00794173" w:rsidRDefault="009540CB" w:rsidP="00255289">
            <w:pPr>
              <w:snapToGrid w:val="0"/>
              <w:rPr>
                <w:rFonts w:ascii="Times New Roman" w:hAnsi="Times New Roman" w:cs="Times New Roman"/>
                <w:sz w:val="20"/>
                <w:szCs w:val="20"/>
                <w:lang w:bidi="ar-EG"/>
              </w:rPr>
            </w:pPr>
          </w:p>
        </w:tc>
        <w:tc>
          <w:tcPr>
            <w:tcW w:w="1455"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No</w:t>
            </w:r>
          </w:p>
        </w:tc>
        <w:tc>
          <w:tcPr>
            <w:tcW w:w="2090"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9 (18%)</w:t>
            </w:r>
          </w:p>
        </w:tc>
        <w:tc>
          <w:tcPr>
            <w:tcW w:w="2090"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14 (28%)</w:t>
            </w:r>
          </w:p>
        </w:tc>
        <w:tc>
          <w:tcPr>
            <w:tcW w:w="2090" w:type="dxa"/>
            <w:vMerge/>
          </w:tcPr>
          <w:p w:rsidR="009540CB" w:rsidRPr="00794173" w:rsidRDefault="009540CB" w:rsidP="00255289">
            <w:pPr>
              <w:snapToGrid w:val="0"/>
              <w:rPr>
                <w:rFonts w:ascii="Times New Roman" w:hAnsi="Times New Roman" w:cs="Times New Roman"/>
                <w:sz w:val="20"/>
                <w:szCs w:val="20"/>
                <w:lang w:bidi="ar-EG"/>
              </w:rPr>
            </w:pPr>
          </w:p>
        </w:tc>
      </w:tr>
    </w:tbl>
    <w:p w:rsidR="00255289" w:rsidRPr="00794173" w:rsidRDefault="00255289" w:rsidP="00255289">
      <w:pPr>
        <w:pStyle w:val="Caption"/>
        <w:snapToGrid w:val="0"/>
        <w:spacing w:after="0"/>
        <w:jc w:val="both"/>
        <w:rPr>
          <w:rFonts w:ascii="Times New Roman" w:hAnsi="Times New Roman" w:cs="Times New Roman"/>
          <w:color w:val="auto"/>
          <w:sz w:val="20"/>
          <w:szCs w:val="20"/>
          <w:lang w:eastAsia="zh-CN"/>
        </w:rPr>
      </w:pPr>
    </w:p>
    <w:p w:rsidR="009540CB" w:rsidRPr="00794173" w:rsidRDefault="009540CB" w:rsidP="00255289">
      <w:pPr>
        <w:pStyle w:val="Caption"/>
        <w:snapToGrid w:val="0"/>
        <w:spacing w:after="0"/>
        <w:jc w:val="center"/>
        <w:rPr>
          <w:rFonts w:ascii="Times New Roman" w:hAnsi="Times New Roman" w:cs="Times New Roman"/>
          <w:b w:val="0"/>
          <w:bCs w:val="0"/>
          <w:color w:val="auto"/>
          <w:sz w:val="20"/>
          <w:szCs w:val="20"/>
        </w:rPr>
      </w:pPr>
      <w:proofErr w:type="gramStart"/>
      <w:r w:rsidRPr="00794173">
        <w:rPr>
          <w:rFonts w:ascii="Times New Roman" w:hAnsi="Times New Roman" w:cs="Times New Roman"/>
          <w:color w:val="auto"/>
          <w:sz w:val="20"/>
          <w:szCs w:val="20"/>
        </w:rPr>
        <w:t>Table 3.</w:t>
      </w:r>
      <w:proofErr w:type="gramEnd"/>
      <w:r w:rsidRPr="00794173">
        <w:rPr>
          <w:rFonts w:ascii="Times New Roman" w:hAnsi="Times New Roman" w:cs="Times New Roman"/>
          <w:color w:val="auto"/>
          <w:sz w:val="20"/>
          <w:szCs w:val="20"/>
        </w:rPr>
        <w:t xml:space="preserve"> </w:t>
      </w:r>
      <w:proofErr w:type="gramStart"/>
      <w:r w:rsidRPr="00794173">
        <w:rPr>
          <w:rFonts w:ascii="Times New Roman" w:hAnsi="Times New Roman" w:cs="Times New Roman"/>
          <w:b w:val="0"/>
          <w:bCs w:val="0"/>
          <w:color w:val="auto"/>
          <w:sz w:val="20"/>
          <w:szCs w:val="20"/>
        </w:rPr>
        <w:t>Two year</w:t>
      </w:r>
      <w:proofErr w:type="gramEnd"/>
      <w:r w:rsidRPr="00794173">
        <w:rPr>
          <w:rFonts w:ascii="Times New Roman" w:hAnsi="Times New Roman" w:cs="Times New Roman"/>
          <w:b w:val="0"/>
          <w:bCs w:val="0"/>
          <w:color w:val="auto"/>
          <w:sz w:val="20"/>
          <w:szCs w:val="20"/>
        </w:rPr>
        <w:t xml:space="preserve"> disease free survival</w:t>
      </w:r>
    </w:p>
    <w:tbl>
      <w:tblPr>
        <w:tblStyle w:val="TableGrid"/>
        <w:tblW w:w="9074" w:type="dxa"/>
        <w:tblLook w:val="04A0"/>
      </w:tblPr>
      <w:tblGrid>
        <w:gridCol w:w="2414"/>
        <w:gridCol w:w="1925"/>
        <w:gridCol w:w="2913"/>
        <w:gridCol w:w="1822"/>
      </w:tblGrid>
      <w:tr w:rsidR="009540CB" w:rsidRPr="00794173" w:rsidTr="001E5AEC">
        <w:trPr>
          <w:trHeight w:val="242"/>
        </w:trPr>
        <w:tc>
          <w:tcPr>
            <w:tcW w:w="2414"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Variable</w:t>
            </w:r>
          </w:p>
        </w:tc>
        <w:tc>
          <w:tcPr>
            <w:tcW w:w="1925" w:type="dxa"/>
          </w:tcPr>
          <w:p w:rsidR="009540CB" w:rsidRPr="00794173" w:rsidRDefault="009540CB" w:rsidP="00255289">
            <w:pPr>
              <w:snapToGrid w:val="0"/>
              <w:jc w:val="center"/>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Gemcitabine</w:t>
            </w:r>
            <w:proofErr w:type="spellEnd"/>
          </w:p>
        </w:tc>
        <w:tc>
          <w:tcPr>
            <w:tcW w:w="2913" w:type="dxa"/>
          </w:tcPr>
          <w:p w:rsidR="009540CB" w:rsidRPr="00794173" w:rsidRDefault="009540CB" w:rsidP="00255289">
            <w:pPr>
              <w:snapToGrid w:val="0"/>
              <w:jc w:val="center"/>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Cisplatin</w:t>
            </w:r>
            <w:proofErr w:type="spellEnd"/>
          </w:p>
        </w:tc>
        <w:tc>
          <w:tcPr>
            <w:tcW w:w="1822" w:type="dxa"/>
          </w:tcPr>
          <w:p w:rsidR="009540CB" w:rsidRPr="00794173" w:rsidRDefault="009540CB" w:rsidP="00255289">
            <w:pPr>
              <w:snapToGrid w:val="0"/>
              <w:jc w:val="center"/>
              <w:rPr>
                <w:rFonts w:ascii="Times New Roman" w:hAnsi="Times New Roman" w:cs="Times New Roman"/>
                <w:sz w:val="20"/>
                <w:szCs w:val="20"/>
                <w:lang w:bidi="ar-EG"/>
              </w:rPr>
            </w:pPr>
            <w:r w:rsidRPr="00794173">
              <w:rPr>
                <w:rFonts w:ascii="Times New Roman" w:hAnsi="Times New Roman" w:cs="Times New Roman"/>
                <w:sz w:val="20"/>
                <w:szCs w:val="20"/>
                <w:lang w:bidi="ar-EG"/>
              </w:rPr>
              <w:t>P value</w:t>
            </w:r>
          </w:p>
        </w:tc>
      </w:tr>
      <w:tr w:rsidR="009540CB" w:rsidRPr="00794173" w:rsidTr="001E5AEC">
        <w:trPr>
          <w:trHeight w:val="260"/>
        </w:trPr>
        <w:tc>
          <w:tcPr>
            <w:tcW w:w="2414" w:type="dxa"/>
          </w:tcPr>
          <w:p w:rsidR="009540CB" w:rsidRPr="00794173" w:rsidRDefault="009540CB" w:rsidP="00255289">
            <w:pPr>
              <w:snapToGrid w:val="0"/>
              <w:rPr>
                <w:rFonts w:ascii="Times New Roman" w:hAnsi="Times New Roman" w:cs="Times New Roman"/>
                <w:sz w:val="20"/>
                <w:szCs w:val="20"/>
                <w:lang w:bidi="ar-EG"/>
              </w:rPr>
            </w:pPr>
            <w:r w:rsidRPr="00794173">
              <w:rPr>
                <w:rFonts w:ascii="Times New Roman" w:hAnsi="Times New Roman" w:cs="Times New Roman"/>
                <w:sz w:val="20"/>
                <w:szCs w:val="20"/>
                <w:lang w:bidi="ar-EG"/>
              </w:rPr>
              <w:t>2-year DFS (%)</w:t>
            </w:r>
          </w:p>
        </w:tc>
        <w:tc>
          <w:tcPr>
            <w:tcW w:w="1925" w:type="dxa"/>
          </w:tcPr>
          <w:p w:rsidR="009540CB" w:rsidRPr="00794173" w:rsidRDefault="009540CB" w:rsidP="00255289">
            <w:pPr>
              <w:snapToGrid w:val="0"/>
              <w:jc w:val="center"/>
              <w:rPr>
                <w:rFonts w:ascii="Times New Roman" w:hAnsi="Times New Roman" w:cs="Times New Roman"/>
                <w:sz w:val="20"/>
                <w:szCs w:val="20"/>
                <w:lang w:bidi="ar-EG"/>
              </w:rPr>
            </w:pPr>
            <w:r w:rsidRPr="00794173">
              <w:rPr>
                <w:rFonts w:ascii="Times New Roman" w:hAnsi="Times New Roman" w:cs="Times New Roman"/>
                <w:sz w:val="20"/>
                <w:szCs w:val="20"/>
                <w:lang w:bidi="ar-EG"/>
              </w:rPr>
              <w:t>79.4</w:t>
            </w:r>
            <m:oMath>
              <m:r>
                <m:rPr>
                  <m:sty m:val="p"/>
                </m:rPr>
                <w:rPr>
                  <w:rFonts w:ascii="Times New Roman" w:hAnsi="Times New Roman" w:cs="Times New Roman"/>
                  <w:sz w:val="20"/>
                  <w:szCs w:val="20"/>
                  <w:lang w:bidi="ar-EG"/>
                </w:rPr>
                <m:t>±7.1</m:t>
              </m:r>
            </m:oMath>
          </w:p>
        </w:tc>
        <w:tc>
          <w:tcPr>
            <w:tcW w:w="2913" w:type="dxa"/>
          </w:tcPr>
          <w:p w:rsidR="009540CB" w:rsidRPr="00794173" w:rsidRDefault="009540CB" w:rsidP="00255289">
            <w:pPr>
              <w:snapToGrid w:val="0"/>
              <w:jc w:val="center"/>
              <w:rPr>
                <w:rFonts w:ascii="Times New Roman" w:hAnsi="Times New Roman" w:cs="Times New Roman"/>
                <w:sz w:val="20"/>
                <w:szCs w:val="20"/>
                <w:lang w:bidi="ar-EG"/>
              </w:rPr>
            </w:pPr>
            <w:r w:rsidRPr="00794173">
              <w:rPr>
                <w:rFonts w:ascii="Times New Roman" w:hAnsi="Times New Roman" w:cs="Times New Roman"/>
                <w:sz w:val="20"/>
                <w:szCs w:val="20"/>
                <w:lang w:bidi="ar-EG"/>
              </w:rPr>
              <w:t>77.6</w:t>
            </w:r>
            <m:oMath>
              <m:r>
                <m:rPr>
                  <m:sty m:val="p"/>
                </m:rPr>
                <w:rPr>
                  <w:rFonts w:ascii="Times New Roman" w:hAnsi="Times New Roman" w:cs="Times New Roman"/>
                  <w:sz w:val="20"/>
                  <w:szCs w:val="20"/>
                  <w:lang w:bidi="ar-EG"/>
                </w:rPr>
                <m:t>±</m:t>
              </m:r>
            </m:oMath>
            <w:r w:rsidRPr="00794173">
              <w:rPr>
                <w:rFonts w:ascii="Times New Roman" w:hAnsi="Times New Roman" w:cs="Times New Roman"/>
                <w:sz w:val="20"/>
                <w:szCs w:val="20"/>
                <w:lang w:bidi="ar-EG"/>
              </w:rPr>
              <w:t>8.6</w:t>
            </w:r>
          </w:p>
        </w:tc>
        <w:tc>
          <w:tcPr>
            <w:tcW w:w="1822" w:type="dxa"/>
          </w:tcPr>
          <w:p w:rsidR="009540CB" w:rsidRPr="00794173" w:rsidRDefault="009540CB" w:rsidP="00255289">
            <w:pPr>
              <w:snapToGrid w:val="0"/>
              <w:jc w:val="center"/>
              <w:rPr>
                <w:rFonts w:ascii="Times New Roman" w:hAnsi="Times New Roman" w:cs="Times New Roman"/>
                <w:sz w:val="20"/>
                <w:szCs w:val="20"/>
                <w:lang w:bidi="ar-EG"/>
              </w:rPr>
            </w:pPr>
            <w:r w:rsidRPr="00794173">
              <w:rPr>
                <w:rFonts w:ascii="Times New Roman" w:hAnsi="Times New Roman" w:cs="Times New Roman"/>
                <w:sz w:val="20"/>
                <w:szCs w:val="20"/>
                <w:lang w:bidi="ar-EG"/>
              </w:rPr>
              <w:t>0.83</w:t>
            </w:r>
          </w:p>
        </w:tc>
      </w:tr>
    </w:tbl>
    <w:p w:rsidR="009540CB" w:rsidRPr="00794173" w:rsidRDefault="009540CB" w:rsidP="00255289">
      <w:pPr>
        <w:snapToGrid w:val="0"/>
        <w:spacing w:after="0" w:line="240" w:lineRule="auto"/>
        <w:jc w:val="both"/>
        <w:rPr>
          <w:rFonts w:ascii="Times New Roman" w:hAnsi="Times New Roman" w:cs="Times New Roman"/>
          <w:sz w:val="20"/>
          <w:szCs w:val="20"/>
        </w:rPr>
      </w:pPr>
    </w:p>
    <w:p w:rsidR="009540CB" w:rsidRPr="00794173" w:rsidRDefault="009540CB" w:rsidP="00255289">
      <w:pPr>
        <w:snapToGrid w:val="0"/>
        <w:spacing w:after="0" w:line="240" w:lineRule="auto"/>
        <w:jc w:val="center"/>
        <w:rPr>
          <w:rFonts w:ascii="Times New Roman" w:hAnsi="Times New Roman" w:cs="Times New Roman"/>
          <w:sz w:val="20"/>
          <w:szCs w:val="20"/>
        </w:rPr>
      </w:pPr>
      <w:proofErr w:type="gramStart"/>
      <w:r w:rsidRPr="00794173">
        <w:rPr>
          <w:rFonts w:ascii="Times New Roman" w:hAnsi="Times New Roman" w:cs="Times New Roman"/>
          <w:b/>
          <w:bCs/>
          <w:sz w:val="20"/>
          <w:szCs w:val="20"/>
        </w:rPr>
        <w:t>Table 4.</w:t>
      </w:r>
      <w:proofErr w:type="gramEnd"/>
      <w:r w:rsidRPr="00794173">
        <w:rPr>
          <w:rFonts w:ascii="Times New Roman" w:hAnsi="Times New Roman" w:cs="Times New Roman"/>
          <w:sz w:val="20"/>
          <w:szCs w:val="20"/>
        </w:rPr>
        <w:t xml:space="preserve"> Incidence of acute toxicity</w:t>
      </w:r>
    </w:p>
    <w:tbl>
      <w:tblPr>
        <w:tblStyle w:val="TableGrid"/>
        <w:tblW w:w="9196" w:type="dxa"/>
        <w:tblLook w:val="04A0"/>
      </w:tblPr>
      <w:tblGrid>
        <w:gridCol w:w="3510"/>
        <w:gridCol w:w="1421"/>
        <w:gridCol w:w="1422"/>
        <w:gridCol w:w="1421"/>
        <w:gridCol w:w="1422"/>
      </w:tblGrid>
      <w:tr w:rsidR="009540CB" w:rsidRPr="00794173" w:rsidTr="001E5AEC">
        <w:trPr>
          <w:trHeight w:val="206"/>
        </w:trPr>
        <w:tc>
          <w:tcPr>
            <w:tcW w:w="3510" w:type="dxa"/>
            <w:vMerge w:val="restart"/>
          </w:tcPr>
          <w:p w:rsidR="009540CB" w:rsidRPr="00794173" w:rsidRDefault="009540CB" w:rsidP="00255289">
            <w:pPr>
              <w:snapToGrid w:val="0"/>
              <w:rPr>
                <w:rFonts w:ascii="Times New Roman" w:hAnsi="Times New Roman" w:cs="Times New Roman"/>
                <w:sz w:val="20"/>
                <w:szCs w:val="20"/>
              </w:rPr>
            </w:pPr>
            <w:r w:rsidRPr="00794173">
              <w:rPr>
                <w:rFonts w:ascii="Times New Roman" w:hAnsi="Times New Roman" w:cs="Times New Roman"/>
                <w:sz w:val="20"/>
                <w:szCs w:val="20"/>
              </w:rPr>
              <w:t>Variable</w:t>
            </w:r>
          </w:p>
        </w:tc>
        <w:tc>
          <w:tcPr>
            <w:tcW w:w="2843" w:type="dxa"/>
            <w:gridSpan w:val="2"/>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Grade I and II</w:t>
            </w:r>
          </w:p>
        </w:tc>
        <w:tc>
          <w:tcPr>
            <w:tcW w:w="2843" w:type="dxa"/>
            <w:gridSpan w:val="2"/>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Grade III</w:t>
            </w:r>
          </w:p>
        </w:tc>
      </w:tr>
      <w:tr w:rsidR="009540CB" w:rsidRPr="00794173" w:rsidTr="001E5AEC">
        <w:trPr>
          <w:trHeight w:val="242"/>
        </w:trPr>
        <w:tc>
          <w:tcPr>
            <w:tcW w:w="3510" w:type="dxa"/>
            <w:vMerge/>
          </w:tcPr>
          <w:p w:rsidR="009540CB" w:rsidRPr="00794173" w:rsidRDefault="009540CB" w:rsidP="00255289">
            <w:pPr>
              <w:snapToGrid w:val="0"/>
              <w:rPr>
                <w:rFonts w:ascii="Times New Roman" w:hAnsi="Times New Roman" w:cs="Times New Roman"/>
                <w:sz w:val="20"/>
                <w:szCs w:val="20"/>
              </w:rPr>
            </w:pPr>
          </w:p>
        </w:tc>
        <w:tc>
          <w:tcPr>
            <w:tcW w:w="1421" w:type="dxa"/>
          </w:tcPr>
          <w:p w:rsidR="009540CB" w:rsidRPr="00794173" w:rsidRDefault="009540CB" w:rsidP="00255289">
            <w:pPr>
              <w:snapToGrid w:val="0"/>
              <w:jc w:val="center"/>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Gemcitabine</w:t>
            </w:r>
            <w:proofErr w:type="spellEnd"/>
          </w:p>
        </w:tc>
        <w:tc>
          <w:tcPr>
            <w:tcW w:w="1422" w:type="dxa"/>
          </w:tcPr>
          <w:p w:rsidR="009540CB" w:rsidRPr="00794173" w:rsidRDefault="009540CB" w:rsidP="00255289">
            <w:pPr>
              <w:snapToGrid w:val="0"/>
              <w:jc w:val="center"/>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Cisplatin</w:t>
            </w:r>
            <w:proofErr w:type="spellEnd"/>
          </w:p>
        </w:tc>
        <w:tc>
          <w:tcPr>
            <w:tcW w:w="1421" w:type="dxa"/>
          </w:tcPr>
          <w:p w:rsidR="009540CB" w:rsidRPr="00794173" w:rsidRDefault="009540CB" w:rsidP="00255289">
            <w:pPr>
              <w:snapToGrid w:val="0"/>
              <w:jc w:val="center"/>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Gemcitabine</w:t>
            </w:r>
            <w:proofErr w:type="spellEnd"/>
          </w:p>
        </w:tc>
        <w:tc>
          <w:tcPr>
            <w:tcW w:w="1422" w:type="dxa"/>
          </w:tcPr>
          <w:p w:rsidR="009540CB" w:rsidRPr="00794173" w:rsidRDefault="009540CB" w:rsidP="00255289">
            <w:pPr>
              <w:snapToGrid w:val="0"/>
              <w:jc w:val="center"/>
              <w:rPr>
                <w:rFonts w:ascii="Times New Roman" w:hAnsi="Times New Roman" w:cs="Times New Roman"/>
                <w:sz w:val="20"/>
                <w:szCs w:val="20"/>
                <w:lang w:bidi="ar-EG"/>
              </w:rPr>
            </w:pPr>
            <w:proofErr w:type="spellStart"/>
            <w:r w:rsidRPr="00794173">
              <w:rPr>
                <w:rFonts w:ascii="Times New Roman" w:hAnsi="Times New Roman" w:cs="Times New Roman"/>
                <w:sz w:val="20"/>
                <w:szCs w:val="20"/>
                <w:lang w:bidi="ar-EG"/>
              </w:rPr>
              <w:t>Cisplatin</w:t>
            </w:r>
            <w:proofErr w:type="spellEnd"/>
          </w:p>
        </w:tc>
      </w:tr>
      <w:tr w:rsidR="009540CB" w:rsidRPr="00794173" w:rsidTr="001E5AEC">
        <w:trPr>
          <w:trHeight w:val="260"/>
        </w:trPr>
        <w:tc>
          <w:tcPr>
            <w:tcW w:w="3510" w:type="dxa"/>
          </w:tcPr>
          <w:p w:rsidR="009540CB" w:rsidRPr="00794173" w:rsidRDefault="009540CB" w:rsidP="00255289">
            <w:pPr>
              <w:snapToGrid w:val="0"/>
              <w:rPr>
                <w:rFonts w:ascii="Times New Roman" w:hAnsi="Times New Roman" w:cs="Times New Roman"/>
                <w:sz w:val="20"/>
                <w:szCs w:val="20"/>
              </w:rPr>
            </w:pPr>
            <w:r w:rsidRPr="00794173">
              <w:rPr>
                <w:rFonts w:ascii="Times New Roman" w:hAnsi="Times New Roman" w:cs="Times New Roman"/>
                <w:sz w:val="20"/>
                <w:szCs w:val="20"/>
              </w:rPr>
              <w:t>Anemia</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17 (34%)</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12 (24%)</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5 (10%)</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r>
      <w:tr w:rsidR="009540CB" w:rsidRPr="00794173" w:rsidTr="001E5AEC">
        <w:trPr>
          <w:trHeight w:val="260"/>
        </w:trPr>
        <w:tc>
          <w:tcPr>
            <w:tcW w:w="3510" w:type="dxa"/>
          </w:tcPr>
          <w:p w:rsidR="009540CB" w:rsidRPr="00794173" w:rsidRDefault="009540CB" w:rsidP="00255289">
            <w:pPr>
              <w:snapToGrid w:val="0"/>
              <w:rPr>
                <w:rFonts w:ascii="Times New Roman" w:hAnsi="Times New Roman" w:cs="Times New Roman"/>
                <w:sz w:val="20"/>
                <w:szCs w:val="20"/>
              </w:rPr>
            </w:pPr>
            <w:r w:rsidRPr="00794173">
              <w:rPr>
                <w:rFonts w:ascii="Times New Roman" w:hAnsi="Times New Roman" w:cs="Times New Roman"/>
                <w:sz w:val="20"/>
                <w:szCs w:val="20"/>
              </w:rPr>
              <w:t>Diarrhea</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31 (62%)</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30 (60%)</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6 (12%)</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r>
      <w:tr w:rsidR="009540CB" w:rsidRPr="00794173" w:rsidTr="001E5AEC">
        <w:trPr>
          <w:trHeight w:val="260"/>
        </w:trPr>
        <w:tc>
          <w:tcPr>
            <w:tcW w:w="3510" w:type="dxa"/>
          </w:tcPr>
          <w:p w:rsidR="009540CB" w:rsidRPr="00794173" w:rsidRDefault="009540CB" w:rsidP="00255289">
            <w:pPr>
              <w:snapToGrid w:val="0"/>
              <w:rPr>
                <w:rFonts w:ascii="Times New Roman" w:hAnsi="Times New Roman" w:cs="Times New Roman"/>
                <w:sz w:val="20"/>
                <w:szCs w:val="20"/>
              </w:rPr>
            </w:pPr>
            <w:proofErr w:type="spellStart"/>
            <w:r w:rsidRPr="00794173">
              <w:rPr>
                <w:rFonts w:ascii="Times New Roman" w:hAnsi="Times New Roman" w:cs="Times New Roman"/>
                <w:sz w:val="20"/>
                <w:szCs w:val="20"/>
              </w:rPr>
              <w:t>Proctitis</w:t>
            </w:r>
            <w:proofErr w:type="spellEnd"/>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19 (38%)</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10 (20%)</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r>
      <w:tr w:rsidR="009540CB" w:rsidRPr="00794173" w:rsidTr="001E5AEC">
        <w:trPr>
          <w:trHeight w:val="260"/>
        </w:trPr>
        <w:tc>
          <w:tcPr>
            <w:tcW w:w="3510" w:type="dxa"/>
          </w:tcPr>
          <w:p w:rsidR="009540CB" w:rsidRPr="00794173" w:rsidRDefault="009540CB" w:rsidP="00255289">
            <w:pPr>
              <w:snapToGrid w:val="0"/>
              <w:rPr>
                <w:rFonts w:ascii="Times New Roman" w:hAnsi="Times New Roman" w:cs="Times New Roman"/>
                <w:sz w:val="20"/>
                <w:szCs w:val="20"/>
              </w:rPr>
            </w:pPr>
            <w:r w:rsidRPr="00794173">
              <w:rPr>
                <w:rFonts w:ascii="Times New Roman" w:hAnsi="Times New Roman" w:cs="Times New Roman"/>
                <w:sz w:val="20"/>
                <w:szCs w:val="20"/>
              </w:rPr>
              <w:t>Vomiting</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13 (26%)</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20(40%)</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r>
      <w:tr w:rsidR="009540CB" w:rsidRPr="00794173" w:rsidTr="001E5AEC">
        <w:trPr>
          <w:trHeight w:val="260"/>
        </w:trPr>
        <w:tc>
          <w:tcPr>
            <w:tcW w:w="3510" w:type="dxa"/>
          </w:tcPr>
          <w:p w:rsidR="009540CB" w:rsidRPr="00794173" w:rsidRDefault="009540CB" w:rsidP="00255289">
            <w:pPr>
              <w:snapToGrid w:val="0"/>
              <w:rPr>
                <w:rFonts w:ascii="Times New Roman" w:hAnsi="Times New Roman" w:cs="Times New Roman"/>
                <w:sz w:val="20"/>
                <w:szCs w:val="20"/>
              </w:rPr>
            </w:pPr>
            <w:r w:rsidRPr="00794173">
              <w:rPr>
                <w:rFonts w:ascii="Times New Roman" w:hAnsi="Times New Roman" w:cs="Times New Roman"/>
                <w:sz w:val="20"/>
                <w:szCs w:val="20"/>
              </w:rPr>
              <w:t>Cystitis (</w:t>
            </w:r>
            <w:proofErr w:type="spellStart"/>
            <w:r w:rsidRPr="00794173">
              <w:rPr>
                <w:rFonts w:ascii="Times New Roman" w:hAnsi="Times New Roman" w:cs="Times New Roman"/>
                <w:sz w:val="20"/>
                <w:szCs w:val="20"/>
              </w:rPr>
              <w:t>dysuria</w:t>
            </w:r>
            <w:proofErr w:type="spellEnd"/>
            <w:r w:rsidRPr="00794173">
              <w:rPr>
                <w:rFonts w:ascii="Times New Roman" w:hAnsi="Times New Roman" w:cs="Times New Roman"/>
                <w:sz w:val="20"/>
                <w:szCs w:val="20"/>
              </w:rPr>
              <w:t xml:space="preserve"> and/or frequency)</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50 (100%)</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50 (100%)</w:t>
            </w:r>
          </w:p>
        </w:tc>
        <w:tc>
          <w:tcPr>
            <w:tcW w:w="1421"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c>
          <w:tcPr>
            <w:tcW w:w="1422" w:type="dxa"/>
          </w:tcPr>
          <w:p w:rsidR="009540CB" w:rsidRPr="00794173" w:rsidRDefault="009540CB" w:rsidP="00255289">
            <w:pPr>
              <w:snapToGrid w:val="0"/>
              <w:jc w:val="center"/>
              <w:rPr>
                <w:rFonts w:ascii="Times New Roman" w:hAnsi="Times New Roman" w:cs="Times New Roman"/>
                <w:sz w:val="20"/>
                <w:szCs w:val="20"/>
              </w:rPr>
            </w:pPr>
            <w:r w:rsidRPr="00794173">
              <w:rPr>
                <w:rFonts w:ascii="Times New Roman" w:hAnsi="Times New Roman" w:cs="Times New Roman"/>
                <w:sz w:val="20"/>
                <w:szCs w:val="20"/>
              </w:rPr>
              <w:t>0</w:t>
            </w:r>
          </w:p>
        </w:tc>
      </w:tr>
    </w:tbl>
    <w:p w:rsidR="009540CB" w:rsidRPr="00794173" w:rsidRDefault="009540CB" w:rsidP="00255289">
      <w:pPr>
        <w:snapToGrid w:val="0"/>
        <w:spacing w:after="0" w:line="240" w:lineRule="auto"/>
        <w:jc w:val="both"/>
        <w:rPr>
          <w:rFonts w:ascii="Times New Roman" w:hAnsi="Times New Roman" w:cs="Times New Roman"/>
          <w:sz w:val="20"/>
          <w:szCs w:val="20"/>
        </w:rPr>
      </w:pPr>
    </w:p>
    <w:p w:rsidR="009540CB" w:rsidRPr="00794173" w:rsidRDefault="009540CB" w:rsidP="00255289">
      <w:pPr>
        <w:autoSpaceDE w:val="0"/>
        <w:autoSpaceDN w:val="0"/>
        <w:adjustRightInd w:val="0"/>
        <w:spacing w:after="0" w:line="240" w:lineRule="auto"/>
        <w:jc w:val="center"/>
        <w:rPr>
          <w:rFonts w:ascii="Times New Roman" w:hAnsi="Times New Roman" w:cs="Times New Roman"/>
          <w:b/>
          <w:bCs/>
          <w:strike/>
          <w:sz w:val="20"/>
          <w:szCs w:val="20"/>
        </w:rPr>
      </w:pPr>
      <w:r w:rsidRPr="00794173">
        <w:rPr>
          <w:rFonts w:ascii="Times New Roman" w:hAnsi="Times New Roman" w:cs="Times New Roman"/>
          <w:b/>
          <w:bCs/>
          <w:strike/>
          <w:noProof/>
          <w:sz w:val="20"/>
          <w:szCs w:val="20"/>
          <w:lang w:eastAsia="zh-CN"/>
        </w:rPr>
        <w:drawing>
          <wp:inline distT="0" distB="0" distL="0" distR="0">
            <wp:extent cx="5096786" cy="3409162"/>
            <wp:effectExtent l="19050" t="0" r="8614" b="0"/>
            <wp:docPr id="2" name="Picture 2" descr="C:\Users\ITC\AppData\Local\Temp\Rar$DIa0.132\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C\AppData\Local\Temp\Rar$DIa0.132\Fig 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6634" cy="3409061"/>
                    </a:xfrm>
                    <a:prstGeom prst="rect">
                      <a:avLst/>
                    </a:prstGeom>
                    <a:noFill/>
                    <a:ln>
                      <a:noFill/>
                    </a:ln>
                  </pic:spPr>
                </pic:pic>
              </a:graphicData>
            </a:graphic>
          </wp:inline>
        </w:drawing>
      </w:r>
    </w:p>
    <w:p w:rsidR="009540CB" w:rsidRPr="00794173" w:rsidRDefault="009540CB" w:rsidP="00255289">
      <w:pPr>
        <w:pStyle w:val="Caption"/>
        <w:spacing w:after="0"/>
        <w:jc w:val="center"/>
        <w:rPr>
          <w:rFonts w:ascii="Times New Roman" w:hAnsi="Times New Roman" w:cs="Times New Roman"/>
          <w:color w:val="auto"/>
          <w:sz w:val="20"/>
          <w:szCs w:val="20"/>
        </w:rPr>
      </w:pPr>
      <w:proofErr w:type="gramStart"/>
      <w:r w:rsidRPr="00794173">
        <w:rPr>
          <w:rFonts w:ascii="Times New Roman" w:hAnsi="Times New Roman" w:cs="Times New Roman"/>
          <w:color w:val="auto"/>
          <w:sz w:val="20"/>
          <w:szCs w:val="20"/>
        </w:rPr>
        <w:t>Figure 1.</w:t>
      </w:r>
      <w:proofErr w:type="gramEnd"/>
      <w:r w:rsidRPr="00794173">
        <w:rPr>
          <w:rFonts w:ascii="Times New Roman" w:hAnsi="Times New Roman" w:cs="Times New Roman"/>
          <w:color w:val="auto"/>
          <w:sz w:val="20"/>
          <w:szCs w:val="20"/>
        </w:rPr>
        <w:t xml:space="preserve"> Disease free survival for </w:t>
      </w:r>
      <w:proofErr w:type="spellStart"/>
      <w:r w:rsidRPr="00794173">
        <w:rPr>
          <w:rFonts w:ascii="Times New Roman" w:hAnsi="Times New Roman" w:cs="Times New Roman"/>
          <w:color w:val="auto"/>
          <w:sz w:val="20"/>
          <w:szCs w:val="20"/>
        </w:rPr>
        <w:t>gemcitabine</w:t>
      </w:r>
      <w:proofErr w:type="spellEnd"/>
      <w:r w:rsidRPr="00794173">
        <w:rPr>
          <w:rFonts w:ascii="Times New Roman" w:hAnsi="Times New Roman" w:cs="Times New Roman"/>
          <w:color w:val="auto"/>
          <w:sz w:val="20"/>
          <w:szCs w:val="20"/>
        </w:rPr>
        <w:t xml:space="preserve"> and </w:t>
      </w:r>
      <w:proofErr w:type="spellStart"/>
      <w:r w:rsidRPr="00794173">
        <w:rPr>
          <w:rFonts w:ascii="Times New Roman" w:hAnsi="Times New Roman" w:cs="Times New Roman"/>
          <w:color w:val="auto"/>
          <w:sz w:val="20"/>
          <w:szCs w:val="20"/>
        </w:rPr>
        <w:t>cisplatin</w:t>
      </w:r>
      <w:proofErr w:type="spellEnd"/>
      <w:r w:rsidRPr="00794173">
        <w:rPr>
          <w:rFonts w:ascii="Times New Roman" w:hAnsi="Times New Roman" w:cs="Times New Roman"/>
          <w:color w:val="auto"/>
          <w:sz w:val="20"/>
          <w:szCs w:val="20"/>
        </w:rPr>
        <w:t xml:space="preserve"> group</w:t>
      </w:r>
    </w:p>
    <w:p w:rsidR="009540CB" w:rsidRDefault="009540CB" w:rsidP="00255289">
      <w:pPr>
        <w:spacing w:after="0" w:line="240" w:lineRule="auto"/>
        <w:jc w:val="both"/>
        <w:rPr>
          <w:rFonts w:ascii="Times New Roman" w:hAnsi="Times New Roman" w:cs="Times New Roman"/>
          <w:sz w:val="20"/>
          <w:szCs w:val="20"/>
          <w:lang w:eastAsia="zh-CN"/>
        </w:rPr>
      </w:pPr>
    </w:p>
    <w:p w:rsidR="00794173" w:rsidRDefault="00794173" w:rsidP="00255289">
      <w:pPr>
        <w:spacing w:after="0" w:line="240" w:lineRule="auto"/>
        <w:jc w:val="both"/>
        <w:rPr>
          <w:rFonts w:ascii="Times New Roman" w:hAnsi="Times New Roman" w:cs="Times New Roman"/>
          <w:sz w:val="20"/>
          <w:szCs w:val="20"/>
          <w:lang w:eastAsia="zh-CN"/>
        </w:rPr>
      </w:pPr>
    </w:p>
    <w:p w:rsidR="00794173" w:rsidRPr="00794173" w:rsidRDefault="00794173" w:rsidP="00255289">
      <w:pPr>
        <w:spacing w:after="0" w:line="240" w:lineRule="auto"/>
        <w:jc w:val="both"/>
        <w:rPr>
          <w:rFonts w:ascii="Times New Roman" w:hAnsi="Times New Roman" w:cs="Times New Roman"/>
          <w:sz w:val="20"/>
          <w:szCs w:val="20"/>
          <w:lang w:eastAsia="zh-CN"/>
        </w:rPr>
      </w:pPr>
    </w:p>
    <w:p w:rsidR="003050D9" w:rsidRPr="00794173" w:rsidRDefault="003050D9" w:rsidP="00255289">
      <w:pPr>
        <w:autoSpaceDE w:val="0"/>
        <w:autoSpaceDN w:val="0"/>
        <w:adjustRightInd w:val="0"/>
        <w:spacing w:after="0" w:line="240" w:lineRule="auto"/>
        <w:jc w:val="both"/>
        <w:rPr>
          <w:rFonts w:ascii="Times New Roman" w:hAnsi="Times New Roman" w:cs="Times New Roman"/>
          <w:b/>
          <w:bCs/>
          <w:sz w:val="20"/>
          <w:szCs w:val="20"/>
        </w:rPr>
        <w:sectPr w:rsidR="003050D9" w:rsidRPr="00794173" w:rsidSect="00AD3716">
          <w:type w:val="continuous"/>
          <w:pgSz w:w="12240" w:h="15840" w:code="1"/>
          <w:pgMar w:top="1440" w:right="1440" w:bottom="1440" w:left="1440" w:header="720" w:footer="720" w:gutter="0"/>
          <w:cols w:space="720"/>
          <w:docGrid w:linePitch="360"/>
        </w:sectPr>
      </w:pPr>
    </w:p>
    <w:p w:rsidR="003050D9" w:rsidRPr="00794173" w:rsidRDefault="003050D9" w:rsidP="00255289">
      <w:pPr>
        <w:autoSpaceDE w:val="0"/>
        <w:autoSpaceDN w:val="0"/>
        <w:adjustRightInd w:val="0"/>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lastRenderedPageBreak/>
        <w:t>4. Discussion and conclusions</w:t>
      </w:r>
    </w:p>
    <w:p w:rsidR="003050D9" w:rsidRPr="00794173" w:rsidRDefault="003050D9" w:rsidP="00255289">
      <w:pPr>
        <w:autoSpaceDE w:val="0"/>
        <w:autoSpaceDN w:val="0"/>
        <w:adjustRightInd w:val="0"/>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 xml:space="preserve">In efforts to overcome the toxicity of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during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bladder preservative strategies,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is an attractive option especially it is well known </w:t>
      </w:r>
      <w:r w:rsidR="001E5AEC" w:rsidRPr="00794173">
        <w:rPr>
          <w:rFonts w:ascii="Times New Roman" w:hAnsi="Times New Roman" w:cs="Times New Roman"/>
          <w:sz w:val="20"/>
          <w:szCs w:val="20"/>
        </w:rPr>
        <w:t>radio sensitizer</w:t>
      </w:r>
      <w:r w:rsidRPr="00794173">
        <w:rPr>
          <w:rFonts w:ascii="Times New Roman" w:hAnsi="Times New Roman" w:cs="Times New Roman"/>
          <w:sz w:val="20"/>
          <w:szCs w:val="20"/>
        </w:rPr>
        <w:t xml:space="preserve">, has no significant cumulative effects on renal function </w:t>
      </w:r>
      <w:r w:rsidR="00B702FE" w:rsidRPr="00794173">
        <w:rPr>
          <w:rFonts w:ascii="Times New Roman" w:hAnsi="Times New Roman" w:cs="Times New Roman"/>
          <w:sz w:val="20"/>
          <w:szCs w:val="20"/>
        </w:rPr>
        <w:fldChar w:fldCharType="begin" w:fldLock="1"/>
      </w:r>
      <w:r w:rsidRPr="00794173">
        <w:rPr>
          <w:rFonts w:ascii="Times New Roman" w:hAnsi="Times New Roman" w:cs="Times New Roman"/>
          <w:sz w:val="20"/>
          <w:szCs w:val="20"/>
        </w:rPr>
        <w:instrText>ADDIN CSL_CITATION { "citationItems" : [ { "id" : "ITEM-1", "itemData" : { "ISSN" : "0959-8049", "PMID" : "9624259", "abstract" : "Gemcitabine is a novel fluorine-substituted cytarabine (Ara-C) analogue with activity against a range of solid tumours. Besides dose-limiting haematological toxicity, renal side-effects were observed from phase I and II studies concerning elevations of serum creatinine, proteinuria and erythrocyturia. The aim of this study was to investigate the effect of gemcitabine on renal function in 11 untreated patients with non-small cell lung cancer (NSCLC). Gemcitabine was given as weekly infusions of 1250 mg/m2 for 3 weeks, followed by 1 week rest. This comprised one cycle (maximum of six cycles). The glomerular filtration rate (GFR) and effective renal plasma flow (ERPF) were measured simultaneously with a constant infusion of 125I-iothalamate and 131I-hippuran, respectively. Tubular damage was monitored by excretion of tubular enzymes (lactic dehydrogenase (LDH), alkaline phosphatase (ALP), gamma-glutamyltransferase (GT) and beta 2-microglobulin); glomerular damage was monitored by excretion of albumin in the urine. In 9 patients, the effect of the first infusion was evaluated. After the first infusion of gemcitabine, no change was observed in renal function. After two, three, and six cycles of treatment, no significant changes in GFR and ERPF were noticed in 9 evaluable patients. However, in 3 patients, a decrease in GFR of &gt; 10% was observed after multiple cycles. In one of them this was accompanied with albuminuria (360 mg/24 h) and erythrocyturia. There were no significant changes in urinary excretion of tubular enzymes or albumin. In conclusion, we did not observe acute renal toxicity with gemcitabine. No significant cumulative effects of gemcitabine on renal function could be detected, although 3 patients, treated with multiple cycles of gemcitabine, showed a moderate decrease in renal function. Glomerular damage might play a role in the development of renal function loss.", "author" : [ { "dropping-particle" : "", "family" : "Gietema", "given" : "J A", "non-dropping-particle" : "", "parse-names" : false, "suffix" : "" }, { "dropping-particle" : "", "family" : "Groen", "given" : "H J", "non-dropping-particle" : "", "parse-names" : false, "suffix" : "" }, { "dropping-particle" : "", "family" : "Meijer", "given" : "S", "non-dropping-particle" : "", "parse-names" : false, "suffix" : "" }, { "dropping-particle" : "", "family" : "Smit", "given" : "E F", "non-dropping-particle" : "", "parse-names" : false, "suffix" : "" } ], "container-title" : "European journal of cancer (Oxford, England : 1990)", "id" : "ITEM-1", "issue" : "1", "issued" : { "date-parts" : [ [ "1998", "1" ] ] }, "page" : "199-202", "title" : "Effects of gemcitabine on renal function in patients with non-small cell lung cancer.", "type" : "article-journal", "volume" : "34" }, "uris" : [ "http://www.mendeley.com/documents/?uuid=0f0af010-f468-4eb3-982a-1af82a89bca6" ] } ], "mendeley" : { "formattedCitation" : "&lt;sup&gt;14&lt;/sup&gt;", "plainTextFormattedCitation" : "14", "previouslyFormattedCitation" : "&lt;sup&gt;14&lt;/sup&gt;" }, "properties" : { "noteIndex" : 0 }, "schema" : "https://github.com/citation-style-language/schema/raw/master/csl-citation.json" }</w:instrText>
      </w:r>
      <w:r w:rsidR="00B702FE" w:rsidRPr="00794173">
        <w:rPr>
          <w:rFonts w:ascii="Times New Roman" w:hAnsi="Times New Roman" w:cs="Times New Roman"/>
          <w:sz w:val="20"/>
          <w:szCs w:val="20"/>
        </w:rPr>
        <w:fldChar w:fldCharType="separate"/>
      </w:r>
      <w:r w:rsidRPr="00794173">
        <w:rPr>
          <w:rFonts w:ascii="Times New Roman" w:hAnsi="Times New Roman" w:cs="Times New Roman"/>
          <w:noProof/>
          <w:sz w:val="20"/>
          <w:szCs w:val="20"/>
          <w:vertAlign w:val="superscript"/>
        </w:rPr>
        <w:t>14</w:t>
      </w:r>
      <w:r w:rsidR="00B702FE" w:rsidRPr="00794173">
        <w:rPr>
          <w:rFonts w:ascii="Times New Roman" w:hAnsi="Times New Roman" w:cs="Times New Roman"/>
          <w:sz w:val="20"/>
          <w:szCs w:val="20"/>
        </w:rPr>
        <w:fldChar w:fldCharType="end"/>
      </w:r>
      <w:r w:rsidRPr="00794173">
        <w:rPr>
          <w:rFonts w:ascii="Times New Roman" w:hAnsi="Times New Roman" w:cs="Times New Roman"/>
          <w:sz w:val="20"/>
          <w:szCs w:val="20"/>
        </w:rPr>
        <w:t xml:space="preserve">and has potent efficacy in TCC bladder. We perform this study to compare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to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the slandered radio</w:t>
      </w:r>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sensitizer, regarded its efficacy and toxicity.</w:t>
      </w:r>
      <w:r w:rsidR="001E5AEC" w:rsidRPr="00794173">
        <w:rPr>
          <w:rFonts w:ascii="Times New Roman" w:hAnsi="Times New Roman" w:cs="Times New Roman"/>
          <w:sz w:val="20"/>
          <w:szCs w:val="20"/>
        </w:rPr>
        <w:t xml:space="preserve"> </w:t>
      </w:r>
      <w:r w:rsidRPr="00794173">
        <w:rPr>
          <w:rFonts w:ascii="Times New Roman" w:hAnsi="Times New Roman" w:cs="Times New Roman"/>
          <w:sz w:val="20"/>
          <w:szCs w:val="20"/>
        </w:rPr>
        <w:t>Acc</w:t>
      </w:r>
      <w:r w:rsidR="006F5978" w:rsidRPr="00794173">
        <w:rPr>
          <w:rFonts w:ascii="Times New Roman" w:hAnsi="Times New Roman" w:cs="Times New Roman"/>
          <w:sz w:val="20"/>
          <w:szCs w:val="20"/>
        </w:rPr>
        <w:t xml:space="preserve">ording to our study, </w:t>
      </w:r>
      <w:proofErr w:type="spellStart"/>
      <w:r w:rsidR="006F5978" w:rsidRPr="00794173">
        <w:rPr>
          <w:rFonts w:ascii="Times New Roman" w:hAnsi="Times New Roman" w:cs="Times New Roman"/>
          <w:sz w:val="20"/>
          <w:szCs w:val="20"/>
        </w:rPr>
        <w:t>gemcitabin</w:t>
      </w:r>
      <w:proofErr w:type="spellEnd"/>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considered as efficient as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as there is no statistical significant regarding response, toxicity, and survival.</w:t>
      </w:r>
      <w:r w:rsidR="001E5AEC" w:rsidRPr="00794173">
        <w:rPr>
          <w:rFonts w:ascii="Times New Roman" w:hAnsi="Times New Roman" w:cs="Times New Roman"/>
          <w:sz w:val="20"/>
          <w:szCs w:val="20"/>
        </w:rPr>
        <w:t xml:space="preserve"> </w:t>
      </w:r>
      <w:proofErr w:type="spellStart"/>
      <w:r w:rsidRPr="00794173">
        <w:rPr>
          <w:rFonts w:ascii="Times New Roman" w:hAnsi="Times New Roman" w:cs="Times New Roman"/>
          <w:sz w:val="20"/>
          <w:szCs w:val="20"/>
        </w:rPr>
        <w:t>Cystoscopy</w:t>
      </w:r>
      <w:proofErr w:type="spellEnd"/>
      <w:r w:rsidRPr="00794173">
        <w:rPr>
          <w:rFonts w:ascii="Times New Roman" w:hAnsi="Times New Roman" w:cs="Times New Roman"/>
          <w:sz w:val="20"/>
          <w:szCs w:val="20"/>
        </w:rPr>
        <w:t xml:space="preserve"> after 3 months revealed no tumor in 82% of patients in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group, and 72%</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 xml:space="preserve">in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group without any statistical significant differences that is comparable to other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treatment studies (15, 16).</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 xml:space="preserve">All patients in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group tolerated the treatment, similar to other studies (17), while six patients in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group developed Grade III gastrointestinal toxicity that cannot complete their weekly chemotherapy doses.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toxicity is comparable to a study using </w:t>
      </w:r>
      <w:proofErr w:type="spellStart"/>
      <w:r w:rsidRPr="00794173">
        <w:rPr>
          <w:rFonts w:ascii="Times New Roman" w:hAnsi="Times New Roman" w:cs="Times New Roman"/>
          <w:sz w:val="20"/>
          <w:szCs w:val="20"/>
        </w:rPr>
        <w:t>gemcitabineas</w:t>
      </w:r>
      <w:proofErr w:type="spellEnd"/>
      <w:r w:rsidRPr="00794173">
        <w:rPr>
          <w:rFonts w:ascii="Times New Roman" w:hAnsi="Times New Roman" w:cs="Times New Roman"/>
          <w:sz w:val="20"/>
          <w:szCs w:val="20"/>
        </w:rPr>
        <w:t xml:space="preserve"> a </w:t>
      </w:r>
      <w:r w:rsidR="001E5AEC" w:rsidRPr="00794173">
        <w:rPr>
          <w:rFonts w:ascii="Times New Roman" w:hAnsi="Times New Roman" w:cs="Times New Roman"/>
          <w:sz w:val="20"/>
          <w:szCs w:val="20"/>
        </w:rPr>
        <w:t>radio sensitizer</w:t>
      </w:r>
      <w:r w:rsidRPr="00794173">
        <w:rPr>
          <w:rFonts w:ascii="Times New Roman" w:hAnsi="Times New Roman" w:cs="Times New Roman"/>
          <w:sz w:val="20"/>
          <w:szCs w:val="20"/>
        </w:rPr>
        <w:t xml:space="preserve"> tri-modality bladder preservative strategy (18).</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 xml:space="preserve">At median 2 year, Disease free survival in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group was 79.4%while in </w:t>
      </w:r>
      <w:proofErr w:type="spellStart"/>
      <w:r w:rsidRPr="00794173">
        <w:rPr>
          <w:rFonts w:ascii="Times New Roman" w:hAnsi="Times New Roman" w:cs="Times New Roman"/>
          <w:sz w:val="20"/>
          <w:szCs w:val="20"/>
        </w:rPr>
        <w:t>cisplatin</w:t>
      </w:r>
      <w:proofErr w:type="spellEnd"/>
      <w:r w:rsidRPr="00794173">
        <w:rPr>
          <w:rFonts w:ascii="Times New Roman" w:hAnsi="Times New Roman" w:cs="Times New Roman"/>
          <w:sz w:val="20"/>
          <w:szCs w:val="20"/>
        </w:rPr>
        <w:t xml:space="preserve"> group was 77.6% with statistically insignificant difference. These figures are comparable to that reported by most clinical trials studied in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treatments (19, 20).</w:t>
      </w:r>
      <w:r w:rsidR="00794173" w:rsidRPr="00794173">
        <w:rPr>
          <w:rFonts w:ascii="Times New Roman" w:hAnsi="Times New Roman" w:cs="Times New Roman" w:hint="eastAsia"/>
          <w:sz w:val="20"/>
          <w:szCs w:val="20"/>
          <w:lang w:eastAsia="zh-CN"/>
        </w:rPr>
        <w:t xml:space="preserve"> </w:t>
      </w:r>
      <w:proofErr w:type="gramStart"/>
      <w:r w:rsidRPr="00794173">
        <w:rPr>
          <w:rFonts w:ascii="Times New Roman" w:hAnsi="Times New Roman" w:cs="Times New Roman"/>
          <w:sz w:val="20"/>
          <w:szCs w:val="20"/>
        </w:rPr>
        <w:t xml:space="preserve">Regarding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toxicity, we can observe: 1) it is not affect renal function and can used in renal impairment, the common associated complication in bladder cancer,</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 xml:space="preserve">2) do not affect the response rate and survival, and 3) toxicity that affect weekly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schedules were gastrointestinal toxicity that can be reduced with modern radiotherapy techniques such as IMRT,</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VMAT (21), and adaptive radiation, in particularly online adaptive radiotherapy (22), that still investigational in bladder cancer.</w:t>
      </w:r>
      <w:proofErr w:type="gramEnd"/>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Although this is non-randomized</w:t>
      </w:r>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study;</w:t>
      </w:r>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however, limited number of patients</w:t>
      </w:r>
      <w:r w:rsidR="006F5978" w:rsidRPr="00794173">
        <w:rPr>
          <w:rFonts w:ascii="Times New Roman" w:hAnsi="Times New Roman" w:cs="Times New Roman"/>
          <w:sz w:val="20"/>
          <w:szCs w:val="20"/>
        </w:rPr>
        <w:t xml:space="preserve"> </w:t>
      </w:r>
      <w:r w:rsidRPr="00794173">
        <w:rPr>
          <w:rFonts w:ascii="Times New Roman" w:hAnsi="Times New Roman" w:cs="Times New Roman"/>
          <w:sz w:val="20"/>
          <w:szCs w:val="20"/>
        </w:rPr>
        <w:t xml:space="preserve">is a limiting issue to our study, and we could conclude that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is a reasonable option in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treatments in bladder preservative strategies.</w:t>
      </w:r>
    </w:p>
    <w:p w:rsidR="003050D9" w:rsidRPr="00794173" w:rsidRDefault="003050D9" w:rsidP="00255289">
      <w:pPr>
        <w:spacing w:after="0" w:line="240" w:lineRule="auto"/>
        <w:jc w:val="both"/>
        <w:rPr>
          <w:rFonts w:ascii="Times New Roman" w:hAnsi="Times New Roman" w:cs="Times New Roman"/>
          <w:b/>
          <w:bCs/>
          <w:sz w:val="20"/>
          <w:szCs w:val="20"/>
        </w:rPr>
      </w:pPr>
    </w:p>
    <w:p w:rsidR="003050D9" w:rsidRPr="00794173" w:rsidRDefault="003050D9"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t>Acknowledgements:</w:t>
      </w:r>
    </w:p>
    <w:p w:rsidR="003050D9" w:rsidRPr="00794173" w:rsidRDefault="003050D9" w:rsidP="00255289">
      <w:pPr>
        <w:spacing w:after="0" w:line="240" w:lineRule="auto"/>
        <w:ind w:firstLine="425"/>
        <w:jc w:val="both"/>
        <w:rPr>
          <w:rFonts w:ascii="Times New Roman" w:hAnsi="Times New Roman" w:cs="Times New Roman"/>
          <w:sz w:val="20"/>
          <w:szCs w:val="20"/>
        </w:rPr>
      </w:pPr>
      <w:r w:rsidRPr="00794173">
        <w:rPr>
          <w:rFonts w:ascii="Times New Roman" w:hAnsi="Times New Roman" w:cs="Times New Roman"/>
          <w:sz w:val="20"/>
          <w:szCs w:val="20"/>
        </w:rPr>
        <w:t>The authors sincerely thank the South Egypt Cancer Institute for supporting this study.</w:t>
      </w:r>
    </w:p>
    <w:p w:rsidR="003050D9" w:rsidRPr="00794173" w:rsidRDefault="003050D9" w:rsidP="00255289">
      <w:pPr>
        <w:spacing w:after="0" w:line="240" w:lineRule="auto"/>
        <w:jc w:val="both"/>
        <w:rPr>
          <w:rFonts w:ascii="Times New Roman" w:hAnsi="Times New Roman" w:cs="Times New Roman"/>
          <w:b/>
          <w:bCs/>
          <w:sz w:val="20"/>
          <w:szCs w:val="20"/>
        </w:rPr>
      </w:pPr>
    </w:p>
    <w:p w:rsidR="00F50739" w:rsidRPr="00794173" w:rsidRDefault="00F50739" w:rsidP="00255289">
      <w:pPr>
        <w:spacing w:after="0" w:line="240" w:lineRule="auto"/>
        <w:jc w:val="both"/>
        <w:rPr>
          <w:rFonts w:ascii="Times New Roman" w:hAnsi="Times New Roman" w:cs="Times New Roman"/>
          <w:b/>
          <w:bCs/>
          <w:sz w:val="20"/>
          <w:szCs w:val="20"/>
        </w:rPr>
      </w:pPr>
      <w:r w:rsidRPr="00794173">
        <w:rPr>
          <w:rFonts w:ascii="Times New Roman" w:hAnsi="Times New Roman" w:cs="Times New Roman"/>
          <w:b/>
          <w:bCs/>
          <w:sz w:val="20"/>
          <w:szCs w:val="20"/>
        </w:rPr>
        <w:t>References:</w:t>
      </w:r>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r w:rsidRPr="00794173">
        <w:rPr>
          <w:rFonts w:ascii="Times New Roman" w:hAnsi="Times New Roman" w:cs="Times New Roman"/>
          <w:sz w:val="20"/>
          <w:szCs w:val="20"/>
        </w:rPr>
        <w:t xml:space="preserve">Ibrahim, A. S., </w:t>
      </w:r>
      <w:proofErr w:type="spellStart"/>
      <w:r w:rsidRPr="00794173">
        <w:rPr>
          <w:rFonts w:ascii="Times New Roman" w:hAnsi="Times New Roman" w:cs="Times New Roman"/>
          <w:sz w:val="20"/>
          <w:szCs w:val="20"/>
        </w:rPr>
        <w:t>Khaled</w:t>
      </w:r>
      <w:proofErr w:type="spellEnd"/>
      <w:r w:rsidRPr="00794173">
        <w:rPr>
          <w:rFonts w:ascii="Times New Roman" w:hAnsi="Times New Roman" w:cs="Times New Roman"/>
          <w:sz w:val="20"/>
          <w:szCs w:val="20"/>
        </w:rPr>
        <w:t xml:space="preserve">, H. M., Mikhail, N. N., Baraka, H. &amp; </w:t>
      </w:r>
      <w:proofErr w:type="spellStart"/>
      <w:r w:rsidRPr="00794173">
        <w:rPr>
          <w:rFonts w:ascii="Times New Roman" w:hAnsi="Times New Roman" w:cs="Times New Roman"/>
          <w:sz w:val="20"/>
          <w:szCs w:val="20"/>
        </w:rPr>
        <w:t>Kamel</w:t>
      </w:r>
      <w:proofErr w:type="spellEnd"/>
      <w:r w:rsidRPr="00794173">
        <w:rPr>
          <w:rFonts w:ascii="Times New Roman" w:hAnsi="Times New Roman" w:cs="Times New Roman"/>
          <w:sz w:val="20"/>
          <w:szCs w:val="20"/>
        </w:rPr>
        <w:t xml:space="preserve">, H. Cancer incidence in </w:t>
      </w:r>
      <w:proofErr w:type="spellStart"/>
      <w:proofErr w:type="gramStart"/>
      <w:r w:rsidRPr="00794173">
        <w:rPr>
          <w:rFonts w:ascii="Times New Roman" w:hAnsi="Times New Roman" w:cs="Times New Roman"/>
          <w:sz w:val="20"/>
          <w:szCs w:val="20"/>
        </w:rPr>
        <w:t>egypt</w:t>
      </w:r>
      <w:proofErr w:type="spellEnd"/>
      <w:proofErr w:type="gramEnd"/>
      <w:r w:rsidRPr="00794173">
        <w:rPr>
          <w:rFonts w:ascii="Times New Roman" w:hAnsi="Times New Roman" w:cs="Times New Roman"/>
          <w:sz w:val="20"/>
          <w:szCs w:val="20"/>
        </w:rPr>
        <w:t xml:space="preserve">: results of the national population-based cancer registry program. </w:t>
      </w:r>
      <w:proofErr w:type="gramStart"/>
      <w:r w:rsidRPr="00794173">
        <w:rPr>
          <w:rFonts w:ascii="Times New Roman" w:hAnsi="Times New Roman" w:cs="Times New Roman"/>
          <w:sz w:val="20"/>
          <w:szCs w:val="20"/>
        </w:rPr>
        <w:t xml:space="preserve">J. Cancer </w:t>
      </w:r>
      <w:proofErr w:type="spellStart"/>
      <w:r w:rsidRPr="00794173">
        <w:rPr>
          <w:rFonts w:ascii="Times New Roman" w:hAnsi="Times New Roman" w:cs="Times New Roman"/>
          <w:sz w:val="20"/>
          <w:szCs w:val="20"/>
        </w:rPr>
        <w:t>Epidemiol</w:t>
      </w:r>
      <w:proofErr w:type="spellEnd"/>
      <w:r w:rsidRPr="00794173">
        <w:rPr>
          <w:rFonts w:ascii="Times New Roman" w:hAnsi="Times New Roman" w:cs="Times New Roman"/>
          <w:sz w:val="20"/>
          <w:szCs w:val="20"/>
        </w:rPr>
        <w:t>.</w:t>
      </w:r>
      <w:proofErr w:type="gramEnd"/>
      <w:r w:rsidR="00794173" w:rsidRPr="00794173">
        <w:rPr>
          <w:rFonts w:ascii="Times New Roman" w:hAnsi="Times New Roman" w:cs="Times New Roman" w:hint="eastAsia"/>
          <w:sz w:val="20"/>
          <w:szCs w:val="20"/>
          <w:lang w:eastAsia="zh-CN"/>
        </w:rPr>
        <w:t xml:space="preserve"> </w:t>
      </w:r>
      <w:proofErr w:type="gramStart"/>
      <w:r w:rsidRPr="00794173">
        <w:rPr>
          <w:rFonts w:ascii="Times New Roman" w:hAnsi="Times New Roman" w:cs="Times New Roman"/>
          <w:sz w:val="20"/>
          <w:szCs w:val="20"/>
        </w:rPr>
        <w:t>2014</w:t>
      </w:r>
      <w:proofErr w:type="gramEnd"/>
      <w:r w:rsidRPr="00794173">
        <w:rPr>
          <w:rFonts w:ascii="Times New Roman" w:hAnsi="Times New Roman" w:cs="Times New Roman"/>
          <w:sz w:val="20"/>
          <w:szCs w:val="20"/>
        </w:rPr>
        <w:t>, 437971 (2014).</w:t>
      </w:r>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lastRenderedPageBreak/>
        <w:t>Ferlay</w:t>
      </w:r>
      <w:proofErr w:type="spellEnd"/>
      <w:r w:rsidRPr="00794173">
        <w:rPr>
          <w:rFonts w:ascii="Times New Roman" w:hAnsi="Times New Roman" w:cs="Times New Roman"/>
          <w:sz w:val="20"/>
          <w:szCs w:val="20"/>
        </w:rPr>
        <w:t xml:space="preserve">, J. et al. Cancer incidence and mortality patterns in Europe: estimates for 40 countries in 2012. </w:t>
      </w:r>
      <w:proofErr w:type="gramStart"/>
      <w:r w:rsidRPr="00794173">
        <w:rPr>
          <w:rFonts w:ascii="Times New Roman" w:hAnsi="Times New Roman" w:cs="Times New Roman"/>
          <w:sz w:val="20"/>
          <w:szCs w:val="20"/>
        </w:rPr>
        <w:t>Eur. J. Cancer</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49, 1374–403 (2013).</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 xml:space="preserve">Siegel, R., </w:t>
      </w:r>
      <w:proofErr w:type="spellStart"/>
      <w:r w:rsidRPr="00794173">
        <w:rPr>
          <w:rFonts w:ascii="Times New Roman" w:hAnsi="Times New Roman" w:cs="Times New Roman"/>
          <w:sz w:val="20"/>
          <w:szCs w:val="20"/>
        </w:rPr>
        <w:t>Naishadham</w:t>
      </w:r>
      <w:proofErr w:type="spellEnd"/>
      <w:r w:rsidRPr="00794173">
        <w:rPr>
          <w:rFonts w:ascii="Times New Roman" w:hAnsi="Times New Roman" w:cs="Times New Roman"/>
          <w:sz w:val="20"/>
          <w:szCs w:val="20"/>
        </w:rPr>
        <w:t xml:space="preserve">, D. &amp; </w:t>
      </w:r>
      <w:proofErr w:type="spellStart"/>
      <w:r w:rsidRPr="00794173">
        <w:rPr>
          <w:rFonts w:ascii="Times New Roman" w:hAnsi="Times New Roman" w:cs="Times New Roman"/>
          <w:sz w:val="20"/>
          <w:szCs w:val="20"/>
        </w:rPr>
        <w:t>Jemal</w:t>
      </w:r>
      <w:proofErr w:type="spellEnd"/>
      <w:r w:rsidRPr="00794173">
        <w:rPr>
          <w:rFonts w:ascii="Times New Roman" w:hAnsi="Times New Roman" w:cs="Times New Roman"/>
          <w:sz w:val="20"/>
          <w:szCs w:val="20"/>
        </w:rPr>
        <w:t>, A. Cancer statistics, 2013.</w:t>
      </w:r>
      <w:proofErr w:type="gramEnd"/>
      <w:r w:rsidRPr="00794173">
        <w:rPr>
          <w:rFonts w:ascii="Times New Roman" w:hAnsi="Times New Roman" w:cs="Times New Roman"/>
          <w:sz w:val="20"/>
          <w:szCs w:val="20"/>
        </w:rPr>
        <w:t xml:space="preserve"> CA. Cancer J. Clin.63, 11–30 (2013).</w:t>
      </w:r>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proofErr w:type="gramStart"/>
      <w:r w:rsidRPr="00794173">
        <w:rPr>
          <w:rFonts w:ascii="Times New Roman" w:hAnsi="Times New Roman" w:cs="Times New Roman"/>
          <w:sz w:val="20"/>
          <w:szCs w:val="20"/>
        </w:rPr>
        <w:t>Arcangeli</w:t>
      </w:r>
      <w:proofErr w:type="spellEnd"/>
      <w:r w:rsidRPr="00794173">
        <w:rPr>
          <w:rFonts w:ascii="Times New Roman" w:hAnsi="Times New Roman" w:cs="Times New Roman"/>
          <w:sz w:val="20"/>
          <w:szCs w:val="20"/>
        </w:rPr>
        <w:t xml:space="preserve">, G., </w:t>
      </w:r>
      <w:proofErr w:type="spellStart"/>
      <w:r w:rsidRPr="00794173">
        <w:rPr>
          <w:rFonts w:ascii="Times New Roman" w:hAnsi="Times New Roman" w:cs="Times New Roman"/>
          <w:sz w:val="20"/>
          <w:szCs w:val="20"/>
        </w:rPr>
        <w:t>Arcangeli</w:t>
      </w:r>
      <w:proofErr w:type="spellEnd"/>
      <w:r w:rsidRPr="00794173">
        <w:rPr>
          <w:rFonts w:ascii="Times New Roman" w:hAnsi="Times New Roman" w:cs="Times New Roman"/>
          <w:sz w:val="20"/>
          <w:szCs w:val="20"/>
        </w:rPr>
        <w:t xml:space="preserve">, S. &amp; </w:t>
      </w:r>
      <w:proofErr w:type="spellStart"/>
      <w:r w:rsidRPr="00794173">
        <w:rPr>
          <w:rFonts w:ascii="Times New Roman" w:hAnsi="Times New Roman" w:cs="Times New Roman"/>
          <w:sz w:val="20"/>
          <w:szCs w:val="20"/>
        </w:rPr>
        <w:t>Strigari</w:t>
      </w:r>
      <w:proofErr w:type="spellEnd"/>
      <w:r w:rsidRPr="00794173">
        <w:rPr>
          <w:rFonts w:ascii="Times New Roman" w:hAnsi="Times New Roman" w:cs="Times New Roman"/>
          <w:sz w:val="20"/>
          <w:szCs w:val="20"/>
        </w:rPr>
        <w:t>, L.</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 xml:space="preserve">A systematic review and meta-analysis of clinical trials of bladder-sparing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treatment for muscle-invasive bladder cancer (MIBC).</w:t>
      </w:r>
      <w:proofErr w:type="gramEnd"/>
      <w:r w:rsidRPr="00794173">
        <w:rPr>
          <w:rFonts w:ascii="Times New Roman" w:hAnsi="Times New Roman" w:cs="Times New Roman"/>
          <w:sz w:val="20"/>
          <w:szCs w:val="20"/>
        </w:rPr>
        <w:t xml:space="preserve"> Crit. Rev. </w:t>
      </w:r>
      <w:proofErr w:type="spell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Hematol</w:t>
      </w:r>
      <w:proofErr w:type="spellEnd"/>
      <w:r w:rsidRPr="00794173">
        <w:rPr>
          <w:rFonts w:ascii="Times New Roman" w:hAnsi="Times New Roman" w:cs="Times New Roman"/>
          <w:sz w:val="20"/>
          <w:szCs w:val="20"/>
        </w:rPr>
        <w:t>.</w:t>
      </w:r>
      <w:proofErr w:type="gramEnd"/>
      <w:r w:rsidR="00794173" w:rsidRPr="00794173">
        <w:rPr>
          <w:rFonts w:ascii="Times New Roman" w:hAnsi="Times New Roman" w:cs="Times New Roman" w:hint="eastAsia"/>
          <w:sz w:val="20"/>
          <w:szCs w:val="20"/>
          <w:lang w:eastAsia="zh-CN"/>
        </w:rPr>
        <w:t xml:space="preserve"> </w:t>
      </w:r>
      <w:proofErr w:type="gramStart"/>
      <w:r w:rsidRPr="00794173">
        <w:rPr>
          <w:rFonts w:ascii="Times New Roman" w:hAnsi="Times New Roman" w:cs="Times New Roman"/>
          <w:sz w:val="20"/>
          <w:szCs w:val="20"/>
        </w:rPr>
        <w:t>94, 105–15 (2015).</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r w:rsidRPr="00794173">
        <w:rPr>
          <w:rFonts w:ascii="Times New Roman" w:hAnsi="Times New Roman" w:cs="Times New Roman"/>
          <w:sz w:val="20"/>
          <w:szCs w:val="20"/>
        </w:rPr>
        <w:t xml:space="preserve">Gray, P. J. et al. Clinical-pathologic stage discrepancy in bladder cancer patients treated with radical </w:t>
      </w:r>
      <w:proofErr w:type="spellStart"/>
      <w:r w:rsidRPr="00794173">
        <w:rPr>
          <w:rFonts w:ascii="Times New Roman" w:hAnsi="Times New Roman" w:cs="Times New Roman"/>
          <w:sz w:val="20"/>
          <w:szCs w:val="20"/>
        </w:rPr>
        <w:t>cystectomy</w:t>
      </w:r>
      <w:proofErr w:type="spellEnd"/>
      <w:r w:rsidRPr="00794173">
        <w:rPr>
          <w:rFonts w:ascii="Times New Roman" w:hAnsi="Times New Roman" w:cs="Times New Roman"/>
          <w:sz w:val="20"/>
          <w:szCs w:val="20"/>
        </w:rPr>
        <w:t xml:space="preserve">: results from the national cancer </w:t>
      </w:r>
      <w:proofErr w:type="gramStart"/>
      <w:r w:rsidRPr="00794173">
        <w:rPr>
          <w:rFonts w:ascii="Times New Roman" w:hAnsi="Times New Roman" w:cs="Times New Roman"/>
          <w:sz w:val="20"/>
          <w:szCs w:val="20"/>
        </w:rPr>
        <w:t>data base</w:t>
      </w:r>
      <w:proofErr w:type="gramEnd"/>
      <w:r w:rsidRPr="00794173">
        <w:rPr>
          <w:rFonts w:ascii="Times New Roman" w:hAnsi="Times New Roman" w:cs="Times New Roman"/>
          <w:sz w:val="20"/>
          <w:szCs w:val="20"/>
        </w:rPr>
        <w:t xml:space="preserve">. Int. J. </w:t>
      </w:r>
      <w:proofErr w:type="spellStart"/>
      <w:r w:rsidRPr="00794173">
        <w:rPr>
          <w:rFonts w:ascii="Times New Roman" w:hAnsi="Times New Roman" w:cs="Times New Roman"/>
          <w:sz w:val="20"/>
          <w:szCs w:val="20"/>
        </w:rPr>
        <w:t>Radiat</w:t>
      </w:r>
      <w:proofErr w:type="spell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Biol. Phys.88, 1048–56 (2014).</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proofErr w:type="gramStart"/>
      <w:r w:rsidRPr="00794173">
        <w:rPr>
          <w:rFonts w:ascii="Times New Roman" w:hAnsi="Times New Roman" w:cs="Times New Roman"/>
          <w:sz w:val="20"/>
          <w:szCs w:val="20"/>
        </w:rPr>
        <w:t>Arcangeli</w:t>
      </w:r>
      <w:proofErr w:type="spellEnd"/>
      <w:r w:rsidRPr="00794173">
        <w:rPr>
          <w:rFonts w:ascii="Times New Roman" w:hAnsi="Times New Roman" w:cs="Times New Roman"/>
          <w:sz w:val="20"/>
          <w:szCs w:val="20"/>
        </w:rPr>
        <w:t xml:space="preserve">, G., </w:t>
      </w:r>
      <w:proofErr w:type="spellStart"/>
      <w:r w:rsidRPr="00794173">
        <w:rPr>
          <w:rFonts w:ascii="Times New Roman" w:hAnsi="Times New Roman" w:cs="Times New Roman"/>
          <w:sz w:val="20"/>
          <w:szCs w:val="20"/>
        </w:rPr>
        <w:t>Strigari</w:t>
      </w:r>
      <w:proofErr w:type="spellEnd"/>
      <w:r w:rsidRPr="00794173">
        <w:rPr>
          <w:rFonts w:ascii="Times New Roman" w:hAnsi="Times New Roman" w:cs="Times New Roman"/>
          <w:sz w:val="20"/>
          <w:szCs w:val="20"/>
        </w:rPr>
        <w:t xml:space="preserve">, L. &amp; </w:t>
      </w:r>
      <w:proofErr w:type="spellStart"/>
      <w:r w:rsidRPr="00794173">
        <w:rPr>
          <w:rFonts w:ascii="Times New Roman" w:hAnsi="Times New Roman" w:cs="Times New Roman"/>
          <w:sz w:val="20"/>
          <w:szCs w:val="20"/>
        </w:rPr>
        <w:t>Arcangeli</w:t>
      </w:r>
      <w:proofErr w:type="spellEnd"/>
      <w:r w:rsidRPr="00794173">
        <w:rPr>
          <w:rFonts w:ascii="Times New Roman" w:hAnsi="Times New Roman" w:cs="Times New Roman"/>
          <w:sz w:val="20"/>
          <w:szCs w:val="20"/>
        </w:rPr>
        <w:t xml:space="preserve">, S. Radical </w:t>
      </w:r>
      <w:proofErr w:type="spellStart"/>
      <w:r w:rsidRPr="00794173">
        <w:rPr>
          <w:rFonts w:ascii="Times New Roman" w:hAnsi="Times New Roman" w:cs="Times New Roman"/>
          <w:sz w:val="20"/>
          <w:szCs w:val="20"/>
        </w:rPr>
        <w:t>cystectomy</w:t>
      </w:r>
      <w:proofErr w:type="spellEnd"/>
      <w:r w:rsidRPr="00794173">
        <w:rPr>
          <w:rFonts w:ascii="Times New Roman" w:hAnsi="Times New Roman" w:cs="Times New Roman"/>
          <w:sz w:val="20"/>
          <w:szCs w:val="20"/>
        </w:rPr>
        <w:t xml:space="preserve"> versus organ-sparing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treatment in muscle-invasive bladder cancer: A systematic review of clinical trials.</w:t>
      </w:r>
      <w:proofErr w:type="gramEnd"/>
      <w:r w:rsidRPr="00794173">
        <w:rPr>
          <w:rFonts w:ascii="Times New Roman" w:hAnsi="Times New Roman" w:cs="Times New Roman"/>
          <w:sz w:val="20"/>
          <w:szCs w:val="20"/>
        </w:rPr>
        <w:t xml:space="preserve"> Crit. Rev. </w:t>
      </w:r>
      <w:proofErr w:type="spell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Hematol.95, 387–96 (2015).</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 xml:space="preserve">NCCN Clinical Practice </w:t>
      </w:r>
      <w:proofErr w:type="spellStart"/>
      <w:r w:rsidRPr="00794173">
        <w:rPr>
          <w:rFonts w:ascii="Times New Roman" w:hAnsi="Times New Roman" w:cs="Times New Roman"/>
          <w:sz w:val="20"/>
          <w:szCs w:val="20"/>
        </w:rPr>
        <w:t>Giudlines</w:t>
      </w:r>
      <w:proofErr w:type="spellEnd"/>
      <w:r w:rsidRPr="00794173">
        <w:rPr>
          <w:rFonts w:ascii="Times New Roman" w:hAnsi="Times New Roman" w:cs="Times New Roman"/>
          <w:sz w:val="20"/>
          <w:szCs w:val="20"/>
        </w:rPr>
        <w:t xml:space="preserve"> in Oncology.</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Bladder Cancer, version 2.2015.</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21</w:t>
      </w:r>
      <w:proofErr w:type="gramEnd"/>
      <w:r w:rsidRPr="00794173">
        <w:rPr>
          <w:rFonts w:ascii="Times New Roman" w:hAnsi="Times New Roman" w:cs="Times New Roman"/>
          <w:sz w:val="20"/>
          <w:szCs w:val="20"/>
        </w:rPr>
        <w:t xml:space="preserve"> (2015). </w:t>
      </w:r>
      <w:proofErr w:type="gramStart"/>
      <w:r w:rsidRPr="00794173">
        <w:rPr>
          <w:rFonts w:ascii="Times New Roman" w:hAnsi="Times New Roman" w:cs="Times New Roman"/>
          <w:sz w:val="20"/>
          <w:szCs w:val="20"/>
        </w:rPr>
        <w:t>at</w:t>
      </w:r>
      <w:proofErr w:type="gramEnd"/>
      <w:r w:rsidRPr="00794173">
        <w:rPr>
          <w:rFonts w:ascii="Times New Roman" w:hAnsi="Times New Roman" w:cs="Times New Roman"/>
          <w:sz w:val="20"/>
          <w:szCs w:val="20"/>
        </w:rPr>
        <w:t xml:space="preserve"> </w:t>
      </w:r>
      <w:hyperlink r:id="rId18" w:history="1">
        <w:r w:rsidR="00794173" w:rsidRPr="00794173">
          <w:rPr>
            <w:rStyle w:val="Hyperlink"/>
            <w:rFonts w:ascii="Times New Roman" w:hAnsi="Times New Roman" w:cs="Times New Roman"/>
            <w:sz w:val="20"/>
            <w:szCs w:val="20"/>
          </w:rPr>
          <w:t>http://www.nccn.org/professionals/physician_gls/pdf/bladder.pdf</w:t>
        </w:r>
      </w:hyperlink>
      <w:r w:rsidR="00794173" w:rsidRPr="00794173">
        <w:rPr>
          <w:rFonts w:ascii="Times New Roman" w:hAnsi="Times New Roman" w:cs="Times New Roman" w:hint="eastAsia"/>
          <w:sz w:val="20"/>
          <w:szCs w:val="20"/>
          <w:lang w:eastAsia="zh-CN"/>
        </w:rPr>
        <w:t>.</w:t>
      </w:r>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t>Sangar</w:t>
      </w:r>
      <w:proofErr w:type="spellEnd"/>
      <w:r w:rsidRPr="00794173">
        <w:rPr>
          <w:rFonts w:ascii="Times New Roman" w:hAnsi="Times New Roman" w:cs="Times New Roman"/>
          <w:sz w:val="20"/>
          <w:szCs w:val="20"/>
        </w:rPr>
        <w:t xml:space="preserve">, V. K., Cowan, R., </w:t>
      </w:r>
      <w:proofErr w:type="spellStart"/>
      <w:r w:rsidRPr="00794173">
        <w:rPr>
          <w:rFonts w:ascii="Times New Roman" w:hAnsi="Times New Roman" w:cs="Times New Roman"/>
          <w:sz w:val="20"/>
          <w:szCs w:val="20"/>
        </w:rPr>
        <w:t>Margison</w:t>
      </w:r>
      <w:proofErr w:type="spellEnd"/>
      <w:r w:rsidRPr="00794173">
        <w:rPr>
          <w:rFonts w:ascii="Times New Roman" w:hAnsi="Times New Roman" w:cs="Times New Roman"/>
          <w:sz w:val="20"/>
          <w:szCs w:val="20"/>
        </w:rPr>
        <w:t xml:space="preserve">, G. P., Hendry, J. H. &amp; Clarke, N. W. An evaluation of </w:t>
      </w:r>
      <w:proofErr w:type="spellStart"/>
      <w:r w:rsidRPr="00794173">
        <w:rPr>
          <w:rFonts w:ascii="Times New Roman" w:hAnsi="Times New Roman" w:cs="Times New Roman"/>
          <w:sz w:val="20"/>
          <w:szCs w:val="20"/>
        </w:rPr>
        <w:t>gemcitabines</w:t>
      </w:r>
      <w:proofErr w:type="spellEnd"/>
      <w:r w:rsidRPr="00794173">
        <w:rPr>
          <w:rFonts w:ascii="Times New Roman" w:hAnsi="Times New Roman" w:cs="Times New Roman"/>
          <w:sz w:val="20"/>
          <w:szCs w:val="20"/>
        </w:rPr>
        <w:t xml:space="preserve"> differential </w:t>
      </w:r>
      <w:proofErr w:type="spellStart"/>
      <w:r w:rsidRPr="00794173">
        <w:rPr>
          <w:rFonts w:ascii="Times New Roman" w:hAnsi="Times New Roman" w:cs="Times New Roman"/>
          <w:sz w:val="20"/>
          <w:szCs w:val="20"/>
        </w:rPr>
        <w:t>radiosensitising</w:t>
      </w:r>
      <w:proofErr w:type="spellEnd"/>
      <w:r w:rsidRPr="00794173">
        <w:rPr>
          <w:rFonts w:ascii="Times New Roman" w:hAnsi="Times New Roman" w:cs="Times New Roman"/>
          <w:sz w:val="20"/>
          <w:szCs w:val="20"/>
        </w:rPr>
        <w:t xml:space="preserve"> effect in related </w:t>
      </w:r>
      <w:proofErr w:type="gramStart"/>
      <w:r w:rsidRPr="00794173">
        <w:rPr>
          <w:rFonts w:ascii="Times New Roman" w:hAnsi="Times New Roman" w:cs="Times New Roman"/>
          <w:sz w:val="20"/>
          <w:szCs w:val="20"/>
        </w:rPr>
        <w:t>bladder cancer cell lines</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Br. J. Cancer</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90, 542–8 (2004).</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t>Sangar</w:t>
      </w:r>
      <w:proofErr w:type="spellEnd"/>
      <w:r w:rsidRPr="00794173">
        <w:rPr>
          <w:rFonts w:ascii="Times New Roman" w:hAnsi="Times New Roman" w:cs="Times New Roman"/>
          <w:sz w:val="20"/>
          <w:szCs w:val="20"/>
        </w:rPr>
        <w:t xml:space="preserve">, V. K. et al. Phase I study of conformal radiotherapy with concurrent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in locally advanced bladder cancer. Int. J. </w:t>
      </w:r>
      <w:proofErr w:type="spellStart"/>
      <w:r w:rsidRPr="00794173">
        <w:rPr>
          <w:rFonts w:ascii="Times New Roman" w:hAnsi="Times New Roman" w:cs="Times New Roman"/>
          <w:sz w:val="20"/>
          <w:szCs w:val="20"/>
        </w:rPr>
        <w:t>Radiat</w:t>
      </w:r>
      <w:proofErr w:type="spell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Biol. Phys.</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61, 420–5 (2005).</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 xml:space="preserve">De </w:t>
      </w:r>
      <w:proofErr w:type="spellStart"/>
      <w:r w:rsidRPr="00794173">
        <w:rPr>
          <w:rFonts w:ascii="Times New Roman" w:hAnsi="Times New Roman" w:cs="Times New Roman"/>
          <w:sz w:val="20"/>
          <w:szCs w:val="20"/>
        </w:rPr>
        <w:t>Santis</w:t>
      </w:r>
      <w:proofErr w:type="spellEnd"/>
      <w:r w:rsidRPr="00794173">
        <w:rPr>
          <w:rFonts w:ascii="Times New Roman" w:hAnsi="Times New Roman" w:cs="Times New Roman"/>
          <w:sz w:val="20"/>
          <w:szCs w:val="20"/>
        </w:rPr>
        <w:t xml:space="preserve">, M. et al. Combined </w:t>
      </w:r>
      <w:r w:rsidR="001E5AEC" w:rsidRPr="00794173">
        <w:rPr>
          <w:rFonts w:ascii="Times New Roman" w:hAnsi="Times New Roman" w:cs="Times New Roman"/>
          <w:sz w:val="20"/>
          <w:szCs w:val="20"/>
        </w:rPr>
        <w:t>chemo radiotherapy</w:t>
      </w:r>
      <w:r w:rsidRPr="00794173">
        <w:rPr>
          <w:rFonts w:ascii="Times New Roman" w:hAnsi="Times New Roman" w:cs="Times New Roman"/>
          <w:sz w:val="20"/>
          <w:szCs w:val="20"/>
        </w:rPr>
        <w:t xml:space="preserve"> with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in patients with locally advanced inoperable transitional cell carcinoma of the urinary bladder and/or in patients ineligible for surgery: a phase I trial.</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Ann. Oncol.25, 1789–94 (2014).</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t>Oken</w:t>
      </w:r>
      <w:proofErr w:type="spellEnd"/>
      <w:r w:rsidRPr="00794173">
        <w:rPr>
          <w:rFonts w:ascii="Times New Roman" w:hAnsi="Times New Roman" w:cs="Times New Roman"/>
          <w:sz w:val="20"/>
          <w:szCs w:val="20"/>
        </w:rPr>
        <w:t xml:space="preserve">, M. M. et al. Toxicity and response criteria of the Eastern Cooperative Oncology Group. Am. J. </w:t>
      </w:r>
      <w:proofErr w:type="spellStart"/>
      <w:r w:rsidRPr="00794173">
        <w:rPr>
          <w:rFonts w:ascii="Times New Roman" w:hAnsi="Times New Roman" w:cs="Times New Roman"/>
          <w:sz w:val="20"/>
          <w:szCs w:val="20"/>
        </w:rPr>
        <w:t>Clin</w:t>
      </w:r>
      <w:proofErr w:type="spell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Oncol.5, 649–55 (1982).</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Kaplan, E. L. &amp; Meier, P. Nonparametric Estimation from Incomplete Observations.</w:t>
      </w:r>
      <w:proofErr w:type="gramEnd"/>
      <w:r w:rsidRPr="00794173">
        <w:rPr>
          <w:rFonts w:ascii="Times New Roman" w:hAnsi="Times New Roman" w:cs="Times New Roman"/>
          <w:sz w:val="20"/>
          <w:szCs w:val="20"/>
        </w:rPr>
        <w:t xml:space="preserve"> J. Am. Stat. Assoc. (2012). </w:t>
      </w:r>
      <w:proofErr w:type="gramStart"/>
      <w:r w:rsidRPr="00794173">
        <w:rPr>
          <w:rFonts w:ascii="Times New Roman" w:hAnsi="Times New Roman" w:cs="Times New Roman"/>
          <w:sz w:val="20"/>
          <w:szCs w:val="20"/>
        </w:rPr>
        <w:t>at</w:t>
      </w:r>
      <w:proofErr w:type="gramEnd"/>
      <w:r w:rsidRPr="00794173">
        <w:rPr>
          <w:rFonts w:ascii="Times New Roman" w:hAnsi="Times New Roman" w:cs="Times New Roman"/>
          <w:sz w:val="20"/>
          <w:szCs w:val="20"/>
        </w:rPr>
        <w:t xml:space="preserve"> </w:t>
      </w:r>
      <w:hyperlink r:id="rId19" w:history="1">
        <w:r w:rsidR="00794173" w:rsidRPr="00794173">
          <w:rPr>
            <w:rStyle w:val="Hyperlink"/>
            <w:rFonts w:ascii="Times New Roman" w:hAnsi="Times New Roman" w:cs="Times New Roman"/>
            <w:sz w:val="20"/>
            <w:szCs w:val="20"/>
          </w:rPr>
          <w:t>http://www.tandfonline.com/doi/abs/10.1080/01621459.1958.10501452</w:t>
        </w:r>
      </w:hyperlink>
      <w:r w:rsidR="00794173" w:rsidRPr="00794173">
        <w:rPr>
          <w:rFonts w:ascii="Times New Roman" w:hAnsi="Times New Roman" w:cs="Times New Roman" w:hint="eastAsia"/>
          <w:sz w:val="20"/>
          <w:szCs w:val="20"/>
          <w:lang w:eastAsia="zh-CN"/>
        </w:rPr>
        <w:t>.</w:t>
      </w:r>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Common Toxicity Criteria, Version 3.</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Available from:http://ctep.cancer.gov/protocolDevelopment/electronic_applications/docs/ctcaev3.pdf</w:t>
      </w:r>
      <w:r w:rsidR="00794173" w:rsidRPr="00794173">
        <w:rPr>
          <w:rFonts w:ascii="Times New Roman" w:hAnsi="Times New Roman" w:cs="Times New Roman" w:hint="eastAsia"/>
          <w:sz w:val="20"/>
          <w:szCs w:val="20"/>
          <w:lang w:eastAsia="zh-CN"/>
        </w:rPr>
        <w:t>.</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t>Gietema</w:t>
      </w:r>
      <w:proofErr w:type="spellEnd"/>
      <w:r w:rsidRPr="00794173">
        <w:rPr>
          <w:rFonts w:ascii="Times New Roman" w:hAnsi="Times New Roman" w:cs="Times New Roman"/>
          <w:sz w:val="20"/>
          <w:szCs w:val="20"/>
        </w:rPr>
        <w:t xml:space="preserve">, J. A., </w:t>
      </w:r>
      <w:proofErr w:type="spellStart"/>
      <w:r w:rsidRPr="00794173">
        <w:rPr>
          <w:rFonts w:ascii="Times New Roman" w:hAnsi="Times New Roman" w:cs="Times New Roman"/>
          <w:sz w:val="20"/>
          <w:szCs w:val="20"/>
        </w:rPr>
        <w:t>Groen</w:t>
      </w:r>
      <w:proofErr w:type="spellEnd"/>
      <w:r w:rsidRPr="00794173">
        <w:rPr>
          <w:rFonts w:ascii="Times New Roman" w:hAnsi="Times New Roman" w:cs="Times New Roman"/>
          <w:sz w:val="20"/>
          <w:szCs w:val="20"/>
        </w:rPr>
        <w:t xml:space="preserve">, H. J., Meijer, S. &amp; </w:t>
      </w:r>
      <w:proofErr w:type="spellStart"/>
      <w:r w:rsidRPr="00794173">
        <w:rPr>
          <w:rFonts w:ascii="Times New Roman" w:hAnsi="Times New Roman" w:cs="Times New Roman"/>
          <w:sz w:val="20"/>
          <w:szCs w:val="20"/>
        </w:rPr>
        <w:t>Smit</w:t>
      </w:r>
      <w:proofErr w:type="spellEnd"/>
      <w:r w:rsidRPr="00794173">
        <w:rPr>
          <w:rFonts w:ascii="Times New Roman" w:hAnsi="Times New Roman" w:cs="Times New Roman"/>
          <w:sz w:val="20"/>
          <w:szCs w:val="20"/>
        </w:rPr>
        <w:t xml:space="preserve">, E. F. Effects of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on renal function in patients with </w:t>
      </w:r>
      <w:proofErr w:type="gramStart"/>
      <w:r w:rsidRPr="00794173">
        <w:rPr>
          <w:rFonts w:ascii="Times New Roman" w:hAnsi="Times New Roman" w:cs="Times New Roman"/>
          <w:sz w:val="20"/>
          <w:szCs w:val="20"/>
        </w:rPr>
        <w:t>non-small cell lung cancer</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Eur. J. Cancer</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34, 199–202 (1998).</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lastRenderedPageBreak/>
        <w:t>Gamal</w:t>
      </w:r>
      <w:proofErr w:type="spellEnd"/>
      <w:r w:rsidRPr="00794173">
        <w:rPr>
          <w:rFonts w:ascii="Times New Roman" w:hAnsi="Times New Roman" w:cs="Times New Roman"/>
          <w:sz w:val="20"/>
          <w:szCs w:val="20"/>
        </w:rPr>
        <w:t xml:space="preserve"> El-</w:t>
      </w:r>
      <w:proofErr w:type="spellStart"/>
      <w:r w:rsidRPr="00794173">
        <w:rPr>
          <w:rFonts w:ascii="Times New Roman" w:hAnsi="Times New Roman" w:cs="Times New Roman"/>
          <w:sz w:val="20"/>
          <w:szCs w:val="20"/>
        </w:rPr>
        <w:t>Deen</w:t>
      </w:r>
      <w:proofErr w:type="spellEnd"/>
      <w:r w:rsidRPr="00794173">
        <w:rPr>
          <w:rFonts w:ascii="Times New Roman" w:hAnsi="Times New Roman" w:cs="Times New Roman"/>
          <w:sz w:val="20"/>
          <w:szCs w:val="20"/>
        </w:rPr>
        <w:t xml:space="preserve">, H. S. Initial results of retrospective study: preoperative transurethral excision plus chemotherapy and radiation therapy and trial of bladder preservation. J. Egypt. </w:t>
      </w:r>
      <w:proofErr w:type="gramStart"/>
      <w:r w:rsidRPr="00794173">
        <w:rPr>
          <w:rFonts w:ascii="Times New Roman" w:hAnsi="Times New Roman" w:cs="Times New Roman"/>
          <w:sz w:val="20"/>
          <w:szCs w:val="20"/>
        </w:rPr>
        <w:t>Natl. Canc. Inst.</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19, 133–46 (2007).</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r w:rsidRPr="00794173">
        <w:rPr>
          <w:rFonts w:ascii="Times New Roman" w:hAnsi="Times New Roman" w:cs="Times New Roman"/>
          <w:sz w:val="20"/>
          <w:szCs w:val="20"/>
        </w:rPr>
        <w:t>Aboziada</w:t>
      </w:r>
      <w:proofErr w:type="spellEnd"/>
      <w:r w:rsidRPr="00794173">
        <w:rPr>
          <w:rFonts w:ascii="Times New Roman" w:hAnsi="Times New Roman" w:cs="Times New Roman"/>
          <w:sz w:val="20"/>
          <w:szCs w:val="20"/>
        </w:rPr>
        <w:t xml:space="preserve">, M. A., </w:t>
      </w:r>
      <w:proofErr w:type="spellStart"/>
      <w:r w:rsidRPr="00794173">
        <w:rPr>
          <w:rFonts w:ascii="Times New Roman" w:hAnsi="Times New Roman" w:cs="Times New Roman"/>
          <w:sz w:val="20"/>
          <w:szCs w:val="20"/>
        </w:rPr>
        <w:t>Hamza</w:t>
      </w:r>
      <w:proofErr w:type="spellEnd"/>
      <w:r w:rsidRPr="00794173">
        <w:rPr>
          <w:rFonts w:ascii="Times New Roman" w:hAnsi="Times New Roman" w:cs="Times New Roman"/>
          <w:sz w:val="20"/>
          <w:szCs w:val="20"/>
        </w:rPr>
        <w:t xml:space="preserve">, H. M. &amp; </w:t>
      </w:r>
      <w:proofErr w:type="spellStart"/>
      <w:r w:rsidRPr="00794173">
        <w:rPr>
          <w:rFonts w:ascii="Times New Roman" w:hAnsi="Times New Roman" w:cs="Times New Roman"/>
          <w:sz w:val="20"/>
          <w:szCs w:val="20"/>
        </w:rPr>
        <w:t>Abdlrahem</w:t>
      </w:r>
      <w:proofErr w:type="spellEnd"/>
      <w:r w:rsidRPr="00794173">
        <w:rPr>
          <w:rFonts w:ascii="Times New Roman" w:hAnsi="Times New Roman" w:cs="Times New Roman"/>
          <w:sz w:val="20"/>
          <w:szCs w:val="20"/>
        </w:rPr>
        <w:t xml:space="preserve">, A. M. Initial results of bladder preserving approach by chemo-radiotherapy in patients with muscle invading transitional cell carcinoma. J. Egypt. </w:t>
      </w:r>
      <w:proofErr w:type="gramStart"/>
      <w:r w:rsidRPr="00794173">
        <w:rPr>
          <w:rFonts w:ascii="Times New Roman" w:hAnsi="Times New Roman" w:cs="Times New Roman"/>
          <w:sz w:val="20"/>
          <w:szCs w:val="20"/>
        </w:rPr>
        <w:t>Natl. Canc. Inst.</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21, 167–74 (2009).</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Lee, C.-Y.</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et</w:t>
      </w:r>
      <w:proofErr w:type="gramEnd"/>
      <w:r w:rsidRPr="00794173">
        <w:rPr>
          <w:rFonts w:ascii="Times New Roman" w:hAnsi="Times New Roman" w:cs="Times New Roman"/>
          <w:sz w:val="20"/>
          <w:szCs w:val="20"/>
        </w:rPr>
        <w:t xml:space="preserve"> al. </w:t>
      </w:r>
      <w:proofErr w:type="spellStart"/>
      <w:r w:rsidRPr="00794173">
        <w:rPr>
          <w:rFonts w:ascii="Times New Roman" w:hAnsi="Times New Roman" w:cs="Times New Roman"/>
          <w:sz w:val="20"/>
          <w:szCs w:val="20"/>
        </w:rPr>
        <w:t>Trimodality</w:t>
      </w:r>
      <w:proofErr w:type="spellEnd"/>
      <w:r w:rsidRPr="00794173">
        <w:rPr>
          <w:rFonts w:ascii="Times New Roman" w:hAnsi="Times New Roman" w:cs="Times New Roman"/>
          <w:sz w:val="20"/>
          <w:szCs w:val="20"/>
        </w:rPr>
        <w:t xml:space="preserve"> bladder-sparing approach without </w:t>
      </w:r>
      <w:proofErr w:type="spellStart"/>
      <w:r w:rsidRPr="00794173">
        <w:rPr>
          <w:rFonts w:ascii="Times New Roman" w:hAnsi="Times New Roman" w:cs="Times New Roman"/>
          <w:sz w:val="20"/>
          <w:szCs w:val="20"/>
        </w:rPr>
        <w:t>neoadjuvant</w:t>
      </w:r>
      <w:proofErr w:type="spellEnd"/>
      <w:r w:rsidRPr="00794173">
        <w:rPr>
          <w:rFonts w:ascii="Times New Roman" w:hAnsi="Times New Roman" w:cs="Times New Roman"/>
          <w:sz w:val="20"/>
          <w:szCs w:val="20"/>
        </w:rPr>
        <w:t xml:space="preserve"> chemotherapy for node-negative localized muscle-invasive urinary bladder cancer resulted in comparable </w:t>
      </w:r>
      <w:proofErr w:type="spellStart"/>
      <w:r w:rsidRPr="00794173">
        <w:rPr>
          <w:rFonts w:ascii="Times New Roman" w:hAnsi="Times New Roman" w:cs="Times New Roman"/>
          <w:sz w:val="20"/>
          <w:szCs w:val="20"/>
        </w:rPr>
        <w:t>cystectomy</w:t>
      </w:r>
      <w:proofErr w:type="spellEnd"/>
      <w:r w:rsidRPr="00794173">
        <w:rPr>
          <w:rFonts w:ascii="Times New Roman" w:hAnsi="Times New Roman" w:cs="Times New Roman"/>
          <w:sz w:val="20"/>
          <w:szCs w:val="20"/>
        </w:rPr>
        <w:t xml:space="preserve">-free survival. </w:t>
      </w:r>
      <w:proofErr w:type="spellStart"/>
      <w:proofErr w:type="gramStart"/>
      <w:r w:rsidRPr="00794173">
        <w:rPr>
          <w:rFonts w:ascii="Times New Roman" w:hAnsi="Times New Roman" w:cs="Times New Roman"/>
          <w:sz w:val="20"/>
          <w:szCs w:val="20"/>
        </w:rPr>
        <w:t>Radiat</w:t>
      </w:r>
      <w:proofErr w:type="spellEnd"/>
      <w:r w:rsidRPr="00794173">
        <w:rPr>
          <w:rFonts w:ascii="Times New Roman" w:hAnsi="Times New Roman" w:cs="Times New Roman"/>
          <w:sz w:val="20"/>
          <w:szCs w:val="20"/>
        </w:rPr>
        <w:t>.</w:t>
      </w:r>
      <w:proofErr w:type="gram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w:t>
      </w:r>
      <w:proofErr w:type="gramEnd"/>
      <w:r w:rsidR="00794173" w:rsidRPr="00794173">
        <w:rPr>
          <w:rFonts w:ascii="Times New Roman" w:hAnsi="Times New Roman" w:cs="Times New Roman" w:hint="eastAsia"/>
          <w:sz w:val="20"/>
          <w:szCs w:val="20"/>
          <w:lang w:eastAsia="zh-CN"/>
        </w:rPr>
        <w:t xml:space="preserve"> </w:t>
      </w:r>
      <w:proofErr w:type="gramStart"/>
      <w:r w:rsidRPr="00794173">
        <w:rPr>
          <w:rFonts w:ascii="Times New Roman" w:hAnsi="Times New Roman" w:cs="Times New Roman"/>
          <w:sz w:val="20"/>
          <w:szCs w:val="20"/>
        </w:rPr>
        <w:t>9, 213 (2014).</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gramStart"/>
      <w:r w:rsidRPr="00794173">
        <w:rPr>
          <w:rFonts w:ascii="Times New Roman" w:hAnsi="Times New Roman" w:cs="Times New Roman"/>
          <w:sz w:val="20"/>
          <w:szCs w:val="20"/>
        </w:rPr>
        <w:t xml:space="preserve">Kent, E. et al. Combined-modality therapy with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and radiotherapy as a bladder </w:t>
      </w:r>
      <w:r w:rsidRPr="00794173">
        <w:rPr>
          <w:rFonts w:ascii="Times New Roman" w:hAnsi="Times New Roman" w:cs="Times New Roman"/>
          <w:sz w:val="20"/>
          <w:szCs w:val="20"/>
        </w:rPr>
        <w:lastRenderedPageBreak/>
        <w:t>preservation strategy: results of a phase I trial.</w:t>
      </w:r>
      <w:proofErr w:type="gramEnd"/>
      <w:r w:rsidRPr="00794173">
        <w:rPr>
          <w:rFonts w:ascii="Times New Roman" w:hAnsi="Times New Roman" w:cs="Times New Roman"/>
          <w:sz w:val="20"/>
          <w:szCs w:val="20"/>
        </w:rPr>
        <w:t xml:space="preserve"> J. </w:t>
      </w:r>
      <w:proofErr w:type="spellStart"/>
      <w:r w:rsidRPr="00794173">
        <w:rPr>
          <w:rFonts w:ascii="Times New Roman" w:hAnsi="Times New Roman" w:cs="Times New Roman"/>
          <w:sz w:val="20"/>
          <w:szCs w:val="20"/>
        </w:rPr>
        <w:t>Clin</w:t>
      </w:r>
      <w:proofErr w:type="spell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Oncol.22, 2540–5 (2004).</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r w:rsidRPr="00794173">
        <w:rPr>
          <w:rFonts w:ascii="Times New Roman" w:hAnsi="Times New Roman" w:cs="Times New Roman"/>
          <w:sz w:val="20"/>
          <w:szCs w:val="20"/>
        </w:rPr>
        <w:t xml:space="preserve">Shipley, W. et al. Selective bladder preservation by combined modality protocol treatment: long-term outcomes of 190 patients with invasive bladder cancer. </w:t>
      </w:r>
      <w:proofErr w:type="gramStart"/>
      <w:r w:rsidRPr="00794173">
        <w:rPr>
          <w:rFonts w:ascii="Times New Roman" w:hAnsi="Times New Roman" w:cs="Times New Roman"/>
          <w:sz w:val="20"/>
          <w:szCs w:val="20"/>
        </w:rPr>
        <w:t>Urology</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60, 62–67 (2002).</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r w:rsidRPr="00794173">
        <w:rPr>
          <w:rFonts w:ascii="Times New Roman" w:hAnsi="Times New Roman" w:cs="Times New Roman"/>
          <w:sz w:val="20"/>
          <w:szCs w:val="20"/>
        </w:rPr>
        <w:t xml:space="preserve">Oh, K. S. et al. Combined-modality therapy with </w:t>
      </w:r>
      <w:proofErr w:type="spellStart"/>
      <w:r w:rsidRPr="00794173">
        <w:rPr>
          <w:rFonts w:ascii="Times New Roman" w:hAnsi="Times New Roman" w:cs="Times New Roman"/>
          <w:sz w:val="20"/>
          <w:szCs w:val="20"/>
        </w:rPr>
        <w:t>gemcitabine</w:t>
      </w:r>
      <w:proofErr w:type="spellEnd"/>
      <w:r w:rsidRPr="00794173">
        <w:rPr>
          <w:rFonts w:ascii="Times New Roman" w:hAnsi="Times New Roman" w:cs="Times New Roman"/>
          <w:sz w:val="20"/>
          <w:szCs w:val="20"/>
        </w:rPr>
        <w:t xml:space="preserve"> and radiation therapy as a bladder preservation strategy: long-term results of a phase I trial. Int. J. </w:t>
      </w:r>
      <w:proofErr w:type="spellStart"/>
      <w:r w:rsidRPr="00794173">
        <w:rPr>
          <w:rFonts w:ascii="Times New Roman" w:hAnsi="Times New Roman" w:cs="Times New Roman"/>
          <w:sz w:val="20"/>
          <w:szCs w:val="20"/>
        </w:rPr>
        <w:t>Radiat</w:t>
      </w:r>
      <w:proofErr w:type="spell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Biol. Phys.</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74, 511–7 (2009).</w:t>
      </w:r>
      <w:proofErr w:type="gramEnd"/>
    </w:p>
    <w:p w:rsidR="00F50739" w:rsidRPr="00794173" w:rsidRDefault="00F50739" w:rsidP="00255289">
      <w:pPr>
        <w:pStyle w:val="ListParagraph"/>
        <w:numPr>
          <w:ilvl w:val="0"/>
          <w:numId w:val="8"/>
        </w:numPr>
        <w:spacing w:after="0" w:line="240" w:lineRule="auto"/>
        <w:ind w:left="425" w:hanging="425"/>
        <w:jc w:val="both"/>
        <w:rPr>
          <w:rFonts w:ascii="Times New Roman" w:hAnsi="Times New Roman" w:cs="Times New Roman"/>
          <w:sz w:val="20"/>
          <w:szCs w:val="20"/>
        </w:rPr>
      </w:pPr>
      <w:proofErr w:type="spellStart"/>
      <w:proofErr w:type="gramStart"/>
      <w:r w:rsidRPr="00794173">
        <w:rPr>
          <w:rFonts w:ascii="Times New Roman" w:hAnsi="Times New Roman" w:cs="Times New Roman"/>
          <w:sz w:val="20"/>
          <w:szCs w:val="20"/>
        </w:rPr>
        <w:t>Foroudi</w:t>
      </w:r>
      <w:proofErr w:type="spellEnd"/>
      <w:r w:rsidRPr="00794173">
        <w:rPr>
          <w:rFonts w:ascii="Times New Roman" w:hAnsi="Times New Roman" w:cs="Times New Roman"/>
          <w:sz w:val="20"/>
          <w:szCs w:val="20"/>
        </w:rPr>
        <w:t>, F. et al.</w:t>
      </w:r>
      <w:proofErr w:type="gramEnd"/>
      <w:r w:rsidRPr="00794173">
        <w:rPr>
          <w:rFonts w:ascii="Times New Roman" w:hAnsi="Times New Roman" w:cs="Times New Roman"/>
          <w:sz w:val="20"/>
          <w:szCs w:val="20"/>
        </w:rPr>
        <w:t xml:space="preserve"> A </w:t>
      </w:r>
      <w:proofErr w:type="spellStart"/>
      <w:r w:rsidRPr="00794173">
        <w:rPr>
          <w:rFonts w:ascii="Times New Roman" w:hAnsi="Times New Roman" w:cs="Times New Roman"/>
          <w:sz w:val="20"/>
          <w:szCs w:val="20"/>
        </w:rPr>
        <w:t>dosimetric</w:t>
      </w:r>
      <w:proofErr w:type="spellEnd"/>
      <w:r w:rsidRPr="00794173">
        <w:rPr>
          <w:rFonts w:ascii="Times New Roman" w:hAnsi="Times New Roman" w:cs="Times New Roman"/>
          <w:sz w:val="20"/>
          <w:szCs w:val="20"/>
        </w:rPr>
        <w:t xml:space="preserve"> comparison of 3D conformal </w:t>
      </w:r>
      <w:proofErr w:type="spellStart"/>
      <w:r w:rsidRPr="00794173">
        <w:rPr>
          <w:rFonts w:ascii="Times New Roman" w:hAnsi="Times New Roman" w:cs="Times New Roman"/>
          <w:sz w:val="20"/>
          <w:szCs w:val="20"/>
        </w:rPr>
        <w:t>vs</w:t>
      </w:r>
      <w:proofErr w:type="spellEnd"/>
      <w:r w:rsidRPr="00794173">
        <w:rPr>
          <w:rFonts w:ascii="Times New Roman" w:hAnsi="Times New Roman" w:cs="Times New Roman"/>
          <w:sz w:val="20"/>
          <w:szCs w:val="20"/>
        </w:rPr>
        <w:t xml:space="preserve"> intensity modulated </w:t>
      </w:r>
      <w:proofErr w:type="spellStart"/>
      <w:r w:rsidRPr="00794173">
        <w:rPr>
          <w:rFonts w:ascii="Times New Roman" w:hAnsi="Times New Roman" w:cs="Times New Roman"/>
          <w:sz w:val="20"/>
          <w:szCs w:val="20"/>
        </w:rPr>
        <w:t>vs</w:t>
      </w:r>
      <w:proofErr w:type="spellEnd"/>
      <w:r w:rsidRPr="00794173">
        <w:rPr>
          <w:rFonts w:ascii="Times New Roman" w:hAnsi="Times New Roman" w:cs="Times New Roman"/>
          <w:sz w:val="20"/>
          <w:szCs w:val="20"/>
        </w:rPr>
        <w:t xml:space="preserve"> volumetric arc radiation therapy for muscle invasive bladder cancer. </w:t>
      </w:r>
      <w:proofErr w:type="spellStart"/>
      <w:proofErr w:type="gramStart"/>
      <w:r w:rsidRPr="00794173">
        <w:rPr>
          <w:rFonts w:ascii="Times New Roman" w:hAnsi="Times New Roman" w:cs="Times New Roman"/>
          <w:sz w:val="20"/>
          <w:szCs w:val="20"/>
        </w:rPr>
        <w:t>Radiat</w:t>
      </w:r>
      <w:proofErr w:type="spellEnd"/>
      <w:r w:rsidRPr="00794173">
        <w:rPr>
          <w:rFonts w:ascii="Times New Roman" w:hAnsi="Times New Roman" w:cs="Times New Roman"/>
          <w:sz w:val="20"/>
          <w:szCs w:val="20"/>
        </w:rPr>
        <w:t>.</w:t>
      </w:r>
      <w:proofErr w:type="gram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w:t>
      </w:r>
      <w:proofErr w:type="gramEnd"/>
      <w:r w:rsidR="00794173" w:rsidRPr="00794173">
        <w:rPr>
          <w:rFonts w:ascii="Times New Roman" w:hAnsi="Times New Roman" w:cs="Times New Roman" w:hint="eastAsia"/>
          <w:sz w:val="20"/>
          <w:szCs w:val="20"/>
          <w:lang w:eastAsia="zh-CN"/>
        </w:rPr>
        <w:t xml:space="preserve"> </w:t>
      </w:r>
      <w:proofErr w:type="gramStart"/>
      <w:r w:rsidRPr="00794173">
        <w:rPr>
          <w:rFonts w:ascii="Times New Roman" w:hAnsi="Times New Roman" w:cs="Times New Roman"/>
          <w:sz w:val="20"/>
          <w:szCs w:val="20"/>
        </w:rPr>
        <w:t>7, 111 (2012).</w:t>
      </w:r>
      <w:proofErr w:type="gramEnd"/>
    </w:p>
    <w:p w:rsidR="00736432" w:rsidRPr="00794173" w:rsidRDefault="00F50739" w:rsidP="00255289">
      <w:pPr>
        <w:pStyle w:val="ListParagraph"/>
        <w:numPr>
          <w:ilvl w:val="0"/>
          <w:numId w:val="8"/>
        </w:numPr>
        <w:ind w:left="425" w:hanging="425"/>
        <w:jc w:val="both"/>
        <w:rPr>
          <w:sz w:val="20"/>
          <w:szCs w:val="20"/>
        </w:rPr>
      </w:pPr>
      <w:proofErr w:type="spellStart"/>
      <w:r w:rsidRPr="00794173">
        <w:rPr>
          <w:rFonts w:ascii="Times New Roman" w:hAnsi="Times New Roman" w:cs="Times New Roman"/>
          <w:sz w:val="20"/>
          <w:szCs w:val="20"/>
        </w:rPr>
        <w:t>Foroudi</w:t>
      </w:r>
      <w:proofErr w:type="spellEnd"/>
      <w:r w:rsidRPr="00794173">
        <w:rPr>
          <w:rFonts w:ascii="Times New Roman" w:hAnsi="Times New Roman" w:cs="Times New Roman"/>
          <w:sz w:val="20"/>
          <w:szCs w:val="20"/>
        </w:rPr>
        <w:t xml:space="preserve">, F. et al. Online adaptive radiotherapy for muscle-invasive bladder cancer: results of a pilot study. Int. J. </w:t>
      </w:r>
      <w:proofErr w:type="spellStart"/>
      <w:r w:rsidRPr="00794173">
        <w:rPr>
          <w:rFonts w:ascii="Times New Roman" w:hAnsi="Times New Roman" w:cs="Times New Roman"/>
          <w:sz w:val="20"/>
          <w:szCs w:val="20"/>
        </w:rPr>
        <w:t>Radiat</w:t>
      </w:r>
      <w:proofErr w:type="spellEnd"/>
      <w:r w:rsidRPr="00794173">
        <w:rPr>
          <w:rFonts w:ascii="Times New Roman" w:hAnsi="Times New Roman" w:cs="Times New Roman"/>
          <w:sz w:val="20"/>
          <w:szCs w:val="20"/>
        </w:rPr>
        <w:t xml:space="preserve">. </w:t>
      </w:r>
      <w:proofErr w:type="spellStart"/>
      <w:proofErr w:type="gramStart"/>
      <w:r w:rsidRPr="00794173">
        <w:rPr>
          <w:rFonts w:ascii="Times New Roman" w:hAnsi="Times New Roman" w:cs="Times New Roman"/>
          <w:sz w:val="20"/>
          <w:szCs w:val="20"/>
        </w:rPr>
        <w:t>Oncol</w:t>
      </w:r>
      <w:proofErr w:type="spellEnd"/>
      <w:r w:rsidRPr="00794173">
        <w:rPr>
          <w:rFonts w:ascii="Times New Roman" w:hAnsi="Times New Roman" w:cs="Times New Roman"/>
          <w:sz w:val="20"/>
          <w:szCs w:val="20"/>
        </w:rPr>
        <w:t>.</w:t>
      </w:r>
      <w:proofErr w:type="gramEnd"/>
      <w:r w:rsidRPr="00794173">
        <w:rPr>
          <w:rFonts w:ascii="Times New Roman" w:hAnsi="Times New Roman" w:cs="Times New Roman"/>
          <w:sz w:val="20"/>
          <w:szCs w:val="20"/>
        </w:rPr>
        <w:t xml:space="preserve"> </w:t>
      </w:r>
      <w:proofErr w:type="gramStart"/>
      <w:r w:rsidRPr="00794173">
        <w:rPr>
          <w:rFonts w:ascii="Times New Roman" w:hAnsi="Times New Roman" w:cs="Times New Roman"/>
          <w:sz w:val="20"/>
          <w:szCs w:val="20"/>
        </w:rPr>
        <w:t>Biol. Phys.</w:t>
      </w:r>
      <w:r w:rsidR="00794173" w:rsidRPr="00794173">
        <w:rPr>
          <w:rFonts w:ascii="Times New Roman" w:hAnsi="Times New Roman" w:cs="Times New Roman" w:hint="eastAsia"/>
          <w:sz w:val="20"/>
          <w:szCs w:val="20"/>
          <w:lang w:eastAsia="zh-CN"/>
        </w:rPr>
        <w:t xml:space="preserve"> </w:t>
      </w:r>
      <w:r w:rsidRPr="00794173">
        <w:rPr>
          <w:rFonts w:ascii="Times New Roman" w:hAnsi="Times New Roman" w:cs="Times New Roman"/>
          <w:sz w:val="20"/>
          <w:szCs w:val="20"/>
        </w:rPr>
        <w:t>81, 765–71 (2011)</w:t>
      </w:r>
      <w:r w:rsidR="001E5AEC" w:rsidRPr="00794173">
        <w:rPr>
          <w:rFonts w:ascii="Times New Roman" w:hAnsi="Times New Roman" w:cs="Times New Roman"/>
          <w:sz w:val="20"/>
          <w:szCs w:val="20"/>
        </w:rPr>
        <w:t>.</w:t>
      </w:r>
      <w:proofErr w:type="gramEnd"/>
    </w:p>
    <w:p w:rsidR="001E5AEC" w:rsidRPr="00794173" w:rsidRDefault="001E5AEC" w:rsidP="00255289">
      <w:pPr>
        <w:pStyle w:val="ListParagraph"/>
        <w:ind w:left="425" w:hanging="425"/>
        <w:jc w:val="both"/>
        <w:rPr>
          <w:sz w:val="20"/>
          <w:szCs w:val="20"/>
        </w:rPr>
        <w:sectPr w:rsidR="001E5AEC" w:rsidRPr="00794173" w:rsidSect="00794173">
          <w:type w:val="continuous"/>
          <w:pgSz w:w="12240" w:h="15840" w:code="1"/>
          <w:pgMar w:top="1440" w:right="1440" w:bottom="1440" w:left="1440" w:header="720" w:footer="720" w:gutter="0"/>
          <w:cols w:num="2" w:space="576"/>
          <w:docGrid w:linePitch="360"/>
        </w:sectPr>
      </w:pPr>
    </w:p>
    <w:p w:rsidR="00255289" w:rsidRPr="00794173" w:rsidRDefault="00255289" w:rsidP="00255289">
      <w:pPr>
        <w:pStyle w:val="ListParagraph"/>
        <w:ind w:left="425" w:hanging="425"/>
        <w:jc w:val="both"/>
        <w:rPr>
          <w:sz w:val="20"/>
          <w:szCs w:val="20"/>
          <w:lang w:eastAsia="zh-CN"/>
        </w:rPr>
      </w:pPr>
    </w:p>
    <w:p w:rsidR="00255289" w:rsidRPr="00794173" w:rsidRDefault="00255289" w:rsidP="00255289">
      <w:pPr>
        <w:pStyle w:val="ListParagraph"/>
        <w:ind w:left="425" w:hanging="425"/>
        <w:jc w:val="both"/>
        <w:rPr>
          <w:sz w:val="20"/>
          <w:szCs w:val="20"/>
          <w:lang w:eastAsia="zh-CN"/>
        </w:rPr>
      </w:pPr>
    </w:p>
    <w:p w:rsidR="00255289" w:rsidRPr="00794173" w:rsidRDefault="00255289" w:rsidP="00255289">
      <w:pPr>
        <w:pStyle w:val="ListParagraph"/>
        <w:snapToGrid w:val="0"/>
        <w:spacing w:after="0" w:line="240" w:lineRule="auto"/>
        <w:ind w:left="425" w:hanging="425"/>
        <w:jc w:val="both"/>
        <w:rPr>
          <w:rFonts w:ascii="Times New Roman" w:hAnsi="Times New Roman" w:cs="Times New Roman"/>
          <w:sz w:val="20"/>
          <w:szCs w:val="20"/>
          <w:lang w:eastAsia="zh-CN"/>
        </w:rPr>
      </w:pPr>
    </w:p>
    <w:p w:rsidR="001E5AEC" w:rsidRPr="00794173" w:rsidRDefault="00255289" w:rsidP="00255289">
      <w:pPr>
        <w:pStyle w:val="ListParagraph"/>
        <w:snapToGrid w:val="0"/>
        <w:spacing w:after="0" w:line="240" w:lineRule="auto"/>
        <w:ind w:left="425" w:hanging="425"/>
        <w:jc w:val="both"/>
        <w:rPr>
          <w:rFonts w:ascii="Times New Roman" w:hAnsi="Times New Roman" w:cs="Times New Roman"/>
          <w:sz w:val="20"/>
          <w:szCs w:val="20"/>
        </w:rPr>
      </w:pPr>
      <w:r w:rsidRPr="00794173">
        <w:rPr>
          <w:rFonts w:ascii="Times New Roman" w:hAnsi="Times New Roman" w:cs="Times New Roman"/>
          <w:sz w:val="20"/>
          <w:szCs w:val="20"/>
        </w:rPr>
        <w:t>2/28/2016</w:t>
      </w:r>
    </w:p>
    <w:sectPr w:rsidR="001E5AEC" w:rsidRPr="00794173" w:rsidSect="00AD37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D6" w:rsidRDefault="00C06AD6" w:rsidP="009934DE">
      <w:pPr>
        <w:spacing w:after="0" w:line="240" w:lineRule="auto"/>
      </w:pPr>
      <w:r>
        <w:separator/>
      </w:r>
    </w:p>
  </w:endnote>
  <w:endnote w:type="continuationSeparator" w:id="0">
    <w:p w:rsidR="00C06AD6" w:rsidRDefault="00C06AD6" w:rsidP="00993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9" w:rsidRDefault="00255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9" w:rsidRPr="00255289" w:rsidRDefault="00B702FE" w:rsidP="00255289">
    <w:pPr>
      <w:spacing w:after="0" w:line="240" w:lineRule="auto"/>
      <w:jc w:val="center"/>
      <w:rPr>
        <w:rFonts w:ascii="Times New Roman" w:hAnsi="Times New Roman" w:cs="Times New Roman"/>
        <w:sz w:val="20"/>
      </w:rPr>
    </w:pPr>
    <w:r w:rsidRPr="00255289">
      <w:rPr>
        <w:rFonts w:ascii="Times New Roman" w:hAnsi="Times New Roman" w:cs="Times New Roman"/>
        <w:sz w:val="20"/>
      </w:rPr>
      <w:fldChar w:fldCharType="begin"/>
    </w:r>
    <w:r w:rsidR="00255289" w:rsidRPr="00255289">
      <w:rPr>
        <w:rFonts w:ascii="Times New Roman" w:hAnsi="Times New Roman" w:cs="Times New Roman"/>
        <w:sz w:val="20"/>
      </w:rPr>
      <w:instrText xml:space="preserve"> page </w:instrText>
    </w:r>
    <w:r w:rsidRPr="00255289">
      <w:rPr>
        <w:rFonts w:ascii="Times New Roman" w:hAnsi="Times New Roman" w:cs="Times New Roman"/>
        <w:sz w:val="20"/>
      </w:rPr>
      <w:fldChar w:fldCharType="separate"/>
    </w:r>
    <w:r w:rsidR="003264F2">
      <w:rPr>
        <w:rFonts w:ascii="Times New Roman" w:hAnsi="Times New Roman" w:cs="Times New Roman"/>
        <w:noProof/>
        <w:sz w:val="20"/>
      </w:rPr>
      <w:t>46</w:t>
    </w:r>
    <w:r w:rsidRPr="0025528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9" w:rsidRDefault="00255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D6" w:rsidRDefault="00C06AD6" w:rsidP="009934DE">
      <w:pPr>
        <w:spacing w:after="0" w:line="240" w:lineRule="auto"/>
      </w:pPr>
      <w:r>
        <w:separator/>
      </w:r>
    </w:p>
  </w:footnote>
  <w:footnote w:type="continuationSeparator" w:id="0">
    <w:p w:rsidR="00C06AD6" w:rsidRDefault="00C06AD6" w:rsidP="00993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9" w:rsidRDefault="002552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9" w:rsidRPr="00255289" w:rsidRDefault="00255289" w:rsidP="0025528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55289">
      <w:rPr>
        <w:rFonts w:ascii="Times New Roman" w:hAnsi="Times New Roman" w:cs="Times New Roman" w:hint="eastAsia"/>
        <w:iCs/>
        <w:color w:val="000000"/>
        <w:sz w:val="20"/>
      </w:rPr>
      <w:tab/>
    </w:r>
    <w:r w:rsidRPr="00255289">
      <w:rPr>
        <w:rFonts w:ascii="Times New Roman" w:hAnsi="Times New Roman" w:cs="Times New Roman"/>
        <w:iCs/>
        <w:color w:val="000000"/>
        <w:sz w:val="20"/>
      </w:rPr>
      <w:t xml:space="preserve">Cancer Biology </w:t>
    </w:r>
    <w:r w:rsidRPr="00255289">
      <w:rPr>
        <w:rFonts w:ascii="Times New Roman" w:hAnsi="Times New Roman" w:cs="Times New Roman"/>
        <w:iCs/>
        <w:sz w:val="20"/>
      </w:rPr>
      <w:t>201</w:t>
    </w:r>
    <w:r w:rsidRPr="00255289">
      <w:rPr>
        <w:rFonts w:ascii="Times New Roman" w:hAnsi="Times New Roman" w:cs="Times New Roman" w:hint="eastAsia"/>
        <w:iCs/>
        <w:sz w:val="20"/>
      </w:rPr>
      <w:t>6</w:t>
    </w:r>
    <w:proofErr w:type="gramStart"/>
    <w:r w:rsidRPr="00255289">
      <w:rPr>
        <w:rFonts w:ascii="Times New Roman" w:hAnsi="Times New Roman" w:cs="Times New Roman"/>
        <w:iCs/>
        <w:sz w:val="20"/>
      </w:rPr>
      <w:t>;</w:t>
    </w:r>
    <w:r w:rsidRPr="00255289">
      <w:rPr>
        <w:rFonts w:ascii="Times New Roman" w:hAnsi="Times New Roman" w:cs="Times New Roman" w:hint="eastAsia"/>
        <w:iCs/>
        <w:sz w:val="20"/>
      </w:rPr>
      <w:t>6</w:t>
    </w:r>
    <w:proofErr w:type="gramEnd"/>
    <w:r w:rsidRPr="00255289">
      <w:rPr>
        <w:rFonts w:ascii="Times New Roman" w:hAnsi="Times New Roman" w:cs="Times New Roman"/>
        <w:iCs/>
        <w:sz w:val="20"/>
      </w:rPr>
      <w:t>(</w:t>
    </w:r>
    <w:r w:rsidRPr="00255289">
      <w:rPr>
        <w:rFonts w:ascii="Times New Roman" w:hAnsi="Times New Roman" w:cs="Times New Roman" w:hint="eastAsia"/>
        <w:iCs/>
        <w:sz w:val="20"/>
      </w:rPr>
      <w:t>1</w:t>
    </w:r>
    <w:r w:rsidRPr="00255289">
      <w:rPr>
        <w:rFonts w:ascii="Times New Roman" w:hAnsi="Times New Roman" w:cs="Times New Roman"/>
        <w:iCs/>
        <w:sz w:val="20"/>
      </w:rPr>
      <w:t xml:space="preserve">)  </w:t>
    </w:r>
    <w:r w:rsidRPr="00255289">
      <w:rPr>
        <w:rFonts w:ascii="Times New Roman" w:hAnsi="Times New Roman" w:cs="Times New Roman" w:hint="eastAsia"/>
        <w:iCs/>
        <w:sz w:val="20"/>
      </w:rPr>
      <w:t xml:space="preserve">   </w:t>
    </w:r>
    <w:r w:rsidRPr="00255289">
      <w:rPr>
        <w:rFonts w:ascii="Times New Roman" w:hAnsi="Times New Roman" w:cs="Times New Roman" w:hint="eastAsia"/>
        <w:iCs/>
        <w:sz w:val="20"/>
      </w:rPr>
      <w:tab/>
      <w:t xml:space="preserve">     </w:t>
    </w:r>
    <w:r w:rsidRPr="00255289">
      <w:rPr>
        <w:rFonts w:ascii="Times New Roman" w:hAnsi="Times New Roman" w:cs="Times New Roman"/>
        <w:iCs/>
        <w:sz w:val="20"/>
      </w:rPr>
      <w:t xml:space="preserve"> </w:t>
    </w:r>
    <w:r w:rsidRPr="00255289">
      <w:rPr>
        <w:rFonts w:ascii="Times New Roman" w:hAnsi="Times New Roman" w:cs="Times New Roman"/>
        <w:sz w:val="20"/>
      </w:rPr>
      <w:t xml:space="preserve">  </w:t>
    </w:r>
    <w:hyperlink r:id="rId1" w:history="1">
      <w:r w:rsidRPr="00255289">
        <w:rPr>
          <w:rStyle w:val="Hyperlink"/>
          <w:rFonts w:ascii="Times New Roman" w:hAnsi="Times New Roman" w:cs="Times New Roman"/>
          <w:color w:val="0000FF"/>
          <w:sz w:val="20"/>
        </w:rPr>
        <w:t>http://www.cancerbio.net</w:t>
      </w:r>
    </w:hyperlink>
  </w:p>
  <w:p w:rsidR="00255289" w:rsidRPr="00255289" w:rsidRDefault="00255289" w:rsidP="0025528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9" w:rsidRDefault="002552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871"/>
    <w:multiLevelType w:val="hybridMultilevel"/>
    <w:tmpl w:val="BEFA1C4A"/>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B3971"/>
    <w:multiLevelType w:val="hybridMultilevel"/>
    <w:tmpl w:val="74A4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330DA"/>
    <w:multiLevelType w:val="hybridMultilevel"/>
    <w:tmpl w:val="14FA1348"/>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E6602"/>
    <w:multiLevelType w:val="hybridMultilevel"/>
    <w:tmpl w:val="4AFE7D80"/>
    <w:lvl w:ilvl="0" w:tplc="8D020FB4">
      <w:start w:val="1"/>
      <w:numFmt w:val="decimal"/>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16634"/>
    <w:multiLevelType w:val="hybridMultilevel"/>
    <w:tmpl w:val="4726E2F4"/>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667801"/>
    <w:multiLevelType w:val="hybridMultilevel"/>
    <w:tmpl w:val="097E600A"/>
    <w:lvl w:ilvl="0" w:tplc="B44C7C1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5195C"/>
    <w:multiLevelType w:val="hybridMultilevel"/>
    <w:tmpl w:val="0610D1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B3079"/>
    <w:multiLevelType w:val="hybridMultilevel"/>
    <w:tmpl w:val="BAAE2836"/>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61B0"/>
    <w:rsid w:val="000070A0"/>
    <w:rsid w:val="0001748E"/>
    <w:rsid w:val="00020A69"/>
    <w:rsid w:val="000218C1"/>
    <w:rsid w:val="00047D1C"/>
    <w:rsid w:val="00060BBB"/>
    <w:rsid w:val="00061E6A"/>
    <w:rsid w:val="0007739A"/>
    <w:rsid w:val="000908B9"/>
    <w:rsid w:val="000947EF"/>
    <w:rsid w:val="00097912"/>
    <w:rsid w:val="000A33D3"/>
    <w:rsid w:val="000C117B"/>
    <w:rsid w:val="000C6FC9"/>
    <w:rsid w:val="000F6267"/>
    <w:rsid w:val="001142BA"/>
    <w:rsid w:val="00115048"/>
    <w:rsid w:val="0011636A"/>
    <w:rsid w:val="001222AE"/>
    <w:rsid w:val="00157D65"/>
    <w:rsid w:val="00164E59"/>
    <w:rsid w:val="00167AA8"/>
    <w:rsid w:val="00183CA5"/>
    <w:rsid w:val="00184D33"/>
    <w:rsid w:val="00191799"/>
    <w:rsid w:val="0019374F"/>
    <w:rsid w:val="00196FCF"/>
    <w:rsid w:val="001A0BD2"/>
    <w:rsid w:val="001B050C"/>
    <w:rsid w:val="001C1812"/>
    <w:rsid w:val="001D2D7F"/>
    <w:rsid w:val="001D4BC0"/>
    <w:rsid w:val="001E13A2"/>
    <w:rsid w:val="001E4D47"/>
    <w:rsid w:val="001E5AEC"/>
    <w:rsid w:val="001E70C2"/>
    <w:rsid w:val="002106A5"/>
    <w:rsid w:val="0021301F"/>
    <w:rsid w:val="00234F09"/>
    <w:rsid w:val="0024413B"/>
    <w:rsid w:val="00251DF3"/>
    <w:rsid w:val="00255289"/>
    <w:rsid w:val="002A3A37"/>
    <w:rsid w:val="002A55F5"/>
    <w:rsid w:val="002C5061"/>
    <w:rsid w:val="002D2DC3"/>
    <w:rsid w:val="002E15FA"/>
    <w:rsid w:val="003050D9"/>
    <w:rsid w:val="00306211"/>
    <w:rsid w:val="003264F2"/>
    <w:rsid w:val="00326C97"/>
    <w:rsid w:val="00330389"/>
    <w:rsid w:val="003452C7"/>
    <w:rsid w:val="00347472"/>
    <w:rsid w:val="0039001B"/>
    <w:rsid w:val="00396930"/>
    <w:rsid w:val="003A369E"/>
    <w:rsid w:val="003C4817"/>
    <w:rsid w:val="003F02C3"/>
    <w:rsid w:val="004177EA"/>
    <w:rsid w:val="00430478"/>
    <w:rsid w:val="00437F3C"/>
    <w:rsid w:val="004459BB"/>
    <w:rsid w:val="00482ED2"/>
    <w:rsid w:val="004831B6"/>
    <w:rsid w:val="004923DA"/>
    <w:rsid w:val="00496279"/>
    <w:rsid w:val="004A30CD"/>
    <w:rsid w:val="004E2209"/>
    <w:rsid w:val="004E35F2"/>
    <w:rsid w:val="004F711B"/>
    <w:rsid w:val="005013E4"/>
    <w:rsid w:val="00515AD9"/>
    <w:rsid w:val="00542947"/>
    <w:rsid w:val="00566FC3"/>
    <w:rsid w:val="00571570"/>
    <w:rsid w:val="00592782"/>
    <w:rsid w:val="005C4AD0"/>
    <w:rsid w:val="005F363C"/>
    <w:rsid w:val="005F47B4"/>
    <w:rsid w:val="005F5981"/>
    <w:rsid w:val="00602595"/>
    <w:rsid w:val="00602854"/>
    <w:rsid w:val="006417FB"/>
    <w:rsid w:val="006611DF"/>
    <w:rsid w:val="006656D5"/>
    <w:rsid w:val="006658E6"/>
    <w:rsid w:val="00686435"/>
    <w:rsid w:val="00690B85"/>
    <w:rsid w:val="00691EB3"/>
    <w:rsid w:val="006B2D61"/>
    <w:rsid w:val="006C18EF"/>
    <w:rsid w:val="006C19D5"/>
    <w:rsid w:val="006C2892"/>
    <w:rsid w:val="006E2E74"/>
    <w:rsid w:val="006E374A"/>
    <w:rsid w:val="006F356E"/>
    <w:rsid w:val="006F4099"/>
    <w:rsid w:val="006F4ED3"/>
    <w:rsid w:val="006F5978"/>
    <w:rsid w:val="00703B87"/>
    <w:rsid w:val="0070670F"/>
    <w:rsid w:val="0071736C"/>
    <w:rsid w:val="00725AB9"/>
    <w:rsid w:val="00727878"/>
    <w:rsid w:val="00736432"/>
    <w:rsid w:val="0073780B"/>
    <w:rsid w:val="0074043C"/>
    <w:rsid w:val="00743A83"/>
    <w:rsid w:val="00747ABF"/>
    <w:rsid w:val="0075799D"/>
    <w:rsid w:val="0076730D"/>
    <w:rsid w:val="00767FC6"/>
    <w:rsid w:val="00774599"/>
    <w:rsid w:val="00792792"/>
    <w:rsid w:val="00794173"/>
    <w:rsid w:val="007B04C5"/>
    <w:rsid w:val="007E6164"/>
    <w:rsid w:val="007F1DD1"/>
    <w:rsid w:val="00815B70"/>
    <w:rsid w:val="00823EBF"/>
    <w:rsid w:val="00847BEB"/>
    <w:rsid w:val="00853A48"/>
    <w:rsid w:val="008655E0"/>
    <w:rsid w:val="00875F08"/>
    <w:rsid w:val="008926BD"/>
    <w:rsid w:val="008A3E8D"/>
    <w:rsid w:val="008B7582"/>
    <w:rsid w:val="008D0A29"/>
    <w:rsid w:val="008E0B2C"/>
    <w:rsid w:val="008F4B7C"/>
    <w:rsid w:val="00901449"/>
    <w:rsid w:val="00903D0A"/>
    <w:rsid w:val="0090792E"/>
    <w:rsid w:val="00914463"/>
    <w:rsid w:val="00944EAE"/>
    <w:rsid w:val="0095176F"/>
    <w:rsid w:val="009540CB"/>
    <w:rsid w:val="009558C2"/>
    <w:rsid w:val="009644CC"/>
    <w:rsid w:val="00984D43"/>
    <w:rsid w:val="009861B0"/>
    <w:rsid w:val="009934DE"/>
    <w:rsid w:val="009A01D8"/>
    <w:rsid w:val="009A5622"/>
    <w:rsid w:val="009B4C11"/>
    <w:rsid w:val="00A21B8E"/>
    <w:rsid w:val="00A4202B"/>
    <w:rsid w:val="00A52C85"/>
    <w:rsid w:val="00A6727F"/>
    <w:rsid w:val="00A76326"/>
    <w:rsid w:val="00A8260B"/>
    <w:rsid w:val="00A87DF7"/>
    <w:rsid w:val="00A970C5"/>
    <w:rsid w:val="00AA52D2"/>
    <w:rsid w:val="00AA549C"/>
    <w:rsid w:val="00AD3716"/>
    <w:rsid w:val="00AE4BC5"/>
    <w:rsid w:val="00AF697B"/>
    <w:rsid w:val="00B120AA"/>
    <w:rsid w:val="00B24B7D"/>
    <w:rsid w:val="00B40A17"/>
    <w:rsid w:val="00B41010"/>
    <w:rsid w:val="00B42045"/>
    <w:rsid w:val="00B46EDA"/>
    <w:rsid w:val="00B53429"/>
    <w:rsid w:val="00B67793"/>
    <w:rsid w:val="00B702FE"/>
    <w:rsid w:val="00B73977"/>
    <w:rsid w:val="00B767F3"/>
    <w:rsid w:val="00B96F66"/>
    <w:rsid w:val="00BA0EFA"/>
    <w:rsid w:val="00BB5B58"/>
    <w:rsid w:val="00BB5D0D"/>
    <w:rsid w:val="00BE5455"/>
    <w:rsid w:val="00BE6099"/>
    <w:rsid w:val="00BF68AA"/>
    <w:rsid w:val="00C06AD6"/>
    <w:rsid w:val="00C91EAC"/>
    <w:rsid w:val="00CA4985"/>
    <w:rsid w:val="00CC61C5"/>
    <w:rsid w:val="00CF28BD"/>
    <w:rsid w:val="00D01371"/>
    <w:rsid w:val="00D3090C"/>
    <w:rsid w:val="00D76D6D"/>
    <w:rsid w:val="00D800B0"/>
    <w:rsid w:val="00DD26E2"/>
    <w:rsid w:val="00DD421E"/>
    <w:rsid w:val="00DF105B"/>
    <w:rsid w:val="00E03A04"/>
    <w:rsid w:val="00E065DB"/>
    <w:rsid w:val="00E066B6"/>
    <w:rsid w:val="00E13BA1"/>
    <w:rsid w:val="00E25856"/>
    <w:rsid w:val="00E26B0B"/>
    <w:rsid w:val="00E414A8"/>
    <w:rsid w:val="00E54FCE"/>
    <w:rsid w:val="00E64496"/>
    <w:rsid w:val="00E741A9"/>
    <w:rsid w:val="00EB1B35"/>
    <w:rsid w:val="00EB3D04"/>
    <w:rsid w:val="00EB4CBA"/>
    <w:rsid w:val="00EC6A01"/>
    <w:rsid w:val="00ED2BC9"/>
    <w:rsid w:val="00EE38A7"/>
    <w:rsid w:val="00EE48C0"/>
    <w:rsid w:val="00EF05FB"/>
    <w:rsid w:val="00F17219"/>
    <w:rsid w:val="00F33897"/>
    <w:rsid w:val="00F40A19"/>
    <w:rsid w:val="00F47B8E"/>
    <w:rsid w:val="00F50739"/>
    <w:rsid w:val="00F6514C"/>
    <w:rsid w:val="00F7533E"/>
    <w:rsid w:val="00F77C5A"/>
    <w:rsid w:val="00F92832"/>
    <w:rsid w:val="00FA2E9A"/>
    <w:rsid w:val="00FC0513"/>
    <w:rsid w:val="00FE2F39"/>
    <w:rsid w:val="00FF50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A8"/>
  </w:style>
  <w:style w:type="paragraph" w:styleId="Heading1">
    <w:name w:val="heading 1"/>
    <w:basedOn w:val="Normal"/>
    <w:next w:val="Normal"/>
    <w:link w:val="Heading1Char"/>
    <w:uiPriority w:val="9"/>
    <w:qFormat/>
    <w:rsid w:val="00792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2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C9"/>
    <w:rPr>
      <w:rFonts w:ascii="Tahoma" w:hAnsi="Tahoma" w:cs="Tahoma"/>
      <w:sz w:val="16"/>
      <w:szCs w:val="16"/>
    </w:rPr>
  </w:style>
  <w:style w:type="character" w:styleId="Hyperlink">
    <w:name w:val="Hyperlink"/>
    <w:basedOn w:val="DefaultParagraphFont"/>
    <w:uiPriority w:val="99"/>
    <w:unhideWhenUsed/>
    <w:rsid w:val="00EE48C0"/>
    <w:rPr>
      <w:color w:val="0000FF" w:themeColor="hyperlink"/>
      <w:u w:val="single"/>
    </w:rPr>
  </w:style>
  <w:style w:type="table" w:styleId="TableGrid">
    <w:name w:val="Table Grid"/>
    <w:basedOn w:val="TableNormal"/>
    <w:uiPriority w:val="59"/>
    <w:rsid w:val="001D4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4BC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27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279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DE"/>
  </w:style>
  <w:style w:type="paragraph" w:styleId="Footer">
    <w:name w:val="footer"/>
    <w:basedOn w:val="Normal"/>
    <w:link w:val="FooterChar"/>
    <w:uiPriority w:val="99"/>
    <w:unhideWhenUsed/>
    <w:rsid w:val="0099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DE"/>
  </w:style>
  <w:style w:type="paragraph" w:styleId="ListParagraph">
    <w:name w:val="List Paragraph"/>
    <w:basedOn w:val="Normal"/>
    <w:uiPriority w:val="34"/>
    <w:qFormat/>
    <w:rsid w:val="007E6164"/>
    <w:pPr>
      <w:ind w:left="720"/>
      <w:contextualSpacing/>
    </w:pPr>
  </w:style>
  <w:style w:type="paragraph" w:styleId="NoSpacing">
    <w:name w:val="No Spacing"/>
    <w:basedOn w:val="Normal"/>
    <w:link w:val="NoSpacingChar"/>
    <w:qFormat/>
    <w:rsid w:val="00255289"/>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55289"/>
    <w:rPr>
      <w:rFonts w:ascii="Times New Roman" w:eastAsia="宋体" w:hAnsi="Times New Roman" w:cs="Times New Roman"/>
      <w:sz w:val="24"/>
      <w:szCs w:val="24"/>
      <w:lang w:eastAsia="zh-CN"/>
    </w:rPr>
  </w:style>
  <w:style w:type="character" w:customStyle="1" w:styleId="msonormal0">
    <w:name w:val="msonormal0"/>
    <w:basedOn w:val="DefaultParagraphFont"/>
    <w:rsid w:val="0025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A8"/>
  </w:style>
  <w:style w:type="paragraph" w:styleId="Heading1">
    <w:name w:val="heading 1"/>
    <w:basedOn w:val="Normal"/>
    <w:next w:val="Normal"/>
    <w:link w:val="Heading1Char"/>
    <w:uiPriority w:val="9"/>
    <w:qFormat/>
    <w:rsid w:val="00792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2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C9"/>
    <w:rPr>
      <w:rFonts w:ascii="Tahoma" w:hAnsi="Tahoma" w:cs="Tahoma"/>
      <w:sz w:val="16"/>
      <w:szCs w:val="16"/>
    </w:rPr>
  </w:style>
  <w:style w:type="character" w:styleId="Hyperlink">
    <w:name w:val="Hyperlink"/>
    <w:basedOn w:val="DefaultParagraphFont"/>
    <w:uiPriority w:val="99"/>
    <w:unhideWhenUsed/>
    <w:rsid w:val="00EE48C0"/>
    <w:rPr>
      <w:color w:val="0000FF" w:themeColor="hyperlink"/>
      <w:u w:val="single"/>
    </w:rPr>
  </w:style>
  <w:style w:type="table" w:styleId="TableGrid">
    <w:name w:val="Table Grid"/>
    <w:basedOn w:val="TableNormal"/>
    <w:uiPriority w:val="59"/>
    <w:rsid w:val="001D4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4BC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27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279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DE"/>
  </w:style>
  <w:style w:type="paragraph" w:styleId="Footer">
    <w:name w:val="footer"/>
    <w:basedOn w:val="Normal"/>
    <w:link w:val="FooterChar"/>
    <w:uiPriority w:val="99"/>
    <w:unhideWhenUsed/>
    <w:rsid w:val="0099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DE"/>
  </w:style>
  <w:style w:type="paragraph" w:styleId="ListParagraph">
    <w:name w:val="List Paragraph"/>
    <w:basedOn w:val="Normal"/>
    <w:uiPriority w:val="34"/>
    <w:qFormat/>
    <w:rsid w:val="007E6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hoieby@live.co.uk" TargetMode="External"/><Relationship Id="rId13" Type="http://schemas.openxmlformats.org/officeDocument/2006/relationships/footer" Target="footer1.xml"/><Relationship Id="rId18" Type="http://schemas.openxmlformats.org/officeDocument/2006/relationships/hyperlink" Target="http://www.nccn.org/professionals/physician_gls/pdf/bladder.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cbj06011609" TargetMode="External"/><Relationship Id="rId19" Type="http://schemas.openxmlformats.org/officeDocument/2006/relationships/hyperlink" Target="http://www.tandfonline.com/doi/abs/10.1080/01621459.1958.1050145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5F4D49-6B37-41C1-A62C-2BDD67C2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Administrator</cp:lastModifiedBy>
  <cp:revision>5</cp:revision>
  <cp:lastPrinted>2016-03-01T01:42:00Z</cp:lastPrinted>
  <dcterms:created xsi:type="dcterms:W3CDTF">2016-03-01T09:56:00Z</dcterms:created>
  <dcterms:modified xsi:type="dcterms:W3CDTF">2016-03-01T04:53:00Z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http://www.zotero.org/styles/nature</vt:lpwstr>
  </property>
  <property fmtid="{D5CDD505-2E9C-101B-9397-08002B2CF9AE}" pid="3" name="Mendeley Document_1">
    <vt:lpwstr>True</vt:lpwstr>
  </property>
  <property fmtid="{D5CDD505-2E9C-101B-9397-08002B2CF9AE}" pid="4" name="Mendeley User Name_1">
    <vt:lpwstr>hamza_assiut@yahoo.com@www.mendeley.com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