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37" w:rsidRPr="00601EB3" w:rsidRDefault="003B5FE7" w:rsidP="00D67228">
      <w:pPr>
        <w:bidi w:val="0"/>
        <w:adjustRightInd w:val="0"/>
        <w:snapToGrid w:val="0"/>
        <w:spacing w:after="0" w:line="240" w:lineRule="auto"/>
        <w:jc w:val="center"/>
        <w:rPr>
          <w:rFonts w:ascii="Times New Roman" w:hAnsi="Times New Roman" w:cs="Times New Roman"/>
          <w:b/>
          <w:bCs/>
          <w:sz w:val="20"/>
          <w:szCs w:val="20"/>
          <w:lang w:bidi="ar-EG"/>
        </w:rPr>
      </w:pPr>
      <w:r w:rsidRPr="00601EB3">
        <w:rPr>
          <w:rFonts w:ascii="Times New Roman" w:hAnsi="Times New Roman" w:cs="Times New Roman"/>
          <w:b/>
          <w:bCs/>
          <w:sz w:val="20"/>
          <w:szCs w:val="20"/>
          <w:lang w:bidi="ar-EG"/>
        </w:rPr>
        <w:t>Prognostic R</w:t>
      </w:r>
      <w:r w:rsidR="009A0137" w:rsidRPr="00601EB3">
        <w:rPr>
          <w:rFonts w:ascii="Times New Roman" w:hAnsi="Times New Roman" w:cs="Times New Roman"/>
          <w:b/>
          <w:bCs/>
          <w:sz w:val="20"/>
          <w:szCs w:val="20"/>
          <w:lang w:bidi="ar-EG"/>
        </w:rPr>
        <w:t xml:space="preserve">elevance </w:t>
      </w:r>
      <w:r w:rsidR="000C68E9" w:rsidRPr="00601EB3">
        <w:rPr>
          <w:rFonts w:ascii="Times New Roman" w:hAnsi="Times New Roman" w:cs="Times New Roman"/>
          <w:b/>
          <w:bCs/>
          <w:sz w:val="20"/>
          <w:szCs w:val="20"/>
          <w:lang w:bidi="ar-EG"/>
        </w:rPr>
        <w:t xml:space="preserve">of </w:t>
      </w:r>
      <w:r w:rsidR="006A394E" w:rsidRPr="00601EB3">
        <w:rPr>
          <w:rFonts w:ascii="Times New Roman" w:hAnsi="Times New Roman" w:cs="Times New Roman"/>
          <w:b/>
          <w:bCs/>
          <w:sz w:val="20"/>
          <w:szCs w:val="20"/>
        </w:rPr>
        <w:t xml:space="preserve">VEGF-A and COX-2 in </w:t>
      </w:r>
      <w:proofErr w:type="spellStart"/>
      <w:r w:rsidR="00246904" w:rsidRPr="00601EB3">
        <w:rPr>
          <w:rFonts w:ascii="Times New Roman" w:hAnsi="Times New Roman" w:cs="Times New Roman"/>
          <w:b/>
          <w:bCs/>
          <w:sz w:val="20"/>
          <w:szCs w:val="20"/>
        </w:rPr>
        <w:t>S</w:t>
      </w:r>
      <w:r w:rsidRPr="00601EB3">
        <w:rPr>
          <w:rFonts w:ascii="Times New Roman" w:hAnsi="Times New Roman" w:cs="Times New Roman"/>
          <w:b/>
          <w:bCs/>
          <w:sz w:val="20"/>
          <w:szCs w:val="20"/>
        </w:rPr>
        <w:t>tage</w:t>
      </w:r>
      <w:r w:rsidR="009B6921" w:rsidRPr="00601EB3">
        <w:rPr>
          <w:rFonts w:ascii="Times New Roman" w:hAnsi="Times New Roman" w:cs="Times New Roman"/>
          <w:b/>
          <w:bCs/>
          <w:sz w:val="20"/>
          <w:szCs w:val="20"/>
        </w:rPr>
        <w:t>IV</w:t>
      </w:r>
      <w:proofErr w:type="spellEnd"/>
      <w:r w:rsidR="00BD3F32">
        <w:rPr>
          <w:rFonts w:ascii="Times New Roman" w:hAnsi="Times New Roman" w:cs="Times New Roman"/>
          <w:b/>
          <w:bCs/>
          <w:sz w:val="20"/>
          <w:szCs w:val="20"/>
        </w:rPr>
        <w:t xml:space="preserve"> </w:t>
      </w:r>
      <w:r w:rsidRPr="00601EB3">
        <w:rPr>
          <w:rFonts w:ascii="Times New Roman" w:hAnsi="Times New Roman" w:cs="Times New Roman"/>
          <w:b/>
          <w:bCs/>
          <w:sz w:val="20"/>
          <w:szCs w:val="20"/>
        </w:rPr>
        <w:t>Non</w:t>
      </w:r>
      <w:r w:rsidR="000C68E9" w:rsidRPr="00601EB3">
        <w:rPr>
          <w:rFonts w:ascii="Times New Roman" w:hAnsi="Times New Roman" w:cs="Times New Roman"/>
          <w:b/>
          <w:bCs/>
          <w:sz w:val="20"/>
          <w:szCs w:val="20"/>
        </w:rPr>
        <w:t>-</w:t>
      </w:r>
      <w:r w:rsidRPr="00601EB3">
        <w:rPr>
          <w:rFonts w:ascii="Times New Roman" w:hAnsi="Times New Roman" w:cs="Times New Roman"/>
          <w:b/>
          <w:bCs/>
          <w:sz w:val="20"/>
          <w:szCs w:val="20"/>
        </w:rPr>
        <w:t>Hodgkin</w:t>
      </w:r>
      <w:r w:rsidR="000C68E9" w:rsidRPr="00601EB3">
        <w:rPr>
          <w:rFonts w:ascii="Times New Roman" w:hAnsi="Times New Roman" w:cs="Times New Roman"/>
          <w:b/>
          <w:bCs/>
          <w:sz w:val="20"/>
          <w:szCs w:val="20"/>
        </w:rPr>
        <w:t>’s Lymphoma</w:t>
      </w:r>
      <w:r w:rsidRPr="00601EB3">
        <w:rPr>
          <w:rFonts w:ascii="Times New Roman" w:hAnsi="Times New Roman" w:cs="Times New Roman"/>
          <w:b/>
          <w:bCs/>
          <w:sz w:val="20"/>
          <w:szCs w:val="20"/>
        </w:rPr>
        <w:t xml:space="preserve"> (</w:t>
      </w:r>
      <w:r w:rsidR="009A0137" w:rsidRPr="00601EB3">
        <w:rPr>
          <w:rFonts w:ascii="Times New Roman" w:hAnsi="Times New Roman" w:cs="Times New Roman"/>
          <w:b/>
          <w:bCs/>
          <w:sz w:val="20"/>
          <w:szCs w:val="20"/>
        </w:rPr>
        <w:t>NHL</w:t>
      </w:r>
      <w:r w:rsidRPr="00601EB3">
        <w:rPr>
          <w:rFonts w:ascii="Times New Roman" w:hAnsi="Times New Roman" w:cs="Times New Roman"/>
          <w:b/>
          <w:bCs/>
          <w:sz w:val="20"/>
          <w:szCs w:val="20"/>
        </w:rPr>
        <w:t>)</w:t>
      </w:r>
      <w:r w:rsidR="0055100D" w:rsidRPr="00601EB3">
        <w:rPr>
          <w:rFonts w:ascii="Times New Roman" w:hAnsi="Times New Roman" w:cs="Times New Roman"/>
          <w:b/>
          <w:bCs/>
          <w:sz w:val="20"/>
          <w:szCs w:val="20"/>
        </w:rPr>
        <w:t xml:space="preserve"> P</w:t>
      </w:r>
      <w:r w:rsidR="009B6921" w:rsidRPr="00601EB3">
        <w:rPr>
          <w:rFonts w:ascii="Times New Roman" w:hAnsi="Times New Roman" w:cs="Times New Roman"/>
          <w:b/>
          <w:bCs/>
          <w:sz w:val="20"/>
          <w:szCs w:val="20"/>
        </w:rPr>
        <w:t>atients</w:t>
      </w:r>
    </w:p>
    <w:p w:rsidR="0055100D" w:rsidRPr="00601EB3" w:rsidRDefault="0055100D" w:rsidP="00D67228">
      <w:pPr>
        <w:bidi w:val="0"/>
        <w:adjustRightInd w:val="0"/>
        <w:snapToGrid w:val="0"/>
        <w:spacing w:after="0" w:line="240" w:lineRule="auto"/>
        <w:jc w:val="center"/>
        <w:rPr>
          <w:rFonts w:ascii="Times New Roman" w:hAnsi="Times New Roman" w:cs="Times New Roman"/>
          <w:b/>
          <w:bCs/>
          <w:sz w:val="20"/>
          <w:szCs w:val="20"/>
          <w:lang w:bidi="ar-EG"/>
        </w:rPr>
      </w:pPr>
    </w:p>
    <w:p w:rsidR="00E10686" w:rsidRPr="00601EB3" w:rsidRDefault="009A2FA7" w:rsidP="00D67228">
      <w:pPr>
        <w:bidi w:val="0"/>
        <w:adjustRightInd w:val="0"/>
        <w:snapToGrid w:val="0"/>
        <w:spacing w:after="0" w:line="240" w:lineRule="auto"/>
        <w:jc w:val="center"/>
        <w:rPr>
          <w:rFonts w:ascii="Times New Roman" w:hAnsi="Times New Roman" w:cs="Times New Roman"/>
          <w:sz w:val="20"/>
          <w:szCs w:val="20"/>
          <w:lang w:bidi="ar-EG"/>
        </w:rPr>
      </w:pPr>
      <w:proofErr w:type="spellStart"/>
      <w:r w:rsidRPr="00601EB3">
        <w:rPr>
          <w:rFonts w:ascii="Times New Roman" w:hAnsi="Times New Roman" w:cs="Times New Roman"/>
          <w:sz w:val="20"/>
          <w:szCs w:val="20"/>
          <w:lang w:bidi="ar-EG"/>
        </w:rPr>
        <w:t>Reham</w:t>
      </w:r>
      <w:proofErr w:type="spellEnd"/>
      <w:r w:rsidRPr="00601EB3">
        <w:rPr>
          <w:rFonts w:ascii="Times New Roman" w:hAnsi="Times New Roman" w:cs="Times New Roman"/>
          <w:sz w:val="20"/>
          <w:szCs w:val="20"/>
          <w:lang w:bidi="ar-EG"/>
        </w:rPr>
        <w:t xml:space="preserve"> Rashed</w:t>
      </w:r>
      <w:r w:rsidRPr="00601EB3">
        <w:rPr>
          <w:rFonts w:ascii="Times New Roman" w:hAnsi="Times New Roman" w:cs="Times New Roman"/>
          <w:sz w:val="20"/>
          <w:szCs w:val="20"/>
          <w:vertAlign w:val="superscript"/>
          <w:lang w:bidi="ar-EG"/>
        </w:rPr>
        <w:t>1</w:t>
      </w:r>
      <w:r w:rsidRPr="00601EB3">
        <w:rPr>
          <w:rFonts w:ascii="Times New Roman" w:hAnsi="Times New Roman" w:cs="Times New Roman"/>
          <w:sz w:val="20"/>
          <w:szCs w:val="20"/>
          <w:lang w:bidi="ar-EG"/>
        </w:rPr>
        <w:t xml:space="preserve">, </w:t>
      </w:r>
      <w:proofErr w:type="spellStart"/>
      <w:r w:rsidRPr="00601EB3">
        <w:rPr>
          <w:rFonts w:ascii="Times New Roman" w:hAnsi="Times New Roman" w:cs="Times New Roman"/>
          <w:sz w:val="20"/>
          <w:szCs w:val="20"/>
          <w:lang w:bidi="ar-EG"/>
        </w:rPr>
        <w:t>Naglaa</w:t>
      </w:r>
      <w:proofErr w:type="spellEnd"/>
      <w:r w:rsidR="00BD3F32">
        <w:rPr>
          <w:rFonts w:ascii="Times New Roman" w:hAnsi="Times New Roman" w:cs="Times New Roman"/>
          <w:sz w:val="20"/>
          <w:szCs w:val="20"/>
          <w:lang w:bidi="ar-EG"/>
        </w:rPr>
        <w:t xml:space="preserve"> </w:t>
      </w:r>
      <w:r w:rsidR="003D6D09" w:rsidRPr="00601EB3">
        <w:rPr>
          <w:rFonts w:ascii="Times New Roman" w:hAnsi="Times New Roman" w:cs="Times New Roman"/>
          <w:sz w:val="20"/>
          <w:szCs w:val="20"/>
          <w:lang w:bidi="ar-EG"/>
        </w:rPr>
        <w:t>Mostafaa</w:t>
      </w:r>
      <w:r w:rsidR="00E10686" w:rsidRPr="00601EB3">
        <w:rPr>
          <w:rFonts w:ascii="Times New Roman" w:hAnsi="Times New Roman" w:cs="Times New Roman"/>
          <w:sz w:val="20"/>
          <w:szCs w:val="20"/>
          <w:vertAlign w:val="superscript"/>
          <w:lang w:bidi="ar-EG"/>
        </w:rPr>
        <w:t>1</w:t>
      </w:r>
      <w:r w:rsidRPr="00601EB3">
        <w:rPr>
          <w:rFonts w:ascii="Times New Roman" w:hAnsi="Times New Roman" w:cs="Times New Roman"/>
          <w:sz w:val="20"/>
          <w:szCs w:val="20"/>
          <w:lang w:bidi="ar-EG"/>
        </w:rPr>
        <w:t xml:space="preserve">, </w:t>
      </w:r>
      <w:proofErr w:type="spellStart"/>
      <w:r w:rsidRPr="00601EB3">
        <w:rPr>
          <w:rFonts w:ascii="Times New Roman" w:hAnsi="Times New Roman" w:cs="Times New Roman"/>
          <w:sz w:val="20"/>
          <w:szCs w:val="20"/>
          <w:lang w:bidi="ar-EG"/>
        </w:rPr>
        <w:t>Reem</w:t>
      </w:r>
      <w:proofErr w:type="spellEnd"/>
      <w:r w:rsidRPr="00601EB3">
        <w:rPr>
          <w:rFonts w:ascii="Times New Roman" w:hAnsi="Times New Roman" w:cs="Times New Roman"/>
          <w:sz w:val="20"/>
          <w:szCs w:val="20"/>
          <w:lang w:bidi="ar-EG"/>
        </w:rPr>
        <w:t xml:space="preserve"> Nabil</w:t>
      </w:r>
      <w:r w:rsidR="00E10686" w:rsidRPr="00601EB3">
        <w:rPr>
          <w:rFonts w:ascii="Times New Roman" w:hAnsi="Times New Roman" w:cs="Times New Roman"/>
          <w:sz w:val="20"/>
          <w:szCs w:val="20"/>
          <w:vertAlign w:val="superscript"/>
          <w:lang w:bidi="ar-EG"/>
        </w:rPr>
        <w:t>1</w:t>
      </w:r>
      <w:r w:rsidR="00E10686" w:rsidRPr="00601EB3">
        <w:rPr>
          <w:rFonts w:ascii="Times New Roman" w:hAnsi="Times New Roman" w:cs="Times New Roman"/>
          <w:sz w:val="20"/>
          <w:szCs w:val="20"/>
          <w:lang w:bidi="ar-EG"/>
        </w:rPr>
        <w:t>,</w:t>
      </w:r>
      <w:r w:rsidRPr="00601EB3">
        <w:rPr>
          <w:rFonts w:ascii="Times New Roman" w:hAnsi="Times New Roman" w:cs="Times New Roman"/>
          <w:sz w:val="20"/>
          <w:szCs w:val="20"/>
          <w:lang w:bidi="ar-EG"/>
        </w:rPr>
        <w:t xml:space="preserve"> Mohamed Ghareeb</w:t>
      </w:r>
      <w:r w:rsidR="00E10686" w:rsidRPr="00601EB3">
        <w:rPr>
          <w:rFonts w:ascii="Times New Roman" w:hAnsi="Times New Roman" w:cs="Times New Roman"/>
          <w:sz w:val="20"/>
          <w:szCs w:val="20"/>
          <w:vertAlign w:val="superscript"/>
          <w:lang w:bidi="ar-EG"/>
        </w:rPr>
        <w:t>2</w:t>
      </w:r>
      <w:r w:rsidR="00E10686" w:rsidRPr="00601EB3">
        <w:rPr>
          <w:rFonts w:ascii="Times New Roman" w:hAnsi="Times New Roman" w:cs="Times New Roman"/>
          <w:sz w:val="20"/>
          <w:szCs w:val="20"/>
          <w:lang w:bidi="ar-EG"/>
        </w:rPr>
        <w:t>, and Dalia Ibraheem</w:t>
      </w:r>
      <w:r w:rsidR="00E10686" w:rsidRPr="00601EB3">
        <w:rPr>
          <w:rFonts w:ascii="Times New Roman" w:hAnsi="Times New Roman" w:cs="Times New Roman"/>
          <w:sz w:val="20"/>
          <w:szCs w:val="20"/>
          <w:vertAlign w:val="superscript"/>
          <w:lang w:bidi="ar-EG"/>
        </w:rPr>
        <w:t>2</w:t>
      </w:r>
    </w:p>
    <w:p w:rsidR="00C14C44" w:rsidRPr="00601EB3" w:rsidRDefault="00C14C44" w:rsidP="00D67228">
      <w:pPr>
        <w:bidi w:val="0"/>
        <w:adjustRightInd w:val="0"/>
        <w:snapToGrid w:val="0"/>
        <w:spacing w:after="0" w:line="240" w:lineRule="auto"/>
        <w:jc w:val="center"/>
        <w:rPr>
          <w:rFonts w:ascii="Times New Roman" w:hAnsi="Times New Roman" w:cs="Times New Roman"/>
          <w:sz w:val="20"/>
          <w:szCs w:val="20"/>
          <w:lang w:bidi="ar-EG"/>
        </w:rPr>
      </w:pPr>
    </w:p>
    <w:p w:rsidR="009A2FA7" w:rsidRPr="00601EB3" w:rsidRDefault="009A2FA7" w:rsidP="00D67228">
      <w:pPr>
        <w:bidi w:val="0"/>
        <w:adjustRightInd w:val="0"/>
        <w:snapToGrid w:val="0"/>
        <w:spacing w:after="0" w:line="240" w:lineRule="auto"/>
        <w:jc w:val="center"/>
        <w:rPr>
          <w:rFonts w:ascii="Times New Roman" w:hAnsi="Times New Roman" w:cs="Times New Roman"/>
          <w:sz w:val="20"/>
          <w:szCs w:val="20"/>
          <w:lang w:bidi="ar-EG"/>
        </w:rPr>
      </w:pPr>
      <w:r w:rsidRPr="00601EB3">
        <w:rPr>
          <w:rFonts w:ascii="Times New Roman" w:hAnsi="Times New Roman" w:cs="Times New Roman"/>
          <w:sz w:val="20"/>
          <w:szCs w:val="20"/>
          <w:lang w:bidi="ar-EG"/>
        </w:rPr>
        <w:t>Departments of</w:t>
      </w:r>
      <w:r w:rsidR="00C14C44" w:rsidRPr="00601EB3">
        <w:rPr>
          <w:rFonts w:ascii="Times New Roman" w:hAnsi="Times New Roman" w:cs="Times New Roman"/>
          <w:sz w:val="20"/>
          <w:szCs w:val="20"/>
          <w:lang w:bidi="ar-EG"/>
        </w:rPr>
        <w:t xml:space="preserve">: </w:t>
      </w:r>
      <w:r w:rsidR="00C12F24" w:rsidRPr="00601EB3">
        <w:rPr>
          <w:rFonts w:ascii="Times New Roman" w:hAnsi="Times New Roman" w:cs="Times New Roman"/>
          <w:sz w:val="20"/>
          <w:szCs w:val="20"/>
          <w:vertAlign w:val="superscript"/>
          <w:lang w:bidi="ar-EG"/>
        </w:rPr>
        <w:t>1</w:t>
      </w:r>
      <w:r w:rsidR="00D7130F" w:rsidRPr="00601EB3">
        <w:rPr>
          <w:rFonts w:ascii="Times New Roman" w:hAnsi="Times New Roman" w:cs="Times New Roman"/>
          <w:sz w:val="20"/>
          <w:szCs w:val="20"/>
          <w:lang w:bidi="ar-EG"/>
        </w:rPr>
        <w:t xml:space="preserve">Clinical Pathology; </w:t>
      </w:r>
      <w:r w:rsidR="00D7130F" w:rsidRPr="00601EB3">
        <w:rPr>
          <w:rFonts w:ascii="Times New Roman" w:hAnsi="Times New Roman" w:cs="Times New Roman"/>
          <w:sz w:val="20"/>
          <w:szCs w:val="20"/>
          <w:vertAlign w:val="superscript"/>
          <w:lang w:bidi="ar-EG"/>
        </w:rPr>
        <w:t>2</w:t>
      </w:r>
      <w:r w:rsidRPr="00601EB3">
        <w:rPr>
          <w:rFonts w:ascii="Times New Roman" w:hAnsi="Times New Roman" w:cs="Times New Roman"/>
          <w:sz w:val="20"/>
          <w:szCs w:val="20"/>
          <w:lang w:bidi="ar-EG"/>
        </w:rPr>
        <w:t>Medical Oncology</w:t>
      </w:r>
      <w:r w:rsidR="00C14C44" w:rsidRPr="00601EB3">
        <w:rPr>
          <w:rFonts w:ascii="Times New Roman" w:hAnsi="Times New Roman" w:cs="Times New Roman"/>
          <w:sz w:val="20"/>
          <w:szCs w:val="20"/>
          <w:lang w:bidi="ar-EG"/>
        </w:rPr>
        <w:t xml:space="preserve">, </w:t>
      </w:r>
      <w:r w:rsidRPr="00601EB3">
        <w:rPr>
          <w:rFonts w:ascii="Times New Roman" w:hAnsi="Times New Roman" w:cs="Times New Roman"/>
          <w:sz w:val="20"/>
          <w:szCs w:val="20"/>
          <w:lang w:bidi="ar-EG"/>
        </w:rPr>
        <w:t>National Cancer Institute, Cairo University, Cairo,</w:t>
      </w:r>
      <w:r w:rsidR="00F00ADE" w:rsidRPr="00601EB3">
        <w:rPr>
          <w:rFonts w:ascii="Times New Roman" w:hAnsi="Times New Roman" w:cs="Times New Roman"/>
          <w:sz w:val="20"/>
          <w:szCs w:val="20"/>
          <w:lang w:bidi="ar-EG"/>
        </w:rPr>
        <w:t xml:space="preserve"> </w:t>
      </w:r>
      <w:r w:rsidRPr="00601EB3">
        <w:rPr>
          <w:rFonts w:ascii="Times New Roman" w:hAnsi="Times New Roman" w:cs="Times New Roman"/>
          <w:sz w:val="20"/>
          <w:szCs w:val="20"/>
          <w:lang w:bidi="ar-EG"/>
        </w:rPr>
        <w:t>Egypt</w:t>
      </w:r>
    </w:p>
    <w:p w:rsidR="009A2FA7" w:rsidRPr="00601EB3" w:rsidRDefault="008A76F4" w:rsidP="00D67228">
      <w:pPr>
        <w:bidi w:val="0"/>
        <w:adjustRightInd w:val="0"/>
        <w:snapToGrid w:val="0"/>
        <w:spacing w:after="0" w:line="240" w:lineRule="auto"/>
        <w:jc w:val="center"/>
        <w:rPr>
          <w:rFonts w:ascii="Times New Roman" w:hAnsi="Times New Roman" w:cs="Times New Roman"/>
          <w:sz w:val="20"/>
          <w:szCs w:val="20"/>
          <w:lang w:bidi="ar-EG"/>
        </w:rPr>
      </w:pPr>
      <w:r w:rsidRPr="00601EB3">
        <w:rPr>
          <w:rFonts w:ascii="Times New Roman" w:hAnsi="Times New Roman" w:cs="Times New Roman"/>
          <w:sz w:val="20"/>
          <w:szCs w:val="20"/>
          <w:lang w:bidi="ar-EG"/>
        </w:rPr>
        <w:t xml:space="preserve">E-mail: </w:t>
      </w:r>
      <w:hyperlink r:id="rId8" w:history="1">
        <w:r w:rsidR="00601EB3" w:rsidRPr="00601EB3">
          <w:rPr>
            <w:rStyle w:val="Hyperlink"/>
            <w:rFonts w:ascii="Times New Roman" w:hAnsi="Times New Roman" w:cs="Times New Roman"/>
            <w:sz w:val="20"/>
            <w:szCs w:val="20"/>
            <w:lang w:bidi="ar-EG"/>
          </w:rPr>
          <w:t>Reham_r9@yahoo.com</w:t>
        </w:r>
      </w:hyperlink>
      <w:r w:rsidR="00601EB3" w:rsidRPr="00601EB3">
        <w:rPr>
          <w:rFonts w:ascii="Times New Roman" w:hAnsi="Times New Roman" w:cs="Times New Roman"/>
          <w:sz w:val="20"/>
          <w:szCs w:val="20"/>
          <w:lang w:bidi="ar-EG"/>
        </w:rPr>
        <w:t xml:space="preserve"> </w:t>
      </w:r>
    </w:p>
    <w:p w:rsidR="009A0137" w:rsidRPr="00601EB3" w:rsidRDefault="009A0137" w:rsidP="00D67228">
      <w:pPr>
        <w:bidi w:val="0"/>
        <w:adjustRightInd w:val="0"/>
        <w:snapToGrid w:val="0"/>
        <w:spacing w:after="0" w:line="240" w:lineRule="auto"/>
        <w:jc w:val="center"/>
        <w:rPr>
          <w:rFonts w:ascii="Times New Roman" w:hAnsi="Times New Roman" w:cs="Times New Roman"/>
          <w:b/>
          <w:bCs/>
          <w:sz w:val="20"/>
          <w:szCs w:val="20"/>
          <w:lang w:bidi="ar-EG"/>
        </w:rPr>
      </w:pPr>
    </w:p>
    <w:p w:rsidR="000C0433" w:rsidRPr="00601EB3" w:rsidRDefault="00C12F24" w:rsidP="00D67228">
      <w:pPr>
        <w:bidi w:val="0"/>
        <w:adjustRightInd w:val="0"/>
        <w:snapToGrid w:val="0"/>
        <w:spacing w:after="0" w:line="240" w:lineRule="auto"/>
        <w:jc w:val="both"/>
        <w:rPr>
          <w:rFonts w:ascii="Times New Roman" w:eastAsia="Times New Roman" w:hAnsi="Times New Roman" w:cs="Times New Roman"/>
          <w:sz w:val="20"/>
          <w:szCs w:val="20"/>
        </w:rPr>
      </w:pPr>
      <w:r w:rsidRPr="00601EB3">
        <w:rPr>
          <w:rFonts w:ascii="Times New Roman" w:eastAsia="Times New Roman" w:hAnsi="Times New Roman" w:cs="Times New Roman"/>
          <w:b/>
          <w:bCs/>
          <w:sz w:val="20"/>
          <w:szCs w:val="20"/>
          <w:lang w:bidi="ar-EG"/>
        </w:rPr>
        <w:t>Abstract</w:t>
      </w:r>
      <w:r w:rsidR="000C0433" w:rsidRPr="00601EB3">
        <w:rPr>
          <w:rFonts w:ascii="Times New Roman" w:eastAsia="Times New Roman" w:hAnsi="Times New Roman" w:cs="Times New Roman"/>
          <w:b/>
          <w:bCs/>
          <w:sz w:val="20"/>
          <w:szCs w:val="20"/>
          <w:lang w:bidi="ar-EG"/>
        </w:rPr>
        <w:t xml:space="preserve">: </w:t>
      </w:r>
      <w:r w:rsidR="000C0433" w:rsidRPr="00601EB3">
        <w:rPr>
          <w:rFonts w:ascii="Times New Roman" w:eastAsia="Times New Roman" w:hAnsi="Times New Roman" w:cs="Times New Roman"/>
          <w:b/>
          <w:bCs/>
          <w:color w:val="000000"/>
          <w:sz w:val="20"/>
          <w:szCs w:val="20"/>
        </w:rPr>
        <w:t xml:space="preserve">Background: </w:t>
      </w:r>
      <w:r w:rsidR="000C0433" w:rsidRPr="00601EB3">
        <w:rPr>
          <w:rFonts w:ascii="Times New Roman" w:eastAsia="Times New Roman" w:hAnsi="Times New Roman" w:cs="Times New Roman"/>
          <w:sz w:val="20"/>
          <w:szCs w:val="20"/>
        </w:rPr>
        <w:t>NHL comprises 85% of all lymphomas and 3-4% of all cancers around the world. Angiogenesis is required for tumor growth and metastasis, as an important component in the control of cancer progression. Inflammation is an important factor in the cancer phenomenon with COX-2 playing an important role in malignant cell proliferation.</w:t>
      </w:r>
      <w:r w:rsidR="00601EB3" w:rsidRPr="00601EB3">
        <w:rPr>
          <w:rFonts w:ascii="Times New Roman" w:eastAsia="Times New Roman" w:hAnsi="Times New Roman" w:cs="Times New Roman"/>
          <w:sz w:val="20"/>
          <w:szCs w:val="20"/>
        </w:rPr>
        <w:t xml:space="preserve"> </w:t>
      </w:r>
      <w:r w:rsidR="00C14C44" w:rsidRPr="00601EB3">
        <w:rPr>
          <w:rFonts w:ascii="Times New Roman" w:eastAsia="Times New Roman" w:hAnsi="Times New Roman" w:cs="Times New Roman"/>
          <w:b/>
          <w:bCs/>
          <w:color w:val="000000"/>
          <w:sz w:val="20"/>
          <w:szCs w:val="20"/>
        </w:rPr>
        <w:t>Objective</w:t>
      </w:r>
      <w:r w:rsidR="000C0433" w:rsidRPr="00601EB3">
        <w:rPr>
          <w:rFonts w:ascii="Times New Roman" w:eastAsia="Times New Roman" w:hAnsi="Times New Roman" w:cs="Times New Roman"/>
          <w:b/>
          <w:bCs/>
          <w:color w:val="000000"/>
          <w:sz w:val="20"/>
          <w:szCs w:val="20"/>
        </w:rPr>
        <w:t>:</w:t>
      </w:r>
      <w:r w:rsidR="00601EB3">
        <w:rPr>
          <w:rFonts w:ascii="Times New Roman" w:eastAsia="Times New Roman" w:hAnsi="Times New Roman" w:cs="Times New Roman"/>
          <w:b/>
          <w:bCs/>
          <w:color w:val="000000"/>
          <w:sz w:val="20"/>
          <w:szCs w:val="20"/>
        </w:rPr>
        <w:t xml:space="preserve"> </w:t>
      </w:r>
      <w:r w:rsidR="000C0433" w:rsidRPr="00601EB3">
        <w:rPr>
          <w:rFonts w:ascii="Times New Roman" w:eastAsia="Times New Roman" w:hAnsi="Times New Roman" w:cs="Times New Roman"/>
          <w:sz w:val="20"/>
          <w:szCs w:val="20"/>
        </w:rPr>
        <w:t>To observe the expression level of</w:t>
      </w:r>
      <w:r w:rsidR="001C7B20" w:rsidRPr="00601EB3">
        <w:rPr>
          <w:rFonts w:ascii="Times New Roman" w:eastAsia="Times New Roman" w:hAnsi="Times New Roman" w:cs="Times New Roman"/>
          <w:sz w:val="20"/>
          <w:szCs w:val="20"/>
        </w:rPr>
        <w:t xml:space="preserve"> the </w:t>
      </w:r>
      <w:proofErr w:type="spellStart"/>
      <w:r w:rsidR="001C7B20" w:rsidRPr="00601EB3">
        <w:rPr>
          <w:rFonts w:ascii="Times New Roman" w:eastAsia="Times New Roman" w:hAnsi="Times New Roman" w:cs="Times New Roman"/>
          <w:sz w:val="20"/>
          <w:szCs w:val="20"/>
        </w:rPr>
        <w:t>angiogenetic</w:t>
      </w:r>
      <w:proofErr w:type="spellEnd"/>
      <w:r w:rsidR="001C7B20" w:rsidRPr="00601EB3">
        <w:rPr>
          <w:rFonts w:ascii="Times New Roman" w:eastAsia="Times New Roman" w:hAnsi="Times New Roman" w:cs="Times New Roman"/>
          <w:sz w:val="20"/>
          <w:szCs w:val="20"/>
        </w:rPr>
        <w:t xml:space="preserve"> factor VEGF-A</w:t>
      </w:r>
      <w:r w:rsidR="000C0433" w:rsidRPr="00601EB3">
        <w:rPr>
          <w:rFonts w:ascii="Times New Roman" w:eastAsia="Times New Roman" w:hAnsi="Times New Roman" w:cs="Times New Roman"/>
          <w:sz w:val="20"/>
          <w:szCs w:val="20"/>
        </w:rPr>
        <w:t xml:space="preserve">, the inflammatory </w:t>
      </w:r>
      <w:r w:rsidR="00D421B4" w:rsidRPr="00601EB3">
        <w:rPr>
          <w:rFonts w:ascii="Times New Roman" w:eastAsia="Times New Roman" w:hAnsi="Times New Roman" w:cs="Times New Roman"/>
          <w:sz w:val="20"/>
          <w:szCs w:val="20"/>
        </w:rPr>
        <w:t xml:space="preserve">mediator COX-2 in NHL patients </w:t>
      </w:r>
      <w:r w:rsidR="000C0433" w:rsidRPr="00601EB3">
        <w:rPr>
          <w:rFonts w:ascii="Times New Roman" w:eastAsia="Times New Roman" w:hAnsi="Times New Roman" w:cs="Times New Roman"/>
          <w:sz w:val="20"/>
          <w:szCs w:val="20"/>
        </w:rPr>
        <w:t>and their prognostic relevance.</w:t>
      </w:r>
      <w:r w:rsidR="00601EB3" w:rsidRPr="00601EB3">
        <w:rPr>
          <w:rFonts w:ascii="Times New Roman" w:eastAsia="Times New Roman" w:hAnsi="Times New Roman" w:cs="Times New Roman"/>
          <w:sz w:val="20"/>
          <w:szCs w:val="20"/>
        </w:rPr>
        <w:t xml:space="preserve"> </w:t>
      </w:r>
      <w:r w:rsidR="00C14C44" w:rsidRPr="00601EB3">
        <w:rPr>
          <w:rFonts w:ascii="Times New Roman" w:eastAsia="Times New Roman" w:hAnsi="Times New Roman" w:cs="Times New Roman"/>
          <w:b/>
          <w:bCs/>
          <w:color w:val="000000"/>
          <w:sz w:val="20"/>
          <w:szCs w:val="20"/>
        </w:rPr>
        <w:t>M</w:t>
      </w:r>
      <w:r w:rsidR="000C0433" w:rsidRPr="00601EB3">
        <w:rPr>
          <w:rFonts w:ascii="Times New Roman" w:eastAsia="Times New Roman" w:hAnsi="Times New Roman" w:cs="Times New Roman"/>
          <w:b/>
          <w:bCs/>
          <w:color w:val="000000"/>
          <w:sz w:val="20"/>
          <w:szCs w:val="20"/>
        </w:rPr>
        <w:t xml:space="preserve">ethods: </w:t>
      </w:r>
      <w:r w:rsidR="00C14C44" w:rsidRPr="00601EB3">
        <w:rPr>
          <w:rFonts w:ascii="Times New Roman" w:eastAsia="Times New Roman" w:hAnsi="Times New Roman" w:cs="Times New Roman"/>
          <w:color w:val="000000"/>
          <w:sz w:val="20"/>
          <w:szCs w:val="20"/>
        </w:rPr>
        <w:t xml:space="preserve">The patients were recruited from the Medical Oncology Department, National Cancer Institute, Cairo University over a period of 2 years. The methods we used were </w:t>
      </w:r>
      <w:proofErr w:type="spellStart"/>
      <w:r w:rsidR="000F5441" w:rsidRPr="00601EB3">
        <w:rPr>
          <w:rFonts w:ascii="Times New Roman" w:eastAsia="Times New Roman" w:hAnsi="Times New Roman" w:cs="Times New Roman"/>
          <w:sz w:val="20"/>
          <w:szCs w:val="20"/>
        </w:rPr>
        <w:t>I</w:t>
      </w:r>
      <w:r w:rsidR="000C0433" w:rsidRPr="00601EB3">
        <w:rPr>
          <w:rFonts w:ascii="Times New Roman" w:eastAsia="Times New Roman" w:hAnsi="Times New Roman" w:cs="Times New Roman"/>
          <w:sz w:val="20"/>
          <w:szCs w:val="20"/>
        </w:rPr>
        <w:t>mmunohistochemical</w:t>
      </w:r>
      <w:proofErr w:type="spellEnd"/>
      <w:r w:rsidR="000C0433" w:rsidRPr="00601EB3">
        <w:rPr>
          <w:rFonts w:ascii="Times New Roman" w:eastAsia="Times New Roman" w:hAnsi="Times New Roman" w:cs="Times New Roman"/>
          <w:sz w:val="20"/>
          <w:szCs w:val="20"/>
        </w:rPr>
        <w:t xml:space="preserve"> staining for VEGF-A and COX-2 in BMB samples of 40 adult patients with NHL stage IV</w:t>
      </w:r>
      <w:r w:rsidR="00C14C44" w:rsidRPr="00601EB3">
        <w:rPr>
          <w:rFonts w:ascii="Times New Roman" w:eastAsia="Times New Roman" w:hAnsi="Times New Roman" w:cs="Times New Roman"/>
          <w:sz w:val="20"/>
          <w:szCs w:val="20"/>
        </w:rPr>
        <w:t>.</w:t>
      </w:r>
      <w:r w:rsidR="00601EB3" w:rsidRPr="00601EB3">
        <w:rPr>
          <w:rFonts w:ascii="Times New Roman" w:eastAsia="Times New Roman" w:hAnsi="Times New Roman" w:cs="Times New Roman"/>
          <w:sz w:val="20"/>
          <w:szCs w:val="20"/>
        </w:rPr>
        <w:t xml:space="preserve"> </w:t>
      </w:r>
      <w:r w:rsidR="000C0433" w:rsidRPr="00601EB3">
        <w:rPr>
          <w:rFonts w:ascii="Times New Roman" w:eastAsia="Times New Roman" w:hAnsi="Times New Roman" w:cs="Times New Roman"/>
          <w:b/>
          <w:bCs/>
          <w:color w:val="000000"/>
          <w:sz w:val="20"/>
          <w:szCs w:val="20"/>
        </w:rPr>
        <w:t>Results:</w:t>
      </w:r>
      <w:r w:rsidR="00601EB3" w:rsidRPr="00601EB3">
        <w:rPr>
          <w:rFonts w:ascii="Times New Roman" w:eastAsia="Times New Roman" w:hAnsi="Times New Roman" w:cs="Times New Roman"/>
          <w:b/>
          <w:bCs/>
          <w:color w:val="000000"/>
          <w:sz w:val="20"/>
          <w:szCs w:val="20"/>
        </w:rPr>
        <w:t xml:space="preserve"> </w:t>
      </w:r>
      <w:r w:rsidR="00C14C44" w:rsidRPr="00601EB3">
        <w:rPr>
          <w:rFonts w:ascii="Times New Roman" w:eastAsia="Times New Roman" w:hAnsi="Times New Roman" w:cs="Times New Roman"/>
          <w:sz w:val="20"/>
          <w:szCs w:val="20"/>
        </w:rPr>
        <w:t>The study</w:t>
      </w:r>
      <w:r w:rsidR="000C0433" w:rsidRPr="00601EB3">
        <w:rPr>
          <w:rFonts w:ascii="Times New Roman" w:eastAsia="Times New Roman" w:hAnsi="Times New Roman" w:cs="Times New Roman"/>
          <w:sz w:val="20"/>
          <w:szCs w:val="20"/>
        </w:rPr>
        <w:t xml:space="preserve"> revealed no significant difference between VEGF-A and COX2 markers expression (positive </w:t>
      </w:r>
      <w:proofErr w:type="spellStart"/>
      <w:r w:rsidR="000C0433" w:rsidRPr="00601EB3">
        <w:rPr>
          <w:rFonts w:ascii="Times New Roman" w:eastAsia="Times New Roman" w:hAnsi="Times New Roman" w:cs="Times New Roman"/>
          <w:sz w:val="20"/>
          <w:szCs w:val="20"/>
        </w:rPr>
        <w:t>coexpression</w:t>
      </w:r>
      <w:proofErr w:type="spellEnd"/>
      <w:r w:rsidR="000C0433" w:rsidRPr="00601EB3">
        <w:rPr>
          <w:rFonts w:ascii="Times New Roman" w:eastAsia="Times New Roman" w:hAnsi="Times New Roman" w:cs="Times New Roman"/>
          <w:sz w:val="20"/>
          <w:szCs w:val="20"/>
        </w:rPr>
        <w:t xml:space="preserve"> 10/40 (25%), negative </w:t>
      </w:r>
      <w:proofErr w:type="spellStart"/>
      <w:r w:rsidR="000C0433" w:rsidRPr="00601EB3">
        <w:rPr>
          <w:rFonts w:ascii="Times New Roman" w:eastAsia="Times New Roman" w:hAnsi="Times New Roman" w:cs="Times New Roman"/>
          <w:sz w:val="20"/>
          <w:szCs w:val="20"/>
        </w:rPr>
        <w:t>coexpression</w:t>
      </w:r>
      <w:proofErr w:type="spellEnd"/>
      <w:r w:rsidR="000C0433" w:rsidRPr="00601EB3">
        <w:rPr>
          <w:rFonts w:ascii="Times New Roman" w:eastAsia="Times New Roman" w:hAnsi="Times New Roman" w:cs="Times New Roman"/>
          <w:sz w:val="20"/>
          <w:szCs w:val="20"/>
        </w:rPr>
        <w:t xml:space="preserve"> 5/40 (12.5%) and single marker expression 25/40 (62.5%)</w:t>
      </w:r>
      <w:r w:rsidR="00601EB3" w:rsidRPr="00601EB3">
        <w:rPr>
          <w:rFonts w:ascii="Times New Roman" w:eastAsia="Times New Roman" w:hAnsi="Times New Roman" w:cs="Times New Roman"/>
          <w:sz w:val="20"/>
          <w:szCs w:val="20"/>
        </w:rPr>
        <w:t xml:space="preserve"> </w:t>
      </w:r>
      <w:r w:rsidR="000C0433" w:rsidRPr="00601EB3">
        <w:rPr>
          <w:rFonts w:ascii="Times New Roman" w:eastAsia="Times New Roman" w:hAnsi="Times New Roman" w:cs="Times New Roman"/>
          <w:sz w:val="20"/>
          <w:szCs w:val="20"/>
        </w:rPr>
        <w:t xml:space="preserve">(P=0.09). A statistically significant difference between males (37.5%) and females (6.3%) as regards positive </w:t>
      </w:r>
      <w:proofErr w:type="spellStart"/>
      <w:r w:rsidR="000C0433" w:rsidRPr="00601EB3">
        <w:rPr>
          <w:rFonts w:ascii="Times New Roman" w:eastAsia="Times New Roman" w:hAnsi="Times New Roman" w:cs="Times New Roman"/>
          <w:sz w:val="20"/>
          <w:szCs w:val="20"/>
        </w:rPr>
        <w:t>coexpression</w:t>
      </w:r>
      <w:proofErr w:type="spellEnd"/>
      <w:r w:rsidR="000C0433" w:rsidRPr="00601EB3">
        <w:rPr>
          <w:rFonts w:ascii="Times New Roman" w:eastAsia="Times New Roman" w:hAnsi="Times New Roman" w:cs="Times New Roman"/>
          <w:sz w:val="20"/>
          <w:szCs w:val="20"/>
        </w:rPr>
        <w:t xml:space="preserve"> was found (P=0.025).</w:t>
      </w:r>
      <w:r w:rsidR="00601EB3">
        <w:rPr>
          <w:rFonts w:ascii="Times New Roman" w:eastAsia="Times New Roman" w:hAnsi="Times New Roman" w:cs="Times New Roman"/>
          <w:sz w:val="20"/>
          <w:szCs w:val="20"/>
        </w:rPr>
        <w:t xml:space="preserve"> </w:t>
      </w:r>
      <w:r w:rsidR="000C0433" w:rsidRPr="00601EB3">
        <w:rPr>
          <w:rFonts w:ascii="Times New Roman" w:eastAsia="Times New Roman" w:hAnsi="Times New Roman" w:cs="Times New Roman"/>
          <w:sz w:val="20"/>
          <w:szCs w:val="20"/>
        </w:rPr>
        <w:t xml:space="preserve">Although positive </w:t>
      </w:r>
      <w:proofErr w:type="spellStart"/>
      <w:r w:rsidR="000C0433" w:rsidRPr="00601EB3">
        <w:rPr>
          <w:rFonts w:ascii="Times New Roman" w:eastAsia="Times New Roman" w:hAnsi="Times New Roman" w:cs="Times New Roman"/>
          <w:sz w:val="20"/>
          <w:szCs w:val="20"/>
        </w:rPr>
        <w:t>coexpression</w:t>
      </w:r>
      <w:proofErr w:type="spellEnd"/>
      <w:r w:rsidR="000C0433" w:rsidRPr="00601EB3">
        <w:rPr>
          <w:rFonts w:ascii="Times New Roman" w:eastAsia="Times New Roman" w:hAnsi="Times New Roman" w:cs="Times New Roman"/>
          <w:sz w:val="20"/>
          <w:szCs w:val="20"/>
        </w:rPr>
        <w:t xml:space="preserve"> was higher with the lower age group and absence of B symptoms, yet showing statistically non-significant difference (P= 0.072</w:t>
      </w:r>
      <w:r w:rsidR="000719ED" w:rsidRPr="00601EB3">
        <w:rPr>
          <w:rFonts w:ascii="Times New Roman" w:eastAsia="Times New Roman" w:hAnsi="Times New Roman" w:cs="Times New Roman"/>
          <w:sz w:val="20"/>
          <w:szCs w:val="20"/>
        </w:rPr>
        <w:t>and 0.09 respectively</w:t>
      </w:r>
      <w:r w:rsidR="000C0433" w:rsidRPr="00601EB3">
        <w:rPr>
          <w:rFonts w:ascii="Times New Roman" w:eastAsia="Times New Roman" w:hAnsi="Times New Roman" w:cs="Times New Roman"/>
          <w:sz w:val="20"/>
          <w:szCs w:val="20"/>
        </w:rPr>
        <w:t>). There was a higher TLC mean and a higher lymphocyte count in the positive VEGF-</w:t>
      </w:r>
      <w:proofErr w:type="spellStart"/>
      <w:r w:rsidR="000C0433" w:rsidRPr="00601EB3">
        <w:rPr>
          <w:rFonts w:ascii="Times New Roman" w:eastAsia="Times New Roman" w:hAnsi="Times New Roman" w:cs="Times New Roman"/>
          <w:sz w:val="20"/>
          <w:szCs w:val="20"/>
        </w:rPr>
        <w:t>Aexpressors</w:t>
      </w:r>
      <w:proofErr w:type="spellEnd"/>
      <w:r w:rsidR="000C0433" w:rsidRPr="00601EB3">
        <w:rPr>
          <w:rFonts w:ascii="Times New Roman" w:eastAsia="Times New Roman" w:hAnsi="Times New Roman" w:cs="Times New Roman"/>
          <w:sz w:val="20"/>
          <w:szCs w:val="20"/>
        </w:rPr>
        <w:t xml:space="preserve"> versus negative ones, </w:t>
      </w:r>
      <w:r w:rsidR="0098068C" w:rsidRPr="00601EB3">
        <w:rPr>
          <w:rFonts w:ascii="Times New Roman" w:eastAsia="Times New Roman" w:hAnsi="Times New Roman" w:cs="Times New Roman"/>
          <w:sz w:val="20"/>
          <w:szCs w:val="20"/>
        </w:rPr>
        <w:t>with a non-</w:t>
      </w:r>
      <w:r w:rsidR="000C0433" w:rsidRPr="00601EB3">
        <w:rPr>
          <w:rFonts w:ascii="Times New Roman" w:eastAsia="Times New Roman" w:hAnsi="Times New Roman" w:cs="Times New Roman"/>
          <w:sz w:val="20"/>
          <w:szCs w:val="20"/>
        </w:rPr>
        <w:t xml:space="preserve">significant difference (P=0.065). A statistically significant difference between positive </w:t>
      </w:r>
      <w:proofErr w:type="spellStart"/>
      <w:r w:rsidR="000C0433" w:rsidRPr="00601EB3">
        <w:rPr>
          <w:rFonts w:ascii="Times New Roman" w:eastAsia="Times New Roman" w:hAnsi="Times New Roman" w:cs="Times New Roman"/>
          <w:sz w:val="20"/>
          <w:szCs w:val="20"/>
        </w:rPr>
        <w:t>coexpressors</w:t>
      </w:r>
      <w:proofErr w:type="spellEnd"/>
      <w:r w:rsidR="00601EB3">
        <w:rPr>
          <w:rFonts w:ascii="Times New Roman" w:eastAsia="Times New Roman" w:hAnsi="Times New Roman" w:cs="Times New Roman"/>
          <w:sz w:val="20"/>
          <w:szCs w:val="20"/>
        </w:rPr>
        <w:t xml:space="preserve"> </w:t>
      </w:r>
      <w:r w:rsidR="000C0433" w:rsidRPr="00601EB3">
        <w:rPr>
          <w:rFonts w:ascii="Times New Roman" w:eastAsia="Times New Roman" w:hAnsi="Times New Roman" w:cs="Times New Roman"/>
          <w:sz w:val="20"/>
          <w:szCs w:val="20"/>
        </w:rPr>
        <w:t>group with the single positive and the double negative groups regarding TLC (P=0.036) was detected</w:t>
      </w:r>
      <w:r w:rsidR="00116BBE" w:rsidRPr="00601EB3">
        <w:rPr>
          <w:rFonts w:ascii="Times New Roman" w:eastAsia="Times New Roman" w:hAnsi="Times New Roman" w:cs="Times New Roman"/>
          <w:sz w:val="20"/>
          <w:szCs w:val="20"/>
        </w:rPr>
        <w:t>,</w:t>
      </w:r>
      <w:r w:rsidR="000C0433" w:rsidRPr="00601EB3">
        <w:rPr>
          <w:rFonts w:ascii="Times New Roman" w:eastAsia="Times New Roman" w:hAnsi="Times New Roman" w:cs="Times New Roman"/>
          <w:sz w:val="20"/>
          <w:szCs w:val="20"/>
        </w:rPr>
        <w:t xml:space="preserve"> also higher lymphocyte count </w:t>
      </w:r>
      <w:r w:rsidR="00B30B9E" w:rsidRPr="00601EB3">
        <w:rPr>
          <w:rFonts w:ascii="Times New Roman" w:eastAsia="Times New Roman" w:hAnsi="Times New Roman" w:cs="Times New Roman"/>
          <w:sz w:val="20"/>
          <w:szCs w:val="20"/>
        </w:rPr>
        <w:t>among</w:t>
      </w:r>
      <w:r w:rsidR="00601EB3">
        <w:rPr>
          <w:rFonts w:ascii="Times New Roman" w:eastAsia="Times New Roman" w:hAnsi="Times New Roman" w:cs="Times New Roman"/>
          <w:sz w:val="20"/>
          <w:szCs w:val="20"/>
        </w:rPr>
        <w:t xml:space="preserve"> </w:t>
      </w:r>
      <w:r w:rsidR="000C0433" w:rsidRPr="00601EB3">
        <w:rPr>
          <w:rFonts w:ascii="Times New Roman" w:eastAsia="Times New Roman" w:hAnsi="Times New Roman" w:cs="Times New Roman"/>
          <w:sz w:val="20"/>
          <w:szCs w:val="20"/>
        </w:rPr>
        <w:t xml:space="preserve">positive </w:t>
      </w:r>
      <w:proofErr w:type="spellStart"/>
      <w:r w:rsidR="000C0433" w:rsidRPr="00601EB3">
        <w:rPr>
          <w:rFonts w:ascii="Times New Roman" w:eastAsia="Times New Roman" w:hAnsi="Times New Roman" w:cs="Times New Roman"/>
          <w:sz w:val="20"/>
          <w:szCs w:val="20"/>
        </w:rPr>
        <w:t>coexpressor</w:t>
      </w:r>
      <w:r w:rsidR="00B30B9E" w:rsidRPr="00601EB3">
        <w:rPr>
          <w:rFonts w:ascii="Times New Roman" w:eastAsia="Times New Roman" w:hAnsi="Times New Roman" w:cs="Times New Roman"/>
          <w:sz w:val="20"/>
          <w:szCs w:val="20"/>
        </w:rPr>
        <w:t>s</w:t>
      </w:r>
      <w:proofErr w:type="spellEnd"/>
      <w:r w:rsidR="000C0433" w:rsidRPr="00601EB3">
        <w:rPr>
          <w:rFonts w:ascii="Times New Roman" w:eastAsia="Times New Roman" w:hAnsi="Times New Roman" w:cs="Times New Roman"/>
          <w:sz w:val="20"/>
          <w:szCs w:val="20"/>
        </w:rPr>
        <w:t xml:space="preserve"> compared to the other groups, with non-significant difference (P= 0.077). A near significant difference between patients with positive VEGF-A </w:t>
      </w:r>
      <w:proofErr w:type="spellStart"/>
      <w:r w:rsidR="000C0433" w:rsidRPr="00601EB3">
        <w:rPr>
          <w:rFonts w:ascii="Times New Roman" w:eastAsia="Times New Roman" w:hAnsi="Times New Roman" w:cs="Times New Roman"/>
          <w:sz w:val="20"/>
          <w:szCs w:val="20"/>
        </w:rPr>
        <w:t>expresso</w:t>
      </w:r>
      <w:r w:rsidR="00B30B9E" w:rsidRPr="00601EB3">
        <w:rPr>
          <w:rFonts w:ascii="Times New Roman" w:eastAsia="Times New Roman" w:hAnsi="Times New Roman" w:cs="Times New Roman"/>
          <w:sz w:val="20"/>
          <w:szCs w:val="20"/>
        </w:rPr>
        <w:t>ion</w:t>
      </w:r>
      <w:proofErr w:type="spellEnd"/>
      <w:r w:rsidR="000C0433" w:rsidRPr="00601EB3">
        <w:rPr>
          <w:rFonts w:ascii="Times New Roman" w:eastAsia="Times New Roman" w:hAnsi="Times New Roman" w:cs="Times New Roman"/>
          <w:sz w:val="20"/>
          <w:szCs w:val="20"/>
        </w:rPr>
        <w:t xml:space="preserve"> (71.4%) and negative </w:t>
      </w:r>
      <w:r w:rsidR="00B30B9E" w:rsidRPr="00601EB3">
        <w:rPr>
          <w:rFonts w:ascii="Times New Roman" w:eastAsia="Times New Roman" w:hAnsi="Times New Roman" w:cs="Times New Roman"/>
          <w:sz w:val="20"/>
          <w:szCs w:val="20"/>
        </w:rPr>
        <w:t>ones</w:t>
      </w:r>
      <w:r w:rsidR="000C0433" w:rsidRPr="00601EB3">
        <w:rPr>
          <w:rFonts w:ascii="Times New Roman" w:eastAsia="Times New Roman" w:hAnsi="Times New Roman" w:cs="Times New Roman"/>
          <w:sz w:val="20"/>
          <w:szCs w:val="20"/>
        </w:rPr>
        <w:t xml:space="preserve"> (42.1%) as regards response to treatment (P=0.06). Finally, no statistical significant difference was found for positive and negative VEGF-A</w:t>
      </w:r>
      <w:r w:rsidR="00B30B9E" w:rsidRPr="00601EB3">
        <w:rPr>
          <w:rFonts w:ascii="Times New Roman" w:eastAsia="Times New Roman" w:hAnsi="Times New Roman" w:cs="Times New Roman"/>
          <w:sz w:val="20"/>
          <w:szCs w:val="20"/>
        </w:rPr>
        <w:t>, COX-2 expression</w:t>
      </w:r>
      <w:r w:rsidR="000C0433" w:rsidRPr="00601EB3">
        <w:rPr>
          <w:rFonts w:ascii="Times New Roman" w:eastAsia="Times New Roman" w:hAnsi="Times New Roman" w:cs="Times New Roman"/>
          <w:sz w:val="20"/>
          <w:szCs w:val="20"/>
        </w:rPr>
        <w:t xml:space="preserve">, positive and negative </w:t>
      </w:r>
      <w:proofErr w:type="spellStart"/>
      <w:r w:rsidR="000C0433" w:rsidRPr="00601EB3">
        <w:rPr>
          <w:rFonts w:ascii="Times New Roman" w:eastAsia="Times New Roman" w:hAnsi="Times New Roman" w:cs="Times New Roman"/>
          <w:sz w:val="20"/>
          <w:szCs w:val="20"/>
        </w:rPr>
        <w:t>coexpression</w:t>
      </w:r>
      <w:proofErr w:type="spellEnd"/>
      <w:r w:rsidR="000C0433" w:rsidRPr="00601EB3">
        <w:rPr>
          <w:rFonts w:ascii="Times New Roman" w:eastAsia="Times New Roman" w:hAnsi="Times New Roman" w:cs="Times New Roman"/>
          <w:sz w:val="20"/>
          <w:szCs w:val="20"/>
        </w:rPr>
        <w:t xml:space="preserve"> as regards overall survival (P=0.117, 0.84, 0.28 and 0.25 respectively).</w:t>
      </w:r>
      <w:r w:rsidR="00601EB3" w:rsidRPr="00601EB3">
        <w:rPr>
          <w:rFonts w:ascii="Times New Roman" w:eastAsia="Times New Roman" w:hAnsi="Times New Roman" w:cs="Times New Roman"/>
          <w:sz w:val="20"/>
          <w:szCs w:val="20"/>
        </w:rPr>
        <w:t xml:space="preserve"> </w:t>
      </w:r>
      <w:r w:rsidR="000C0433" w:rsidRPr="00601EB3">
        <w:rPr>
          <w:rFonts w:ascii="Times New Roman" w:eastAsia="Times New Roman" w:hAnsi="Times New Roman" w:cs="Times New Roman"/>
          <w:b/>
          <w:bCs/>
          <w:sz w:val="20"/>
          <w:szCs w:val="20"/>
        </w:rPr>
        <w:t>Conclusion:</w:t>
      </w:r>
      <w:r w:rsidR="00601EB3" w:rsidRPr="00601EB3">
        <w:rPr>
          <w:rFonts w:ascii="Times New Roman" w:eastAsia="Times New Roman" w:hAnsi="Times New Roman" w:cs="Times New Roman"/>
          <w:b/>
          <w:bCs/>
          <w:sz w:val="20"/>
          <w:szCs w:val="20"/>
        </w:rPr>
        <w:t xml:space="preserve"> </w:t>
      </w:r>
      <w:r w:rsidR="00C14C44" w:rsidRPr="00601EB3">
        <w:rPr>
          <w:rFonts w:ascii="Times New Roman" w:eastAsia="Times New Roman" w:hAnsi="Times New Roman" w:cs="Times New Roman"/>
          <w:sz w:val="20"/>
          <w:szCs w:val="20"/>
        </w:rPr>
        <w:t>Our findings</w:t>
      </w:r>
      <w:r w:rsidR="000C0433" w:rsidRPr="00601EB3">
        <w:rPr>
          <w:rFonts w:ascii="Times New Roman" w:eastAsia="Times New Roman" w:hAnsi="Times New Roman" w:cs="Times New Roman"/>
          <w:sz w:val="20"/>
          <w:szCs w:val="20"/>
        </w:rPr>
        <w:t xml:space="preserve"> couldn’t identify the association between VEGF-A and COX2 with prognosis of NHL, controversially, a better response to treatment in positive VEGF-</w:t>
      </w:r>
      <w:proofErr w:type="spellStart"/>
      <w:r w:rsidR="000C0433" w:rsidRPr="00601EB3">
        <w:rPr>
          <w:rFonts w:ascii="Times New Roman" w:eastAsia="Times New Roman" w:hAnsi="Times New Roman" w:cs="Times New Roman"/>
          <w:sz w:val="20"/>
          <w:szCs w:val="20"/>
        </w:rPr>
        <w:t>Aexpressors</w:t>
      </w:r>
      <w:proofErr w:type="spellEnd"/>
      <w:r w:rsidR="000C0433" w:rsidRPr="00601EB3">
        <w:rPr>
          <w:rFonts w:ascii="Times New Roman" w:eastAsia="Times New Roman" w:hAnsi="Times New Roman" w:cs="Times New Roman"/>
          <w:sz w:val="20"/>
          <w:szCs w:val="20"/>
        </w:rPr>
        <w:t xml:space="preserve"> than non </w:t>
      </w:r>
      <w:proofErr w:type="spellStart"/>
      <w:r w:rsidR="000C0433" w:rsidRPr="00601EB3">
        <w:rPr>
          <w:rFonts w:ascii="Times New Roman" w:eastAsia="Times New Roman" w:hAnsi="Times New Roman" w:cs="Times New Roman"/>
          <w:sz w:val="20"/>
          <w:szCs w:val="20"/>
        </w:rPr>
        <w:t>expressors</w:t>
      </w:r>
      <w:proofErr w:type="spellEnd"/>
      <w:r w:rsidR="000C0433" w:rsidRPr="00601EB3">
        <w:rPr>
          <w:rFonts w:ascii="Times New Roman" w:eastAsia="Times New Roman" w:hAnsi="Times New Roman" w:cs="Times New Roman"/>
          <w:sz w:val="20"/>
          <w:szCs w:val="20"/>
        </w:rPr>
        <w:t xml:space="preserve"> and in non </w:t>
      </w:r>
      <w:proofErr w:type="spellStart"/>
      <w:r w:rsidR="000C0433" w:rsidRPr="00601EB3">
        <w:rPr>
          <w:rFonts w:ascii="Times New Roman" w:eastAsia="Times New Roman" w:hAnsi="Times New Roman" w:cs="Times New Roman"/>
          <w:sz w:val="20"/>
          <w:szCs w:val="20"/>
        </w:rPr>
        <w:t>coexpressors</w:t>
      </w:r>
      <w:proofErr w:type="spellEnd"/>
      <w:r w:rsidR="000C0433" w:rsidRPr="00601EB3">
        <w:rPr>
          <w:rFonts w:ascii="Times New Roman" w:eastAsia="Times New Roman" w:hAnsi="Times New Roman" w:cs="Times New Roman"/>
          <w:sz w:val="20"/>
          <w:szCs w:val="20"/>
        </w:rPr>
        <w:t xml:space="preserve"> to VEGF-A and COX2.</w:t>
      </w:r>
      <w:r w:rsidR="00116BBE" w:rsidRPr="00601EB3">
        <w:rPr>
          <w:rFonts w:ascii="Times New Roman" w:eastAsia="Times New Roman" w:hAnsi="Times New Roman" w:cs="Times New Roman"/>
          <w:sz w:val="20"/>
          <w:szCs w:val="20"/>
        </w:rPr>
        <w:t xml:space="preserve"> So, f</w:t>
      </w:r>
      <w:r w:rsidR="000C0433" w:rsidRPr="00601EB3">
        <w:rPr>
          <w:rFonts w:ascii="Times New Roman" w:eastAsia="Times New Roman" w:hAnsi="Times New Roman" w:cs="Times New Roman"/>
          <w:sz w:val="20"/>
          <w:szCs w:val="20"/>
        </w:rPr>
        <w:t xml:space="preserve">urther studies with larger number of patients are required to clarify the association between the inflammatory mediator and the </w:t>
      </w:r>
      <w:proofErr w:type="spellStart"/>
      <w:r w:rsidR="000C0433" w:rsidRPr="00601EB3">
        <w:rPr>
          <w:rFonts w:ascii="Times New Roman" w:eastAsia="Times New Roman" w:hAnsi="Times New Roman" w:cs="Times New Roman"/>
          <w:sz w:val="20"/>
          <w:szCs w:val="20"/>
        </w:rPr>
        <w:t>angiogenetic</w:t>
      </w:r>
      <w:proofErr w:type="spellEnd"/>
      <w:r w:rsidR="000C0433" w:rsidRPr="00601EB3">
        <w:rPr>
          <w:rFonts w:ascii="Times New Roman" w:eastAsia="Times New Roman" w:hAnsi="Times New Roman" w:cs="Times New Roman"/>
          <w:sz w:val="20"/>
          <w:szCs w:val="20"/>
        </w:rPr>
        <w:t xml:space="preserve"> factor and to assess their role in the response to treatment for the possibility to use modifying drugs and improve the response in NHL patients</w:t>
      </w:r>
      <w:r w:rsidR="00C14C44" w:rsidRPr="00601EB3">
        <w:rPr>
          <w:rFonts w:ascii="Times New Roman" w:eastAsia="Times New Roman" w:hAnsi="Times New Roman" w:cs="Times New Roman"/>
          <w:sz w:val="20"/>
          <w:szCs w:val="20"/>
        </w:rPr>
        <w:t>.</w:t>
      </w:r>
    </w:p>
    <w:p w:rsidR="000A44BA" w:rsidRPr="00601EB3" w:rsidRDefault="000A44BA" w:rsidP="00D67228">
      <w:pPr>
        <w:pStyle w:val="NoSpacing"/>
        <w:bidi w:val="0"/>
        <w:adjustRightInd w:val="0"/>
        <w:snapToGrid w:val="0"/>
        <w:jc w:val="both"/>
        <w:rPr>
          <w:rFonts w:ascii="Times New Roman" w:hAnsi="Times New Roman" w:cs="Times New Roman"/>
          <w:color w:val="000000"/>
          <w:sz w:val="20"/>
          <w:szCs w:val="20"/>
          <w:shd w:val="clear" w:color="auto" w:fill="FFFFFF"/>
        </w:rPr>
      </w:pPr>
      <w:r w:rsidRPr="00601EB3">
        <w:rPr>
          <w:rFonts w:ascii="Times New Roman" w:eastAsiaTheme="minorEastAsia" w:hAnsi="Times New Roman" w:cs="Times New Roman" w:hint="eastAsia"/>
          <w:sz w:val="20"/>
          <w:szCs w:val="20"/>
          <w:lang w:eastAsia="zh-CN"/>
        </w:rPr>
        <w:t>[</w:t>
      </w:r>
      <w:r w:rsidR="00C12F24" w:rsidRPr="00601EB3">
        <w:rPr>
          <w:rFonts w:ascii="Times New Roman" w:hAnsi="Times New Roman" w:cs="Times New Roman"/>
          <w:sz w:val="20"/>
          <w:szCs w:val="20"/>
        </w:rPr>
        <w:t>Reham</w:t>
      </w:r>
      <w:r w:rsidR="00601EB3" w:rsidRPr="00601EB3">
        <w:rPr>
          <w:rFonts w:ascii="Times New Roman" w:hAnsi="Times New Roman" w:cs="Times New Roman"/>
          <w:sz w:val="20"/>
          <w:szCs w:val="20"/>
        </w:rPr>
        <w:t xml:space="preserve"> </w:t>
      </w:r>
      <w:r w:rsidR="00C12F24" w:rsidRPr="00601EB3">
        <w:rPr>
          <w:rFonts w:ascii="Times New Roman" w:hAnsi="Times New Roman" w:cs="Times New Roman"/>
          <w:sz w:val="20"/>
          <w:szCs w:val="20"/>
        </w:rPr>
        <w:t>Rashed, Naglaa</w:t>
      </w:r>
      <w:r w:rsidR="00601EB3" w:rsidRPr="00601EB3">
        <w:rPr>
          <w:rFonts w:ascii="Times New Roman" w:hAnsi="Times New Roman" w:cs="Times New Roman"/>
          <w:sz w:val="20"/>
          <w:szCs w:val="20"/>
        </w:rPr>
        <w:t xml:space="preserve"> </w:t>
      </w:r>
      <w:r w:rsidR="00C12F24" w:rsidRPr="00601EB3">
        <w:rPr>
          <w:rFonts w:ascii="Times New Roman" w:hAnsi="Times New Roman" w:cs="Times New Roman"/>
          <w:sz w:val="20"/>
          <w:szCs w:val="20"/>
        </w:rPr>
        <w:t>Mostafaa, Reem Nabil, Mohamed Ghareeb, and Dalia Ibraheem</w:t>
      </w:r>
      <w:r w:rsidRPr="00601EB3">
        <w:rPr>
          <w:rFonts w:ascii="Times New Roman" w:eastAsiaTheme="minorEastAsia" w:hAnsi="Times New Roman" w:cs="Times New Roman" w:hint="eastAsia"/>
          <w:sz w:val="20"/>
          <w:szCs w:val="20"/>
          <w:lang w:eastAsia="zh-CN"/>
        </w:rPr>
        <w:t xml:space="preserve">. </w:t>
      </w:r>
      <w:r w:rsidR="00C12F24" w:rsidRPr="00601EB3">
        <w:rPr>
          <w:rFonts w:ascii="Times New Roman" w:hAnsi="Times New Roman" w:cs="Times New Roman"/>
          <w:b/>
          <w:bCs/>
          <w:sz w:val="20"/>
          <w:szCs w:val="20"/>
        </w:rPr>
        <w:t>Prognostic Relevance of VEGF-A and COX-2 in StageIV</w:t>
      </w:r>
      <w:r w:rsidR="00BD3F32">
        <w:rPr>
          <w:rFonts w:ascii="Times New Roman" w:hAnsi="Times New Roman" w:cs="Times New Roman"/>
          <w:b/>
          <w:bCs/>
          <w:sz w:val="20"/>
          <w:szCs w:val="20"/>
        </w:rPr>
        <w:t xml:space="preserve"> </w:t>
      </w:r>
      <w:r w:rsidR="00C12F24" w:rsidRPr="00601EB3">
        <w:rPr>
          <w:rFonts w:ascii="Times New Roman" w:hAnsi="Times New Roman" w:cs="Times New Roman"/>
          <w:b/>
          <w:bCs/>
          <w:sz w:val="20"/>
          <w:szCs w:val="20"/>
        </w:rPr>
        <w:t>Non-Hodgkin’s Lymphoma (NHL) Patients</w:t>
      </w:r>
      <w:r w:rsidRPr="00601EB3">
        <w:rPr>
          <w:rFonts w:ascii="Times New Roman" w:eastAsia="Times New Roman" w:hAnsi="Times New Roman" w:cs="Times New Roman"/>
          <w:b/>
          <w:bCs/>
          <w:sz w:val="20"/>
          <w:szCs w:val="20"/>
          <w:lang w:bidi="fa-IR"/>
        </w:rPr>
        <w:t>.</w:t>
      </w:r>
      <w:r w:rsidRPr="00601EB3">
        <w:rPr>
          <w:rFonts w:ascii="Times New Roman" w:hAnsi="Times New Roman" w:cs="Times New Roman"/>
          <w:i/>
          <w:sz w:val="20"/>
          <w:szCs w:val="20"/>
        </w:rPr>
        <w:t xml:space="preserve"> Cancer Biology</w:t>
      </w:r>
      <w:r w:rsidRPr="00601EB3">
        <w:rPr>
          <w:rFonts w:ascii="Times New Roman" w:hAnsi="Times New Roman" w:cs="Times New Roman"/>
          <w:sz w:val="20"/>
          <w:szCs w:val="20"/>
        </w:rPr>
        <w:t xml:space="preserve"> 201</w:t>
      </w:r>
      <w:r w:rsidRPr="00601EB3">
        <w:rPr>
          <w:rFonts w:ascii="Times New Roman" w:hAnsi="Times New Roman" w:cs="Times New Roman" w:hint="eastAsia"/>
          <w:sz w:val="20"/>
          <w:szCs w:val="20"/>
        </w:rPr>
        <w:t>6</w:t>
      </w:r>
      <w:r w:rsidRPr="00601EB3">
        <w:rPr>
          <w:rFonts w:ascii="Times New Roman" w:hAnsi="Times New Roman" w:cs="Times New Roman"/>
          <w:sz w:val="20"/>
          <w:szCs w:val="20"/>
        </w:rPr>
        <w:t>;</w:t>
      </w:r>
      <w:r w:rsidRPr="00601EB3">
        <w:rPr>
          <w:rFonts w:ascii="Times New Roman" w:hAnsi="Times New Roman" w:cs="Times New Roman" w:hint="eastAsia"/>
          <w:sz w:val="20"/>
          <w:szCs w:val="20"/>
        </w:rPr>
        <w:t>6</w:t>
      </w:r>
      <w:r w:rsidRPr="00601EB3">
        <w:rPr>
          <w:rFonts w:ascii="Times New Roman" w:hAnsi="Times New Roman" w:cs="Times New Roman"/>
          <w:sz w:val="20"/>
          <w:szCs w:val="20"/>
        </w:rPr>
        <w:t>(</w:t>
      </w:r>
      <w:r w:rsidRPr="00601EB3">
        <w:rPr>
          <w:rFonts w:ascii="Times New Roman" w:hAnsi="Times New Roman" w:cs="Times New Roman" w:hint="eastAsia"/>
          <w:sz w:val="20"/>
          <w:szCs w:val="20"/>
        </w:rPr>
        <w:t>3</w:t>
      </w:r>
      <w:r w:rsidRPr="00601EB3">
        <w:rPr>
          <w:rFonts w:ascii="Times New Roman" w:hAnsi="Times New Roman" w:cs="Times New Roman"/>
          <w:sz w:val="20"/>
          <w:szCs w:val="20"/>
        </w:rPr>
        <w:t>):</w:t>
      </w:r>
      <w:r w:rsidR="00A91677" w:rsidRPr="00601EB3">
        <w:rPr>
          <w:rFonts w:ascii="Times New Roman" w:hAnsi="Times New Roman" w:cs="Times New Roman"/>
          <w:color w:val="000000"/>
          <w:sz w:val="20"/>
          <w:szCs w:val="20"/>
        </w:rPr>
        <w:t>1</w:t>
      </w:r>
      <w:r w:rsidRPr="00601EB3">
        <w:rPr>
          <w:rFonts w:ascii="Times New Roman" w:hAnsi="Times New Roman" w:cs="Times New Roman"/>
          <w:color w:val="000000"/>
          <w:sz w:val="20"/>
          <w:szCs w:val="20"/>
        </w:rPr>
        <w:t>-</w:t>
      </w:r>
      <w:r w:rsidR="0012172F">
        <w:rPr>
          <w:rFonts w:ascii="Times New Roman" w:hAnsi="Times New Roman" w:cs="Times New Roman"/>
          <w:color w:val="000000"/>
          <w:sz w:val="20"/>
          <w:szCs w:val="20"/>
        </w:rPr>
        <w:t>10</w:t>
      </w:r>
      <w:r w:rsidRPr="00601EB3">
        <w:rPr>
          <w:rFonts w:ascii="Times New Roman" w:hAnsi="Times New Roman" w:cs="Times New Roman"/>
          <w:sz w:val="20"/>
          <w:szCs w:val="20"/>
        </w:rPr>
        <w:t xml:space="preserve">]. </w:t>
      </w:r>
      <w:r w:rsidRPr="00601EB3">
        <w:rPr>
          <w:rStyle w:val="msonormal0"/>
          <w:rFonts w:ascii="Times New Roman" w:eastAsia="宋" w:hAnsi="Times New Roman" w:cs="Times New Roman"/>
          <w:sz w:val="20"/>
          <w:szCs w:val="20"/>
        </w:rPr>
        <w:t>ISSN: 2150-1041 (print); ISSN: 2150-105X (online)</w:t>
      </w:r>
      <w:r w:rsidRPr="00601EB3">
        <w:rPr>
          <w:rFonts w:ascii="Times New Roman" w:hAnsi="Times New Roman" w:cs="Times New Roman"/>
          <w:sz w:val="20"/>
          <w:szCs w:val="20"/>
        </w:rPr>
        <w:t xml:space="preserve">. </w:t>
      </w:r>
      <w:hyperlink r:id="rId9" w:history="1">
        <w:r w:rsidRPr="00601EB3">
          <w:rPr>
            <w:rStyle w:val="Hyperlink"/>
            <w:rFonts w:ascii="Times New Roman" w:hAnsi="Times New Roman" w:cs="Times New Roman"/>
            <w:sz w:val="20"/>
            <w:szCs w:val="20"/>
          </w:rPr>
          <w:t>http://www.cancerbio.net</w:t>
        </w:r>
      </w:hyperlink>
      <w:r w:rsidRPr="00601EB3">
        <w:rPr>
          <w:rFonts w:ascii="Times New Roman" w:hAnsi="Times New Roman" w:cs="Times New Roman"/>
          <w:sz w:val="20"/>
          <w:szCs w:val="20"/>
        </w:rPr>
        <w:t>.</w:t>
      </w:r>
      <w:r w:rsidRPr="00601EB3">
        <w:rPr>
          <w:rFonts w:ascii="Times New Roman" w:hAnsi="Times New Roman" w:cs="Times New Roman" w:hint="eastAsia"/>
          <w:sz w:val="20"/>
          <w:szCs w:val="20"/>
        </w:rPr>
        <w:t xml:space="preserve"> </w:t>
      </w:r>
      <w:r w:rsidRPr="00601EB3">
        <w:rPr>
          <w:rFonts w:ascii="Times New Roman" w:eastAsiaTheme="minorEastAsia" w:hAnsi="Times New Roman" w:cs="Times New Roman" w:hint="eastAsia"/>
          <w:sz w:val="20"/>
          <w:szCs w:val="20"/>
          <w:lang w:eastAsia="zh-CN"/>
        </w:rPr>
        <w:t>1</w:t>
      </w:r>
      <w:r w:rsidRPr="00601EB3">
        <w:rPr>
          <w:rFonts w:ascii="Times New Roman" w:hAnsi="Times New Roman" w:cs="Times New Roman" w:hint="eastAsia"/>
          <w:sz w:val="20"/>
          <w:szCs w:val="20"/>
        </w:rPr>
        <w:t xml:space="preserve">. </w:t>
      </w:r>
      <w:r w:rsidRPr="00601EB3">
        <w:rPr>
          <w:rFonts w:ascii="Times New Roman" w:hAnsi="Times New Roman" w:cs="Times New Roman"/>
          <w:color w:val="000000"/>
          <w:sz w:val="20"/>
          <w:szCs w:val="20"/>
          <w:shd w:val="clear" w:color="auto" w:fill="FFFFFF"/>
        </w:rPr>
        <w:t>doi:</w:t>
      </w:r>
      <w:hyperlink r:id="rId10" w:history="1">
        <w:r w:rsidRPr="00601EB3">
          <w:rPr>
            <w:rStyle w:val="Hyperlink"/>
            <w:rFonts w:ascii="Times New Roman" w:hAnsi="Times New Roman" w:cs="Times New Roman"/>
            <w:sz w:val="20"/>
            <w:szCs w:val="20"/>
            <w:shd w:val="clear" w:color="auto" w:fill="FFFFFF"/>
          </w:rPr>
          <w:t>10.7537/mars</w:t>
        </w:r>
        <w:r w:rsidRPr="00601EB3">
          <w:rPr>
            <w:rStyle w:val="Hyperlink"/>
            <w:rFonts w:ascii="Times New Roman" w:hAnsi="Times New Roman" w:cs="Times New Roman" w:hint="eastAsia"/>
            <w:sz w:val="20"/>
            <w:szCs w:val="20"/>
            <w:shd w:val="clear" w:color="auto" w:fill="FFFFFF"/>
          </w:rPr>
          <w:t>cbj0603</w:t>
        </w:r>
        <w:r w:rsidRPr="00601EB3">
          <w:rPr>
            <w:rStyle w:val="Hyperlink"/>
            <w:rFonts w:ascii="Times New Roman" w:hAnsi="Times New Roman" w:cs="Times New Roman"/>
            <w:sz w:val="20"/>
            <w:szCs w:val="20"/>
            <w:shd w:val="clear" w:color="auto" w:fill="FFFFFF"/>
          </w:rPr>
          <w:t>1</w:t>
        </w:r>
        <w:r w:rsidRPr="00601EB3">
          <w:rPr>
            <w:rStyle w:val="Hyperlink"/>
            <w:rFonts w:ascii="Times New Roman" w:hAnsi="Times New Roman" w:cs="Times New Roman" w:hint="eastAsia"/>
            <w:sz w:val="20"/>
            <w:szCs w:val="20"/>
            <w:shd w:val="clear" w:color="auto" w:fill="FFFFFF"/>
          </w:rPr>
          <w:t>6</w:t>
        </w:r>
        <w:r w:rsidR="00B735B3">
          <w:rPr>
            <w:rStyle w:val="Hyperlink"/>
            <w:rFonts w:ascii="Times New Roman" w:hAnsi="Times New Roman" w:cs="Times New Roman"/>
            <w:sz w:val="20"/>
            <w:szCs w:val="20"/>
            <w:shd w:val="clear" w:color="auto" w:fill="FFFFFF"/>
          </w:rPr>
          <w:t>.</w:t>
        </w:r>
        <w:r w:rsidRPr="00601EB3">
          <w:rPr>
            <w:rStyle w:val="Hyperlink"/>
            <w:rFonts w:ascii="Times New Roman" w:hAnsi="Times New Roman" w:cs="Times New Roman"/>
            <w:sz w:val="20"/>
            <w:szCs w:val="20"/>
            <w:shd w:val="clear" w:color="auto" w:fill="FFFFFF"/>
          </w:rPr>
          <w:t>0</w:t>
        </w:r>
        <w:r w:rsidRPr="00601EB3">
          <w:rPr>
            <w:rStyle w:val="Hyperlink"/>
            <w:rFonts w:ascii="Times New Roman" w:eastAsiaTheme="minorEastAsia" w:hAnsi="Times New Roman" w:cs="Times New Roman" w:hint="eastAsia"/>
            <w:sz w:val="20"/>
            <w:szCs w:val="20"/>
            <w:shd w:val="clear" w:color="auto" w:fill="FFFFFF"/>
            <w:lang w:eastAsia="zh-CN"/>
          </w:rPr>
          <w:t>1</w:t>
        </w:r>
      </w:hyperlink>
      <w:r w:rsidRPr="00601EB3">
        <w:rPr>
          <w:rFonts w:ascii="Times New Roman" w:hAnsi="Times New Roman" w:cs="Times New Roman"/>
          <w:color w:val="000000"/>
          <w:sz w:val="20"/>
          <w:szCs w:val="20"/>
          <w:shd w:val="clear" w:color="auto" w:fill="FFFFFF"/>
        </w:rPr>
        <w:t>.</w:t>
      </w:r>
    </w:p>
    <w:p w:rsidR="00C12F24" w:rsidRPr="00601EB3" w:rsidRDefault="00C12F24" w:rsidP="00D67228">
      <w:pPr>
        <w:pStyle w:val="NoSpacing"/>
        <w:bidi w:val="0"/>
        <w:adjustRightInd w:val="0"/>
        <w:snapToGrid w:val="0"/>
        <w:jc w:val="both"/>
        <w:rPr>
          <w:rFonts w:ascii="Times New Roman" w:eastAsia="Times New Roman" w:hAnsi="Times New Roman" w:cs="Times New Roman"/>
          <w:b/>
          <w:bCs/>
          <w:sz w:val="20"/>
          <w:szCs w:val="20"/>
        </w:rPr>
      </w:pPr>
    </w:p>
    <w:p w:rsidR="00C46AC3" w:rsidRPr="00601EB3" w:rsidRDefault="00C14C44" w:rsidP="00D67228">
      <w:pPr>
        <w:bidi w:val="0"/>
        <w:adjustRightInd w:val="0"/>
        <w:snapToGrid w:val="0"/>
        <w:spacing w:after="0" w:line="240" w:lineRule="auto"/>
        <w:jc w:val="both"/>
        <w:rPr>
          <w:rFonts w:ascii="Times New Roman" w:hAnsi="Times New Roman" w:cs="Times New Roman"/>
          <w:b/>
          <w:bCs/>
          <w:sz w:val="20"/>
          <w:szCs w:val="20"/>
          <w:lang w:bidi="ar-EG"/>
        </w:rPr>
      </w:pPr>
      <w:r w:rsidRPr="00601EB3">
        <w:rPr>
          <w:rFonts w:ascii="Times New Roman" w:eastAsia="Times New Roman" w:hAnsi="Times New Roman" w:cs="Times New Roman"/>
          <w:b/>
          <w:bCs/>
          <w:sz w:val="20"/>
          <w:szCs w:val="20"/>
          <w:lang w:bidi="ar-EG"/>
        </w:rPr>
        <w:t>Keywords</w:t>
      </w:r>
      <w:r w:rsidR="000C0433" w:rsidRPr="00601EB3">
        <w:rPr>
          <w:rFonts w:ascii="Times New Roman" w:eastAsia="Times New Roman" w:hAnsi="Times New Roman" w:cs="Times New Roman"/>
          <w:b/>
          <w:bCs/>
          <w:sz w:val="20"/>
          <w:szCs w:val="20"/>
          <w:lang w:bidi="ar-EG"/>
        </w:rPr>
        <w:t>:</w:t>
      </w:r>
      <w:r w:rsidR="000C0433" w:rsidRPr="00601EB3">
        <w:rPr>
          <w:rFonts w:ascii="Times New Roman" w:eastAsia="Times New Roman" w:hAnsi="Times New Roman" w:cs="Times New Roman"/>
          <w:sz w:val="20"/>
          <w:szCs w:val="20"/>
          <w:lang w:bidi="ar-EG"/>
        </w:rPr>
        <w:t xml:space="preserve"> VEGF-A, COX-2, NHL, </w:t>
      </w:r>
      <w:r w:rsidRPr="00601EB3">
        <w:rPr>
          <w:rFonts w:ascii="Times New Roman" w:eastAsia="Times New Roman" w:hAnsi="Times New Roman" w:cs="Times New Roman"/>
          <w:sz w:val="20"/>
          <w:szCs w:val="20"/>
          <w:lang w:bidi="ar-EG"/>
        </w:rPr>
        <w:t>Angiogenesis</w:t>
      </w:r>
    </w:p>
    <w:p w:rsidR="00C1126C" w:rsidRPr="00601EB3" w:rsidRDefault="00C1126C" w:rsidP="00D67228">
      <w:pPr>
        <w:bidi w:val="0"/>
        <w:adjustRightInd w:val="0"/>
        <w:snapToGrid w:val="0"/>
        <w:spacing w:after="0" w:line="240" w:lineRule="auto"/>
        <w:jc w:val="both"/>
        <w:rPr>
          <w:rFonts w:ascii="Times New Roman" w:hAnsi="Times New Roman" w:cs="Times New Roman"/>
          <w:b/>
          <w:bCs/>
          <w:sz w:val="20"/>
          <w:szCs w:val="20"/>
          <w:lang w:bidi="ar-EG"/>
        </w:rPr>
      </w:pPr>
    </w:p>
    <w:p w:rsidR="000A44BA" w:rsidRPr="00601EB3" w:rsidRDefault="000A44BA" w:rsidP="00D67228">
      <w:pPr>
        <w:bidi w:val="0"/>
        <w:adjustRightInd w:val="0"/>
        <w:snapToGrid w:val="0"/>
        <w:spacing w:after="0" w:line="240" w:lineRule="auto"/>
        <w:jc w:val="both"/>
        <w:rPr>
          <w:rFonts w:ascii="Times New Roman" w:hAnsi="Times New Roman" w:cs="Times New Roman"/>
          <w:b/>
          <w:bCs/>
          <w:sz w:val="20"/>
          <w:szCs w:val="20"/>
          <w:lang w:bidi="ar-EG"/>
        </w:rPr>
        <w:sectPr w:rsidR="000A44BA" w:rsidRPr="00601EB3" w:rsidSect="00DB5F45">
          <w:headerReference w:type="default" r:id="rId11"/>
          <w:footerReference w:type="default" r:id="rId12"/>
          <w:type w:val="continuous"/>
          <w:pgSz w:w="12242" w:h="15842" w:code="1"/>
          <w:pgMar w:top="1440" w:right="1440" w:bottom="1440" w:left="1440" w:header="720" w:footer="720" w:gutter="0"/>
          <w:cols w:space="709"/>
          <w:bidi/>
          <w:docGrid w:linePitch="360"/>
        </w:sectPr>
      </w:pPr>
    </w:p>
    <w:p w:rsidR="002C6955" w:rsidRPr="00601EB3" w:rsidRDefault="00484A05" w:rsidP="00D67228">
      <w:pPr>
        <w:bidi w:val="0"/>
        <w:adjustRightInd w:val="0"/>
        <w:snapToGrid w:val="0"/>
        <w:spacing w:after="0" w:line="240" w:lineRule="auto"/>
        <w:jc w:val="both"/>
        <w:rPr>
          <w:rFonts w:ascii="Times New Roman" w:hAnsi="Times New Roman" w:cs="Times New Roman"/>
          <w:b/>
          <w:bCs/>
          <w:sz w:val="20"/>
          <w:szCs w:val="20"/>
          <w:lang w:bidi="ar-EG"/>
        </w:rPr>
      </w:pPr>
      <w:r w:rsidRPr="00601EB3">
        <w:rPr>
          <w:rFonts w:ascii="Times New Roman" w:hAnsi="Times New Roman" w:cs="Times New Roman"/>
          <w:b/>
          <w:bCs/>
          <w:sz w:val="20"/>
          <w:szCs w:val="20"/>
          <w:lang w:bidi="ar-EG"/>
        </w:rPr>
        <w:lastRenderedPageBreak/>
        <w:t xml:space="preserve">1. </w:t>
      </w:r>
      <w:r w:rsidR="00C12F24" w:rsidRPr="00601EB3">
        <w:rPr>
          <w:rFonts w:ascii="Times New Roman" w:hAnsi="Times New Roman" w:cs="Times New Roman"/>
          <w:b/>
          <w:bCs/>
          <w:sz w:val="20"/>
          <w:szCs w:val="20"/>
          <w:lang w:bidi="ar-EG"/>
        </w:rPr>
        <w:t>Introduction</w:t>
      </w:r>
    </w:p>
    <w:p w:rsidR="00141295" w:rsidRPr="00601EB3" w:rsidRDefault="00141295" w:rsidP="00D67228">
      <w:pPr>
        <w:bidi w:val="0"/>
        <w:adjustRightInd w:val="0"/>
        <w:snapToGrid w:val="0"/>
        <w:spacing w:after="0" w:line="240" w:lineRule="auto"/>
        <w:ind w:firstLine="425"/>
        <w:jc w:val="both"/>
        <w:rPr>
          <w:rFonts w:ascii="Times New Roman" w:hAnsi="Times New Roman" w:cs="Times New Roman"/>
          <w:sz w:val="20"/>
          <w:szCs w:val="20"/>
        </w:rPr>
      </w:pPr>
      <w:bookmarkStart w:id="0" w:name="_Toc360565442"/>
      <w:r w:rsidRPr="00601EB3">
        <w:rPr>
          <w:rFonts w:ascii="Times New Roman" w:hAnsi="Times New Roman" w:cs="Times New Roman"/>
          <w:sz w:val="20"/>
          <w:szCs w:val="20"/>
        </w:rPr>
        <w:t>Lymphoma is a solid tumor of lymphocyte. Its incidence varies according to age, geographical location and exp</w:t>
      </w:r>
      <w:r w:rsidR="001E4B7D" w:rsidRPr="00601EB3">
        <w:rPr>
          <w:rFonts w:ascii="Times New Roman" w:hAnsi="Times New Roman" w:cs="Times New Roman"/>
          <w:sz w:val="20"/>
          <w:szCs w:val="20"/>
        </w:rPr>
        <w:t xml:space="preserve">osure to various viral factors </w:t>
      </w:r>
      <w:r w:rsidR="00395FCD" w:rsidRPr="00601EB3">
        <w:rPr>
          <w:rFonts w:ascii="Times New Roman" w:hAnsi="Times New Roman" w:cs="Times New Roman"/>
          <w:sz w:val="20"/>
          <w:szCs w:val="20"/>
        </w:rPr>
        <w:t>[1]</w:t>
      </w:r>
      <w:r w:rsidR="000912AF" w:rsidRPr="00601EB3">
        <w:rPr>
          <w:rFonts w:ascii="Times New Roman" w:hAnsi="Times New Roman" w:cs="Times New Roman"/>
          <w:b/>
          <w:sz w:val="20"/>
          <w:szCs w:val="20"/>
        </w:rPr>
        <w:t>.</w:t>
      </w:r>
      <w:r w:rsidRPr="00601EB3">
        <w:rPr>
          <w:rFonts w:ascii="Times New Roman" w:hAnsi="Times New Roman" w:cs="Times New Roman"/>
          <w:sz w:val="20"/>
          <w:szCs w:val="20"/>
        </w:rPr>
        <w:t>NHL comprises 85% of all lymphomas &amp; accounts for 3-4% of all cancers around the world. Its incidence and has shown to be on the rise. This increase is related to the increase in HIV incidence as well as the prevalent use of immune-suppressive drugs</w:t>
      </w:r>
      <w:r w:rsidR="000912AF" w:rsidRPr="00601EB3">
        <w:rPr>
          <w:rFonts w:ascii="Times New Roman" w:hAnsi="Times New Roman" w:cs="Times New Roman"/>
          <w:sz w:val="20"/>
          <w:szCs w:val="20"/>
        </w:rPr>
        <w:t xml:space="preserve"> [2].</w:t>
      </w:r>
      <w:r w:rsidRPr="00601EB3">
        <w:rPr>
          <w:rFonts w:ascii="Times New Roman" w:hAnsi="Times New Roman" w:cs="Times New Roman"/>
          <w:sz w:val="20"/>
          <w:szCs w:val="20"/>
        </w:rPr>
        <w:t xml:space="preserve"> Angiogenesis is required for tumor growth and metastasis and is an important component in the control of cancer progression</w:t>
      </w:r>
      <w:r w:rsidR="001E4B7D" w:rsidRPr="00601EB3">
        <w:rPr>
          <w:rFonts w:ascii="Times New Roman" w:hAnsi="Times New Roman" w:cs="Times New Roman"/>
          <w:sz w:val="20"/>
          <w:szCs w:val="20"/>
        </w:rPr>
        <w:t>.</w:t>
      </w:r>
      <w:r w:rsidR="00601EB3" w:rsidRPr="00601EB3">
        <w:rPr>
          <w:rFonts w:ascii="Times New Roman" w:hAnsi="Times New Roman" w:cs="Times New Roman"/>
          <w:sz w:val="20"/>
          <w:szCs w:val="20"/>
        </w:rPr>
        <w:t xml:space="preserve"> </w:t>
      </w:r>
      <w:r w:rsidR="001E4B7D" w:rsidRPr="00601EB3">
        <w:rPr>
          <w:rFonts w:ascii="Times New Roman" w:hAnsi="Times New Roman" w:cs="Times New Roman"/>
          <w:sz w:val="20"/>
          <w:szCs w:val="20"/>
        </w:rPr>
        <w:t>Angiogenesis-associated parameters are important for prognosis in NHL</w:t>
      </w:r>
      <w:r w:rsidR="0075057D" w:rsidRPr="00601EB3">
        <w:rPr>
          <w:rFonts w:ascii="Times New Roman" w:hAnsi="Times New Roman" w:cs="Times New Roman"/>
          <w:sz w:val="20"/>
          <w:szCs w:val="20"/>
        </w:rPr>
        <w:t xml:space="preserve"> [3].</w:t>
      </w:r>
      <w:r w:rsidRPr="00601EB3">
        <w:rPr>
          <w:rFonts w:ascii="Times New Roman" w:hAnsi="Times New Roman" w:cs="Times New Roman"/>
          <w:sz w:val="20"/>
          <w:szCs w:val="20"/>
        </w:rPr>
        <w:t xml:space="preserve">VEGF is the major </w:t>
      </w:r>
      <w:proofErr w:type="spellStart"/>
      <w:r w:rsidRPr="00601EB3">
        <w:rPr>
          <w:rFonts w:ascii="Times New Roman" w:hAnsi="Times New Roman" w:cs="Times New Roman"/>
          <w:sz w:val="20"/>
          <w:szCs w:val="20"/>
        </w:rPr>
        <w:t>angiogenic</w:t>
      </w:r>
      <w:proofErr w:type="spellEnd"/>
      <w:r w:rsidRPr="00601EB3">
        <w:rPr>
          <w:rFonts w:ascii="Times New Roman" w:hAnsi="Times New Roman" w:cs="Times New Roman"/>
          <w:sz w:val="20"/>
          <w:szCs w:val="20"/>
        </w:rPr>
        <w:t xml:space="preserve"> factor and together with its receptors regulates different aspects of vascular angiogenesis and </w:t>
      </w:r>
      <w:proofErr w:type="spellStart"/>
      <w:r w:rsidRPr="00601EB3">
        <w:rPr>
          <w:rFonts w:ascii="Times New Roman" w:hAnsi="Times New Roman" w:cs="Times New Roman"/>
          <w:sz w:val="20"/>
          <w:szCs w:val="20"/>
        </w:rPr>
        <w:t>lymphangiogenesis</w:t>
      </w:r>
      <w:proofErr w:type="spellEnd"/>
      <w:r w:rsidRPr="00601EB3">
        <w:rPr>
          <w:rFonts w:ascii="Times New Roman" w:hAnsi="Times New Roman" w:cs="Times New Roman"/>
          <w:sz w:val="20"/>
          <w:szCs w:val="20"/>
        </w:rPr>
        <w:t>.</w:t>
      </w:r>
      <w:r w:rsidR="00601EB3" w:rsidRPr="00601EB3">
        <w:rPr>
          <w:rFonts w:ascii="Times New Roman" w:hAnsi="Times New Roman" w:cs="Times New Roman"/>
          <w:sz w:val="20"/>
          <w:szCs w:val="20"/>
        </w:rPr>
        <w:t xml:space="preserve"> </w:t>
      </w:r>
      <w:r w:rsidR="00CD6DDA" w:rsidRPr="00601EB3">
        <w:rPr>
          <w:rFonts w:ascii="Times New Roman" w:hAnsi="Times New Roman" w:cs="Times New Roman"/>
          <w:sz w:val="20"/>
          <w:szCs w:val="20"/>
        </w:rPr>
        <w:t xml:space="preserve">Tumor cells produce VEGF-A </w:t>
      </w:r>
      <w:r w:rsidR="002C1066" w:rsidRPr="00601EB3">
        <w:rPr>
          <w:rFonts w:ascii="Times New Roman" w:hAnsi="Times New Roman" w:cs="Times New Roman"/>
          <w:sz w:val="20"/>
          <w:szCs w:val="20"/>
        </w:rPr>
        <w:t>with</w:t>
      </w:r>
      <w:r w:rsidRPr="00601EB3">
        <w:rPr>
          <w:rFonts w:ascii="Times New Roman" w:hAnsi="Times New Roman" w:cs="Times New Roman"/>
          <w:sz w:val="20"/>
          <w:szCs w:val="20"/>
        </w:rPr>
        <w:t xml:space="preserve"> other </w:t>
      </w:r>
      <w:proofErr w:type="spellStart"/>
      <w:r w:rsidRPr="00601EB3">
        <w:rPr>
          <w:rFonts w:ascii="Times New Roman" w:hAnsi="Times New Roman" w:cs="Times New Roman"/>
          <w:sz w:val="20"/>
          <w:szCs w:val="20"/>
        </w:rPr>
        <w:t>angiogenic</w:t>
      </w:r>
      <w:proofErr w:type="spellEnd"/>
      <w:r w:rsidRPr="00601EB3">
        <w:rPr>
          <w:rFonts w:ascii="Times New Roman" w:hAnsi="Times New Roman" w:cs="Times New Roman"/>
          <w:sz w:val="20"/>
          <w:szCs w:val="20"/>
        </w:rPr>
        <w:t xml:space="preserve"> factors. VEGF-A also supports the survival, proliferation and migration of </w:t>
      </w:r>
      <w:r w:rsidRPr="00601EB3">
        <w:rPr>
          <w:rFonts w:ascii="Times New Roman" w:hAnsi="Times New Roman" w:cs="Times New Roman"/>
          <w:sz w:val="20"/>
          <w:szCs w:val="20"/>
        </w:rPr>
        <w:lastRenderedPageBreak/>
        <w:t xml:space="preserve">lymphoma cells that express VEGFR-1 and VEGFR-2 in an </w:t>
      </w:r>
      <w:proofErr w:type="spellStart"/>
      <w:r w:rsidRPr="00601EB3">
        <w:rPr>
          <w:rFonts w:ascii="Times New Roman" w:hAnsi="Times New Roman" w:cs="Times New Roman"/>
          <w:sz w:val="20"/>
          <w:szCs w:val="20"/>
        </w:rPr>
        <w:t>autocrine</w:t>
      </w:r>
      <w:proofErr w:type="spellEnd"/>
      <w:r w:rsidRPr="00601EB3">
        <w:rPr>
          <w:rFonts w:ascii="Times New Roman" w:hAnsi="Times New Roman" w:cs="Times New Roman"/>
          <w:sz w:val="20"/>
          <w:szCs w:val="20"/>
        </w:rPr>
        <w:t xml:space="preserve"> fashion. The tumor </w:t>
      </w:r>
      <w:proofErr w:type="spellStart"/>
      <w:r w:rsidRPr="00601EB3">
        <w:rPr>
          <w:rFonts w:ascii="Times New Roman" w:hAnsi="Times New Roman" w:cs="Times New Roman"/>
          <w:sz w:val="20"/>
          <w:szCs w:val="20"/>
        </w:rPr>
        <w:t>stroma</w:t>
      </w:r>
      <w:proofErr w:type="spellEnd"/>
      <w:r w:rsidRPr="00601EB3">
        <w:rPr>
          <w:rFonts w:ascii="Times New Roman" w:hAnsi="Times New Roman" w:cs="Times New Roman"/>
          <w:sz w:val="20"/>
          <w:szCs w:val="20"/>
        </w:rPr>
        <w:t xml:space="preserve"> made of fibroblasts, inflammatory and immune cells provides additional </w:t>
      </w:r>
      <w:proofErr w:type="spellStart"/>
      <w:r w:rsidRPr="00601EB3">
        <w:rPr>
          <w:rFonts w:ascii="Times New Roman" w:hAnsi="Times New Roman" w:cs="Times New Roman"/>
          <w:sz w:val="20"/>
          <w:szCs w:val="20"/>
        </w:rPr>
        <w:t>angiogenic</w:t>
      </w:r>
      <w:proofErr w:type="spellEnd"/>
      <w:r w:rsidRPr="00601EB3">
        <w:rPr>
          <w:rFonts w:ascii="Times New Roman" w:hAnsi="Times New Roman" w:cs="Times New Roman"/>
          <w:sz w:val="20"/>
          <w:szCs w:val="20"/>
        </w:rPr>
        <w:t xml:space="preserve"> factors </w:t>
      </w:r>
      <w:r w:rsidR="00F345F7" w:rsidRPr="00601EB3">
        <w:rPr>
          <w:rFonts w:ascii="Times New Roman" w:hAnsi="Times New Roman" w:cs="Times New Roman"/>
          <w:sz w:val="20"/>
          <w:szCs w:val="20"/>
        </w:rPr>
        <w:t>[4</w:t>
      </w:r>
      <w:r w:rsidR="00886B63" w:rsidRPr="00601EB3">
        <w:rPr>
          <w:rFonts w:ascii="Times New Roman" w:hAnsi="Times New Roman" w:cs="Times New Roman"/>
          <w:sz w:val="20"/>
          <w:szCs w:val="20"/>
        </w:rPr>
        <w:t>].</w:t>
      </w:r>
      <w:r w:rsidRPr="00601EB3">
        <w:rPr>
          <w:rFonts w:ascii="Times New Roman" w:hAnsi="Times New Roman" w:cs="Times New Roman"/>
          <w:sz w:val="20"/>
          <w:szCs w:val="20"/>
        </w:rPr>
        <w:t xml:space="preserve">Inflammation is one of the important factors in the cancer phenomenon. COX-2 plays an important role in the tumor growth and malignant cell proliferation which is followed by an increase in angiogenesis, invasion and metastasis. COX-2 mRNA is not seen in the tissues normally, but it can increase following response to inflammation or </w:t>
      </w:r>
      <w:proofErr w:type="spellStart"/>
      <w:r w:rsidRPr="00601EB3">
        <w:rPr>
          <w:rFonts w:ascii="Times New Roman" w:hAnsi="Times New Roman" w:cs="Times New Roman"/>
          <w:sz w:val="20"/>
          <w:szCs w:val="20"/>
        </w:rPr>
        <w:t>mitogenic</w:t>
      </w:r>
      <w:proofErr w:type="spellEnd"/>
      <w:r w:rsidRPr="00601EB3">
        <w:rPr>
          <w:rFonts w:ascii="Times New Roman" w:hAnsi="Times New Roman" w:cs="Times New Roman"/>
          <w:sz w:val="20"/>
          <w:szCs w:val="20"/>
        </w:rPr>
        <w:t xml:space="preserve"> stimuli such as growth factor cytokines, </w:t>
      </w:r>
      <w:proofErr w:type="spellStart"/>
      <w:r w:rsidRPr="00601EB3">
        <w:rPr>
          <w:rFonts w:ascii="Times New Roman" w:hAnsi="Times New Roman" w:cs="Times New Roman"/>
          <w:sz w:val="20"/>
          <w:szCs w:val="20"/>
        </w:rPr>
        <w:t>oncogenes</w:t>
      </w:r>
      <w:proofErr w:type="spellEnd"/>
      <w:r w:rsidRPr="00601EB3">
        <w:rPr>
          <w:rFonts w:ascii="Times New Roman" w:hAnsi="Times New Roman" w:cs="Times New Roman"/>
          <w:sz w:val="20"/>
          <w:szCs w:val="20"/>
        </w:rPr>
        <w:t xml:space="preserve"> and several chemical factors. Stimulation for activating COX-2 gene may have an import</w:t>
      </w:r>
      <w:r w:rsidR="00CD6DDA" w:rsidRPr="00601EB3">
        <w:rPr>
          <w:rFonts w:ascii="Times New Roman" w:hAnsi="Times New Roman" w:cs="Times New Roman"/>
          <w:sz w:val="20"/>
          <w:szCs w:val="20"/>
        </w:rPr>
        <w:t>ant</w:t>
      </w:r>
      <w:r w:rsidRPr="00601EB3">
        <w:rPr>
          <w:rFonts w:ascii="Times New Roman" w:hAnsi="Times New Roman" w:cs="Times New Roman"/>
          <w:sz w:val="20"/>
          <w:szCs w:val="20"/>
        </w:rPr>
        <w:t xml:space="preserve"> role in the emergence of cancer.</w:t>
      </w:r>
      <w:r w:rsidR="00601EB3" w:rsidRPr="00601EB3">
        <w:rPr>
          <w:rFonts w:ascii="Times New Roman" w:hAnsi="Times New Roman" w:cs="Times New Roman"/>
          <w:sz w:val="20"/>
          <w:szCs w:val="20"/>
        </w:rPr>
        <w:t xml:space="preserve"> </w:t>
      </w:r>
      <w:r w:rsidRPr="00601EB3">
        <w:rPr>
          <w:rFonts w:ascii="Times New Roman" w:hAnsi="Times New Roman" w:cs="Times New Roman"/>
          <w:sz w:val="20"/>
          <w:szCs w:val="20"/>
        </w:rPr>
        <w:t xml:space="preserve">The increase in COX-2 expression can be seen </w:t>
      </w:r>
      <w:r w:rsidR="00CD6DDA" w:rsidRPr="00601EB3">
        <w:rPr>
          <w:rFonts w:ascii="Times New Roman" w:hAnsi="Times New Roman" w:cs="Times New Roman"/>
          <w:sz w:val="20"/>
          <w:szCs w:val="20"/>
        </w:rPr>
        <w:t>in different cancers as</w:t>
      </w:r>
      <w:r w:rsidRPr="00601EB3">
        <w:rPr>
          <w:rFonts w:ascii="Times New Roman" w:hAnsi="Times New Roman" w:cs="Times New Roman"/>
          <w:sz w:val="20"/>
          <w:szCs w:val="20"/>
        </w:rPr>
        <w:t xml:space="preserve"> pancreas, stomach, prostate, lung, colorectal, he</w:t>
      </w:r>
      <w:r w:rsidR="00D945EE" w:rsidRPr="00601EB3">
        <w:rPr>
          <w:rFonts w:ascii="Times New Roman" w:hAnsi="Times New Roman" w:cs="Times New Roman"/>
          <w:sz w:val="20"/>
          <w:szCs w:val="20"/>
        </w:rPr>
        <w:t>ad and neck, breast and bladder.</w:t>
      </w:r>
      <w:r w:rsidR="00601EB3" w:rsidRPr="00601EB3">
        <w:rPr>
          <w:rFonts w:ascii="Times New Roman" w:hAnsi="Times New Roman" w:cs="Times New Roman"/>
          <w:sz w:val="20"/>
          <w:szCs w:val="20"/>
        </w:rPr>
        <w:t xml:space="preserve"> </w:t>
      </w:r>
      <w:r w:rsidRPr="00601EB3">
        <w:rPr>
          <w:rFonts w:ascii="Times New Roman" w:hAnsi="Times New Roman" w:cs="Times New Roman"/>
          <w:sz w:val="20"/>
          <w:szCs w:val="20"/>
        </w:rPr>
        <w:t xml:space="preserve">Specific inhibition of COX-2 </w:t>
      </w:r>
      <w:r w:rsidRPr="00601EB3">
        <w:rPr>
          <w:rFonts w:ascii="Times New Roman" w:hAnsi="Times New Roman" w:cs="Times New Roman"/>
          <w:sz w:val="20"/>
          <w:szCs w:val="20"/>
        </w:rPr>
        <w:lastRenderedPageBreak/>
        <w:t>can also be useful in some cancers by apoptosis stimulation</w:t>
      </w:r>
      <w:r w:rsidR="005E33AC" w:rsidRPr="00601EB3">
        <w:rPr>
          <w:rFonts w:ascii="Times New Roman" w:hAnsi="Times New Roman" w:cs="Times New Roman"/>
          <w:sz w:val="20"/>
          <w:szCs w:val="20"/>
        </w:rPr>
        <w:t xml:space="preserve"> [5].</w:t>
      </w:r>
    </w:p>
    <w:p w:rsidR="00141295" w:rsidRPr="00601EB3" w:rsidRDefault="00141295"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 xml:space="preserve">Generally it has been found that lymphomas showing higher </w:t>
      </w:r>
      <w:proofErr w:type="spellStart"/>
      <w:r w:rsidRPr="00601EB3">
        <w:rPr>
          <w:rFonts w:ascii="Times New Roman" w:hAnsi="Times New Roman" w:cs="Times New Roman"/>
          <w:sz w:val="20"/>
          <w:szCs w:val="20"/>
        </w:rPr>
        <w:t>angiogenic</w:t>
      </w:r>
      <w:proofErr w:type="spellEnd"/>
      <w:r w:rsidRPr="00601EB3">
        <w:rPr>
          <w:rFonts w:ascii="Times New Roman" w:hAnsi="Times New Roman" w:cs="Times New Roman"/>
          <w:sz w:val="20"/>
          <w:szCs w:val="20"/>
        </w:rPr>
        <w:t xml:space="preserve"> potential are related with shorte</w:t>
      </w:r>
      <w:r w:rsidR="008E3391" w:rsidRPr="00601EB3">
        <w:rPr>
          <w:rFonts w:ascii="Times New Roman" w:hAnsi="Times New Roman" w:cs="Times New Roman"/>
          <w:sz w:val="20"/>
          <w:szCs w:val="20"/>
        </w:rPr>
        <w:t>r</w:t>
      </w:r>
      <w:r w:rsidRPr="00601EB3">
        <w:rPr>
          <w:rFonts w:ascii="Times New Roman" w:hAnsi="Times New Roman" w:cs="Times New Roman"/>
          <w:sz w:val="20"/>
          <w:szCs w:val="20"/>
        </w:rPr>
        <w:t xml:space="preserve"> disease free survival (DFS) and/or OS and poor prognostic indicators including aggressive histology and/or transformed morphology. Additionally, correlations between VEGF-A and Cox-2 were detected. These correlations show and </w:t>
      </w:r>
      <w:proofErr w:type="spellStart"/>
      <w:r w:rsidRPr="00601EB3">
        <w:rPr>
          <w:rFonts w:ascii="Times New Roman" w:hAnsi="Times New Roman" w:cs="Times New Roman"/>
          <w:sz w:val="20"/>
          <w:szCs w:val="20"/>
        </w:rPr>
        <w:t>conﬁrm</w:t>
      </w:r>
      <w:proofErr w:type="spellEnd"/>
      <w:r w:rsidRPr="00601EB3">
        <w:rPr>
          <w:rFonts w:ascii="Times New Roman" w:hAnsi="Times New Roman" w:cs="Times New Roman"/>
          <w:sz w:val="20"/>
          <w:szCs w:val="20"/>
        </w:rPr>
        <w:t xml:space="preserve"> the strong prognostic value of VEGF-A and complex interaction with anti-apoptotic signals and also </w:t>
      </w:r>
      <w:proofErr w:type="spellStart"/>
      <w:r w:rsidRPr="00601EB3">
        <w:rPr>
          <w:rFonts w:ascii="Times New Roman" w:hAnsi="Times New Roman" w:cs="Times New Roman"/>
          <w:sz w:val="20"/>
          <w:szCs w:val="20"/>
        </w:rPr>
        <w:t>inﬂammatory</w:t>
      </w:r>
      <w:proofErr w:type="spellEnd"/>
      <w:r w:rsidRPr="00601EB3">
        <w:rPr>
          <w:rFonts w:ascii="Times New Roman" w:hAnsi="Times New Roman" w:cs="Times New Roman"/>
          <w:sz w:val="20"/>
          <w:szCs w:val="20"/>
        </w:rPr>
        <w:t xml:space="preserve"> signals</w:t>
      </w:r>
      <w:r w:rsidR="00CB52CB" w:rsidRPr="00601EB3">
        <w:rPr>
          <w:rFonts w:ascii="Times New Roman" w:hAnsi="Times New Roman" w:cs="Times New Roman"/>
          <w:sz w:val="20"/>
          <w:szCs w:val="20"/>
        </w:rPr>
        <w:t xml:space="preserve"> [6].</w:t>
      </w:r>
      <w:r w:rsidRPr="00601EB3">
        <w:rPr>
          <w:rFonts w:ascii="Times New Roman" w:hAnsi="Times New Roman" w:cs="Times New Roman"/>
          <w:sz w:val="20"/>
          <w:szCs w:val="20"/>
        </w:rPr>
        <w:t xml:space="preserve">Taking into account the </w:t>
      </w:r>
      <w:r w:rsidR="008E3391" w:rsidRPr="00601EB3">
        <w:rPr>
          <w:rFonts w:ascii="Times New Roman" w:hAnsi="Times New Roman" w:cs="Times New Roman"/>
          <w:sz w:val="20"/>
          <w:szCs w:val="20"/>
        </w:rPr>
        <w:t>possible</w:t>
      </w:r>
      <w:r w:rsidRPr="00601EB3">
        <w:rPr>
          <w:rFonts w:ascii="Times New Roman" w:hAnsi="Times New Roman" w:cs="Times New Roman"/>
          <w:sz w:val="20"/>
          <w:szCs w:val="20"/>
        </w:rPr>
        <w:t xml:space="preserve"> association </w:t>
      </w:r>
      <w:r w:rsidR="00DF4205" w:rsidRPr="00601EB3">
        <w:rPr>
          <w:rFonts w:ascii="Times New Roman" w:hAnsi="Times New Roman" w:cs="Times New Roman"/>
          <w:sz w:val="20"/>
          <w:szCs w:val="20"/>
        </w:rPr>
        <w:t>b</w:t>
      </w:r>
      <w:r w:rsidRPr="00601EB3">
        <w:rPr>
          <w:rFonts w:ascii="Times New Roman" w:hAnsi="Times New Roman" w:cs="Times New Roman"/>
          <w:sz w:val="20"/>
          <w:szCs w:val="20"/>
        </w:rPr>
        <w:t xml:space="preserve">etween the angiogenesis and inflammatory signals, we aimed in the current study to </w:t>
      </w:r>
      <w:r w:rsidR="00DF4205" w:rsidRPr="00601EB3">
        <w:rPr>
          <w:rFonts w:ascii="Times New Roman" w:hAnsi="Times New Roman" w:cs="Times New Roman"/>
          <w:sz w:val="20"/>
          <w:szCs w:val="20"/>
        </w:rPr>
        <w:t>assess</w:t>
      </w:r>
      <w:r w:rsidRPr="00601EB3">
        <w:rPr>
          <w:rFonts w:ascii="Times New Roman" w:hAnsi="Times New Roman" w:cs="Times New Roman"/>
          <w:sz w:val="20"/>
          <w:szCs w:val="20"/>
        </w:rPr>
        <w:t xml:space="preserve"> the expression of COX2 and VEGF-A in disseminated bone marrow (stage IV) NHL patients and to clarify their association with the clinical parameters and the response to treatment of patients, to rule out their possible rol</w:t>
      </w:r>
      <w:r w:rsidR="008E3391" w:rsidRPr="00601EB3">
        <w:rPr>
          <w:rFonts w:ascii="Times New Roman" w:hAnsi="Times New Roman" w:cs="Times New Roman"/>
          <w:sz w:val="20"/>
          <w:szCs w:val="20"/>
        </w:rPr>
        <w:t>e as prognostic markers for NHL</w:t>
      </w:r>
      <w:r w:rsidRPr="00601EB3">
        <w:rPr>
          <w:rFonts w:ascii="Times New Roman" w:hAnsi="Times New Roman" w:cs="Times New Roman"/>
          <w:sz w:val="20"/>
          <w:szCs w:val="20"/>
        </w:rPr>
        <w:t>.</w:t>
      </w:r>
    </w:p>
    <w:p w:rsidR="00C14C44" w:rsidRPr="00601EB3" w:rsidRDefault="00C14C44" w:rsidP="00D67228">
      <w:pPr>
        <w:bidi w:val="0"/>
        <w:adjustRightInd w:val="0"/>
        <w:snapToGrid w:val="0"/>
        <w:spacing w:after="0" w:line="240" w:lineRule="auto"/>
        <w:jc w:val="both"/>
        <w:rPr>
          <w:rFonts w:ascii="Times New Roman" w:hAnsi="Times New Roman" w:cs="Times New Roman"/>
          <w:sz w:val="20"/>
          <w:szCs w:val="20"/>
        </w:rPr>
      </w:pPr>
    </w:p>
    <w:p w:rsidR="006945A3" w:rsidRPr="00601EB3" w:rsidRDefault="00C12F24" w:rsidP="00D67228">
      <w:pPr>
        <w:pStyle w:val="Heading1"/>
        <w:keepNext w:val="0"/>
        <w:keepLines w:val="0"/>
        <w:adjustRightInd w:val="0"/>
        <w:snapToGrid w:val="0"/>
        <w:spacing w:before="0" w:line="240" w:lineRule="auto"/>
        <w:jc w:val="both"/>
        <w:rPr>
          <w:rFonts w:ascii="Times New Roman" w:hAnsi="Times New Roman" w:cs="Times New Roman"/>
          <w:color w:val="auto"/>
          <w:sz w:val="20"/>
          <w:szCs w:val="20"/>
        </w:rPr>
      </w:pPr>
      <w:r w:rsidRPr="00601EB3">
        <w:rPr>
          <w:rFonts w:ascii="Times New Roman" w:hAnsi="Times New Roman" w:cs="Times New Roman"/>
          <w:color w:val="auto"/>
          <w:sz w:val="20"/>
          <w:szCs w:val="20"/>
        </w:rPr>
        <w:t>2. Materials and Method</w:t>
      </w:r>
      <w:bookmarkEnd w:id="0"/>
    </w:p>
    <w:p w:rsidR="00484A05" w:rsidRPr="00601EB3" w:rsidRDefault="00484A05" w:rsidP="00D67228">
      <w:pPr>
        <w:bidi w:val="0"/>
        <w:adjustRightInd w:val="0"/>
        <w:snapToGrid w:val="0"/>
        <w:spacing w:after="0" w:line="240" w:lineRule="auto"/>
        <w:jc w:val="both"/>
        <w:rPr>
          <w:rFonts w:ascii="Times New Roman" w:hAnsi="Times New Roman" w:cs="Times New Roman"/>
          <w:b/>
          <w:bCs/>
          <w:sz w:val="20"/>
          <w:szCs w:val="20"/>
        </w:rPr>
      </w:pPr>
      <w:r w:rsidRPr="00601EB3">
        <w:rPr>
          <w:rFonts w:ascii="Times New Roman" w:hAnsi="Times New Roman" w:cs="Times New Roman"/>
          <w:b/>
          <w:bCs/>
          <w:sz w:val="20"/>
          <w:szCs w:val="20"/>
        </w:rPr>
        <w:t>2.1. Study setting</w:t>
      </w:r>
    </w:p>
    <w:p w:rsidR="00484A05" w:rsidRPr="00601EB3" w:rsidRDefault="00B358E2"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The study comprised 40 patients diagnosed as</w:t>
      </w:r>
      <w:r w:rsidR="00F629C3" w:rsidRPr="00601EB3">
        <w:rPr>
          <w:rFonts w:ascii="Times New Roman" w:hAnsi="Times New Roman" w:cs="Times New Roman"/>
          <w:sz w:val="20"/>
          <w:szCs w:val="20"/>
        </w:rPr>
        <w:t xml:space="preserve"> stage IV</w:t>
      </w:r>
      <w:r w:rsidR="006E3B70" w:rsidRPr="00601EB3">
        <w:rPr>
          <w:rFonts w:ascii="Times New Roman" w:hAnsi="Times New Roman" w:cs="Times New Roman"/>
          <w:sz w:val="20"/>
          <w:szCs w:val="20"/>
        </w:rPr>
        <w:t>NHL</w:t>
      </w:r>
      <w:r w:rsidR="00D955DA" w:rsidRPr="00601EB3">
        <w:rPr>
          <w:rFonts w:ascii="Times New Roman" w:hAnsi="Times New Roman" w:cs="Times New Roman"/>
          <w:sz w:val="20"/>
          <w:szCs w:val="20"/>
        </w:rPr>
        <w:t>,</w:t>
      </w:r>
      <w:r w:rsidR="006E3B70" w:rsidRPr="00601EB3">
        <w:rPr>
          <w:rFonts w:ascii="Times New Roman" w:hAnsi="Times New Roman" w:cs="Times New Roman"/>
          <w:sz w:val="20"/>
          <w:szCs w:val="20"/>
        </w:rPr>
        <w:t xml:space="preserve"> they were 24(60%) males and 16(40%) females with median age of 57 years.</w:t>
      </w:r>
      <w:r w:rsidR="00601EB3">
        <w:rPr>
          <w:rFonts w:ascii="Times New Roman" w:hAnsi="Times New Roman" w:cs="Times New Roman"/>
          <w:sz w:val="20"/>
          <w:szCs w:val="20"/>
        </w:rPr>
        <w:t xml:space="preserve"> </w:t>
      </w:r>
      <w:r w:rsidRPr="00601EB3">
        <w:rPr>
          <w:rFonts w:ascii="Times New Roman" w:hAnsi="Times New Roman" w:cs="Times New Roman"/>
          <w:sz w:val="20"/>
          <w:szCs w:val="20"/>
        </w:rPr>
        <w:t>The patients were recruited from the Medical Oncology Department, National Can</w:t>
      </w:r>
      <w:r w:rsidR="003D15FE" w:rsidRPr="00601EB3">
        <w:rPr>
          <w:rFonts w:ascii="Times New Roman" w:hAnsi="Times New Roman" w:cs="Times New Roman"/>
          <w:sz w:val="20"/>
          <w:szCs w:val="20"/>
        </w:rPr>
        <w:t>cer Institute, Cairo University over a period of 2 years.</w:t>
      </w:r>
    </w:p>
    <w:p w:rsidR="00484A05" w:rsidRPr="00601EB3" w:rsidRDefault="00484A05" w:rsidP="00D67228">
      <w:pPr>
        <w:bidi w:val="0"/>
        <w:adjustRightInd w:val="0"/>
        <w:snapToGrid w:val="0"/>
        <w:spacing w:after="0" w:line="240" w:lineRule="auto"/>
        <w:jc w:val="both"/>
        <w:rPr>
          <w:rFonts w:ascii="Times New Roman" w:hAnsi="Times New Roman" w:cs="Times New Roman"/>
          <w:b/>
          <w:bCs/>
          <w:sz w:val="20"/>
          <w:szCs w:val="20"/>
        </w:rPr>
      </w:pPr>
      <w:r w:rsidRPr="00601EB3">
        <w:rPr>
          <w:rFonts w:ascii="Times New Roman" w:hAnsi="Times New Roman" w:cs="Times New Roman"/>
          <w:b/>
          <w:bCs/>
          <w:sz w:val="20"/>
          <w:szCs w:val="20"/>
        </w:rPr>
        <w:t>2.1. Research ethics</w:t>
      </w:r>
    </w:p>
    <w:p w:rsidR="00216202" w:rsidRPr="00601EB3" w:rsidRDefault="003D15FE"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 xml:space="preserve">A written informed consent was approved by the Institutional Review Board (IRB) Ethical Committee of the </w:t>
      </w:r>
      <w:smartTag w:uri="urn:schemas-microsoft-com:office:smarttags" w:element="stockticker">
        <w:r w:rsidRPr="00601EB3">
          <w:rPr>
            <w:rFonts w:ascii="Times New Roman" w:hAnsi="Times New Roman" w:cs="Times New Roman"/>
            <w:sz w:val="20"/>
            <w:szCs w:val="20"/>
          </w:rPr>
          <w:t>NCI</w:t>
        </w:r>
      </w:smartTag>
      <w:r w:rsidRPr="00601EB3">
        <w:rPr>
          <w:rFonts w:ascii="Times New Roman" w:hAnsi="Times New Roman" w:cs="Times New Roman"/>
          <w:sz w:val="20"/>
          <w:szCs w:val="20"/>
        </w:rPr>
        <w:t>, which follows the rules of Helsinki IRB, and was obtained from each patient before starting the data collection. For the sake of each patient’s privacy, they were assigned code numbers.</w:t>
      </w:r>
    </w:p>
    <w:p w:rsidR="00484A05" w:rsidRPr="00601EB3" w:rsidRDefault="00484A05" w:rsidP="00D67228">
      <w:pPr>
        <w:bidi w:val="0"/>
        <w:adjustRightInd w:val="0"/>
        <w:snapToGrid w:val="0"/>
        <w:spacing w:after="0" w:line="240" w:lineRule="auto"/>
        <w:jc w:val="both"/>
        <w:rPr>
          <w:rFonts w:ascii="Times New Roman" w:hAnsi="Times New Roman" w:cs="Times New Roman"/>
          <w:b/>
          <w:bCs/>
          <w:sz w:val="20"/>
          <w:szCs w:val="20"/>
        </w:rPr>
      </w:pPr>
      <w:r w:rsidRPr="00601EB3">
        <w:rPr>
          <w:rFonts w:ascii="Times New Roman" w:hAnsi="Times New Roman" w:cs="Times New Roman"/>
          <w:b/>
          <w:bCs/>
          <w:sz w:val="20"/>
          <w:szCs w:val="20"/>
        </w:rPr>
        <w:t>2.3. Inclusion and exclusion criteria</w:t>
      </w:r>
    </w:p>
    <w:p w:rsidR="00484A05" w:rsidRPr="00601EB3" w:rsidRDefault="00B358E2"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 xml:space="preserve">Inclusion criteria </w:t>
      </w:r>
      <w:r w:rsidR="00216202" w:rsidRPr="00601EB3">
        <w:rPr>
          <w:rFonts w:ascii="Times New Roman" w:hAnsi="Times New Roman" w:cs="Times New Roman"/>
          <w:sz w:val="20"/>
          <w:szCs w:val="20"/>
        </w:rPr>
        <w:t xml:space="preserve">for </w:t>
      </w:r>
      <w:r w:rsidR="00431B0E" w:rsidRPr="00601EB3">
        <w:rPr>
          <w:rFonts w:ascii="Times New Roman" w:hAnsi="Times New Roman" w:cs="Times New Roman"/>
          <w:sz w:val="20"/>
          <w:szCs w:val="20"/>
        </w:rPr>
        <w:t>patients</w:t>
      </w:r>
      <w:r w:rsidR="00216202" w:rsidRPr="00601EB3">
        <w:rPr>
          <w:rFonts w:ascii="Times New Roman" w:hAnsi="Times New Roman" w:cs="Times New Roman"/>
          <w:sz w:val="20"/>
          <w:szCs w:val="20"/>
        </w:rPr>
        <w:t xml:space="preserve"> included</w:t>
      </w:r>
      <w:r w:rsidRPr="00601EB3">
        <w:rPr>
          <w:rFonts w:ascii="Times New Roman" w:hAnsi="Times New Roman" w:cs="Times New Roman"/>
          <w:sz w:val="20"/>
          <w:szCs w:val="20"/>
        </w:rPr>
        <w:t xml:space="preserve"> the </w:t>
      </w:r>
      <w:proofErr w:type="spellStart"/>
      <w:r w:rsidR="00216202" w:rsidRPr="00601EB3">
        <w:rPr>
          <w:rFonts w:ascii="Times New Roman" w:hAnsi="Times New Roman" w:cs="Times New Roman"/>
          <w:sz w:val="20"/>
          <w:szCs w:val="20"/>
        </w:rPr>
        <w:t>h</w:t>
      </w:r>
      <w:r w:rsidRPr="00601EB3">
        <w:rPr>
          <w:rFonts w:ascii="Times New Roman" w:hAnsi="Times New Roman" w:cs="Times New Roman"/>
          <w:sz w:val="20"/>
          <w:szCs w:val="20"/>
        </w:rPr>
        <w:t>istologically</w:t>
      </w:r>
      <w:proofErr w:type="spellEnd"/>
      <w:r w:rsidRPr="00601EB3">
        <w:rPr>
          <w:rFonts w:ascii="Times New Roman" w:hAnsi="Times New Roman" w:cs="Times New Roman"/>
          <w:sz w:val="20"/>
          <w:szCs w:val="20"/>
        </w:rPr>
        <w:t xml:space="preserve"> confirmed NHL stage IV </w:t>
      </w:r>
      <w:r w:rsidR="00F629C3" w:rsidRPr="00601EB3">
        <w:rPr>
          <w:rFonts w:ascii="Times New Roman" w:hAnsi="Times New Roman" w:cs="Times New Roman"/>
          <w:sz w:val="20"/>
          <w:szCs w:val="20"/>
        </w:rPr>
        <w:t>(</w:t>
      </w:r>
      <w:r w:rsidR="00431B0E" w:rsidRPr="00601EB3">
        <w:rPr>
          <w:rFonts w:ascii="Times New Roman" w:hAnsi="Times New Roman" w:cs="Times New Roman"/>
          <w:sz w:val="20"/>
          <w:szCs w:val="20"/>
        </w:rPr>
        <w:t>BM infiltration)</w:t>
      </w:r>
      <w:r w:rsidR="00216202" w:rsidRPr="00601EB3">
        <w:rPr>
          <w:rFonts w:ascii="Times New Roman" w:hAnsi="Times New Roman" w:cs="Times New Roman"/>
          <w:sz w:val="20"/>
          <w:szCs w:val="20"/>
        </w:rPr>
        <w:t>, a</w:t>
      </w:r>
      <w:r w:rsidRPr="00601EB3">
        <w:rPr>
          <w:rFonts w:ascii="Times New Roman" w:hAnsi="Times New Roman" w:cs="Times New Roman"/>
          <w:sz w:val="20"/>
          <w:szCs w:val="20"/>
        </w:rPr>
        <w:t>ge above 18 years</w:t>
      </w:r>
      <w:r w:rsidR="006E3B70" w:rsidRPr="00601EB3">
        <w:rPr>
          <w:rFonts w:ascii="Times New Roman" w:hAnsi="Times New Roman" w:cs="Times New Roman"/>
          <w:sz w:val="20"/>
          <w:szCs w:val="20"/>
        </w:rPr>
        <w:t>.</w:t>
      </w:r>
      <w:r w:rsidR="00601EB3">
        <w:rPr>
          <w:rFonts w:ascii="Times New Roman" w:hAnsi="Times New Roman" w:cs="Times New Roman"/>
          <w:sz w:val="20"/>
          <w:szCs w:val="20"/>
        </w:rPr>
        <w:t xml:space="preserve"> </w:t>
      </w:r>
      <w:r w:rsidRPr="00601EB3">
        <w:rPr>
          <w:rFonts w:ascii="Times New Roman" w:hAnsi="Times New Roman" w:cs="Times New Roman"/>
          <w:sz w:val="20"/>
          <w:szCs w:val="20"/>
        </w:rPr>
        <w:t xml:space="preserve">Exclusion criteria </w:t>
      </w:r>
      <w:r w:rsidR="00216202" w:rsidRPr="00601EB3">
        <w:rPr>
          <w:rFonts w:ascii="Times New Roman" w:hAnsi="Times New Roman" w:cs="Times New Roman"/>
          <w:sz w:val="20"/>
          <w:szCs w:val="20"/>
        </w:rPr>
        <w:t xml:space="preserve">included </w:t>
      </w:r>
      <w:r w:rsidR="00431B0E" w:rsidRPr="00601EB3">
        <w:rPr>
          <w:rFonts w:ascii="Times New Roman" w:hAnsi="Times New Roman" w:cs="Times New Roman"/>
          <w:sz w:val="20"/>
          <w:szCs w:val="20"/>
        </w:rPr>
        <w:t>patients</w:t>
      </w:r>
      <w:r w:rsidR="00216202" w:rsidRPr="00601EB3">
        <w:rPr>
          <w:rFonts w:ascii="Times New Roman" w:hAnsi="Times New Roman" w:cs="Times New Roman"/>
          <w:sz w:val="20"/>
          <w:szCs w:val="20"/>
        </w:rPr>
        <w:t xml:space="preserve"> with </w:t>
      </w:r>
      <w:r w:rsidRPr="00601EB3">
        <w:rPr>
          <w:rFonts w:ascii="Times New Roman" w:hAnsi="Times New Roman" w:cs="Times New Roman"/>
          <w:sz w:val="20"/>
          <w:szCs w:val="20"/>
        </w:rPr>
        <w:t>Hodgkin’s lymphoma</w:t>
      </w:r>
      <w:r w:rsidR="00431B0E" w:rsidRPr="00601EB3">
        <w:rPr>
          <w:rFonts w:ascii="Times New Roman" w:hAnsi="Times New Roman" w:cs="Times New Roman"/>
          <w:sz w:val="20"/>
          <w:szCs w:val="20"/>
        </w:rPr>
        <w:t xml:space="preserve">, </w:t>
      </w:r>
      <w:proofErr w:type="spellStart"/>
      <w:r w:rsidR="00431B0E" w:rsidRPr="00601EB3">
        <w:rPr>
          <w:rFonts w:ascii="Times New Roman" w:hAnsi="Times New Roman" w:cs="Times New Roman"/>
          <w:sz w:val="20"/>
          <w:szCs w:val="20"/>
        </w:rPr>
        <w:t>B</w:t>
      </w:r>
      <w:r w:rsidRPr="00601EB3">
        <w:rPr>
          <w:rFonts w:ascii="Times New Roman" w:hAnsi="Times New Roman" w:cs="Times New Roman"/>
          <w:sz w:val="20"/>
          <w:szCs w:val="20"/>
        </w:rPr>
        <w:t>urkitt’s</w:t>
      </w:r>
      <w:proofErr w:type="spellEnd"/>
      <w:r w:rsidRPr="00601EB3">
        <w:rPr>
          <w:rFonts w:ascii="Times New Roman" w:hAnsi="Times New Roman" w:cs="Times New Roman"/>
          <w:sz w:val="20"/>
          <w:szCs w:val="20"/>
        </w:rPr>
        <w:t xml:space="preserve"> leukemia, LBL</w:t>
      </w:r>
      <w:r w:rsidR="00216202" w:rsidRPr="00601EB3">
        <w:rPr>
          <w:rFonts w:ascii="Times New Roman" w:hAnsi="Times New Roman" w:cs="Times New Roman"/>
          <w:sz w:val="20"/>
          <w:szCs w:val="20"/>
        </w:rPr>
        <w:t>, a</w:t>
      </w:r>
      <w:r w:rsidRPr="00601EB3">
        <w:rPr>
          <w:rFonts w:ascii="Times New Roman" w:hAnsi="Times New Roman" w:cs="Times New Roman"/>
          <w:sz w:val="20"/>
          <w:szCs w:val="20"/>
        </w:rPr>
        <w:t>ge below 18 years</w:t>
      </w:r>
      <w:r w:rsidR="00216202" w:rsidRPr="00601EB3">
        <w:rPr>
          <w:rFonts w:ascii="Times New Roman" w:hAnsi="Times New Roman" w:cs="Times New Roman"/>
          <w:sz w:val="20"/>
          <w:szCs w:val="20"/>
        </w:rPr>
        <w:t xml:space="preserve"> and h</w:t>
      </w:r>
      <w:r w:rsidRPr="00601EB3">
        <w:rPr>
          <w:rFonts w:ascii="Times New Roman" w:hAnsi="Times New Roman" w:cs="Times New Roman"/>
          <w:sz w:val="20"/>
          <w:szCs w:val="20"/>
        </w:rPr>
        <w:t>istory of other malignancies</w:t>
      </w:r>
      <w:r w:rsidR="00D223E9" w:rsidRPr="00601EB3">
        <w:rPr>
          <w:rFonts w:ascii="Times New Roman" w:hAnsi="Times New Roman" w:cs="Times New Roman"/>
          <w:sz w:val="20"/>
          <w:szCs w:val="20"/>
        </w:rPr>
        <w:t>.</w:t>
      </w:r>
    </w:p>
    <w:p w:rsidR="00484A05" w:rsidRPr="00601EB3" w:rsidRDefault="00484A05" w:rsidP="00D67228">
      <w:pPr>
        <w:bidi w:val="0"/>
        <w:adjustRightInd w:val="0"/>
        <w:snapToGrid w:val="0"/>
        <w:spacing w:after="0" w:line="240" w:lineRule="auto"/>
        <w:jc w:val="both"/>
        <w:rPr>
          <w:rFonts w:ascii="Times New Roman" w:hAnsi="Times New Roman" w:cs="Times New Roman"/>
          <w:b/>
          <w:bCs/>
          <w:sz w:val="20"/>
          <w:szCs w:val="20"/>
          <w:lang w:bidi="ar-EG"/>
        </w:rPr>
      </w:pPr>
      <w:r w:rsidRPr="00601EB3">
        <w:rPr>
          <w:rFonts w:ascii="Times New Roman" w:hAnsi="Times New Roman" w:cs="Times New Roman"/>
          <w:b/>
          <w:bCs/>
          <w:sz w:val="20"/>
          <w:szCs w:val="20"/>
          <w:lang w:bidi="ar-EG"/>
        </w:rPr>
        <w:t>2.4. Data collection</w:t>
      </w:r>
    </w:p>
    <w:p w:rsidR="00DC1919" w:rsidRPr="00601EB3" w:rsidRDefault="003C26CF" w:rsidP="00D67228">
      <w:pPr>
        <w:bidi w:val="0"/>
        <w:adjustRightInd w:val="0"/>
        <w:snapToGrid w:val="0"/>
        <w:spacing w:after="0" w:line="240" w:lineRule="auto"/>
        <w:ind w:firstLine="425"/>
        <w:jc w:val="both"/>
        <w:rPr>
          <w:rFonts w:ascii="Times New Roman" w:hAnsi="Times New Roman" w:cs="Times New Roman"/>
          <w:sz w:val="20"/>
          <w:szCs w:val="20"/>
          <w:lang w:bidi="ar-EG"/>
        </w:rPr>
      </w:pPr>
      <w:r w:rsidRPr="00601EB3">
        <w:rPr>
          <w:rFonts w:ascii="Times New Roman" w:hAnsi="Times New Roman" w:cs="Times New Roman"/>
          <w:sz w:val="20"/>
          <w:szCs w:val="20"/>
          <w:lang w:bidi="ar-EG"/>
        </w:rPr>
        <w:t>Our study p</w:t>
      </w:r>
      <w:r w:rsidR="00F54457" w:rsidRPr="00601EB3">
        <w:rPr>
          <w:rFonts w:ascii="Times New Roman" w:hAnsi="Times New Roman" w:cs="Times New Roman"/>
          <w:sz w:val="20"/>
          <w:szCs w:val="20"/>
          <w:lang w:bidi="ar-EG"/>
        </w:rPr>
        <w:t xml:space="preserve">atients were subjected to </w:t>
      </w:r>
      <w:r w:rsidRPr="00601EB3">
        <w:rPr>
          <w:rStyle w:val="Strong"/>
          <w:rFonts w:ascii="Times New Roman" w:hAnsi="Times New Roman" w:cs="Times New Roman"/>
          <w:b w:val="0"/>
          <w:bCs w:val="0"/>
          <w:sz w:val="20"/>
          <w:szCs w:val="20"/>
          <w:lang w:bidi="ar-EG"/>
        </w:rPr>
        <w:t>c</w:t>
      </w:r>
      <w:r w:rsidR="00F54457" w:rsidRPr="00601EB3">
        <w:rPr>
          <w:rStyle w:val="Strong"/>
          <w:rFonts w:ascii="Times New Roman" w:hAnsi="Times New Roman" w:cs="Times New Roman"/>
          <w:b w:val="0"/>
          <w:bCs w:val="0"/>
          <w:sz w:val="20"/>
          <w:szCs w:val="20"/>
          <w:lang w:bidi="ar-EG"/>
        </w:rPr>
        <w:t>linical</w:t>
      </w:r>
      <w:r w:rsidRPr="00601EB3">
        <w:rPr>
          <w:rStyle w:val="Strong"/>
          <w:rFonts w:ascii="Times New Roman" w:hAnsi="Times New Roman" w:cs="Times New Roman"/>
          <w:sz w:val="20"/>
          <w:szCs w:val="20"/>
          <w:lang w:bidi="ar-EG"/>
        </w:rPr>
        <w:t xml:space="preserve">, </w:t>
      </w:r>
      <w:proofErr w:type="spellStart"/>
      <w:r w:rsidRPr="00601EB3">
        <w:rPr>
          <w:rStyle w:val="Strong"/>
          <w:rFonts w:ascii="Times New Roman" w:hAnsi="Times New Roman" w:cs="Times New Roman"/>
          <w:b w:val="0"/>
          <w:bCs w:val="0"/>
          <w:sz w:val="20"/>
          <w:szCs w:val="20"/>
          <w:lang w:bidi="ar-EG"/>
        </w:rPr>
        <w:t>h</w:t>
      </w:r>
      <w:r w:rsidR="00F54457" w:rsidRPr="00601EB3">
        <w:rPr>
          <w:rStyle w:val="Strong"/>
          <w:rFonts w:ascii="Times New Roman" w:hAnsi="Times New Roman" w:cs="Times New Roman"/>
          <w:b w:val="0"/>
          <w:bCs w:val="0"/>
          <w:sz w:val="20"/>
          <w:szCs w:val="20"/>
          <w:lang w:bidi="ar-EG"/>
        </w:rPr>
        <w:t>istopathological</w:t>
      </w:r>
      <w:proofErr w:type="spellEnd"/>
      <w:r w:rsidRPr="00601EB3">
        <w:rPr>
          <w:rStyle w:val="Strong"/>
          <w:rFonts w:ascii="Times New Roman" w:hAnsi="Times New Roman" w:cs="Times New Roman"/>
          <w:b w:val="0"/>
          <w:bCs w:val="0"/>
          <w:sz w:val="20"/>
          <w:szCs w:val="20"/>
          <w:lang w:bidi="ar-EG"/>
        </w:rPr>
        <w:t>,</w:t>
      </w:r>
      <w:r w:rsidR="00601EB3">
        <w:rPr>
          <w:rStyle w:val="Strong"/>
          <w:rFonts w:ascii="Times New Roman" w:hAnsi="Times New Roman" w:cs="Times New Roman"/>
          <w:b w:val="0"/>
          <w:bCs w:val="0"/>
          <w:sz w:val="20"/>
          <w:szCs w:val="20"/>
          <w:lang w:bidi="ar-EG"/>
        </w:rPr>
        <w:t xml:space="preserve"> </w:t>
      </w:r>
      <w:r w:rsidR="00301A7D" w:rsidRPr="00601EB3">
        <w:rPr>
          <w:rFonts w:ascii="Times New Roman" w:hAnsi="Times New Roman" w:cs="Times New Roman"/>
          <w:sz w:val="20"/>
          <w:szCs w:val="20"/>
          <w:lang w:bidi="ar-EG"/>
        </w:rPr>
        <w:t>radiological assessment and</w:t>
      </w:r>
      <w:r w:rsidRPr="00601EB3">
        <w:rPr>
          <w:rFonts w:ascii="Times New Roman" w:hAnsi="Times New Roman" w:cs="Times New Roman"/>
          <w:sz w:val="20"/>
          <w:szCs w:val="20"/>
          <w:lang w:bidi="ar-EG"/>
        </w:rPr>
        <w:t xml:space="preserve"> r</w:t>
      </w:r>
      <w:r w:rsidR="00F54457" w:rsidRPr="00601EB3">
        <w:rPr>
          <w:rFonts w:ascii="Times New Roman" w:hAnsi="Times New Roman" w:cs="Times New Roman"/>
          <w:sz w:val="20"/>
          <w:szCs w:val="20"/>
          <w:lang w:bidi="ar-EG"/>
        </w:rPr>
        <w:t xml:space="preserve">outine laboratory work-up </w:t>
      </w:r>
      <w:r w:rsidRPr="00601EB3">
        <w:rPr>
          <w:rFonts w:ascii="Times New Roman" w:hAnsi="Times New Roman" w:cs="Times New Roman"/>
          <w:sz w:val="20"/>
          <w:szCs w:val="20"/>
          <w:lang w:bidi="ar-EG"/>
        </w:rPr>
        <w:t>for</w:t>
      </w:r>
      <w:r w:rsidR="00F54457" w:rsidRPr="00601EB3">
        <w:rPr>
          <w:rFonts w:ascii="Times New Roman" w:hAnsi="Times New Roman" w:cs="Times New Roman"/>
          <w:sz w:val="20"/>
          <w:szCs w:val="20"/>
          <w:lang w:bidi="ar-EG"/>
        </w:rPr>
        <w:t xml:space="preserve"> lymphoma</w:t>
      </w:r>
      <w:r w:rsidRPr="00601EB3">
        <w:rPr>
          <w:rFonts w:ascii="Times New Roman" w:hAnsi="Times New Roman" w:cs="Times New Roman"/>
          <w:sz w:val="20"/>
          <w:szCs w:val="20"/>
          <w:lang w:bidi="ar-EG"/>
        </w:rPr>
        <w:t xml:space="preserve"> patients. </w:t>
      </w:r>
      <w:r w:rsidR="00FC0D23" w:rsidRPr="00601EB3">
        <w:rPr>
          <w:rFonts w:ascii="Times New Roman" w:hAnsi="Times New Roman" w:cs="Times New Roman"/>
          <w:sz w:val="20"/>
          <w:szCs w:val="20"/>
        </w:rPr>
        <w:t>All patients received treatment with standard chemotherapy protocols (CHOP-R</w:t>
      </w:r>
      <w:r w:rsidR="00601EB3">
        <w:rPr>
          <w:rFonts w:ascii="Times New Roman" w:hAnsi="Times New Roman" w:cs="Times New Roman"/>
          <w:sz w:val="20"/>
          <w:szCs w:val="20"/>
        </w:rPr>
        <w:t xml:space="preserve"> </w:t>
      </w:r>
      <w:r w:rsidR="00FC0D23" w:rsidRPr="00601EB3">
        <w:rPr>
          <w:rFonts w:ascii="Times New Roman" w:hAnsi="Times New Roman" w:cs="Times New Roman"/>
          <w:sz w:val="20"/>
          <w:szCs w:val="20"/>
        </w:rPr>
        <w:t>for DLBC, MALT</w:t>
      </w:r>
      <w:r w:rsidR="00601EB3">
        <w:rPr>
          <w:rFonts w:ascii="Times New Roman" w:hAnsi="Times New Roman" w:cs="Times New Roman"/>
          <w:sz w:val="20"/>
          <w:szCs w:val="20"/>
        </w:rPr>
        <w:t xml:space="preserve">, </w:t>
      </w:r>
      <w:r w:rsidR="00FC0D23" w:rsidRPr="00601EB3">
        <w:rPr>
          <w:rFonts w:ascii="Times New Roman" w:hAnsi="Times New Roman" w:cs="Times New Roman"/>
          <w:sz w:val="20"/>
          <w:szCs w:val="20"/>
        </w:rPr>
        <w:t>FL</w:t>
      </w:r>
      <w:r w:rsidR="00601EB3">
        <w:rPr>
          <w:rFonts w:ascii="Times New Roman" w:hAnsi="Times New Roman" w:cs="Times New Roman"/>
          <w:sz w:val="20"/>
          <w:szCs w:val="20"/>
        </w:rPr>
        <w:t xml:space="preserve">, </w:t>
      </w:r>
      <w:r w:rsidR="00FC0D23" w:rsidRPr="00601EB3">
        <w:rPr>
          <w:rFonts w:ascii="Times New Roman" w:hAnsi="Times New Roman" w:cs="Times New Roman"/>
          <w:sz w:val="20"/>
          <w:szCs w:val="20"/>
        </w:rPr>
        <w:t>MZL and unclassified lymphoma</w:t>
      </w:r>
      <w:r w:rsidR="00601EB3">
        <w:rPr>
          <w:rFonts w:ascii="Times New Roman" w:hAnsi="Times New Roman" w:cs="Times New Roman"/>
          <w:sz w:val="20"/>
          <w:szCs w:val="20"/>
        </w:rPr>
        <w:t xml:space="preserve">), </w:t>
      </w:r>
      <w:r w:rsidR="00FC0D23" w:rsidRPr="00601EB3">
        <w:rPr>
          <w:rFonts w:ascii="Times New Roman" w:hAnsi="Times New Roman" w:cs="Times New Roman"/>
          <w:sz w:val="20"/>
          <w:szCs w:val="20"/>
        </w:rPr>
        <w:t>(CHOP for T-NHL</w:t>
      </w:r>
      <w:r w:rsidR="00601EB3">
        <w:rPr>
          <w:rFonts w:ascii="Times New Roman" w:hAnsi="Times New Roman" w:cs="Times New Roman"/>
          <w:sz w:val="20"/>
          <w:szCs w:val="20"/>
        </w:rPr>
        <w:t>)</w:t>
      </w:r>
      <w:r w:rsidR="00FC0D23" w:rsidRPr="00601EB3">
        <w:rPr>
          <w:rFonts w:ascii="Times New Roman" w:hAnsi="Times New Roman" w:cs="Times New Roman"/>
          <w:sz w:val="20"/>
          <w:szCs w:val="20"/>
        </w:rPr>
        <w:t>,</w:t>
      </w:r>
      <w:r w:rsidR="00601EB3">
        <w:rPr>
          <w:rFonts w:ascii="Times New Roman" w:hAnsi="Times New Roman" w:cs="Times New Roman"/>
          <w:sz w:val="20"/>
          <w:szCs w:val="20"/>
        </w:rPr>
        <w:t xml:space="preserve"> (</w:t>
      </w:r>
      <w:r w:rsidR="00FC0D23" w:rsidRPr="00601EB3">
        <w:rPr>
          <w:rFonts w:ascii="Times New Roman" w:hAnsi="Times New Roman" w:cs="Times New Roman"/>
          <w:sz w:val="20"/>
          <w:szCs w:val="20"/>
        </w:rPr>
        <w:t>CVP for SLL) &amp;</w:t>
      </w:r>
      <w:r w:rsidR="00601EB3">
        <w:rPr>
          <w:rFonts w:ascii="Times New Roman" w:hAnsi="Times New Roman" w:cs="Times New Roman"/>
          <w:sz w:val="20"/>
          <w:szCs w:val="20"/>
        </w:rPr>
        <w:t xml:space="preserve"> </w:t>
      </w:r>
      <w:proofErr w:type="spellStart"/>
      <w:r w:rsidR="00FC0D23" w:rsidRPr="00601EB3">
        <w:rPr>
          <w:rFonts w:ascii="Times New Roman" w:hAnsi="Times New Roman" w:cs="Times New Roman"/>
          <w:sz w:val="20"/>
          <w:szCs w:val="20"/>
        </w:rPr>
        <w:t>Cladribine</w:t>
      </w:r>
      <w:proofErr w:type="spellEnd"/>
      <w:r w:rsidR="00FC0D23" w:rsidRPr="00601EB3">
        <w:rPr>
          <w:rFonts w:ascii="Times New Roman" w:hAnsi="Times New Roman" w:cs="Times New Roman"/>
          <w:sz w:val="20"/>
          <w:szCs w:val="20"/>
        </w:rPr>
        <w:t xml:space="preserve"> for HCL</w:t>
      </w:r>
      <w:r w:rsidR="00601EB3">
        <w:rPr>
          <w:rFonts w:ascii="Times New Roman" w:hAnsi="Times New Roman" w:cs="Times New Roman"/>
          <w:sz w:val="20"/>
          <w:szCs w:val="20"/>
        </w:rPr>
        <w:t xml:space="preserve"> </w:t>
      </w:r>
      <w:r w:rsidR="00FC0D23" w:rsidRPr="00601EB3">
        <w:rPr>
          <w:rFonts w:ascii="Times New Roman" w:hAnsi="Times New Roman" w:cs="Times New Roman"/>
          <w:sz w:val="20"/>
          <w:szCs w:val="20"/>
        </w:rPr>
        <w:t xml:space="preserve">with complete remission in 23 </w:t>
      </w:r>
      <w:r w:rsidR="00601EB3">
        <w:rPr>
          <w:rFonts w:ascii="Times New Roman" w:hAnsi="Times New Roman" w:cs="Times New Roman"/>
          <w:sz w:val="20"/>
          <w:szCs w:val="20"/>
        </w:rPr>
        <w:t>(</w:t>
      </w:r>
      <w:r w:rsidR="00FC0D23" w:rsidRPr="00601EB3">
        <w:rPr>
          <w:rFonts w:ascii="Times New Roman" w:hAnsi="Times New Roman" w:cs="Times New Roman"/>
          <w:sz w:val="20"/>
          <w:szCs w:val="20"/>
        </w:rPr>
        <w:t>57.5%) patients.</w:t>
      </w:r>
      <w:r w:rsidR="00601EB3">
        <w:rPr>
          <w:rFonts w:ascii="Times New Roman" w:hAnsi="Times New Roman" w:cs="Times New Roman"/>
          <w:sz w:val="20"/>
          <w:szCs w:val="20"/>
        </w:rPr>
        <w:t xml:space="preserve"> </w:t>
      </w:r>
      <w:r w:rsidR="00F54457" w:rsidRPr="00601EB3">
        <w:rPr>
          <w:rFonts w:ascii="Times New Roman" w:hAnsi="Times New Roman" w:cs="Times New Roman"/>
          <w:sz w:val="20"/>
          <w:szCs w:val="20"/>
          <w:lang w:bidi="ar-EG"/>
        </w:rPr>
        <w:t xml:space="preserve">Complete remission (CR) was defined as normalization of clinical and radiological abnormalities, relevant laboratory data and bone marrow picture for four weeks after the last cycle of chemotherapy. Patients </w:t>
      </w:r>
      <w:r w:rsidR="00F54457" w:rsidRPr="00601EB3">
        <w:rPr>
          <w:rFonts w:ascii="Times New Roman" w:hAnsi="Times New Roman" w:cs="Times New Roman"/>
          <w:sz w:val="20"/>
          <w:szCs w:val="20"/>
          <w:lang w:bidi="ar-EG"/>
        </w:rPr>
        <w:lastRenderedPageBreak/>
        <w:t>were classified as having partial remission (PR) if they have at least a 50% reduction in the sum of the product of the greatest cross-sectional diameters of measurable lesions. New lesions or more than 25% increase in an individual lesion over one treatment cycle was categorized as progressive disease (PD). Appearance of new lesions or the reappearance of old lesions in patients who achieved complete remission was categorized as relapse.</w:t>
      </w:r>
      <w:r w:rsidR="00601EB3" w:rsidRPr="00601EB3">
        <w:rPr>
          <w:rFonts w:ascii="Times New Roman" w:hAnsi="Times New Roman" w:cs="Times New Roman"/>
          <w:sz w:val="20"/>
          <w:szCs w:val="20"/>
          <w:lang w:bidi="ar-EG"/>
        </w:rPr>
        <w:t xml:space="preserve"> </w:t>
      </w:r>
      <w:r w:rsidR="008D38C9" w:rsidRPr="00601EB3">
        <w:rPr>
          <w:rFonts w:ascii="Times New Roman" w:hAnsi="Times New Roman" w:cs="Times New Roman"/>
          <w:sz w:val="20"/>
          <w:szCs w:val="20"/>
          <w:lang w:bidi="ar-EG"/>
        </w:rPr>
        <w:t xml:space="preserve">Our study patients were subjected to </w:t>
      </w:r>
      <w:r w:rsidR="008135D0" w:rsidRPr="00601EB3">
        <w:rPr>
          <w:rFonts w:ascii="Times New Roman" w:hAnsi="Times New Roman" w:cs="Times New Roman"/>
          <w:sz w:val="20"/>
          <w:szCs w:val="20"/>
          <w:lang w:bidi="ar-EG"/>
        </w:rPr>
        <w:t>c</w:t>
      </w:r>
      <w:r w:rsidR="0008446B" w:rsidRPr="00601EB3">
        <w:rPr>
          <w:rFonts w:ascii="Times New Roman" w:hAnsi="Times New Roman" w:cs="Times New Roman"/>
          <w:sz w:val="20"/>
          <w:szCs w:val="20"/>
          <w:lang w:bidi="ar-EG"/>
        </w:rPr>
        <w:t xml:space="preserve">ollection of BM trephine biopsy specimen, </w:t>
      </w:r>
      <w:r w:rsidR="00341DB7" w:rsidRPr="00601EB3">
        <w:rPr>
          <w:rFonts w:ascii="Times New Roman" w:hAnsi="Times New Roman" w:cs="Times New Roman"/>
          <w:sz w:val="20"/>
          <w:szCs w:val="20"/>
          <w:lang w:bidi="ar-EG"/>
        </w:rPr>
        <w:t>processing</w:t>
      </w:r>
      <w:r w:rsidR="0008446B" w:rsidRPr="00601EB3">
        <w:rPr>
          <w:rFonts w:ascii="Times New Roman" w:hAnsi="Times New Roman" w:cs="Times New Roman"/>
          <w:sz w:val="20"/>
          <w:szCs w:val="20"/>
          <w:lang w:bidi="ar-EG"/>
        </w:rPr>
        <w:t xml:space="preserve">, staining with </w:t>
      </w:r>
      <w:proofErr w:type="spellStart"/>
      <w:r w:rsidR="00341DB7" w:rsidRPr="00601EB3">
        <w:rPr>
          <w:rFonts w:ascii="Times New Roman" w:hAnsi="Times New Roman" w:cs="Times New Roman"/>
          <w:sz w:val="20"/>
          <w:szCs w:val="20"/>
          <w:lang w:bidi="ar-EG"/>
        </w:rPr>
        <w:t>Haematoxylin</w:t>
      </w:r>
      <w:proofErr w:type="spellEnd"/>
      <w:r w:rsidR="00341DB7" w:rsidRPr="00601EB3">
        <w:rPr>
          <w:rFonts w:ascii="Times New Roman" w:hAnsi="Times New Roman" w:cs="Times New Roman"/>
          <w:sz w:val="20"/>
          <w:szCs w:val="20"/>
          <w:lang w:bidi="ar-EG"/>
        </w:rPr>
        <w:t xml:space="preserve"> and Eosin </w:t>
      </w:r>
      <w:r w:rsidR="0013024A" w:rsidRPr="00601EB3">
        <w:rPr>
          <w:rFonts w:ascii="Times New Roman" w:hAnsi="Times New Roman" w:cs="Times New Roman"/>
          <w:sz w:val="20"/>
          <w:szCs w:val="20"/>
          <w:lang w:bidi="ar-EG"/>
        </w:rPr>
        <w:t>[7]</w:t>
      </w:r>
      <w:r w:rsidR="00341DB7" w:rsidRPr="00601EB3">
        <w:rPr>
          <w:rFonts w:ascii="Times New Roman" w:hAnsi="Times New Roman" w:cs="Times New Roman"/>
          <w:sz w:val="20"/>
          <w:szCs w:val="20"/>
          <w:lang w:bidi="ar-EG"/>
        </w:rPr>
        <w:t xml:space="preserve">, and finally VEGF-A </w:t>
      </w:r>
      <w:r w:rsidR="0020267D" w:rsidRPr="00601EB3">
        <w:rPr>
          <w:rFonts w:ascii="Times New Roman" w:hAnsi="Times New Roman" w:cs="Times New Roman"/>
          <w:sz w:val="20"/>
          <w:szCs w:val="20"/>
          <w:lang w:bidi="ar-EG"/>
        </w:rPr>
        <w:t>(</w:t>
      </w:r>
      <w:proofErr w:type="spellStart"/>
      <w:r w:rsidR="002F3148" w:rsidRPr="00601EB3">
        <w:rPr>
          <w:rFonts w:ascii="Times New Roman" w:hAnsi="Times New Roman" w:cs="Times New Roman"/>
          <w:sz w:val="20"/>
          <w:szCs w:val="20"/>
          <w:lang w:bidi="ar-EG"/>
        </w:rPr>
        <w:t>Dako</w:t>
      </w:r>
      <w:proofErr w:type="spellEnd"/>
      <w:r w:rsidR="002F3148" w:rsidRPr="00601EB3">
        <w:rPr>
          <w:rFonts w:ascii="Times New Roman" w:hAnsi="Times New Roman" w:cs="Times New Roman"/>
          <w:sz w:val="20"/>
          <w:szCs w:val="20"/>
          <w:lang w:bidi="ar-EG"/>
        </w:rPr>
        <w:t xml:space="preserve">, Monoclonal mouse IgG2a antihuman VEGF-A protein; clone c-1, code sc-7269) </w:t>
      </w:r>
      <w:r w:rsidR="00341DB7" w:rsidRPr="00601EB3">
        <w:rPr>
          <w:rFonts w:ascii="Times New Roman" w:hAnsi="Times New Roman" w:cs="Times New Roman"/>
          <w:sz w:val="20"/>
          <w:szCs w:val="20"/>
          <w:lang w:bidi="ar-EG"/>
        </w:rPr>
        <w:t>and COX-2</w:t>
      </w:r>
      <w:r w:rsidR="0020267D" w:rsidRPr="00601EB3">
        <w:rPr>
          <w:rFonts w:ascii="Times New Roman" w:hAnsi="Times New Roman" w:cs="Times New Roman"/>
          <w:sz w:val="20"/>
          <w:szCs w:val="20"/>
          <w:lang w:bidi="ar-EG"/>
        </w:rPr>
        <w:t xml:space="preserve"> (</w:t>
      </w:r>
      <w:proofErr w:type="spellStart"/>
      <w:r w:rsidR="002F3148" w:rsidRPr="00601EB3">
        <w:rPr>
          <w:rFonts w:ascii="Times New Roman" w:hAnsi="Times New Roman" w:cs="Times New Roman"/>
          <w:sz w:val="20"/>
          <w:szCs w:val="20"/>
          <w:lang w:bidi="ar-EG"/>
        </w:rPr>
        <w:t>Dako</w:t>
      </w:r>
      <w:proofErr w:type="spellEnd"/>
      <w:r w:rsidR="002F3148" w:rsidRPr="00601EB3">
        <w:rPr>
          <w:rFonts w:ascii="Times New Roman" w:hAnsi="Times New Roman" w:cs="Times New Roman"/>
          <w:sz w:val="20"/>
          <w:szCs w:val="20"/>
          <w:lang w:bidi="ar-EG"/>
        </w:rPr>
        <w:t xml:space="preserve">, polyclonal goat </w:t>
      </w:r>
      <w:proofErr w:type="spellStart"/>
      <w:r w:rsidR="002F3148" w:rsidRPr="00601EB3">
        <w:rPr>
          <w:rFonts w:ascii="Times New Roman" w:hAnsi="Times New Roman" w:cs="Times New Roman"/>
          <w:sz w:val="20"/>
          <w:szCs w:val="20"/>
          <w:lang w:bidi="ar-EG"/>
        </w:rPr>
        <w:t>IgG</w:t>
      </w:r>
      <w:proofErr w:type="spellEnd"/>
      <w:r w:rsidR="002F3148" w:rsidRPr="00601EB3">
        <w:rPr>
          <w:rFonts w:ascii="Times New Roman" w:hAnsi="Times New Roman" w:cs="Times New Roman"/>
          <w:sz w:val="20"/>
          <w:szCs w:val="20"/>
          <w:lang w:bidi="ar-EG"/>
        </w:rPr>
        <w:t xml:space="preserve"> anti-human COX2 protein; clone N-20, code sc-23983</w:t>
      </w:r>
      <w:r w:rsidR="0020267D" w:rsidRPr="00601EB3">
        <w:rPr>
          <w:rFonts w:ascii="Times New Roman" w:hAnsi="Times New Roman" w:cs="Times New Roman"/>
          <w:sz w:val="20"/>
          <w:szCs w:val="20"/>
          <w:lang w:bidi="ar-EG"/>
        </w:rPr>
        <w:t>)</w:t>
      </w:r>
      <w:r w:rsidR="00601EB3">
        <w:rPr>
          <w:rFonts w:ascii="Times New Roman" w:hAnsi="Times New Roman" w:cs="Times New Roman"/>
          <w:sz w:val="20"/>
          <w:szCs w:val="20"/>
          <w:lang w:bidi="ar-EG"/>
        </w:rPr>
        <w:t xml:space="preserve"> </w:t>
      </w:r>
      <w:proofErr w:type="spellStart"/>
      <w:r w:rsidR="00341DB7" w:rsidRPr="00601EB3">
        <w:rPr>
          <w:rFonts w:ascii="Times New Roman" w:hAnsi="Times New Roman" w:cs="Times New Roman"/>
          <w:sz w:val="20"/>
          <w:szCs w:val="20"/>
          <w:lang w:bidi="ar-EG"/>
        </w:rPr>
        <w:t>immunohistochemical</w:t>
      </w:r>
      <w:proofErr w:type="spellEnd"/>
      <w:r w:rsidR="00341DB7" w:rsidRPr="00601EB3">
        <w:rPr>
          <w:rFonts w:ascii="Times New Roman" w:hAnsi="Times New Roman" w:cs="Times New Roman"/>
          <w:sz w:val="20"/>
          <w:szCs w:val="20"/>
          <w:lang w:bidi="ar-EG"/>
        </w:rPr>
        <w:t xml:space="preserve"> staining </w:t>
      </w:r>
      <w:r w:rsidR="002C0F23" w:rsidRPr="00601EB3">
        <w:rPr>
          <w:rFonts w:ascii="Times New Roman" w:hAnsi="Times New Roman" w:cs="Times New Roman"/>
          <w:sz w:val="20"/>
          <w:szCs w:val="20"/>
          <w:lang w:bidi="ar-EG"/>
        </w:rPr>
        <w:t xml:space="preserve">including positive and negative controls </w:t>
      </w:r>
      <w:r w:rsidR="0013024A" w:rsidRPr="00601EB3">
        <w:rPr>
          <w:rFonts w:ascii="Times New Roman" w:hAnsi="Times New Roman" w:cs="Times New Roman"/>
          <w:sz w:val="20"/>
          <w:szCs w:val="20"/>
          <w:lang w:bidi="ar-EG"/>
        </w:rPr>
        <w:t>[8].</w:t>
      </w:r>
      <w:r w:rsidR="009221F0" w:rsidRPr="00601EB3">
        <w:rPr>
          <w:rFonts w:ascii="Times New Roman" w:hAnsi="Times New Roman" w:cs="Times New Roman"/>
          <w:sz w:val="20"/>
          <w:szCs w:val="20"/>
          <w:lang w:bidi="ar-EG"/>
        </w:rPr>
        <w:t xml:space="preserve"> P</w:t>
      </w:r>
      <w:r w:rsidR="00DC1919" w:rsidRPr="00601EB3">
        <w:rPr>
          <w:rFonts w:ascii="Times New Roman" w:hAnsi="Times New Roman" w:cs="Times New Roman"/>
          <w:sz w:val="20"/>
          <w:szCs w:val="20"/>
          <w:lang w:bidi="ar-EG"/>
        </w:rPr>
        <w:t xml:space="preserve">ositive controls for VEGF-A formalin -fixed, paraffin -embedded sections </w:t>
      </w:r>
      <w:r w:rsidR="009221F0" w:rsidRPr="00601EB3">
        <w:rPr>
          <w:rFonts w:ascii="Times New Roman" w:hAnsi="Times New Roman" w:cs="Times New Roman"/>
          <w:sz w:val="20"/>
          <w:szCs w:val="20"/>
          <w:lang w:bidi="ar-EG"/>
        </w:rPr>
        <w:t xml:space="preserve">were </w:t>
      </w:r>
      <w:r w:rsidR="00DC1919" w:rsidRPr="00601EB3">
        <w:rPr>
          <w:rFonts w:ascii="Times New Roman" w:hAnsi="Times New Roman" w:cs="Times New Roman"/>
          <w:sz w:val="20"/>
          <w:szCs w:val="20"/>
          <w:lang w:bidi="ar-EG"/>
        </w:rPr>
        <w:t xml:space="preserve">from human lung cancer </w:t>
      </w:r>
      <w:r w:rsidR="009221F0" w:rsidRPr="00601EB3">
        <w:rPr>
          <w:rFonts w:ascii="Times New Roman" w:hAnsi="Times New Roman" w:cs="Times New Roman"/>
          <w:sz w:val="20"/>
          <w:szCs w:val="20"/>
          <w:lang w:bidi="ar-EG"/>
        </w:rPr>
        <w:t>sections</w:t>
      </w:r>
      <w:r w:rsidR="009221F0" w:rsidRPr="00601EB3">
        <w:rPr>
          <w:rFonts w:ascii="Times New Roman" w:hAnsi="Times New Roman" w:cs="Times New Roman"/>
          <w:b/>
          <w:bCs/>
          <w:sz w:val="20"/>
          <w:szCs w:val="20"/>
          <w:lang w:bidi="ar-EG"/>
        </w:rPr>
        <w:t xml:space="preserve">, </w:t>
      </w:r>
      <w:r w:rsidR="009221F0" w:rsidRPr="00601EB3">
        <w:rPr>
          <w:rFonts w:ascii="Times New Roman" w:hAnsi="Times New Roman" w:cs="Times New Roman"/>
          <w:sz w:val="20"/>
          <w:szCs w:val="20"/>
          <w:lang w:bidi="ar-EG"/>
        </w:rPr>
        <w:t>and those forCOX-2 were from breast cancer sections</w:t>
      </w:r>
      <w:r w:rsidR="00BE2A41" w:rsidRPr="00601EB3">
        <w:rPr>
          <w:rFonts w:ascii="Times New Roman" w:hAnsi="Times New Roman" w:cs="Times New Roman"/>
          <w:sz w:val="20"/>
          <w:szCs w:val="20"/>
          <w:lang w:bidi="ar-EG"/>
        </w:rPr>
        <w:t xml:space="preserve"> [9].</w:t>
      </w:r>
      <w:r w:rsidR="00DC1919" w:rsidRPr="00601EB3">
        <w:rPr>
          <w:rFonts w:ascii="Times New Roman" w:hAnsi="Times New Roman" w:cs="Times New Roman"/>
          <w:sz w:val="20"/>
          <w:szCs w:val="20"/>
          <w:lang w:bidi="ar-EG"/>
        </w:rPr>
        <w:t xml:space="preserve">The negative controls for both VEGF-A and COX-2 were obtained by using phosphate buffer saline (PBS) instead of the primary antibody </w:t>
      </w:r>
      <w:r w:rsidR="00BE2A41" w:rsidRPr="00601EB3">
        <w:rPr>
          <w:rFonts w:ascii="Times New Roman" w:hAnsi="Times New Roman" w:cs="Times New Roman"/>
          <w:sz w:val="20"/>
          <w:szCs w:val="20"/>
          <w:lang w:bidi="ar-EG"/>
        </w:rPr>
        <w:t>[9].</w:t>
      </w:r>
    </w:p>
    <w:p w:rsidR="00DC1919" w:rsidRPr="00601EB3" w:rsidRDefault="00484A05" w:rsidP="00D67228">
      <w:pPr>
        <w:bidi w:val="0"/>
        <w:adjustRightInd w:val="0"/>
        <w:snapToGrid w:val="0"/>
        <w:spacing w:after="0" w:line="240" w:lineRule="auto"/>
        <w:jc w:val="both"/>
        <w:rPr>
          <w:rFonts w:ascii="Times New Roman" w:hAnsi="Times New Roman" w:cs="Times New Roman"/>
          <w:b/>
          <w:bCs/>
          <w:sz w:val="20"/>
          <w:szCs w:val="20"/>
          <w:lang w:bidi="ar-EG"/>
        </w:rPr>
      </w:pPr>
      <w:r w:rsidRPr="00601EB3">
        <w:rPr>
          <w:rFonts w:ascii="Times New Roman" w:hAnsi="Times New Roman" w:cs="Times New Roman"/>
          <w:b/>
          <w:bCs/>
          <w:sz w:val="20"/>
          <w:szCs w:val="20"/>
          <w:lang w:bidi="ar-EG"/>
        </w:rPr>
        <w:t xml:space="preserve">2.5. </w:t>
      </w:r>
      <w:r w:rsidR="00DC1919" w:rsidRPr="00601EB3">
        <w:rPr>
          <w:rFonts w:ascii="Times New Roman" w:hAnsi="Times New Roman" w:cs="Times New Roman"/>
          <w:b/>
          <w:bCs/>
          <w:sz w:val="20"/>
          <w:szCs w:val="20"/>
          <w:lang w:bidi="ar-EG"/>
        </w:rPr>
        <w:t>Interpretation of the Results</w:t>
      </w:r>
    </w:p>
    <w:p w:rsidR="00DC1919" w:rsidRPr="00601EB3" w:rsidRDefault="00DC1919" w:rsidP="00D6722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601EB3">
        <w:rPr>
          <w:rFonts w:ascii="Times New Roman" w:hAnsi="Times New Roman" w:cs="Times New Roman"/>
          <w:sz w:val="20"/>
          <w:szCs w:val="20"/>
          <w:lang w:bidi="ar-EG"/>
        </w:rPr>
        <w:t>Microscopic examination</w:t>
      </w:r>
      <w:r w:rsidR="006102E8" w:rsidRPr="00601EB3">
        <w:rPr>
          <w:rFonts w:ascii="Times New Roman" w:hAnsi="Times New Roman" w:cs="Times New Roman"/>
          <w:sz w:val="20"/>
          <w:szCs w:val="20"/>
          <w:lang w:bidi="ar-EG"/>
        </w:rPr>
        <w:t xml:space="preserve"> of H and E stained BMB samples</w:t>
      </w:r>
      <w:r w:rsidRPr="00601EB3">
        <w:rPr>
          <w:rFonts w:ascii="Times New Roman" w:hAnsi="Times New Roman" w:cs="Times New Roman"/>
          <w:sz w:val="20"/>
          <w:szCs w:val="20"/>
          <w:lang w:bidi="ar-EG"/>
        </w:rPr>
        <w:t xml:space="preserve"> was performed</w:t>
      </w:r>
      <w:r w:rsidR="00601EB3">
        <w:rPr>
          <w:rFonts w:ascii="Times New Roman" w:hAnsi="Times New Roman" w:cs="Times New Roman"/>
          <w:sz w:val="20"/>
          <w:szCs w:val="20"/>
          <w:lang w:bidi="ar-EG"/>
        </w:rPr>
        <w:t xml:space="preserve"> </w:t>
      </w:r>
      <w:r w:rsidRPr="00601EB3">
        <w:rPr>
          <w:rFonts w:ascii="Times New Roman" w:hAnsi="Times New Roman" w:cs="Times New Roman"/>
          <w:sz w:val="20"/>
          <w:szCs w:val="20"/>
          <w:lang w:bidi="ar-EG"/>
        </w:rPr>
        <w:t xml:space="preserve">using Olympus light microscope. </w:t>
      </w:r>
      <w:r w:rsidR="006102E8" w:rsidRPr="00601EB3">
        <w:rPr>
          <w:rFonts w:ascii="Times New Roman" w:hAnsi="Times New Roman" w:cs="Times New Roman"/>
          <w:sz w:val="20"/>
          <w:szCs w:val="20"/>
          <w:lang w:bidi="ar-EG"/>
        </w:rPr>
        <w:t xml:space="preserve">Dissemination and lineage commitment was confirmed by appropriate markers </w:t>
      </w:r>
      <w:proofErr w:type="spellStart"/>
      <w:r w:rsidR="006102E8" w:rsidRPr="00601EB3">
        <w:rPr>
          <w:rFonts w:ascii="Times New Roman" w:hAnsi="Times New Roman" w:cs="Times New Roman"/>
          <w:sz w:val="20"/>
          <w:szCs w:val="20"/>
          <w:lang w:bidi="ar-EG"/>
        </w:rPr>
        <w:t>immunohistochemically</w:t>
      </w:r>
      <w:proofErr w:type="spellEnd"/>
      <w:r w:rsidR="006102E8" w:rsidRPr="00601EB3">
        <w:rPr>
          <w:rFonts w:ascii="Times New Roman" w:hAnsi="Times New Roman" w:cs="Times New Roman"/>
          <w:sz w:val="20"/>
          <w:szCs w:val="20"/>
          <w:lang w:bidi="ar-EG"/>
        </w:rPr>
        <w:t xml:space="preserve">. </w:t>
      </w:r>
      <w:r w:rsidR="00D43736" w:rsidRPr="00601EB3">
        <w:rPr>
          <w:rFonts w:ascii="Times New Roman" w:hAnsi="Times New Roman" w:cs="Times New Roman"/>
          <w:sz w:val="20"/>
          <w:szCs w:val="20"/>
          <w:lang w:bidi="ar-EG"/>
        </w:rPr>
        <w:t>For estimation of VEGF-A and COX2 positivity, t</w:t>
      </w:r>
      <w:r w:rsidRPr="00601EB3">
        <w:rPr>
          <w:rFonts w:ascii="Times New Roman" w:hAnsi="Times New Roman" w:cs="Times New Roman"/>
          <w:sz w:val="20"/>
          <w:szCs w:val="20"/>
          <w:lang w:bidi="ar-EG"/>
        </w:rPr>
        <w:t>he most cellular area of the tumor, with the minimum necrosis or inflammatory cell infiltration was selected and the number of positively stained cells was recorded in consecutive fields at x40 magnification.</w:t>
      </w:r>
    </w:p>
    <w:p w:rsidR="00DC1919" w:rsidRPr="00601EB3" w:rsidRDefault="00484A05" w:rsidP="00D67228">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601EB3">
        <w:rPr>
          <w:rFonts w:ascii="Times New Roman" w:hAnsi="Times New Roman" w:cs="Times New Roman"/>
          <w:b/>
          <w:bCs/>
          <w:sz w:val="20"/>
          <w:szCs w:val="20"/>
          <w:lang w:bidi="ar-EG"/>
        </w:rPr>
        <w:t xml:space="preserve">2.6. </w:t>
      </w:r>
      <w:r w:rsidR="00DC1919" w:rsidRPr="00601EB3">
        <w:rPr>
          <w:rFonts w:ascii="Times New Roman" w:hAnsi="Times New Roman" w:cs="Times New Roman"/>
          <w:b/>
          <w:bCs/>
          <w:sz w:val="20"/>
          <w:szCs w:val="20"/>
          <w:lang w:bidi="ar-EG"/>
        </w:rPr>
        <w:t>Interpretation of VEGF-A</w:t>
      </w:r>
    </w:p>
    <w:p w:rsidR="00DC1919" w:rsidRPr="00601EB3" w:rsidRDefault="00D43736" w:rsidP="00D6722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601EB3">
        <w:rPr>
          <w:rFonts w:ascii="Times New Roman" w:hAnsi="Times New Roman" w:cs="Times New Roman"/>
          <w:sz w:val="20"/>
          <w:szCs w:val="20"/>
          <w:lang w:bidi="ar-EG"/>
        </w:rPr>
        <w:t xml:space="preserve">The percentage of tumor cells expressing VEGF-A was determined by counting 1000 cells per slide. </w:t>
      </w:r>
      <w:r w:rsidR="00DC1919" w:rsidRPr="00601EB3">
        <w:rPr>
          <w:rFonts w:ascii="Times New Roman" w:hAnsi="Times New Roman" w:cs="Times New Roman"/>
          <w:sz w:val="20"/>
          <w:szCs w:val="20"/>
          <w:lang w:bidi="ar-EG"/>
        </w:rPr>
        <w:t>VEGF-</w:t>
      </w:r>
      <w:proofErr w:type="spellStart"/>
      <w:r w:rsidR="00DC1919" w:rsidRPr="00601EB3">
        <w:rPr>
          <w:rFonts w:ascii="Times New Roman" w:hAnsi="Times New Roman" w:cs="Times New Roman"/>
          <w:sz w:val="20"/>
          <w:szCs w:val="20"/>
          <w:lang w:bidi="ar-EG"/>
        </w:rPr>
        <w:t>Aimmunostaining</w:t>
      </w:r>
      <w:proofErr w:type="spellEnd"/>
      <w:r w:rsidR="00DC1919" w:rsidRPr="00601EB3">
        <w:rPr>
          <w:rFonts w:ascii="Times New Roman" w:hAnsi="Times New Roman" w:cs="Times New Roman"/>
          <w:sz w:val="20"/>
          <w:szCs w:val="20"/>
          <w:lang w:bidi="ar-EG"/>
        </w:rPr>
        <w:t xml:space="preserve"> was scored according to the extent and severity of stained cells as follow:</w:t>
      </w:r>
    </w:p>
    <w:p w:rsidR="00DC1919" w:rsidRPr="00601EB3" w:rsidRDefault="00DC1919" w:rsidP="00D67228">
      <w:pPr>
        <w:pStyle w:val="ListParagraph"/>
        <w:numPr>
          <w:ilvl w:val="0"/>
          <w:numId w:val="23"/>
        </w:numPr>
        <w:autoSpaceDE w:val="0"/>
        <w:autoSpaceDN w:val="0"/>
        <w:adjustRightInd w:val="0"/>
        <w:snapToGrid w:val="0"/>
        <w:spacing w:after="0" w:line="240" w:lineRule="auto"/>
        <w:ind w:left="0" w:firstLine="0"/>
        <w:contextualSpacing w:val="0"/>
        <w:jc w:val="both"/>
        <w:rPr>
          <w:rFonts w:ascii="Times New Roman" w:hAnsi="Times New Roman" w:cs="Times New Roman"/>
          <w:sz w:val="20"/>
          <w:szCs w:val="20"/>
          <w:lang w:bidi="ar-EG"/>
        </w:rPr>
      </w:pPr>
      <w:r w:rsidRPr="00601EB3">
        <w:rPr>
          <w:rFonts w:ascii="Times New Roman" w:hAnsi="Times New Roman" w:cs="Times New Roman"/>
          <w:b/>
          <w:bCs/>
          <w:sz w:val="20"/>
          <w:szCs w:val="20"/>
          <w:lang w:bidi="ar-EG"/>
        </w:rPr>
        <w:t>Extent of staining</w:t>
      </w:r>
      <w:r w:rsidR="004839D4" w:rsidRPr="00601EB3">
        <w:rPr>
          <w:rFonts w:ascii="Times New Roman" w:hAnsi="Times New Roman" w:cs="Times New Roman"/>
          <w:sz w:val="20"/>
          <w:szCs w:val="20"/>
          <w:lang w:bidi="ar-EG"/>
        </w:rPr>
        <w:t xml:space="preserve"> was classified as 0 =</w:t>
      </w:r>
      <w:r w:rsidRPr="00601EB3">
        <w:rPr>
          <w:rFonts w:ascii="Times New Roman" w:hAnsi="Times New Roman" w:cs="Times New Roman"/>
          <w:sz w:val="20"/>
          <w:szCs w:val="20"/>
          <w:lang w:bidi="ar-EG"/>
        </w:rPr>
        <w:t xml:space="preserve"> 0-10% o</w:t>
      </w:r>
      <w:r w:rsidR="004839D4" w:rsidRPr="00601EB3">
        <w:rPr>
          <w:rFonts w:ascii="Times New Roman" w:hAnsi="Times New Roman" w:cs="Times New Roman"/>
          <w:sz w:val="20"/>
          <w:szCs w:val="20"/>
          <w:lang w:bidi="ar-EG"/>
        </w:rPr>
        <w:t>f tumor cells were stained, 1 = 11-25% of tumor cells were stained, 2 =</w:t>
      </w:r>
      <w:r w:rsidRPr="00601EB3">
        <w:rPr>
          <w:rFonts w:ascii="Times New Roman" w:hAnsi="Times New Roman" w:cs="Times New Roman"/>
          <w:sz w:val="20"/>
          <w:szCs w:val="20"/>
          <w:lang w:bidi="ar-EG"/>
        </w:rPr>
        <w:t xml:space="preserve"> 26-50% of tumor cells were stained,</w:t>
      </w:r>
      <w:r w:rsidR="004839D4" w:rsidRPr="00601EB3">
        <w:rPr>
          <w:rFonts w:ascii="Times New Roman" w:hAnsi="Times New Roman" w:cs="Times New Roman"/>
          <w:sz w:val="20"/>
          <w:szCs w:val="20"/>
          <w:lang w:bidi="ar-EG"/>
        </w:rPr>
        <w:t xml:space="preserve"> and 3=</w:t>
      </w:r>
      <w:r w:rsidRPr="00601EB3">
        <w:rPr>
          <w:rFonts w:ascii="Times New Roman" w:hAnsi="Times New Roman" w:cs="Times New Roman"/>
          <w:sz w:val="20"/>
          <w:szCs w:val="20"/>
          <w:lang w:bidi="ar-EG"/>
        </w:rPr>
        <w:t xml:space="preserve"> more than 50% of tumor cells were stained.</w:t>
      </w:r>
    </w:p>
    <w:p w:rsidR="00DC1919" w:rsidRPr="00601EB3" w:rsidRDefault="007B52BE" w:rsidP="00D67228">
      <w:pPr>
        <w:pStyle w:val="ListParagraph"/>
        <w:numPr>
          <w:ilvl w:val="0"/>
          <w:numId w:val="23"/>
        </w:numPr>
        <w:autoSpaceDE w:val="0"/>
        <w:autoSpaceDN w:val="0"/>
        <w:adjustRightInd w:val="0"/>
        <w:snapToGrid w:val="0"/>
        <w:spacing w:after="0" w:line="240" w:lineRule="auto"/>
        <w:ind w:left="0" w:firstLine="0"/>
        <w:contextualSpacing w:val="0"/>
        <w:jc w:val="both"/>
        <w:rPr>
          <w:rFonts w:ascii="Times New Roman" w:hAnsi="Times New Roman" w:cs="Times New Roman"/>
          <w:sz w:val="20"/>
          <w:szCs w:val="20"/>
          <w:lang w:bidi="ar-EG"/>
        </w:rPr>
      </w:pPr>
      <w:r w:rsidRPr="00601EB3">
        <w:rPr>
          <w:rFonts w:ascii="Times New Roman" w:hAnsi="Times New Roman" w:cs="Times New Roman"/>
          <w:b/>
          <w:bCs/>
          <w:sz w:val="20"/>
          <w:szCs w:val="20"/>
          <w:lang w:bidi="ar-EG"/>
        </w:rPr>
        <w:t>S</w:t>
      </w:r>
      <w:r w:rsidR="00DC1919" w:rsidRPr="00601EB3">
        <w:rPr>
          <w:rFonts w:ascii="Times New Roman" w:hAnsi="Times New Roman" w:cs="Times New Roman"/>
          <w:b/>
          <w:bCs/>
          <w:sz w:val="20"/>
          <w:szCs w:val="20"/>
          <w:lang w:bidi="ar-EG"/>
        </w:rPr>
        <w:t>everity of staining</w:t>
      </w:r>
      <w:r w:rsidRPr="00601EB3">
        <w:rPr>
          <w:rFonts w:ascii="Times New Roman" w:hAnsi="Times New Roman" w:cs="Times New Roman"/>
          <w:sz w:val="20"/>
          <w:szCs w:val="20"/>
          <w:lang w:bidi="ar-EG"/>
        </w:rPr>
        <w:t xml:space="preserve"> was classified as 1=light yellow, 2= dark yellow and 3=</w:t>
      </w:r>
      <w:r w:rsidR="00DC1919" w:rsidRPr="00601EB3">
        <w:rPr>
          <w:rFonts w:ascii="Times New Roman" w:hAnsi="Times New Roman" w:cs="Times New Roman"/>
          <w:sz w:val="20"/>
          <w:szCs w:val="20"/>
          <w:lang w:bidi="ar-EG"/>
        </w:rPr>
        <w:t xml:space="preserve"> brown.</w:t>
      </w:r>
    </w:p>
    <w:p w:rsidR="00676045" w:rsidRPr="00601EB3" w:rsidRDefault="00DC1919" w:rsidP="00D6722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601EB3">
        <w:rPr>
          <w:rFonts w:ascii="Times New Roman" w:hAnsi="Times New Roman" w:cs="Times New Roman"/>
          <w:sz w:val="20"/>
          <w:szCs w:val="20"/>
          <w:lang w:bidi="ar-EG"/>
        </w:rPr>
        <w:t xml:space="preserve">The sum of these two classifications was scored as negative if the score was 0-2, mild if the score was 3-4 and sever if the score was 5-6 </w:t>
      </w:r>
      <w:r w:rsidR="005E3C85" w:rsidRPr="00601EB3">
        <w:rPr>
          <w:rFonts w:ascii="Times New Roman" w:hAnsi="Times New Roman" w:cs="Times New Roman"/>
          <w:sz w:val="20"/>
          <w:szCs w:val="20"/>
          <w:lang w:bidi="ar-EG"/>
        </w:rPr>
        <w:t>[10].</w:t>
      </w:r>
      <w:r w:rsidR="00601EB3">
        <w:rPr>
          <w:rFonts w:ascii="Times New Roman" w:hAnsi="Times New Roman" w:cs="Times New Roman"/>
          <w:sz w:val="20"/>
          <w:szCs w:val="20"/>
          <w:lang w:bidi="ar-EG"/>
        </w:rPr>
        <w:t xml:space="preserve"> </w:t>
      </w:r>
      <w:r w:rsidR="00A87D2C" w:rsidRPr="00601EB3">
        <w:rPr>
          <w:rFonts w:ascii="Times New Roman" w:hAnsi="Times New Roman" w:cs="Times New Roman"/>
          <w:sz w:val="20"/>
          <w:szCs w:val="20"/>
          <w:lang w:bidi="ar-EG"/>
        </w:rPr>
        <w:t>Figure</w:t>
      </w:r>
      <w:r w:rsidR="00484A05" w:rsidRPr="00601EB3">
        <w:rPr>
          <w:rFonts w:ascii="Times New Roman" w:hAnsi="Times New Roman" w:cs="Times New Roman"/>
          <w:sz w:val="20"/>
          <w:szCs w:val="20"/>
          <w:lang w:bidi="ar-EG"/>
        </w:rPr>
        <w:t>1</w:t>
      </w:r>
      <w:r w:rsidR="00676045" w:rsidRPr="00601EB3">
        <w:rPr>
          <w:rFonts w:ascii="Times New Roman" w:hAnsi="Times New Roman" w:cs="Times New Roman"/>
          <w:sz w:val="20"/>
          <w:szCs w:val="20"/>
          <w:lang w:bidi="ar-EG"/>
        </w:rPr>
        <w:t xml:space="preserve"> illustrate different patterns of VEGF positivity</w:t>
      </w:r>
    </w:p>
    <w:p w:rsidR="00DC1919" w:rsidRPr="00601EB3" w:rsidRDefault="00484A05" w:rsidP="00D67228">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601EB3">
        <w:rPr>
          <w:rFonts w:ascii="Times New Roman" w:hAnsi="Times New Roman" w:cs="Times New Roman"/>
          <w:b/>
          <w:bCs/>
          <w:sz w:val="20"/>
          <w:szCs w:val="20"/>
          <w:lang w:bidi="ar-EG"/>
        </w:rPr>
        <w:t xml:space="preserve">2.7. </w:t>
      </w:r>
      <w:r w:rsidR="00DC1919" w:rsidRPr="00601EB3">
        <w:rPr>
          <w:rFonts w:ascii="Times New Roman" w:hAnsi="Times New Roman" w:cs="Times New Roman"/>
          <w:b/>
          <w:bCs/>
          <w:sz w:val="20"/>
          <w:szCs w:val="20"/>
          <w:lang w:bidi="ar-EG"/>
        </w:rPr>
        <w:t>Interpretation of COX-2</w:t>
      </w:r>
    </w:p>
    <w:p w:rsidR="00676045" w:rsidRPr="00601EB3" w:rsidRDefault="00DC1919" w:rsidP="00D6722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601EB3">
        <w:rPr>
          <w:rFonts w:ascii="Times New Roman" w:hAnsi="Times New Roman" w:cs="Times New Roman"/>
          <w:sz w:val="20"/>
          <w:szCs w:val="20"/>
          <w:lang w:bidi="ar-EG"/>
        </w:rPr>
        <w:t xml:space="preserve">For estimation of COX-2 expression: A scoring method based on estimation of the percentage of </w:t>
      </w:r>
      <w:r w:rsidR="004839D4" w:rsidRPr="00601EB3">
        <w:rPr>
          <w:rFonts w:ascii="Times New Roman" w:hAnsi="Times New Roman" w:cs="Times New Roman"/>
          <w:sz w:val="20"/>
          <w:szCs w:val="20"/>
          <w:lang w:bidi="ar-EG"/>
        </w:rPr>
        <w:t>immune-</w:t>
      </w:r>
      <w:r w:rsidRPr="00601EB3">
        <w:rPr>
          <w:rFonts w:ascii="Times New Roman" w:hAnsi="Times New Roman" w:cs="Times New Roman"/>
          <w:sz w:val="20"/>
          <w:szCs w:val="20"/>
          <w:lang w:bidi="ar-EG"/>
        </w:rPr>
        <w:t>reactive cells in combination with an estimation of the severity of intensity was used as follows: 0</w:t>
      </w:r>
      <w:r w:rsidR="00501F40" w:rsidRPr="00601EB3">
        <w:rPr>
          <w:rFonts w:ascii="Times New Roman" w:hAnsi="Times New Roman" w:cs="Times New Roman"/>
          <w:sz w:val="20"/>
          <w:szCs w:val="20"/>
          <w:lang w:bidi="ar-EG"/>
        </w:rPr>
        <w:t>=</w:t>
      </w:r>
      <w:r w:rsidRPr="00601EB3">
        <w:rPr>
          <w:rFonts w:ascii="Times New Roman" w:hAnsi="Times New Roman" w:cs="Times New Roman"/>
          <w:sz w:val="20"/>
          <w:szCs w:val="20"/>
          <w:lang w:bidi="ar-EG"/>
        </w:rPr>
        <w:t xml:space="preserve"> no staining, 1</w:t>
      </w:r>
      <w:r w:rsidR="00501F40" w:rsidRPr="00601EB3">
        <w:rPr>
          <w:rFonts w:ascii="Times New Roman" w:hAnsi="Times New Roman" w:cs="Times New Roman"/>
          <w:sz w:val="20"/>
          <w:szCs w:val="20"/>
          <w:lang w:bidi="ar-EG"/>
        </w:rPr>
        <w:t xml:space="preserve">= </w:t>
      </w:r>
      <w:r w:rsidRPr="00601EB3">
        <w:rPr>
          <w:rFonts w:ascii="Times New Roman" w:hAnsi="Times New Roman" w:cs="Times New Roman"/>
          <w:sz w:val="20"/>
          <w:szCs w:val="20"/>
          <w:lang w:bidi="ar-EG"/>
        </w:rPr>
        <w:t xml:space="preserve">weak diffuse </w:t>
      </w:r>
      <w:proofErr w:type="spellStart"/>
      <w:r w:rsidRPr="00601EB3">
        <w:rPr>
          <w:rFonts w:ascii="Times New Roman" w:hAnsi="Times New Roman" w:cs="Times New Roman"/>
          <w:sz w:val="20"/>
          <w:szCs w:val="20"/>
          <w:lang w:bidi="ar-EG"/>
        </w:rPr>
        <w:t>cytoplasmic</w:t>
      </w:r>
      <w:proofErr w:type="spellEnd"/>
      <w:r w:rsidRPr="00601EB3">
        <w:rPr>
          <w:rFonts w:ascii="Times New Roman" w:hAnsi="Times New Roman" w:cs="Times New Roman"/>
          <w:sz w:val="20"/>
          <w:szCs w:val="20"/>
          <w:lang w:bidi="ar-EG"/>
        </w:rPr>
        <w:t xml:space="preserve"> </w:t>
      </w:r>
      <w:r w:rsidRPr="00601EB3">
        <w:rPr>
          <w:rFonts w:ascii="Times New Roman" w:hAnsi="Times New Roman" w:cs="Times New Roman"/>
          <w:sz w:val="20"/>
          <w:szCs w:val="20"/>
          <w:lang w:bidi="ar-EG"/>
        </w:rPr>
        <w:lastRenderedPageBreak/>
        <w:t xml:space="preserve">labeling or may be if it was stronger </w:t>
      </w:r>
      <w:r w:rsidR="0014559F" w:rsidRPr="00601EB3">
        <w:rPr>
          <w:rFonts w:ascii="Times New Roman" w:hAnsi="Times New Roman" w:cs="Times New Roman"/>
          <w:sz w:val="20"/>
          <w:szCs w:val="20"/>
          <w:lang w:bidi="ar-EG"/>
        </w:rPr>
        <w:t>labeling</w:t>
      </w:r>
      <w:r w:rsidR="00501F40" w:rsidRPr="00601EB3">
        <w:rPr>
          <w:rFonts w:ascii="Times New Roman" w:hAnsi="Times New Roman" w:cs="Times New Roman"/>
          <w:sz w:val="20"/>
          <w:szCs w:val="20"/>
          <w:lang w:bidi="ar-EG"/>
        </w:rPr>
        <w:t xml:space="preserve"> of &lt;10% of the cancer cells, 2= </w:t>
      </w:r>
      <w:r w:rsidRPr="00601EB3">
        <w:rPr>
          <w:rFonts w:ascii="Times New Roman" w:hAnsi="Times New Roman" w:cs="Times New Roman"/>
          <w:sz w:val="20"/>
          <w:szCs w:val="20"/>
          <w:lang w:bidi="ar-EG"/>
        </w:rPr>
        <w:t xml:space="preserve">moderate to strong granular </w:t>
      </w:r>
      <w:proofErr w:type="spellStart"/>
      <w:r w:rsidRPr="00601EB3">
        <w:rPr>
          <w:rFonts w:ascii="Times New Roman" w:hAnsi="Times New Roman" w:cs="Times New Roman"/>
          <w:sz w:val="20"/>
          <w:szCs w:val="20"/>
          <w:lang w:bidi="ar-EG"/>
        </w:rPr>
        <w:t>cytoplasmic</w:t>
      </w:r>
      <w:proofErr w:type="spellEnd"/>
      <w:r w:rsidRPr="00601EB3">
        <w:rPr>
          <w:rFonts w:ascii="Times New Roman" w:hAnsi="Times New Roman" w:cs="Times New Roman"/>
          <w:sz w:val="20"/>
          <w:szCs w:val="20"/>
          <w:lang w:bidi="ar-EG"/>
        </w:rPr>
        <w:t xml:space="preserve"> </w:t>
      </w:r>
      <w:r w:rsidR="0014559F" w:rsidRPr="00601EB3">
        <w:rPr>
          <w:rFonts w:ascii="Times New Roman" w:hAnsi="Times New Roman" w:cs="Times New Roman"/>
          <w:sz w:val="20"/>
          <w:szCs w:val="20"/>
          <w:lang w:bidi="ar-EG"/>
        </w:rPr>
        <w:t>labeling</w:t>
      </w:r>
      <w:r w:rsidRPr="00601EB3">
        <w:rPr>
          <w:rFonts w:ascii="Times New Roman" w:hAnsi="Times New Roman" w:cs="Times New Roman"/>
          <w:sz w:val="20"/>
          <w:szCs w:val="20"/>
          <w:lang w:bidi="ar-EG"/>
        </w:rPr>
        <w:t xml:space="preserve"> of 10 t</w:t>
      </w:r>
      <w:r w:rsidR="00501F40" w:rsidRPr="00601EB3">
        <w:rPr>
          <w:rFonts w:ascii="Times New Roman" w:hAnsi="Times New Roman" w:cs="Times New Roman"/>
          <w:sz w:val="20"/>
          <w:szCs w:val="20"/>
          <w:lang w:bidi="ar-EG"/>
        </w:rPr>
        <w:t xml:space="preserve">o 90% of the cancer cells and 3= </w:t>
      </w:r>
      <w:r w:rsidRPr="00601EB3">
        <w:rPr>
          <w:rFonts w:ascii="Times New Roman" w:hAnsi="Times New Roman" w:cs="Times New Roman"/>
          <w:sz w:val="20"/>
          <w:szCs w:val="20"/>
          <w:lang w:bidi="ar-EG"/>
        </w:rPr>
        <w:t xml:space="preserve">more than 90% of the </w:t>
      </w:r>
      <w:r w:rsidR="0014559F" w:rsidRPr="00601EB3">
        <w:rPr>
          <w:rFonts w:ascii="Times New Roman" w:hAnsi="Times New Roman" w:cs="Times New Roman"/>
          <w:sz w:val="20"/>
          <w:szCs w:val="20"/>
          <w:lang w:bidi="ar-EG"/>
        </w:rPr>
        <w:t>tumor</w:t>
      </w:r>
      <w:r w:rsidRPr="00601EB3">
        <w:rPr>
          <w:rFonts w:ascii="Times New Roman" w:hAnsi="Times New Roman" w:cs="Times New Roman"/>
          <w:sz w:val="20"/>
          <w:szCs w:val="20"/>
          <w:lang w:bidi="ar-EG"/>
        </w:rPr>
        <w:t xml:space="preserve"> cells with strong intensity. Samples scoring 1 to 3 were considered positive for COX-2, while samples scoring 2 to 3 were considered to be </w:t>
      </w:r>
      <w:proofErr w:type="spellStart"/>
      <w:r w:rsidRPr="00601EB3">
        <w:rPr>
          <w:rFonts w:ascii="Times New Roman" w:hAnsi="Times New Roman" w:cs="Times New Roman"/>
          <w:sz w:val="20"/>
          <w:szCs w:val="20"/>
          <w:lang w:bidi="ar-EG"/>
        </w:rPr>
        <w:t>overexpressing</w:t>
      </w:r>
      <w:proofErr w:type="spellEnd"/>
      <w:r w:rsidRPr="00601EB3">
        <w:rPr>
          <w:rFonts w:ascii="Times New Roman" w:hAnsi="Times New Roman" w:cs="Times New Roman"/>
          <w:sz w:val="20"/>
          <w:szCs w:val="20"/>
          <w:lang w:bidi="ar-EG"/>
        </w:rPr>
        <w:t xml:space="preserve"> the enzyme </w:t>
      </w:r>
      <w:r w:rsidR="009B5F6C" w:rsidRPr="00601EB3">
        <w:rPr>
          <w:rFonts w:ascii="Times New Roman" w:hAnsi="Times New Roman" w:cs="Times New Roman"/>
          <w:sz w:val="20"/>
          <w:szCs w:val="20"/>
          <w:lang w:bidi="ar-EG"/>
        </w:rPr>
        <w:t>[11].</w:t>
      </w:r>
      <w:bookmarkStart w:id="1" w:name="OLE_LINK6"/>
      <w:bookmarkStart w:id="2" w:name="OLE_LINK5"/>
      <w:bookmarkStart w:id="3" w:name="OLE_LINK4"/>
      <w:bookmarkStart w:id="4" w:name="OLE_LINK1"/>
      <w:r w:rsidR="00676045" w:rsidRPr="00601EB3">
        <w:rPr>
          <w:rFonts w:ascii="Times New Roman" w:hAnsi="Times New Roman" w:cs="Times New Roman"/>
          <w:sz w:val="20"/>
          <w:szCs w:val="20"/>
          <w:lang w:bidi="ar-EG"/>
        </w:rPr>
        <w:t xml:space="preserve">Figure </w:t>
      </w:r>
      <w:r w:rsidR="00484A05" w:rsidRPr="00601EB3">
        <w:rPr>
          <w:rFonts w:ascii="Times New Roman" w:hAnsi="Times New Roman" w:cs="Times New Roman"/>
          <w:sz w:val="20"/>
          <w:szCs w:val="20"/>
          <w:lang w:bidi="ar-EG"/>
        </w:rPr>
        <w:t>1</w:t>
      </w:r>
      <w:r w:rsidR="00676045" w:rsidRPr="00601EB3">
        <w:rPr>
          <w:rFonts w:ascii="Times New Roman" w:hAnsi="Times New Roman" w:cs="Times New Roman"/>
          <w:sz w:val="20"/>
          <w:szCs w:val="20"/>
          <w:lang w:bidi="ar-EG"/>
        </w:rPr>
        <w:t xml:space="preserve"> illustrates COX2 pattern of positivity</w:t>
      </w:r>
    </w:p>
    <w:p w:rsidR="00DC1919" w:rsidRPr="00601EB3" w:rsidRDefault="00484A05" w:rsidP="00D67228">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601EB3">
        <w:rPr>
          <w:rFonts w:ascii="Times New Roman" w:eastAsia="Times New Roman" w:hAnsi="Times New Roman" w:cs="Times New Roman"/>
          <w:b/>
          <w:bCs/>
          <w:sz w:val="20"/>
          <w:szCs w:val="20"/>
        </w:rPr>
        <w:t xml:space="preserve">2.8. </w:t>
      </w:r>
      <w:r w:rsidR="00DC1919" w:rsidRPr="00601EB3">
        <w:rPr>
          <w:rFonts w:ascii="Times New Roman" w:eastAsia="Times New Roman" w:hAnsi="Times New Roman" w:cs="Times New Roman"/>
          <w:b/>
          <w:bCs/>
          <w:sz w:val="20"/>
          <w:szCs w:val="20"/>
        </w:rPr>
        <w:t>Statistical methods</w:t>
      </w:r>
    </w:p>
    <w:p w:rsidR="00683712" w:rsidRPr="00601EB3" w:rsidRDefault="00DC1919" w:rsidP="00D67228">
      <w:pPr>
        <w:bidi w:val="0"/>
        <w:adjustRightInd w:val="0"/>
        <w:snapToGrid w:val="0"/>
        <w:spacing w:after="0" w:line="240" w:lineRule="auto"/>
        <w:ind w:firstLine="425"/>
        <w:jc w:val="both"/>
        <w:rPr>
          <w:rFonts w:ascii="Times New Roman" w:eastAsia="Times New Roman" w:hAnsi="Times New Roman" w:cs="Times New Roman"/>
          <w:sz w:val="20"/>
          <w:szCs w:val="20"/>
        </w:rPr>
      </w:pPr>
      <w:r w:rsidRPr="00601EB3">
        <w:rPr>
          <w:rFonts w:ascii="Times New Roman" w:eastAsia="Times New Roman" w:hAnsi="Times New Roman" w:cs="Times New Roman"/>
          <w:sz w:val="20"/>
          <w:szCs w:val="20"/>
        </w:rPr>
        <w:t xml:space="preserve">Data was analyzed using IBM SPSS advanced statistics version 22 (SPSS Inc., Chicago, IL). Numerical data were expressed as mean and standard deviation or median and range as appropriate. Qualitative data were expressed as frequency and percentage. Chi-square test or Fisher’s exact test was used to examine the relation between qualitative variables. </w:t>
      </w:r>
      <w:bookmarkStart w:id="5" w:name="OLE_LINK3"/>
      <w:bookmarkStart w:id="6" w:name="OLE_LINK2"/>
      <w:r w:rsidRPr="00601EB3">
        <w:rPr>
          <w:rFonts w:ascii="Times New Roman" w:eastAsia="Times New Roman" w:hAnsi="Times New Roman" w:cs="Times New Roman"/>
          <w:sz w:val="20"/>
          <w:szCs w:val="20"/>
        </w:rPr>
        <w:t xml:space="preserve">For not normally distributed quantitative data, comparison between two groups was done using Mann-Whitney test (non-parametric t-test). </w:t>
      </w:r>
      <w:bookmarkEnd w:id="5"/>
      <w:bookmarkEnd w:id="6"/>
      <w:r w:rsidRPr="00601EB3">
        <w:rPr>
          <w:rFonts w:ascii="Times New Roman" w:eastAsia="Times New Roman" w:hAnsi="Times New Roman" w:cs="Times New Roman"/>
          <w:sz w:val="20"/>
          <w:szCs w:val="20"/>
        </w:rPr>
        <w:t>Survival analysis was done using Kaplan-Meier method and comparison between two survival curves was done using log-rank test. All tests were two-tailed. A p-value &lt; 0.05 was considered significant.</w:t>
      </w:r>
      <w:bookmarkEnd w:id="1"/>
      <w:bookmarkEnd w:id="2"/>
      <w:bookmarkEnd w:id="3"/>
      <w:bookmarkEnd w:id="4"/>
    </w:p>
    <w:p w:rsidR="00484A05" w:rsidRPr="00601EB3" w:rsidRDefault="00484A05" w:rsidP="00D67228">
      <w:pPr>
        <w:bidi w:val="0"/>
        <w:adjustRightInd w:val="0"/>
        <w:snapToGrid w:val="0"/>
        <w:spacing w:after="0" w:line="240" w:lineRule="auto"/>
        <w:jc w:val="both"/>
        <w:rPr>
          <w:rFonts w:ascii="Times New Roman" w:eastAsia="Times New Roman" w:hAnsi="Times New Roman" w:cs="Times New Roman"/>
          <w:sz w:val="20"/>
          <w:szCs w:val="20"/>
        </w:rPr>
      </w:pPr>
    </w:p>
    <w:p w:rsidR="00AF3201" w:rsidRPr="00601EB3" w:rsidRDefault="00484A05" w:rsidP="00D67228">
      <w:pPr>
        <w:pStyle w:val="Heading1"/>
        <w:keepNext w:val="0"/>
        <w:keepLines w:val="0"/>
        <w:adjustRightInd w:val="0"/>
        <w:snapToGrid w:val="0"/>
        <w:spacing w:before="0" w:line="240" w:lineRule="auto"/>
        <w:jc w:val="both"/>
        <w:rPr>
          <w:rFonts w:ascii="Times New Roman" w:hAnsi="Times New Roman" w:cs="Times New Roman"/>
          <w:sz w:val="20"/>
          <w:szCs w:val="20"/>
        </w:rPr>
      </w:pPr>
      <w:bookmarkStart w:id="7" w:name="_Toc360565443"/>
      <w:r w:rsidRPr="00601EB3">
        <w:rPr>
          <w:rFonts w:ascii="Times New Roman" w:hAnsi="Times New Roman" w:cs="Times New Roman"/>
          <w:color w:val="auto"/>
          <w:sz w:val="20"/>
          <w:szCs w:val="20"/>
        </w:rPr>
        <w:t xml:space="preserve">3. </w:t>
      </w:r>
      <w:r w:rsidR="00C12F24" w:rsidRPr="00601EB3">
        <w:rPr>
          <w:rFonts w:ascii="Times New Roman" w:hAnsi="Times New Roman" w:cs="Times New Roman"/>
          <w:color w:val="auto"/>
          <w:sz w:val="20"/>
          <w:szCs w:val="20"/>
        </w:rPr>
        <w:t>Results</w:t>
      </w:r>
      <w:bookmarkEnd w:id="7"/>
    </w:p>
    <w:p w:rsidR="00434D79" w:rsidRPr="00601EB3" w:rsidRDefault="00683712"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The present study included 40 Egyptian adult patients with BM disseminated NHL (stage IV)</w:t>
      </w:r>
      <w:r w:rsidR="005F4BC2" w:rsidRPr="00601EB3">
        <w:rPr>
          <w:rFonts w:ascii="Times New Roman" w:hAnsi="Times New Roman" w:cs="Times New Roman"/>
          <w:sz w:val="20"/>
          <w:szCs w:val="20"/>
        </w:rPr>
        <w:t>, they were 24</w:t>
      </w:r>
      <w:r w:rsidR="00601EB3">
        <w:rPr>
          <w:rFonts w:ascii="Times New Roman" w:hAnsi="Times New Roman" w:cs="Times New Roman"/>
          <w:sz w:val="20"/>
          <w:szCs w:val="20"/>
        </w:rPr>
        <w:t xml:space="preserve"> </w:t>
      </w:r>
      <w:r w:rsidR="005F4BC2" w:rsidRPr="00601EB3">
        <w:rPr>
          <w:rFonts w:ascii="Times New Roman" w:hAnsi="Times New Roman" w:cs="Times New Roman"/>
          <w:sz w:val="20"/>
          <w:szCs w:val="20"/>
        </w:rPr>
        <w:t>(60%) males and 16</w:t>
      </w:r>
      <w:r w:rsidR="00601EB3">
        <w:rPr>
          <w:rFonts w:ascii="Times New Roman" w:hAnsi="Times New Roman" w:cs="Times New Roman"/>
          <w:sz w:val="20"/>
          <w:szCs w:val="20"/>
        </w:rPr>
        <w:t xml:space="preserve"> </w:t>
      </w:r>
      <w:r w:rsidR="005F4BC2" w:rsidRPr="00601EB3">
        <w:rPr>
          <w:rFonts w:ascii="Times New Roman" w:hAnsi="Times New Roman" w:cs="Times New Roman"/>
          <w:sz w:val="20"/>
          <w:szCs w:val="20"/>
        </w:rPr>
        <w:t>(40%) females with median age of 57 years</w:t>
      </w:r>
      <w:r w:rsidRPr="00601EB3">
        <w:rPr>
          <w:rFonts w:ascii="Times New Roman" w:hAnsi="Times New Roman" w:cs="Times New Roman"/>
          <w:sz w:val="20"/>
          <w:szCs w:val="20"/>
        </w:rPr>
        <w:t>.</w:t>
      </w:r>
      <w:r w:rsidR="00601EB3">
        <w:rPr>
          <w:rFonts w:ascii="Times New Roman" w:hAnsi="Times New Roman" w:cs="Times New Roman"/>
          <w:sz w:val="20"/>
          <w:szCs w:val="20"/>
        </w:rPr>
        <w:t xml:space="preserve"> </w:t>
      </w:r>
      <w:r w:rsidR="00115FEA" w:rsidRPr="00601EB3">
        <w:rPr>
          <w:rFonts w:ascii="Times New Roman" w:hAnsi="Times New Roman" w:cs="Times New Roman"/>
          <w:sz w:val="20"/>
          <w:szCs w:val="20"/>
        </w:rPr>
        <w:t xml:space="preserve">Their demographic data </w:t>
      </w:r>
      <w:r w:rsidR="00992341" w:rsidRPr="00601EB3">
        <w:rPr>
          <w:rFonts w:ascii="Times New Roman" w:hAnsi="Times New Roman" w:cs="Times New Roman"/>
          <w:sz w:val="20"/>
          <w:szCs w:val="20"/>
        </w:rPr>
        <w:t>is</w:t>
      </w:r>
      <w:r w:rsidR="00115FEA" w:rsidRPr="00601EB3">
        <w:rPr>
          <w:rFonts w:ascii="Times New Roman" w:hAnsi="Times New Roman" w:cs="Times New Roman"/>
          <w:sz w:val="20"/>
          <w:szCs w:val="20"/>
        </w:rPr>
        <w:t xml:space="preserve"> demonstrated in Table </w:t>
      </w:r>
      <w:r w:rsidR="00484A05" w:rsidRPr="00601EB3">
        <w:rPr>
          <w:rFonts w:ascii="Times New Roman" w:hAnsi="Times New Roman" w:cs="Times New Roman"/>
          <w:sz w:val="20"/>
          <w:szCs w:val="20"/>
        </w:rPr>
        <w:t>1</w:t>
      </w:r>
      <w:r w:rsidR="00115FEA" w:rsidRPr="00601EB3">
        <w:rPr>
          <w:rFonts w:ascii="Times New Roman" w:hAnsi="Times New Roman" w:cs="Times New Roman"/>
          <w:sz w:val="20"/>
          <w:szCs w:val="20"/>
        </w:rPr>
        <w:t xml:space="preserve">. </w:t>
      </w:r>
      <w:r w:rsidR="00B00A87" w:rsidRPr="00601EB3">
        <w:rPr>
          <w:rFonts w:ascii="Times New Roman" w:hAnsi="Times New Roman" w:cs="Times New Roman"/>
          <w:sz w:val="20"/>
          <w:szCs w:val="20"/>
        </w:rPr>
        <w:t>As regards the hematological findings, h</w:t>
      </w:r>
      <w:r w:rsidR="00431CE5" w:rsidRPr="00601EB3">
        <w:rPr>
          <w:rFonts w:ascii="Times New Roman" w:hAnsi="Times New Roman" w:cs="Times New Roman"/>
          <w:sz w:val="20"/>
          <w:szCs w:val="20"/>
        </w:rPr>
        <w:t>emoglobin</w:t>
      </w:r>
      <w:r w:rsidR="00BF7BDC" w:rsidRPr="00601EB3">
        <w:rPr>
          <w:rFonts w:ascii="Times New Roman" w:hAnsi="Times New Roman" w:cs="Times New Roman"/>
          <w:sz w:val="20"/>
          <w:szCs w:val="20"/>
        </w:rPr>
        <w:t xml:space="preserve"> level ranged from 2.4 to 14.9 gm/dl</w:t>
      </w:r>
      <w:r w:rsidR="0014559F" w:rsidRPr="00601EB3">
        <w:rPr>
          <w:rFonts w:ascii="Times New Roman" w:hAnsi="Times New Roman" w:cs="Times New Roman"/>
          <w:sz w:val="20"/>
          <w:szCs w:val="20"/>
        </w:rPr>
        <w:t>,</w:t>
      </w:r>
      <w:r w:rsidR="00BF7BDC" w:rsidRPr="00601EB3">
        <w:rPr>
          <w:rFonts w:ascii="Times New Roman" w:hAnsi="Times New Roman" w:cs="Times New Roman"/>
          <w:sz w:val="20"/>
          <w:szCs w:val="20"/>
        </w:rPr>
        <w:t xml:space="preserve"> with </w:t>
      </w:r>
      <w:r w:rsidR="00C51473" w:rsidRPr="00601EB3">
        <w:rPr>
          <w:rFonts w:ascii="Times New Roman" w:hAnsi="Times New Roman" w:cs="Times New Roman"/>
          <w:sz w:val="20"/>
          <w:szCs w:val="20"/>
        </w:rPr>
        <w:t>a mean value of 10.4±2.9 gm/dl</w:t>
      </w:r>
      <w:r w:rsidR="00992341" w:rsidRPr="00601EB3">
        <w:rPr>
          <w:rFonts w:ascii="Times New Roman" w:hAnsi="Times New Roman" w:cs="Times New Roman"/>
          <w:sz w:val="20"/>
          <w:szCs w:val="20"/>
        </w:rPr>
        <w:t>.</w:t>
      </w:r>
      <w:r w:rsidR="00601EB3">
        <w:rPr>
          <w:rFonts w:ascii="Times New Roman" w:hAnsi="Times New Roman" w:cs="Times New Roman"/>
          <w:sz w:val="20"/>
          <w:szCs w:val="20"/>
        </w:rPr>
        <w:t xml:space="preserve"> </w:t>
      </w:r>
      <w:r w:rsidR="00B00A87" w:rsidRPr="00601EB3">
        <w:rPr>
          <w:rFonts w:ascii="Times New Roman" w:hAnsi="Times New Roman" w:cs="Times New Roman"/>
          <w:sz w:val="20"/>
          <w:szCs w:val="20"/>
        </w:rPr>
        <w:t>Total</w:t>
      </w:r>
      <w:r w:rsidR="00601EB3">
        <w:rPr>
          <w:rFonts w:ascii="Times New Roman" w:hAnsi="Times New Roman" w:cs="Times New Roman"/>
          <w:sz w:val="20"/>
          <w:szCs w:val="20"/>
        </w:rPr>
        <w:t xml:space="preserve"> </w:t>
      </w:r>
      <w:proofErr w:type="spellStart"/>
      <w:r w:rsidR="00B00A87" w:rsidRPr="00601EB3">
        <w:rPr>
          <w:rFonts w:ascii="Times New Roman" w:hAnsi="Times New Roman" w:cs="Times New Roman"/>
          <w:sz w:val="20"/>
          <w:szCs w:val="20"/>
        </w:rPr>
        <w:t>leucocytic</w:t>
      </w:r>
      <w:proofErr w:type="spellEnd"/>
      <w:r w:rsidR="00B00A87" w:rsidRPr="00601EB3">
        <w:rPr>
          <w:rFonts w:ascii="Times New Roman" w:hAnsi="Times New Roman" w:cs="Times New Roman"/>
          <w:sz w:val="20"/>
          <w:szCs w:val="20"/>
        </w:rPr>
        <w:t xml:space="preserve"> count (</w:t>
      </w:r>
      <w:r w:rsidR="00C51473" w:rsidRPr="00601EB3">
        <w:rPr>
          <w:rFonts w:ascii="Times New Roman" w:hAnsi="Times New Roman" w:cs="Times New Roman"/>
          <w:sz w:val="20"/>
          <w:szCs w:val="20"/>
        </w:rPr>
        <w:t>TLC</w:t>
      </w:r>
      <w:r w:rsidR="00B00A87" w:rsidRPr="00601EB3">
        <w:rPr>
          <w:rFonts w:ascii="Times New Roman" w:hAnsi="Times New Roman" w:cs="Times New Roman"/>
          <w:sz w:val="20"/>
          <w:szCs w:val="20"/>
        </w:rPr>
        <w:t>)</w:t>
      </w:r>
      <w:r w:rsidR="00BF7BDC" w:rsidRPr="00601EB3">
        <w:rPr>
          <w:rFonts w:ascii="Times New Roman" w:hAnsi="Times New Roman" w:cs="Times New Roman"/>
          <w:sz w:val="20"/>
          <w:szCs w:val="20"/>
        </w:rPr>
        <w:t xml:space="preserve"> ranged from 2.2×10</w:t>
      </w:r>
      <w:r w:rsidR="00BF7BDC" w:rsidRPr="00601EB3">
        <w:rPr>
          <w:rFonts w:ascii="Times New Roman" w:hAnsi="Times New Roman" w:cs="Times New Roman"/>
          <w:sz w:val="20"/>
          <w:szCs w:val="20"/>
          <w:vertAlign w:val="superscript"/>
        </w:rPr>
        <w:t>3</w:t>
      </w:r>
      <w:r w:rsidR="00BF7BDC" w:rsidRPr="00601EB3">
        <w:rPr>
          <w:rFonts w:ascii="Times New Roman" w:hAnsi="Times New Roman" w:cs="Times New Roman"/>
          <w:sz w:val="20"/>
          <w:szCs w:val="20"/>
        </w:rPr>
        <w:t xml:space="preserve"> to 101×10</w:t>
      </w:r>
      <w:r w:rsidR="00BF7BDC" w:rsidRPr="00601EB3">
        <w:rPr>
          <w:rFonts w:ascii="Times New Roman" w:hAnsi="Times New Roman" w:cs="Times New Roman"/>
          <w:sz w:val="20"/>
          <w:szCs w:val="20"/>
          <w:vertAlign w:val="superscript"/>
        </w:rPr>
        <w:t>3</w:t>
      </w:r>
      <w:r w:rsidR="00BF7BDC" w:rsidRPr="00601EB3">
        <w:rPr>
          <w:rFonts w:ascii="Times New Roman" w:hAnsi="Times New Roman" w:cs="Times New Roman"/>
          <w:sz w:val="20"/>
          <w:szCs w:val="20"/>
        </w:rPr>
        <w:t>/cm</w:t>
      </w:r>
      <w:r w:rsidR="00BF7BDC" w:rsidRPr="00601EB3">
        <w:rPr>
          <w:rFonts w:ascii="Times New Roman" w:hAnsi="Times New Roman" w:cs="Times New Roman"/>
          <w:sz w:val="20"/>
          <w:szCs w:val="20"/>
          <w:vertAlign w:val="superscript"/>
        </w:rPr>
        <w:t>3</w:t>
      </w:r>
      <w:r w:rsidR="00BF7BDC" w:rsidRPr="00601EB3">
        <w:rPr>
          <w:rFonts w:ascii="Times New Roman" w:hAnsi="Times New Roman" w:cs="Times New Roman"/>
          <w:sz w:val="20"/>
          <w:szCs w:val="20"/>
        </w:rPr>
        <w:t xml:space="preserve"> with </w:t>
      </w:r>
      <w:r w:rsidR="00C51473" w:rsidRPr="00601EB3">
        <w:rPr>
          <w:rFonts w:ascii="Times New Roman" w:hAnsi="Times New Roman" w:cs="Times New Roman"/>
          <w:sz w:val="20"/>
          <w:szCs w:val="20"/>
        </w:rPr>
        <w:t xml:space="preserve">a </w:t>
      </w:r>
      <w:r w:rsidR="00BF7BDC" w:rsidRPr="00601EB3">
        <w:rPr>
          <w:rFonts w:ascii="Times New Roman" w:hAnsi="Times New Roman" w:cs="Times New Roman"/>
          <w:sz w:val="20"/>
          <w:szCs w:val="20"/>
        </w:rPr>
        <w:t>median value 8×10</w:t>
      </w:r>
      <w:r w:rsidR="00BF7BDC" w:rsidRPr="00601EB3">
        <w:rPr>
          <w:rFonts w:ascii="Times New Roman" w:hAnsi="Times New Roman" w:cs="Times New Roman"/>
          <w:sz w:val="20"/>
          <w:szCs w:val="20"/>
          <w:vertAlign w:val="superscript"/>
        </w:rPr>
        <w:t>3</w:t>
      </w:r>
      <w:r w:rsidR="00BF7BDC" w:rsidRPr="00601EB3">
        <w:rPr>
          <w:rFonts w:ascii="Times New Roman" w:hAnsi="Times New Roman" w:cs="Times New Roman"/>
          <w:sz w:val="20"/>
          <w:szCs w:val="20"/>
        </w:rPr>
        <w:t>/cm</w:t>
      </w:r>
      <w:r w:rsidR="00BF7BDC" w:rsidRPr="00601EB3">
        <w:rPr>
          <w:rFonts w:ascii="Times New Roman" w:hAnsi="Times New Roman" w:cs="Times New Roman"/>
          <w:sz w:val="20"/>
          <w:szCs w:val="20"/>
          <w:vertAlign w:val="superscript"/>
        </w:rPr>
        <w:t>3</w:t>
      </w:r>
      <w:r w:rsidR="00992341" w:rsidRPr="00601EB3">
        <w:rPr>
          <w:rFonts w:ascii="Times New Roman" w:hAnsi="Times New Roman" w:cs="Times New Roman"/>
          <w:sz w:val="20"/>
          <w:szCs w:val="20"/>
        </w:rPr>
        <w:t>.</w:t>
      </w:r>
      <w:r w:rsidR="00B00A87" w:rsidRPr="00601EB3">
        <w:rPr>
          <w:rFonts w:ascii="Times New Roman" w:hAnsi="Times New Roman" w:cs="Times New Roman"/>
          <w:sz w:val="20"/>
          <w:szCs w:val="20"/>
        </w:rPr>
        <w:t xml:space="preserve"> Platelet</w:t>
      </w:r>
      <w:r w:rsidR="00BF7BDC" w:rsidRPr="00601EB3">
        <w:rPr>
          <w:rFonts w:ascii="Times New Roman" w:hAnsi="Times New Roman" w:cs="Times New Roman"/>
          <w:sz w:val="20"/>
          <w:szCs w:val="20"/>
        </w:rPr>
        <w:t xml:space="preserve"> count ranged from 18×10</w:t>
      </w:r>
      <w:r w:rsidR="00BF7BDC" w:rsidRPr="00601EB3">
        <w:rPr>
          <w:rFonts w:ascii="Times New Roman" w:hAnsi="Times New Roman" w:cs="Times New Roman"/>
          <w:sz w:val="20"/>
          <w:szCs w:val="20"/>
          <w:vertAlign w:val="superscript"/>
        </w:rPr>
        <w:t>6</w:t>
      </w:r>
      <w:r w:rsidR="00BF7BDC" w:rsidRPr="00601EB3">
        <w:rPr>
          <w:rFonts w:ascii="Times New Roman" w:hAnsi="Times New Roman" w:cs="Times New Roman"/>
          <w:sz w:val="20"/>
          <w:szCs w:val="20"/>
        </w:rPr>
        <w:t xml:space="preserve"> to 569×10</w:t>
      </w:r>
      <w:r w:rsidR="00BF7BDC" w:rsidRPr="00601EB3">
        <w:rPr>
          <w:rFonts w:ascii="Times New Roman" w:hAnsi="Times New Roman" w:cs="Times New Roman"/>
          <w:sz w:val="20"/>
          <w:szCs w:val="20"/>
          <w:vertAlign w:val="superscript"/>
        </w:rPr>
        <w:t>6</w:t>
      </w:r>
      <w:r w:rsidR="00BF7BDC" w:rsidRPr="00601EB3">
        <w:rPr>
          <w:rFonts w:ascii="Times New Roman" w:hAnsi="Times New Roman" w:cs="Times New Roman"/>
          <w:sz w:val="20"/>
          <w:szCs w:val="20"/>
        </w:rPr>
        <w:t xml:space="preserve"> /cm</w:t>
      </w:r>
      <w:r w:rsidR="00BF7BDC" w:rsidRPr="00601EB3">
        <w:rPr>
          <w:rFonts w:ascii="Times New Roman" w:hAnsi="Times New Roman" w:cs="Times New Roman"/>
          <w:sz w:val="20"/>
          <w:szCs w:val="20"/>
          <w:vertAlign w:val="superscript"/>
        </w:rPr>
        <w:t>3</w:t>
      </w:r>
      <w:r w:rsidR="00BF7BDC" w:rsidRPr="00601EB3">
        <w:rPr>
          <w:rFonts w:ascii="Times New Roman" w:hAnsi="Times New Roman" w:cs="Times New Roman"/>
          <w:sz w:val="20"/>
          <w:szCs w:val="20"/>
        </w:rPr>
        <w:t xml:space="preserve"> with </w:t>
      </w:r>
      <w:r w:rsidR="005014F0" w:rsidRPr="00601EB3">
        <w:rPr>
          <w:rFonts w:ascii="Times New Roman" w:hAnsi="Times New Roman" w:cs="Times New Roman"/>
          <w:sz w:val="20"/>
          <w:szCs w:val="20"/>
        </w:rPr>
        <w:t xml:space="preserve">a </w:t>
      </w:r>
      <w:r w:rsidR="00BF7BDC" w:rsidRPr="00601EB3">
        <w:rPr>
          <w:rFonts w:ascii="Times New Roman" w:hAnsi="Times New Roman" w:cs="Times New Roman"/>
          <w:sz w:val="20"/>
          <w:szCs w:val="20"/>
        </w:rPr>
        <w:t>median 194.5×10</w:t>
      </w:r>
      <w:r w:rsidR="00BF7BDC" w:rsidRPr="00601EB3">
        <w:rPr>
          <w:rFonts w:ascii="Times New Roman" w:hAnsi="Times New Roman" w:cs="Times New Roman"/>
          <w:sz w:val="20"/>
          <w:szCs w:val="20"/>
          <w:vertAlign w:val="superscript"/>
        </w:rPr>
        <w:t>6</w:t>
      </w:r>
      <w:r w:rsidR="00BF7BDC" w:rsidRPr="00601EB3">
        <w:rPr>
          <w:rFonts w:ascii="Times New Roman" w:hAnsi="Times New Roman" w:cs="Times New Roman"/>
          <w:sz w:val="20"/>
          <w:szCs w:val="20"/>
        </w:rPr>
        <w:t>/cm</w:t>
      </w:r>
      <w:r w:rsidR="00BF7BDC" w:rsidRPr="00601EB3">
        <w:rPr>
          <w:rFonts w:ascii="Times New Roman" w:hAnsi="Times New Roman" w:cs="Times New Roman"/>
          <w:sz w:val="20"/>
          <w:szCs w:val="20"/>
          <w:vertAlign w:val="superscript"/>
        </w:rPr>
        <w:t>3</w:t>
      </w:r>
      <w:r w:rsidR="005014F0" w:rsidRPr="00601EB3">
        <w:rPr>
          <w:rFonts w:ascii="Times New Roman" w:hAnsi="Times New Roman" w:cs="Times New Roman"/>
          <w:sz w:val="20"/>
          <w:szCs w:val="20"/>
        </w:rPr>
        <w:t xml:space="preserve"> and finally,</w:t>
      </w:r>
      <w:r w:rsidR="00BF7BDC" w:rsidRPr="00601EB3">
        <w:rPr>
          <w:rFonts w:ascii="Times New Roman" w:hAnsi="Times New Roman" w:cs="Times New Roman"/>
          <w:sz w:val="20"/>
          <w:szCs w:val="20"/>
        </w:rPr>
        <w:t xml:space="preserve"> lymphocytes % </w:t>
      </w:r>
      <w:r w:rsidR="005014F0" w:rsidRPr="00601EB3">
        <w:rPr>
          <w:rFonts w:ascii="Times New Roman" w:hAnsi="Times New Roman" w:cs="Times New Roman"/>
          <w:sz w:val="20"/>
          <w:szCs w:val="20"/>
        </w:rPr>
        <w:t xml:space="preserve">which </w:t>
      </w:r>
      <w:r w:rsidR="00BF7BDC" w:rsidRPr="00601EB3">
        <w:rPr>
          <w:rFonts w:ascii="Times New Roman" w:hAnsi="Times New Roman" w:cs="Times New Roman"/>
          <w:sz w:val="20"/>
          <w:szCs w:val="20"/>
        </w:rPr>
        <w:t xml:space="preserve">ranged from 6% to 96% with </w:t>
      </w:r>
      <w:r w:rsidR="005014F0" w:rsidRPr="00601EB3">
        <w:rPr>
          <w:rFonts w:ascii="Times New Roman" w:hAnsi="Times New Roman" w:cs="Times New Roman"/>
          <w:sz w:val="20"/>
          <w:szCs w:val="20"/>
        </w:rPr>
        <w:t xml:space="preserve">a </w:t>
      </w:r>
      <w:r w:rsidR="00BF7BDC" w:rsidRPr="00601EB3">
        <w:rPr>
          <w:rFonts w:ascii="Times New Roman" w:hAnsi="Times New Roman" w:cs="Times New Roman"/>
          <w:sz w:val="20"/>
          <w:szCs w:val="20"/>
        </w:rPr>
        <w:t>median 32%</w:t>
      </w:r>
      <w:r w:rsidR="00992341" w:rsidRPr="00601EB3">
        <w:rPr>
          <w:rFonts w:ascii="Times New Roman" w:hAnsi="Times New Roman" w:cs="Times New Roman"/>
          <w:sz w:val="20"/>
          <w:szCs w:val="20"/>
        </w:rPr>
        <w:t>.</w:t>
      </w:r>
      <w:r w:rsidR="00601EB3">
        <w:rPr>
          <w:rFonts w:ascii="Times New Roman" w:hAnsi="Times New Roman" w:cs="Times New Roman"/>
          <w:sz w:val="20"/>
          <w:szCs w:val="20"/>
        </w:rPr>
        <w:t xml:space="preserve"> </w:t>
      </w:r>
      <w:r w:rsidR="00431CE5" w:rsidRPr="00601EB3">
        <w:rPr>
          <w:rFonts w:ascii="Times New Roman" w:hAnsi="Times New Roman" w:cs="Times New Roman"/>
          <w:sz w:val="20"/>
          <w:szCs w:val="20"/>
        </w:rPr>
        <w:t>Bone marrow aspirate (BMA)</w:t>
      </w:r>
      <w:r w:rsidR="00601EB3">
        <w:rPr>
          <w:rFonts w:ascii="Times New Roman" w:hAnsi="Times New Roman" w:cs="Times New Roman"/>
          <w:sz w:val="20"/>
          <w:szCs w:val="20"/>
        </w:rPr>
        <w:t xml:space="preserve"> </w:t>
      </w:r>
      <w:r w:rsidR="00570413" w:rsidRPr="00601EB3">
        <w:rPr>
          <w:rFonts w:ascii="Times New Roman" w:hAnsi="Times New Roman" w:cs="Times New Roman"/>
          <w:sz w:val="20"/>
          <w:szCs w:val="20"/>
        </w:rPr>
        <w:t xml:space="preserve">was </w:t>
      </w:r>
      <w:proofErr w:type="spellStart"/>
      <w:r w:rsidR="00570413" w:rsidRPr="00601EB3">
        <w:rPr>
          <w:rFonts w:ascii="Times New Roman" w:hAnsi="Times New Roman" w:cs="Times New Roman"/>
          <w:sz w:val="20"/>
          <w:szCs w:val="20"/>
        </w:rPr>
        <w:t>normocellular</w:t>
      </w:r>
      <w:proofErr w:type="spellEnd"/>
      <w:r w:rsidR="00570413" w:rsidRPr="00601EB3">
        <w:rPr>
          <w:rFonts w:ascii="Times New Roman" w:hAnsi="Times New Roman" w:cs="Times New Roman"/>
          <w:sz w:val="20"/>
          <w:szCs w:val="20"/>
        </w:rPr>
        <w:t xml:space="preserve"> in (24/40 i.e. 60%), </w:t>
      </w:r>
      <w:proofErr w:type="spellStart"/>
      <w:r w:rsidR="00570413" w:rsidRPr="00601EB3">
        <w:rPr>
          <w:rFonts w:ascii="Times New Roman" w:hAnsi="Times New Roman" w:cs="Times New Roman"/>
          <w:sz w:val="20"/>
          <w:szCs w:val="20"/>
        </w:rPr>
        <w:t>hypercellular</w:t>
      </w:r>
      <w:proofErr w:type="spellEnd"/>
      <w:r w:rsidR="00570413" w:rsidRPr="00601EB3">
        <w:rPr>
          <w:rFonts w:ascii="Times New Roman" w:hAnsi="Times New Roman" w:cs="Times New Roman"/>
          <w:sz w:val="20"/>
          <w:szCs w:val="20"/>
        </w:rPr>
        <w:t xml:space="preserve"> in (11/40 i.e. 27.5%) and </w:t>
      </w:r>
      <w:proofErr w:type="spellStart"/>
      <w:r w:rsidR="00570413" w:rsidRPr="00601EB3">
        <w:rPr>
          <w:rFonts w:ascii="Times New Roman" w:hAnsi="Times New Roman" w:cs="Times New Roman"/>
          <w:sz w:val="20"/>
          <w:szCs w:val="20"/>
        </w:rPr>
        <w:t>hypocellular</w:t>
      </w:r>
      <w:proofErr w:type="spellEnd"/>
      <w:r w:rsidR="00570413" w:rsidRPr="00601EB3">
        <w:rPr>
          <w:rFonts w:ascii="Times New Roman" w:hAnsi="Times New Roman" w:cs="Times New Roman"/>
          <w:sz w:val="20"/>
          <w:szCs w:val="20"/>
        </w:rPr>
        <w:t xml:space="preserve"> in (5/40 i.e. 12.5%) with normal </w:t>
      </w:r>
      <w:proofErr w:type="spellStart"/>
      <w:r w:rsidR="00570413" w:rsidRPr="00601EB3">
        <w:rPr>
          <w:rFonts w:ascii="Times New Roman" w:hAnsi="Times New Roman" w:cs="Times New Roman"/>
          <w:sz w:val="20"/>
          <w:szCs w:val="20"/>
        </w:rPr>
        <w:t>megakaryocytes</w:t>
      </w:r>
      <w:proofErr w:type="spellEnd"/>
      <w:r w:rsidR="00570413" w:rsidRPr="00601EB3">
        <w:rPr>
          <w:rFonts w:ascii="Times New Roman" w:hAnsi="Times New Roman" w:cs="Times New Roman"/>
          <w:sz w:val="20"/>
          <w:szCs w:val="20"/>
        </w:rPr>
        <w:t xml:space="preserve"> in (26/40 i.e. 65%), increased </w:t>
      </w:r>
      <w:proofErr w:type="spellStart"/>
      <w:r w:rsidR="00570413" w:rsidRPr="00601EB3">
        <w:rPr>
          <w:rFonts w:ascii="Times New Roman" w:hAnsi="Times New Roman" w:cs="Times New Roman"/>
          <w:sz w:val="20"/>
          <w:szCs w:val="20"/>
        </w:rPr>
        <w:t>megakaryocytes</w:t>
      </w:r>
      <w:proofErr w:type="spellEnd"/>
      <w:r w:rsidR="00570413" w:rsidRPr="00601EB3">
        <w:rPr>
          <w:rFonts w:ascii="Times New Roman" w:hAnsi="Times New Roman" w:cs="Times New Roman"/>
          <w:sz w:val="20"/>
          <w:szCs w:val="20"/>
        </w:rPr>
        <w:t xml:space="preserve"> in (8/40 i.e. 20%) and decreased </w:t>
      </w:r>
      <w:proofErr w:type="spellStart"/>
      <w:r w:rsidR="00570413" w:rsidRPr="00601EB3">
        <w:rPr>
          <w:rFonts w:ascii="Times New Roman" w:hAnsi="Times New Roman" w:cs="Times New Roman"/>
          <w:sz w:val="20"/>
          <w:szCs w:val="20"/>
        </w:rPr>
        <w:t>megakaryocytes</w:t>
      </w:r>
      <w:proofErr w:type="spellEnd"/>
      <w:r w:rsidR="00570413" w:rsidRPr="00601EB3">
        <w:rPr>
          <w:rFonts w:ascii="Times New Roman" w:hAnsi="Times New Roman" w:cs="Times New Roman"/>
          <w:sz w:val="20"/>
          <w:szCs w:val="20"/>
        </w:rPr>
        <w:t xml:space="preserve"> in (6/40 i.e. 15%)</w:t>
      </w:r>
      <w:r w:rsidR="00BF19CB" w:rsidRPr="00601EB3">
        <w:rPr>
          <w:rFonts w:ascii="Times New Roman" w:hAnsi="Times New Roman" w:cs="Times New Roman"/>
          <w:sz w:val="20"/>
          <w:szCs w:val="20"/>
        </w:rPr>
        <w:t>.</w:t>
      </w:r>
      <w:r w:rsidR="00570413" w:rsidRPr="00601EB3">
        <w:rPr>
          <w:rFonts w:ascii="Times New Roman" w:hAnsi="Times New Roman" w:cs="Times New Roman"/>
          <w:sz w:val="20"/>
          <w:szCs w:val="20"/>
        </w:rPr>
        <w:t xml:space="preserve"> BM lymphocytes % ranged from (6% to 88%) with a m</w:t>
      </w:r>
      <w:r w:rsidR="00BF19CB" w:rsidRPr="00601EB3">
        <w:rPr>
          <w:rFonts w:ascii="Times New Roman" w:hAnsi="Times New Roman" w:cs="Times New Roman"/>
          <w:sz w:val="20"/>
          <w:szCs w:val="20"/>
        </w:rPr>
        <w:t>e</w:t>
      </w:r>
      <w:r w:rsidR="00570413" w:rsidRPr="00601EB3">
        <w:rPr>
          <w:rFonts w:ascii="Times New Roman" w:hAnsi="Times New Roman" w:cs="Times New Roman"/>
          <w:sz w:val="20"/>
          <w:szCs w:val="20"/>
        </w:rPr>
        <w:t>dian</w:t>
      </w:r>
      <w:r w:rsidR="00BF19CB" w:rsidRPr="00601EB3">
        <w:rPr>
          <w:rFonts w:ascii="Times New Roman" w:hAnsi="Times New Roman" w:cs="Times New Roman"/>
          <w:sz w:val="20"/>
          <w:szCs w:val="20"/>
        </w:rPr>
        <w:t xml:space="preserve"> of</w:t>
      </w:r>
      <w:r w:rsidR="00570413" w:rsidRPr="00601EB3">
        <w:rPr>
          <w:rFonts w:ascii="Times New Roman" w:hAnsi="Times New Roman" w:cs="Times New Roman"/>
          <w:sz w:val="20"/>
          <w:szCs w:val="20"/>
        </w:rPr>
        <w:t xml:space="preserve"> 16%.</w:t>
      </w:r>
      <w:r w:rsidR="009A75F6" w:rsidRPr="00601EB3">
        <w:rPr>
          <w:rFonts w:ascii="Times New Roman" w:hAnsi="Times New Roman" w:cs="Times New Roman"/>
          <w:sz w:val="20"/>
          <w:szCs w:val="20"/>
        </w:rPr>
        <w:t>C</w:t>
      </w:r>
      <w:r w:rsidR="00570413" w:rsidRPr="00601EB3">
        <w:rPr>
          <w:rFonts w:ascii="Times New Roman" w:hAnsi="Times New Roman" w:cs="Times New Roman"/>
          <w:sz w:val="20"/>
          <w:szCs w:val="20"/>
        </w:rPr>
        <w:t>ellularity in BM</w:t>
      </w:r>
      <w:r w:rsidR="00D67228">
        <w:rPr>
          <w:rFonts w:ascii="Times New Roman" w:hAnsi="Times New Roman" w:cs="Times New Roman"/>
          <w:sz w:val="20"/>
          <w:szCs w:val="20"/>
        </w:rPr>
        <w:t xml:space="preserve"> </w:t>
      </w:r>
      <w:r w:rsidR="00570413" w:rsidRPr="00601EB3">
        <w:rPr>
          <w:rFonts w:ascii="Times New Roman" w:hAnsi="Times New Roman" w:cs="Times New Roman"/>
          <w:sz w:val="20"/>
          <w:szCs w:val="20"/>
        </w:rPr>
        <w:t>B</w:t>
      </w:r>
      <w:r w:rsidR="00431CE5" w:rsidRPr="00601EB3">
        <w:rPr>
          <w:rFonts w:ascii="Times New Roman" w:hAnsi="Times New Roman" w:cs="Times New Roman"/>
          <w:sz w:val="20"/>
          <w:szCs w:val="20"/>
        </w:rPr>
        <w:t>iopsy</w:t>
      </w:r>
      <w:r w:rsidR="00570413" w:rsidRPr="00601EB3">
        <w:rPr>
          <w:rFonts w:ascii="Times New Roman" w:hAnsi="Times New Roman" w:cs="Times New Roman"/>
          <w:sz w:val="20"/>
          <w:szCs w:val="20"/>
        </w:rPr>
        <w:t xml:space="preserve"> revealed that (21/40 i.e. 52.5%) of cases were </w:t>
      </w:r>
      <w:proofErr w:type="spellStart"/>
      <w:r w:rsidR="00570413" w:rsidRPr="00601EB3">
        <w:rPr>
          <w:rFonts w:ascii="Times New Roman" w:hAnsi="Times New Roman" w:cs="Times New Roman"/>
          <w:sz w:val="20"/>
          <w:szCs w:val="20"/>
        </w:rPr>
        <w:t>normocellular</w:t>
      </w:r>
      <w:proofErr w:type="spellEnd"/>
      <w:r w:rsidR="00570413" w:rsidRPr="00601EB3">
        <w:rPr>
          <w:rFonts w:ascii="Times New Roman" w:hAnsi="Times New Roman" w:cs="Times New Roman"/>
          <w:sz w:val="20"/>
          <w:szCs w:val="20"/>
        </w:rPr>
        <w:t>, (16</w:t>
      </w:r>
      <w:r w:rsidR="00BF19CB" w:rsidRPr="00601EB3">
        <w:rPr>
          <w:rFonts w:ascii="Times New Roman" w:hAnsi="Times New Roman" w:cs="Times New Roman"/>
          <w:sz w:val="20"/>
          <w:szCs w:val="20"/>
        </w:rPr>
        <w:t>/40</w:t>
      </w:r>
      <w:r w:rsidR="00570413" w:rsidRPr="00601EB3">
        <w:rPr>
          <w:rFonts w:ascii="Times New Roman" w:hAnsi="Times New Roman" w:cs="Times New Roman"/>
          <w:sz w:val="20"/>
          <w:szCs w:val="20"/>
        </w:rPr>
        <w:t xml:space="preserve"> i.e. 40%) were </w:t>
      </w:r>
      <w:proofErr w:type="spellStart"/>
      <w:r w:rsidR="00570413" w:rsidRPr="00601EB3">
        <w:rPr>
          <w:rFonts w:ascii="Times New Roman" w:hAnsi="Times New Roman" w:cs="Times New Roman"/>
          <w:sz w:val="20"/>
          <w:szCs w:val="20"/>
        </w:rPr>
        <w:t>hypercellular</w:t>
      </w:r>
      <w:proofErr w:type="spellEnd"/>
      <w:r w:rsidR="00570413" w:rsidRPr="00601EB3">
        <w:rPr>
          <w:rFonts w:ascii="Times New Roman" w:hAnsi="Times New Roman" w:cs="Times New Roman"/>
          <w:sz w:val="20"/>
          <w:szCs w:val="20"/>
        </w:rPr>
        <w:t xml:space="preserve"> and (3</w:t>
      </w:r>
      <w:r w:rsidR="00BF19CB" w:rsidRPr="00601EB3">
        <w:rPr>
          <w:rFonts w:ascii="Times New Roman" w:hAnsi="Times New Roman" w:cs="Times New Roman"/>
          <w:sz w:val="20"/>
          <w:szCs w:val="20"/>
        </w:rPr>
        <w:t>/40</w:t>
      </w:r>
      <w:r w:rsidR="00570413" w:rsidRPr="00601EB3">
        <w:rPr>
          <w:rFonts w:ascii="Times New Roman" w:hAnsi="Times New Roman" w:cs="Times New Roman"/>
          <w:sz w:val="20"/>
          <w:szCs w:val="20"/>
        </w:rPr>
        <w:t xml:space="preserve"> i.e. 7.5%) were </w:t>
      </w:r>
      <w:proofErr w:type="spellStart"/>
      <w:r w:rsidR="00570413" w:rsidRPr="00601EB3">
        <w:rPr>
          <w:rFonts w:ascii="Times New Roman" w:hAnsi="Times New Roman" w:cs="Times New Roman"/>
          <w:sz w:val="20"/>
          <w:szCs w:val="20"/>
        </w:rPr>
        <w:t>hypocellular</w:t>
      </w:r>
      <w:proofErr w:type="spellEnd"/>
      <w:r w:rsidR="00570413" w:rsidRPr="00601EB3">
        <w:rPr>
          <w:rFonts w:ascii="Times New Roman" w:hAnsi="Times New Roman" w:cs="Times New Roman"/>
          <w:sz w:val="20"/>
          <w:szCs w:val="20"/>
        </w:rPr>
        <w:t xml:space="preserve"> with fibrosis in (28</w:t>
      </w:r>
      <w:r w:rsidR="00BF19CB" w:rsidRPr="00601EB3">
        <w:rPr>
          <w:rFonts w:ascii="Times New Roman" w:hAnsi="Times New Roman" w:cs="Times New Roman"/>
          <w:sz w:val="20"/>
          <w:szCs w:val="20"/>
        </w:rPr>
        <w:t>/40</w:t>
      </w:r>
      <w:r w:rsidR="00570413" w:rsidRPr="00601EB3">
        <w:rPr>
          <w:rFonts w:ascii="Times New Roman" w:hAnsi="Times New Roman" w:cs="Times New Roman"/>
          <w:sz w:val="20"/>
          <w:szCs w:val="20"/>
        </w:rPr>
        <w:t xml:space="preserve"> i.e. 70%). The pattern of </w:t>
      </w:r>
      <w:r w:rsidR="009A75F6" w:rsidRPr="00601EB3">
        <w:rPr>
          <w:rFonts w:ascii="Times New Roman" w:hAnsi="Times New Roman" w:cs="Times New Roman"/>
          <w:sz w:val="20"/>
          <w:szCs w:val="20"/>
        </w:rPr>
        <w:t xml:space="preserve">lymphoid </w:t>
      </w:r>
      <w:r w:rsidR="00570413" w:rsidRPr="00601EB3">
        <w:rPr>
          <w:rFonts w:ascii="Times New Roman" w:hAnsi="Times New Roman" w:cs="Times New Roman"/>
          <w:sz w:val="20"/>
          <w:szCs w:val="20"/>
        </w:rPr>
        <w:t xml:space="preserve">infiltration in BMB </w:t>
      </w:r>
      <w:r w:rsidR="009A75F6" w:rsidRPr="00601EB3">
        <w:rPr>
          <w:rFonts w:ascii="Times New Roman" w:hAnsi="Times New Roman" w:cs="Times New Roman"/>
          <w:sz w:val="20"/>
          <w:szCs w:val="20"/>
        </w:rPr>
        <w:t xml:space="preserve">was; </w:t>
      </w:r>
      <w:r w:rsidR="00570413" w:rsidRPr="00601EB3">
        <w:rPr>
          <w:rFonts w:ascii="Times New Roman" w:hAnsi="Times New Roman" w:cs="Times New Roman"/>
          <w:sz w:val="20"/>
          <w:szCs w:val="20"/>
        </w:rPr>
        <w:t>diffuse infiltration in (18</w:t>
      </w:r>
      <w:r w:rsidR="00BF19CB" w:rsidRPr="00601EB3">
        <w:rPr>
          <w:rFonts w:ascii="Times New Roman" w:hAnsi="Times New Roman" w:cs="Times New Roman"/>
          <w:sz w:val="20"/>
          <w:szCs w:val="20"/>
        </w:rPr>
        <w:t>/40</w:t>
      </w:r>
      <w:r w:rsidR="00570413" w:rsidRPr="00601EB3">
        <w:rPr>
          <w:rFonts w:ascii="Times New Roman" w:hAnsi="Times New Roman" w:cs="Times New Roman"/>
          <w:sz w:val="20"/>
          <w:szCs w:val="20"/>
        </w:rPr>
        <w:t xml:space="preserve"> i.e. 45%), patchy infiltration in (15</w:t>
      </w:r>
      <w:r w:rsidR="00BF19CB" w:rsidRPr="00601EB3">
        <w:rPr>
          <w:rFonts w:ascii="Times New Roman" w:hAnsi="Times New Roman" w:cs="Times New Roman"/>
          <w:sz w:val="20"/>
          <w:szCs w:val="20"/>
        </w:rPr>
        <w:t>/40</w:t>
      </w:r>
      <w:r w:rsidR="00570413" w:rsidRPr="00601EB3">
        <w:rPr>
          <w:rFonts w:ascii="Times New Roman" w:hAnsi="Times New Roman" w:cs="Times New Roman"/>
          <w:sz w:val="20"/>
          <w:szCs w:val="20"/>
        </w:rPr>
        <w:t xml:space="preserve"> i.e. 37%) and nodular infiltration in (7</w:t>
      </w:r>
      <w:r w:rsidR="00BF19CB" w:rsidRPr="00601EB3">
        <w:rPr>
          <w:rFonts w:ascii="Times New Roman" w:hAnsi="Times New Roman" w:cs="Times New Roman"/>
          <w:sz w:val="20"/>
          <w:szCs w:val="20"/>
        </w:rPr>
        <w:t>/40</w:t>
      </w:r>
      <w:r w:rsidR="00570413" w:rsidRPr="00601EB3">
        <w:rPr>
          <w:rFonts w:ascii="Times New Roman" w:hAnsi="Times New Roman" w:cs="Times New Roman"/>
          <w:sz w:val="20"/>
          <w:szCs w:val="20"/>
        </w:rPr>
        <w:t xml:space="preserve"> i.e. 17.5%).</w:t>
      </w:r>
      <w:r w:rsidR="00D67228">
        <w:rPr>
          <w:rFonts w:ascii="Times New Roman" w:hAnsi="Times New Roman" w:cs="Times New Roman"/>
          <w:sz w:val="20"/>
          <w:szCs w:val="20"/>
        </w:rPr>
        <w:t xml:space="preserve"> </w:t>
      </w:r>
      <w:proofErr w:type="spellStart"/>
      <w:r w:rsidR="00570413" w:rsidRPr="00601EB3">
        <w:rPr>
          <w:rFonts w:ascii="Times New Roman" w:hAnsi="Times New Roman" w:cs="Times New Roman"/>
          <w:sz w:val="20"/>
          <w:szCs w:val="20"/>
        </w:rPr>
        <w:t>Immunohistochemistry</w:t>
      </w:r>
      <w:proofErr w:type="spellEnd"/>
      <w:r w:rsidR="00570413" w:rsidRPr="00601EB3">
        <w:rPr>
          <w:rFonts w:ascii="Times New Roman" w:hAnsi="Times New Roman" w:cs="Times New Roman"/>
          <w:sz w:val="20"/>
          <w:szCs w:val="20"/>
        </w:rPr>
        <w:t xml:space="preserve"> </w:t>
      </w:r>
      <w:r w:rsidR="009A75F6" w:rsidRPr="00601EB3">
        <w:rPr>
          <w:rFonts w:ascii="Times New Roman" w:hAnsi="Times New Roman" w:cs="Times New Roman"/>
          <w:sz w:val="20"/>
          <w:szCs w:val="20"/>
        </w:rPr>
        <w:t xml:space="preserve">that was done on </w:t>
      </w:r>
      <w:r w:rsidR="00570413" w:rsidRPr="00601EB3">
        <w:rPr>
          <w:rFonts w:ascii="Times New Roman" w:hAnsi="Times New Roman" w:cs="Times New Roman"/>
          <w:sz w:val="20"/>
          <w:szCs w:val="20"/>
        </w:rPr>
        <w:t>BMB revealed that: CD3 was positive in (4/40 i.e. 10%) while CD20 was positive in (36/40 i.e. 90%). There were other markers detected in (20/40 i.e. 50%) of the cases which were:</w:t>
      </w:r>
      <w:r w:rsidR="00D67228">
        <w:rPr>
          <w:rFonts w:ascii="Times New Roman" w:hAnsi="Times New Roman" w:cs="Times New Roman"/>
          <w:sz w:val="20"/>
          <w:szCs w:val="20"/>
        </w:rPr>
        <w:t xml:space="preserve"> </w:t>
      </w:r>
      <w:r w:rsidR="00570413" w:rsidRPr="00601EB3">
        <w:rPr>
          <w:rFonts w:ascii="Times New Roman" w:hAnsi="Times New Roman" w:cs="Times New Roman"/>
          <w:sz w:val="20"/>
          <w:szCs w:val="20"/>
        </w:rPr>
        <w:t xml:space="preserve">Bcl2 in (8/20 i.e. 40%), </w:t>
      </w:r>
      <w:r w:rsidR="00570413" w:rsidRPr="00601EB3">
        <w:rPr>
          <w:rFonts w:ascii="Times New Roman" w:hAnsi="Times New Roman" w:cs="Times New Roman"/>
          <w:sz w:val="20"/>
          <w:szCs w:val="20"/>
        </w:rPr>
        <w:lastRenderedPageBreak/>
        <w:t xml:space="preserve">CD23 in (2/20 i.e. 10%), CD5 in (4/20 i.e. 20%), CD19 in (4/20 i.e. 20%), CD22 in (2/20 i.e. 10%), </w:t>
      </w:r>
      <w:proofErr w:type="spellStart"/>
      <w:r w:rsidR="00570413" w:rsidRPr="00601EB3">
        <w:rPr>
          <w:rFonts w:ascii="Times New Roman" w:hAnsi="Times New Roman" w:cs="Times New Roman"/>
          <w:sz w:val="20"/>
          <w:szCs w:val="20"/>
        </w:rPr>
        <w:t>IgMLA</w:t>
      </w:r>
      <w:proofErr w:type="spellEnd"/>
      <w:r w:rsidR="00570413" w:rsidRPr="00601EB3">
        <w:rPr>
          <w:rFonts w:ascii="Times New Roman" w:hAnsi="Times New Roman" w:cs="Times New Roman"/>
          <w:sz w:val="20"/>
          <w:szCs w:val="20"/>
        </w:rPr>
        <w:t xml:space="preserve"> (3/20 i.e. 15%), CD75a in (6/20 i.e. 30%) and CD75b in (2/20 i.e. 10%) and each of CD45Ro, CD10, CD30, CD43 11C, CD103, CD25 and CD20 detected in (1/20 i.e. 5%)</w:t>
      </w:r>
      <w:r w:rsidR="00BF19CB" w:rsidRPr="00601EB3">
        <w:rPr>
          <w:rFonts w:ascii="Times New Roman" w:hAnsi="Times New Roman" w:cs="Times New Roman"/>
          <w:sz w:val="20"/>
          <w:szCs w:val="20"/>
        </w:rPr>
        <w:t>.</w:t>
      </w:r>
      <w:r w:rsidR="00A52705" w:rsidRPr="00601EB3">
        <w:rPr>
          <w:rFonts w:ascii="Times New Roman" w:hAnsi="Times New Roman" w:cs="Times New Roman"/>
          <w:sz w:val="20"/>
          <w:szCs w:val="20"/>
        </w:rPr>
        <w:t>Accord</w:t>
      </w:r>
      <w:r w:rsidR="00EF32FF" w:rsidRPr="00601EB3">
        <w:rPr>
          <w:rFonts w:ascii="Times New Roman" w:hAnsi="Times New Roman" w:cs="Times New Roman"/>
          <w:sz w:val="20"/>
          <w:szCs w:val="20"/>
        </w:rPr>
        <w:t>ing to the response of NHL patients to treatment</w:t>
      </w:r>
      <w:r w:rsidR="00A52705" w:rsidRPr="00601EB3">
        <w:rPr>
          <w:rFonts w:ascii="Times New Roman" w:hAnsi="Times New Roman" w:cs="Times New Roman"/>
          <w:sz w:val="20"/>
          <w:szCs w:val="20"/>
        </w:rPr>
        <w:t xml:space="preserve">; </w:t>
      </w:r>
      <w:r w:rsidR="004F2588" w:rsidRPr="00601EB3">
        <w:rPr>
          <w:rFonts w:ascii="Times New Roman" w:hAnsi="Times New Roman" w:cs="Times New Roman"/>
          <w:sz w:val="20"/>
          <w:szCs w:val="20"/>
        </w:rPr>
        <w:t>(23/40</w:t>
      </w:r>
      <w:r w:rsidR="001F4F95" w:rsidRPr="00601EB3">
        <w:rPr>
          <w:rFonts w:ascii="Times New Roman" w:hAnsi="Times New Roman" w:cs="Times New Roman"/>
          <w:sz w:val="20"/>
          <w:szCs w:val="20"/>
        </w:rPr>
        <w:t xml:space="preserve"> patients</w:t>
      </w:r>
      <w:r w:rsidR="004F2588" w:rsidRPr="00601EB3">
        <w:rPr>
          <w:rFonts w:ascii="Times New Roman" w:hAnsi="Times New Roman" w:cs="Times New Roman"/>
          <w:sz w:val="20"/>
          <w:szCs w:val="20"/>
        </w:rPr>
        <w:t xml:space="preserve"> i.e. 57.5%) showed complete remission while (17/40 i.e. 42.5) did not show complete remission. Out of the responders; (5/23 i.e. 21.7%) showed relapse </w:t>
      </w:r>
      <w:r w:rsidR="00431CE5" w:rsidRPr="00601EB3">
        <w:rPr>
          <w:rFonts w:ascii="Times New Roman" w:hAnsi="Times New Roman" w:cs="Times New Roman"/>
          <w:sz w:val="20"/>
          <w:szCs w:val="20"/>
        </w:rPr>
        <w:t>of the disease and (1/23 i.e. 4</w:t>
      </w:r>
      <w:r w:rsidR="004F2588" w:rsidRPr="00601EB3">
        <w:rPr>
          <w:rFonts w:ascii="Times New Roman" w:hAnsi="Times New Roman" w:cs="Times New Roman"/>
          <w:sz w:val="20"/>
          <w:szCs w:val="20"/>
        </w:rPr>
        <w:t>.3%) was dead. (21/40 i.e. 52.5%) of the patient</w:t>
      </w:r>
      <w:r w:rsidR="00806456" w:rsidRPr="00601EB3">
        <w:rPr>
          <w:rFonts w:ascii="Times New Roman" w:hAnsi="Times New Roman" w:cs="Times New Roman"/>
          <w:sz w:val="20"/>
          <w:szCs w:val="20"/>
        </w:rPr>
        <w:t>s</w:t>
      </w:r>
      <w:r w:rsidR="004F2588" w:rsidRPr="00601EB3">
        <w:rPr>
          <w:rFonts w:ascii="Times New Roman" w:hAnsi="Times New Roman" w:cs="Times New Roman"/>
          <w:sz w:val="20"/>
          <w:szCs w:val="20"/>
        </w:rPr>
        <w:t xml:space="preserve"> were alive to the end of follow up while (19/40 i.e. 47.5%) were dead</w:t>
      </w:r>
      <w:r w:rsidR="00BF19CB" w:rsidRPr="00601EB3">
        <w:rPr>
          <w:rFonts w:ascii="Times New Roman" w:hAnsi="Times New Roman" w:cs="Times New Roman"/>
          <w:sz w:val="20"/>
          <w:szCs w:val="20"/>
        </w:rPr>
        <w:t>.</w:t>
      </w:r>
      <w:r w:rsidR="00D67228">
        <w:rPr>
          <w:rFonts w:ascii="Times New Roman" w:hAnsi="Times New Roman" w:cs="Times New Roman"/>
          <w:sz w:val="20"/>
          <w:szCs w:val="20"/>
        </w:rPr>
        <w:t xml:space="preserve"> </w:t>
      </w:r>
      <w:r w:rsidR="00DC5895" w:rsidRPr="00601EB3">
        <w:rPr>
          <w:rFonts w:ascii="Times New Roman" w:hAnsi="Times New Roman" w:cs="Times New Roman"/>
          <w:sz w:val="20"/>
          <w:szCs w:val="20"/>
        </w:rPr>
        <w:t>Concerning</w:t>
      </w:r>
      <w:r w:rsidR="00D67228">
        <w:rPr>
          <w:rFonts w:ascii="Times New Roman" w:hAnsi="Times New Roman" w:cs="Times New Roman"/>
          <w:sz w:val="20"/>
          <w:szCs w:val="20"/>
        </w:rPr>
        <w:t xml:space="preserve"> </w:t>
      </w:r>
      <w:r w:rsidR="005C5C9D" w:rsidRPr="00601EB3">
        <w:rPr>
          <w:rFonts w:ascii="Times New Roman" w:hAnsi="Times New Roman" w:cs="Times New Roman"/>
          <w:sz w:val="20"/>
          <w:szCs w:val="20"/>
        </w:rPr>
        <w:t>Single marker expression</w:t>
      </w:r>
      <w:r w:rsidR="00DC5895" w:rsidRPr="00601EB3">
        <w:rPr>
          <w:rFonts w:ascii="Times New Roman" w:hAnsi="Times New Roman" w:cs="Times New Roman"/>
          <w:sz w:val="20"/>
          <w:szCs w:val="20"/>
        </w:rPr>
        <w:t xml:space="preserve">: </w:t>
      </w:r>
      <w:r w:rsidR="00DC6E78" w:rsidRPr="00601EB3">
        <w:rPr>
          <w:rFonts w:ascii="Times New Roman" w:hAnsi="Times New Roman" w:cs="Times New Roman"/>
          <w:sz w:val="20"/>
          <w:szCs w:val="20"/>
        </w:rPr>
        <w:t xml:space="preserve">VEGF-A </w:t>
      </w:r>
      <w:r w:rsidR="00D57CC2" w:rsidRPr="00601EB3">
        <w:rPr>
          <w:rFonts w:ascii="Times New Roman" w:hAnsi="Times New Roman" w:cs="Times New Roman"/>
          <w:sz w:val="20"/>
          <w:szCs w:val="20"/>
        </w:rPr>
        <w:t>was expressed</w:t>
      </w:r>
      <w:r w:rsidR="00DC6E78" w:rsidRPr="00601EB3">
        <w:rPr>
          <w:rFonts w:ascii="Times New Roman" w:hAnsi="Times New Roman" w:cs="Times New Roman"/>
          <w:sz w:val="20"/>
          <w:szCs w:val="20"/>
        </w:rPr>
        <w:t xml:space="preserve"> in (21/40 i.e. 52.5%) of the </w:t>
      </w:r>
      <w:r w:rsidR="001225DC" w:rsidRPr="00601EB3">
        <w:rPr>
          <w:rFonts w:ascii="Times New Roman" w:hAnsi="Times New Roman" w:cs="Times New Roman"/>
          <w:sz w:val="20"/>
          <w:szCs w:val="20"/>
        </w:rPr>
        <w:t>cases.</w:t>
      </w:r>
      <w:r w:rsidR="00DC6E78" w:rsidRPr="00601EB3">
        <w:rPr>
          <w:rFonts w:ascii="Times New Roman" w:hAnsi="Times New Roman" w:cs="Times New Roman"/>
          <w:sz w:val="20"/>
          <w:szCs w:val="20"/>
        </w:rPr>
        <w:t xml:space="preserve"> (7/21 i.e. 33.3%) showed moderate expression and (14/21 i.e. 66.7%) showed strong expression, while it was not detected in (19/40 i.e. 47.5%).</w:t>
      </w:r>
      <w:r w:rsidR="00D67228">
        <w:rPr>
          <w:rFonts w:ascii="Times New Roman" w:hAnsi="Times New Roman" w:cs="Times New Roman"/>
          <w:sz w:val="20"/>
          <w:szCs w:val="20"/>
        </w:rPr>
        <w:t xml:space="preserve"> </w:t>
      </w:r>
      <w:r w:rsidR="00DC6E78" w:rsidRPr="00601EB3">
        <w:rPr>
          <w:rFonts w:ascii="Times New Roman" w:hAnsi="Times New Roman" w:cs="Times New Roman"/>
          <w:sz w:val="20"/>
          <w:szCs w:val="20"/>
        </w:rPr>
        <w:t xml:space="preserve">COX2 </w:t>
      </w:r>
      <w:r w:rsidR="00D57CC2" w:rsidRPr="00601EB3">
        <w:rPr>
          <w:rFonts w:ascii="Times New Roman" w:hAnsi="Times New Roman" w:cs="Times New Roman"/>
          <w:sz w:val="20"/>
          <w:szCs w:val="20"/>
        </w:rPr>
        <w:t xml:space="preserve">was expressed </w:t>
      </w:r>
      <w:r w:rsidR="00DC6E78" w:rsidRPr="00601EB3">
        <w:rPr>
          <w:rFonts w:ascii="Times New Roman" w:hAnsi="Times New Roman" w:cs="Times New Roman"/>
          <w:sz w:val="20"/>
          <w:szCs w:val="20"/>
        </w:rPr>
        <w:t xml:space="preserve">in (24/40 i.e. 60%) of the patients, (17/24 i.e. 70.8%) </w:t>
      </w:r>
      <w:r w:rsidR="00D57CC2" w:rsidRPr="00601EB3">
        <w:rPr>
          <w:rFonts w:ascii="Times New Roman" w:hAnsi="Times New Roman" w:cs="Times New Roman"/>
          <w:sz w:val="20"/>
          <w:szCs w:val="20"/>
        </w:rPr>
        <w:t>showed</w:t>
      </w:r>
      <w:r w:rsidR="00DC6E78" w:rsidRPr="00601EB3">
        <w:rPr>
          <w:rFonts w:ascii="Times New Roman" w:hAnsi="Times New Roman" w:cs="Times New Roman"/>
          <w:sz w:val="20"/>
          <w:szCs w:val="20"/>
        </w:rPr>
        <w:t xml:space="preserve"> weak expression, (6/24 i.e. 25%) </w:t>
      </w:r>
      <w:r w:rsidR="00D57CC2" w:rsidRPr="00601EB3">
        <w:rPr>
          <w:rFonts w:ascii="Times New Roman" w:hAnsi="Times New Roman" w:cs="Times New Roman"/>
          <w:sz w:val="20"/>
          <w:szCs w:val="20"/>
        </w:rPr>
        <w:t>showed</w:t>
      </w:r>
      <w:r w:rsidR="00DC6E78" w:rsidRPr="00601EB3">
        <w:rPr>
          <w:rFonts w:ascii="Times New Roman" w:hAnsi="Times New Roman" w:cs="Times New Roman"/>
          <w:sz w:val="20"/>
          <w:szCs w:val="20"/>
        </w:rPr>
        <w:t xml:space="preserve"> moderate expression and (1/24 only i.e. 4.2%) was strong expression, while it was not detected in (16/40 i.e. 40%)</w:t>
      </w:r>
      <w:r w:rsidR="00484A05" w:rsidRPr="00601EB3">
        <w:rPr>
          <w:rFonts w:ascii="Times New Roman" w:hAnsi="Times New Roman" w:cs="Times New Roman"/>
          <w:sz w:val="20"/>
          <w:szCs w:val="20"/>
        </w:rPr>
        <w:t>(</w:t>
      </w:r>
      <w:r w:rsidR="000C41A0" w:rsidRPr="00601EB3">
        <w:rPr>
          <w:rFonts w:ascii="Times New Roman" w:hAnsi="Times New Roman" w:cs="Times New Roman"/>
          <w:sz w:val="20"/>
          <w:szCs w:val="20"/>
        </w:rPr>
        <w:t>Table 2</w:t>
      </w:r>
      <w:r w:rsidR="00B8379D" w:rsidRPr="00601EB3">
        <w:rPr>
          <w:rFonts w:ascii="Times New Roman" w:hAnsi="Times New Roman" w:cs="Times New Roman"/>
          <w:sz w:val="20"/>
          <w:szCs w:val="20"/>
        </w:rPr>
        <w:t>)</w:t>
      </w:r>
      <w:r w:rsidR="00484A05" w:rsidRPr="00601EB3">
        <w:rPr>
          <w:rFonts w:ascii="Times New Roman" w:hAnsi="Times New Roman" w:cs="Times New Roman"/>
          <w:sz w:val="20"/>
          <w:szCs w:val="20"/>
        </w:rPr>
        <w:t xml:space="preserve">. </w:t>
      </w:r>
      <w:r w:rsidR="00887F9B" w:rsidRPr="00601EB3">
        <w:rPr>
          <w:rFonts w:ascii="Times New Roman" w:hAnsi="Times New Roman" w:cs="Times New Roman"/>
          <w:sz w:val="20"/>
          <w:szCs w:val="20"/>
        </w:rPr>
        <w:t>No significant difference was found</w:t>
      </w:r>
      <w:r w:rsidR="005F7D24" w:rsidRPr="00601EB3">
        <w:rPr>
          <w:rFonts w:ascii="Times New Roman" w:hAnsi="Times New Roman" w:cs="Times New Roman"/>
          <w:sz w:val="20"/>
          <w:szCs w:val="20"/>
        </w:rPr>
        <w:t xml:space="preserve"> between</w:t>
      </w:r>
      <w:r w:rsidR="005A01D3" w:rsidRPr="00601EB3">
        <w:rPr>
          <w:rFonts w:ascii="Times New Roman" w:hAnsi="Times New Roman" w:cs="Times New Roman"/>
          <w:sz w:val="20"/>
          <w:szCs w:val="20"/>
        </w:rPr>
        <w:t xml:space="preserve"> VEGF-A and COX2 expression </w:t>
      </w:r>
      <w:r w:rsidR="00DC6E78" w:rsidRPr="00601EB3">
        <w:rPr>
          <w:rFonts w:ascii="Times New Roman" w:hAnsi="Times New Roman" w:cs="Times New Roman"/>
          <w:sz w:val="20"/>
          <w:szCs w:val="20"/>
        </w:rPr>
        <w:t>(P=0.09) as both were positive in 10/40 (25%), both were negative in 5/40 (12.5%) and single marker (VEGF-A or COX-2) was positive in 25/40 (62.5%)</w:t>
      </w:r>
      <w:r w:rsidR="00D67228">
        <w:rPr>
          <w:rFonts w:ascii="Times New Roman" w:hAnsi="Times New Roman" w:cs="Times New Roman"/>
          <w:sz w:val="20"/>
          <w:szCs w:val="20"/>
        </w:rPr>
        <w:t xml:space="preserve"> </w:t>
      </w:r>
      <w:r w:rsidR="00484A05" w:rsidRPr="00601EB3">
        <w:rPr>
          <w:rFonts w:ascii="Times New Roman" w:hAnsi="Times New Roman" w:cs="Times New Roman"/>
          <w:sz w:val="20"/>
          <w:szCs w:val="20"/>
        </w:rPr>
        <w:t>(</w:t>
      </w:r>
      <w:r w:rsidR="00AB71CC" w:rsidRPr="00601EB3">
        <w:rPr>
          <w:rFonts w:ascii="Times New Roman" w:hAnsi="Times New Roman" w:cs="Times New Roman"/>
          <w:sz w:val="20"/>
          <w:szCs w:val="20"/>
        </w:rPr>
        <w:t xml:space="preserve">Table </w:t>
      </w:r>
      <w:r w:rsidR="00887F9B" w:rsidRPr="00601EB3">
        <w:rPr>
          <w:rFonts w:ascii="Times New Roman" w:hAnsi="Times New Roman" w:cs="Times New Roman"/>
          <w:sz w:val="20"/>
          <w:szCs w:val="20"/>
        </w:rPr>
        <w:t>3</w:t>
      </w:r>
      <w:r w:rsidR="00AB71CC" w:rsidRPr="00601EB3">
        <w:rPr>
          <w:rFonts w:ascii="Times New Roman" w:hAnsi="Times New Roman" w:cs="Times New Roman"/>
          <w:sz w:val="20"/>
          <w:szCs w:val="20"/>
        </w:rPr>
        <w:t>)</w:t>
      </w:r>
      <w:r w:rsidR="00484A05" w:rsidRPr="00601EB3">
        <w:rPr>
          <w:rFonts w:ascii="Times New Roman" w:hAnsi="Times New Roman" w:cs="Times New Roman"/>
          <w:sz w:val="20"/>
          <w:szCs w:val="20"/>
        </w:rPr>
        <w:t xml:space="preserve">. </w:t>
      </w:r>
      <w:r w:rsidR="00AA6A5D" w:rsidRPr="00601EB3">
        <w:rPr>
          <w:rFonts w:ascii="Times New Roman" w:hAnsi="Times New Roman" w:cs="Times New Roman"/>
          <w:sz w:val="20"/>
          <w:szCs w:val="20"/>
        </w:rPr>
        <w:t>Table 4</w:t>
      </w:r>
      <w:r w:rsidR="00484A05" w:rsidRPr="00601EB3">
        <w:rPr>
          <w:rFonts w:ascii="Times New Roman" w:hAnsi="Times New Roman" w:cs="Times New Roman"/>
          <w:sz w:val="20"/>
          <w:szCs w:val="20"/>
        </w:rPr>
        <w:t xml:space="preserve"> r</w:t>
      </w:r>
      <w:r w:rsidR="00AA6A5D" w:rsidRPr="00601EB3">
        <w:rPr>
          <w:rFonts w:ascii="Times New Roman" w:hAnsi="Times New Roman" w:cs="Times New Roman"/>
          <w:sz w:val="20"/>
          <w:szCs w:val="20"/>
        </w:rPr>
        <w:t>epresents the d</w:t>
      </w:r>
      <w:r w:rsidR="0072792D" w:rsidRPr="00601EB3">
        <w:rPr>
          <w:rFonts w:ascii="Times New Roman" w:hAnsi="Times New Roman" w:cs="Times New Roman"/>
          <w:sz w:val="20"/>
          <w:szCs w:val="20"/>
        </w:rPr>
        <w:t xml:space="preserve">escriptive study for </w:t>
      </w:r>
      <w:r w:rsidR="00476EA3" w:rsidRPr="00601EB3">
        <w:rPr>
          <w:rFonts w:ascii="Times New Roman" w:hAnsi="Times New Roman" w:cs="Times New Roman"/>
          <w:sz w:val="20"/>
          <w:szCs w:val="20"/>
        </w:rPr>
        <w:t xml:space="preserve">cases </w:t>
      </w:r>
      <w:r w:rsidR="00AA6A5D" w:rsidRPr="00601EB3">
        <w:rPr>
          <w:rFonts w:ascii="Times New Roman" w:hAnsi="Times New Roman" w:cs="Times New Roman"/>
          <w:sz w:val="20"/>
          <w:szCs w:val="20"/>
        </w:rPr>
        <w:t>with</w:t>
      </w:r>
      <w:r w:rsidR="00D67228">
        <w:rPr>
          <w:rFonts w:ascii="Times New Roman" w:hAnsi="Times New Roman" w:cs="Times New Roman"/>
          <w:sz w:val="20"/>
          <w:szCs w:val="20"/>
        </w:rPr>
        <w:t xml:space="preserve"> </w:t>
      </w:r>
      <w:r w:rsidR="0072792D" w:rsidRPr="00601EB3">
        <w:rPr>
          <w:rFonts w:ascii="Times New Roman" w:hAnsi="Times New Roman" w:cs="Times New Roman"/>
          <w:sz w:val="20"/>
          <w:szCs w:val="20"/>
        </w:rPr>
        <w:t xml:space="preserve">VEGF-A </w:t>
      </w:r>
      <w:r w:rsidR="00476EA3" w:rsidRPr="00601EB3">
        <w:rPr>
          <w:rFonts w:ascii="Times New Roman" w:hAnsi="Times New Roman" w:cs="Times New Roman"/>
          <w:sz w:val="20"/>
          <w:szCs w:val="20"/>
        </w:rPr>
        <w:t xml:space="preserve">positive </w:t>
      </w:r>
      <w:r w:rsidR="00AA6A5D" w:rsidRPr="00601EB3">
        <w:rPr>
          <w:rFonts w:ascii="Times New Roman" w:hAnsi="Times New Roman" w:cs="Times New Roman"/>
          <w:sz w:val="20"/>
          <w:szCs w:val="20"/>
        </w:rPr>
        <w:t xml:space="preserve">and negative </w:t>
      </w:r>
      <w:r w:rsidR="0072792D" w:rsidRPr="00601EB3">
        <w:rPr>
          <w:rFonts w:ascii="Times New Roman" w:hAnsi="Times New Roman" w:cs="Times New Roman"/>
          <w:sz w:val="20"/>
          <w:szCs w:val="20"/>
        </w:rPr>
        <w:t xml:space="preserve">expression </w:t>
      </w:r>
      <w:r w:rsidR="00AA6A5D" w:rsidRPr="00601EB3">
        <w:rPr>
          <w:rFonts w:ascii="Times New Roman" w:hAnsi="Times New Roman" w:cs="Times New Roman"/>
          <w:sz w:val="20"/>
          <w:szCs w:val="20"/>
        </w:rPr>
        <w:t>(</w:t>
      </w:r>
      <w:r w:rsidR="000B4641" w:rsidRPr="00601EB3">
        <w:rPr>
          <w:rFonts w:ascii="Times New Roman" w:hAnsi="Times New Roman" w:cs="Times New Roman"/>
          <w:sz w:val="20"/>
          <w:szCs w:val="20"/>
        </w:rPr>
        <w:t xml:space="preserve">21/40 </w:t>
      </w:r>
      <w:r w:rsidR="00AA6A5D" w:rsidRPr="00601EB3">
        <w:rPr>
          <w:rFonts w:ascii="Times New Roman" w:hAnsi="Times New Roman" w:cs="Times New Roman"/>
          <w:sz w:val="20"/>
          <w:szCs w:val="20"/>
        </w:rPr>
        <w:t>(</w:t>
      </w:r>
      <w:r w:rsidR="00506962" w:rsidRPr="00601EB3">
        <w:rPr>
          <w:rFonts w:ascii="Times New Roman" w:hAnsi="Times New Roman" w:cs="Times New Roman"/>
          <w:sz w:val="20"/>
          <w:szCs w:val="20"/>
        </w:rPr>
        <w:t>52.5%</w:t>
      </w:r>
      <w:r w:rsidR="00AA6A5D" w:rsidRPr="00601EB3">
        <w:rPr>
          <w:rFonts w:ascii="Times New Roman" w:hAnsi="Times New Roman" w:cs="Times New Roman"/>
          <w:sz w:val="20"/>
          <w:szCs w:val="20"/>
        </w:rPr>
        <w:t>), 19/40 (47.5%</w:t>
      </w:r>
      <w:r w:rsidR="00F76510" w:rsidRPr="00601EB3">
        <w:rPr>
          <w:rFonts w:ascii="Times New Roman" w:hAnsi="Times New Roman" w:cs="Times New Roman"/>
          <w:sz w:val="20"/>
          <w:szCs w:val="20"/>
        </w:rPr>
        <w:t>)</w:t>
      </w:r>
      <w:r w:rsidR="00AA6A5D" w:rsidRPr="00601EB3">
        <w:rPr>
          <w:rFonts w:ascii="Times New Roman" w:hAnsi="Times New Roman" w:cs="Times New Roman"/>
          <w:sz w:val="20"/>
          <w:szCs w:val="20"/>
        </w:rPr>
        <w:t>),</w:t>
      </w:r>
      <w:r w:rsidR="007C06F0" w:rsidRPr="00601EB3">
        <w:rPr>
          <w:rFonts w:ascii="Times New Roman" w:hAnsi="Times New Roman" w:cs="Times New Roman"/>
          <w:sz w:val="20"/>
          <w:szCs w:val="20"/>
        </w:rPr>
        <w:t xml:space="preserve"> COX2 positive </w:t>
      </w:r>
      <w:r w:rsidR="00F76510" w:rsidRPr="00601EB3">
        <w:rPr>
          <w:rFonts w:ascii="Times New Roman" w:hAnsi="Times New Roman" w:cs="Times New Roman"/>
          <w:sz w:val="20"/>
          <w:szCs w:val="20"/>
        </w:rPr>
        <w:t xml:space="preserve">and negative </w:t>
      </w:r>
      <w:r w:rsidR="007C06F0" w:rsidRPr="00601EB3">
        <w:rPr>
          <w:rFonts w:ascii="Times New Roman" w:hAnsi="Times New Roman" w:cs="Times New Roman"/>
          <w:sz w:val="20"/>
          <w:szCs w:val="20"/>
        </w:rPr>
        <w:t xml:space="preserve">expression (24/40 i.e. </w:t>
      </w:r>
      <w:r w:rsidR="007D5BCD" w:rsidRPr="00601EB3">
        <w:rPr>
          <w:rFonts w:ascii="Times New Roman" w:hAnsi="Times New Roman" w:cs="Times New Roman"/>
          <w:sz w:val="20"/>
          <w:szCs w:val="20"/>
        </w:rPr>
        <w:t>(</w:t>
      </w:r>
      <w:r w:rsidR="007C06F0" w:rsidRPr="00601EB3">
        <w:rPr>
          <w:rFonts w:ascii="Times New Roman" w:hAnsi="Times New Roman" w:cs="Times New Roman"/>
          <w:sz w:val="20"/>
          <w:szCs w:val="20"/>
        </w:rPr>
        <w:t>60%</w:t>
      </w:r>
      <w:r w:rsidR="007D5BCD" w:rsidRPr="00601EB3">
        <w:rPr>
          <w:rFonts w:ascii="Times New Roman" w:hAnsi="Times New Roman" w:cs="Times New Roman"/>
          <w:sz w:val="20"/>
          <w:szCs w:val="20"/>
        </w:rPr>
        <w:t>), 16/40, (40%)</w:t>
      </w:r>
      <w:r w:rsidR="007C06F0" w:rsidRPr="00601EB3">
        <w:rPr>
          <w:rFonts w:ascii="Times New Roman" w:hAnsi="Times New Roman" w:cs="Times New Roman"/>
          <w:sz w:val="20"/>
          <w:szCs w:val="20"/>
        </w:rPr>
        <w:t xml:space="preserve">) </w:t>
      </w:r>
      <w:r w:rsidR="00F76510" w:rsidRPr="00601EB3">
        <w:rPr>
          <w:rFonts w:ascii="Times New Roman" w:hAnsi="Times New Roman" w:cs="Times New Roman"/>
          <w:sz w:val="20"/>
          <w:szCs w:val="20"/>
        </w:rPr>
        <w:t>in relation to demographic data of patients showing</w:t>
      </w:r>
      <w:r w:rsidR="00DB0B11" w:rsidRPr="00601EB3">
        <w:rPr>
          <w:rFonts w:ascii="Times New Roman" w:hAnsi="Times New Roman" w:cs="Times New Roman"/>
          <w:sz w:val="20"/>
          <w:szCs w:val="20"/>
        </w:rPr>
        <w:t xml:space="preserve"> no statistical difference with any of the studied parameters</w:t>
      </w:r>
      <w:r w:rsidR="00126E05" w:rsidRPr="00601EB3">
        <w:rPr>
          <w:rFonts w:ascii="Times New Roman" w:hAnsi="Times New Roman" w:cs="Times New Roman"/>
          <w:sz w:val="20"/>
          <w:szCs w:val="20"/>
        </w:rPr>
        <w:t xml:space="preserve"> except with age which was higher in VEGF-A negative patients (P=0.</w:t>
      </w:r>
      <w:r w:rsidR="005F7D24" w:rsidRPr="00601EB3">
        <w:rPr>
          <w:rFonts w:ascii="Times New Roman" w:hAnsi="Times New Roman" w:cs="Times New Roman"/>
          <w:sz w:val="20"/>
          <w:szCs w:val="20"/>
        </w:rPr>
        <w:t>0</w:t>
      </w:r>
      <w:r w:rsidR="00126E05" w:rsidRPr="00601EB3">
        <w:rPr>
          <w:rFonts w:ascii="Times New Roman" w:hAnsi="Times New Roman" w:cs="Times New Roman"/>
          <w:sz w:val="20"/>
          <w:szCs w:val="20"/>
        </w:rPr>
        <w:t>41)</w:t>
      </w:r>
      <w:r w:rsidR="00DB0B11" w:rsidRPr="00601EB3">
        <w:rPr>
          <w:rFonts w:ascii="Times New Roman" w:hAnsi="Times New Roman" w:cs="Times New Roman"/>
          <w:sz w:val="20"/>
          <w:szCs w:val="20"/>
        </w:rPr>
        <w:t>.</w:t>
      </w:r>
      <w:r w:rsidR="00126E05" w:rsidRPr="00601EB3">
        <w:rPr>
          <w:rFonts w:ascii="Times New Roman" w:hAnsi="Times New Roman" w:cs="Times New Roman"/>
          <w:sz w:val="20"/>
          <w:szCs w:val="20"/>
        </w:rPr>
        <w:t xml:space="preserve"> Table 5</w:t>
      </w:r>
      <w:r w:rsidR="002D5C98" w:rsidRPr="00601EB3">
        <w:rPr>
          <w:rFonts w:ascii="Times New Roman" w:hAnsi="Times New Roman" w:cs="Times New Roman"/>
          <w:sz w:val="20"/>
          <w:szCs w:val="20"/>
        </w:rPr>
        <w:t xml:space="preserve"> shows markers expression (positive and negative)in relation to</w:t>
      </w:r>
      <w:r w:rsidR="00126E05" w:rsidRPr="00601EB3">
        <w:rPr>
          <w:rFonts w:ascii="Times New Roman" w:hAnsi="Times New Roman" w:cs="Times New Roman"/>
          <w:sz w:val="20"/>
          <w:szCs w:val="20"/>
        </w:rPr>
        <w:t xml:space="preserve"> pathologic</w:t>
      </w:r>
      <w:r w:rsidR="002D5C98" w:rsidRPr="00601EB3">
        <w:rPr>
          <w:rFonts w:ascii="Times New Roman" w:hAnsi="Times New Roman" w:cs="Times New Roman"/>
          <w:sz w:val="20"/>
          <w:szCs w:val="20"/>
        </w:rPr>
        <w:t>al</w:t>
      </w:r>
      <w:r w:rsidR="00126E05" w:rsidRPr="00601EB3">
        <w:rPr>
          <w:rFonts w:ascii="Times New Roman" w:hAnsi="Times New Roman" w:cs="Times New Roman"/>
          <w:sz w:val="20"/>
          <w:szCs w:val="20"/>
        </w:rPr>
        <w:t xml:space="preserve"> subtype</w:t>
      </w:r>
      <w:r w:rsidR="002D5C98" w:rsidRPr="00601EB3">
        <w:rPr>
          <w:rFonts w:ascii="Times New Roman" w:hAnsi="Times New Roman" w:cs="Times New Roman"/>
          <w:sz w:val="20"/>
          <w:szCs w:val="20"/>
        </w:rPr>
        <w:t>s</w:t>
      </w:r>
      <w:r w:rsidR="00126E05" w:rsidRPr="00601EB3">
        <w:rPr>
          <w:rFonts w:ascii="Times New Roman" w:hAnsi="Times New Roman" w:cs="Times New Roman"/>
          <w:sz w:val="20"/>
          <w:szCs w:val="20"/>
        </w:rPr>
        <w:t xml:space="preserve"> of the lymphoma</w:t>
      </w:r>
      <w:r w:rsidR="00AA6A5D" w:rsidRPr="00601EB3">
        <w:rPr>
          <w:rFonts w:ascii="Times New Roman" w:hAnsi="Times New Roman" w:cs="Times New Roman"/>
          <w:sz w:val="20"/>
          <w:szCs w:val="20"/>
        </w:rPr>
        <w:t>.</w:t>
      </w:r>
    </w:p>
    <w:p w:rsidR="001F63B1" w:rsidRPr="00601EB3" w:rsidRDefault="00E7267B"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T</w:t>
      </w:r>
      <w:r w:rsidR="00FF289E" w:rsidRPr="00601EB3">
        <w:rPr>
          <w:rFonts w:ascii="Times New Roman" w:hAnsi="Times New Roman" w:cs="Times New Roman"/>
          <w:sz w:val="20"/>
          <w:szCs w:val="20"/>
        </w:rPr>
        <w:t xml:space="preserve">here was no significant difference between </w:t>
      </w:r>
      <w:r w:rsidR="00910C90" w:rsidRPr="00601EB3">
        <w:rPr>
          <w:rFonts w:ascii="Times New Roman" w:hAnsi="Times New Roman" w:cs="Times New Roman"/>
          <w:sz w:val="20"/>
          <w:szCs w:val="20"/>
        </w:rPr>
        <w:t>positive and negative</w:t>
      </w:r>
      <w:r w:rsidR="00D67228">
        <w:rPr>
          <w:rFonts w:ascii="Times New Roman" w:hAnsi="Times New Roman" w:cs="Times New Roman"/>
          <w:sz w:val="20"/>
          <w:szCs w:val="20"/>
        </w:rPr>
        <w:t xml:space="preserve"> </w:t>
      </w:r>
      <w:r w:rsidR="00910C90" w:rsidRPr="00601EB3">
        <w:rPr>
          <w:rFonts w:ascii="Times New Roman" w:hAnsi="Times New Roman" w:cs="Times New Roman"/>
          <w:sz w:val="20"/>
          <w:szCs w:val="20"/>
        </w:rPr>
        <w:t>VEGF-A</w:t>
      </w:r>
      <w:r w:rsidR="00D67228">
        <w:rPr>
          <w:rFonts w:ascii="Times New Roman" w:hAnsi="Times New Roman" w:cs="Times New Roman"/>
          <w:sz w:val="20"/>
          <w:szCs w:val="20"/>
        </w:rPr>
        <w:t xml:space="preserve"> </w:t>
      </w:r>
      <w:r w:rsidRPr="00601EB3">
        <w:rPr>
          <w:rFonts w:ascii="Times New Roman" w:hAnsi="Times New Roman" w:cs="Times New Roman"/>
          <w:sz w:val="20"/>
          <w:szCs w:val="20"/>
        </w:rPr>
        <w:t>patients</w:t>
      </w:r>
      <w:r w:rsidR="00D67228">
        <w:rPr>
          <w:rFonts w:ascii="Times New Roman" w:hAnsi="Times New Roman" w:cs="Times New Roman"/>
          <w:sz w:val="20"/>
          <w:szCs w:val="20"/>
        </w:rPr>
        <w:t xml:space="preserve"> </w:t>
      </w:r>
      <w:r w:rsidR="00FF289E" w:rsidRPr="00601EB3">
        <w:rPr>
          <w:rFonts w:ascii="Times New Roman" w:hAnsi="Times New Roman" w:cs="Times New Roman"/>
          <w:sz w:val="20"/>
          <w:szCs w:val="20"/>
        </w:rPr>
        <w:t>regarding</w:t>
      </w:r>
      <w:r w:rsidR="00D67228">
        <w:rPr>
          <w:rFonts w:ascii="Times New Roman" w:hAnsi="Times New Roman" w:cs="Times New Roman"/>
          <w:sz w:val="20"/>
          <w:szCs w:val="20"/>
        </w:rPr>
        <w:t xml:space="preserve"> </w:t>
      </w:r>
      <w:r w:rsidRPr="00601EB3">
        <w:rPr>
          <w:rFonts w:ascii="Times New Roman" w:hAnsi="Times New Roman" w:cs="Times New Roman"/>
          <w:sz w:val="20"/>
          <w:szCs w:val="20"/>
        </w:rPr>
        <w:t xml:space="preserve">either </w:t>
      </w:r>
      <w:r w:rsidR="00FF289E" w:rsidRPr="00601EB3">
        <w:rPr>
          <w:rFonts w:ascii="Times New Roman" w:hAnsi="Times New Roman" w:cs="Times New Roman"/>
          <w:sz w:val="20"/>
          <w:szCs w:val="20"/>
        </w:rPr>
        <w:t xml:space="preserve">their </w:t>
      </w:r>
      <w:r w:rsidR="000A2ADE" w:rsidRPr="00601EB3">
        <w:rPr>
          <w:rFonts w:ascii="Times New Roman" w:hAnsi="Times New Roman" w:cs="Times New Roman"/>
          <w:sz w:val="20"/>
          <w:szCs w:val="20"/>
        </w:rPr>
        <w:t>PB</w:t>
      </w:r>
      <w:r w:rsidR="00FF289E" w:rsidRPr="00601EB3">
        <w:rPr>
          <w:rFonts w:ascii="Times New Roman" w:hAnsi="Times New Roman" w:cs="Times New Roman"/>
          <w:sz w:val="20"/>
          <w:szCs w:val="20"/>
        </w:rPr>
        <w:t xml:space="preserve"> data (HB, </w:t>
      </w:r>
      <w:r w:rsidRPr="00601EB3">
        <w:rPr>
          <w:rFonts w:ascii="Times New Roman" w:hAnsi="Times New Roman" w:cs="Times New Roman"/>
          <w:sz w:val="20"/>
          <w:szCs w:val="20"/>
        </w:rPr>
        <w:t xml:space="preserve">TLC, </w:t>
      </w:r>
      <w:r w:rsidR="00FF289E" w:rsidRPr="00601EB3">
        <w:rPr>
          <w:rFonts w:ascii="Times New Roman" w:hAnsi="Times New Roman" w:cs="Times New Roman"/>
          <w:sz w:val="20"/>
          <w:szCs w:val="20"/>
        </w:rPr>
        <w:t>PLTs count,</w:t>
      </w:r>
      <w:r w:rsidRPr="00601EB3">
        <w:rPr>
          <w:rFonts w:ascii="Times New Roman" w:hAnsi="Times New Roman" w:cs="Times New Roman"/>
          <w:sz w:val="20"/>
          <w:szCs w:val="20"/>
        </w:rPr>
        <w:t xml:space="preserve"> P.B. lymphocyte </w:t>
      </w:r>
      <w:r w:rsidR="000C571F" w:rsidRPr="00601EB3">
        <w:rPr>
          <w:rFonts w:ascii="Times New Roman" w:hAnsi="Times New Roman" w:cs="Times New Roman"/>
          <w:sz w:val="20"/>
          <w:szCs w:val="20"/>
        </w:rPr>
        <w:t>relative count</w:t>
      </w:r>
      <w:r w:rsidRPr="00601EB3">
        <w:rPr>
          <w:rFonts w:ascii="Times New Roman" w:hAnsi="Times New Roman" w:cs="Times New Roman"/>
          <w:sz w:val="20"/>
          <w:szCs w:val="20"/>
        </w:rPr>
        <w:t>, LDH) (P</w:t>
      </w:r>
      <w:r w:rsidR="00FF289E" w:rsidRPr="00601EB3">
        <w:rPr>
          <w:rFonts w:ascii="Times New Roman" w:hAnsi="Times New Roman" w:cs="Times New Roman"/>
          <w:sz w:val="20"/>
          <w:szCs w:val="20"/>
        </w:rPr>
        <w:t>= 0.361, 0.065, 0.117, 0.065, 0.229 respectively)</w:t>
      </w:r>
      <w:r w:rsidR="00D67228">
        <w:rPr>
          <w:rFonts w:ascii="Times New Roman" w:hAnsi="Times New Roman" w:cs="Times New Roman"/>
          <w:sz w:val="20"/>
          <w:szCs w:val="20"/>
        </w:rPr>
        <w:t xml:space="preserve"> </w:t>
      </w:r>
      <w:r w:rsidRPr="00601EB3">
        <w:rPr>
          <w:rFonts w:ascii="Times New Roman" w:hAnsi="Times New Roman" w:cs="Times New Roman"/>
          <w:sz w:val="20"/>
          <w:szCs w:val="20"/>
        </w:rPr>
        <w:t>or their</w:t>
      </w:r>
      <w:r w:rsidR="00F33953" w:rsidRPr="00601EB3">
        <w:rPr>
          <w:rFonts w:ascii="Times New Roman" w:hAnsi="Times New Roman" w:cs="Times New Roman"/>
          <w:sz w:val="20"/>
          <w:szCs w:val="20"/>
        </w:rPr>
        <w:t xml:space="preserve"> BMA and BMB findings (BM </w:t>
      </w:r>
      <w:proofErr w:type="spellStart"/>
      <w:r w:rsidR="00F33953" w:rsidRPr="00601EB3">
        <w:rPr>
          <w:rFonts w:ascii="Times New Roman" w:hAnsi="Times New Roman" w:cs="Times New Roman"/>
          <w:sz w:val="20"/>
          <w:szCs w:val="20"/>
        </w:rPr>
        <w:t>cellularity</w:t>
      </w:r>
      <w:proofErr w:type="spellEnd"/>
      <w:r w:rsidR="00F33953" w:rsidRPr="00601EB3">
        <w:rPr>
          <w:rFonts w:ascii="Times New Roman" w:hAnsi="Times New Roman" w:cs="Times New Roman"/>
          <w:sz w:val="20"/>
          <w:szCs w:val="20"/>
        </w:rPr>
        <w:t xml:space="preserve">, </w:t>
      </w:r>
      <w:proofErr w:type="spellStart"/>
      <w:r w:rsidR="00F33953" w:rsidRPr="00601EB3">
        <w:rPr>
          <w:rFonts w:ascii="Times New Roman" w:hAnsi="Times New Roman" w:cs="Times New Roman"/>
          <w:sz w:val="20"/>
          <w:szCs w:val="20"/>
        </w:rPr>
        <w:t>megakaryocytes</w:t>
      </w:r>
      <w:proofErr w:type="spellEnd"/>
      <w:r w:rsidR="00F33953" w:rsidRPr="00601EB3">
        <w:rPr>
          <w:rFonts w:ascii="Times New Roman" w:hAnsi="Times New Roman" w:cs="Times New Roman"/>
          <w:sz w:val="20"/>
          <w:szCs w:val="20"/>
        </w:rPr>
        <w:t>, fibros</w:t>
      </w:r>
      <w:r w:rsidRPr="00601EB3">
        <w:rPr>
          <w:rFonts w:ascii="Times New Roman" w:hAnsi="Times New Roman" w:cs="Times New Roman"/>
          <w:sz w:val="20"/>
          <w:szCs w:val="20"/>
        </w:rPr>
        <w:t>is, pattern of infiltration) (P</w:t>
      </w:r>
      <w:r w:rsidR="00F33953" w:rsidRPr="00601EB3">
        <w:rPr>
          <w:rFonts w:ascii="Times New Roman" w:hAnsi="Times New Roman" w:cs="Times New Roman"/>
          <w:sz w:val="20"/>
          <w:szCs w:val="20"/>
        </w:rPr>
        <w:t>= 0.227, 0.666, 0.836, 0.589 respectively)</w:t>
      </w:r>
      <w:r w:rsidRPr="00601EB3">
        <w:rPr>
          <w:rFonts w:ascii="Times New Roman" w:hAnsi="Times New Roman" w:cs="Times New Roman"/>
          <w:sz w:val="20"/>
          <w:szCs w:val="20"/>
        </w:rPr>
        <w:t xml:space="preserve">.However, </w:t>
      </w:r>
      <w:r w:rsidR="00EF7AD8" w:rsidRPr="00601EB3">
        <w:rPr>
          <w:rFonts w:ascii="Times New Roman" w:hAnsi="Times New Roman" w:cs="Times New Roman"/>
          <w:sz w:val="20"/>
          <w:szCs w:val="20"/>
        </w:rPr>
        <w:t xml:space="preserve">the </w:t>
      </w:r>
      <w:r w:rsidR="003D0D86" w:rsidRPr="00601EB3">
        <w:rPr>
          <w:rFonts w:ascii="Times New Roman" w:hAnsi="Times New Roman" w:cs="Times New Roman"/>
          <w:sz w:val="20"/>
          <w:szCs w:val="20"/>
        </w:rPr>
        <w:t xml:space="preserve">TLC and the lymphocytes relative count </w:t>
      </w:r>
      <w:r w:rsidRPr="00601EB3">
        <w:rPr>
          <w:rFonts w:ascii="Times New Roman" w:hAnsi="Times New Roman" w:cs="Times New Roman"/>
          <w:sz w:val="20"/>
          <w:szCs w:val="20"/>
        </w:rPr>
        <w:t>were higher</w:t>
      </w:r>
      <w:r w:rsidR="004B7177" w:rsidRPr="00601EB3">
        <w:rPr>
          <w:rFonts w:ascii="Times New Roman" w:hAnsi="Times New Roman" w:cs="Times New Roman"/>
          <w:sz w:val="20"/>
          <w:szCs w:val="20"/>
        </w:rPr>
        <w:t xml:space="preserve"> in the</w:t>
      </w:r>
      <w:r w:rsidRPr="00601EB3">
        <w:rPr>
          <w:rFonts w:ascii="Times New Roman" w:hAnsi="Times New Roman" w:cs="Times New Roman"/>
          <w:sz w:val="20"/>
          <w:szCs w:val="20"/>
        </w:rPr>
        <w:t xml:space="preserve"> VEG</w:t>
      </w:r>
      <w:r w:rsidR="002E301A" w:rsidRPr="00601EB3">
        <w:rPr>
          <w:rFonts w:ascii="Times New Roman" w:hAnsi="Times New Roman" w:cs="Times New Roman"/>
          <w:sz w:val="20"/>
          <w:szCs w:val="20"/>
        </w:rPr>
        <w:t>F-</w:t>
      </w:r>
      <w:r w:rsidRPr="00601EB3">
        <w:rPr>
          <w:rFonts w:ascii="Times New Roman" w:hAnsi="Times New Roman" w:cs="Times New Roman"/>
          <w:sz w:val="20"/>
          <w:szCs w:val="20"/>
        </w:rPr>
        <w:t>A</w:t>
      </w:r>
      <w:r w:rsidR="004B7177" w:rsidRPr="00601EB3">
        <w:rPr>
          <w:rFonts w:ascii="Times New Roman" w:hAnsi="Times New Roman" w:cs="Times New Roman"/>
          <w:sz w:val="20"/>
          <w:szCs w:val="20"/>
        </w:rPr>
        <w:t xml:space="preserve"> positive </w:t>
      </w:r>
      <w:r w:rsidRPr="00601EB3">
        <w:rPr>
          <w:rFonts w:ascii="Times New Roman" w:hAnsi="Times New Roman" w:cs="Times New Roman"/>
          <w:sz w:val="20"/>
          <w:szCs w:val="20"/>
        </w:rPr>
        <w:t>patients</w:t>
      </w:r>
      <w:r w:rsidR="006B4BC1" w:rsidRPr="00601EB3">
        <w:rPr>
          <w:rFonts w:ascii="Times New Roman" w:hAnsi="Times New Roman" w:cs="Times New Roman"/>
          <w:sz w:val="20"/>
          <w:szCs w:val="20"/>
        </w:rPr>
        <w:t xml:space="preserve"> than in the negative ones</w:t>
      </w:r>
      <w:r w:rsidRPr="00601EB3">
        <w:rPr>
          <w:rFonts w:ascii="Times New Roman" w:hAnsi="Times New Roman" w:cs="Times New Roman"/>
          <w:sz w:val="20"/>
          <w:szCs w:val="20"/>
        </w:rPr>
        <w:t xml:space="preserve">. </w:t>
      </w:r>
      <w:r w:rsidR="00687D07" w:rsidRPr="00601EB3">
        <w:rPr>
          <w:rFonts w:ascii="Times New Roman" w:hAnsi="Times New Roman" w:cs="Times New Roman"/>
          <w:sz w:val="20"/>
          <w:szCs w:val="20"/>
        </w:rPr>
        <w:t>Also</w:t>
      </w:r>
      <w:r w:rsidR="00910C90" w:rsidRPr="00601EB3">
        <w:rPr>
          <w:rFonts w:ascii="Times New Roman" w:hAnsi="Times New Roman" w:cs="Times New Roman"/>
          <w:sz w:val="20"/>
          <w:szCs w:val="20"/>
        </w:rPr>
        <w:t>,</w:t>
      </w:r>
      <w:r w:rsidR="00D67228">
        <w:rPr>
          <w:rFonts w:ascii="Times New Roman" w:hAnsi="Times New Roman" w:cs="Times New Roman"/>
          <w:sz w:val="20"/>
          <w:szCs w:val="20"/>
        </w:rPr>
        <w:t xml:space="preserve"> </w:t>
      </w:r>
      <w:r w:rsidRPr="00601EB3">
        <w:rPr>
          <w:rFonts w:ascii="Times New Roman" w:hAnsi="Times New Roman" w:cs="Times New Roman"/>
          <w:sz w:val="20"/>
          <w:szCs w:val="20"/>
        </w:rPr>
        <w:t>no</w:t>
      </w:r>
      <w:r w:rsidR="00687D07" w:rsidRPr="00601EB3">
        <w:rPr>
          <w:rFonts w:ascii="Times New Roman" w:hAnsi="Times New Roman" w:cs="Times New Roman"/>
          <w:sz w:val="20"/>
          <w:szCs w:val="20"/>
        </w:rPr>
        <w:t xml:space="preserve"> significant difference between </w:t>
      </w:r>
      <w:r w:rsidRPr="00601EB3">
        <w:rPr>
          <w:rFonts w:ascii="Times New Roman" w:hAnsi="Times New Roman" w:cs="Times New Roman"/>
          <w:sz w:val="20"/>
          <w:szCs w:val="20"/>
        </w:rPr>
        <w:t xml:space="preserve">COX2 positive and negative </w:t>
      </w:r>
      <w:r w:rsidR="00687D07" w:rsidRPr="00601EB3">
        <w:rPr>
          <w:rFonts w:ascii="Times New Roman" w:hAnsi="Times New Roman" w:cs="Times New Roman"/>
          <w:sz w:val="20"/>
          <w:szCs w:val="20"/>
        </w:rPr>
        <w:t xml:space="preserve">patients regarding </w:t>
      </w:r>
      <w:r w:rsidR="000C571F" w:rsidRPr="00601EB3">
        <w:rPr>
          <w:rFonts w:ascii="Times New Roman" w:hAnsi="Times New Roman" w:cs="Times New Roman"/>
          <w:sz w:val="20"/>
          <w:szCs w:val="20"/>
        </w:rPr>
        <w:t>P.B.</w:t>
      </w:r>
      <w:r w:rsidR="00687D07" w:rsidRPr="00601EB3">
        <w:rPr>
          <w:rFonts w:ascii="Times New Roman" w:hAnsi="Times New Roman" w:cs="Times New Roman"/>
          <w:sz w:val="20"/>
          <w:szCs w:val="20"/>
        </w:rPr>
        <w:t xml:space="preserve"> data (HB, TLC, PLTs count, lymphocyte</w:t>
      </w:r>
      <w:r w:rsidR="000C571F" w:rsidRPr="00601EB3">
        <w:rPr>
          <w:rFonts w:ascii="Times New Roman" w:hAnsi="Times New Roman" w:cs="Times New Roman"/>
          <w:sz w:val="20"/>
          <w:szCs w:val="20"/>
        </w:rPr>
        <w:t xml:space="preserve"> relative count, LDH) (P</w:t>
      </w:r>
      <w:r w:rsidR="00687D07" w:rsidRPr="00601EB3">
        <w:rPr>
          <w:rFonts w:ascii="Times New Roman" w:hAnsi="Times New Roman" w:cs="Times New Roman"/>
          <w:sz w:val="20"/>
          <w:szCs w:val="20"/>
        </w:rPr>
        <w:t xml:space="preserve">=0.452, 0.733, 0.576, 0.692, 0.497 respectively), and </w:t>
      </w:r>
      <w:r w:rsidR="000C571F" w:rsidRPr="00601EB3">
        <w:rPr>
          <w:rFonts w:ascii="Times New Roman" w:hAnsi="Times New Roman" w:cs="Times New Roman"/>
          <w:sz w:val="20"/>
          <w:szCs w:val="20"/>
        </w:rPr>
        <w:t xml:space="preserve">their </w:t>
      </w:r>
      <w:r w:rsidR="00687D07" w:rsidRPr="00601EB3">
        <w:rPr>
          <w:rFonts w:ascii="Times New Roman" w:hAnsi="Times New Roman" w:cs="Times New Roman"/>
          <w:sz w:val="20"/>
          <w:szCs w:val="20"/>
        </w:rPr>
        <w:t xml:space="preserve">bone marrow aspirate and biopsy findings (BM </w:t>
      </w:r>
      <w:proofErr w:type="spellStart"/>
      <w:r w:rsidR="00687D07" w:rsidRPr="00601EB3">
        <w:rPr>
          <w:rFonts w:ascii="Times New Roman" w:hAnsi="Times New Roman" w:cs="Times New Roman"/>
          <w:sz w:val="20"/>
          <w:szCs w:val="20"/>
        </w:rPr>
        <w:t>cellularity</w:t>
      </w:r>
      <w:proofErr w:type="spellEnd"/>
      <w:r w:rsidR="00687D07" w:rsidRPr="00601EB3">
        <w:rPr>
          <w:rFonts w:ascii="Times New Roman" w:hAnsi="Times New Roman" w:cs="Times New Roman"/>
          <w:sz w:val="20"/>
          <w:szCs w:val="20"/>
        </w:rPr>
        <w:t>, fibrosis, pattern of infiltration) (P value=0.286, 0.888, 0.156 respectively). However</w:t>
      </w:r>
      <w:r w:rsidR="0097698E" w:rsidRPr="00601EB3">
        <w:rPr>
          <w:rFonts w:ascii="Times New Roman" w:hAnsi="Times New Roman" w:cs="Times New Roman"/>
          <w:sz w:val="20"/>
          <w:szCs w:val="20"/>
        </w:rPr>
        <w:t>, a</w:t>
      </w:r>
      <w:r w:rsidR="00687D07" w:rsidRPr="00601EB3">
        <w:rPr>
          <w:rFonts w:ascii="Times New Roman" w:hAnsi="Times New Roman" w:cs="Times New Roman"/>
          <w:sz w:val="20"/>
          <w:szCs w:val="20"/>
        </w:rPr>
        <w:t xml:space="preserve"> statistically significant difference between the patients with positiv</w:t>
      </w:r>
      <w:r w:rsidR="0097698E" w:rsidRPr="00601EB3">
        <w:rPr>
          <w:rFonts w:ascii="Times New Roman" w:hAnsi="Times New Roman" w:cs="Times New Roman"/>
          <w:sz w:val="20"/>
          <w:szCs w:val="20"/>
        </w:rPr>
        <w:t>e and negative COX2 and</w:t>
      </w:r>
      <w:r w:rsidR="00687D07" w:rsidRPr="00601EB3">
        <w:rPr>
          <w:rFonts w:ascii="Times New Roman" w:hAnsi="Times New Roman" w:cs="Times New Roman"/>
          <w:sz w:val="20"/>
          <w:szCs w:val="20"/>
        </w:rPr>
        <w:t xml:space="preserve"> the BM </w:t>
      </w:r>
      <w:proofErr w:type="spellStart"/>
      <w:r w:rsidR="00687D07" w:rsidRPr="00601EB3">
        <w:rPr>
          <w:rFonts w:ascii="Times New Roman" w:hAnsi="Times New Roman" w:cs="Times New Roman"/>
          <w:sz w:val="20"/>
          <w:szCs w:val="20"/>
        </w:rPr>
        <w:lastRenderedPageBreak/>
        <w:t>megakaryocytes</w:t>
      </w:r>
      <w:proofErr w:type="spellEnd"/>
      <w:r w:rsidR="00687D07" w:rsidRPr="00601EB3">
        <w:rPr>
          <w:rFonts w:ascii="Times New Roman" w:hAnsi="Times New Roman" w:cs="Times New Roman"/>
          <w:sz w:val="20"/>
          <w:szCs w:val="20"/>
        </w:rPr>
        <w:t xml:space="preserve"> </w:t>
      </w:r>
      <w:r w:rsidR="00346A5B" w:rsidRPr="00601EB3">
        <w:rPr>
          <w:rFonts w:ascii="Times New Roman" w:hAnsi="Times New Roman" w:cs="Times New Roman"/>
          <w:sz w:val="20"/>
          <w:szCs w:val="20"/>
        </w:rPr>
        <w:t>(P</w:t>
      </w:r>
      <w:r w:rsidR="00687D07" w:rsidRPr="00601EB3">
        <w:rPr>
          <w:rFonts w:ascii="Times New Roman" w:hAnsi="Times New Roman" w:cs="Times New Roman"/>
          <w:sz w:val="20"/>
          <w:szCs w:val="20"/>
        </w:rPr>
        <w:t>=0.008</w:t>
      </w:r>
      <w:r w:rsidR="000C571F" w:rsidRPr="00601EB3">
        <w:rPr>
          <w:rFonts w:ascii="Times New Roman" w:hAnsi="Times New Roman" w:cs="Times New Roman"/>
          <w:sz w:val="20"/>
          <w:szCs w:val="20"/>
        </w:rPr>
        <w:t>).</w:t>
      </w:r>
      <w:r w:rsidR="00FF289E" w:rsidRPr="00601EB3">
        <w:rPr>
          <w:rFonts w:ascii="Times New Roman" w:hAnsi="Times New Roman" w:cs="Times New Roman"/>
          <w:sz w:val="20"/>
          <w:szCs w:val="20"/>
        </w:rPr>
        <w:t xml:space="preserve"> Rega</w:t>
      </w:r>
      <w:r w:rsidR="00F73D29" w:rsidRPr="00601EB3">
        <w:rPr>
          <w:rFonts w:ascii="Times New Roman" w:hAnsi="Times New Roman" w:cs="Times New Roman"/>
          <w:sz w:val="20"/>
          <w:szCs w:val="20"/>
        </w:rPr>
        <w:t>rding the response to treatment,</w:t>
      </w:r>
      <w:r w:rsidR="00FF289E" w:rsidRPr="00601EB3">
        <w:rPr>
          <w:rFonts w:ascii="Times New Roman" w:hAnsi="Times New Roman" w:cs="Times New Roman"/>
          <w:sz w:val="20"/>
          <w:szCs w:val="20"/>
        </w:rPr>
        <w:t xml:space="preserve"> there was </w:t>
      </w:r>
      <w:r w:rsidR="00F479F9" w:rsidRPr="00601EB3">
        <w:rPr>
          <w:rFonts w:ascii="Times New Roman" w:hAnsi="Times New Roman" w:cs="Times New Roman"/>
          <w:sz w:val="20"/>
          <w:szCs w:val="20"/>
        </w:rPr>
        <w:t xml:space="preserve">a </w:t>
      </w:r>
      <w:r w:rsidR="00FF289E" w:rsidRPr="00601EB3">
        <w:rPr>
          <w:rFonts w:ascii="Times New Roman" w:hAnsi="Times New Roman" w:cs="Times New Roman"/>
          <w:sz w:val="20"/>
          <w:szCs w:val="20"/>
        </w:rPr>
        <w:t xml:space="preserve">border line </w:t>
      </w:r>
      <w:r w:rsidR="00F479F9" w:rsidRPr="00601EB3">
        <w:rPr>
          <w:rFonts w:ascii="Times New Roman" w:hAnsi="Times New Roman" w:cs="Times New Roman"/>
          <w:sz w:val="20"/>
          <w:szCs w:val="20"/>
        </w:rPr>
        <w:t>significant difference between</w:t>
      </w:r>
      <w:r w:rsidR="00FF289E" w:rsidRPr="00601EB3">
        <w:rPr>
          <w:rFonts w:ascii="Times New Roman" w:hAnsi="Times New Roman" w:cs="Times New Roman"/>
          <w:sz w:val="20"/>
          <w:szCs w:val="20"/>
        </w:rPr>
        <w:t xml:space="preserve"> patients with positive VEGF-A respond</w:t>
      </w:r>
      <w:r w:rsidR="004324B4" w:rsidRPr="00601EB3">
        <w:rPr>
          <w:rFonts w:ascii="Times New Roman" w:hAnsi="Times New Roman" w:cs="Times New Roman"/>
          <w:sz w:val="20"/>
          <w:szCs w:val="20"/>
        </w:rPr>
        <w:t>ing</w:t>
      </w:r>
      <w:r w:rsidR="00FF289E" w:rsidRPr="00601EB3">
        <w:rPr>
          <w:rFonts w:ascii="Times New Roman" w:hAnsi="Times New Roman" w:cs="Times New Roman"/>
          <w:sz w:val="20"/>
          <w:szCs w:val="20"/>
        </w:rPr>
        <w:t xml:space="preserve"> to treatment (15/21 i.e. 71.4%) and </w:t>
      </w:r>
      <w:r w:rsidR="00F479F9" w:rsidRPr="00601EB3">
        <w:rPr>
          <w:rFonts w:ascii="Times New Roman" w:hAnsi="Times New Roman" w:cs="Times New Roman"/>
          <w:sz w:val="20"/>
          <w:szCs w:val="20"/>
        </w:rPr>
        <w:t>those</w:t>
      </w:r>
      <w:r w:rsidR="00FF289E" w:rsidRPr="00601EB3">
        <w:rPr>
          <w:rFonts w:ascii="Times New Roman" w:hAnsi="Times New Roman" w:cs="Times New Roman"/>
          <w:sz w:val="20"/>
          <w:szCs w:val="20"/>
        </w:rPr>
        <w:t xml:space="preserve"> with negative VEGF-A </w:t>
      </w:r>
      <w:r w:rsidR="004324B4" w:rsidRPr="00601EB3">
        <w:rPr>
          <w:rFonts w:ascii="Times New Roman" w:hAnsi="Times New Roman" w:cs="Times New Roman"/>
          <w:sz w:val="20"/>
          <w:szCs w:val="20"/>
        </w:rPr>
        <w:t xml:space="preserve">who didn't </w:t>
      </w:r>
      <w:r w:rsidR="00FF289E" w:rsidRPr="00601EB3">
        <w:rPr>
          <w:rFonts w:ascii="Times New Roman" w:hAnsi="Times New Roman" w:cs="Times New Roman"/>
          <w:sz w:val="20"/>
          <w:szCs w:val="20"/>
        </w:rPr>
        <w:t>respond to treatment (8/19 i.e. 42.1%) (P=0.06)</w:t>
      </w:r>
      <w:r w:rsidR="005A3F5C" w:rsidRPr="00601EB3">
        <w:rPr>
          <w:rFonts w:ascii="Times New Roman" w:hAnsi="Times New Roman" w:cs="Times New Roman"/>
          <w:sz w:val="20"/>
          <w:szCs w:val="20"/>
        </w:rPr>
        <w:t xml:space="preserve"> (Figure2)</w:t>
      </w:r>
      <w:r w:rsidR="00F26116" w:rsidRPr="00601EB3">
        <w:rPr>
          <w:rFonts w:ascii="Times New Roman" w:hAnsi="Times New Roman" w:cs="Times New Roman"/>
          <w:sz w:val="20"/>
          <w:szCs w:val="20"/>
        </w:rPr>
        <w:t>.</w:t>
      </w:r>
      <w:r w:rsidR="00D67228">
        <w:rPr>
          <w:rFonts w:ascii="Times New Roman" w:hAnsi="Times New Roman" w:cs="Times New Roman"/>
          <w:sz w:val="20"/>
          <w:szCs w:val="20"/>
        </w:rPr>
        <w:t xml:space="preserve"> </w:t>
      </w:r>
      <w:r w:rsidR="00F479F9" w:rsidRPr="00601EB3">
        <w:rPr>
          <w:rFonts w:ascii="Times New Roman" w:hAnsi="Times New Roman" w:cs="Times New Roman"/>
          <w:sz w:val="20"/>
          <w:szCs w:val="20"/>
        </w:rPr>
        <w:t>N</w:t>
      </w:r>
      <w:r w:rsidR="00FF289E" w:rsidRPr="00601EB3">
        <w:rPr>
          <w:rFonts w:ascii="Times New Roman" w:hAnsi="Times New Roman" w:cs="Times New Roman"/>
          <w:sz w:val="20"/>
          <w:szCs w:val="20"/>
        </w:rPr>
        <w:t>o significant diffe</w:t>
      </w:r>
      <w:r w:rsidR="00F479F9" w:rsidRPr="00601EB3">
        <w:rPr>
          <w:rFonts w:ascii="Times New Roman" w:hAnsi="Times New Roman" w:cs="Times New Roman"/>
          <w:sz w:val="20"/>
          <w:szCs w:val="20"/>
        </w:rPr>
        <w:t>rence was found between the two patient</w:t>
      </w:r>
      <w:r w:rsidR="00FF289E" w:rsidRPr="00601EB3">
        <w:rPr>
          <w:rFonts w:ascii="Times New Roman" w:hAnsi="Times New Roman" w:cs="Times New Roman"/>
          <w:sz w:val="20"/>
          <w:szCs w:val="20"/>
        </w:rPr>
        <w:t xml:space="preserve"> groups regarding follow up of respond</w:t>
      </w:r>
      <w:r w:rsidR="00F479F9" w:rsidRPr="00601EB3">
        <w:rPr>
          <w:rFonts w:ascii="Times New Roman" w:hAnsi="Times New Roman" w:cs="Times New Roman"/>
          <w:sz w:val="20"/>
          <w:szCs w:val="20"/>
        </w:rPr>
        <w:t>ers and survival status (P</w:t>
      </w:r>
      <w:r w:rsidR="00FF289E" w:rsidRPr="00601EB3">
        <w:rPr>
          <w:rFonts w:ascii="Times New Roman" w:hAnsi="Times New Roman" w:cs="Times New Roman"/>
          <w:sz w:val="20"/>
          <w:szCs w:val="20"/>
        </w:rPr>
        <w:t>= 0.782</w:t>
      </w:r>
      <w:r w:rsidR="00F479F9" w:rsidRPr="00601EB3">
        <w:rPr>
          <w:rFonts w:ascii="Times New Roman" w:hAnsi="Times New Roman" w:cs="Times New Roman"/>
          <w:sz w:val="20"/>
          <w:szCs w:val="20"/>
        </w:rPr>
        <w:t xml:space="preserve"> and </w:t>
      </w:r>
      <w:r w:rsidR="00FF289E" w:rsidRPr="00601EB3">
        <w:rPr>
          <w:rFonts w:ascii="Times New Roman" w:hAnsi="Times New Roman" w:cs="Times New Roman"/>
          <w:sz w:val="20"/>
          <w:szCs w:val="20"/>
        </w:rPr>
        <w:t>0,210 respectively)</w:t>
      </w:r>
      <w:r w:rsidR="00D67228">
        <w:rPr>
          <w:rFonts w:ascii="Times New Roman" w:hAnsi="Times New Roman" w:cs="Times New Roman"/>
          <w:sz w:val="20"/>
          <w:szCs w:val="20"/>
        </w:rPr>
        <w:t xml:space="preserve"> </w:t>
      </w:r>
      <w:r w:rsidR="001F6BAC" w:rsidRPr="00601EB3">
        <w:rPr>
          <w:rFonts w:ascii="Times New Roman" w:hAnsi="Times New Roman" w:cs="Times New Roman"/>
          <w:sz w:val="20"/>
          <w:szCs w:val="20"/>
        </w:rPr>
        <w:t xml:space="preserve">Regarding </w:t>
      </w:r>
      <w:r w:rsidR="00A9690B" w:rsidRPr="00601EB3">
        <w:rPr>
          <w:rFonts w:ascii="Times New Roman" w:hAnsi="Times New Roman" w:cs="Times New Roman"/>
          <w:sz w:val="20"/>
          <w:szCs w:val="20"/>
        </w:rPr>
        <w:t xml:space="preserve">COX-2 expression, </w:t>
      </w:r>
      <w:r w:rsidR="001F6BAC" w:rsidRPr="00601EB3">
        <w:rPr>
          <w:rFonts w:ascii="Times New Roman" w:hAnsi="Times New Roman" w:cs="Times New Roman"/>
          <w:sz w:val="20"/>
          <w:szCs w:val="20"/>
        </w:rPr>
        <w:t xml:space="preserve">no significant difference </w:t>
      </w:r>
      <w:r w:rsidR="00F479F9" w:rsidRPr="00601EB3">
        <w:rPr>
          <w:rFonts w:ascii="Times New Roman" w:hAnsi="Times New Roman" w:cs="Times New Roman"/>
          <w:sz w:val="20"/>
          <w:szCs w:val="20"/>
        </w:rPr>
        <w:t xml:space="preserve">was found </w:t>
      </w:r>
      <w:r w:rsidR="001F6BAC" w:rsidRPr="00601EB3">
        <w:rPr>
          <w:rFonts w:ascii="Times New Roman" w:hAnsi="Times New Roman" w:cs="Times New Roman"/>
          <w:sz w:val="20"/>
          <w:szCs w:val="20"/>
        </w:rPr>
        <w:t>between patients with COX-2 positive and negative</w:t>
      </w:r>
      <w:r w:rsidR="00F479F9" w:rsidRPr="00601EB3">
        <w:rPr>
          <w:rFonts w:ascii="Times New Roman" w:hAnsi="Times New Roman" w:cs="Times New Roman"/>
          <w:sz w:val="20"/>
          <w:szCs w:val="20"/>
        </w:rPr>
        <w:t xml:space="preserve"> expression as regards the response to treatment, follow up for responders and survival status </w:t>
      </w:r>
      <w:r w:rsidR="001F6BAC" w:rsidRPr="00601EB3">
        <w:rPr>
          <w:rFonts w:ascii="Times New Roman" w:hAnsi="Times New Roman" w:cs="Times New Roman"/>
          <w:sz w:val="20"/>
          <w:szCs w:val="20"/>
        </w:rPr>
        <w:t>(P=0.433, 0.796</w:t>
      </w:r>
      <w:r w:rsidR="00180991" w:rsidRPr="00601EB3">
        <w:rPr>
          <w:rFonts w:ascii="Times New Roman" w:hAnsi="Times New Roman" w:cs="Times New Roman"/>
          <w:sz w:val="20"/>
          <w:szCs w:val="20"/>
        </w:rPr>
        <w:t xml:space="preserve"> and</w:t>
      </w:r>
      <w:r w:rsidR="001F6BAC" w:rsidRPr="00601EB3">
        <w:rPr>
          <w:rFonts w:ascii="Times New Roman" w:hAnsi="Times New Roman" w:cs="Times New Roman"/>
          <w:sz w:val="20"/>
          <w:szCs w:val="20"/>
        </w:rPr>
        <w:t xml:space="preserve"> 0.433</w:t>
      </w:r>
      <w:r w:rsidR="00D67228">
        <w:rPr>
          <w:rFonts w:ascii="Times New Roman" w:hAnsi="Times New Roman" w:cs="Times New Roman"/>
          <w:sz w:val="20"/>
          <w:szCs w:val="20"/>
        </w:rPr>
        <w:t xml:space="preserve"> </w:t>
      </w:r>
      <w:r w:rsidR="002E301A" w:rsidRPr="00601EB3">
        <w:rPr>
          <w:rFonts w:ascii="Times New Roman" w:hAnsi="Times New Roman" w:cs="Times New Roman"/>
          <w:sz w:val="20"/>
          <w:szCs w:val="20"/>
        </w:rPr>
        <w:t>respect</w:t>
      </w:r>
      <w:r w:rsidR="005843F5">
        <w:rPr>
          <w:rFonts w:ascii="Times New Roman" w:hAnsi="Times New Roman" w:cs="Times New Roman"/>
          <w:sz w:val="20"/>
          <w:szCs w:val="20"/>
        </w:rPr>
        <w:t>i</w:t>
      </w:r>
      <w:r w:rsidR="002E301A" w:rsidRPr="00601EB3">
        <w:rPr>
          <w:rFonts w:ascii="Times New Roman" w:hAnsi="Times New Roman" w:cs="Times New Roman"/>
          <w:sz w:val="20"/>
          <w:szCs w:val="20"/>
        </w:rPr>
        <w:t>v</w:t>
      </w:r>
      <w:r w:rsidR="005843F5">
        <w:rPr>
          <w:rFonts w:ascii="Times New Roman" w:hAnsi="Times New Roman" w:cs="Times New Roman"/>
          <w:sz w:val="20"/>
          <w:szCs w:val="20"/>
        </w:rPr>
        <w:t>e</w:t>
      </w:r>
      <w:r w:rsidR="002E301A" w:rsidRPr="00601EB3">
        <w:rPr>
          <w:rFonts w:ascii="Times New Roman" w:hAnsi="Times New Roman" w:cs="Times New Roman"/>
          <w:sz w:val="20"/>
          <w:szCs w:val="20"/>
        </w:rPr>
        <w:t>ly</w:t>
      </w:r>
      <w:r w:rsidR="001F6BAC" w:rsidRPr="00601EB3">
        <w:rPr>
          <w:rFonts w:ascii="Times New Roman" w:hAnsi="Times New Roman" w:cs="Times New Roman"/>
          <w:sz w:val="20"/>
          <w:szCs w:val="20"/>
        </w:rPr>
        <w:t>)</w:t>
      </w:r>
      <w:r w:rsidR="00F81E7A" w:rsidRPr="00601EB3">
        <w:rPr>
          <w:rFonts w:ascii="Times New Roman" w:hAnsi="Times New Roman" w:cs="Times New Roman"/>
          <w:sz w:val="20"/>
          <w:szCs w:val="20"/>
        </w:rPr>
        <w:t>.</w:t>
      </w:r>
    </w:p>
    <w:p w:rsidR="00377A62" w:rsidRPr="00601EB3" w:rsidRDefault="00F73D29"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 xml:space="preserve">Considering the </w:t>
      </w:r>
      <w:proofErr w:type="spellStart"/>
      <w:r w:rsidRPr="00601EB3">
        <w:rPr>
          <w:rFonts w:ascii="Times New Roman" w:hAnsi="Times New Roman" w:cs="Times New Roman"/>
          <w:sz w:val="20"/>
          <w:szCs w:val="20"/>
        </w:rPr>
        <w:t>coeexpression</w:t>
      </w:r>
      <w:proofErr w:type="spellEnd"/>
      <w:r w:rsidRPr="00601EB3">
        <w:rPr>
          <w:rFonts w:ascii="Times New Roman" w:hAnsi="Times New Roman" w:cs="Times New Roman"/>
          <w:sz w:val="20"/>
          <w:szCs w:val="20"/>
        </w:rPr>
        <w:t xml:space="preserve"> of both markers as regards</w:t>
      </w:r>
      <w:r w:rsidR="00F0326D" w:rsidRPr="00601EB3">
        <w:rPr>
          <w:rFonts w:ascii="Times New Roman" w:hAnsi="Times New Roman" w:cs="Times New Roman"/>
          <w:sz w:val="20"/>
          <w:szCs w:val="20"/>
        </w:rPr>
        <w:t xml:space="preserve"> clinical and demographic data, </w:t>
      </w:r>
      <w:r w:rsidR="00DC6E78" w:rsidRPr="00601EB3">
        <w:rPr>
          <w:rFonts w:ascii="Times New Roman" w:hAnsi="Times New Roman" w:cs="Times New Roman"/>
          <w:sz w:val="20"/>
          <w:szCs w:val="20"/>
        </w:rPr>
        <w:t>VEGF-A and COX2</w:t>
      </w:r>
      <w:r w:rsidR="00D67228">
        <w:rPr>
          <w:rFonts w:ascii="Times New Roman" w:hAnsi="Times New Roman" w:cs="Times New Roman"/>
          <w:sz w:val="20"/>
          <w:szCs w:val="20"/>
        </w:rPr>
        <w:t xml:space="preserve"> </w:t>
      </w:r>
      <w:proofErr w:type="spellStart"/>
      <w:r w:rsidRPr="00601EB3">
        <w:rPr>
          <w:rFonts w:ascii="Times New Roman" w:hAnsi="Times New Roman" w:cs="Times New Roman"/>
          <w:sz w:val="20"/>
          <w:szCs w:val="20"/>
        </w:rPr>
        <w:t>coexpression</w:t>
      </w:r>
      <w:proofErr w:type="spellEnd"/>
      <w:r w:rsidRPr="00601EB3">
        <w:rPr>
          <w:rFonts w:ascii="Times New Roman" w:hAnsi="Times New Roman" w:cs="Times New Roman"/>
          <w:sz w:val="20"/>
          <w:szCs w:val="20"/>
        </w:rPr>
        <w:t xml:space="preserve"> </w:t>
      </w:r>
      <w:r w:rsidR="00F0326D" w:rsidRPr="00601EB3">
        <w:rPr>
          <w:rFonts w:ascii="Times New Roman" w:hAnsi="Times New Roman" w:cs="Times New Roman"/>
          <w:sz w:val="20"/>
          <w:szCs w:val="20"/>
        </w:rPr>
        <w:t>(10/40 i.e. 25%) was higher in males (9/24 i.e. 37.5%)</w:t>
      </w:r>
      <w:r w:rsidR="00D67228">
        <w:rPr>
          <w:rFonts w:ascii="Times New Roman" w:hAnsi="Times New Roman" w:cs="Times New Roman"/>
          <w:sz w:val="20"/>
          <w:szCs w:val="20"/>
        </w:rPr>
        <w:t xml:space="preserve"> </w:t>
      </w:r>
      <w:r w:rsidR="00F0326D" w:rsidRPr="00601EB3">
        <w:rPr>
          <w:rFonts w:ascii="Times New Roman" w:hAnsi="Times New Roman" w:cs="Times New Roman"/>
          <w:sz w:val="20"/>
          <w:szCs w:val="20"/>
        </w:rPr>
        <w:t xml:space="preserve">than females (1/16 i.e. 6.3%) with a </w:t>
      </w:r>
      <w:r w:rsidR="00F05381" w:rsidRPr="00601EB3">
        <w:rPr>
          <w:rFonts w:ascii="Times New Roman" w:hAnsi="Times New Roman" w:cs="Times New Roman"/>
          <w:sz w:val="20"/>
          <w:szCs w:val="20"/>
        </w:rPr>
        <w:t>statistically significant difference (P=0.025)</w:t>
      </w:r>
      <w:r w:rsidR="00B62DF3" w:rsidRPr="00601EB3">
        <w:rPr>
          <w:rFonts w:ascii="Times New Roman" w:hAnsi="Times New Roman" w:cs="Times New Roman"/>
          <w:sz w:val="20"/>
          <w:szCs w:val="20"/>
        </w:rPr>
        <w:t>.</w:t>
      </w:r>
      <w:r w:rsidR="00D67228">
        <w:rPr>
          <w:rFonts w:ascii="Times New Roman" w:hAnsi="Times New Roman" w:cs="Times New Roman"/>
          <w:sz w:val="20"/>
          <w:szCs w:val="20"/>
        </w:rPr>
        <w:t xml:space="preserve"> </w:t>
      </w:r>
      <w:r w:rsidR="00B62DF3" w:rsidRPr="00601EB3">
        <w:rPr>
          <w:rFonts w:ascii="Times New Roman" w:hAnsi="Times New Roman" w:cs="Times New Roman"/>
          <w:sz w:val="20"/>
          <w:szCs w:val="20"/>
        </w:rPr>
        <w:t xml:space="preserve">Despite being higher in the lower age group and with the absence of B-symptoms, no </w:t>
      </w:r>
      <w:r w:rsidR="00F05381" w:rsidRPr="00601EB3">
        <w:rPr>
          <w:rFonts w:ascii="Times New Roman" w:hAnsi="Times New Roman" w:cs="Times New Roman"/>
          <w:sz w:val="20"/>
          <w:szCs w:val="20"/>
        </w:rPr>
        <w:t xml:space="preserve">significant difference </w:t>
      </w:r>
      <w:r w:rsidR="00B62DF3" w:rsidRPr="00601EB3">
        <w:rPr>
          <w:rFonts w:ascii="Times New Roman" w:hAnsi="Times New Roman" w:cs="Times New Roman"/>
          <w:sz w:val="20"/>
          <w:szCs w:val="20"/>
        </w:rPr>
        <w:t xml:space="preserve">was found between </w:t>
      </w:r>
      <w:r w:rsidRPr="00601EB3">
        <w:rPr>
          <w:rFonts w:ascii="Times New Roman" w:hAnsi="Times New Roman" w:cs="Times New Roman"/>
          <w:sz w:val="20"/>
          <w:szCs w:val="20"/>
        </w:rPr>
        <w:t>markers</w:t>
      </w:r>
      <w:r w:rsidR="00D67228">
        <w:rPr>
          <w:rFonts w:ascii="Times New Roman" w:hAnsi="Times New Roman" w:cs="Times New Roman"/>
          <w:sz w:val="20"/>
          <w:szCs w:val="20"/>
        </w:rPr>
        <w:t xml:space="preserve"> </w:t>
      </w:r>
      <w:proofErr w:type="spellStart"/>
      <w:r w:rsidR="00B62DF3" w:rsidRPr="00601EB3">
        <w:rPr>
          <w:rFonts w:ascii="Times New Roman" w:hAnsi="Times New Roman" w:cs="Times New Roman"/>
          <w:sz w:val="20"/>
          <w:szCs w:val="20"/>
        </w:rPr>
        <w:t>coexpression</w:t>
      </w:r>
      <w:proofErr w:type="spellEnd"/>
      <w:r w:rsidR="00B62DF3" w:rsidRPr="00601EB3">
        <w:rPr>
          <w:rFonts w:ascii="Times New Roman" w:hAnsi="Times New Roman" w:cs="Times New Roman"/>
          <w:sz w:val="20"/>
          <w:szCs w:val="20"/>
        </w:rPr>
        <w:t xml:space="preserve"> and </w:t>
      </w:r>
      <w:r w:rsidRPr="00601EB3">
        <w:rPr>
          <w:rFonts w:ascii="Times New Roman" w:hAnsi="Times New Roman" w:cs="Times New Roman"/>
          <w:sz w:val="20"/>
          <w:szCs w:val="20"/>
        </w:rPr>
        <w:t>any of</w:t>
      </w:r>
      <w:r w:rsidR="00B62DF3" w:rsidRPr="00601EB3">
        <w:rPr>
          <w:rFonts w:ascii="Times New Roman" w:hAnsi="Times New Roman" w:cs="Times New Roman"/>
          <w:sz w:val="20"/>
          <w:szCs w:val="20"/>
        </w:rPr>
        <w:t xml:space="preserve"> age, B-symptoms, </w:t>
      </w:r>
      <w:proofErr w:type="spellStart"/>
      <w:r w:rsidR="00B62DF3" w:rsidRPr="00601EB3">
        <w:rPr>
          <w:rFonts w:ascii="Times New Roman" w:hAnsi="Times New Roman" w:cs="Times New Roman"/>
          <w:sz w:val="20"/>
          <w:szCs w:val="20"/>
        </w:rPr>
        <w:t>hepatomegaly</w:t>
      </w:r>
      <w:proofErr w:type="spellEnd"/>
      <w:r w:rsidR="00B62DF3" w:rsidRPr="00601EB3">
        <w:rPr>
          <w:rFonts w:ascii="Times New Roman" w:hAnsi="Times New Roman" w:cs="Times New Roman"/>
          <w:sz w:val="20"/>
          <w:szCs w:val="20"/>
        </w:rPr>
        <w:t xml:space="preserve">, </w:t>
      </w:r>
      <w:proofErr w:type="spellStart"/>
      <w:r w:rsidR="00B62DF3" w:rsidRPr="00601EB3">
        <w:rPr>
          <w:rFonts w:ascii="Times New Roman" w:hAnsi="Times New Roman" w:cs="Times New Roman"/>
          <w:sz w:val="20"/>
          <w:szCs w:val="20"/>
        </w:rPr>
        <w:t>splenomegaly</w:t>
      </w:r>
      <w:proofErr w:type="spellEnd"/>
      <w:r w:rsidR="00B62DF3" w:rsidRPr="00601EB3">
        <w:rPr>
          <w:rFonts w:ascii="Times New Roman" w:hAnsi="Times New Roman" w:cs="Times New Roman"/>
          <w:sz w:val="20"/>
          <w:szCs w:val="20"/>
        </w:rPr>
        <w:t xml:space="preserve">, </w:t>
      </w:r>
      <w:proofErr w:type="spellStart"/>
      <w:r w:rsidR="00B62DF3" w:rsidRPr="00601EB3">
        <w:rPr>
          <w:rFonts w:ascii="Times New Roman" w:hAnsi="Times New Roman" w:cs="Times New Roman"/>
          <w:sz w:val="20"/>
          <w:szCs w:val="20"/>
        </w:rPr>
        <w:t>lymphadenopathy</w:t>
      </w:r>
      <w:proofErr w:type="spellEnd"/>
      <w:r w:rsidR="00B62DF3" w:rsidRPr="00601EB3">
        <w:rPr>
          <w:rFonts w:ascii="Times New Roman" w:hAnsi="Times New Roman" w:cs="Times New Roman"/>
          <w:sz w:val="20"/>
          <w:szCs w:val="20"/>
        </w:rPr>
        <w:t xml:space="preserve"> or </w:t>
      </w:r>
      <w:proofErr w:type="spellStart"/>
      <w:r w:rsidR="00B62DF3" w:rsidRPr="00601EB3">
        <w:rPr>
          <w:rFonts w:ascii="Times New Roman" w:hAnsi="Times New Roman" w:cs="Times New Roman"/>
          <w:sz w:val="20"/>
          <w:szCs w:val="20"/>
        </w:rPr>
        <w:t>extranodal</w:t>
      </w:r>
      <w:proofErr w:type="spellEnd"/>
      <w:r w:rsidR="00B62DF3" w:rsidRPr="00601EB3">
        <w:rPr>
          <w:rFonts w:ascii="Times New Roman" w:hAnsi="Times New Roman" w:cs="Times New Roman"/>
          <w:sz w:val="20"/>
          <w:szCs w:val="20"/>
        </w:rPr>
        <w:t xml:space="preserve"> involvement (P= 0.072, 0.09, 0.21, 0.196, 1.0 and 0.206 respectively). N</w:t>
      </w:r>
      <w:r w:rsidR="00377A62" w:rsidRPr="00601EB3">
        <w:rPr>
          <w:rFonts w:ascii="Times New Roman" w:hAnsi="Times New Roman" w:cs="Times New Roman"/>
          <w:sz w:val="20"/>
          <w:szCs w:val="20"/>
        </w:rPr>
        <w:t xml:space="preserve">o significant difference was </w:t>
      </w:r>
      <w:r w:rsidR="00B62DF3" w:rsidRPr="00601EB3">
        <w:rPr>
          <w:rFonts w:ascii="Times New Roman" w:hAnsi="Times New Roman" w:cs="Times New Roman"/>
          <w:sz w:val="20"/>
          <w:szCs w:val="20"/>
        </w:rPr>
        <w:t>found</w:t>
      </w:r>
      <w:r w:rsidR="00377A62" w:rsidRPr="00601EB3">
        <w:rPr>
          <w:rFonts w:ascii="Times New Roman" w:hAnsi="Times New Roman" w:cs="Times New Roman"/>
          <w:sz w:val="20"/>
          <w:szCs w:val="20"/>
        </w:rPr>
        <w:t xml:space="preserve"> between </w:t>
      </w:r>
      <w:r w:rsidR="00B62DF3" w:rsidRPr="00601EB3">
        <w:rPr>
          <w:rFonts w:ascii="Times New Roman" w:hAnsi="Times New Roman" w:cs="Times New Roman"/>
          <w:sz w:val="20"/>
          <w:szCs w:val="20"/>
        </w:rPr>
        <w:t>patient</w:t>
      </w:r>
      <w:r w:rsidRPr="00601EB3">
        <w:rPr>
          <w:rFonts w:ascii="Times New Roman" w:hAnsi="Times New Roman" w:cs="Times New Roman"/>
          <w:sz w:val="20"/>
          <w:szCs w:val="20"/>
        </w:rPr>
        <w:t>s with</w:t>
      </w:r>
      <w:r w:rsidR="00B62DF3" w:rsidRPr="00601EB3">
        <w:rPr>
          <w:rFonts w:ascii="Times New Roman" w:hAnsi="Times New Roman" w:cs="Times New Roman"/>
          <w:sz w:val="20"/>
          <w:szCs w:val="20"/>
        </w:rPr>
        <w:t xml:space="preserve"> double negative expression of VEGF-A and COX2 and the rest of the patients</w:t>
      </w:r>
      <w:r w:rsidR="00377A62" w:rsidRPr="00601EB3">
        <w:rPr>
          <w:rFonts w:ascii="Times New Roman" w:hAnsi="Times New Roman" w:cs="Times New Roman"/>
          <w:sz w:val="20"/>
          <w:szCs w:val="20"/>
        </w:rPr>
        <w:t xml:space="preserve"> regarding their age, sex, and presence of B-symptoms, </w:t>
      </w:r>
      <w:proofErr w:type="spellStart"/>
      <w:r w:rsidR="00377A62" w:rsidRPr="00601EB3">
        <w:rPr>
          <w:rFonts w:ascii="Times New Roman" w:hAnsi="Times New Roman" w:cs="Times New Roman"/>
          <w:sz w:val="20"/>
          <w:szCs w:val="20"/>
        </w:rPr>
        <w:t>splenomegaly</w:t>
      </w:r>
      <w:proofErr w:type="spellEnd"/>
      <w:r w:rsidR="00377A62" w:rsidRPr="00601EB3">
        <w:rPr>
          <w:rFonts w:ascii="Times New Roman" w:hAnsi="Times New Roman" w:cs="Times New Roman"/>
          <w:sz w:val="20"/>
          <w:szCs w:val="20"/>
        </w:rPr>
        <w:t xml:space="preserve">, </w:t>
      </w:r>
      <w:proofErr w:type="spellStart"/>
      <w:r w:rsidR="00377A62" w:rsidRPr="00601EB3">
        <w:rPr>
          <w:rFonts w:ascii="Times New Roman" w:hAnsi="Times New Roman" w:cs="Times New Roman"/>
          <w:sz w:val="20"/>
          <w:szCs w:val="20"/>
        </w:rPr>
        <w:t>hepatomegaly</w:t>
      </w:r>
      <w:proofErr w:type="spellEnd"/>
      <w:r w:rsidR="00377A62" w:rsidRPr="00601EB3">
        <w:rPr>
          <w:rFonts w:ascii="Times New Roman" w:hAnsi="Times New Roman" w:cs="Times New Roman"/>
          <w:sz w:val="20"/>
          <w:szCs w:val="20"/>
        </w:rPr>
        <w:t xml:space="preserve"> and </w:t>
      </w:r>
      <w:proofErr w:type="spellStart"/>
      <w:r w:rsidR="00377A62" w:rsidRPr="00601EB3">
        <w:rPr>
          <w:rFonts w:ascii="Times New Roman" w:hAnsi="Times New Roman" w:cs="Times New Roman"/>
          <w:sz w:val="20"/>
          <w:szCs w:val="20"/>
        </w:rPr>
        <w:lastRenderedPageBreak/>
        <w:t>lymphadenopathy</w:t>
      </w:r>
      <w:proofErr w:type="spellEnd"/>
      <w:r w:rsidR="00377A62" w:rsidRPr="00601EB3">
        <w:rPr>
          <w:rFonts w:ascii="Times New Roman" w:hAnsi="Times New Roman" w:cs="Times New Roman"/>
          <w:sz w:val="20"/>
          <w:szCs w:val="20"/>
        </w:rPr>
        <w:t xml:space="preserve"> (P=0.905, 0.329, 0.900, 0.397, 0.549, 0.738 respectively)</w:t>
      </w:r>
      <w:r w:rsidR="00F472AC" w:rsidRPr="00601EB3">
        <w:rPr>
          <w:rFonts w:ascii="Times New Roman" w:hAnsi="Times New Roman" w:cs="Times New Roman"/>
          <w:sz w:val="20"/>
          <w:szCs w:val="20"/>
        </w:rPr>
        <w:t>.</w:t>
      </w:r>
    </w:p>
    <w:p w:rsidR="00C12F24" w:rsidRPr="00601EB3" w:rsidRDefault="0093675C"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T</w:t>
      </w:r>
      <w:r w:rsidR="002F56A6" w:rsidRPr="00601EB3">
        <w:rPr>
          <w:rFonts w:ascii="Times New Roman" w:hAnsi="Times New Roman" w:cs="Times New Roman"/>
          <w:sz w:val="20"/>
          <w:szCs w:val="20"/>
        </w:rPr>
        <w:t xml:space="preserve">here was </w:t>
      </w:r>
      <w:r w:rsidRPr="00601EB3">
        <w:rPr>
          <w:rFonts w:ascii="Times New Roman" w:hAnsi="Times New Roman" w:cs="Times New Roman"/>
          <w:sz w:val="20"/>
          <w:szCs w:val="20"/>
        </w:rPr>
        <w:t xml:space="preserve">a statistically significant difference between </w:t>
      </w:r>
      <w:r w:rsidR="00D3321B" w:rsidRPr="00601EB3">
        <w:rPr>
          <w:rFonts w:ascii="Times New Roman" w:hAnsi="Times New Roman" w:cs="Times New Roman"/>
          <w:sz w:val="20"/>
          <w:szCs w:val="20"/>
        </w:rPr>
        <w:t>the</w:t>
      </w:r>
      <w:r w:rsidR="00D67228">
        <w:rPr>
          <w:rFonts w:ascii="Times New Roman" w:hAnsi="Times New Roman" w:cs="Times New Roman"/>
          <w:sz w:val="20"/>
          <w:szCs w:val="20"/>
        </w:rPr>
        <w:t xml:space="preserve"> </w:t>
      </w:r>
      <w:proofErr w:type="spellStart"/>
      <w:r w:rsidRPr="00601EB3">
        <w:rPr>
          <w:rFonts w:ascii="Times New Roman" w:hAnsi="Times New Roman" w:cs="Times New Roman"/>
          <w:sz w:val="20"/>
          <w:szCs w:val="20"/>
        </w:rPr>
        <w:t>coexpression</w:t>
      </w:r>
      <w:proofErr w:type="spellEnd"/>
      <w:r w:rsidRPr="00601EB3">
        <w:rPr>
          <w:rFonts w:ascii="Times New Roman" w:hAnsi="Times New Roman" w:cs="Times New Roman"/>
          <w:sz w:val="20"/>
          <w:szCs w:val="20"/>
        </w:rPr>
        <w:t xml:space="preserve"> group</w:t>
      </w:r>
      <w:r w:rsidR="00D3321B" w:rsidRPr="00601EB3">
        <w:rPr>
          <w:rFonts w:ascii="Times New Roman" w:hAnsi="Times New Roman" w:cs="Times New Roman"/>
          <w:sz w:val="20"/>
          <w:szCs w:val="20"/>
        </w:rPr>
        <w:t xml:space="preserve"> (10/40 i.e. 25%)</w:t>
      </w:r>
      <w:r w:rsidRPr="00601EB3">
        <w:rPr>
          <w:rFonts w:ascii="Times New Roman" w:hAnsi="Times New Roman" w:cs="Times New Roman"/>
          <w:sz w:val="20"/>
          <w:szCs w:val="20"/>
        </w:rPr>
        <w:t xml:space="preserve"> and </w:t>
      </w:r>
      <w:r w:rsidR="00D3321B" w:rsidRPr="00601EB3">
        <w:rPr>
          <w:rFonts w:ascii="Times New Roman" w:hAnsi="Times New Roman" w:cs="Times New Roman"/>
          <w:sz w:val="20"/>
          <w:szCs w:val="20"/>
        </w:rPr>
        <w:t>the rest of the patients</w:t>
      </w:r>
      <w:r w:rsidR="00F73D29" w:rsidRPr="00601EB3">
        <w:rPr>
          <w:rFonts w:ascii="Times New Roman" w:hAnsi="Times New Roman" w:cs="Times New Roman"/>
          <w:sz w:val="20"/>
          <w:szCs w:val="20"/>
        </w:rPr>
        <w:t xml:space="preserve"> (double negative and single positive)</w:t>
      </w:r>
      <w:r w:rsidR="00D3321B" w:rsidRPr="00601EB3">
        <w:rPr>
          <w:rFonts w:ascii="Times New Roman" w:hAnsi="Times New Roman" w:cs="Times New Roman"/>
          <w:sz w:val="20"/>
          <w:szCs w:val="20"/>
        </w:rPr>
        <w:t xml:space="preserve"> (30/40 i.e. 75%) </w:t>
      </w:r>
      <w:r w:rsidRPr="00601EB3">
        <w:rPr>
          <w:rFonts w:ascii="Times New Roman" w:hAnsi="Times New Roman" w:cs="Times New Roman"/>
          <w:sz w:val="20"/>
          <w:szCs w:val="20"/>
        </w:rPr>
        <w:t>regarding TLC</w:t>
      </w:r>
      <w:r w:rsidR="00D3321B" w:rsidRPr="00601EB3">
        <w:rPr>
          <w:rFonts w:ascii="Times New Roman" w:hAnsi="Times New Roman" w:cs="Times New Roman"/>
          <w:sz w:val="20"/>
          <w:szCs w:val="20"/>
        </w:rPr>
        <w:t>,</w:t>
      </w:r>
      <w:r w:rsidR="00D67228">
        <w:rPr>
          <w:rFonts w:ascii="Times New Roman" w:hAnsi="Times New Roman" w:cs="Times New Roman"/>
          <w:sz w:val="20"/>
          <w:szCs w:val="20"/>
        </w:rPr>
        <w:t xml:space="preserve"> </w:t>
      </w:r>
      <w:r w:rsidR="00D3321B" w:rsidRPr="00601EB3">
        <w:rPr>
          <w:rFonts w:ascii="Times New Roman" w:hAnsi="Times New Roman" w:cs="Times New Roman"/>
          <w:sz w:val="20"/>
          <w:szCs w:val="20"/>
        </w:rPr>
        <w:t>where</w:t>
      </w:r>
      <w:r w:rsidR="00D67228">
        <w:rPr>
          <w:rFonts w:ascii="Times New Roman" w:hAnsi="Times New Roman" w:cs="Times New Roman"/>
          <w:sz w:val="20"/>
          <w:szCs w:val="20"/>
        </w:rPr>
        <w:t xml:space="preserve"> </w:t>
      </w:r>
      <w:r w:rsidRPr="00601EB3">
        <w:rPr>
          <w:rFonts w:ascii="Times New Roman" w:hAnsi="Times New Roman" w:cs="Times New Roman"/>
          <w:sz w:val="20"/>
          <w:szCs w:val="20"/>
        </w:rPr>
        <w:t xml:space="preserve">TLC mean </w:t>
      </w:r>
      <w:r w:rsidR="00D3321B" w:rsidRPr="00601EB3">
        <w:rPr>
          <w:rFonts w:ascii="Times New Roman" w:hAnsi="Times New Roman" w:cs="Times New Roman"/>
          <w:sz w:val="20"/>
          <w:szCs w:val="20"/>
        </w:rPr>
        <w:t>wa</w:t>
      </w:r>
      <w:r w:rsidRPr="00601EB3">
        <w:rPr>
          <w:rFonts w:ascii="Times New Roman" w:hAnsi="Times New Roman" w:cs="Times New Roman"/>
          <w:sz w:val="20"/>
          <w:szCs w:val="20"/>
        </w:rPr>
        <w:t>s higher (23.2×10</w:t>
      </w:r>
      <w:r w:rsidRPr="00601EB3">
        <w:rPr>
          <w:rFonts w:ascii="Times New Roman" w:hAnsi="Times New Roman" w:cs="Times New Roman"/>
          <w:sz w:val="20"/>
          <w:szCs w:val="20"/>
          <w:vertAlign w:val="superscript"/>
        </w:rPr>
        <w:t>3</w:t>
      </w:r>
      <w:r w:rsidRPr="00601EB3">
        <w:rPr>
          <w:rFonts w:ascii="Times New Roman" w:hAnsi="Times New Roman" w:cs="Times New Roman"/>
          <w:sz w:val="20"/>
          <w:szCs w:val="20"/>
        </w:rPr>
        <w:t xml:space="preserve"> /cm</w:t>
      </w:r>
      <w:r w:rsidRPr="00601EB3">
        <w:rPr>
          <w:rFonts w:ascii="Times New Roman" w:hAnsi="Times New Roman" w:cs="Times New Roman"/>
          <w:sz w:val="20"/>
          <w:szCs w:val="20"/>
          <w:vertAlign w:val="superscript"/>
        </w:rPr>
        <w:t>3</w:t>
      </w:r>
      <w:r w:rsidRPr="00601EB3">
        <w:rPr>
          <w:rFonts w:ascii="Times New Roman" w:hAnsi="Times New Roman" w:cs="Times New Roman"/>
          <w:sz w:val="20"/>
          <w:szCs w:val="20"/>
        </w:rPr>
        <w:t xml:space="preserve">) in the </w:t>
      </w:r>
      <w:proofErr w:type="spellStart"/>
      <w:r w:rsidRPr="00601EB3">
        <w:rPr>
          <w:rFonts w:ascii="Times New Roman" w:hAnsi="Times New Roman" w:cs="Times New Roman"/>
          <w:sz w:val="20"/>
          <w:szCs w:val="20"/>
        </w:rPr>
        <w:t>coexpression</w:t>
      </w:r>
      <w:proofErr w:type="spellEnd"/>
      <w:r w:rsidRPr="00601EB3">
        <w:rPr>
          <w:rFonts w:ascii="Times New Roman" w:hAnsi="Times New Roman" w:cs="Times New Roman"/>
          <w:sz w:val="20"/>
          <w:szCs w:val="20"/>
        </w:rPr>
        <w:t xml:space="preserve"> group </w:t>
      </w:r>
      <w:r w:rsidR="00D3321B" w:rsidRPr="00601EB3">
        <w:rPr>
          <w:rFonts w:ascii="Times New Roman" w:hAnsi="Times New Roman" w:cs="Times New Roman"/>
          <w:sz w:val="20"/>
          <w:szCs w:val="20"/>
        </w:rPr>
        <w:t>versus</w:t>
      </w:r>
      <w:r w:rsidRPr="00601EB3">
        <w:rPr>
          <w:rFonts w:ascii="Times New Roman" w:hAnsi="Times New Roman" w:cs="Times New Roman"/>
          <w:sz w:val="20"/>
          <w:szCs w:val="20"/>
        </w:rPr>
        <w:t xml:space="preserve"> the others (10.6×10</w:t>
      </w:r>
      <w:r w:rsidRPr="00601EB3">
        <w:rPr>
          <w:rFonts w:ascii="Times New Roman" w:hAnsi="Times New Roman" w:cs="Times New Roman"/>
          <w:sz w:val="20"/>
          <w:szCs w:val="20"/>
          <w:vertAlign w:val="superscript"/>
        </w:rPr>
        <w:t>3</w:t>
      </w:r>
      <w:r w:rsidRPr="00601EB3">
        <w:rPr>
          <w:rFonts w:ascii="Times New Roman" w:hAnsi="Times New Roman" w:cs="Times New Roman"/>
          <w:sz w:val="20"/>
          <w:szCs w:val="20"/>
        </w:rPr>
        <w:t xml:space="preserve"> /cm</w:t>
      </w:r>
      <w:r w:rsidRPr="00601EB3">
        <w:rPr>
          <w:rFonts w:ascii="Times New Roman" w:hAnsi="Times New Roman" w:cs="Times New Roman"/>
          <w:sz w:val="20"/>
          <w:szCs w:val="20"/>
          <w:vertAlign w:val="superscript"/>
        </w:rPr>
        <w:t>3</w:t>
      </w:r>
      <w:r w:rsidRPr="00601EB3">
        <w:rPr>
          <w:rFonts w:ascii="Times New Roman" w:hAnsi="Times New Roman" w:cs="Times New Roman"/>
          <w:sz w:val="20"/>
          <w:szCs w:val="20"/>
        </w:rPr>
        <w:t>) (P=0.036)</w:t>
      </w:r>
      <w:r w:rsidR="00591F51" w:rsidRPr="00601EB3">
        <w:rPr>
          <w:rFonts w:ascii="Times New Roman" w:hAnsi="Times New Roman" w:cs="Times New Roman"/>
          <w:sz w:val="20"/>
          <w:szCs w:val="20"/>
        </w:rPr>
        <w:t>.</w:t>
      </w:r>
      <w:r w:rsidR="00D67228">
        <w:rPr>
          <w:rFonts w:ascii="Times New Roman" w:hAnsi="Times New Roman" w:cs="Times New Roman"/>
          <w:sz w:val="20"/>
          <w:szCs w:val="20"/>
        </w:rPr>
        <w:t xml:space="preserve"> </w:t>
      </w:r>
      <w:r w:rsidR="00591F51" w:rsidRPr="00601EB3">
        <w:rPr>
          <w:rFonts w:ascii="Times New Roman" w:hAnsi="Times New Roman" w:cs="Times New Roman"/>
          <w:sz w:val="20"/>
          <w:szCs w:val="20"/>
        </w:rPr>
        <w:t xml:space="preserve">Despite a higher lymphocyte P.B. count in the </w:t>
      </w:r>
      <w:proofErr w:type="spellStart"/>
      <w:r w:rsidR="00591F51" w:rsidRPr="00601EB3">
        <w:rPr>
          <w:rFonts w:ascii="Times New Roman" w:hAnsi="Times New Roman" w:cs="Times New Roman"/>
          <w:sz w:val="20"/>
          <w:szCs w:val="20"/>
        </w:rPr>
        <w:t>coexpressor</w:t>
      </w:r>
      <w:proofErr w:type="spellEnd"/>
      <w:r w:rsidR="00591F51" w:rsidRPr="00601EB3">
        <w:rPr>
          <w:rFonts w:ascii="Times New Roman" w:hAnsi="Times New Roman" w:cs="Times New Roman"/>
          <w:sz w:val="20"/>
          <w:szCs w:val="20"/>
        </w:rPr>
        <w:t xml:space="preserve"> group compared to the other two groups, n</w:t>
      </w:r>
      <w:r w:rsidR="002F56A6" w:rsidRPr="00601EB3">
        <w:rPr>
          <w:rFonts w:ascii="Times New Roman" w:hAnsi="Times New Roman" w:cs="Times New Roman"/>
          <w:sz w:val="20"/>
          <w:szCs w:val="20"/>
        </w:rPr>
        <w:t xml:space="preserve">o significant difference </w:t>
      </w:r>
      <w:r w:rsidR="002B1C71" w:rsidRPr="00601EB3">
        <w:rPr>
          <w:rFonts w:ascii="Times New Roman" w:hAnsi="Times New Roman" w:cs="Times New Roman"/>
          <w:sz w:val="20"/>
          <w:szCs w:val="20"/>
        </w:rPr>
        <w:t xml:space="preserve">was found </w:t>
      </w:r>
      <w:r w:rsidR="002F56A6" w:rsidRPr="00601EB3">
        <w:rPr>
          <w:rFonts w:ascii="Times New Roman" w:hAnsi="Times New Roman" w:cs="Times New Roman"/>
          <w:sz w:val="20"/>
          <w:szCs w:val="20"/>
        </w:rPr>
        <w:t xml:space="preserve">regarding </w:t>
      </w:r>
      <w:r w:rsidRPr="00601EB3">
        <w:rPr>
          <w:rFonts w:ascii="Times New Roman" w:hAnsi="Times New Roman" w:cs="Times New Roman"/>
          <w:sz w:val="20"/>
          <w:szCs w:val="20"/>
        </w:rPr>
        <w:t>other</w:t>
      </w:r>
      <w:r w:rsidR="00D67228">
        <w:rPr>
          <w:rFonts w:ascii="Times New Roman" w:hAnsi="Times New Roman" w:cs="Times New Roman"/>
          <w:sz w:val="20"/>
          <w:szCs w:val="20"/>
        </w:rPr>
        <w:t xml:space="preserve"> </w:t>
      </w:r>
      <w:r w:rsidRPr="00601EB3">
        <w:rPr>
          <w:rFonts w:ascii="Times New Roman" w:hAnsi="Times New Roman" w:cs="Times New Roman"/>
          <w:sz w:val="20"/>
          <w:szCs w:val="20"/>
        </w:rPr>
        <w:t>PB</w:t>
      </w:r>
      <w:r w:rsidR="002F56A6" w:rsidRPr="00601EB3">
        <w:rPr>
          <w:rFonts w:ascii="Times New Roman" w:hAnsi="Times New Roman" w:cs="Times New Roman"/>
          <w:sz w:val="20"/>
          <w:szCs w:val="20"/>
        </w:rPr>
        <w:t xml:space="preserve"> data (HB, platelets count, </w:t>
      </w:r>
      <w:r w:rsidR="002B1C71" w:rsidRPr="00601EB3">
        <w:rPr>
          <w:rFonts w:ascii="Times New Roman" w:hAnsi="Times New Roman" w:cs="Times New Roman"/>
          <w:sz w:val="20"/>
          <w:szCs w:val="20"/>
        </w:rPr>
        <w:t xml:space="preserve">lymphocyte %, </w:t>
      </w:r>
      <w:r w:rsidR="002F56A6" w:rsidRPr="00601EB3">
        <w:rPr>
          <w:rFonts w:ascii="Times New Roman" w:hAnsi="Times New Roman" w:cs="Times New Roman"/>
          <w:sz w:val="20"/>
          <w:szCs w:val="20"/>
        </w:rPr>
        <w:t>LDH) (P value= 0.890, 0,292,</w:t>
      </w:r>
      <w:r w:rsidR="00823394" w:rsidRPr="00601EB3">
        <w:rPr>
          <w:rFonts w:ascii="Times New Roman" w:hAnsi="Times New Roman" w:cs="Times New Roman"/>
          <w:sz w:val="20"/>
          <w:szCs w:val="20"/>
        </w:rPr>
        <w:t xml:space="preserve"> 0.077 and</w:t>
      </w:r>
      <w:r w:rsidR="002F56A6" w:rsidRPr="00601EB3">
        <w:rPr>
          <w:rFonts w:ascii="Times New Roman" w:hAnsi="Times New Roman" w:cs="Times New Roman"/>
          <w:sz w:val="20"/>
          <w:szCs w:val="20"/>
        </w:rPr>
        <w:t xml:space="preserve"> 0.129 respectively) </w:t>
      </w:r>
      <w:r w:rsidR="00823394" w:rsidRPr="00601EB3">
        <w:rPr>
          <w:rFonts w:ascii="Times New Roman" w:hAnsi="Times New Roman" w:cs="Times New Roman"/>
          <w:sz w:val="20"/>
          <w:szCs w:val="20"/>
        </w:rPr>
        <w:t>or</w:t>
      </w:r>
      <w:r w:rsidR="00D67228">
        <w:rPr>
          <w:rFonts w:ascii="Times New Roman" w:hAnsi="Times New Roman" w:cs="Times New Roman"/>
          <w:sz w:val="20"/>
          <w:szCs w:val="20"/>
        </w:rPr>
        <w:t xml:space="preserve"> </w:t>
      </w:r>
      <w:r w:rsidR="00B810BA" w:rsidRPr="00601EB3">
        <w:rPr>
          <w:rFonts w:ascii="Times New Roman" w:hAnsi="Times New Roman" w:cs="Times New Roman"/>
          <w:sz w:val="20"/>
          <w:szCs w:val="20"/>
        </w:rPr>
        <w:t>BMA</w:t>
      </w:r>
      <w:r w:rsidR="00823394" w:rsidRPr="00601EB3">
        <w:rPr>
          <w:rFonts w:ascii="Times New Roman" w:hAnsi="Times New Roman" w:cs="Times New Roman"/>
          <w:sz w:val="20"/>
          <w:szCs w:val="20"/>
        </w:rPr>
        <w:t>/</w:t>
      </w:r>
      <w:r w:rsidR="00B810BA" w:rsidRPr="00601EB3">
        <w:rPr>
          <w:rFonts w:ascii="Times New Roman" w:hAnsi="Times New Roman" w:cs="Times New Roman"/>
          <w:sz w:val="20"/>
          <w:szCs w:val="20"/>
        </w:rPr>
        <w:t>BMB</w:t>
      </w:r>
      <w:r w:rsidR="002F56A6" w:rsidRPr="00601EB3">
        <w:rPr>
          <w:rFonts w:ascii="Times New Roman" w:hAnsi="Times New Roman" w:cs="Times New Roman"/>
          <w:sz w:val="20"/>
          <w:szCs w:val="20"/>
        </w:rPr>
        <w:t xml:space="preserve"> findings (BM </w:t>
      </w:r>
      <w:proofErr w:type="spellStart"/>
      <w:r w:rsidR="002F56A6" w:rsidRPr="00601EB3">
        <w:rPr>
          <w:rFonts w:ascii="Times New Roman" w:hAnsi="Times New Roman" w:cs="Times New Roman"/>
          <w:sz w:val="20"/>
          <w:szCs w:val="20"/>
        </w:rPr>
        <w:t>cellularity</w:t>
      </w:r>
      <w:proofErr w:type="spellEnd"/>
      <w:r w:rsidR="002F56A6" w:rsidRPr="00601EB3">
        <w:rPr>
          <w:rFonts w:ascii="Times New Roman" w:hAnsi="Times New Roman" w:cs="Times New Roman"/>
          <w:sz w:val="20"/>
          <w:szCs w:val="20"/>
        </w:rPr>
        <w:t xml:space="preserve">, </w:t>
      </w:r>
      <w:proofErr w:type="spellStart"/>
      <w:r w:rsidR="002F56A6" w:rsidRPr="00601EB3">
        <w:rPr>
          <w:rFonts w:ascii="Times New Roman" w:hAnsi="Times New Roman" w:cs="Times New Roman"/>
          <w:sz w:val="20"/>
          <w:szCs w:val="20"/>
        </w:rPr>
        <w:t>megakaryocytes</w:t>
      </w:r>
      <w:proofErr w:type="spellEnd"/>
      <w:r w:rsidR="002F56A6" w:rsidRPr="00601EB3">
        <w:rPr>
          <w:rFonts w:ascii="Times New Roman" w:hAnsi="Times New Roman" w:cs="Times New Roman"/>
          <w:sz w:val="20"/>
          <w:szCs w:val="20"/>
        </w:rPr>
        <w:t>, fibrosis and p</w:t>
      </w:r>
      <w:r w:rsidR="00823394" w:rsidRPr="00601EB3">
        <w:rPr>
          <w:rFonts w:ascii="Times New Roman" w:hAnsi="Times New Roman" w:cs="Times New Roman"/>
          <w:sz w:val="20"/>
          <w:szCs w:val="20"/>
        </w:rPr>
        <w:t>attern of infiltration) (P</w:t>
      </w:r>
      <w:r w:rsidR="002F56A6" w:rsidRPr="00601EB3">
        <w:rPr>
          <w:rFonts w:ascii="Times New Roman" w:hAnsi="Times New Roman" w:cs="Times New Roman"/>
          <w:sz w:val="20"/>
          <w:szCs w:val="20"/>
        </w:rPr>
        <w:t xml:space="preserve">=0.504, 0.139, 0.426, 0.627 respectively). </w:t>
      </w:r>
      <w:r w:rsidR="00F472AC" w:rsidRPr="00601EB3">
        <w:rPr>
          <w:rFonts w:ascii="Times New Roman" w:hAnsi="Times New Roman" w:cs="Times New Roman"/>
          <w:sz w:val="20"/>
          <w:szCs w:val="20"/>
        </w:rPr>
        <w:t>Table 6</w:t>
      </w:r>
      <w:r w:rsidR="00411A97" w:rsidRPr="00601EB3">
        <w:rPr>
          <w:rFonts w:ascii="Times New Roman" w:hAnsi="Times New Roman" w:cs="Times New Roman"/>
          <w:sz w:val="20"/>
          <w:szCs w:val="20"/>
        </w:rPr>
        <w:t xml:space="preserve"> shows response to treatment and follow up of patients with positive VEGF-A and COX2 </w:t>
      </w:r>
      <w:proofErr w:type="spellStart"/>
      <w:r w:rsidR="00411A97" w:rsidRPr="00601EB3">
        <w:rPr>
          <w:rFonts w:ascii="Times New Roman" w:hAnsi="Times New Roman" w:cs="Times New Roman"/>
          <w:sz w:val="20"/>
          <w:szCs w:val="20"/>
        </w:rPr>
        <w:t>coexpression</w:t>
      </w:r>
      <w:proofErr w:type="spellEnd"/>
      <w:r w:rsidR="00411A97" w:rsidRPr="00601EB3">
        <w:rPr>
          <w:rFonts w:ascii="Times New Roman" w:hAnsi="Times New Roman" w:cs="Times New Roman"/>
          <w:sz w:val="20"/>
          <w:szCs w:val="20"/>
        </w:rPr>
        <w:t>.</w:t>
      </w:r>
      <w:bookmarkStart w:id="8" w:name="_Toc360566819"/>
      <w:r w:rsidR="00D67228">
        <w:rPr>
          <w:rFonts w:ascii="Times New Roman" w:hAnsi="Times New Roman" w:cs="Times New Roman"/>
          <w:sz w:val="20"/>
          <w:szCs w:val="20"/>
        </w:rPr>
        <w:t xml:space="preserve"> </w:t>
      </w:r>
      <w:r w:rsidR="008C09A7" w:rsidRPr="00601EB3">
        <w:rPr>
          <w:rFonts w:ascii="Times New Roman" w:hAnsi="Times New Roman" w:cs="Times New Roman"/>
          <w:sz w:val="20"/>
          <w:szCs w:val="20"/>
          <w:lang w:bidi="ar-EG"/>
        </w:rPr>
        <w:t>The median overall survival (OS) for the whole group was 40 months, ranging between 0.5 and 66 months. Despite numerical increase in OS in VEGF-A positive group (64.7 months) versus only 15.2 months in VEGF-A negative group, but this was not statistically significant (p=0.117). Also, there was no significant difference in survival between COX-2 positive (64.7 months) and COX-2 negative (39.9 months) group (p=0.84) and finally no significant difference in OS weather both VEGF-A and COX-2 were both positive or both negative in comparison with the other group categories (p=0.28 and 0.25 respectively</w:t>
      </w:r>
      <w:r w:rsidR="00724F5B" w:rsidRPr="00601EB3">
        <w:rPr>
          <w:rFonts w:ascii="Times New Roman" w:hAnsi="Times New Roman" w:cs="Times New Roman"/>
          <w:sz w:val="20"/>
          <w:szCs w:val="20"/>
          <w:lang w:bidi="ar-EG"/>
        </w:rPr>
        <w:t>).</w:t>
      </w:r>
      <w:r w:rsidR="00D67228">
        <w:rPr>
          <w:rFonts w:ascii="Times New Roman" w:hAnsi="Times New Roman" w:cs="Times New Roman"/>
          <w:sz w:val="20"/>
          <w:szCs w:val="20"/>
          <w:lang w:bidi="ar-EG"/>
        </w:rPr>
        <w:t xml:space="preserve"> </w:t>
      </w:r>
    </w:p>
    <w:p w:rsidR="000A44BA" w:rsidRPr="00601EB3" w:rsidRDefault="000A44BA" w:rsidP="00D67228">
      <w:pPr>
        <w:bidi w:val="0"/>
        <w:adjustRightInd w:val="0"/>
        <w:snapToGrid w:val="0"/>
        <w:spacing w:after="0" w:line="240" w:lineRule="auto"/>
        <w:jc w:val="center"/>
        <w:rPr>
          <w:rFonts w:ascii="Times New Roman" w:hAnsi="Times New Roman" w:cs="Times New Roman"/>
          <w:b/>
          <w:bCs/>
          <w:sz w:val="20"/>
          <w:szCs w:val="20"/>
        </w:rPr>
        <w:sectPr w:rsidR="000A44BA" w:rsidRPr="00601EB3" w:rsidSect="00601EB3">
          <w:type w:val="continuous"/>
          <w:pgSz w:w="12242" w:h="15842" w:code="1"/>
          <w:pgMar w:top="1440" w:right="1440" w:bottom="1440" w:left="1440" w:header="720" w:footer="720" w:gutter="0"/>
          <w:cols w:num="2" w:space="550"/>
          <w:docGrid w:linePitch="360"/>
        </w:sectPr>
      </w:pPr>
    </w:p>
    <w:p w:rsidR="00C12F24" w:rsidRDefault="00C12F24" w:rsidP="00D67228">
      <w:pPr>
        <w:bidi w:val="0"/>
        <w:adjustRightInd w:val="0"/>
        <w:snapToGrid w:val="0"/>
        <w:spacing w:after="0" w:line="240" w:lineRule="auto"/>
        <w:jc w:val="center"/>
        <w:rPr>
          <w:rFonts w:ascii="Times New Roman" w:hAnsi="Times New Roman" w:cs="Times New Roman"/>
          <w:b/>
          <w:bCs/>
          <w:sz w:val="20"/>
          <w:szCs w:val="20"/>
        </w:rPr>
      </w:pPr>
    </w:p>
    <w:p w:rsidR="00D67228" w:rsidRPr="00601EB3" w:rsidRDefault="00D67228" w:rsidP="00D67228">
      <w:pPr>
        <w:bidi w:val="0"/>
        <w:adjustRightInd w:val="0"/>
        <w:snapToGrid w:val="0"/>
        <w:spacing w:after="0" w:line="240" w:lineRule="auto"/>
        <w:jc w:val="both"/>
        <w:rPr>
          <w:rFonts w:ascii="Times New Roman" w:hAnsi="Times New Roman" w:cs="Times New Roman"/>
          <w:sz w:val="20"/>
          <w:szCs w:val="20"/>
        </w:rPr>
      </w:pPr>
      <w:r w:rsidRPr="00601EB3">
        <w:rPr>
          <w:rFonts w:ascii="Times New Roman" w:hAnsi="Times New Roman" w:cs="Times New Roman"/>
          <w:b/>
          <w:bCs/>
          <w:sz w:val="20"/>
          <w:szCs w:val="20"/>
        </w:rPr>
        <w:t>Table 1.</w:t>
      </w:r>
      <w:r w:rsidRPr="00601EB3">
        <w:rPr>
          <w:rFonts w:ascii="Times New Roman" w:hAnsi="Times New Roman" w:cs="Times New Roman"/>
          <w:sz w:val="20"/>
          <w:szCs w:val="20"/>
        </w:rPr>
        <w:t xml:space="preserve"> Demographic data of NHL patients at Diagnosis</w:t>
      </w:r>
    </w:p>
    <w:tbl>
      <w:tblPr>
        <w:tblStyle w:val="TableGrid"/>
        <w:tblW w:w="4648" w:type="pct"/>
        <w:jc w:val="center"/>
        <w:tblInd w:w="675" w:type="dxa"/>
        <w:tblLook w:val="04A0"/>
      </w:tblPr>
      <w:tblGrid>
        <w:gridCol w:w="1569"/>
        <w:gridCol w:w="3503"/>
        <w:gridCol w:w="2858"/>
        <w:gridCol w:w="974"/>
      </w:tblGrid>
      <w:tr w:rsidR="00D67228" w:rsidRPr="00601EB3" w:rsidTr="00D67228">
        <w:trPr>
          <w:trHeight w:val="20"/>
          <w:jc w:val="center"/>
        </w:trPr>
        <w:tc>
          <w:tcPr>
            <w:tcW w:w="2847" w:type="pct"/>
            <w:gridSpan w:val="2"/>
            <w:vMerge w:val="restar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Age (range,</w:t>
            </w:r>
            <w:r>
              <w:rPr>
                <w:rFonts w:ascii="Times New Roman" w:hAnsi="Times New Roman" w:cs="Times New Roman"/>
                <w:color w:val="000000"/>
                <w:sz w:val="20"/>
                <w:szCs w:val="20"/>
              </w:rPr>
              <w:t xml:space="preserve"> </w:t>
            </w:r>
            <w:proofErr w:type="spellStart"/>
            <w:r w:rsidRPr="00601EB3">
              <w:rPr>
                <w:rFonts w:ascii="Times New Roman" w:hAnsi="Times New Roman" w:cs="Times New Roman"/>
                <w:color w:val="000000"/>
                <w:sz w:val="20"/>
                <w:szCs w:val="20"/>
              </w:rPr>
              <w:t>mean±SD</w:t>
            </w:r>
            <w:proofErr w:type="spellEnd"/>
            <w:r w:rsidRPr="00601EB3">
              <w:rPr>
                <w:rFonts w:ascii="Times New Roman" w:hAnsi="Times New Roman" w:cs="Times New Roman"/>
                <w:color w:val="000000"/>
                <w:sz w:val="20"/>
                <w:szCs w:val="20"/>
              </w:rPr>
              <w:t>, median)</w:t>
            </w:r>
            <w:r>
              <w:rPr>
                <w:rFonts w:ascii="Times New Roman" w:hAnsi="Times New Roman" w:cs="Times New Roman"/>
                <w:color w:val="000000"/>
                <w:sz w:val="20"/>
                <w:szCs w:val="20"/>
              </w:rPr>
              <w:t xml:space="preserve"> </w:t>
            </w:r>
            <w:r w:rsidRPr="00601EB3">
              <w:rPr>
                <w:rFonts w:ascii="Times New Roman" w:hAnsi="Times New Roman" w:cs="Times New Roman"/>
                <w:color w:val="000000"/>
                <w:sz w:val="20"/>
                <w:szCs w:val="20"/>
              </w:rPr>
              <w:t>33-75 y</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55±10.7 y</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57 y</w:t>
            </w:r>
          </w:p>
        </w:tc>
      </w:tr>
      <w:tr w:rsidR="00D67228" w:rsidRPr="00601EB3" w:rsidTr="00D67228">
        <w:trPr>
          <w:trHeight w:val="20"/>
          <w:jc w:val="center"/>
        </w:trPr>
        <w:tc>
          <w:tcPr>
            <w:tcW w:w="2847" w:type="pct"/>
            <w:gridSpan w:val="2"/>
            <w:vMerge/>
          </w:tcPr>
          <w:p w:rsidR="00D67228" w:rsidRPr="00601EB3" w:rsidRDefault="00D67228" w:rsidP="00D67228">
            <w:pPr>
              <w:bidi w:val="0"/>
              <w:adjustRightInd w:val="0"/>
              <w:snapToGrid w:val="0"/>
              <w:jc w:val="both"/>
              <w:rPr>
                <w:rFonts w:ascii="Times New Roman" w:hAnsi="Times New Roman" w:cs="Times New Roman"/>
                <w:color w:val="000000"/>
                <w:sz w:val="20"/>
                <w:szCs w:val="20"/>
              </w:rPr>
            </w:pP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Frequency (n=40)</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w:t>
            </w:r>
          </w:p>
        </w:tc>
      </w:tr>
      <w:tr w:rsidR="00D67228" w:rsidRPr="00601EB3" w:rsidTr="00D67228">
        <w:trPr>
          <w:trHeight w:val="20"/>
          <w:jc w:val="center"/>
        </w:trPr>
        <w:tc>
          <w:tcPr>
            <w:tcW w:w="881" w:type="pct"/>
            <w:vMerge w:val="restar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Sex</w:t>
            </w:r>
          </w:p>
        </w:tc>
        <w:tc>
          <w:tcPr>
            <w:tcW w:w="1967"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Male</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24</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60.0</w:t>
            </w:r>
          </w:p>
        </w:tc>
      </w:tr>
      <w:tr w:rsidR="00D67228" w:rsidRPr="00601EB3" w:rsidTr="00D67228">
        <w:trPr>
          <w:trHeight w:val="20"/>
          <w:jc w:val="center"/>
        </w:trPr>
        <w:tc>
          <w:tcPr>
            <w:tcW w:w="881" w:type="pct"/>
            <w:vMerge/>
          </w:tcPr>
          <w:p w:rsidR="00D67228" w:rsidRPr="00601EB3" w:rsidRDefault="00D67228" w:rsidP="00D67228">
            <w:pPr>
              <w:bidi w:val="0"/>
              <w:adjustRightInd w:val="0"/>
              <w:snapToGrid w:val="0"/>
              <w:jc w:val="both"/>
              <w:rPr>
                <w:rFonts w:ascii="Times New Roman" w:hAnsi="Times New Roman" w:cs="Times New Roman"/>
                <w:color w:val="000000"/>
                <w:sz w:val="20"/>
                <w:szCs w:val="20"/>
              </w:rPr>
            </w:pPr>
          </w:p>
        </w:tc>
        <w:tc>
          <w:tcPr>
            <w:tcW w:w="1967"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Female</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16</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40.0</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B –Symptoms</w:t>
            </w:r>
            <w:r>
              <w:rPr>
                <w:rFonts w:ascii="Times New Roman" w:hAnsi="Times New Roman" w:cs="Times New Roman"/>
                <w:color w:val="000000"/>
                <w:sz w:val="20"/>
                <w:szCs w:val="20"/>
              </w:rPr>
              <w:t xml:space="preserve">: </w:t>
            </w:r>
            <w:r w:rsidRPr="00601EB3">
              <w:rPr>
                <w:rFonts w:ascii="Times New Roman" w:hAnsi="Times New Roman" w:cs="Times New Roman"/>
                <w:color w:val="000000"/>
                <w:sz w:val="20"/>
                <w:szCs w:val="20"/>
              </w:rPr>
              <w:t>Fever, night sweat, weight loss</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25</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62.5</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proofErr w:type="spellStart"/>
            <w:r w:rsidRPr="00601EB3">
              <w:rPr>
                <w:rFonts w:ascii="Times New Roman" w:hAnsi="Times New Roman" w:cs="Times New Roman"/>
                <w:color w:val="000000"/>
                <w:sz w:val="20"/>
                <w:szCs w:val="20"/>
              </w:rPr>
              <w:t>Splenomegaly</w:t>
            </w:r>
            <w:proofErr w:type="spellEnd"/>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23</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57.5</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proofErr w:type="spellStart"/>
            <w:r w:rsidRPr="00601EB3">
              <w:rPr>
                <w:rFonts w:ascii="Times New Roman" w:hAnsi="Times New Roman" w:cs="Times New Roman"/>
                <w:color w:val="000000"/>
                <w:sz w:val="20"/>
                <w:szCs w:val="20"/>
              </w:rPr>
              <w:t>Hepatomegaly</w:t>
            </w:r>
            <w:proofErr w:type="spellEnd"/>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21</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52.5</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proofErr w:type="spellStart"/>
            <w:r w:rsidRPr="00601EB3">
              <w:rPr>
                <w:rFonts w:ascii="Times New Roman" w:hAnsi="Times New Roman" w:cs="Times New Roman"/>
                <w:color w:val="000000"/>
                <w:sz w:val="20"/>
                <w:szCs w:val="20"/>
              </w:rPr>
              <w:t>Lymphadenopathy</w:t>
            </w:r>
            <w:proofErr w:type="spellEnd"/>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34</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85.0</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Extra nodal involvement</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25.0</w:t>
            </w:r>
          </w:p>
        </w:tc>
      </w:tr>
      <w:tr w:rsidR="00D67228" w:rsidRPr="00601EB3" w:rsidTr="00D67228">
        <w:trPr>
          <w:trHeight w:val="20"/>
          <w:jc w:val="center"/>
        </w:trPr>
        <w:tc>
          <w:tcPr>
            <w:tcW w:w="5000" w:type="pct"/>
            <w:gridSpan w:val="4"/>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Pathological data of NHL patients</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DLBCL</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15</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37.5</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CLL/SLL</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9</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22.5</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Follicular NHL</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20.0</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T-NHL</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7.5</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MALT-lymphoma</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5.0</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Marginal zone NHL</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2.5</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HCL</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2.5</w:t>
            </w:r>
          </w:p>
        </w:tc>
      </w:tr>
      <w:tr w:rsidR="00D67228" w:rsidRPr="00601EB3" w:rsidTr="00D67228">
        <w:trPr>
          <w:trHeight w:val="20"/>
          <w:jc w:val="center"/>
        </w:trPr>
        <w:tc>
          <w:tcPr>
            <w:tcW w:w="2847" w:type="pct"/>
            <w:gridSpan w:val="2"/>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B-NHL Unclassified</w:t>
            </w:r>
          </w:p>
        </w:tc>
        <w:tc>
          <w:tcPr>
            <w:tcW w:w="1605"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w:t>
            </w:r>
          </w:p>
        </w:tc>
        <w:tc>
          <w:tcPr>
            <w:tcW w:w="548" w:type="pct"/>
          </w:tcPr>
          <w:p w:rsidR="00D67228" w:rsidRPr="00601EB3" w:rsidRDefault="00D67228"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2.5</w:t>
            </w:r>
          </w:p>
        </w:tc>
      </w:tr>
    </w:tbl>
    <w:p w:rsidR="00D67228" w:rsidRDefault="00D67228" w:rsidP="00D67228">
      <w:pPr>
        <w:bidi w:val="0"/>
        <w:adjustRightInd w:val="0"/>
        <w:snapToGrid w:val="0"/>
        <w:spacing w:after="0" w:line="240" w:lineRule="auto"/>
        <w:jc w:val="center"/>
        <w:rPr>
          <w:rFonts w:ascii="Times New Roman" w:hAnsi="Times New Roman" w:cs="Times New Roman"/>
          <w:sz w:val="20"/>
          <w:szCs w:val="20"/>
        </w:rPr>
      </w:pPr>
      <w:r w:rsidRPr="00601EB3">
        <w:rPr>
          <w:rFonts w:ascii="Times New Roman" w:hAnsi="Times New Roman" w:cs="Times New Roman"/>
          <w:sz w:val="20"/>
          <w:szCs w:val="20"/>
        </w:rPr>
        <w:t xml:space="preserve">DLBCL (Diffuse Large B-cell Lymphoma), </w:t>
      </w:r>
      <w:proofErr w:type="spellStart"/>
      <w:r w:rsidRPr="00601EB3">
        <w:rPr>
          <w:rFonts w:ascii="Times New Roman" w:hAnsi="Times New Roman" w:cs="Times New Roman"/>
          <w:sz w:val="20"/>
          <w:szCs w:val="20"/>
        </w:rPr>
        <w:t>Cll/Sll</w:t>
      </w:r>
      <w:proofErr w:type="spellEnd"/>
      <w:r w:rsidRPr="00601EB3">
        <w:rPr>
          <w:rFonts w:ascii="Times New Roman" w:hAnsi="Times New Roman" w:cs="Times New Roman"/>
          <w:sz w:val="20"/>
          <w:szCs w:val="20"/>
        </w:rPr>
        <w:t xml:space="preserve"> (chronic lymphocytic leukemia/small lymphocytic leukemia/lymphoma), HCL (hairy cell leukemia)</w:t>
      </w:r>
    </w:p>
    <w:p w:rsidR="00D67228" w:rsidRPr="00601EB3" w:rsidRDefault="00D67228" w:rsidP="00D67228">
      <w:pPr>
        <w:bidi w:val="0"/>
        <w:adjustRightInd w:val="0"/>
        <w:snapToGrid w:val="0"/>
        <w:spacing w:after="0" w:line="240" w:lineRule="auto"/>
        <w:jc w:val="center"/>
        <w:rPr>
          <w:rFonts w:ascii="Times New Roman" w:hAnsi="Times New Roman" w:cs="Times New Roman"/>
          <w:b/>
          <w:bCs/>
          <w:sz w:val="20"/>
          <w:szCs w:val="20"/>
        </w:rPr>
      </w:pPr>
    </w:p>
    <w:p w:rsidR="00D67228" w:rsidRDefault="00D67228" w:rsidP="00D67228">
      <w:pPr>
        <w:bidi w:val="0"/>
        <w:adjustRightInd w:val="0"/>
        <w:snapToGrid w:val="0"/>
        <w:spacing w:after="0" w:line="240" w:lineRule="auto"/>
        <w:jc w:val="center"/>
        <w:rPr>
          <w:rFonts w:ascii="Times New Roman" w:hAnsi="Times New Roman" w:cs="Times New Roman"/>
          <w:b/>
          <w:bCs/>
          <w:sz w:val="20"/>
          <w:szCs w:val="20"/>
        </w:rPr>
      </w:pPr>
    </w:p>
    <w:p w:rsidR="005843F5" w:rsidRDefault="005843F5" w:rsidP="005843F5">
      <w:pPr>
        <w:bidi w:val="0"/>
        <w:adjustRightInd w:val="0"/>
        <w:snapToGrid w:val="0"/>
        <w:spacing w:after="0" w:line="240" w:lineRule="auto"/>
        <w:jc w:val="center"/>
        <w:rPr>
          <w:rFonts w:ascii="Times New Roman" w:hAnsi="Times New Roman" w:cs="Times New Roman"/>
          <w:b/>
          <w:bCs/>
          <w:sz w:val="20"/>
          <w:szCs w:val="20"/>
        </w:rPr>
      </w:pPr>
    </w:p>
    <w:p w:rsidR="00C12F24" w:rsidRPr="00601EB3" w:rsidRDefault="00C12F24" w:rsidP="00D67228">
      <w:pPr>
        <w:bidi w:val="0"/>
        <w:adjustRightInd w:val="0"/>
        <w:snapToGrid w:val="0"/>
        <w:spacing w:after="0" w:line="240" w:lineRule="auto"/>
        <w:jc w:val="center"/>
        <w:rPr>
          <w:rFonts w:ascii="Times New Roman" w:hAnsi="Times New Roman" w:cs="Times New Roman"/>
          <w:sz w:val="20"/>
          <w:szCs w:val="20"/>
        </w:rPr>
      </w:pPr>
      <w:r w:rsidRPr="00601EB3">
        <w:rPr>
          <w:rFonts w:ascii="Times New Roman" w:hAnsi="Times New Roman" w:cs="Times New Roman"/>
          <w:b/>
          <w:bCs/>
          <w:sz w:val="20"/>
          <w:szCs w:val="20"/>
        </w:rPr>
        <w:t>Table 2.</w:t>
      </w:r>
      <w:r w:rsidRPr="00601EB3">
        <w:rPr>
          <w:rFonts w:ascii="Times New Roman" w:hAnsi="Times New Roman" w:cs="Times New Roman"/>
          <w:sz w:val="20"/>
          <w:szCs w:val="20"/>
        </w:rPr>
        <w:t xml:space="preserve"> </w:t>
      </w:r>
      <w:proofErr w:type="spellStart"/>
      <w:r w:rsidRPr="00601EB3">
        <w:rPr>
          <w:rFonts w:ascii="Times New Roman" w:hAnsi="Times New Roman" w:cs="Times New Roman"/>
          <w:sz w:val="20"/>
          <w:szCs w:val="20"/>
        </w:rPr>
        <w:t>Immunohistochemistry</w:t>
      </w:r>
      <w:proofErr w:type="spellEnd"/>
      <w:r w:rsidRPr="00601EB3">
        <w:rPr>
          <w:rFonts w:ascii="Times New Roman" w:hAnsi="Times New Roman" w:cs="Times New Roman"/>
          <w:sz w:val="20"/>
          <w:szCs w:val="20"/>
        </w:rPr>
        <w:t xml:space="preserve"> for VEGF-A and COX-2 among NHL patients</w:t>
      </w:r>
    </w:p>
    <w:tbl>
      <w:tblPr>
        <w:tblStyle w:val="TableGrid"/>
        <w:tblW w:w="4574" w:type="pct"/>
        <w:jc w:val="center"/>
        <w:tblInd w:w="817" w:type="dxa"/>
        <w:tblLook w:val="04A0"/>
      </w:tblPr>
      <w:tblGrid>
        <w:gridCol w:w="2467"/>
        <w:gridCol w:w="1169"/>
        <w:gridCol w:w="1272"/>
        <w:gridCol w:w="1700"/>
        <w:gridCol w:w="1169"/>
        <w:gridCol w:w="985"/>
      </w:tblGrid>
      <w:tr w:rsidR="00C12F24" w:rsidRPr="00601EB3" w:rsidTr="00601EB3">
        <w:trPr>
          <w:jc w:val="center"/>
        </w:trPr>
        <w:tc>
          <w:tcPr>
            <w:tcW w:w="140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Variables</w:t>
            </w: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w:t>
            </w:r>
          </w:p>
        </w:tc>
        <w:tc>
          <w:tcPr>
            <w:tcW w:w="72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w:t>
            </w:r>
          </w:p>
        </w:tc>
        <w:tc>
          <w:tcPr>
            <w:tcW w:w="970"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w:t>
            </w:r>
          </w:p>
        </w:tc>
        <w:tc>
          <w:tcPr>
            <w:tcW w:w="5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w:t>
            </w:r>
          </w:p>
        </w:tc>
      </w:tr>
      <w:tr w:rsidR="00C12F24" w:rsidRPr="00601EB3" w:rsidTr="00601EB3">
        <w:trPr>
          <w:jc w:val="center"/>
        </w:trPr>
        <w:tc>
          <w:tcPr>
            <w:tcW w:w="1408"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VEGF positive</w:t>
            </w:r>
          </w:p>
        </w:tc>
        <w:tc>
          <w:tcPr>
            <w:tcW w:w="667"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21/40</w:t>
            </w:r>
          </w:p>
        </w:tc>
        <w:tc>
          <w:tcPr>
            <w:tcW w:w="72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52.5</w:t>
            </w:r>
          </w:p>
        </w:tc>
        <w:tc>
          <w:tcPr>
            <w:tcW w:w="970"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Moderate</w:t>
            </w: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7/21</w:t>
            </w:r>
          </w:p>
        </w:tc>
        <w:tc>
          <w:tcPr>
            <w:tcW w:w="5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33.3</w:t>
            </w:r>
          </w:p>
        </w:tc>
      </w:tr>
      <w:tr w:rsidR="00C12F24" w:rsidRPr="00601EB3" w:rsidTr="00601EB3">
        <w:trPr>
          <w:jc w:val="center"/>
        </w:trPr>
        <w:tc>
          <w:tcPr>
            <w:tcW w:w="1408"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667"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72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970"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Strong</w:t>
            </w: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14/21</w:t>
            </w:r>
          </w:p>
        </w:tc>
        <w:tc>
          <w:tcPr>
            <w:tcW w:w="5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66.7</w:t>
            </w:r>
          </w:p>
        </w:tc>
      </w:tr>
      <w:tr w:rsidR="00C12F24" w:rsidRPr="00601EB3" w:rsidTr="00601EB3">
        <w:trPr>
          <w:jc w:val="center"/>
        </w:trPr>
        <w:tc>
          <w:tcPr>
            <w:tcW w:w="1408"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COX2 positive</w:t>
            </w:r>
          </w:p>
        </w:tc>
        <w:tc>
          <w:tcPr>
            <w:tcW w:w="667"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24/40</w:t>
            </w:r>
          </w:p>
        </w:tc>
        <w:tc>
          <w:tcPr>
            <w:tcW w:w="72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60.0</w:t>
            </w:r>
          </w:p>
        </w:tc>
        <w:tc>
          <w:tcPr>
            <w:tcW w:w="970"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Weak</w:t>
            </w: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17/24</w:t>
            </w:r>
          </w:p>
        </w:tc>
        <w:tc>
          <w:tcPr>
            <w:tcW w:w="5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70.8</w:t>
            </w:r>
          </w:p>
        </w:tc>
      </w:tr>
      <w:tr w:rsidR="00C12F24" w:rsidRPr="00601EB3" w:rsidTr="00601EB3">
        <w:trPr>
          <w:jc w:val="center"/>
        </w:trPr>
        <w:tc>
          <w:tcPr>
            <w:tcW w:w="1408"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667"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72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970"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Moderate</w:t>
            </w: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6/24</w:t>
            </w:r>
          </w:p>
        </w:tc>
        <w:tc>
          <w:tcPr>
            <w:tcW w:w="5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25.0</w:t>
            </w:r>
          </w:p>
        </w:tc>
      </w:tr>
      <w:tr w:rsidR="00C12F24" w:rsidRPr="00601EB3" w:rsidTr="00601EB3">
        <w:trPr>
          <w:jc w:val="center"/>
        </w:trPr>
        <w:tc>
          <w:tcPr>
            <w:tcW w:w="1408"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667"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72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970"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Strong</w:t>
            </w: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1/24</w:t>
            </w:r>
          </w:p>
        </w:tc>
        <w:tc>
          <w:tcPr>
            <w:tcW w:w="5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4.2</w:t>
            </w:r>
          </w:p>
        </w:tc>
      </w:tr>
      <w:tr w:rsidR="00C12F24" w:rsidRPr="00601EB3" w:rsidTr="00601EB3">
        <w:trPr>
          <w:jc w:val="center"/>
        </w:trPr>
        <w:tc>
          <w:tcPr>
            <w:tcW w:w="140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Both</w:t>
            </w:r>
            <w:r w:rsidR="00601EB3">
              <w:rPr>
                <w:rFonts w:ascii="Times New Roman" w:hAnsi="Times New Roman" w:cs="Times New Roman"/>
                <w:color w:val="000000"/>
                <w:sz w:val="20"/>
                <w:szCs w:val="20"/>
              </w:rPr>
              <w:t xml:space="preserve"> </w:t>
            </w:r>
            <w:r w:rsidRPr="00601EB3">
              <w:rPr>
                <w:rFonts w:ascii="Times New Roman" w:hAnsi="Times New Roman" w:cs="Times New Roman"/>
                <w:color w:val="000000"/>
                <w:sz w:val="20"/>
                <w:szCs w:val="20"/>
              </w:rPr>
              <w:t>positive</w:t>
            </w: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10/40</w:t>
            </w:r>
          </w:p>
        </w:tc>
        <w:tc>
          <w:tcPr>
            <w:tcW w:w="72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25%</w:t>
            </w:r>
          </w:p>
        </w:tc>
        <w:tc>
          <w:tcPr>
            <w:tcW w:w="970"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jc w:val="center"/>
        </w:trPr>
        <w:tc>
          <w:tcPr>
            <w:tcW w:w="140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Both</w:t>
            </w:r>
            <w:r w:rsidR="00601EB3">
              <w:rPr>
                <w:rFonts w:ascii="Times New Roman" w:hAnsi="Times New Roman" w:cs="Times New Roman"/>
                <w:color w:val="000000"/>
                <w:sz w:val="20"/>
                <w:szCs w:val="20"/>
              </w:rPr>
              <w:t xml:space="preserve"> </w:t>
            </w:r>
            <w:r w:rsidRPr="00601EB3">
              <w:rPr>
                <w:rFonts w:ascii="Times New Roman" w:hAnsi="Times New Roman" w:cs="Times New Roman"/>
                <w:color w:val="000000"/>
                <w:sz w:val="20"/>
                <w:szCs w:val="20"/>
              </w:rPr>
              <w:t>negative</w:t>
            </w: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5/40</w:t>
            </w:r>
          </w:p>
        </w:tc>
        <w:tc>
          <w:tcPr>
            <w:tcW w:w="72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12.5%</w:t>
            </w:r>
          </w:p>
        </w:tc>
        <w:tc>
          <w:tcPr>
            <w:tcW w:w="970"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jc w:val="center"/>
        </w:trPr>
        <w:tc>
          <w:tcPr>
            <w:tcW w:w="140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Either one is positive</w:t>
            </w: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25/40</w:t>
            </w:r>
          </w:p>
        </w:tc>
        <w:tc>
          <w:tcPr>
            <w:tcW w:w="72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62.5%</w:t>
            </w:r>
          </w:p>
        </w:tc>
        <w:tc>
          <w:tcPr>
            <w:tcW w:w="970"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66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bl>
    <w:p w:rsidR="00B02F54" w:rsidRPr="00601EB3" w:rsidRDefault="00B02F54" w:rsidP="00D67228">
      <w:pPr>
        <w:bidi w:val="0"/>
        <w:adjustRightInd w:val="0"/>
        <w:snapToGrid w:val="0"/>
        <w:spacing w:after="0" w:line="240" w:lineRule="auto"/>
        <w:rPr>
          <w:rFonts w:ascii="Times New Roman" w:hAnsi="Times New Roman" w:cs="Times New Roman"/>
          <w:b/>
          <w:bCs/>
          <w:sz w:val="20"/>
          <w:szCs w:val="20"/>
        </w:rPr>
      </w:pPr>
    </w:p>
    <w:p w:rsidR="00C12F24" w:rsidRPr="00601EB3" w:rsidRDefault="00C12F24" w:rsidP="00D67228">
      <w:pPr>
        <w:bidi w:val="0"/>
        <w:adjustRightInd w:val="0"/>
        <w:snapToGrid w:val="0"/>
        <w:spacing w:after="0" w:line="240" w:lineRule="auto"/>
        <w:jc w:val="center"/>
        <w:rPr>
          <w:rFonts w:ascii="Times New Roman" w:hAnsi="Times New Roman" w:cs="Times New Roman"/>
          <w:sz w:val="20"/>
          <w:szCs w:val="20"/>
        </w:rPr>
      </w:pPr>
      <w:r w:rsidRPr="00601EB3">
        <w:rPr>
          <w:rFonts w:ascii="Times New Roman" w:hAnsi="Times New Roman" w:cs="Times New Roman"/>
          <w:b/>
          <w:bCs/>
          <w:sz w:val="20"/>
          <w:szCs w:val="20"/>
        </w:rPr>
        <w:t>Table 3.</w:t>
      </w:r>
      <w:r w:rsidRPr="00601EB3">
        <w:rPr>
          <w:rFonts w:ascii="Times New Roman" w:hAnsi="Times New Roman" w:cs="Times New Roman"/>
          <w:sz w:val="20"/>
          <w:szCs w:val="20"/>
        </w:rPr>
        <w:t xml:space="preserve"> The relation between VEGF-A and COX-2 expression in NHL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2454"/>
        <w:gridCol w:w="2345"/>
        <w:gridCol w:w="2594"/>
        <w:gridCol w:w="1153"/>
      </w:tblGrid>
      <w:tr w:rsidR="00C12F24" w:rsidRPr="00601EB3" w:rsidTr="00601EB3">
        <w:trPr>
          <w:jc w:val="center"/>
        </w:trPr>
        <w:tc>
          <w:tcPr>
            <w:tcW w:w="1820" w:type="pct"/>
            <w:gridSpan w:val="2"/>
            <w:vMerge w:val="restar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p>
        </w:tc>
        <w:tc>
          <w:tcPr>
            <w:tcW w:w="2578" w:type="pct"/>
            <w:gridSpan w:val="2"/>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VEGF-A</w:t>
            </w:r>
          </w:p>
        </w:tc>
        <w:tc>
          <w:tcPr>
            <w:tcW w:w="603" w:type="pct"/>
            <w:vMerge w:val="restar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P-value</w:t>
            </w:r>
          </w:p>
        </w:tc>
      </w:tr>
      <w:tr w:rsidR="00C12F24" w:rsidRPr="00601EB3" w:rsidTr="00601EB3">
        <w:trPr>
          <w:jc w:val="center"/>
        </w:trPr>
        <w:tc>
          <w:tcPr>
            <w:tcW w:w="1820" w:type="pct"/>
            <w:gridSpan w:val="2"/>
            <w:vMerge/>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p>
        </w:tc>
        <w:tc>
          <w:tcPr>
            <w:tcW w:w="1224" w:type="pc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Positive</w:t>
            </w:r>
            <w:r w:rsidR="00601EB3">
              <w:rPr>
                <w:rFonts w:ascii="Times New Roman" w:hAnsi="Times New Roman" w:cs="Times New Roman"/>
                <w:color w:val="000000"/>
                <w:sz w:val="20"/>
                <w:szCs w:val="20"/>
              </w:rPr>
              <w:t xml:space="preserve"> </w:t>
            </w:r>
            <w:r w:rsidRPr="00601EB3">
              <w:rPr>
                <w:rFonts w:ascii="Times New Roman" w:hAnsi="Times New Roman" w:cs="Times New Roman"/>
                <w:color w:val="000000"/>
                <w:sz w:val="20"/>
                <w:szCs w:val="20"/>
              </w:rPr>
              <w:t>n=21/40</w:t>
            </w:r>
          </w:p>
        </w:tc>
        <w:tc>
          <w:tcPr>
            <w:tcW w:w="1354" w:type="pc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Negative</w:t>
            </w:r>
            <w:r w:rsidR="00601EB3">
              <w:rPr>
                <w:rFonts w:ascii="Times New Roman" w:hAnsi="Times New Roman" w:cs="Times New Roman"/>
                <w:color w:val="000000"/>
                <w:sz w:val="20"/>
                <w:szCs w:val="20"/>
              </w:rPr>
              <w:t xml:space="preserve"> </w:t>
            </w:r>
            <w:r w:rsidRPr="00601EB3">
              <w:rPr>
                <w:rFonts w:ascii="Times New Roman" w:hAnsi="Times New Roman" w:cs="Times New Roman"/>
                <w:color w:val="000000"/>
                <w:sz w:val="20"/>
                <w:szCs w:val="20"/>
              </w:rPr>
              <w:t>n=19/40</w:t>
            </w:r>
          </w:p>
        </w:tc>
        <w:tc>
          <w:tcPr>
            <w:tcW w:w="603" w:type="pct"/>
            <w:vMerge/>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p>
        </w:tc>
      </w:tr>
      <w:tr w:rsidR="00C12F24" w:rsidRPr="00601EB3" w:rsidTr="00601EB3">
        <w:trPr>
          <w:jc w:val="center"/>
        </w:trPr>
        <w:tc>
          <w:tcPr>
            <w:tcW w:w="539" w:type="pct"/>
            <w:vMerge w:val="restar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COX2</w:t>
            </w:r>
          </w:p>
        </w:tc>
        <w:tc>
          <w:tcPr>
            <w:tcW w:w="1281" w:type="pc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Positive</w:t>
            </w:r>
            <w:r w:rsidR="00601EB3">
              <w:rPr>
                <w:rFonts w:ascii="Times New Roman" w:hAnsi="Times New Roman" w:cs="Times New Roman"/>
                <w:color w:val="000000"/>
                <w:sz w:val="20"/>
                <w:szCs w:val="20"/>
              </w:rPr>
              <w:t xml:space="preserve"> </w:t>
            </w:r>
            <w:r w:rsidRPr="00601EB3">
              <w:rPr>
                <w:rFonts w:ascii="Times New Roman" w:hAnsi="Times New Roman" w:cs="Times New Roman"/>
                <w:color w:val="000000"/>
                <w:sz w:val="20"/>
                <w:szCs w:val="20"/>
              </w:rPr>
              <w:t>n=24/40</w:t>
            </w:r>
          </w:p>
        </w:tc>
        <w:tc>
          <w:tcPr>
            <w:tcW w:w="1224" w:type="pc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 (41.7%)</w:t>
            </w:r>
          </w:p>
        </w:tc>
        <w:tc>
          <w:tcPr>
            <w:tcW w:w="1354" w:type="pc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14(58.3%)</w:t>
            </w:r>
          </w:p>
        </w:tc>
        <w:tc>
          <w:tcPr>
            <w:tcW w:w="603" w:type="pct"/>
            <w:vMerge w:val="restar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0.093</w:t>
            </w:r>
          </w:p>
        </w:tc>
      </w:tr>
      <w:tr w:rsidR="00C12F24" w:rsidRPr="00601EB3" w:rsidTr="00601EB3">
        <w:trPr>
          <w:jc w:val="center"/>
        </w:trPr>
        <w:tc>
          <w:tcPr>
            <w:tcW w:w="539" w:type="pct"/>
            <w:vMerge/>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p>
        </w:tc>
        <w:tc>
          <w:tcPr>
            <w:tcW w:w="1281" w:type="pc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Negative</w:t>
            </w:r>
            <w:r w:rsidR="00601EB3">
              <w:rPr>
                <w:rFonts w:ascii="Times New Roman" w:hAnsi="Times New Roman" w:cs="Times New Roman"/>
                <w:color w:val="000000"/>
                <w:sz w:val="20"/>
                <w:szCs w:val="20"/>
              </w:rPr>
              <w:t xml:space="preserve"> </w:t>
            </w:r>
            <w:r w:rsidRPr="00601EB3">
              <w:rPr>
                <w:rFonts w:ascii="Times New Roman" w:hAnsi="Times New Roman" w:cs="Times New Roman"/>
                <w:color w:val="000000"/>
                <w:sz w:val="20"/>
                <w:szCs w:val="20"/>
              </w:rPr>
              <w:t>n=16/40</w:t>
            </w:r>
          </w:p>
        </w:tc>
        <w:tc>
          <w:tcPr>
            <w:tcW w:w="1224" w:type="pc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11 (68.8%)</w:t>
            </w:r>
          </w:p>
        </w:tc>
        <w:tc>
          <w:tcPr>
            <w:tcW w:w="1354" w:type="pct"/>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 (31.3%)</w:t>
            </w:r>
          </w:p>
        </w:tc>
        <w:tc>
          <w:tcPr>
            <w:tcW w:w="603" w:type="pct"/>
            <w:vMerge/>
            <w:vAlign w:val="center"/>
          </w:tcPr>
          <w:p w:rsidR="00C12F24" w:rsidRPr="00601EB3" w:rsidRDefault="00C12F24" w:rsidP="00D67228">
            <w:pPr>
              <w:bidi w:val="0"/>
              <w:adjustRightInd w:val="0"/>
              <w:snapToGrid w:val="0"/>
              <w:spacing w:after="0" w:line="240" w:lineRule="auto"/>
              <w:jc w:val="both"/>
              <w:rPr>
                <w:rFonts w:ascii="Times New Roman" w:hAnsi="Times New Roman" w:cs="Times New Roman"/>
                <w:color w:val="000000"/>
                <w:sz w:val="20"/>
                <w:szCs w:val="20"/>
              </w:rPr>
            </w:pPr>
          </w:p>
        </w:tc>
      </w:tr>
    </w:tbl>
    <w:p w:rsidR="005F20DF" w:rsidRPr="00601EB3" w:rsidRDefault="005F20DF" w:rsidP="00D67228">
      <w:pPr>
        <w:bidi w:val="0"/>
        <w:adjustRightInd w:val="0"/>
        <w:snapToGrid w:val="0"/>
        <w:spacing w:after="0" w:line="240" w:lineRule="auto"/>
        <w:jc w:val="center"/>
        <w:rPr>
          <w:rFonts w:ascii="Times New Roman" w:hAnsi="Times New Roman" w:cs="Times New Roman"/>
          <w:b/>
          <w:bCs/>
          <w:sz w:val="20"/>
          <w:szCs w:val="20"/>
        </w:rPr>
      </w:pPr>
    </w:p>
    <w:p w:rsidR="00C12F24" w:rsidRPr="00601EB3" w:rsidRDefault="00C12F24" w:rsidP="00D67228">
      <w:pPr>
        <w:bidi w:val="0"/>
        <w:adjustRightInd w:val="0"/>
        <w:snapToGrid w:val="0"/>
        <w:spacing w:after="0" w:line="240" w:lineRule="auto"/>
        <w:jc w:val="center"/>
        <w:rPr>
          <w:rFonts w:ascii="Times New Roman" w:hAnsi="Times New Roman" w:cs="Times New Roman"/>
          <w:sz w:val="20"/>
          <w:szCs w:val="20"/>
        </w:rPr>
      </w:pPr>
      <w:r w:rsidRPr="00601EB3">
        <w:rPr>
          <w:rFonts w:ascii="Times New Roman" w:hAnsi="Times New Roman" w:cs="Times New Roman"/>
          <w:b/>
          <w:bCs/>
          <w:sz w:val="20"/>
          <w:szCs w:val="20"/>
        </w:rPr>
        <w:t>Table 4.</w:t>
      </w:r>
      <w:r w:rsidRPr="00601EB3">
        <w:rPr>
          <w:rFonts w:ascii="Times New Roman" w:hAnsi="Times New Roman" w:cs="Times New Roman"/>
          <w:sz w:val="20"/>
          <w:szCs w:val="20"/>
        </w:rPr>
        <w:t xml:space="preserve">VEGF-A and COX2 expression in relation to the </w:t>
      </w:r>
      <w:proofErr w:type="spellStart"/>
      <w:r w:rsidRPr="00601EB3">
        <w:rPr>
          <w:rFonts w:ascii="Times New Roman" w:hAnsi="Times New Roman" w:cs="Times New Roman"/>
          <w:sz w:val="20"/>
          <w:szCs w:val="20"/>
        </w:rPr>
        <w:t>demoghraphic</w:t>
      </w:r>
      <w:proofErr w:type="spellEnd"/>
      <w:r w:rsidRPr="00601EB3">
        <w:rPr>
          <w:rFonts w:ascii="Times New Roman" w:hAnsi="Times New Roman" w:cs="Times New Roman"/>
          <w:sz w:val="20"/>
          <w:szCs w:val="20"/>
        </w:rPr>
        <w:t xml:space="preserve"> data</w:t>
      </w:r>
    </w:p>
    <w:tbl>
      <w:tblPr>
        <w:tblStyle w:val="TableGrid"/>
        <w:tblW w:w="5092" w:type="pct"/>
        <w:jc w:val="center"/>
        <w:tblInd w:w="-176" w:type="dxa"/>
        <w:tblLook w:val="04A0"/>
      </w:tblPr>
      <w:tblGrid>
        <w:gridCol w:w="1755"/>
        <w:gridCol w:w="1733"/>
        <w:gridCol w:w="1165"/>
        <w:gridCol w:w="1165"/>
        <w:gridCol w:w="851"/>
        <w:gridCol w:w="1147"/>
        <w:gridCol w:w="1165"/>
        <w:gridCol w:w="773"/>
      </w:tblGrid>
      <w:tr w:rsidR="00C12F24" w:rsidRPr="00601EB3" w:rsidTr="00601EB3">
        <w:trPr>
          <w:cantSplit/>
          <w:jc w:val="center"/>
        </w:trPr>
        <w:tc>
          <w:tcPr>
            <w:tcW w:w="1789" w:type="pct"/>
            <w:gridSpan w:val="2"/>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1630" w:type="pct"/>
            <w:gridSpan w:val="3"/>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VEGF-A</w:t>
            </w:r>
          </w:p>
        </w:tc>
        <w:tc>
          <w:tcPr>
            <w:tcW w:w="1581" w:type="pct"/>
            <w:gridSpan w:val="3"/>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COX2</w:t>
            </w:r>
          </w:p>
        </w:tc>
      </w:tr>
      <w:tr w:rsidR="00C12F24" w:rsidRPr="00601EB3" w:rsidTr="00601EB3">
        <w:trPr>
          <w:cantSplit/>
          <w:jc w:val="center"/>
        </w:trPr>
        <w:tc>
          <w:tcPr>
            <w:tcW w:w="1789" w:type="pct"/>
            <w:gridSpan w:val="2"/>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Positive</w:t>
            </w:r>
          </w:p>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 21/40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negative</w:t>
            </w:r>
          </w:p>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 19/40</w:t>
            </w:r>
          </w:p>
        </w:tc>
        <w:tc>
          <w:tcPr>
            <w:tcW w:w="435"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P-value</w:t>
            </w: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Positive</w:t>
            </w:r>
          </w:p>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 24/40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negative</w:t>
            </w:r>
          </w:p>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n=16/40</w:t>
            </w:r>
          </w:p>
        </w:tc>
        <w:tc>
          <w:tcPr>
            <w:tcW w:w="39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P-value</w:t>
            </w:r>
          </w:p>
        </w:tc>
      </w:tr>
      <w:tr w:rsidR="00C12F24" w:rsidRPr="00601EB3" w:rsidTr="00601EB3">
        <w:trPr>
          <w:cantSplit/>
          <w:jc w:val="center"/>
        </w:trPr>
        <w:tc>
          <w:tcPr>
            <w:tcW w:w="900"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Age</w:t>
            </w: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Range</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33-74</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33-72</w:t>
            </w:r>
          </w:p>
        </w:tc>
        <w:tc>
          <w:tcPr>
            <w:tcW w:w="43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0.041*</w:t>
            </w: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33-72</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33-74</w:t>
            </w:r>
          </w:p>
        </w:tc>
        <w:tc>
          <w:tcPr>
            <w:tcW w:w="39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0.713</w:t>
            </w:r>
          </w:p>
        </w:tc>
      </w:tr>
      <w:tr w:rsidR="00C12F24" w:rsidRPr="00601EB3" w:rsidTr="00601EB3">
        <w:trPr>
          <w:cantSplit/>
          <w:jc w:val="center"/>
        </w:trPr>
        <w:tc>
          <w:tcPr>
            <w:tcW w:w="900"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roofErr w:type="spellStart"/>
            <w:r w:rsidRPr="00601EB3">
              <w:rPr>
                <w:rFonts w:ascii="Times New Roman" w:hAnsi="Times New Roman" w:cs="Times New Roman"/>
                <w:color w:val="000000"/>
                <w:sz w:val="20"/>
                <w:szCs w:val="20"/>
              </w:rPr>
              <w:t>mean±SD</w:t>
            </w:r>
            <w:proofErr w:type="spellEnd"/>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52±9.9</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58±10.8</w:t>
            </w:r>
          </w:p>
        </w:tc>
        <w:tc>
          <w:tcPr>
            <w:tcW w:w="43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55±10.4</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54±11.4</w:t>
            </w:r>
          </w:p>
        </w:tc>
        <w:tc>
          <w:tcPr>
            <w:tcW w:w="39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cantSplit/>
          <w:jc w:val="center"/>
        </w:trPr>
        <w:tc>
          <w:tcPr>
            <w:tcW w:w="900"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Sex</w:t>
            </w: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Male n= 24/40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15(62.5%)</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9(37.5%)</w:t>
            </w:r>
          </w:p>
        </w:tc>
        <w:tc>
          <w:tcPr>
            <w:tcW w:w="43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0.121</w:t>
            </w: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16(66.7%)</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8(33.3%)</w:t>
            </w:r>
          </w:p>
        </w:tc>
        <w:tc>
          <w:tcPr>
            <w:tcW w:w="39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0.292</w:t>
            </w:r>
          </w:p>
        </w:tc>
      </w:tr>
      <w:tr w:rsidR="00C12F24" w:rsidRPr="00601EB3" w:rsidTr="00601EB3">
        <w:trPr>
          <w:cantSplit/>
          <w:jc w:val="center"/>
        </w:trPr>
        <w:tc>
          <w:tcPr>
            <w:tcW w:w="900"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Female n= 16/40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 (37.5%)</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10(62.5%)</w:t>
            </w:r>
          </w:p>
        </w:tc>
        <w:tc>
          <w:tcPr>
            <w:tcW w:w="43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8(50.0%)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8(50.0%)</w:t>
            </w:r>
          </w:p>
        </w:tc>
        <w:tc>
          <w:tcPr>
            <w:tcW w:w="39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cantSplit/>
          <w:jc w:val="center"/>
        </w:trPr>
        <w:tc>
          <w:tcPr>
            <w:tcW w:w="900"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B-symptoms</w:t>
            </w: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Yes n= 25/40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12(48%)</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13 (52%)</w:t>
            </w:r>
          </w:p>
        </w:tc>
        <w:tc>
          <w:tcPr>
            <w:tcW w:w="43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0.462</w:t>
            </w: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14(56.0%)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11(44.0%)</w:t>
            </w:r>
          </w:p>
        </w:tc>
        <w:tc>
          <w:tcPr>
            <w:tcW w:w="39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0.505</w:t>
            </w:r>
          </w:p>
        </w:tc>
      </w:tr>
      <w:tr w:rsidR="00C12F24" w:rsidRPr="00601EB3" w:rsidTr="00601EB3">
        <w:trPr>
          <w:cantSplit/>
          <w:jc w:val="center"/>
        </w:trPr>
        <w:tc>
          <w:tcPr>
            <w:tcW w:w="900"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No n=15/40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9 (60%)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 (40%)</w:t>
            </w:r>
          </w:p>
        </w:tc>
        <w:tc>
          <w:tcPr>
            <w:tcW w:w="43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10(66.7%)</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5(33.3%)</w:t>
            </w:r>
          </w:p>
        </w:tc>
        <w:tc>
          <w:tcPr>
            <w:tcW w:w="39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cantSplit/>
          <w:jc w:val="center"/>
        </w:trPr>
        <w:tc>
          <w:tcPr>
            <w:tcW w:w="900"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roofErr w:type="spellStart"/>
            <w:r w:rsidRPr="00601EB3">
              <w:rPr>
                <w:rFonts w:ascii="Times New Roman" w:hAnsi="Times New Roman" w:cs="Times New Roman"/>
                <w:color w:val="000000"/>
                <w:sz w:val="20"/>
                <w:szCs w:val="20"/>
              </w:rPr>
              <w:t>Hepatomegaly</w:t>
            </w:r>
            <w:proofErr w:type="spellEnd"/>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Yes n= 21/40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13(61.9%)</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8(38.1%)</w:t>
            </w:r>
          </w:p>
        </w:tc>
        <w:tc>
          <w:tcPr>
            <w:tcW w:w="43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0.210</w:t>
            </w: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13(61.9%)</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8(38.1%)</w:t>
            </w:r>
          </w:p>
        </w:tc>
        <w:tc>
          <w:tcPr>
            <w:tcW w:w="39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0.796</w:t>
            </w:r>
          </w:p>
        </w:tc>
      </w:tr>
      <w:tr w:rsidR="00C12F24" w:rsidRPr="00601EB3" w:rsidTr="00601EB3">
        <w:trPr>
          <w:cantSplit/>
          <w:jc w:val="center"/>
        </w:trPr>
        <w:tc>
          <w:tcPr>
            <w:tcW w:w="900"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No n= 19/40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8(61.9%)</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11(39.1%)</w:t>
            </w:r>
          </w:p>
        </w:tc>
        <w:tc>
          <w:tcPr>
            <w:tcW w:w="43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11(57.9%)</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8(42.1%)</w:t>
            </w:r>
          </w:p>
        </w:tc>
        <w:tc>
          <w:tcPr>
            <w:tcW w:w="39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cantSplit/>
          <w:jc w:val="center"/>
        </w:trPr>
        <w:tc>
          <w:tcPr>
            <w:tcW w:w="900"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roofErr w:type="spellStart"/>
            <w:r w:rsidRPr="00601EB3">
              <w:rPr>
                <w:rFonts w:ascii="Times New Roman" w:hAnsi="Times New Roman" w:cs="Times New Roman"/>
                <w:color w:val="000000"/>
                <w:sz w:val="20"/>
                <w:szCs w:val="20"/>
              </w:rPr>
              <w:t>Splenomegaly</w:t>
            </w:r>
            <w:proofErr w:type="spellEnd"/>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Yes n= 23/40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14(60.9%)</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9(39.1%)</w:t>
            </w:r>
          </w:p>
        </w:tc>
        <w:tc>
          <w:tcPr>
            <w:tcW w:w="43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0.218</w:t>
            </w: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11(47.8%)</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12(52.2%)</w:t>
            </w:r>
          </w:p>
        </w:tc>
        <w:tc>
          <w:tcPr>
            <w:tcW w:w="39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0.068</w:t>
            </w:r>
          </w:p>
        </w:tc>
      </w:tr>
      <w:tr w:rsidR="00C12F24" w:rsidRPr="00601EB3" w:rsidTr="00601EB3">
        <w:trPr>
          <w:cantSplit/>
          <w:jc w:val="center"/>
        </w:trPr>
        <w:tc>
          <w:tcPr>
            <w:tcW w:w="900"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No n= 17/40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7(41.2%)</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10(58.8%)</w:t>
            </w:r>
          </w:p>
        </w:tc>
        <w:tc>
          <w:tcPr>
            <w:tcW w:w="43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13(76.5%)</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 (23.5%)</w:t>
            </w:r>
          </w:p>
        </w:tc>
        <w:tc>
          <w:tcPr>
            <w:tcW w:w="39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cantSplit/>
          <w:jc w:val="center"/>
        </w:trPr>
        <w:tc>
          <w:tcPr>
            <w:tcW w:w="900"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roofErr w:type="spellStart"/>
            <w:r w:rsidRPr="00601EB3">
              <w:rPr>
                <w:rFonts w:ascii="Times New Roman" w:hAnsi="Times New Roman" w:cs="Times New Roman"/>
                <w:color w:val="000000"/>
                <w:sz w:val="20"/>
                <w:szCs w:val="20"/>
              </w:rPr>
              <w:t>Lymphadenopathy</w:t>
            </w:r>
            <w:proofErr w:type="spellEnd"/>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Yes n= 34/40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19(55.9%)</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15 (44.1%)</w:t>
            </w:r>
          </w:p>
        </w:tc>
        <w:tc>
          <w:tcPr>
            <w:tcW w:w="43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0.308</w:t>
            </w: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20(58.8%)</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14 (41.2%)</w:t>
            </w:r>
          </w:p>
        </w:tc>
        <w:tc>
          <w:tcPr>
            <w:tcW w:w="39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1.000</w:t>
            </w:r>
          </w:p>
        </w:tc>
      </w:tr>
      <w:tr w:rsidR="00C12F24" w:rsidRPr="00601EB3" w:rsidTr="00601EB3">
        <w:trPr>
          <w:cantSplit/>
          <w:jc w:val="center"/>
        </w:trPr>
        <w:tc>
          <w:tcPr>
            <w:tcW w:w="900"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No n= 6/40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2(33.3%)</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4(66.7%)</w:t>
            </w:r>
          </w:p>
        </w:tc>
        <w:tc>
          <w:tcPr>
            <w:tcW w:w="43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4(66.7%)</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 (33.3%)</w:t>
            </w:r>
          </w:p>
        </w:tc>
        <w:tc>
          <w:tcPr>
            <w:tcW w:w="39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cantSplit/>
          <w:jc w:val="center"/>
        </w:trPr>
        <w:tc>
          <w:tcPr>
            <w:tcW w:w="900"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Extra-nodal involvement</w:t>
            </w: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Yes n= 10/40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3(30.0%)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7(70.0%)</w:t>
            </w:r>
          </w:p>
        </w:tc>
        <w:tc>
          <w:tcPr>
            <w:tcW w:w="43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0.100</w:t>
            </w: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6(60.0%)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 (40.0%)</w:t>
            </w:r>
          </w:p>
        </w:tc>
        <w:tc>
          <w:tcPr>
            <w:tcW w:w="39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1.000</w:t>
            </w:r>
          </w:p>
        </w:tc>
      </w:tr>
      <w:tr w:rsidR="00C12F24" w:rsidRPr="00601EB3" w:rsidTr="00601EB3">
        <w:trPr>
          <w:cantSplit/>
          <w:jc w:val="center"/>
        </w:trPr>
        <w:tc>
          <w:tcPr>
            <w:tcW w:w="900"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889"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No n= 30/40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18 (60.0%)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12(40.0%)</w:t>
            </w:r>
          </w:p>
        </w:tc>
        <w:tc>
          <w:tcPr>
            <w:tcW w:w="43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588"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18(60.0%)</w:t>
            </w:r>
          </w:p>
        </w:tc>
        <w:tc>
          <w:tcPr>
            <w:tcW w:w="59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12 (40.0%)</w:t>
            </w:r>
          </w:p>
        </w:tc>
        <w:tc>
          <w:tcPr>
            <w:tcW w:w="39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bl>
    <w:p w:rsidR="00C12F24" w:rsidRPr="00601EB3" w:rsidRDefault="00C12F24"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 Significant</w:t>
      </w:r>
    </w:p>
    <w:p w:rsidR="00C12F24" w:rsidRPr="00601EB3" w:rsidRDefault="00C12F24" w:rsidP="00D67228">
      <w:pPr>
        <w:bidi w:val="0"/>
        <w:adjustRightInd w:val="0"/>
        <w:snapToGrid w:val="0"/>
        <w:spacing w:after="0" w:line="240" w:lineRule="auto"/>
        <w:jc w:val="center"/>
        <w:rPr>
          <w:rFonts w:ascii="Times New Roman" w:hAnsi="Times New Roman" w:cs="Times New Roman"/>
          <w:sz w:val="20"/>
          <w:szCs w:val="20"/>
        </w:rPr>
      </w:pPr>
    </w:p>
    <w:p w:rsidR="00C12F24" w:rsidRPr="00601EB3" w:rsidRDefault="00C12F24" w:rsidP="00D67228">
      <w:pPr>
        <w:bidi w:val="0"/>
        <w:adjustRightInd w:val="0"/>
        <w:snapToGrid w:val="0"/>
        <w:spacing w:after="0" w:line="240" w:lineRule="auto"/>
        <w:jc w:val="center"/>
        <w:rPr>
          <w:rFonts w:ascii="Times New Roman" w:hAnsi="Times New Roman" w:cs="Times New Roman"/>
          <w:sz w:val="20"/>
          <w:szCs w:val="20"/>
        </w:rPr>
      </w:pPr>
      <w:r w:rsidRPr="00601EB3">
        <w:rPr>
          <w:rFonts w:ascii="Times New Roman" w:hAnsi="Times New Roman" w:cs="Times New Roman"/>
          <w:b/>
          <w:bCs/>
          <w:sz w:val="20"/>
          <w:szCs w:val="20"/>
        </w:rPr>
        <w:t>Table 5.</w:t>
      </w:r>
      <w:r w:rsidR="00601EB3">
        <w:rPr>
          <w:rFonts w:ascii="Times New Roman" w:hAnsi="Times New Roman" w:cs="Times New Roman"/>
          <w:sz w:val="20"/>
          <w:szCs w:val="20"/>
        </w:rPr>
        <w:t xml:space="preserve"> </w:t>
      </w:r>
      <w:r w:rsidRPr="00601EB3">
        <w:rPr>
          <w:rFonts w:ascii="Times New Roman" w:hAnsi="Times New Roman" w:cs="Times New Roman"/>
          <w:sz w:val="20"/>
          <w:szCs w:val="20"/>
        </w:rPr>
        <w:t>VEGF-A and COX2 expression regarding pathological subtypes of NHL</w:t>
      </w:r>
    </w:p>
    <w:tbl>
      <w:tblPr>
        <w:tblStyle w:val="TableGrid"/>
        <w:tblW w:w="5000" w:type="pct"/>
        <w:jc w:val="center"/>
        <w:tblLook w:val="04A0"/>
      </w:tblPr>
      <w:tblGrid>
        <w:gridCol w:w="3556"/>
        <w:gridCol w:w="1420"/>
        <w:gridCol w:w="1557"/>
        <w:gridCol w:w="1488"/>
        <w:gridCol w:w="1557"/>
      </w:tblGrid>
      <w:tr w:rsidR="00C12F24" w:rsidRPr="00601EB3" w:rsidTr="00601EB3">
        <w:trPr>
          <w:jc w:val="center"/>
        </w:trPr>
        <w:tc>
          <w:tcPr>
            <w:tcW w:w="1856"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Variables</w:t>
            </w:r>
          </w:p>
        </w:tc>
        <w:tc>
          <w:tcPr>
            <w:tcW w:w="1554" w:type="pct"/>
            <w:gridSpan w:val="2"/>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VEGF-A</w:t>
            </w:r>
          </w:p>
        </w:tc>
        <w:tc>
          <w:tcPr>
            <w:tcW w:w="1590" w:type="pct"/>
            <w:gridSpan w:val="2"/>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COX2</w:t>
            </w:r>
          </w:p>
        </w:tc>
      </w:tr>
      <w:tr w:rsidR="00C12F24" w:rsidRPr="00601EB3" w:rsidTr="00601EB3">
        <w:trPr>
          <w:jc w:val="center"/>
        </w:trPr>
        <w:tc>
          <w:tcPr>
            <w:tcW w:w="1856"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741"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Positive</w:t>
            </w:r>
          </w:p>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n=21/40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Negative</w:t>
            </w:r>
          </w:p>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n=19/40</w:t>
            </w:r>
          </w:p>
        </w:tc>
        <w:tc>
          <w:tcPr>
            <w:tcW w:w="77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Positive</w:t>
            </w:r>
          </w:p>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 24/40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Negative</w:t>
            </w:r>
          </w:p>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n=16/40</w:t>
            </w:r>
          </w:p>
        </w:tc>
      </w:tr>
      <w:tr w:rsidR="00C12F24" w:rsidRPr="00601EB3" w:rsidTr="00601EB3">
        <w:trPr>
          <w:jc w:val="center"/>
        </w:trPr>
        <w:tc>
          <w:tcPr>
            <w:tcW w:w="185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DLBCL n= 15/40</w:t>
            </w:r>
          </w:p>
        </w:tc>
        <w:tc>
          <w:tcPr>
            <w:tcW w:w="741"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 (36.5%)</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 (63.5%)</w:t>
            </w:r>
          </w:p>
        </w:tc>
        <w:tc>
          <w:tcPr>
            <w:tcW w:w="77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 (33.3%)</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10 (66.7%)</w:t>
            </w:r>
          </w:p>
        </w:tc>
      </w:tr>
      <w:tr w:rsidR="00C12F24" w:rsidRPr="00601EB3" w:rsidTr="00601EB3">
        <w:trPr>
          <w:jc w:val="center"/>
        </w:trPr>
        <w:tc>
          <w:tcPr>
            <w:tcW w:w="185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CLL/SLL n= 9/40</w:t>
            </w:r>
          </w:p>
        </w:tc>
        <w:tc>
          <w:tcPr>
            <w:tcW w:w="741"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 (66.7%)</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 (33.3%)</w:t>
            </w:r>
          </w:p>
        </w:tc>
        <w:tc>
          <w:tcPr>
            <w:tcW w:w="77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 (55.6%)</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 (44.4%)</w:t>
            </w:r>
          </w:p>
        </w:tc>
      </w:tr>
      <w:tr w:rsidR="00C12F24" w:rsidRPr="00601EB3" w:rsidTr="00601EB3">
        <w:trPr>
          <w:jc w:val="center"/>
        </w:trPr>
        <w:tc>
          <w:tcPr>
            <w:tcW w:w="185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Follicular NHL n= 8/40</w:t>
            </w:r>
          </w:p>
        </w:tc>
        <w:tc>
          <w:tcPr>
            <w:tcW w:w="741"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 (50%)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 (50%)</w:t>
            </w:r>
          </w:p>
        </w:tc>
        <w:tc>
          <w:tcPr>
            <w:tcW w:w="77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4(50.0%)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4(50%)</w:t>
            </w:r>
          </w:p>
        </w:tc>
      </w:tr>
      <w:tr w:rsidR="00C12F24" w:rsidRPr="00601EB3" w:rsidTr="00601EB3">
        <w:trPr>
          <w:jc w:val="center"/>
        </w:trPr>
        <w:tc>
          <w:tcPr>
            <w:tcW w:w="185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T-NHL n= 3/40</w:t>
            </w:r>
          </w:p>
        </w:tc>
        <w:tc>
          <w:tcPr>
            <w:tcW w:w="741"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2(66.7%)</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 (33.3%)</w:t>
            </w:r>
          </w:p>
        </w:tc>
        <w:tc>
          <w:tcPr>
            <w:tcW w:w="77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 (66.7%)</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1(33.3%)</w:t>
            </w:r>
          </w:p>
        </w:tc>
      </w:tr>
      <w:tr w:rsidR="00C12F24" w:rsidRPr="00601EB3" w:rsidTr="00601EB3">
        <w:trPr>
          <w:jc w:val="center"/>
        </w:trPr>
        <w:tc>
          <w:tcPr>
            <w:tcW w:w="185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MALT-lymphoma n= 2/40</w:t>
            </w:r>
          </w:p>
        </w:tc>
        <w:tc>
          <w:tcPr>
            <w:tcW w:w="741"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 (50%)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 (50%)</w:t>
            </w:r>
          </w:p>
        </w:tc>
        <w:tc>
          <w:tcPr>
            <w:tcW w:w="77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 (50.0%)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1(50.0%)</w:t>
            </w:r>
          </w:p>
        </w:tc>
      </w:tr>
      <w:tr w:rsidR="00C12F24" w:rsidRPr="00601EB3" w:rsidTr="00601EB3">
        <w:trPr>
          <w:jc w:val="center"/>
        </w:trPr>
        <w:tc>
          <w:tcPr>
            <w:tcW w:w="185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Marginal zone NHL n= 1/40</w:t>
            </w:r>
          </w:p>
        </w:tc>
        <w:tc>
          <w:tcPr>
            <w:tcW w:w="741"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 (100%)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w:t>
            </w:r>
          </w:p>
        </w:tc>
        <w:tc>
          <w:tcPr>
            <w:tcW w:w="77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1(100.0%)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w:t>
            </w:r>
          </w:p>
        </w:tc>
      </w:tr>
      <w:tr w:rsidR="00C12F24" w:rsidRPr="00601EB3" w:rsidTr="00601EB3">
        <w:trPr>
          <w:jc w:val="center"/>
        </w:trPr>
        <w:tc>
          <w:tcPr>
            <w:tcW w:w="185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HCL n= 1/40</w:t>
            </w:r>
          </w:p>
        </w:tc>
        <w:tc>
          <w:tcPr>
            <w:tcW w:w="741"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 (100%)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w:t>
            </w:r>
          </w:p>
        </w:tc>
        <w:tc>
          <w:tcPr>
            <w:tcW w:w="77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 (100.0%)</w:t>
            </w:r>
          </w:p>
        </w:tc>
      </w:tr>
      <w:tr w:rsidR="00C12F24" w:rsidRPr="00601EB3" w:rsidTr="00601EB3">
        <w:trPr>
          <w:jc w:val="center"/>
        </w:trPr>
        <w:tc>
          <w:tcPr>
            <w:tcW w:w="1856"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B-NHL Unclassified n= 1/40</w:t>
            </w:r>
          </w:p>
        </w:tc>
        <w:tc>
          <w:tcPr>
            <w:tcW w:w="741"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 (100%)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w:t>
            </w:r>
          </w:p>
        </w:tc>
        <w:tc>
          <w:tcPr>
            <w:tcW w:w="777"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1(100.0%)</w:t>
            </w:r>
          </w:p>
        </w:tc>
        <w:tc>
          <w:tcPr>
            <w:tcW w:w="813"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w:t>
            </w:r>
          </w:p>
        </w:tc>
      </w:tr>
      <w:tr w:rsidR="00C12F24" w:rsidRPr="00601EB3" w:rsidTr="00601EB3">
        <w:trPr>
          <w:jc w:val="center"/>
        </w:trPr>
        <w:tc>
          <w:tcPr>
            <w:tcW w:w="5000" w:type="pct"/>
            <w:gridSpan w:val="5"/>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No p-value because of small no of cases within subgroups.</w:t>
            </w:r>
          </w:p>
        </w:tc>
      </w:tr>
    </w:tbl>
    <w:p w:rsidR="00C12F24" w:rsidRPr="00601EB3" w:rsidRDefault="00C12F24" w:rsidP="00D67228">
      <w:pPr>
        <w:bidi w:val="0"/>
        <w:adjustRightInd w:val="0"/>
        <w:snapToGrid w:val="0"/>
        <w:spacing w:after="0" w:line="240" w:lineRule="auto"/>
        <w:jc w:val="center"/>
        <w:rPr>
          <w:rFonts w:ascii="Times New Roman" w:hAnsi="Times New Roman" w:cs="Times New Roman"/>
          <w:b/>
          <w:bCs/>
          <w:sz w:val="20"/>
          <w:szCs w:val="20"/>
        </w:rPr>
      </w:pPr>
    </w:p>
    <w:p w:rsidR="00D67228" w:rsidRDefault="00D67228" w:rsidP="00D67228">
      <w:pPr>
        <w:bidi w:val="0"/>
        <w:adjustRightInd w:val="0"/>
        <w:snapToGrid w:val="0"/>
        <w:spacing w:after="0" w:line="240" w:lineRule="auto"/>
        <w:jc w:val="both"/>
        <w:rPr>
          <w:rFonts w:ascii="Times New Roman" w:hAnsi="Times New Roman" w:cs="Times New Roman"/>
          <w:b/>
          <w:bCs/>
          <w:sz w:val="20"/>
          <w:szCs w:val="20"/>
        </w:rPr>
      </w:pPr>
    </w:p>
    <w:p w:rsidR="00D67228" w:rsidRDefault="00D67228" w:rsidP="00D67228">
      <w:pPr>
        <w:bidi w:val="0"/>
        <w:adjustRightInd w:val="0"/>
        <w:snapToGrid w:val="0"/>
        <w:spacing w:after="0" w:line="240" w:lineRule="auto"/>
        <w:jc w:val="both"/>
        <w:rPr>
          <w:rFonts w:ascii="Times New Roman" w:hAnsi="Times New Roman" w:cs="Times New Roman"/>
          <w:b/>
          <w:bCs/>
          <w:sz w:val="20"/>
          <w:szCs w:val="20"/>
        </w:rPr>
      </w:pPr>
    </w:p>
    <w:p w:rsidR="00D67228" w:rsidRDefault="00D67228" w:rsidP="00D67228">
      <w:pPr>
        <w:bidi w:val="0"/>
        <w:adjustRightInd w:val="0"/>
        <w:snapToGrid w:val="0"/>
        <w:spacing w:after="0" w:line="240" w:lineRule="auto"/>
        <w:jc w:val="both"/>
        <w:rPr>
          <w:rFonts w:ascii="Times New Roman" w:hAnsi="Times New Roman" w:cs="Times New Roman"/>
          <w:b/>
          <w:bCs/>
          <w:sz w:val="20"/>
          <w:szCs w:val="20"/>
        </w:rPr>
      </w:pPr>
    </w:p>
    <w:p w:rsidR="00C12F24" w:rsidRPr="00601EB3" w:rsidRDefault="00C12F24" w:rsidP="00D67228">
      <w:pPr>
        <w:bidi w:val="0"/>
        <w:adjustRightInd w:val="0"/>
        <w:snapToGrid w:val="0"/>
        <w:spacing w:after="0" w:line="240" w:lineRule="auto"/>
        <w:jc w:val="both"/>
        <w:rPr>
          <w:rFonts w:ascii="Times New Roman" w:hAnsi="Times New Roman" w:cs="Times New Roman"/>
          <w:sz w:val="20"/>
          <w:szCs w:val="20"/>
        </w:rPr>
      </w:pPr>
      <w:r w:rsidRPr="00601EB3">
        <w:rPr>
          <w:rFonts w:ascii="Times New Roman" w:hAnsi="Times New Roman" w:cs="Times New Roman"/>
          <w:b/>
          <w:bCs/>
          <w:sz w:val="20"/>
          <w:szCs w:val="20"/>
        </w:rPr>
        <w:t>Table 6.</w:t>
      </w:r>
      <w:r w:rsidRPr="00601EB3">
        <w:rPr>
          <w:rFonts w:ascii="Times New Roman" w:hAnsi="Times New Roman" w:cs="Times New Roman"/>
          <w:sz w:val="20"/>
          <w:szCs w:val="20"/>
        </w:rPr>
        <w:t xml:space="preserve"> Comparison between NHL patients with both (VEGF-A and COX-2) </w:t>
      </w:r>
      <w:proofErr w:type="spellStart"/>
      <w:r w:rsidRPr="00601EB3">
        <w:rPr>
          <w:rFonts w:ascii="Times New Roman" w:hAnsi="Times New Roman" w:cs="Times New Roman"/>
          <w:sz w:val="20"/>
          <w:szCs w:val="20"/>
        </w:rPr>
        <w:t>coexpression</w:t>
      </w:r>
      <w:proofErr w:type="spellEnd"/>
      <w:r w:rsidRPr="00601EB3">
        <w:rPr>
          <w:rFonts w:ascii="Times New Roman" w:hAnsi="Times New Roman" w:cs="Times New Roman"/>
          <w:sz w:val="20"/>
          <w:szCs w:val="20"/>
        </w:rPr>
        <w:t xml:space="preserve"> and the others groups regarding response to treatment and follow up</w:t>
      </w:r>
    </w:p>
    <w:tbl>
      <w:tblPr>
        <w:tblStyle w:val="TableGrid"/>
        <w:tblW w:w="5000" w:type="pct"/>
        <w:jc w:val="center"/>
        <w:tblLook w:val="04A0"/>
      </w:tblPr>
      <w:tblGrid>
        <w:gridCol w:w="2136"/>
        <w:gridCol w:w="1389"/>
        <w:gridCol w:w="3590"/>
        <w:gridCol w:w="1578"/>
        <w:gridCol w:w="885"/>
      </w:tblGrid>
      <w:tr w:rsidR="00C12F24" w:rsidRPr="00601EB3" w:rsidTr="00601EB3">
        <w:trPr>
          <w:jc w:val="center"/>
        </w:trPr>
        <w:tc>
          <w:tcPr>
            <w:tcW w:w="1839" w:type="pct"/>
            <w:gridSpan w:val="2"/>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Variables</w:t>
            </w:r>
          </w:p>
        </w:tc>
        <w:tc>
          <w:tcPr>
            <w:tcW w:w="187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Both (VEGF&amp;COX) Positive, n=10/40</w:t>
            </w:r>
          </w:p>
        </w:tc>
        <w:tc>
          <w:tcPr>
            <w:tcW w:w="82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0thers, n=30/40</w:t>
            </w:r>
          </w:p>
        </w:tc>
        <w:tc>
          <w:tcPr>
            <w:tcW w:w="462"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P-value</w:t>
            </w:r>
          </w:p>
        </w:tc>
      </w:tr>
      <w:tr w:rsidR="00C12F24" w:rsidRPr="00601EB3" w:rsidTr="00601EB3">
        <w:trPr>
          <w:jc w:val="center"/>
        </w:trPr>
        <w:tc>
          <w:tcPr>
            <w:tcW w:w="111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Response to treatment</w:t>
            </w:r>
          </w:p>
        </w:tc>
        <w:tc>
          <w:tcPr>
            <w:tcW w:w="725"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CR n=23</w:t>
            </w:r>
          </w:p>
        </w:tc>
        <w:tc>
          <w:tcPr>
            <w:tcW w:w="187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8(80%)</w:t>
            </w:r>
          </w:p>
        </w:tc>
        <w:tc>
          <w:tcPr>
            <w:tcW w:w="82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15(50%)</w:t>
            </w:r>
          </w:p>
        </w:tc>
        <w:tc>
          <w:tcPr>
            <w:tcW w:w="462"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0.097</w:t>
            </w:r>
          </w:p>
        </w:tc>
      </w:tr>
      <w:tr w:rsidR="00C12F24" w:rsidRPr="00601EB3" w:rsidTr="00601EB3">
        <w:trPr>
          <w:jc w:val="center"/>
        </w:trPr>
        <w:tc>
          <w:tcPr>
            <w:tcW w:w="111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725"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Not CR n=17</w:t>
            </w:r>
          </w:p>
        </w:tc>
        <w:tc>
          <w:tcPr>
            <w:tcW w:w="187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2(20%)</w:t>
            </w:r>
          </w:p>
        </w:tc>
        <w:tc>
          <w:tcPr>
            <w:tcW w:w="82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15(50%)</w:t>
            </w:r>
          </w:p>
        </w:tc>
        <w:tc>
          <w:tcPr>
            <w:tcW w:w="462"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jc w:val="center"/>
        </w:trPr>
        <w:tc>
          <w:tcPr>
            <w:tcW w:w="111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Survival status</w:t>
            </w:r>
          </w:p>
        </w:tc>
        <w:tc>
          <w:tcPr>
            <w:tcW w:w="725"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Dead</w:t>
            </w:r>
          </w:p>
        </w:tc>
        <w:tc>
          <w:tcPr>
            <w:tcW w:w="187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4/10 (40%)</w:t>
            </w:r>
          </w:p>
        </w:tc>
        <w:tc>
          <w:tcPr>
            <w:tcW w:w="82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15/30 (50%)</w:t>
            </w:r>
          </w:p>
        </w:tc>
        <w:tc>
          <w:tcPr>
            <w:tcW w:w="462"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0.58</w:t>
            </w:r>
          </w:p>
        </w:tc>
      </w:tr>
      <w:tr w:rsidR="00C12F24" w:rsidRPr="00601EB3" w:rsidTr="00601EB3">
        <w:trPr>
          <w:jc w:val="center"/>
        </w:trPr>
        <w:tc>
          <w:tcPr>
            <w:tcW w:w="111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725"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Alive</w:t>
            </w:r>
          </w:p>
        </w:tc>
        <w:tc>
          <w:tcPr>
            <w:tcW w:w="187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6/10 (60%)</w:t>
            </w:r>
          </w:p>
        </w:tc>
        <w:tc>
          <w:tcPr>
            <w:tcW w:w="82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15/30 (50%)</w:t>
            </w:r>
          </w:p>
        </w:tc>
        <w:tc>
          <w:tcPr>
            <w:tcW w:w="462"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r w:rsidR="00C12F24" w:rsidRPr="00601EB3" w:rsidTr="00601EB3">
        <w:trPr>
          <w:jc w:val="center"/>
        </w:trPr>
        <w:tc>
          <w:tcPr>
            <w:tcW w:w="1115"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Relapse</w:t>
            </w:r>
          </w:p>
        </w:tc>
        <w:tc>
          <w:tcPr>
            <w:tcW w:w="725"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Yes n=5/23</w:t>
            </w:r>
          </w:p>
        </w:tc>
        <w:tc>
          <w:tcPr>
            <w:tcW w:w="187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3/8 (37.5%)</w:t>
            </w:r>
          </w:p>
        </w:tc>
        <w:tc>
          <w:tcPr>
            <w:tcW w:w="82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2/15 (3.3%)</w:t>
            </w:r>
          </w:p>
        </w:tc>
        <w:tc>
          <w:tcPr>
            <w:tcW w:w="462" w:type="pct"/>
            <w:vMerge w:val="restar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0.181</w:t>
            </w:r>
          </w:p>
        </w:tc>
      </w:tr>
      <w:tr w:rsidR="00C12F24" w:rsidRPr="00601EB3" w:rsidTr="00601EB3">
        <w:trPr>
          <w:jc w:val="center"/>
        </w:trPr>
        <w:tc>
          <w:tcPr>
            <w:tcW w:w="1115"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c>
          <w:tcPr>
            <w:tcW w:w="725"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No n=18/23</w:t>
            </w:r>
          </w:p>
        </w:tc>
        <w:tc>
          <w:tcPr>
            <w:tcW w:w="187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5/8 (62.5%)</w:t>
            </w:r>
          </w:p>
        </w:tc>
        <w:tc>
          <w:tcPr>
            <w:tcW w:w="824" w:type="pct"/>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r w:rsidRPr="00601EB3">
              <w:rPr>
                <w:rFonts w:ascii="Times New Roman" w:hAnsi="Times New Roman" w:cs="Times New Roman"/>
                <w:color w:val="000000"/>
                <w:sz w:val="20"/>
                <w:szCs w:val="20"/>
              </w:rPr>
              <w:t>13/15 (86.7%)</w:t>
            </w:r>
          </w:p>
        </w:tc>
        <w:tc>
          <w:tcPr>
            <w:tcW w:w="462" w:type="pct"/>
            <w:vMerge/>
            <w:vAlign w:val="center"/>
          </w:tcPr>
          <w:p w:rsidR="00C12F24" w:rsidRPr="00601EB3" w:rsidRDefault="00C12F24" w:rsidP="00D67228">
            <w:pPr>
              <w:bidi w:val="0"/>
              <w:adjustRightInd w:val="0"/>
              <w:snapToGrid w:val="0"/>
              <w:jc w:val="both"/>
              <w:rPr>
                <w:rFonts w:ascii="Times New Roman" w:hAnsi="Times New Roman" w:cs="Times New Roman"/>
                <w:color w:val="000000"/>
                <w:sz w:val="20"/>
                <w:szCs w:val="20"/>
              </w:rPr>
            </w:pPr>
          </w:p>
        </w:tc>
      </w:tr>
    </w:tbl>
    <w:p w:rsidR="00C12F24" w:rsidRPr="00601EB3" w:rsidRDefault="00C12F24" w:rsidP="00D67228">
      <w:pPr>
        <w:bidi w:val="0"/>
        <w:adjustRightInd w:val="0"/>
        <w:snapToGrid w:val="0"/>
        <w:spacing w:after="0" w:line="240" w:lineRule="auto"/>
        <w:ind w:firstLine="425"/>
        <w:jc w:val="both"/>
        <w:rPr>
          <w:rFonts w:ascii="Times New Roman" w:hAnsi="Times New Roman" w:cs="Times New Roman"/>
          <w:sz w:val="20"/>
          <w:szCs w:val="20"/>
        </w:rPr>
      </w:pPr>
    </w:p>
    <w:p w:rsidR="00C12F24" w:rsidRPr="00601EB3" w:rsidRDefault="00C12F24" w:rsidP="00D67228">
      <w:pPr>
        <w:bidi w:val="0"/>
        <w:adjustRightInd w:val="0"/>
        <w:snapToGrid w:val="0"/>
        <w:spacing w:after="0" w:line="240" w:lineRule="auto"/>
        <w:jc w:val="center"/>
        <w:rPr>
          <w:rFonts w:ascii="Times New Roman" w:hAnsi="Times New Roman" w:cs="Times New Roman"/>
          <w:sz w:val="20"/>
          <w:szCs w:val="20"/>
          <w:lang w:bidi="ar-EG"/>
        </w:rPr>
      </w:pPr>
      <w:r w:rsidRPr="00601EB3">
        <w:rPr>
          <w:rFonts w:ascii="Times New Roman" w:hAnsi="Times New Roman" w:cs="Times New Roman"/>
          <w:noProof/>
          <w:sz w:val="20"/>
          <w:szCs w:val="20"/>
          <w:lang w:eastAsia="zh-CN"/>
        </w:rPr>
        <w:drawing>
          <wp:inline distT="0" distB="0" distL="0" distR="0">
            <wp:extent cx="3506525" cy="33367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988" cy="3329618"/>
                    </a:xfrm>
                    <a:prstGeom prst="rect">
                      <a:avLst/>
                    </a:prstGeom>
                    <a:noFill/>
                  </pic:spPr>
                </pic:pic>
              </a:graphicData>
            </a:graphic>
          </wp:inline>
        </w:drawing>
      </w:r>
    </w:p>
    <w:p w:rsidR="00C12F24" w:rsidRPr="00601EB3" w:rsidRDefault="00C12F24" w:rsidP="00D67228">
      <w:pPr>
        <w:bidi w:val="0"/>
        <w:adjustRightInd w:val="0"/>
        <w:snapToGrid w:val="0"/>
        <w:spacing w:after="0" w:line="240" w:lineRule="auto"/>
        <w:jc w:val="both"/>
        <w:rPr>
          <w:rFonts w:ascii="Times New Roman" w:hAnsi="Times New Roman" w:cs="Times New Roman"/>
          <w:sz w:val="20"/>
          <w:szCs w:val="20"/>
          <w:lang w:bidi="ar-EG"/>
        </w:rPr>
      </w:pPr>
      <w:r w:rsidRPr="00601EB3">
        <w:rPr>
          <w:rFonts w:ascii="Times New Roman" w:hAnsi="Times New Roman" w:cs="Times New Roman"/>
          <w:b/>
          <w:bCs/>
          <w:sz w:val="20"/>
          <w:szCs w:val="20"/>
          <w:lang w:bidi="ar-EG"/>
        </w:rPr>
        <w:t>Figures 1.</w:t>
      </w:r>
      <w:r w:rsidRPr="00601EB3">
        <w:rPr>
          <w:rFonts w:ascii="Times New Roman" w:hAnsi="Times New Roman" w:cs="Times New Roman"/>
          <w:sz w:val="20"/>
          <w:szCs w:val="20"/>
          <w:lang w:bidi="ar-EG"/>
        </w:rPr>
        <w:t>(a) VEGF-A negative expression with power magnification (10x), (b)BMB section of VEGF-A strong positive expression with power (40x) in BM focal infiltration, (c) COX-2 negative expression with power magnification (100x), (d) BMB section of COX-2 moderate positive expression with power magnification (100x).</w:t>
      </w:r>
    </w:p>
    <w:p w:rsidR="00C12F24" w:rsidRPr="00601EB3" w:rsidRDefault="00C12F24" w:rsidP="00D67228">
      <w:pPr>
        <w:bidi w:val="0"/>
        <w:adjustRightInd w:val="0"/>
        <w:snapToGrid w:val="0"/>
        <w:spacing w:after="0" w:line="240" w:lineRule="auto"/>
        <w:ind w:firstLine="425"/>
        <w:jc w:val="both"/>
        <w:rPr>
          <w:rFonts w:ascii="Times New Roman" w:hAnsi="Times New Roman" w:cs="Times New Roman"/>
          <w:sz w:val="20"/>
          <w:szCs w:val="20"/>
        </w:rPr>
      </w:pPr>
    </w:p>
    <w:p w:rsidR="00C12F24" w:rsidRPr="00601EB3" w:rsidRDefault="00C12F24" w:rsidP="00D67228">
      <w:pPr>
        <w:bidi w:val="0"/>
        <w:adjustRightInd w:val="0"/>
        <w:snapToGrid w:val="0"/>
        <w:spacing w:after="0" w:line="240" w:lineRule="auto"/>
        <w:jc w:val="center"/>
        <w:rPr>
          <w:rFonts w:ascii="Times New Roman" w:hAnsi="Times New Roman" w:cs="Times New Roman"/>
          <w:b/>
          <w:bCs/>
          <w:sz w:val="20"/>
          <w:szCs w:val="20"/>
          <w:lang w:bidi="ar-EG"/>
        </w:rPr>
      </w:pPr>
      <w:r w:rsidRPr="00601EB3">
        <w:rPr>
          <w:rFonts w:ascii="Times New Roman" w:hAnsi="Times New Roman" w:cs="Times New Roman"/>
          <w:b/>
          <w:bCs/>
          <w:noProof/>
          <w:sz w:val="20"/>
          <w:szCs w:val="20"/>
          <w:lang w:eastAsia="zh-CN"/>
        </w:rPr>
        <w:drawing>
          <wp:inline distT="0" distB="0" distL="0" distR="0">
            <wp:extent cx="4775587" cy="2130949"/>
            <wp:effectExtent l="19050" t="0" r="25013" b="2651"/>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2F24" w:rsidRPr="00601EB3" w:rsidRDefault="00C12F24" w:rsidP="00D67228">
      <w:pPr>
        <w:bidi w:val="0"/>
        <w:adjustRightInd w:val="0"/>
        <w:snapToGrid w:val="0"/>
        <w:spacing w:after="0" w:line="240" w:lineRule="auto"/>
        <w:jc w:val="center"/>
        <w:rPr>
          <w:rFonts w:ascii="Times New Roman" w:hAnsi="Times New Roman" w:cs="Times New Roman"/>
          <w:sz w:val="20"/>
          <w:szCs w:val="20"/>
        </w:rPr>
      </w:pPr>
      <w:r w:rsidRPr="00601EB3">
        <w:rPr>
          <w:rFonts w:ascii="Times New Roman" w:hAnsi="Times New Roman" w:cs="Times New Roman"/>
          <w:b/>
          <w:bCs/>
          <w:sz w:val="20"/>
          <w:szCs w:val="20"/>
        </w:rPr>
        <w:t>Figure 2.</w:t>
      </w:r>
      <w:r w:rsidRPr="00601EB3">
        <w:rPr>
          <w:rFonts w:ascii="Times New Roman" w:hAnsi="Times New Roman" w:cs="Times New Roman"/>
          <w:sz w:val="20"/>
          <w:szCs w:val="20"/>
        </w:rPr>
        <w:t xml:space="preserve"> VEGF-A expression regarding response to treatment.</w:t>
      </w:r>
    </w:p>
    <w:p w:rsidR="00484A05" w:rsidRDefault="00484A05" w:rsidP="00D67228">
      <w:pPr>
        <w:bidi w:val="0"/>
        <w:adjustRightInd w:val="0"/>
        <w:snapToGrid w:val="0"/>
        <w:spacing w:after="0" w:line="240" w:lineRule="auto"/>
        <w:jc w:val="both"/>
        <w:rPr>
          <w:rFonts w:ascii="Times New Roman" w:hAnsi="Times New Roman" w:cs="Times New Roman"/>
          <w:sz w:val="20"/>
          <w:szCs w:val="20"/>
          <w:lang w:bidi="ar-EG"/>
        </w:rPr>
      </w:pPr>
    </w:p>
    <w:p w:rsidR="005843F5" w:rsidRDefault="005843F5" w:rsidP="005843F5">
      <w:pPr>
        <w:bidi w:val="0"/>
        <w:adjustRightInd w:val="0"/>
        <w:snapToGrid w:val="0"/>
        <w:spacing w:after="0" w:line="240" w:lineRule="auto"/>
        <w:jc w:val="both"/>
        <w:rPr>
          <w:rFonts w:ascii="Times New Roman" w:hAnsi="Times New Roman" w:cs="Times New Roman"/>
          <w:sz w:val="20"/>
          <w:szCs w:val="20"/>
          <w:lang w:bidi="ar-EG"/>
        </w:rPr>
      </w:pPr>
    </w:p>
    <w:p w:rsidR="005843F5" w:rsidRPr="00601EB3" w:rsidRDefault="005843F5" w:rsidP="005843F5">
      <w:pPr>
        <w:bidi w:val="0"/>
        <w:adjustRightInd w:val="0"/>
        <w:snapToGrid w:val="0"/>
        <w:spacing w:after="0" w:line="240" w:lineRule="auto"/>
        <w:jc w:val="both"/>
        <w:rPr>
          <w:rFonts w:ascii="Times New Roman" w:hAnsi="Times New Roman" w:cs="Times New Roman"/>
          <w:sz w:val="20"/>
          <w:szCs w:val="20"/>
          <w:lang w:bidi="ar-EG"/>
        </w:rPr>
      </w:pPr>
    </w:p>
    <w:p w:rsidR="000A44BA" w:rsidRPr="00601EB3" w:rsidRDefault="000A44BA" w:rsidP="00D67228">
      <w:pPr>
        <w:pStyle w:val="Heading1"/>
        <w:keepNext w:val="0"/>
        <w:keepLines w:val="0"/>
        <w:adjustRightInd w:val="0"/>
        <w:snapToGrid w:val="0"/>
        <w:spacing w:before="0" w:line="240" w:lineRule="auto"/>
        <w:jc w:val="both"/>
        <w:rPr>
          <w:rFonts w:ascii="Times New Roman" w:hAnsi="Times New Roman" w:cs="Times New Roman"/>
          <w:sz w:val="20"/>
          <w:szCs w:val="20"/>
          <w:lang w:bidi="ar-EG"/>
        </w:rPr>
        <w:sectPr w:rsidR="000A44BA" w:rsidRPr="00601EB3" w:rsidSect="00DB5F45">
          <w:type w:val="continuous"/>
          <w:pgSz w:w="12242" w:h="15842" w:code="1"/>
          <w:pgMar w:top="1440" w:right="1440" w:bottom="1440" w:left="1440" w:header="720" w:footer="720" w:gutter="0"/>
          <w:cols w:space="709"/>
          <w:bidi/>
          <w:docGrid w:linePitch="360"/>
        </w:sectPr>
      </w:pPr>
    </w:p>
    <w:p w:rsidR="00645418" w:rsidRPr="00601EB3" w:rsidRDefault="00484A05" w:rsidP="00D67228">
      <w:pPr>
        <w:pStyle w:val="Heading1"/>
        <w:keepNext w:val="0"/>
        <w:keepLines w:val="0"/>
        <w:adjustRightInd w:val="0"/>
        <w:snapToGrid w:val="0"/>
        <w:spacing w:before="0" w:line="240" w:lineRule="auto"/>
        <w:jc w:val="both"/>
        <w:rPr>
          <w:rFonts w:ascii="Times New Roman" w:hAnsi="Times New Roman" w:cs="Times New Roman"/>
          <w:color w:val="auto"/>
          <w:sz w:val="20"/>
          <w:szCs w:val="20"/>
        </w:rPr>
      </w:pPr>
      <w:r w:rsidRPr="00601EB3">
        <w:rPr>
          <w:rFonts w:ascii="Times New Roman" w:hAnsi="Times New Roman" w:cs="Times New Roman"/>
          <w:color w:val="auto"/>
          <w:sz w:val="20"/>
          <w:szCs w:val="20"/>
          <w:lang w:bidi="ar-EG"/>
        </w:rPr>
        <w:lastRenderedPageBreak/>
        <w:t xml:space="preserve">4. </w:t>
      </w:r>
      <w:r w:rsidR="005F20DF" w:rsidRPr="00601EB3">
        <w:rPr>
          <w:rFonts w:ascii="Times New Roman" w:hAnsi="Times New Roman" w:cs="Times New Roman"/>
          <w:color w:val="auto"/>
          <w:sz w:val="20"/>
          <w:szCs w:val="20"/>
        </w:rPr>
        <w:t>Discussion</w:t>
      </w:r>
      <w:bookmarkEnd w:id="8"/>
    </w:p>
    <w:p w:rsidR="00645418" w:rsidRPr="00601EB3" w:rsidRDefault="00BD78B6" w:rsidP="00D67228">
      <w:pPr>
        <w:bidi w:val="0"/>
        <w:adjustRightInd w:val="0"/>
        <w:snapToGrid w:val="0"/>
        <w:spacing w:after="0" w:line="240" w:lineRule="auto"/>
        <w:ind w:firstLine="425"/>
        <w:jc w:val="both"/>
        <w:rPr>
          <w:rFonts w:ascii="Times New Roman" w:eastAsia="Times New Roman" w:hAnsi="Times New Roman" w:cs="Times New Roman"/>
          <w:b/>
          <w:sz w:val="20"/>
          <w:szCs w:val="20"/>
        </w:rPr>
      </w:pPr>
      <w:r w:rsidRPr="00601EB3">
        <w:rPr>
          <w:rFonts w:ascii="Times New Roman" w:hAnsi="Times New Roman" w:cs="Times New Roman"/>
          <w:sz w:val="20"/>
          <w:szCs w:val="20"/>
        </w:rPr>
        <w:t>Among our 40 BM disseminated NHL patients, VEGF-A expressio</w:t>
      </w:r>
      <w:r w:rsidR="008F64EA" w:rsidRPr="00601EB3">
        <w:rPr>
          <w:rFonts w:ascii="Times New Roman" w:hAnsi="Times New Roman" w:cs="Times New Roman"/>
          <w:sz w:val="20"/>
          <w:szCs w:val="20"/>
        </w:rPr>
        <w:t>n was detected in 52.5%</w:t>
      </w:r>
      <w:r w:rsidRPr="00601EB3">
        <w:rPr>
          <w:rFonts w:ascii="Times New Roman" w:hAnsi="Times New Roman" w:cs="Times New Roman"/>
          <w:sz w:val="20"/>
          <w:szCs w:val="20"/>
        </w:rPr>
        <w:t xml:space="preserve"> of the patients, which was close to </w:t>
      </w:r>
      <w:r w:rsidR="00916B49" w:rsidRPr="00601EB3">
        <w:rPr>
          <w:rFonts w:ascii="Times New Roman" w:hAnsi="Times New Roman" w:cs="Times New Roman"/>
          <w:sz w:val="20"/>
          <w:szCs w:val="20"/>
        </w:rPr>
        <w:t>others</w:t>
      </w:r>
      <w:r w:rsidRPr="00601EB3">
        <w:rPr>
          <w:rFonts w:ascii="Times New Roman" w:eastAsia="Times New Roman" w:hAnsi="Times New Roman" w:cs="Times New Roman"/>
          <w:sz w:val="20"/>
          <w:szCs w:val="20"/>
        </w:rPr>
        <w:t xml:space="preserve"> who </w:t>
      </w:r>
      <w:r w:rsidR="0018551D" w:rsidRPr="00601EB3">
        <w:rPr>
          <w:rFonts w:ascii="Times New Roman" w:eastAsia="Times New Roman" w:hAnsi="Times New Roman" w:cs="Times New Roman"/>
          <w:sz w:val="20"/>
          <w:szCs w:val="20"/>
        </w:rPr>
        <w:t>reported VEGF</w:t>
      </w:r>
      <w:r w:rsidR="00D67228">
        <w:rPr>
          <w:rFonts w:ascii="Times New Roman" w:eastAsia="Times New Roman" w:hAnsi="Times New Roman" w:cs="Times New Roman"/>
          <w:sz w:val="20"/>
          <w:szCs w:val="20"/>
        </w:rPr>
        <w:t xml:space="preserve"> </w:t>
      </w:r>
      <w:r w:rsidR="008F64EA" w:rsidRPr="00601EB3">
        <w:rPr>
          <w:rFonts w:ascii="Times New Roman" w:eastAsia="Times New Roman" w:hAnsi="Times New Roman" w:cs="Times New Roman"/>
          <w:sz w:val="20"/>
          <w:szCs w:val="20"/>
        </w:rPr>
        <w:t>in 50% of NHL group</w:t>
      </w:r>
      <w:r w:rsidR="00916B49" w:rsidRPr="00601EB3">
        <w:rPr>
          <w:rFonts w:ascii="Times New Roman" w:eastAsia="Times New Roman" w:hAnsi="Times New Roman" w:cs="Times New Roman"/>
          <w:sz w:val="20"/>
          <w:szCs w:val="20"/>
        </w:rPr>
        <w:t xml:space="preserve"> [12]</w:t>
      </w:r>
      <w:r w:rsidR="0018551D" w:rsidRPr="00601EB3">
        <w:rPr>
          <w:rFonts w:ascii="Times New Roman" w:eastAsia="Times New Roman" w:hAnsi="Times New Roman" w:cs="Times New Roman"/>
          <w:sz w:val="20"/>
          <w:szCs w:val="20"/>
        </w:rPr>
        <w:t>,</w:t>
      </w:r>
      <w:r w:rsidR="005843F5">
        <w:rPr>
          <w:rFonts w:ascii="Times New Roman" w:eastAsia="Times New Roman" w:hAnsi="Times New Roman" w:cs="Times New Roman"/>
          <w:sz w:val="20"/>
          <w:szCs w:val="20"/>
        </w:rPr>
        <w:t xml:space="preserve"> </w:t>
      </w:r>
      <w:r w:rsidR="0018551D" w:rsidRPr="00601EB3">
        <w:rPr>
          <w:rFonts w:ascii="Times New Roman" w:eastAsia="Times New Roman" w:hAnsi="Times New Roman" w:cs="Times New Roman"/>
          <w:sz w:val="20"/>
          <w:szCs w:val="20"/>
        </w:rPr>
        <w:t>b</w:t>
      </w:r>
      <w:r w:rsidR="00DE155C" w:rsidRPr="00601EB3">
        <w:rPr>
          <w:rFonts w:ascii="Times New Roman" w:eastAsia="Times New Roman" w:hAnsi="Times New Roman" w:cs="Times New Roman"/>
          <w:sz w:val="20"/>
          <w:szCs w:val="20"/>
        </w:rPr>
        <w:t>ut</w:t>
      </w:r>
      <w:r w:rsidRPr="00601EB3">
        <w:rPr>
          <w:rFonts w:ascii="Times New Roman" w:eastAsia="Times New Roman" w:hAnsi="Times New Roman" w:cs="Times New Roman"/>
          <w:sz w:val="20"/>
          <w:szCs w:val="20"/>
        </w:rPr>
        <w:t xml:space="preserve"> slightly differ</w:t>
      </w:r>
      <w:r w:rsidR="0018551D" w:rsidRPr="00601EB3">
        <w:rPr>
          <w:rFonts w:ascii="Times New Roman" w:eastAsia="Times New Roman" w:hAnsi="Times New Roman" w:cs="Times New Roman"/>
          <w:sz w:val="20"/>
          <w:szCs w:val="20"/>
        </w:rPr>
        <w:t>ing</w:t>
      </w:r>
      <w:r w:rsidR="00D67228">
        <w:rPr>
          <w:rFonts w:ascii="Times New Roman" w:eastAsia="Times New Roman" w:hAnsi="Times New Roman" w:cs="Times New Roman"/>
          <w:sz w:val="20"/>
          <w:szCs w:val="20"/>
        </w:rPr>
        <w:t xml:space="preserve"> </w:t>
      </w:r>
      <w:r w:rsidR="0018551D" w:rsidRPr="00601EB3">
        <w:rPr>
          <w:rFonts w:ascii="Times New Roman" w:eastAsia="Times New Roman" w:hAnsi="Times New Roman" w:cs="Times New Roman"/>
          <w:sz w:val="20"/>
          <w:szCs w:val="20"/>
        </w:rPr>
        <w:t>from</w:t>
      </w:r>
      <w:r w:rsidR="00D67228">
        <w:rPr>
          <w:rFonts w:ascii="Times New Roman" w:eastAsia="Times New Roman" w:hAnsi="Times New Roman" w:cs="Times New Roman"/>
          <w:sz w:val="20"/>
          <w:szCs w:val="20"/>
        </w:rPr>
        <w:t xml:space="preserve"> </w:t>
      </w:r>
      <w:r w:rsidR="00AE5EC4" w:rsidRPr="00601EB3">
        <w:rPr>
          <w:rFonts w:ascii="Times New Roman" w:eastAsia="Times New Roman" w:hAnsi="Times New Roman" w:cs="Times New Roman"/>
          <w:sz w:val="20"/>
          <w:szCs w:val="20"/>
        </w:rPr>
        <w:t>other studies</w:t>
      </w:r>
      <w:r w:rsidR="008F18C4" w:rsidRPr="00601EB3">
        <w:rPr>
          <w:rFonts w:ascii="Times New Roman" w:eastAsia="Times New Roman" w:hAnsi="Times New Roman" w:cs="Times New Roman"/>
          <w:sz w:val="20"/>
          <w:szCs w:val="20"/>
        </w:rPr>
        <w:t xml:space="preserve"> [</w:t>
      </w:r>
      <w:r w:rsidR="001C1E1A" w:rsidRPr="00601EB3">
        <w:rPr>
          <w:rFonts w:ascii="Times New Roman" w:eastAsia="Times New Roman" w:hAnsi="Times New Roman" w:cs="Times New Roman"/>
          <w:sz w:val="20"/>
          <w:szCs w:val="20"/>
        </w:rPr>
        <w:t>13</w:t>
      </w:r>
      <w:r w:rsidR="00AE5EC4" w:rsidRPr="00601EB3">
        <w:rPr>
          <w:rFonts w:ascii="Times New Roman" w:eastAsia="Times New Roman" w:hAnsi="Times New Roman" w:cs="Times New Roman"/>
          <w:sz w:val="20"/>
          <w:szCs w:val="20"/>
        </w:rPr>
        <w:t>,14</w:t>
      </w:r>
      <w:r w:rsidR="001C1E1A" w:rsidRPr="00601EB3">
        <w:rPr>
          <w:rFonts w:ascii="Times New Roman" w:eastAsia="Times New Roman" w:hAnsi="Times New Roman" w:cs="Times New Roman"/>
          <w:sz w:val="20"/>
          <w:szCs w:val="20"/>
        </w:rPr>
        <w:t>],</w:t>
      </w:r>
      <w:r w:rsidR="00D67228">
        <w:rPr>
          <w:rFonts w:ascii="Times New Roman" w:eastAsia="Times New Roman" w:hAnsi="Times New Roman" w:cs="Times New Roman"/>
          <w:sz w:val="20"/>
          <w:szCs w:val="20"/>
        </w:rPr>
        <w:t xml:space="preserve"> </w:t>
      </w:r>
      <w:r w:rsidR="0018551D" w:rsidRPr="00601EB3">
        <w:rPr>
          <w:rFonts w:ascii="Times New Roman" w:hAnsi="Times New Roman" w:cs="Times New Roman"/>
          <w:sz w:val="20"/>
          <w:szCs w:val="20"/>
        </w:rPr>
        <w:t>reporting VEGF in</w:t>
      </w:r>
      <w:r w:rsidR="008F64EA" w:rsidRPr="00601EB3">
        <w:rPr>
          <w:rFonts w:ascii="Times New Roman" w:eastAsia="Times New Roman" w:hAnsi="Times New Roman" w:cs="Times New Roman"/>
          <w:sz w:val="20"/>
          <w:szCs w:val="20"/>
        </w:rPr>
        <w:t xml:space="preserve"> 61% of NHL group,</w:t>
      </w:r>
      <w:r w:rsidR="008F64EA" w:rsidRPr="00601EB3">
        <w:rPr>
          <w:rFonts w:ascii="Times New Roman" w:eastAsia="Times New Roman" w:hAnsi="Times New Roman" w:cs="Times New Roman"/>
          <w:bCs/>
          <w:sz w:val="20"/>
          <w:szCs w:val="20"/>
        </w:rPr>
        <w:t xml:space="preserve"> in</w:t>
      </w:r>
      <w:r w:rsidR="008F64EA" w:rsidRPr="00601EB3">
        <w:rPr>
          <w:rFonts w:ascii="Times New Roman" w:eastAsia="Times New Roman" w:hAnsi="Times New Roman" w:cs="Times New Roman"/>
          <w:sz w:val="20"/>
          <w:szCs w:val="20"/>
        </w:rPr>
        <w:t>64.8% of DLBCL group</w:t>
      </w:r>
      <w:r w:rsidR="00AE5EC4" w:rsidRPr="00601EB3">
        <w:rPr>
          <w:rFonts w:ascii="Times New Roman" w:eastAsia="Times New Roman" w:hAnsi="Times New Roman" w:cs="Times New Roman"/>
          <w:sz w:val="20"/>
          <w:szCs w:val="20"/>
        </w:rPr>
        <w:t xml:space="preserve"> and</w:t>
      </w:r>
      <w:r w:rsidR="00DE155C" w:rsidRPr="00601EB3">
        <w:rPr>
          <w:rFonts w:ascii="Times New Roman" w:eastAsia="Times New Roman" w:hAnsi="Times New Roman" w:cs="Times New Roman"/>
          <w:sz w:val="20"/>
          <w:szCs w:val="20"/>
        </w:rPr>
        <w:t xml:space="preserve"> 62% of NHL group, 41.2%</w:t>
      </w:r>
      <w:r w:rsidR="00645418" w:rsidRPr="00601EB3">
        <w:rPr>
          <w:rFonts w:ascii="Times New Roman" w:eastAsia="Times New Roman" w:hAnsi="Times New Roman" w:cs="Times New Roman"/>
          <w:sz w:val="20"/>
          <w:szCs w:val="20"/>
        </w:rPr>
        <w:t xml:space="preserve"> of low-grade B-cell NHL, and 100% of intermediate-grade B-cell NHL and T-cell lymphoma</w:t>
      </w:r>
      <w:r w:rsidR="0018551D" w:rsidRPr="00601EB3">
        <w:rPr>
          <w:rFonts w:ascii="Times New Roman" w:eastAsia="Times New Roman" w:hAnsi="Times New Roman" w:cs="Times New Roman"/>
          <w:sz w:val="20"/>
          <w:szCs w:val="20"/>
        </w:rPr>
        <w:t>)</w:t>
      </w:r>
      <w:r w:rsidR="00645418" w:rsidRPr="00601EB3">
        <w:rPr>
          <w:rFonts w:ascii="Times New Roman" w:eastAsia="Times New Roman" w:hAnsi="Times New Roman" w:cs="Times New Roman"/>
          <w:sz w:val="20"/>
          <w:szCs w:val="20"/>
        </w:rPr>
        <w:t>.</w:t>
      </w:r>
      <w:r w:rsidR="00D67228">
        <w:rPr>
          <w:rFonts w:ascii="Times New Roman" w:eastAsia="Times New Roman" w:hAnsi="Times New Roman" w:cs="Times New Roman"/>
          <w:sz w:val="20"/>
          <w:szCs w:val="20"/>
        </w:rPr>
        <w:t xml:space="preserve"> </w:t>
      </w:r>
      <w:r w:rsidR="0018551D" w:rsidRPr="00601EB3">
        <w:rPr>
          <w:rFonts w:ascii="Times New Roman" w:hAnsi="Times New Roman" w:cs="Times New Roman"/>
          <w:sz w:val="20"/>
          <w:szCs w:val="20"/>
        </w:rPr>
        <w:t xml:space="preserve">We detected </w:t>
      </w:r>
      <w:r w:rsidR="00645418" w:rsidRPr="00601EB3">
        <w:rPr>
          <w:rFonts w:ascii="Times New Roman" w:hAnsi="Times New Roman" w:cs="Times New Roman"/>
          <w:sz w:val="20"/>
          <w:szCs w:val="20"/>
        </w:rPr>
        <w:t>COX2</w:t>
      </w:r>
      <w:r w:rsidR="00544114" w:rsidRPr="00601EB3">
        <w:rPr>
          <w:rFonts w:ascii="Times New Roman" w:hAnsi="Times New Roman" w:cs="Times New Roman"/>
          <w:sz w:val="20"/>
          <w:szCs w:val="20"/>
        </w:rPr>
        <w:t xml:space="preserve">in 60% of </w:t>
      </w:r>
      <w:r w:rsidR="00645418" w:rsidRPr="00601EB3">
        <w:rPr>
          <w:rFonts w:ascii="Times New Roman" w:hAnsi="Times New Roman" w:cs="Times New Roman"/>
          <w:sz w:val="20"/>
          <w:szCs w:val="20"/>
        </w:rPr>
        <w:t>our patients</w:t>
      </w:r>
      <w:r w:rsidR="00544114" w:rsidRPr="00601EB3">
        <w:rPr>
          <w:rFonts w:ascii="Times New Roman" w:hAnsi="Times New Roman" w:cs="Times New Roman"/>
          <w:sz w:val="20"/>
          <w:szCs w:val="20"/>
        </w:rPr>
        <w:t>,</w:t>
      </w:r>
      <w:r w:rsidR="005A7507" w:rsidRPr="00601EB3">
        <w:rPr>
          <w:rFonts w:ascii="Times New Roman" w:hAnsi="Times New Roman" w:cs="Times New Roman"/>
          <w:sz w:val="20"/>
          <w:szCs w:val="20"/>
        </w:rPr>
        <w:t xml:space="preserve"> similar to our results, reports</w:t>
      </w:r>
      <w:r w:rsidR="00706FFD" w:rsidRPr="00601EB3">
        <w:rPr>
          <w:rFonts w:ascii="Times New Roman" w:eastAsia="Times New Roman" w:hAnsi="Times New Roman" w:cs="Times New Roman"/>
          <w:sz w:val="20"/>
          <w:szCs w:val="20"/>
        </w:rPr>
        <w:t xml:space="preserve"> in 57% among NHL group</w:t>
      </w:r>
      <w:r w:rsidR="00544D63" w:rsidRPr="00601EB3">
        <w:rPr>
          <w:rFonts w:ascii="Times New Roman" w:eastAsia="Times New Roman" w:hAnsi="Times New Roman" w:cs="Times New Roman"/>
          <w:sz w:val="20"/>
          <w:szCs w:val="20"/>
        </w:rPr>
        <w:t xml:space="preserve"> [15]</w:t>
      </w:r>
      <w:r w:rsidR="005A090A" w:rsidRPr="00601EB3">
        <w:rPr>
          <w:rFonts w:ascii="Times New Roman" w:eastAsia="Times New Roman" w:hAnsi="Times New Roman" w:cs="Times New Roman"/>
          <w:sz w:val="20"/>
          <w:szCs w:val="20"/>
        </w:rPr>
        <w:t xml:space="preserve"> and</w:t>
      </w:r>
      <w:r w:rsidR="00D67228">
        <w:rPr>
          <w:rFonts w:ascii="Times New Roman" w:eastAsia="Times New Roman" w:hAnsi="Times New Roman" w:cs="Times New Roman"/>
          <w:sz w:val="20"/>
          <w:szCs w:val="20"/>
        </w:rPr>
        <w:t xml:space="preserve"> </w:t>
      </w:r>
      <w:r w:rsidR="00724C3D" w:rsidRPr="00601EB3">
        <w:rPr>
          <w:rFonts w:ascii="Times New Roman" w:hAnsi="Times New Roman" w:cs="Times New Roman"/>
          <w:sz w:val="20"/>
          <w:szCs w:val="20"/>
        </w:rPr>
        <w:t>(</w:t>
      </w:r>
      <w:r w:rsidR="00706FFD" w:rsidRPr="00601EB3">
        <w:rPr>
          <w:rFonts w:ascii="Times New Roman" w:eastAsia="Times New Roman" w:hAnsi="Times New Roman" w:cs="Times New Roman"/>
          <w:sz w:val="20"/>
          <w:szCs w:val="20"/>
        </w:rPr>
        <w:t>56% among NHL cases</w:t>
      </w:r>
      <w:r w:rsidR="00724C3D" w:rsidRPr="00601EB3">
        <w:rPr>
          <w:rFonts w:ascii="Times New Roman" w:eastAsia="Times New Roman" w:hAnsi="Times New Roman" w:cs="Times New Roman"/>
          <w:sz w:val="20"/>
          <w:szCs w:val="20"/>
        </w:rPr>
        <w:t>)</w:t>
      </w:r>
      <w:r w:rsidR="00544D63" w:rsidRPr="00601EB3">
        <w:rPr>
          <w:rFonts w:ascii="Times New Roman" w:eastAsia="Times New Roman" w:hAnsi="Times New Roman" w:cs="Times New Roman"/>
          <w:sz w:val="20"/>
          <w:szCs w:val="20"/>
        </w:rPr>
        <w:t xml:space="preserve"> [16]</w:t>
      </w:r>
      <w:r w:rsidR="00724C3D" w:rsidRPr="00601EB3">
        <w:rPr>
          <w:rFonts w:ascii="Times New Roman" w:eastAsia="Times New Roman" w:hAnsi="Times New Roman" w:cs="Times New Roman"/>
          <w:sz w:val="20"/>
          <w:szCs w:val="20"/>
        </w:rPr>
        <w:t>,</w:t>
      </w:r>
      <w:r w:rsidR="00D67228">
        <w:rPr>
          <w:rFonts w:ascii="Times New Roman" w:eastAsia="Times New Roman" w:hAnsi="Times New Roman" w:cs="Times New Roman"/>
          <w:sz w:val="20"/>
          <w:szCs w:val="20"/>
        </w:rPr>
        <w:t xml:space="preserve"> </w:t>
      </w:r>
      <w:r w:rsidR="00706FFD" w:rsidRPr="00601EB3">
        <w:rPr>
          <w:rFonts w:ascii="Times New Roman" w:eastAsia="Times New Roman" w:hAnsi="Times New Roman" w:cs="Times New Roman"/>
          <w:bCs/>
          <w:sz w:val="20"/>
          <w:szCs w:val="20"/>
        </w:rPr>
        <w:t>but slightly higher than</w:t>
      </w:r>
      <w:r w:rsidR="00D67228">
        <w:rPr>
          <w:rFonts w:ascii="Times New Roman" w:eastAsia="Times New Roman" w:hAnsi="Times New Roman" w:cs="Times New Roman"/>
          <w:bCs/>
          <w:sz w:val="20"/>
          <w:szCs w:val="20"/>
        </w:rPr>
        <w:t xml:space="preserve"> </w:t>
      </w:r>
      <w:r w:rsidR="00B9531A" w:rsidRPr="00601EB3">
        <w:rPr>
          <w:rFonts w:ascii="Times New Roman" w:eastAsia="Times New Roman" w:hAnsi="Times New Roman" w:cs="Times New Roman"/>
          <w:bCs/>
          <w:sz w:val="20"/>
          <w:szCs w:val="20"/>
        </w:rPr>
        <w:t>a</w:t>
      </w:r>
      <w:r w:rsidR="00D67228">
        <w:rPr>
          <w:rFonts w:ascii="Times New Roman" w:eastAsia="Times New Roman" w:hAnsi="Times New Roman" w:cs="Times New Roman"/>
          <w:bCs/>
          <w:sz w:val="20"/>
          <w:szCs w:val="20"/>
        </w:rPr>
        <w:t xml:space="preserve"> </w:t>
      </w:r>
      <w:r w:rsidR="00B9531A" w:rsidRPr="00601EB3">
        <w:rPr>
          <w:rFonts w:ascii="Times New Roman" w:eastAsia="Times New Roman" w:hAnsi="Times New Roman" w:cs="Times New Roman"/>
          <w:bCs/>
          <w:sz w:val="20"/>
          <w:szCs w:val="20"/>
        </w:rPr>
        <w:t>study</w:t>
      </w:r>
      <w:r w:rsidR="00D67228">
        <w:rPr>
          <w:rFonts w:ascii="Times New Roman" w:eastAsia="Times New Roman" w:hAnsi="Times New Roman" w:cs="Times New Roman"/>
          <w:bCs/>
          <w:sz w:val="20"/>
          <w:szCs w:val="20"/>
        </w:rPr>
        <w:t xml:space="preserve"> </w:t>
      </w:r>
      <w:r w:rsidR="00B9531A" w:rsidRPr="00601EB3">
        <w:rPr>
          <w:rFonts w:ascii="Times New Roman" w:eastAsia="Times New Roman" w:hAnsi="Times New Roman" w:cs="Times New Roman"/>
          <w:sz w:val="20"/>
          <w:szCs w:val="20"/>
        </w:rPr>
        <w:t>reporting</w:t>
      </w:r>
      <w:r w:rsidR="0008554F" w:rsidRPr="00601EB3">
        <w:rPr>
          <w:rFonts w:ascii="Times New Roman" w:eastAsia="Times New Roman" w:hAnsi="Times New Roman" w:cs="Times New Roman"/>
          <w:sz w:val="20"/>
          <w:szCs w:val="20"/>
        </w:rPr>
        <w:t xml:space="preserve"> C</w:t>
      </w:r>
      <w:r w:rsidR="00724C3D" w:rsidRPr="00601EB3">
        <w:rPr>
          <w:rFonts w:ascii="Times New Roman" w:eastAsia="Times New Roman" w:hAnsi="Times New Roman" w:cs="Times New Roman"/>
          <w:sz w:val="20"/>
          <w:szCs w:val="20"/>
        </w:rPr>
        <w:t>OX2</w:t>
      </w:r>
      <w:r w:rsidR="00706FFD" w:rsidRPr="00601EB3">
        <w:rPr>
          <w:rFonts w:ascii="Times New Roman" w:hAnsi="Times New Roman" w:cs="Times New Roman"/>
          <w:sz w:val="20"/>
          <w:szCs w:val="20"/>
        </w:rPr>
        <w:t xml:space="preserve"> in 53.3%</w:t>
      </w:r>
      <w:r w:rsidR="00645418" w:rsidRPr="00601EB3">
        <w:rPr>
          <w:rFonts w:ascii="Times New Roman" w:hAnsi="Times New Roman" w:cs="Times New Roman"/>
          <w:sz w:val="20"/>
          <w:szCs w:val="20"/>
        </w:rPr>
        <w:t xml:space="preserve"> of NHL group</w:t>
      </w:r>
      <w:r w:rsidR="005843F5">
        <w:rPr>
          <w:rFonts w:ascii="Times New Roman" w:hAnsi="Times New Roman" w:cs="Times New Roman"/>
          <w:sz w:val="20"/>
          <w:szCs w:val="20"/>
        </w:rPr>
        <w:t xml:space="preserve"> </w:t>
      </w:r>
      <w:r w:rsidR="00B9531A" w:rsidRPr="00601EB3">
        <w:rPr>
          <w:rFonts w:ascii="Times New Roman" w:hAnsi="Times New Roman" w:cs="Times New Roman"/>
          <w:sz w:val="20"/>
          <w:szCs w:val="20"/>
        </w:rPr>
        <w:t>[17]</w:t>
      </w:r>
      <w:r w:rsidR="00724C3D" w:rsidRPr="00601EB3">
        <w:rPr>
          <w:rFonts w:ascii="Times New Roman" w:hAnsi="Times New Roman" w:cs="Times New Roman"/>
          <w:sz w:val="20"/>
          <w:szCs w:val="20"/>
        </w:rPr>
        <w:t xml:space="preserve"> and</w:t>
      </w:r>
      <w:r w:rsidR="00706FFD" w:rsidRPr="00601EB3">
        <w:rPr>
          <w:rFonts w:ascii="Times New Roman" w:eastAsia="Times New Roman" w:hAnsi="Times New Roman" w:cs="Times New Roman"/>
          <w:bCs/>
          <w:sz w:val="20"/>
          <w:szCs w:val="20"/>
        </w:rPr>
        <w:t xml:space="preserve"> low</w:t>
      </w:r>
      <w:r w:rsidR="005A090A" w:rsidRPr="00601EB3">
        <w:rPr>
          <w:rFonts w:ascii="Times New Roman" w:eastAsia="Times New Roman" w:hAnsi="Times New Roman" w:cs="Times New Roman"/>
          <w:bCs/>
          <w:sz w:val="20"/>
          <w:szCs w:val="20"/>
        </w:rPr>
        <w:t>er than another</w:t>
      </w:r>
      <w:r w:rsidR="00D67228">
        <w:rPr>
          <w:rFonts w:ascii="Times New Roman" w:eastAsia="Times New Roman" w:hAnsi="Times New Roman" w:cs="Times New Roman"/>
          <w:bCs/>
          <w:sz w:val="20"/>
          <w:szCs w:val="20"/>
        </w:rPr>
        <w:t xml:space="preserve"> </w:t>
      </w:r>
      <w:r w:rsidR="005A090A" w:rsidRPr="00601EB3">
        <w:rPr>
          <w:rFonts w:ascii="Times New Roman" w:eastAsia="Times New Roman" w:hAnsi="Times New Roman" w:cs="Times New Roman"/>
          <w:sz w:val="20"/>
          <w:szCs w:val="20"/>
        </w:rPr>
        <w:t>reporting</w:t>
      </w:r>
      <w:r w:rsidR="00724C3D" w:rsidRPr="00601EB3">
        <w:rPr>
          <w:rFonts w:ascii="Times New Roman" w:eastAsia="Times New Roman" w:hAnsi="Times New Roman" w:cs="Times New Roman"/>
          <w:sz w:val="20"/>
          <w:szCs w:val="20"/>
        </w:rPr>
        <w:t xml:space="preserve"> it</w:t>
      </w:r>
      <w:r w:rsidR="00724C3D" w:rsidRPr="00601EB3">
        <w:rPr>
          <w:rFonts w:ascii="Times New Roman" w:hAnsi="Times New Roman" w:cs="Times New Roman"/>
          <w:sz w:val="20"/>
          <w:szCs w:val="20"/>
        </w:rPr>
        <w:t xml:space="preserve"> in </w:t>
      </w:r>
      <w:r w:rsidR="00706FFD" w:rsidRPr="00601EB3">
        <w:rPr>
          <w:rFonts w:ascii="Times New Roman" w:hAnsi="Times New Roman" w:cs="Times New Roman"/>
          <w:sz w:val="20"/>
          <w:szCs w:val="20"/>
        </w:rPr>
        <w:t>79%</w:t>
      </w:r>
      <w:r w:rsidR="00645418" w:rsidRPr="00601EB3">
        <w:rPr>
          <w:rFonts w:ascii="Times New Roman" w:hAnsi="Times New Roman" w:cs="Times New Roman"/>
          <w:sz w:val="20"/>
          <w:szCs w:val="20"/>
        </w:rPr>
        <w:t xml:space="preserve"> among NHL group</w:t>
      </w:r>
      <w:r w:rsidR="005843F5">
        <w:rPr>
          <w:rFonts w:ascii="Times New Roman" w:hAnsi="Times New Roman" w:cs="Times New Roman"/>
          <w:sz w:val="20"/>
          <w:szCs w:val="20"/>
        </w:rPr>
        <w:t xml:space="preserve"> </w:t>
      </w:r>
      <w:r w:rsidR="00B9531A" w:rsidRPr="00601EB3">
        <w:rPr>
          <w:rFonts w:ascii="Times New Roman" w:hAnsi="Times New Roman" w:cs="Times New Roman"/>
          <w:sz w:val="20"/>
          <w:szCs w:val="20"/>
        </w:rPr>
        <w:t>[18].</w:t>
      </w:r>
      <w:r w:rsidR="00D67228">
        <w:rPr>
          <w:rFonts w:ascii="Times New Roman" w:hAnsi="Times New Roman" w:cs="Times New Roman"/>
          <w:sz w:val="20"/>
          <w:szCs w:val="20"/>
        </w:rPr>
        <w:t xml:space="preserve"> </w:t>
      </w:r>
      <w:r w:rsidR="0019221A" w:rsidRPr="00601EB3">
        <w:rPr>
          <w:rFonts w:ascii="Times New Roman" w:hAnsi="Times New Roman" w:cs="Times New Roman"/>
          <w:sz w:val="20"/>
          <w:szCs w:val="20"/>
        </w:rPr>
        <w:t>We report no difference between VEGF-A and COX2 expression, as both were positive in 25%, both were negative in 12.5%</w:t>
      </w:r>
      <w:r w:rsidR="00D67228">
        <w:rPr>
          <w:rFonts w:ascii="Times New Roman" w:hAnsi="Times New Roman" w:cs="Times New Roman"/>
          <w:sz w:val="20"/>
          <w:szCs w:val="20"/>
        </w:rPr>
        <w:t xml:space="preserve"> </w:t>
      </w:r>
      <w:r w:rsidR="0019221A" w:rsidRPr="00601EB3">
        <w:rPr>
          <w:rFonts w:ascii="Times New Roman" w:hAnsi="Times New Roman" w:cs="Times New Roman"/>
          <w:sz w:val="20"/>
          <w:szCs w:val="20"/>
        </w:rPr>
        <w:t>and a single one was positive in 62.5% of cases</w:t>
      </w:r>
      <w:r w:rsidR="00645418" w:rsidRPr="00601EB3">
        <w:rPr>
          <w:rFonts w:ascii="Times New Roman" w:hAnsi="Times New Roman" w:cs="Times New Roman"/>
          <w:sz w:val="20"/>
          <w:szCs w:val="20"/>
        </w:rPr>
        <w:t xml:space="preserve">. </w:t>
      </w:r>
      <w:r w:rsidR="00F93439" w:rsidRPr="00601EB3">
        <w:rPr>
          <w:rFonts w:ascii="Times New Roman" w:hAnsi="Times New Roman" w:cs="Times New Roman"/>
          <w:sz w:val="20"/>
          <w:szCs w:val="20"/>
        </w:rPr>
        <w:t>As mentioned before [13]</w:t>
      </w:r>
      <w:r w:rsidR="00D67228">
        <w:rPr>
          <w:rFonts w:ascii="Times New Roman" w:hAnsi="Times New Roman" w:cs="Times New Roman"/>
          <w:sz w:val="20"/>
          <w:szCs w:val="20"/>
        </w:rPr>
        <w:t xml:space="preserve"> </w:t>
      </w:r>
      <w:r w:rsidR="00645418" w:rsidRPr="00601EB3">
        <w:rPr>
          <w:rFonts w:ascii="Times New Roman" w:eastAsia="Times New Roman" w:hAnsi="Times New Roman" w:cs="Times New Roman"/>
          <w:sz w:val="20"/>
          <w:szCs w:val="20"/>
        </w:rPr>
        <w:t>found</w:t>
      </w:r>
      <w:r w:rsidR="00D67228">
        <w:rPr>
          <w:rFonts w:ascii="Times New Roman" w:eastAsia="Times New Roman" w:hAnsi="Times New Roman" w:cs="Times New Roman"/>
          <w:sz w:val="20"/>
          <w:szCs w:val="20"/>
        </w:rPr>
        <w:t xml:space="preserve"> </w:t>
      </w:r>
      <w:r w:rsidR="008402DC" w:rsidRPr="00601EB3">
        <w:rPr>
          <w:rFonts w:ascii="Times New Roman" w:eastAsia="Times New Roman" w:hAnsi="Times New Roman" w:cs="Times New Roman"/>
          <w:sz w:val="20"/>
          <w:szCs w:val="20"/>
        </w:rPr>
        <w:t xml:space="preserve">that among DLBCL group; </w:t>
      </w:r>
      <w:r w:rsidR="00D177BE" w:rsidRPr="00601EB3">
        <w:rPr>
          <w:rFonts w:ascii="Times New Roman" w:eastAsia="Times New Roman" w:hAnsi="Times New Roman" w:cs="Times New Roman"/>
          <w:sz w:val="20"/>
          <w:szCs w:val="20"/>
        </w:rPr>
        <w:t>COX2</w:t>
      </w:r>
      <w:r w:rsidR="00F64623" w:rsidRPr="00601EB3">
        <w:rPr>
          <w:rFonts w:ascii="Times New Roman" w:eastAsia="Times New Roman" w:hAnsi="Times New Roman" w:cs="Times New Roman"/>
          <w:sz w:val="20"/>
          <w:szCs w:val="20"/>
        </w:rPr>
        <w:t xml:space="preserve">was </w:t>
      </w:r>
      <w:r w:rsidR="00645418" w:rsidRPr="00601EB3">
        <w:rPr>
          <w:rFonts w:ascii="Times New Roman" w:eastAsia="Times New Roman" w:hAnsi="Times New Roman" w:cs="Times New Roman"/>
          <w:sz w:val="20"/>
          <w:szCs w:val="20"/>
        </w:rPr>
        <w:t xml:space="preserve">positive in 71.6%, </w:t>
      </w:r>
      <w:r w:rsidR="003E75A8" w:rsidRPr="00601EB3">
        <w:rPr>
          <w:rFonts w:ascii="Times New Roman" w:eastAsia="Times New Roman" w:hAnsi="Times New Roman" w:cs="Times New Roman"/>
          <w:sz w:val="20"/>
          <w:szCs w:val="20"/>
        </w:rPr>
        <w:t xml:space="preserve">and </w:t>
      </w:r>
      <w:r w:rsidR="00645418" w:rsidRPr="00601EB3">
        <w:rPr>
          <w:rFonts w:ascii="Times New Roman" w:eastAsia="Times New Roman" w:hAnsi="Times New Roman" w:cs="Times New Roman"/>
          <w:sz w:val="20"/>
          <w:szCs w:val="20"/>
        </w:rPr>
        <w:t>VEGF-A</w:t>
      </w:r>
      <w:r w:rsidR="00F64623" w:rsidRPr="00601EB3">
        <w:rPr>
          <w:rFonts w:ascii="Times New Roman" w:eastAsia="Times New Roman" w:hAnsi="Times New Roman" w:cs="Times New Roman"/>
          <w:sz w:val="20"/>
          <w:szCs w:val="20"/>
        </w:rPr>
        <w:t xml:space="preserve"> was positive</w:t>
      </w:r>
      <w:r w:rsidR="00D177BE" w:rsidRPr="00601EB3">
        <w:rPr>
          <w:rFonts w:ascii="Times New Roman" w:eastAsia="Times New Roman" w:hAnsi="Times New Roman" w:cs="Times New Roman"/>
          <w:sz w:val="20"/>
          <w:szCs w:val="20"/>
        </w:rPr>
        <w:t xml:space="preserve"> in 64.8% with a</w:t>
      </w:r>
      <w:r w:rsidR="00D67228">
        <w:rPr>
          <w:rFonts w:ascii="Times New Roman" w:eastAsia="Times New Roman" w:hAnsi="Times New Roman" w:cs="Times New Roman"/>
          <w:sz w:val="20"/>
          <w:szCs w:val="20"/>
        </w:rPr>
        <w:t xml:space="preserve"> </w:t>
      </w:r>
      <w:r w:rsidR="003E75A8" w:rsidRPr="00601EB3">
        <w:rPr>
          <w:rFonts w:ascii="Times New Roman" w:eastAsia="Times New Roman" w:hAnsi="Times New Roman" w:cs="Times New Roman"/>
          <w:sz w:val="20"/>
          <w:szCs w:val="20"/>
        </w:rPr>
        <w:t>(</w:t>
      </w:r>
      <w:r w:rsidR="00D177BE" w:rsidRPr="00601EB3">
        <w:rPr>
          <w:rFonts w:ascii="Times New Roman" w:eastAsia="Times New Roman" w:hAnsi="Times New Roman" w:cs="Times New Roman"/>
          <w:sz w:val="20"/>
          <w:szCs w:val="20"/>
        </w:rPr>
        <w:t>P=0.038</w:t>
      </w:r>
      <w:r w:rsidR="003E75A8" w:rsidRPr="00601EB3">
        <w:rPr>
          <w:rFonts w:ascii="Times New Roman" w:eastAsia="Times New Roman" w:hAnsi="Times New Roman" w:cs="Times New Roman"/>
          <w:sz w:val="20"/>
          <w:szCs w:val="20"/>
        </w:rPr>
        <w:t>)</w:t>
      </w:r>
      <w:r w:rsidR="00F64623" w:rsidRPr="00601EB3">
        <w:rPr>
          <w:rFonts w:ascii="Times New Roman" w:eastAsia="Times New Roman" w:hAnsi="Times New Roman" w:cs="Times New Roman"/>
          <w:sz w:val="20"/>
          <w:szCs w:val="20"/>
        </w:rPr>
        <w:t>. Also</w:t>
      </w:r>
      <w:r w:rsidR="00793C86" w:rsidRPr="00601EB3">
        <w:rPr>
          <w:rFonts w:ascii="Times New Roman" w:eastAsia="Times New Roman" w:hAnsi="Times New Roman" w:cs="Times New Roman"/>
          <w:sz w:val="20"/>
          <w:szCs w:val="20"/>
        </w:rPr>
        <w:t>, different autho</w:t>
      </w:r>
      <w:r w:rsidR="0029189B" w:rsidRPr="00601EB3">
        <w:rPr>
          <w:rFonts w:ascii="Times New Roman" w:eastAsia="Times New Roman" w:hAnsi="Times New Roman" w:cs="Times New Roman"/>
          <w:sz w:val="20"/>
          <w:szCs w:val="20"/>
        </w:rPr>
        <w:t>rs,</w:t>
      </w:r>
      <w:r w:rsidR="00D67228">
        <w:rPr>
          <w:rFonts w:ascii="Times New Roman" w:eastAsia="Times New Roman" w:hAnsi="Times New Roman" w:cs="Times New Roman"/>
          <w:sz w:val="20"/>
          <w:szCs w:val="20"/>
        </w:rPr>
        <w:t xml:space="preserve"> </w:t>
      </w:r>
      <w:r w:rsidR="00645418" w:rsidRPr="00601EB3">
        <w:rPr>
          <w:rFonts w:ascii="Times New Roman" w:eastAsia="Times New Roman" w:hAnsi="Times New Roman" w:cs="Times New Roman"/>
          <w:sz w:val="20"/>
          <w:szCs w:val="20"/>
        </w:rPr>
        <w:t>found</w:t>
      </w:r>
      <w:r w:rsidR="00D67228">
        <w:rPr>
          <w:rFonts w:ascii="Times New Roman" w:eastAsia="Times New Roman" w:hAnsi="Times New Roman" w:cs="Times New Roman"/>
          <w:sz w:val="20"/>
          <w:szCs w:val="20"/>
        </w:rPr>
        <w:t xml:space="preserve"> </w:t>
      </w:r>
      <w:r w:rsidR="00F64623" w:rsidRPr="00601EB3">
        <w:rPr>
          <w:rFonts w:ascii="Times New Roman" w:eastAsia="Times New Roman" w:hAnsi="Times New Roman" w:cs="Times New Roman"/>
          <w:sz w:val="20"/>
          <w:szCs w:val="20"/>
        </w:rPr>
        <w:t xml:space="preserve">that </w:t>
      </w:r>
      <w:r w:rsidR="00645418" w:rsidRPr="00601EB3">
        <w:rPr>
          <w:rFonts w:ascii="Times New Roman" w:eastAsia="Times New Roman" w:hAnsi="Times New Roman" w:cs="Times New Roman"/>
          <w:sz w:val="20"/>
          <w:szCs w:val="20"/>
        </w:rPr>
        <w:t xml:space="preserve">VEGF expression </w:t>
      </w:r>
      <w:r w:rsidR="00F64623" w:rsidRPr="00601EB3">
        <w:rPr>
          <w:rFonts w:ascii="Times New Roman" w:eastAsia="Times New Roman" w:hAnsi="Times New Roman" w:cs="Times New Roman"/>
          <w:sz w:val="20"/>
          <w:szCs w:val="20"/>
        </w:rPr>
        <w:t xml:space="preserve">was positive </w:t>
      </w:r>
      <w:r w:rsidR="00645418" w:rsidRPr="00601EB3">
        <w:rPr>
          <w:rFonts w:ascii="Times New Roman" w:eastAsia="Times New Roman" w:hAnsi="Times New Roman" w:cs="Times New Roman"/>
          <w:sz w:val="20"/>
          <w:szCs w:val="20"/>
        </w:rPr>
        <w:t xml:space="preserve">in </w:t>
      </w:r>
      <w:r w:rsidR="00F64623" w:rsidRPr="00601EB3">
        <w:rPr>
          <w:rFonts w:ascii="Times New Roman" w:eastAsia="Times New Roman" w:hAnsi="Times New Roman" w:cs="Times New Roman"/>
          <w:sz w:val="20"/>
          <w:szCs w:val="20"/>
        </w:rPr>
        <w:t xml:space="preserve">70% and was </w:t>
      </w:r>
      <w:r w:rsidR="00645418" w:rsidRPr="00601EB3">
        <w:rPr>
          <w:rFonts w:ascii="Times New Roman" w:eastAsia="Times New Roman" w:hAnsi="Times New Roman" w:cs="Times New Roman"/>
          <w:sz w:val="20"/>
          <w:szCs w:val="20"/>
        </w:rPr>
        <w:t xml:space="preserve">strong </w:t>
      </w:r>
      <w:r w:rsidR="00F64623" w:rsidRPr="00601EB3">
        <w:rPr>
          <w:rFonts w:ascii="Times New Roman" w:eastAsia="Times New Roman" w:hAnsi="Times New Roman" w:cs="Times New Roman"/>
          <w:sz w:val="20"/>
          <w:szCs w:val="20"/>
        </w:rPr>
        <w:t xml:space="preserve">positive </w:t>
      </w:r>
      <w:r w:rsidR="00645418" w:rsidRPr="00601EB3">
        <w:rPr>
          <w:rFonts w:ascii="Times New Roman" w:eastAsia="Times New Roman" w:hAnsi="Times New Roman" w:cs="Times New Roman"/>
          <w:sz w:val="20"/>
          <w:szCs w:val="20"/>
        </w:rPr>
        <w:t xml:space="preserve">in 8% among B-cell lymphoma group, </w:t>
      </w:r>
      <w:r w:rsidR="00F64623" w:rsidRPr="00601EB3">
        <w:rPr>
          <w:rFonts w:ascii="Times New Roman" w:eastAsia="Times New Roman" w:hAnsi="Times New Roman" w:cs="Times New Roman"/>
          <w:sz w:val="20"/>
          <w:szCs w:val="20"/>
        </w:rPr>
        <w:t xml:space="preserve">also </w:t>
      </w:r>
      <w:r w:rsidR="00645418" w:rsidRPr="00601EB3">
        <w:rPr>
          <w:rFonts w:ascii="Times New Roman" w:eastAsia="Times New Roman" w:hAnsi="Times New Roman" w:cs="Times New Roman"/>
          <w:sz w:val="20"/>
          <w:szCs w:val="20"/>
        </w:rPr>
        <w:t xml:space="preserve">COX2 was expressed in 8% and so strong VEGF expression correlated with </w:t>
      </w:r>
      <w:r w:rsidR="00F64623" w:rsidRPr="00601EB3">
        <w:rPr>
          <w:rFonts w:ascii="Times New Roman" w:eastAsia="Times New Roman" w:hAnsi="Times New Roman" w:cs="Times New Roman"/>
          <w:sz w:val="20"/>
          <w:szCs w:val="20"/>
        </w:rPr>
        <w:t>COX2 expression (</w:t>
      </w:r>
      <w:r w:rsidR="001E4808" w:rsidRPr="00601EB3">
        <w:rPr>
          <w:rFonts w:ascii="Times New Roman" w:eastAsia="Times New Roman" w:hAnsi="Times New Roman" w:cs="Times New Roman"/>
          <w:sz w:val="20"/>
          <w:szCs w:val="20"/>
        </w:rPr>
        <w:t>P</w:t>
      </w:r>
      <w:r w:rsidR="0029189B" w:rsidRPr="00601EB3">
        <w:rPr>
          <w:rFonts w:ascii="Times New Roman" w:eastAsia="Times New Roman" w:hAnsi="Times New Roman" w:cs="Times New Roman"/>
          <w:sz w:val="20"/>
          <w:szCs w:val="20"/>
        </w:rPr>
        <w:t>=0.012) [19].</w:t>
      </w:r>
      <w:r w:rsidR="00645418" w:rsidRPr="00601EB3">
        <w:rPr>
          <w:rFonts w:ascii="Times New Roman" w:eastAsia="Times New Roman" w:hAnsi="Times New Roman" w:cs="Times New Roman"/>
          <w:sz w:val="20"/>
          <w:szCs w:val="20"/>
        </w:rPr>
        <w:t xml:space="preserve"> Several in situ studies have been performed on small paraffin-embedded B cell lymphoma series to assess tumor angiogenesis and expression of VEGF and COX2, with somewhat controversial results </w:t>
      </w:r>
      <w:r w:rsidR="00A91B98" w:rsidRPr="00601EB3">
        <w:rPr>
          <w:rFonts w:ascii="Times New Roman" w:eastAsia="Times New Roman" w:hAnsi="Times New Roman" w:cs="Times New Roman"/>
          <w:bCs/>
          <w:sz w:val="20"/>
          <w:szCs w:val="20"/>
        </w:rPr>
        <w:t>[19]</w:t>
      </w:r>
      <w:r w:rsidR="006F0691" w:rsidRPr="00601EB3">
        <w:rPr>
          <w:rFonts w:ascii="Times New Roman" w:eastAsia="Times New Roman" w:hAnsi="Times New Roman" w:cs="Times New Roman"/>
          <w:bCs/>
          <w:sz w:val="20"/>
          <w:szCs w:val="20"/>
        </w:rPr>
        <w:t>.</w:t>
      </w:r>
      <w:r w:rsidR="00D67228">
        <w:rPr>
          <w:rFonts w:ascii="Times New Roman" w:eastAsia="Times New Roman" w:hAnsi="Times New Roman" w:cs="Times New Roman"/>
          <w:bCs/>
          <w:sz w:val="20"/>
          <w:szCs w:val="20"/>
        </w:rPr>
        <w:t xml:space="preserve"> </w:t>
      </w:r>
      <w:r w:rsidR="00645418" w:rsidRPr="00601EB3">
        <w:rPr>
          <w:rFonts w:ascii="Times New Roman" w:eastAsia="Times New Roman" w:hAnsi="Times New Roman" w:cs="Times New Roman"/>
          <w:sz w:val="20"/>
          <w:szCs w:val="20"/>
        </w:rPr>
        <w:t>Generally</w:t>
      </w:r>
      <w:r w:rsidR="002D18A2" w:rsidRPr="00601EB3">
        <w:rPr>
          <w:rFonts w:ascii="Times New Roman" w:eastAsia="Times New Roman" w:hAnsi="Times New Roman" w:cs="Times New Roman"/>
          <w:sz w:val="20"/>
          <w:szCs w:val="20"/>
        </w:rPr>
        <w:t>,</w:t>
      </w:r>
      <w:r w:rsidR="00D67228">
        <w:rPr>
          <w:rFonts w:ascii="Times New Roman" w:eastAsia="Times New Roman" w:hAnsi="Times New Roman" w:cs="Times New Roman"/>
          <w:sz w:val="20"/>
          <w:szCs w:val="20"/>
        </w:rPr>
        <w:t xml:space="preserve"> </w:t>
      </w:r>
      <w:r w:rsidR="00645418" w:rsidRPr="00601EB3">
        <w:rPr>
          <w:rFonts w:ascii="Times New Roman" w:eastAsia="Times New Roman" w:hAnsi="Times New Roman" w:cs="Times New Roman"/>
          <w:sz w:val="20"/>
          <w:szCs w:val="20"/>
        </w:rPr>
        <w:t xml:space="preserve">correlations between VEGF-A and Cox-2 were detected. These correlations show and </w:t>
      </w:r>
      <w:proofErr w:type="spellStart"/>
      <w:r w:rsidR="00645418" w:rsidRPr="00601EB3">
        <w:rPr>
          <w:rFonts w:ascii="Times New Roman" w:eastAsia="Times New Roman" w:hAnsi="Times New Roman" w:cs="Times New Roman"/>
          <w:sz w:val="20"/>
          <w:szCs w:val="20"/>
        </w:rPr>
        <w:t>conﬁrm</w:t>
      </w:r>
      <w:proofErr w:type="spellEnd"/>
      <w:r w:rsidR="00645418" w:rsidRPr="00601EB3">
        <w:rPr>
          <w:rFonts w:ascii="Times New Roman" w:eastAsia="Times New Roman" w:hAnsi="Times New Roman" w:cs="Times New Roman"/>
          <w:sz w:val="20"/>
          <w:szCs w:val="20"/>
        </w:rPr>
        <w:t xml:space="preserve"> the strong prognostic value of VEGF-A and complex interaction with </w:t>
      </w:r>
      <w:proofErr w:type="spellStart"/>
      <w:r w:rsidR="00645418" w:rsidRPr="00601EB3">
        <w:rPr>
          <w:rFonts w:ascii="Times New Roman" w:eastAsia="Times New Roman" w:hAnsi="Times New Roman" w:cs="Times New Roman"/>
          <w:sz w:val="20"/>
          <w:szCs w:val="20"/>
        </w:rPr>
        <w:t>inﬂammatory</w:t>
      </w:r>
      <w:proofErr w:type="spellEnd"/>
      <w:r w:rsidR="00645418" w:rsidRPr="00601EB3">
        <w:rPr>
          <w:rFonts w:ascii="Times New Roman" w:eastAsia="Times New Roman" w:hAnsi="Times New Roman" w:cs="Times New Roman"/>
          <w:sz w:val="20"/>
          <w:szCs w:val="20"/>
        </w:rPr>
        <w:t xml:space="preserve"> signals </w:t>
      </w:r>
      <w:r w:rsidR="00B0150C" w:rsidRPr="00601EB3">
        <w:rPr>
          <w:rFonts w:ascii="Times New Roman" w:eastAsia="Times New Roman" w:hAnsi="Times New Roman" w:cs="Times New Roman"/>
          <w:sz w:val="20"/>
          <w:szCs w:val="20"/>
        </w:rPr>
        <w:t xml:space="preserve">of </w:t>
      </w:r>
      <w:r w:rsidR="00645418" w:rsidRPr="00601EB3">
        <w:rPr>
          <w:rFonts w:ascii="Times New Roman" w:eastAsia="Times New Roman" w:hAnsi="Times New Roman" w:cs="Times New Roman"/>
          <w:sz w:val="20"/>
          <w:szCs w:val="20"/>
        </w:rPr>
        <w:t xml:space="preserve">COX2 </w:t>
      </w:r>
      <w:r w:rsidR="006F0691" w:rsidRPr="00601EB3">
        <w:rPr>
          <w:rFonts w:ascii="Times New Roman" w:hAnsi="Times New Roman" w:cs="Times New Roman"/>
          <w:bCs/>
          <w:sz w:val="20"/>
          <w:szCs w:val="20"/>
        </w:rPr>
        <w:t>[13]</w:t>
      </w:r>
      <w:r w:rsidR="00645418" w:rsidRPr="00601EB3">
        <w:rPr>
          <w:rFonts w:ascii="Times New Roman" w:eastAsia="Times New Roman" w:hAnsi="Times New Roman" w:cs="Times New Roman"/>
          <w:bCs/>
          <w:sz w:val="20"/>
          <w:szCs w:val="20"/>
        </w:rPr>
        <w:t>.</w:t>
      </w:r>
      <w:r w:rsidR="00645418" w:rsidRPr="00601EB3">
        <w:rPr>
          <w:rFonts w:ascii="Times New Roman" w:eastAsia="Times New Roman" w:hAnsi="Times New Roman" w:cs="Times New Roman"/>
          <w:sz w:val="20"/>
          <w:szCs w:val="20"/>
        </w:rPr>
        <w:t>However this correlation wasn’t approve</w:t>
      </w:r>
      <w:r w:rsidR="00B0150C" w:rsidRPr="00601EB3">
        <w:rPr>
          <w:rFonts w:ascii="Times New Roman" w:eastAsia="Times New Roman" w:hAnsi="Times New Roman" w:cs="Times New Roman"/>
          <w:sz w:val="20"/>
          <w:szCs w:val="20"/>
        </w:rPr>
        <w:t>d</w:t>
      </w:r>
      <w:r w:rsidR="00645418" w:rsidRPr="00601EB3">
        <w:rPr>
          <w:rFonts w:ascii="Times New Roman" w:eastAsia="Times New Roman" w:hAnsi="Times New Roman" w:cs="Times New Roman"/>
          <w:sz w:val="20"/>
          <w:szCs w:val="20"/>
        </w:rPr>
        <w:t xml:space="preserve"> in our study</w:t>
      </w:r>
      <w:r w:rsidR="00B0150C" w:rsidRPr="00601EB3">
        <w:rPr>
          <w:rFonts w:ascii="Times New Roman" w:eastAsia="Times New Roman" w:hAnsi="Times New Roman" w:cs="Times New Roman"/>
          <w:sz w:val="20"/>
          <w:szCs w:val="20"/>
        </w:rPr>
        <w:t>,</w:t>
      </w:r>
      <w:r w:rsidR="00645418" w:rsidRPr="00601EB3">
        <w:rPr>
          <w:rFonts w:ascii="Times New Roman" w:eastAsia="Times New Roman" w:hAnsi="Times New Roman" w:cs="Times New Roman"/>
          <w:sz w:val="20"/>
          <w:szCs w:val="20"/>
        </w:rPr>
        <w:t xml:space="preserve"> may</w:t>
      </w:r>
      <w:r w:rsidR="00B0150C" w:rsidRPr="00601EB3">
        <w:rPr>
          <w:rFonts w:ascii="Times New Roman" w:eastAsia="Times New Roman" w:hAnsi="Times New Roman" w:cs="Times New Roman"/>
          <w:sz w:val="20"/>
          <w:szCs w:val="20"/>
        </w:rPr>
        <w:t xml:space="preserve"> be</w:t>
      </w:r>
      <w:r w:rsidR="00645418" w:rsidRPr="00601EB3">
        <w:rPr>
          <w:rFonts w:ascii="Times New Roman" w:eastAsia="Times New Roman" w:hAnsi="Times New Roman" w:cs="Times New Roman"/>
          <w:sz w:val="20"/>
          <w:szCs w:val="20"/>
        </w:rPr>
        <w:t xml:space="preserve"> due to geographical and ethnic variation among the studied groups or may</w:t>
      </w:r>
      <w:r w:rsidR="00B0150C" w:rsidRPr="00601EB3">
        <w:rPr>
          <w:rFonts w:ascii="Times New Roman" w:eastAsia="Times New Roman" w:hAnsi="Times New Roman" w:cs="Times New Roman"/>
          <w:sz w:val="20"/>
          <w:szCs w:val="20"/>
        </w:rPr>
        <w:t xml:space="preserve"> be</w:t>
      </w:r>
      <w:r w:rsidR="00645418" w:rsidRPr="00601EB3">
        <w:rPr>
          <w:rFonts w:ascii="Times New Roman" w:eastAsia="Times New Roman" w:hAnsi="Times New Roman" w:cs="Times New Roman"/>
          <w:sz w:val="20"/>
          <w:szCs w:val="20"/>
        </w:rPr>
        <w:t xml:space="preserve"> due</w:t>
      </w:r>
      <w:r w:rsidR="00B0150C" w:rsidRPr="00601EB3">
        <w:rPr>
          <w:rFonts w:ascii="Times New Roman" w:eastAsia="Times New Roman" w:hAnsi="Times New Roman" w:cs="Times New Roman"/>
          <w:sz w:val="20"/>
          <w:szCs w:val="20"/>
        </w:rPr>
        <w:t xml:space="preserve"> to</w:t>
      </w:r>
      <w:r w:rsidR="00645418" w:rsidRPr="00601EB3">
        <w:rPr>
          <w:rFonts w:ascii="Times New Roman" w:eastAsia="Times New Roman" w:hAnsi="Times New Roman" w:cs="Times New Roman"/>
          <w:sz w:val="20"/>
          <w:szCs w:val="20"/>
        </w:rPr>
        <w:t xml:space="preserve"> technical variation of the studied method and the sample size, that need to be verified in a larger group</w:t>
      </w:r>
      <w:r w:rsidR="00B0150C" w:rsidRPr="00601EB3">
        <w:rPr>
          <w:rFonts w:ascii="Times New Roman" w:eastAsia="Times New Roman" w:hAnsi="Times New Roman" w:cs="Times New Roman"/>
          <w:sz w:val="20"/>
          <w:szCs w:val="20"/>
        </w:rPr>
        <w:t>,</w:t>
      </w:r>
      <w:r w:rsidR="00645418" w:rsidRPr="00601EB3">
        <w:rPr>
          <w:rFonts w:ascii="Times New Roman" w:eastAsia="Times New Roman" w:hAnsi="Times New Roman" w:cs="Times New Roman"/>
          <w:sz w:val="20"/>
          <w:szCs w:val="20"/>
        </w:rPr>
        <w:t xml:space="preserve"> as the association between </w:t>
      </w:r>
      <w:proofErr w:type="spellStart"/>
      <w:r w:rsidR="00645418" w:rsidRPr="00601EB3">
        <w:rPr>
          <w:rFonts w:ascii="Times New Roman" w:eastAsia="Times New Roman" w:hAnsi="Times New Roman" w:cs="Times New Roman"/>
          <w:sz w:val="20"/>
          <w:szCs w:val="20"/>
        </w:rPr>
        <w:t>angiogenic</w:t>
      </w:r>
      <w:proofErr w:type="spellEnd"/>
      <w:r w:rsidR="00645418" w:rsidRPr="00601EB3">
        <w:rPr>
          <w:rFonts w:ascii="Times New Roman" w:eastAsia="Times New Roman" w:hAnsi="Times New Roman" w:cs="Times New Roman"/>
          <w:sz w:val="20"/>
          <w:szCs w:val="20"/>
        </w:rPr>
        <w:t xml:space="preserve"> factors and </w:t>
      </w:r>
      <w:r w:rsidR="00ED4935" w:rsidRPr="00601EB3">
        <w:rPr>
          <w:rFonts w:ascii="Times New Roman" w:eastAsia="Times New Roman" w:hAnsi="Times New Roman" w:cs="Times New Roman"/>
          <w:sz w:val="20"/>
          <w:szCs w:val="20"/>
        </w:rPr>
        <w:t>COX2</w:t>
      </w:r>
      <w:r w:rsidR="00645418" w:rsidRPr="00601EB3">
        <w:rPr>
          <w:rFonts w:ascii="Times New Roman" w:eastAsia="Times New Roman" w:hAnsi="Times New Roman" w:cs="Times New Roman"/>
          <w:sz w:val="20"/>
          <w:szCs w:val="20"/>
        </w:rPr>
        <w:t xml:space="preserve"> may lead to development of com</w:t>
      </w:r>
      <w:r w:rsidR="002D18A2" w:rsidRPr="00601EB3">
        <w:rPr>
          <w:rFonts w:ascii="Times New Roman" w:eastAsia="Times New Roman" w:hAnsi="Times New Roman" w:cs="Times New Roman"/>
          <w:sz w:val="20"/>
          <w:szCs w:val="20"/>
        </w:rPr>
        <w:t>bination therapeutic strategy for</w:t>
      </w:r>
      <w:r w:rsidR="00D67228">
        <w:rPr>
          <w:rFonts w:ascii="Times New Roman" w:eastAsia="Times New Roman" w:hAnsi="Times New Roman" w:cs="Times New Roman"/>
          <w:sz w:val="20"/>
          <w:szCs w:val="20"/>
        </w:rPr>
        <w:t xml:space="preserve"> </w:t>
      </w:r>
      <w:r w:rsidR="002D18A2" w:rsidRPr="00601EB3">
        <w:rPr>
          <w:rFonts w:ascii="Times New Roman" w:eastAsia="Times New Roman" w:hAnsi="Times New Roman" w:cs="Times New Roman"/>
          <w:sz w:val="20"/>
          <w:szCs w:val="20"/>
        </w:rPr>
        <w:t>modifying</w:t>
      </w:r>
      <w:r w:rsidR="00D67228">
        <w:rPr>
          <w:rFonts w:ascii="Times New Roman" w:eastAsia="Times New Roman" w:hAnsi="Times New Roman" w:cs="Times New Roman"/>
          <w:sz w:val="20"/>
          <w:szCs w:val="20"/>
        </w:rPr>
        <w:t xml:space="preserve"> </w:t>
      </w:r>
      <w:r w:rsidR="002012AB" w:rsidRPr="00601EB3">
        <w:rPr>
          <w:rFonts w:ascii="Times New Roman" w:eastAsia="Times New Roman" w:hAnsi="Times New Roman" w:cs="Times New Roman"/>
          <w:sz w:val="20"/>
          <w:szCs w:val="20"/>
        </w:rPr>
        <w:t>treatment</w:t>
      </w:r>
      <w:r w:rsidR="002D18A2" w:rsidRPr="00601EB3">
        <w:rPr>
          <w:rFonts w:ascii="Times New Roman" w:eastAsia="Times New Roman" w:hAnsi="Times New Roman" w:cs="Times New Roman"/>
          <w:sz w:val="20"/>
          <w:szCs w:val="20"/>
        </w:rPr>
        <w:t xml:space="preserve"> in</w:t>
      </w:r>
      <w:r w:rsidR="00645418" w:rsidRPr="00601EB3">
        <w:rPr>
          <w:rFonts w:ascii="Times New Roman" w:eastAsia="Times New Roman" w:hAnsi="Times New Roman" w:cs="Times New Roman"/>
          <w:sz w:val="20"/>
          <w:szCs w:val="20"/>
        </w:rPr>
        <w:t xml:space="preserve"> NHL.</w:t>
      </w:r>
    </w:p>
    <w:p w:rsidR="00B2697C" w:rsidRPr="00601EB3" w:rsidRDefault="00645418" w:rsidP="00D67228">
      <w:pPr>
        <w:shd w:val="clear" w:color="auto" w:fill="FFFFFF"/>
        <w:bidi w:val="0"/>
        <w:adjustRightInd w:val="0"/>
        <w:snapToGrid w:val="0"/>
        <w:spacing w:after="0" w:line="240" w:lineRule="auto"/>
        <w:ind w:firstLine="425"/>
        <w:jc w:val="both"/>
        <w:outlineLvl w:val="0"/>
        <w:rPr>
          <w:rFonts w:ascii="Times New Roman" w:eastAsia="Times New Roman" w:hAnsi="Times New Roman" w:cs="Times New Roman"/>
          <w:sz w:val="20"/>
          <w:szCs w:val="20"/>
        </w:rPr>
      </w:pPr>
      <w:r w:rsidRPr="00601EB3">
        <w:rPr>
          <w:rFonts w:ascii="Times New Roman" w:hAnsi="Times New Roman" w:cs="Times New Roman"/>
          <w:sz w:val="20"/>
          <w:szCs w:val="20"/>
        </w:rPr>
        <w:t xml:space="preserve">The results of </w:t>
      </w:r>
      <w:r w:rsidR="000D756F" w:rsidRPr="00601EB3">
        <w:rPr>
          <w:rFonts w:ascii="Times New Roman" w:hAnsi="Times New Roman" w:cs="Times New Roman"/>
          <w:sz w:val="20"/>
          <w:szCs w:val="20"/>
        </w:rPr>
        <w:t>our</w:t>
      </w:r>
      <w:r w:rsidRPr="00601EB3">
        <w:rPr>
          <w:rFonts w:ascii="Times New Roman" w:hAnsi="Times New Roman" w:cs="Times New Roman"/>
          <w:sz w:val="20"/>
          <w:szCs w:val="20"/>
        </w:rPr>
        <w:t xml:space="preserve"> study demonstrated lack of </w:t>
      </w:r>
      <w:r w:rsidR="000D756F" w:rsidRPr="00601EB3">
        <w:rPr>
          <w:rFonts w:ascii="Times New Roman" w:hAnsi="Times New Roman" w:cs="Times New Roman"/>
          <w:sz w:val="20"/>
          <w:szCs w:val="20"/>
        </w:rPr>
        <w:t xml:space="preserve">a </w:t>
      </w:r>
      <w:r w:rsidRPr="00601EB3">
        <w:rPr>
          <w:rFonts w:ascii="Times New Roman" w:hAnsi="Times New Roman" w:cs="Times New Roman"/>
          <w:sz w:val="20"/>
          <w:szCs w:val="20"/>
        </w:rPr>
        <w:t>significant association between VEGF-A expression</w:t>
      </w:r>
      <w:r w:rsidR="00601EB3">
        <w:rPr>
          <w:rFonts w:ascii="Times New Roman" w:hAnsi="Times New Roman" w:cs="Times New Roman"/>
          <w:sz w:val="20"/>
          <w:szCs w:val="20"/>
        </w:rPr>
        <w:t xml:space="preserve"> </w:t>
      </w:r>
      <w:r w:rsidRPr="00601EB3">
        <w:rPr>
          <w:rFonts w:ascii="Times New Roman" w:hAnsi="Times New Roman" w:cs="Times New Roman"/>
          <w:sz w:val="20"/>
          <w:szCs w:val="20"/>
        </w:rPr>
        <w:t xml:space="preserve">and the </w:t>
      </w:r>
      <w:proofErr w:type="spellStart"/>
      <w:r w:rsidRPr="00601EB3">
        <w:rPr>
          <w:rFonts w:ascii="Times New Roman" w:hAnsi="Times New Roman" w:cs="Times New Roman"/>
          <w:sz w:val="20"/>
          <w:szCs w:val="20"/>
        </w:rPr>
        <w:t>clinico</w:t>
      </w:r>
      <w:proofErr w:type="spellEnd"/>
      <w:r w:rsidRPr="00601EB3">
        <w:rPr>
          <w:rFonts w:ascii="Times New Roman" w:hAnsi="Times New Roman" w:cs="Times New Roman"/>
          <w:sz w:val="20"/>
          <w:szCs w:val="20"/>
        </w:rPr>
        <w:t>-pathologic features of B-NHL</w:t>
      </w:r>
      <w:r w:rsidR="000D756F" w:rsidRPr="00601EB3">
        <w:rPr>
          <w:rFonts w:ascii="Times New Roman" w:hAnsi="Times New Roman" w:cs="Times New Roman"/>
          <w:sz w:val="20"/>
          <w:szCs w:val="20"/>
        </w:rPr>
        <w:t>,</w:t>
      </w:r>
      <w:r w:rsidRPr="00601EB3">
        <w:rPr>
          <w:rFonts w:ascii="Times New Roman" w:hAnsi="Times New Roman" w:cs="Times New Roman"/>
          <w:sz w:val="20"/>
          <w:szCs w:val="20"/>
        </w:rPr>
        <w:t xml:space="preserve"> as well as the studied standard prognostic factors including age, sex, </w:t>
      </w:r>
      <w:proofErr w:type="spellStart"/>
      <w:r w:rsidRPr="00601EB3">
        <w:rPr>
          <w:rFonts w:ascii="Times New Roman" w:hAnsi="Times New Roman" w:cs="Times New Roman"/>
          <w:sz w:val="20"/>
          <w:szCs w:val="20"/>
        </w:rPr>
        <w:t>organomegaly</w:t>
      </w:r>
      <w:proofErr w:type="spellEnd"/>
      <w:r w:rsidRPr="00601EB3">
        <w:rPr>
          <w:rFonts w:ascii="Times New Roman" w:hAnsi="Times New Roman" w:cs="Times New Roman"/>
          <w:sz w:val="20"/>
          <w:szCs w:val="20"/>
        </w:rPr>
        <w:t>,</w:t>
      </w:r>
      <w:r w:rsidR="00601EB3">
        <w:rPr>
          <w:rFonts w:ascii="Times New Roman" w:hAnsi="Times New Roman" w:cs="Times New Roman"/>
          <w:sz w:val="20"/>
          <w:szCs w:val="20"/>
        </w:rPr>
        <w:t xml:space="preserve"> </w:t>
      </w:r>
      <w:proofErr w:type="spellStart"/>
      <w:r w:rsidRPr="00601EB3">
        <w:rPr>
          <w:rFonts w:ascii="Times New Roman" w:hAnsi="Times New Roman" w:cs="Times New Roman"/>
          <w:sz w:val="20"/>
          <w:szCs w:val="20"/>
        </w:rPr>
        <w:t>lymphadenopathy</w:t>
      </w:r>
      <w:proofErr w:type="spellEnd"/>
      <w:r w:rsidRPr="00601EB3">
        <w:rPr>
          <w:rFonts w:ascii="Times New Roman" w:hAnsi="Times New Roman" w:cs="Times New Roman"/>
          <w:sz w:val="20"/>
          <w:szCs w:val="20"/>
        </w:rPr>
        <w:t xml:space="preserve">, B symptoms, pathological subtypes, WBC count, </w:t>
      </w:r>
      <w:proofErr w:type="spellStart"/>
      <w:r w:rsidR="000D756F" w:rsidRPr="00601EB3">
        <w:rPr>
          <w:rFonts w:ascii="Times New Roman" w:hAnsi="Times New Roman" w:cs="Times New Roman"/>
          <w:sz w:val="20"/>
          <w:szCs w:val="20"/>
        </w:rPr>
        <w:t>Hb</w:t>
      </w:r>
      <w:proofErr w:type="spellEnd"/>
      <w:r w:rsidRPr="00601EB3">
        <w:rPr>
          <w:rFonts w:ascii="Times New Roman" w:hAnsi="Times New Roman" w:cs="Times New Roman"/>
          <w:sz w:val="20"/>
          <w:szCs w:val="20"/>
        </w:rPr>
        <w:t xml:space="preserve"> level, </w:t>
      </w:r>
      <w:proofErr w:type="spellStart"/>
      <w:r w:rsidR="000D756F" w:rsidRPr="00601EB3">
        <w:rPr>
          <w:rFonts w:ascii="Times New Roman" w:hAnsi="Times New Roman" w:cs="Times New Roman"/>
          <w:sz w:val="20"/>
          <w:szCs w:val="20"/>
        </w:rPr>
        <w:t>PLTs</w:t>
      </w:r>
      <w:proofErr w:type="spellEnd"/>
      <w:r w:rsidRPr="00601EB3">
        <w:rPr>
          <w:rFonts w:ascii="Times New Roman" w:hAnsi="Times New Roman" w:cs="Times New Roman"/>
          <w:sz w:val="20"/>
          <w:szCs w:val="20"/>
        </w:rPr>
        <w:t xml:space="preserve"> count and LDH level</w:t>
      </w:r>
      <w:r w:rsidR="004F0947" w:rsidRPr="00601EB3">
        <w:rPr>
          <w:rFonts w:ascii="Times New Roman" w:hAnsi="Times New Roman" w:cs="Times New Roman"/>
          <w:sz w:val="20"/>
          <w:szCs w:val="20"/>
        </w:rPr>
        <w:t xml:space="preserve">. </w:t>
      </w:r>
      <w:r w:rsidR="00F45C7A" w:rsidRPr="00601EB3">
        <w:rPr>
          <w:rFonts w:ascii="Times New Roman" w:hAnsi="Times New Roman" w:cs="Times New Roman"/>
          <w:sz w:val="20"/>
          <w:szCs w:val="20"/>
        </w:rPr>
        <w:t xml:space="preserve">Different studies were </w:t>
      </w:r>
      <w:r w:rsidR="00F45C7A" w:rsidRPr="00601EB3">
        <w:rPr>
          <w:rFonts w:ascii="Times New Roman" w:eastAsia="Times New Roman" w:hAnsi="Times New Roman" w:cs="Times New Roman"/>
          <w:sz w:val="20"/>
          <w:szCs w:val="20"/>
        </w:rPr>
        <w:t>i</w:t>
      </w:r>
      <w:r w:rsidR="004F0947" w:rsidRPr="00601EB3">
        <w:rPr>
          <w:rFonts w:ascii="Times New Roman" w:eastAsia="Times New Roman" w:hAnsi="Times New Roman" w:cs="Times New Roman"/>
          <w:sz w:val="20"/>
          <w:szCs w:val="20"/>
        </w:rPr>
        <w:t>n consistent with our finding</w:t>
      </w:r>
      <w:r w:rsidR="009979EB" w:rsidRPr="00601EB3">
        <w:rPr>
          <w:rFonts w:ascii="Times New Roman" w:eastAsia="Times New Roman" w:hAnsi="Times New Roman" w:cs="Times New Roman"/>
          <w:sz w:val="20"/>
          <w:szCs w:val="20"/>
        </w:rPr>
        <w:t>s</w:t>
      </w:r>
      <w:r w:rsidR="004F0947" w:rsidRPr="00601EB3">
        <w:rPr>
          <w:rFonts w:ascii="Times New Roman" w:eastAsia="Times New Roman" w:hAnsi="Times New Roman" w:cs="Times New Roman"/>
          <w:sz w:val="20"/>
          <w:szCs w:val="20"/>
        </w:rPr>
        <w:t xml:space="preserve">, </w:t>
      </w:r>
      <w:r w:rsidR="00FF4683" w:rsidRPr="00601EB3">
        <w:rPr>
          <w:rFonts w:ascii="Times New Roman" w:eastAsia="Times New Roman" w:hAnsi="Times New Roman" w:cs="Times New Roman"/>
          <w:sz w:val="20"/>
          <w:szCs w:val="20"/>
        </w:rPr>
        <w:t>[</w:t>
      </w:r>
      <w:r w:rsidR="00560362" w:rsidRPr="00601EB3">
        <w:rPr>
          <w:rFonts w:ascii="Times New Roman" w:eastAsia="Times New Roman" w:hAnsi="Times New Roman" w:cs="Times New Roman"/>
          <w:sz w:val="20"/>
          <w:szCs w:val="20"/>
        </w:rPr>
        <w:t>20</w:t>
      </w:r>
      <w:r w:rsidR="00FF4683" w:rsidRPr="00601EB3">
        <w:rPr>
          <w:rFonts w:ascii="Times New Roman" w:eastAsia="Times New Roman" w:hAnsi="Times New Roman" w:cs="Times New Roman"/>
          <w:sz w:val="20"/>
          <w:szCs w:val="20"/>
        </w:rPr>
        <w:t>]</w:t>
      </w:r>
      <w:r w:rsidR="00D41CCD" w:rsidRPr="00601EB3">
        <w:rPr>
          <w:rFonts w:ascii="Times New Roman" w:eastAsia="Times New Roman" w:hAnsi="Times New Roman" w:cs="Times New Roman"/>
          <w:sz w:val="20"/>
          <w:szCs w:val="20"/>
        </w:rPr>
        <w:t xml:space="preserve"> reporting</w:t>
      </w:r>
      <w:r w:rsidR="004F0947" w:rsidRPr="00601EB3">
        <w:rPr>
          <w:rFonts w:ascii="Times New Roman" w:eastAsia="Times New Roman" w:hAnsi="Times New Roman" w:cs="Times New Roman"/>
          <w:sz w:val="20"/>
          <w:szCs w:val="20"/>
        </w:rPr>
        <w:t xml:space="preserve"> that VEGF </w:t>
      </w:r>
      <w:proofErr w:type="spellStart"/>
      <w:r w:rsidR="004F0947" w:rsidRPr="00601EB3">
        <w:rPr>
          <w:rFonts w:ascii="Times New Roman" w:eastAsia="Times New Roman" w:hAnsi="Times New Roman" w:cs="Times New Roman"/>
          <w:sz w:val="20"/>
          <w:szCs w:val="20"/>
        </w:rPr>
        <w:t>overexpression</w:t>
      </w:r>
      <w:proofErr w:type="spellEnd"/>
      <w:r w:rsidR="004F0947" w:rsidRPr="00601EB3">
        <w:rPr>
          <w:rFonts w:ascii="Times New Roman" w:eastAsia="Times New Roman" w:hAnsi="Times New Roman" w:cs="Times New Roman"/>
          <w:sz w:val="20"/>
          <w:szCs w:val="20"/>
        </w:rPr>
        <w:t xml:space="preserve"> did not correlate with performance status, LDH level, IPI score, tumor stagi</w:t>
      </w:r>
      <w:r w:rsidR="009F7FE7" w:rsidRPr="00601EB3">
        <w:rPr>
          <w:rFonts w:ascii="Times New Roman" w:eastAsia="Times New Roman" w:hAnsi="Times New Roman" w:cs="Times New Roman"/>
          <w:sz w:val="20"/>
          <w:szCs w:val="20"/>
        </w:rPr>
        <w:t xml:space="preserve">ng, B symptoms, or NHL relapse, </w:t>
      </w:r>
      <w:r w:rsidR="00560362" w:rsidRPr="00601EB3">
        <w:rPr>
          <w:rFonts w:ascii="Times New Roman" w:eastAsia="Times New Roman" w:hAnsi="Times New Roman" w:cs="Times New Roman"/>
          <w:sz w:val="20"/>
          <w:szCs w:val="20"/>
        </w:rPr>
        <w:t>also</w:t>
      </w:r>
      <w:r w:rsidR="004F0947" w:rsidRPr="00601EB3">
        <w:rPr>
          <w:rFonts w:ascii="Times New Roman" w:eastAsia="Times New Roman" w:hAnsi="Times New Roman" w:cs="Times New Roman"/>
          <w:sz w:val="20"/>
          <w:szCs w:val="20"/>
        </w:rPr>
        <w:t xml:space="preserve"> no association between serum VEGF and</w:t>
      </w:r>
      <w:r w:rsidR="00560362" w:rsidRPr="00601EB3">
        <w:rPr>
          <w:rFonts w:ascii="Times New Roman" w:eastAsia="Times New Roman" w:hAnsi="Times New Roman" w:cs="Times New Roman"/>
          <w:sz w:val="20"/>
          <w:szCs w:val="20"/>
        </w:rPr>
        <w:t xml:space="preserve"> clinical features at diagnosis [21]</w:t>
      </w:r>
      <w:r w:rsidR="009F7FE7" w:rsidRPr="00601EB3">
        <w:rPr>
          <w:rFonts w:ascii="Times New Roman" w:eastAsia="Times New Roman" w:hAnsi="Times New Roman" w:cs="Times New Roman"/>
          <w:sz w:val="20"/>
          <w:szCs w:val="20"/>
        </w:rPr>
        <w:t xml:space="preserve">, and </w:t>
      </w:r>
      <w:r w:rsidR="004F0947" w:rsidRPr="00601EB3">
        <w:rPr>
          <w:rFonts w:ascii="Times New Roman" w:eastAsia="Times New Roman" w:hAnsi="Times New Roman" w:cs="Times New Roman"/>
          <w:sz w:val="20"/>
          <w:szCs w:val="20"/>
        </w:rPr>
        <w:t xml:space="preserve">the clinical prognostic indicators </w:t>
      </w:r>
      <w:r w:rsidR="004F0947" w:rsidRPr="00601EB3">
        <w:rPr>
          <w:rFonts w:ascii="Times New Roman" w:eastAsia="Times New Roman" w:hAnsi="Times New Roman" w:cs="Times New Roman"/>
          <w:sz w:val="20"/>
          <w:szCs w:val="20"/>
        </w:rPr>
        <w:lastRenderedPageBreak/>
        <w:t>were not significantly different b</w:t>
      </w:r>
      <w:r w:rsidR="009F7FE7" w:rsidRPr="00601EB3">
        <w:rPr>
          <w:rFonts w:ascii="Times New Roman" w:eastAsia="Times New Roman" w:hAnsi="Times New Roman" w:cs="Times New Roman"/>
          <w:sz w:val="20"/>
          <w:szCs w:val="20"/>
        </w:rPr>
        <w:t>etween VEGF-A (+) and (-) cases [13].</w:t>
      </w:r>
      <w:r w:rsidR="00D67228">
        <w:rPr>
          <w:rFonts w:ascii="Times New Roman" w:eastAsia="Times New Roman" w:hAnsi="Times New Roman" w:cs="Times New Roman"/>
          <w:sz w:val="20"/>
          <w:szCs w:val="20"/>
        </w:rPr>
        <w:t xml:space="preserve"> </w:t>
      </w:r>
      <w:r w:rsidR="00335482" w:rsidRPr="00601EB3">
        <w:rPr>
          <w:rFonts w:ascii="Times New Roman" w:eastAsia="Times New Roman" w:hAnsi="Times New Roman" w:cs="Times New Roman"/>
          <w:sz w:val="20"/>
          <w:szCs w:val="20"/>
        </w:rPr>
        <w:t>I</w:t>
      </w:r>
      <w:r w:rsidR="009F19A3" w:rsidRPr="00601EB3">
        <w:rPr>
          <w:rFonts w:ascii="Times New Roman" w:eastAsia="Times New Roman" w:hAnsi="Times New Roman" w:cs="Times New Roman"/>
          <w:sz w:val="20"/>
          <w:szCs w:val="20"/>
        </w:rPr>
        <w:t>n addition,</w:t>
      </w:r>
      <w:r w:rsidR="00D67228">
        <w:rPr>
          <w:rFonts w:ascii="Times New Roman" w:eastAsia="Times New Roman" w:hAnsi="Times New Roman" w:cs="Times New Roman"/>
          <w:sz w:val="20"/>
          <w:szCs w:val="20"/>
        </w:rPr>
        <w:t xml:space="preserve"> </w:t>
      </w:r>
      <w:r w:rsidR="005C1C40" w:rsidRPr="00601EB3">
        <w:rPr>
          <w:rFonts w:ascii="Times New Roman" w:eastAsia="Times New Roman" w:hAnsi="Times New Roman" w:cs="Times New Roman"/>
          <w:sz w:val="20"/>
          <w:szCs w:val="20"/>
        </w:rPr>
        <w:t>others</w:t>
      </w:r>
      <w:r w:rsidR="00D67228">
        <w:rPr>
          <w:rFonts w:ascii="Times New Roman" w:eastAsia="Times New Roman" w:hAnsi="Times New Roman" w:cs="Times New Roman"/>
          <w:sz w:val="20"/>
          <w:szCs w:val="20"/>
        </w:rPr>
        <w:t xml:space="preserve"> </w:t>
      </w:r>
      <w:r w:rsidR="004F0947" w:rsidRPr="00601EB3">
        <w:rPr>
          <w:rFonts w:ascii="Times New Roman" w:eastAsia="Times New Roman" w:hAnsi="Times New Roman" w:cs="Times New Roman"/>
          <w:sz w:val="20"/>
          <w:szCs w:val="20"/>
        </w:rPr>
        <w:t>found no significant relationship between VEGF and age, gender, stage, histological grade, IPI, and overall survival</w:t>
      </w:r>
      <w:r w:rsidR="009979EB" w:rsidRPr="00601EB3">
        <w:rPr>
          <w:rFonts w:ascii="Times New Roman" w:eastAsia="Times New Roman" w:hAnsi="Times New Roman" w:cs="Times New Roman"/>
          <w:sz w:val="20"/>
          <w:szCs w:val="20"/>
        </w:rPr>
        <w:t xml:space="preserve"> in 71 patients with NHL</w:t>
      </w:r>
      <w:r w:rsidR="000532CC" w:rsidRPr="00601EB3">
        <w:rPr>
          <w:rFonts w:ascii="Times New Roman" w:eastAsia="Times New Roman" w:hAnsi="Times New Roman" w:cs="Times New Roman"/>
          <w:sz w:val="20"/>
          <w:szCs w:val="20"/>
        </w:rPr>
        <w:t xml:space="preserve"> [15]</w:t>
      </w:r>
      <w:r w:rsidR="00C118F2" w:rsidRPr="00601EB3">
        <w:rPr>
          <w:rFonts w:ascii="Times New Roman" w:eastAsia="Times New Roman" w:hAnsi="Times New Roman" w:cs="Times New Roman"/>
          <w:sz w:val="20"/>
          <w:szCs w:val="20"/>
        </w:rPr>
        <w:t>,</w:t>
      </w:r>
      <w:r w:rsidR="00D67228">
        <w:rPr>
          <w:rFonts w:ascii="Times New Roman" w:eastAsia="Times New Roman" w:hAnsi="Times New Roman" w:cs="Times New Roman"/>
          <w:sz w:val="20"/>
          <w:szCs w:val="20"/>
        </w:rPr>
        <w:t xml:space="preserve"> </w:t>
      </w:r>
      <w:r w:rsidR="00C118F2" w:rsidRPr="00601EB3">
        <w:rPr>
          <w:rFonts w:ascii="Times New Roman" w:eastAsia="Times New Roman" w:hAnsi="Times New Roman" w:cs="Times New Roman"/>
          <w:sz w:val="20"/>
          <w:szCs w:val="20"/>
        </w:rPr>
        <w:t xml:space="preserve">and that </w:t>
      </w:r>
      <w:r w:rsidR="009979EB" w:rsidRPr="00601EB3">
        <w:rPr>
          <w:rFonts w:ascii="Times New Roman" w:eastAsia="Times New Roman" w:hAnsi="Times New Roman" w:cs="Times New Roman"/>
          <w:sz w:val="20"/>
          <w:szCs w:val="20"/>
        </w:rPr>
        <w:t>a</w:t>
      </w:r>
      <w:r w:rsidR="004F0947" w:rsidRPr="00601EB3">
        <w:rPr>
          <w:rFonts w:ascii="Times New Roman" w:eastAsia="Times New Roman" w:hAnsi="Times New Roman" w:cs="Times New Roman"/>
          <w:sz w:val="20"/>
          <w:szCs w:val="20"/>
        </w:rPr>
        <w:t>mong 60 cases with LGL and 117 cases with AL, PS, stage of the disease, age, extra-nodal involvement, sex, relapse, the presence of B symptom and IPI were not differ</w:t>
      </w:r>
      <w:r w:rsidR="00C118F2" w:rsidRPr="00601EB3">
        <w:rPr>
          <w:rFonts w:ascii="Times New Roman" w:eastAsia="Times New Roman" w:hAnsi="Times New Roman" w:cs="Times New Roman"/>
          <w:sz w:val="20"/>
          <w:szCs w:val="20"/>
        </w:rPr>
        <w:t>ent in VEGF-A (+) and (−) cases, with also an</w:t>
      </w:r>
      <w:r w:rsidR="00335482" w:rsidRPr="00601EB3">
        <w:rPr>
          <w:rFonts w:ascii="Times New Roman" w:eastAsia="Times New Roman" w:hAnsi="Times New Roman" w:cs="Times New Roman"/>
          <w:sz w:val="20"/>
          <w:szCs w:val="20"/>
        </w:rPr>
        <w:t xml:space="preserve"> association between VEGF-A with</w:t>
      </w:r>
      <w:r w:rsidR="004F0947" w:rsidRPr="00601EB3">
        <w:rPr>
          <w:rFonts w:ascii="Times New Roman" w:eastAsia="Times New Roman" w:hAnsi="Times New Roman" w:cs="Times New Roman"/>
          <w:sz w:val="20"/>
          <w:szCs w:val="20"/>
        </w:rPr>
        <w:t xml:space="preserve"> aggressive histology (</w:t>
      </w:r>
      <w:r w:rsidR="00D8510C" w:rsidRPr="00601EB3">
        <w:rPr>
          <w:rFonts w:ascii="Times New Roman" w:eastAsia="Times New Roman" w:hAnsi="Times New Roman" w:cs="Times New Roman"/>
          <w:sz w:val="20"/>
          <w:szCs w:val="20"/>
        </w:rPr>
        <w:t>P</w:t>
      </w:r>
      <w:r w:rsidR="00C118F2" w:rsidRPr="00601EB3">
        <w:rPr>
          <w:rFonts w:ascii="Times New Roman" w:eastAsia="Times New Roman" w:hAnsi="Times New Roman" w:cs="Times New Roman"/>
          <w:sz w:val="20"/>
          <w:szCs w:val="20"/>
        </w:rPr>
        <w:t>=0.031) [22].</w:t>
      </w:r>
      <w:r w:rsidR="00D67228">
        <w:rPr>
          <w:rFonts w:ascii="Times New Roman" w:eastAsia="Times New Roman" w:hAnsi="Times New Roman" w:cs="Times New Roman"/>
          <w:sz w:val="20"/>
          <w:szCs w:val="20"/>
        </w:rPr>
        <w:t xml:space="preserve"> </w:t>
      </w:r>
      <w:r w:rsidR="002A2FC2" w:rsidRPr="00601EB3">
        <w:rPr>
          <w:rFonts w:ascii="Times New Roman" w:eastAsia="Times New Roman" w:hAnsi="Times New Roman" w:cs="Times New Roman"/>
          <w:sz w:val="20"/>
          <w:szCs w:val="20"/>
        </w:rPr>
        <w:t>In the same line</w:t>
      </w:r>
      <w:r w:rsidR="001F40E2" w:rsidRPr="00601EB3">
        <w:rPr>
          <w:rFonts w:ascii="Times New Roman" w:eastAsia="Times New Roman" w:hAnsi="Times New Roman" w:cs="Times New Roman"/>
          <w:sz w:val="20"/>
          <w:szCs w:val="20"/>
        </w:rPr>
        <w:t xml:space="preserve">, </w:t>
      </w:r>
      <w:r w:rsidR="002A2FC2" w:rsidRPr="00601EB3">
        <w:rPr>
          <w:rFonts w:ascii="Times New Roman" w:eastAsia="Times New Roman" w:hAnsi="Times New Roman" w:cs="Times New Roman"/>
          <w:sz w:val="20"/>
          <w:szCs w:val="20"/>
        </w:rPr>
        <w:t>others</w:t>
      </w:r>
      <w:r w:rsidR="00D67228">
        <w:rPr>
          <w:rFonts w:ascii="Times New Roman" w:eastAsia="Times New Roman" w:hAnsi="Times New Roman" w:cs="Times New Roman"/>
          <w:sz w:val="20"/>
          <w:szCs w:val="20"/>
        </w:rPr>
        <w:t xml:space="preserve"> </w:t>
      </w:r>
      <w:r w:rsidR="00D8510C" w:rsidRPr="00601EB3">
        <w:rPr>
          <w:rFonts w:ascii="Times New Roman" w:eastAsia="Times New Roman" w:hAnsi="Times New Roman" w:cs="Times New Roman"/>
          <w:sz w:val="20"/>
          <w:szCs w:val="20"/>
        </w:rPr>
        <w:t xml:space="preserve">reported that </w:t>
      </w:r>
      <w:r w:rsidR="004F0947" w:rsidRPr="00601EB3">
        <w:rPr>
          <w:rFonts w:ascii="Times New Roman" w:eastAsia="Times New Roman" w:hAnsi="Times New Roman" w:cs="Times New Roman"/>
          <w:sz w:val="20"/>
          <w:szCs w:val="20"/>
        </w:rPr>
        <w:t xml:space="preserve">serum VEGF level </w:t>
      </w:r>
      <w:r w:rsidR="00D8510C" w:rsidRPr="00601EB3">
        <w:rPr>
          <w:rFonts w:ascii="Times New Roman" w:eastAsia="Times New Roman" w:hAnsi="Times New Roman" w:cs="Times New Roman"/>
          <w:sz w:val="20"/>
          <w:szCs w:val="20"/>
        </w:rPr>
        <w:t>wa</w:t>
      </w:r>
      <w:r w:rsidR="004F0947" w:rsidRPr="00601EB3">
        <w:rPr>
          <w:rFonts w:ascii="Times New Roman" w:eastAsia="Times New Roman" w:hAnsi="Times New Roman" w:cs="Times New Roman"/>
          <w:sz w:val="20"/>
          <w:szCs w:val="20"/>
        </w:rPr>
        <w:t>s significantly higher in patients with aggressive lymphoma or</w:t>
      </w:r>
      <w:r w:rsidR="001F40E2" w:rsidRPr="00601EB3">
        <w:rPr>
          <w:rFonts w:ascii="Times New Roman" w:eastAsia="Times New Roman" w:hAnsi="Times New Roman" w:cs="Times New Roman"/>
          <w:sz w:val="20"/>
          <w:szCs w:val="20"/>
        </w:rPr>
        <w:t xml:space="preserve"> adult T-cell leukemia/lymphoma</w:t>
      </w:r>
      <w:r w:rsidR="002A2FC2" w:rsidRPr="00601EB3">
        <w:rPr>
          <w:rFonts w:ascii="Times New Roman" w:eastAsia="Times New Roman" w:hAnsi="Times New Roman" w:cs="Times New Roman"/>
          <w:sz w:val="20"/>
          <w:szCs w:val="20"/>
        </w:rPr>
        <w:t xml:space="preserve"> [23]</w:t>
      </w:r>
      <w:r w:rsidR="001F40E2" w:rsidRPr="00601EB3">
        <w:rPr>
          <w:rFonts w:ascii="Times New Roman" w:eastAsia="Times New Roman" w:hAnsi="Times New Roman" w:cs="Times New Roman"/>
          <w:sz w:val="20"/>
          <w:szCs w:val="20"/>
        </w:rPr>
        <w:t>,</w:t>
      </w:r>
      <w:r w:rsidR="00D67228">
        <w:rPr>
          <w:rFonts w:ascii="Times New Roman" w:eastAsia="Times New Roman" w:hAnsi="Times New Roman" w:cs="Times New Roman"/>
          <w:sz w:val="20"/>
          <w:szCs w:val="20"/>
        </w:rPr>
        <w:t xml:space="preserve"> </w:t>
      </w:r>
      <w:r w:rsidR="00CD4ABB" w:rsidRPr="00601EB3">
        <w:rPr>
          <w:rFonts w:ascii="Times New Roman" w:eastAsia="Times New Roman" w:hAnsi="Times New Roman" w:cs="Times New Roman"/>
          <w:sz w:val="20"/>
          <w:szCs w:val="20"/>
        </w:rPr>
        <w:t>and was evaluated in</w:t>
      </w:r>
      <w:r w:rsidR="004F0947" w:rsidRPr="00601EB3">
        <w:rPr>
          <w:rFonts w:ascii="Times New Roman" w:eastAsia="Times New Roman" w:hAnsi="Times New Roman" w:cs="Times New Roman"/>
          <w:sz w:val="20"/>
          <w:szCs w:val="20"/>
        </w:rPr>
        <w:t xml:space="preserve"> 27 patients with NHL and concluded that VEGF was associated with higher tumor grading of NHL and high-grade trans</w:t>
      </w:r>
      <w:r w:rsidR="00CD4ABB" w:rsidRPr="00601EB3">
        <w:rPr>
          <w:rFonts w:ascii="Times New Roman" w:eastAsia="Times New Roman" w:hAnsi="Times New Roman" w:cs="Times New Roman"/>
          <w:sz w:val="20"/>
          <w:szCs w:val="20"/>
        </w:rPr>
        <w:t>formation of low-grade lymphoma [14].</w:t>
      </w:r>
      <w:r w:rsidR="00D67228">
        <w:rPr>
          <w:rFonts w:ascii="Times New Roman" w:eastAsia="Times New Roman" w:hAnsi="Times New Roman" w:cs="Times New Roman"/>
          <w:sz w:val="20"/>
          <w:szCs w:val="20"/>
        </w:rPr>
        <w:t xml:space="preserve"> </w:t>
      </w:r>
      <w:r w:rsidR="00EA51CA" w:rsidRPr="00601EB3">
        <w:rPr>
          <w:rFonts w:ascii="Times New Roman" w:eastAsia="Times New Roman" w:hAnsi="Times New Roman" w:cs="Times New Roman"/>
          <w:sz w:val="20"/>
          <w:szCs w:val="20"/>
        </w:rPr>
        <w:t>Similarly, among 58 NHL patients, serum VEGF level of patients at stage II, III and IV increased significantly (P&lt; 0.05) as compared with patients at stage I [</w:t>
      </w:r>
      <w:r w:rsidR="0070403A" w:rsidRPr="00601EB3">
        <w:rPr>
          <w:rFonts w:ascii="Times New Roman" w:eastAsia="Times New Roman" w:hAnsi="Times New Roman" w:cs="Times New Roman"/>
          <w:sz w:val="20"/>
          <w:szCs w:val="20"/>
        </w:rPr>
        <w:t>12</w:t>
      </w:r>
      <w:r w:rsidR="00EA51CA" w:rsidRPr="00601EB3">
        <w:rPr>
          <w:rFonts w:ascii="Times New Roman" w:eastAsia="Times New Roman" w:hAnsi="Times New Roman" w:cs="Times New Roman"/>
          <w:sz w:val="20"/>
          <w:szCs w:val="20"/>
        </w:rPr>
        <w:t xml:space="preserve">]. </w:t>
      </w:r>
      <w:r w:rsidR="00E72811" w:rsidRPr="00601EB3">
        <w:rPr>
          <w:rFonts w:ascii="Times New Roman" w:eastAsia="Times New Roman" w:hAnsi="Times New Roman" w:cs="Times New Roman"/>
          <w:sz w:val="20"/>
          <w:szCs w:val="20"/>
        </w:rPr>
        <w:t xml:space="preserve">However another study, </w:t>
      </w:r>
      <w:r w:rsidR="00E75E44" w:rsidRPr="00601EB3">
        <w:rPr>
          <w:rFonts w:ascii="Times New Roman" w:eastAsia="Times New Roman" w:hAnsi="Times New Roman" w:cs="Times New Roman"/>
          <w:sz w:val="20"/>
          <w:szCs w:val="20"/>
        </w:rPr>
        <w:t xml:space="preserve">in 24 NHL patients, </w:t>
      </w:r>
      <w:r w:rsidR="00E72811" w:rsidRPr="00601EB3">
        <w:rPr>
          <w:rFonts w:ascii="Times New Roman" w:eastAsia="Times New Roman" w:hAnsi="Times New Roman" w:cs="Times New Roman"/>
          <w:sz w:val="20"/>
          <w:szCs w:val="20"/>
        </w:rPr>
        <w:t xml:space="preserve">concluded </w:t>
      </w:r>
      <w:r w:rsidR="00E75E44" w:rsidRPr="00601EB3">
        <w:rPr>
          <w:rFonts w:ascii="Times New Roman" w:eastAsia="Times New Roman" w:hAnsi="Times New Roman" w:cs="Times New Roman"/>
          <w:sz w:val="20"/>
          <w:szCs w:val="20"/>
        </w:rPr>
        <w:t>the serum level of VEGF in NHL patients was higher than controls. The high serum level of VEGF has a tendency to drop to the normal standard after reaching CR, but, a high serum level was not found to be associated with stage, gender, PS. score, IPI score, serum LDH and "B" symptoms</w:t>
      </w:r>
      <w:r w:rsidR="0070403A" w:rsidRPr="00601EB3">
        <w:rPr>
          <w:rFonts w:ascii="Times New Roman" w:eastAsia="Times New Roman" w:hAnsi="Times New Roman" w:cs="Times New Roman"/>
          <w:sz w:val="20"/>
          <w:szCs w:val="20"/>
        </w:rPr>
        <w:t xml:space="preserve"> [24]</w:t>
      </w:r>
      <w:r w:rsidR="00E75E44" w:rsidRPr="00601EB3">
        <w:rPr>
          <w:rFonts w:ascii="Times New Roman" w:eastAsia="Times New Roman" w:hAnsi="Times New Roman" w:cs="Times New Roman"/>
          <w:sz w:val="20"/>
          <w:szCs w:val="20"/>
        </w:rPr>
        <w:t>.</w:t>
      </w:r>
    </w:p>
    <w:p w:rsidR="00645418" w:rsidRPr="00601EB3" w:rsidRDefault="00C67788" w:rsidP="00D67228">
      <w:pPr>
        <w:shd w:val="clear" w:color="auto" w:fill="FFFFFF"/>
        <w:bidi w:val="0"/>
        <w:adjustRightInd w:val="0"/>
        <w:snapToGrid w:val="0"/>
        <w:spacing w:after="0" w:line="240" w:lineRule="auto"/>
        <w:ind w:firstLine="425"/>
        <w:jc w:val="both"/>
        <w:outlineLvl w:val="0"/>
        <w:rPr>
          <w:rFonts w:ascii="Times New Roman" w:eastAsia="Times New Roman" w:hAnsi="Times New Roman" w:cs="Times New Roman"/>
          <w:sz w:val="20"/>
          <w:szCs w:val="20"/>
        </w:rPr>
      </w:pPr>
      <w:r w:rsidRPr="00601EB3">
        <w:rPr>
          <w:rFonts w:ascii="Times New Roman" w:hAnsi="Times New Roman" w:cs="Times New Roman"/>
          <w:sz w:val="20"/>
          <w:szCs w:val="20"/>
        </w:rPr>
        <w:t>As regard</w:t>
      </w:r>
      <w:r w:rsidR="00D8510C" w:rsidRPr="00601EB3">
        <w:rPr>
          <w:rFonts w:ascii="Times New Roman" w:hAnsi="Times New Roman" w:cs="Times New Roman"/>
          <w:sz w:val="20"/>
          <w:szCs w:val="20"/>
        </w:rPr>
        <w:t>s</w:t>
      </w:r>
      <w:r w:rsidRPr="00601EB3">
        <w:rPr>
          <w:rFonts w:ascii="Times New Roman" w:hAnsi="Times New Roman" w:cs="Times New Roman"/>
          <w:sz w:val="20"/>
          <w:szCs w:val="20"/>
        </w:rPr>
        <w:t xml:space="preserve"> the </w:t>
      </w:r>
      <w:r w:rsidR="000962D5" w:rsidRPr="00601EB3">
        <w:rPr>
          <w:rFonts w:ascii="Times New Roman" w:hAnsi="Times New Roman" w:cs="Times New Roman"/>
          <w:sz w:val="20"/>
          <w:szCs w:val="20"/>
        </w:rPr>
        <w:t>response to therapy</w:t>
      </w:r>
      <w:r w:rsidRPr="00601EB3">
        <w:rPr>
          <w:rFonts w:ascii="Times New Roman" w:hAnsi="Times New Roman" w:cs="Times New Roman"/>
          <w:sz w:val="20"/>
          <w:szCs w:val="20"/>
        </w:rPr>
        <w:t>,</w:t>
      </w:r>
      <w:r w:rsidR="005F37C0" w:rsidRPr="00601EB3">
        <w:rPr>
          <w:rFonts w:ascii="Times New Roman" w:hAnsi="Times New Roman" w:cs="Times New Roman"/>
          <w:sz w:val="20"/>
          <w:szCs w:val="20"/>
        </w:rPr>
        <w:t xml:space="preserve"> the frequency of VEGF positive patients </w:t>
      </w:r>
      <w:r w:rsidR="00D8510C" w:rsidRPr="00601EB3">
        <w:rPr>
          <w:rFonts w:ascii="Times New Roman" w:hAnsi="Times New Roman" w:cs="Times New Roman"/>
          <w:sz w:val="20"/>
          <w:szCs w:val="20"/>
        </w:rPr>
        <w:t xml:space="preserve">who </w:t>
      </w:r>
      <w:r w:rsidR="005F37C0" w:rsidRPr="00601EB3">
        <w:rPr>
          <w:rFonts w:ascii="Times New Roman" w:hAnsi="Times New Roman" w:cs="Times New Roman"/>
          <w:sz w:val="20"/>
          <w:szCs w:val="20"/>
        </w:rPr>
        <w:t>responded to treatment</w:t>
      </w:r>
      <w:r w:rsidR="00D8510C" w:rsidRPr="00601EB3">
        <w:rPr>
          <w:rFonts w:ascii="Times New Roman" w:hAnsi="Times New Roman" w:cs="Times New Roman"/>
          <w:sz w:val="20"/>
          <w:szCs w:val="20"/>
        </w:rPr>
        <w:t xml:space="preserve"> in our study</w:t>
      </w:r>
      <w:r w:rsidR="005F37C0" w:rsidRPr="00601EB3">
        <w:rPr>
          <w:rFonts w:ascii="Times New Roman" w:hAnsi="Times New Roman" w:cs="Times New Roman"/>
          <w:sz w:val="20"/>
          <w:szCs w:val="20"/>
        </w:rPr>
        <w:t xml:space="preserve"> was border line statistically higher than VEGF negative patients (71.4% v</w:t>
      </w:r>
      <w:r w:rsidR="001F40E2" w:rsidRPr="00601EB3">
        <w:rPr>
          <w:rFonts w:ascii="Times New Roman" w:hAnsi="Times New Roman" w:cs="Times New Roman"/>
          <w:sz w:val="20"/>
          <w:szCs w:val="20"/>
        </w:rPr>
        <w:t>ersus</w:t>
      </w:r>
      <w:r w:rsidR="005F37C0" w:rsidRPr="00601EB3">
        <w:rPr>
          <w:rFonts w:ascii="Times New Roman" w:hAnsi="Times New Roman" w:cs="Times New Roman"/>
          <w:sz w:val="20"/>
          <w:szCs w:val="20"/>
        </w:rPr>
        <w:t xml:space="preserve"> 42.1%, </w:t>
      </w:r>
      <w:r w:rsidR="004C5967" w:rsidRPr="00601EB3">
        <w:rPr>
          <w:rFonts w:ascii="Times New Roman" w:hAnsi="Times New Roman" w:cs="Times New Roman"/>
          <w:bCs/>
          <w:sz w:val="20"/>
          <w:szCs w:val="20"/>
        </w:rPr>
        <w:t>P</w:t>
      </w:r>
      <w:r w:rsidR="005F37C0" w:rsidRPr="00601EB3">
        <w:rPr>
          <w:rFonts w:ascii="Times New Roman" w:hAnsi="Times New Roman" w:cs="Times New Roman"/>
          <w:bCs/>
          <w:sz w:val="20"/>
          <w:szCs w:val="20"/>
        </w:rPr>
        <w:t xml:space="preserve">=0.06). </w:t>
      </w:r>
      <w:r w:rsidR="005F37C0" w:rsidRPr="00601EB3">
        <w:rPr>
          <w:rFonts w:ascii="Times New Roman" w:hAnsi="Times New Roman" w:cs="Times New Roman"/>
          <w:sz w:val="20"/>
          <w:szCs w:val="20"/>
        </w:rPr>
        <w:t xml:space="preserve">Regarding follow up and survival status, there was no statistically significant difference between </w:t>
      </w:r>
      <w:r w:rsidR="00D8510C" w:rsidRPr="00601EB3">
        <w:rPr>
          <w:rFonts w:ascii="Times New Roman" w:hAnsi="Times New Roman" w:cs="Times New Roman"/>
          <w:sz w:val="20"/>
          <w:szCs w:val="20"/>
        </w:rPr>
        <w:t>the two patient</w:t>
      </w:r>
      <w:r w:rsidR="004C5967" w:rsidRPr="00601EB3">
        <w:rPr>
          <w:rFonts w:ascii="Times New Roman" w:hAnsi="Times New Roman" w:cs="Times New Roman"/>
          <w:sz w:val="20"/>
          <w:szCs w:val="20"/>
        </w:rPr>
        <w:t xml:space="preserve"> groups (</w:t>
      </w:r>
      <w:r w:rsidR="00D8510C" w:rsidRPr="00601EB3">
        <w:rPr>
          <w:rFonts w:ascii="Times New Roman" w:hAnsi="Times New Roman" w:cs="Times New Roman"/>
          <w:sz w:val="20"/>
          <w:szCs w:val="20"/>
        </w:rPr>
        <w:t>P</w:t>
      </w:r>
      <w:r w:rsidR="005F37C0" w:rsidRPr="00601EB3">
        <w:rPr>
          <w:rFonts w:ascii="Times New Roman" w:hAnsi="Times New Roman" w:cs="Times New Roman"/>
          <w:sz w:val="20"/>
          <w:szCs w:val="20"/>
        </w:rPr>
        <w:t>= 0.782, 0.210 respectively).</w:t>
      </w:r>
      <w:r w:rsidR="005F37C0" w:rsidRPr="00601EB3">
        <w:rPr>
          <w:rFonts w:ascii="Times New Roman" w:eastAsia="Times New Roman" w:hAnsi="Times New Roman" w:cs="Times New Roman"/>
          <w:sz w:val="20"/>
          <w:szCs w:val="20"/>
        </w:rPr>
        <w:t>In consistent with our finding</w:t>
      </w:r>
      <w:r w:rsidR="00D8510C" w:rsidRPr="00601EB3">
        <w:rPr>
          <w:rFonts w:ascii="Times New Roman" w:eastAsia="Times New Roman" w:hAnsi="Times New Roman" w:cs="Times New Roman"/>
          <w:sz w:val="20"/>
          <w:szCs w:val="20"/>
        </w:rPr>
        <w:t>s</w:t>
      </w:r>
      <w:r w:rsidR="00EB5523" w:rsidRPr="00601EB3">
        <w:rPr>
          <w:rFonts w:ascii="Times New Roman" w:eastAsia="Times New Roman" w:hAnsi="Times New Roman" w:cs="Times New Roman"/>
          <w:sz w:val="20"/>
          <w:szCs w:val="20"/>
        </w:rPr>
        <w:t xml:space="preserve">, </w:t>
      </w:r>
      <w:r w:rsidR="00DB2CB9" w:rsidRPr="00601EB3">
        <w:rPr>
          <w:rFonts w:ascii="Times New Roman" w:eastAsia="Times New Roman" w:hAnsi="Times New Roman" w:cs="Times New Roman"/>
          <w:sz w:val="20"/>
          <w:szCs w:val="20"/>
        </w:rPr>
        <w:t>others</w:t>
      </w:r>
      <w:r w:rsidR="005F37C0" w:rsidRPr="00601EB3">
        <w:rPr>
          <w:rFonts w:ascii="Times New Roman" w:eastAsia="Times New Roman" w:hAnsi="Times New Roman" w:cs="Times New Roman"/>
          <w:sz w:val="20"/>
          <w:szCs w:val="20"/>
        </w:rPr>
        <w:t xml:space="preserve"> found that the VEGF expression was related to a favorable response (P=0.002) among advanced gastr</w:t>
      </w:r>
      <w:r w:rsidR="00DB2CB9" w:rsidRPr="00601EB3">
        <w:rPr>
          <w:rFonts w:ascii="Times New Roman" w:eastAsia="Times New Roman" w:hAnsi="Times New Roman" w:cs="Times New Roman"/>
          <w:sz w:val="20"/>
          <w:szCs w:val="20"/>
        </w:rPr>
        <w:t xml:space="preserve">ointestinal </w:t>
      </w:r>
      <w:proofErr w:type="spellStart"/>
      <w:r w:rsidR="00DB2CB9" w:rsidRPr="00601EB3">
        <w:rPr>
          <w:rFonts w:ascii="Times New Roman" w:eastAsia="Times New Roman" w:hAnsi="Times New Roman" w:cs="Times New Roman"/>
          <w:sz w:val="20"/>
          <w:szCs w:val="20"/>
        </w:rPr>
        <w:t>stromal</w:t>
      </w:r>
      <w:proofErr w:type="spellEnd"/>
      <w:r w:rsidR="00DB2CB9" w:rsidRPr="00601EB3">
        <w:rPr>
          <w:rFonts w:ascii="Times New Roman" w:eastAsia="Times New Roman" w:hAnsi="Times New Roman" w:cs="Times New Roman"/>
          <w:sz w:val="20"/>
          <w:szCs w:val="20"/>
        </w:rPr>
        <w:t xml:space="preserve"> tumor group [25].</w:t>
      </w:r>
      <w:r w:rsidR="00D67228">
        <w:rPr>
          <w:rFonts w:ascii="Times New Roman" w:eastAsia="Times New Roman" w:hAnsi="Times New Roman" w:cs="Times New Roman"/>
          <w:sz w:val="20"/>
          <w:szCs w:val="20"/>
        </w:rPr>
        <w:t xml:space="preserve"> </w:t>
      </w:r>
      <w:r w:rsidR="00DB2CB9" w:rsidRPr="00601EB3">
        <w:rPr>
          <w:rFonts w:ascii="Times New Roman" w:eastAsia="Times New Roman" w:hAnsi="Times New Roman" w:cs="Times New Roman"/>
          <w:sz w:val="20"/>
          <w:szCs w:val="20"/>
        </w:rPr>
        <w:t xml:space="preserve">It was reported also </w:t>
      </w:r>
      <w:r w:rsidR="005F37C0" w:rsidRPr="00601EB3">
        <w:rPr>
          <w:rFonts w:ascii="Times New Roman" w:eastAsia="Times New Roman" w:hAnsi="Times New Roman" w:cs="Times New Roman"/>
          <w:sz w:val="20"/>
          <w:szCs w:val="20"/>
        </w:rPr>
        <w:t>that the higher levels of serum VEGF was not associated with a poor</w:t>
      </w:r>
      <w:r w:rsidR="009A45B6" w:rsidRPr="00601EB3">
        <w:rPr>
          <w:rFonts w:ascii="Times New Roman" w:eastAsia="Times New Roman" w:hAnsi="Times New Roman" w:cs="Times New Roman"/>
          <w:sz w:val="20"/>
          <w:szCs w:val="20"/>
        </w:rPr>
        <w:t>er complete remission (CR) rate [21],</w:t>
      </w:r>
      <w:r w:rsidR="00D67228">
        <w:rPr>
          <w:rFonts w:ascii="Times New Roman" w:eastAsia="Times New Roman" w:hAnsi="Times New Roman" w:cs="Times New Roman"/>
          <w:sz w:val="20"/>
          <w:szCs w:val="20"/>
        </w:rPr>
        <w:t xml:space="preserve"> </w:t>
      </w:r>
      <w:r w:rsidR="009A45B6" w:rsidRPr="00601EB3">
        <w:rPr>
          <w:rFonts w:ascii="Times New Roman" w:eastAsia="Times New Roman" w:hAnsi="Times New Roman" w:cs="Times New Roman"/>
          <w:sz w:val="20"/>
          <w:szCs w:val="20"/>
        </w:rPr>
        <w:t>and</w:t>
      </w:r>
      <w:r w:rsidR="005F37C0" w:rsidRPr="00601EB3">
        <w:rPr>
          <w:rFonts w:ascii="Times New Roman" w:eastAsia="Times New Roman" w:hAnsi="Times New Roman" w:cs="Times New Roman"/>
          <w:sz w:val="20"/>
          <w:szCs w:val="20"/>
        </w:rPr>
        <w:t xml:space="preserve"> the serum VEGF was not predictive</w:t>
      </w:r>
      <w:r w:rsidR="009A45B6" w:rsidRPr="00601EB3">
        <w:rPr>
          <w:rFonts w:ascii="Times New Roman" w:eastAsia="Times New Roman" w:hAnsi="Times New Roman" w:cs="Times New Roman"/>
          <w:sz w:val="20"/>
          <w:szCs w:val="20"/>
        </w:rPr>
        <w:t xml:space="preserve"> of survival among NHL patients [26].</w:t>
      </w:r>
      <w:r w:rsidR="00D67228">
        <w:rPr>
          <w:rFonts w:ascii="Times New Roman" w:eastAsia="Times New Roman" w:hAnsi="Times New Roman" w:cs="Times New Roman"/>
          <w:sz w:val="20"/>
          <w:szCs w:val="20"/>
        </w:rPr>
        <w:t xml:space="preserve"> </w:t>
      </w:r>
      <w:r w:rsidR="00F4362E" w:rsidRPr="00601EB3">
        <w:rPr>
          <w:rFonts w:ascii="Times New Roman" w:hAnsi="Times New Roman" w:cs="Times New Roman"/>
          <w:sz w:val="20"/>
          <w:szCs w:val="20"/>
        </w:rPr>
        <w:t>On the other hand;</w:t>
      </w:r>
      <w:r w:rsidR="00D67228">
        <w:rPr>
          <w:rFonts w:ascii="Times New Roman" w:hAnsi="Times New Roman" w:cs="Times New Roman"/>
          <w:sz w:val="20"/>
          <w:szCs w:val="20"/>
        </w:rPr>
        <w:t xml:space="preserve"> </w:t>
      </w:r>
      <w:r w:rsidR="005F37C0" w:rsidRPr="00601EB3">
        <w:rPr>
          <w:rFonts w:ascii="Times New Roman" w:eastAsia="Times New Roman" w:hAnsi="Times New Roman" w:cs="Times New Roman"/>
          <w:bCs/>
          <w:sz w:val="20"/>
          <w:szCs w:val="20"/>
        </w:rPr>
        <w:t>Yang et al, 2015</w:t>
      </w:r>
      <w:r w:rsidR="009A45B6" w:rsidRPr="00601EB3">
        <w:rPr>
          <w:rFonts w:ascii="Times New Roman" w:eastAsia="Times New Roman" w:hAnsi="Times New Roman" w:cs="Times New Roman"/>
          <w:bCs/>
          <w:sz w:val="20"/>
          <w:szCs w:val="20"/>
        </w:rPr>
        <w:t xml:space="preserve"> [20]</w:t>
      </w:r>
      <w:r w:rsidR="005F37C0" w:rsidRPr="00601EB3">
        <w:rPr>
          <w:rFonts w:ascii="Times New Roman" w:eastAsia="Times New Roman" w:hAnsi="Times New Roman" w:cs="Times New Roman"/>
          <w:sz w:val="20"/>
          <w:szCs w:val="20"/>
        </w:rPr>
        <w:t xml:space="preserve"> found a significant correlation between VEGF </w:t>
      </w:r>
      <w:proofErr w:type="spellStart"/>
      <w:r w:rsidR="005F37C0" w:rsidRPr="00601EB3">
        <w:rPr>
          <w:rFonts w:ascii="Times New Roman" w:eastAsia="Times New Roman" w:hAnsi="Times New Roman" w:cs="Times New Roman"/>
          <w:sz w:val="20"/>
          <w:szCs w:val="20"/>
        </w:rPr>
        <w:t>overexp</w:t>
      </w:r>
      <w:r w:rsidR="004C5967" w:rsidRPr="00601EB3">
        <w:rPr>
          <w:rFonts w:ascii="Times New Roman" w:eastAsia="Times New Roman" w:hAnsi="Times New Roman" w:cs="Times New Roman"/>
          <w:sz w:val="20"/>
          <w:szCs w:val="20"/>
        </w:rPr>
        <w:t>ression</w:t>
      </w:r>
      <w:proofErr w:type="spellEnd"/>
      <w:r w:rsidR="004C5967" w:rsidRPr="00601EB3">
        <w:rPr>
          <w:rFonts w:ascii="Times New Roman" w:eastAsia="Times New Roman" w:hAnsi="Times New Roman" w:cs="Times New Roman"/>
          <w:sz w:val="20"/>
          <w:szCs w:val="20"/>
        </w:rPr>
        <w:t xml:space="preserve"> and overall survival (P=</w:t>
      </w:r>
      <w:r w:rsidR="005F37C0" w:rsidRPr="00601EB3">
        <w:rPr>
          <w:rFonts w:ascii="Times New Roman" w:eastAsia="Times New Roman" w:hAnsi="Times New Roman" w:cs="Times New Roman"/>
          <w:sz w:val="20"/>
          <w:szCs w:val="20"/>
        </w:rPr>
        <w:t xml:space="preserve">0.001). Also, they found that VEGF </w:t>
      </w:r>
      <w:proofErr w:type="spellStart"/>
      <w:r w:rsidR="005F37C0" w:rsidRPr="00601EB3">
        <w:rPr>
          <w:rFonts w:ascii="Times New Roman" w:eastAsia="Times New Roman" w:hAnsi="Times New Roman" w:cs="Times New Roman"/>
          <w:sz w:val="20"/>
          <w:szCs w:val="20"/>
        </w:rPr>
        <w:t>overexpression</w:t>
      </w:r>
      <w:proofErr w:type="spellEnd"/>
      <w:r w:rsidR="005F37C0" w:rsidRPr="00601EB3">
        <w:rPr>
          <w:rFonts w:ascii="Times New Roman" w:eastAsia="Times New Roman" w:hAnsi="Times New Roman" w:cs="Times New Roman"/>
          <w:sz w:val="20"/>
          <w:szCs w:val="20"/>
        </w:rPr>
        <w:t xml:space="preserve"> i</w:t>
      </w:r>
      <w:r w:rsidR="004C5967" w:rsidRPr="00601EB3">
        <w:rPr>
          <w:rFonts w:ascii="Times New Roman" w:eastAsia="Times New Roman" w:hAnsi="Times New Roman" w:cs="Times New Roman"/>
          <w:sz w:val="20"/>
          <w:szCs w:val="20"/>
        </w:rPr>
        <w:t xml:space="preserve">n surgically </w:t>
      </w:r>
      <w:proofErr w:type="spellStart"/>
      <w:r w:rsidR="004C5967" w:rsidRPr="00601EB3">
        <w:rPr>
          <w:rFonts w:ascii="Times New Roman" w:eastAsia="Times New Roman" w:hAnsi="Times New Roman" w:cs="Times New Roman"/>
          <w:sz w:val="20"/>
          <w:szCs w:val="20"/>
        </w:rPr>
        <w:t>resected</w:t>
      </w:r>
      <w:proofErr w:type="spellEnd"/>
      <w:r w:rsidR="004C5967" w:rsidRPr="00601EB3">
        <w:rPr>
          <w:rFonts w:ascii="Times New Roman" w:eastAsia="Times New Roman" w:hAnsi="Times New Roman" w:cs="Times New Roman"/>
          <w:sz w:val="20"/>
          <w:szCs w:val="20"/>
        </w:rPr>
        <w:t xml:space="preserve"> tissue</w:t>
      </w:r>
      <w:r w:rsidR="005F37C0" w:rsidRPr="00601EB3">
        <w:rPr>
          <w:rFonts w:ascii="Times New Roman" w:eastAsia="Times New Roman" w:hAnsi="Times New Roman" w:cs="Times New Roman"/>
          <w:sz w:val="20"/>
          <w:szCs w:val="20"/>
        </w:rPr>
        <w:t>, was associated with poorer prognosis</w:t>
      </w:r>
      <w:r w:rsidR="00432DEC" w:rsidRPr="00601EB3">
        <w:rPr>
          <w:rFonts w:ascii="Times New Roman" w:eastAsia="Times New Roman" w:hAnsi="Times New Roman" w:cs="Times New Roman"/>
          <w:sz w:val="20"/>
          <w:szCs w:val="20"/>
        </w:rPr>
        <w:t xml:space="preserve"> (P</w:t>
      </w:r>
      <w:r w:rsidR="00D8510C" w:rsidRPr="00601EB3">
        <w:rPr>
          <w:rFonts w:ascii="Times New Roman" w:eastAsia="Times New Roman" w:hAnsi="Times New Roman" w:cs="Times New Roman"/>
          <w:sz w:val="20"/>
          <w:szCs w:val="20"/>
        </w:rPr>
        <w:t>&lt;</w:t>
      </w:r>
      <w:r w:rsidR="00432DEC" w:rsidRPr="00601EB3">
        <w:rPr>
          <w:rFonts w:ascii="Times New Roman" w:eastAsia="Times New Roman" w:hAnsi="Times New Roman" w:cs="Times New Roman"/>
          <w:sz w:val="20"/>
          <w:szCs w:val="20"/>
        </w:rPr>
        <w:t>0.00</w:t>
      </w:r>
      <w:r w:rsidR="00D8510C" w:rsidRPr="00601EB3">
        <w:rPr>
          <w:rFonts w:ascii="Times New Roman" w:eastAsia="Times New Roman" w:hAnsi="Times New Roman" w:cs="Times New Roman"/>
          <w:sz w:val="20"/>
          <w:szCs w:val="20"/>
        </w:rPr>
        <w:t>1</w:t>
      </w:r>
      <w:r w:rsidR="00432DEC" w:rsidRPr="00601EB3">
        <w:rPr>
          <w:rFonts w:ascii="Times New Roman" w:eastAsia="Times New Roman" w:hAnsi="Times New Roman" w:cs="Times New Roman"/>
          <w:sz w:val="20"/>
          <w:szCs w:val="20"/>
        </w:rPr>
        <w:t>)</w:t>
      </w:r>
      <w:r w:rsidR="005F37C0" w:rsidRPr="00601EB3">
        <w:rPr>
          <w:rFonts w:ascii="Times New Roman" w:eastAsia="Times New Roman" w:hAnsi="Times New Roman" w:cs="Times New Roman"/>
          <w:sz w:val="20"/>
          <w:szCs w:val="20"/>
        </w:rPr>
        <w:t xml:space="preserve">. </w:t>
      </w:r>
      <w:r w:rsidR="005F37C0" w:rsidRPr="00601EB3">
        <w:rPr>
          <w:rFonts w:ascii="Times New Roman" w:eastAsia="Times New Roman" w:hAnsi="Times New Roman" w:cs="Times New Roman"/>
          <w:bCs/>
          <w:sz w:val="20"/>
          <w:szCs w:val="20"/>
        </w:rPr>
        <w:t>Wang et al, 2011</w:t>
      </w:r>
      <w:r w:rsidR="002A3696" w:rsidRPr="00601EB3">
        <w:rPr>
          <w:rFonts w:ascii="Times New Roman" w:eastAsia="Times New Roman" w:hAnsi="Times New Roman" w:cs="Times New Roman"/>
          <w:bCs/>
          <w:sz w:val="20"/>
          <w:szCs w:val="20"/>
        </w:rPr>
        <w:t xml:space="preserve"> [27]</w:t>
      </w:r>
      <w:r w:rsidR="005843F5">
        <w:rPr>
          <w:rFonts w:ascii="Times New Roman" w:eastAsia="Times New Roman" w:hAnsi="Times New Roman" w:cs="Times New Roman"/>
          <w:bCs/>
          <w:sz w:val="20"/>
          <w:szCs w:val="20"/>
        </w:rPr>
        <w:t xml:space="preserve"> </w:t>
      </w:r>
      <w:r w:rsidR="00F4362E" w:rsidRPr="00601EB3">
        <w:rPr>
          <w:rFonts w:ascii="Times New Roman" w:eastAsia="Times New Roman" w:hAnsi="Times New Roman" w:cs="Times New Roman"/>
          <w:sz w:val="20"/>
          <w:szCs w:val="20"/>
        </w:rPr>
        <w:t>also</w:t>
      </w:r>
      <w:r w:rsidR="005843F5">
        <w:rPr>
          <w:rFonts w:ascii="Times New Roman" w:eastAsia="Times New Roman" w:hAnsi="Times New Roman" w:cs="Times New Roman"/>
          <w:sz w:val="20"/>
          <w:szCs w:val="20"/>
        </w:rPr>
        <w:t xml:space="preserve"> </w:t>
      </w:r>
      <w:r w:rsidR="005F37C0" w:rsidRPr="00601EB3">
        <w:rPr>
          <w:rFonts w:ascii="Times New Roman" w:eastAsia="Times New Roman" w:hAnsi="Times New Roman" w:cs="Times New Roman"/>
          <w:sz w:val="20"/>
          <w:szCs w:val="20"/>
        </w:rPr>
        <w:t xml:space="preserve">found </w:t>
      </w:r>
      <w:r w:rsidR="004C5967" w:rsidRPr="00601EB3">
        <w:rPr>
          <w:rFonts w:ascii="Times New Roman" w:eastAsia="Times New Roman" w:hAnsi="Times New Roman" w:cs="Times New Roman"/>
          <w:sz w:val="20"/>
          <w:szCs w:val="20"/>
        </w:rPr>
        <w:t xml:space="preserve">that </w:t>
      </w:r>
      <w:r w:rsidR="00432DEC" w:rsidRPr="00601EB3">
        <w:rPr>
          <w:rFonts w:ascii="Times New Roman" w:eastAsia="Times New Roman" w:hAnsi="Times New Roman" w:cs="Times New Roman"/>
          <w:sz w:val="20"/>
          <w:szCs w:val="20"/>
        </w:rPr>
        <w:t>VEGF expressions on CD14</w:t>
      </w:r>
      <w:r w:rsidR="005F37C0" w:rsidRPr="00601EB3">
        <w:rPr>
          <w:rFonts w:ascii="Times New Roman" w:eastAsia="Times New Roman" w:hAnsi="Times New Roman" w:cs="Times New Roman"/>
          <w:sz w:val="20"/>
          <w:szCs w:val="20"/>
        </w:rPr>
        <w:t xml:space="preserve">+ </w:t>
      </w:r>
      <w:proofErr w:type="spellStart"/>
      <w:r w:rsidR="005F37C0" w:rsidRPr="00601EB3">
        <w:rPr>
          <w:rFonts w:ascii="Times New Roman" w:eastAsia="Times New Roman" w:hAnsi="Times New Roman" w:cs="Times New Roman"/>
          <w:sz w:val="20"/>
          <w:szCs w:val="20"/>
        </w:rPr>
        <w:t>monocytes</w:t>
      </w:r>
      <w:proofErr w:type="spellEnd"/>
      <w:r w:rsidR="005F37C0" w:rsidRPr="00601EB3">
        <w:rPr>
          <w:rFonts w:ascii="Times New Roman" w:eastAsia="Times New Roman" w:hAnsi="Times New Roman" w:cs="Times New Roman"/>
          <w:sz w:val="20"/>
          <w:szCs w:val="20"/>
        </w:rPr>
        <w:t xml:space="preserve"> by flow </w:t>
      </w:r>
      <w:proofErr w:type="spellStart"/>
      <w:r w:rsidR="005F37C0" w:rsidRPr="00601EB3">
        <w:rPr>
          <w:rFonts w:ascii="Times New Roman" w:eastAsia="Times New Roman" w:hAnsi="Times New Roman" w:cs="Times New Roman"/>
          <w:sz w:val="20"/>
          <w:szCs w:val="20"/>
        </w:rPr>
        <w:t>cytometry</w:t>
      </w:r>
      <w:proofErr w:type="spellEnd"/>
      <w:r w:rsidR="005F37C0" w:rsidRPr="00601EB3">
        <w:rPr>
          <w:rFonts w:ascii="Times New Roman" w:eastAsia="Times New Roman" w:hAnsi="Times New Roman" w:cs="Times New Roman"/>
          <w:sz w:val="20"/>
          <w:szCs w:val="20"/>
        </w:rPr>
        <w:t xml:space="preserve"> in NHL patients in non-remissi</w:t>
      </w:r>
      <w:r w:rsidR="00432DEC" w:rsidRPr="00601EB3">
        <w:rPr>
          <w:rFonts w:ascii="Times New Roman" w:eastAsia="Times New Roman" w:hAnsi="Times New Roman" w:cs="Times New Roman"/>
          <w:sz w:val="20"/>
          <w:szCs w:val="20"/>
        </w:rPr>
        <w:t>on group before chemotherapy (n=</w:t>
      </w:r>
      <w:r w:rsidR="005F37C0" w:rsidRPr="00601EB3">
        <w:rPr>
          <w:rFonts w:ascii="Times New Roman" w:eastAsia="Times New Roman" w:hAnsi="Times New Roman" w:cs="Times New Roman"/>
          <w:sz w:val="20"/>
          <w:szCs w:val="20"/>
        </w:rPr>
        <w:t>11) was obviously higher than that in remission group (P &lt;0. 0</w:t>
      </w:r>
      <w:r w:rsidR="00D8510C" w:rsidRPr="00601EB3">
        <w:rPr>
          <w:rFonts w:ascii="Times New Roman" w:eastAsia="Times New Roman" w:hAnsi="Times New Roman" w:cs="Times New Roman"/>
          <w:sz w:val="20"/>
          <w:szCs w:val="20"/>
        </w:rPr>
        <w:t>0</w:t>
      </w:r>
      <w:r w:rsidR="005F37C0" w:rsidRPr="00601EB3">
        <w:rPr>
          <w:rFonts w:ascii="Times New Roman" w:eastAsia="Times New Roman" w:hAnsi="Times New Roman" w:cs="Times New Roman"/>
          <w:sz w:val="20"/>
          <w:szCs w:val="20"/>
        </w:rPr>
        <w:t xml:space="preserve">1). </w:t>
      </w:r>
      <w:r w:rsidR="002D65DE" w:rsidRPr="00601EB3">
        <w:rPr>
          <w:rFonts w:ascii="Times New Roman" w:eastAsia="Times New Roman" w:hAnsi="Times New Roman" w:cs="Times New Roman"/>
          <w:sz w:val="20"/>
          <w:szCs w:val="20"/>
        </w:rPr>
        <w:t xml:space="preserve">Several studies by </w:t>
      </w:r>
      <w:proofErr w:type="spellStart"/>
      <w:r w:rsidR="002D65DE" w:rsidRPr="00601EB3">
        <w:rPr>
          <w:rFonts w:ascii="Times New Roman" w:eastAsia="Times New Roman" w:hAnsi="Times New Roman" w:cs="Times New Roman"/>
          <w:sz w:val="20"/>
          <w:szCs w:val="20"/>
        </w:rPr>
        <w:t>Jørgensen</w:t>
      </w:r>
      <w:proofErr w:type="spellEnd"/>
      <w:r w:rsidR="002D65DE" w:rsidRPr="00601EB3">
        <w:rPr>
          <w:rFonts w:ascii="Times New Roman" w:eastAsia="Times New Roman" w:hAnsi="Times New Roman" w:cs="Times New Roman"/>
          <w:sz w:val="20"/>
          <w:szCs w:val="20"/>
        </w:rPr>
        <w:t xml:space="preserve"> et al </w:t>
      </w:r>
      <w:r w:rsidR="00432DEC" w:rsidRPr="00601EB3">
        <w:rPr>
          <w:rFonts w:ascii="Times New Roman" w:eastAsia="Times New Roman" w:hAnsi="Times New Roman" w:cs="Times New Roman"/>
          <w:sz w:val="20"/>
          <w:szCs w:val="20"/>
        </w:rPr>
        <w:t xml:space="preserve">found </w:t>
      </w:r>
      <w:r w:rsidR="00E10B62" w:rsidRPr="00601EB3">
        <w:rPr>
          <w:rFonts w:ascii="Times New Roman" w:eastAsia="Times New Roman" w:hAnsi="Times New Roman" w:cs="Times New Roman"/>
          <w:sz w:val="20"/>
          <w:szCs w:val="20"/>
        </w:rPr>
        <w:t xml:space="preserve">that, </w:t>
      </w:r>
      <w:r w:rsidR="00432DEC" w:rsidRPr="00601EB3">
        <w:rPr>
          <w:rFonts w:ascii="Times New Roman" w:eastAsia="Times New Roman" w:hAnsi="Times New Roman" w:cs="Times New Roman"/>
          <w:sz w:val="20"/>
          <w:szCs w:val="20"/>
        </w:rPr>
        <w:t>a</w:t>
      </w:r>
      <w:r w:rsidR="002D65DE" w:rsidRPr="00601EB3">
        <w:rPr>
          <w:rFonts w:ascii="Times New Roman" w:eastAsia="Times New Roman" w:hAnsi="Times New Roman" w:cs="Times New Roman"/>
          <w:sz w:val="20"/>
          <w:szCs w:val="20"/>
        </w:rPr>
        <w:t xml:space="preserve">mong </w:t>
      </w:r>
      <w:r w:rsidR="005F37C0" w:rsidRPr="00601EB3">
        <w:rPr>
          <w:rFonts w:ascii="Times New Roman" w:eastAsia="Times New Roman" w:hAnsi="Times New Roman" w:cs="Times New Roman"/>
          <w:sz w:val="20"/>
          <w:szCs w:val="20"/>
        </w:rPr>
        <w:t>follicula</w:t>
      </w:r>
      <w:r w:rsidR="00EF516F" w:rsidRPr="00601EB3">
        <w:rPr>
          <w:rFonts w:ascii="Times New Roman" w:eastAsia="Times New Roman" w:hAnsi="Times New Roman" w:cs="Times New Roman"/>
          <w:sz w:val="20"/>
          <w:szCs w:val="20"/>
        </w:rPr>
        <w:t xml:space="preserve">r B-cell </w:t>
      </w:r>
      <w:r w:rsidR="005F37C0" w:rsidRPr="00601EB3">
        <w:rPr>
          <w:rFonts w:ascii="Times New Roman" w:eastAsia="Times New Roman" w:hAnsi="Times New Roman" w:cs="Times New Roman"/>
          <w:sz w:val="20"/>
          <w:szCs w:val="20"/>
        </w:rPr>
        <w:t>lymphoma</w:t>
      </w:r>
      <w:r w:rsidR="00432DEC" w:rsidRPr="00601EB3">
        <w:rPr>
          <w:rFonts w:ascii="Times New Roman" w:eastAsia="Times New Roman" w:hAnsi="Times New Roman" w:cs="Times New Roman"/>
          <w:sz w:val="20"/>
          <w:szCs w:val="20"/>
        </w:rPr>
        <w:t xml:space="preserve">, </w:t>
      </w:r>
      <w:r w:rsidR="005F37C0" w:rsidRPr="00601EB3">
        <w:rPr>
          <w:rFonts w:ascii="Times New Roman" w:eastAsia="Times New Roman" w:hAnsi="Times New Roman" w:cs="Times New Roman"/>
          <w:sz w:val="20"/>
          <w:szCs w:val="20"/>
        </w:rPr>
        <w:t xml:space="preserve">patients with diffuse VEGF expression in lymphoma cells had poorer overall survival than those </w:t>
      </w:r>
      <w:r w:rsidR="005F37C0" w:rsidRPr="00601EB3">
        <w:rPr>
          <w:rFonts w:ascii="Times New Roman" w:eastAsia="Times New Roman" w:hAnsi="Times New Roman" w:cs="Times New Roman"/>
          <w:sz w:val="20"/>
          <w:szCs w:val="20"/>
        </w:rPr>
        <w:lastRenderedPageBreak/>
        <w:t>with focal expression</w:t>
      </w:r>
      <w:r w:rsidR="002D65DE" w:rsidRPr="00601EB3">
        <w:rPr>
          <w:rFonts w:ascii="Times New Roman" w:eastAsia="Times New Roman" w:hAnsi="Times New Roman" w:cs="Times New Roman"/>
          <w:sz w:val="20"/>
          <w:szCs w:val="20"/>
        </w:rPr>
        <w:t xml:space="preserve"> [28]</w:t>
      </w:r>
      <w:r w:rsidR="000E5E4F" w:rsidRPr="00601EB3">
        <w:rPr>
          <w:rFonts w:ascii="Times New Roman" w:eastAsia="Times New Roman" w:hAnsi="Times New Roman" w:cs="Times New Roman"/>
          <w:sz w:val="20"/>
          <w:szCs w:val="20"/>
        </w:rPr>
        <w:t>,</w:t>
      </w:r>
      <w:r w:rsidR="002D65DE" w:rsidRPr="00601EB3">
        <w:rPr>
          <w:rFonts w:ascii="Times New Roman" w:eastAsia="Times New Roman" w:hAnsi="Times New Roman" w:cs="Times New Roman"/>
          <w:sz w:val="20"/>
          <w:szCs w:val="20"/>
        </w:rPr>
        <w:t xml:space="preserve"> and</w:t>
      </w:r>
      <w:r w:rsidR="00432DEC" w:rsidRPr="00601EB3">
        <w:rPr>
          <w:rFonts w:ascii="Times New Roman" w:eastAsia="Times New Roman" w:hAnsi="Times New Roman" w:cs="Times New Roman"/>
          <w:sz w:val="20"/>
          <w:szCs w:val="20"/>
        </w:rPr>
        <w:t xml:space="preserve"> i</w:t>
      </w:r>
      <w:r w:rsidR="005F37C0" w:rsidRPr="00601EB3">
        <w:rPr>
          <w:rFonts w:ascii="Times New Roman" w:eastAsia="Times New Roman" w:hAnsi="Times New Roman" w:cs="Times New Roman"/>
          <w:sz w:val="20"/>
          <w:szCs w:val="20"/>
        </w:rPr>
        <w:t xml:space="preserve">n FL, diffuse </w:t>
      </w:r>
      <w:proofErr w:type="spellStart"/>
      <w:r w:rsidR="005F37C0" w:rsidRPr="00601EB3">
        <w:rPr>
          <w:rFonts w:ascii="Times New Roman" w:eastAsia="Times New Roman" w:hAnsi="Times New Roman" w:cs="Times New Roman"/>
          <w:sz w:val="20"/>
          <w:szCs w:val="20"/>
        </w:rPr>
        <w:t>intratumoral</w:t>
      </w:r>
      <w:proofErr w:type="spellEnd"/>
      <w:r w:rsidR="005F37C0" w:rsidRPr="00601EB3">
        <w:rPr>
          <w:rFonts w:ascii="Times New Roman" w:eastAsia="Times New Roman" w:hAnsi="Times New Roman" w:cs="Times New Roman"/>
          <w:sz w:val="20"/>
          <w:szCs w:val="20"/>
        </w:rPr>
        <w:t xml:space="preserve"> VEGF staining correlated with shorter overall survival (OS)</w:t>
      </w:r>
      <w:r w:rsidR="00432DEC" w:rsidRPr="00601EB3">
        <w:rPr>
          <w:rFonts w:ascii="Times New Roman" w:eastAsia="Times New Roman" w:hAnsi="Times New Roman" w:cs="Times New Roman"/>
          <w:sz w:val="20"/>
          <w:szCs w:val="20"/>
        </w:rPr>
        <w:t xml:space="preserve"> (</w:t>
      </w:r>
      <w:r w:rsidR="00D8510C" w:rsidRPr="00601EB3">
        <w:rPr>
          <w:rFonts w:ascii="Times New Roman" w:eastAsia="Times New Roman" w:hAnsi="Times New Roman" w:cs="Times New Roman"/>
          <w:sz w:val="20"/>
          <w:szCs w:val="20"/>
        </w:rPr>
        <w:t>P</w:t>
      </w:r>
      <w:r w:rsidR="00432DEC" w:rsidRPr="00601EB3">
        <w:rPr>
          <w:rFonts w:ascii="Times New Roman" w:eastAsia="Times New Roman" w:hAnsi="Times New Roman" w:cs="Times New Roman"/>
          <w:sz w:val="20"/>
          <w:szCs w:val="20"/>
        </w:rPr>
        <w:t>= 0.008) and found i</w:t>
      </w:r>
      <w:r w:rsidR="005F37C0" w:rsidRPr="00601EB3">
        <w:rPr>
          <w:rFonts w:ascii="Times New Roman" w:eastAsia="Times New Roman" w:hAnsi="Times New Roman" w:cs="Times New Roman"/>
          <w:sz w:val="20"/>
          <w:szCs w:val="20"/>
        </w:rPr>
        <w:t>n peripheral T-cell lymphomas</w:t>
      </w:r>
      <w:r w:rsidR="00D9519E" w:rsidRPr="00601EB3">
        <w:rPr>
          <w:rFonts w:ascii="Times New Roman" w:eastAsia="Times New Roman" w:hAnsi="Times New Roman" w:cs="Times New Roman"/>
          <w:sz w:val="20"/>
          <w:szCs w:val="20"/>
        </w:rPr>
        <w:t xml:space="preserve"> (</w:t>
      </w:r>
      <w:r w:rsidR="005F37C0" w:rsidRPr="00601EB3">
        <w:rPr>
          <w:rFonts w:ascii="Times New Roman" w:eastAsia="Times New Roman" w:hAnsi="Times New Roman" w:cs="Times New Roman"/>
          <w:sz w:val="20"/>
          <w:szCs w:val="20"/>
        </w:rPr>
        <w:t>PTCL)</w:t>
      </w:r>
      <w:r w:rsidR="005843F5">
        <w:rPr>
          <w:rFonts w:ascii="Times New Roman" w:eastAsia="Times New Roman" w:hAnsi="Times New Roman" w:cs="Times New Roman"/>
          <w:sz w:val="20"/>
          <w:szCs w:val="20"/>
        </w:rPr>
        <w:t xml:space="preserve"> </w:t>
      </w:r>
      <w:r w:rsidR="00432DEC" w:rsidRPr="00601EB3">
        <w:rPr>
          <w:rFonts w:ascii="Times New Roman" w:eastAsia="Times New Roman" w:hAnsi="Times New Roman" w:cs="Times New Roman"/>
          <w:sz w:val="20"/>
          <w:szCs w:val="20"/>
        </w:rPr>
        <w:t>that</w:t>
      </w:r>
      <w:r w:rsidR="005F37C0" w:rsidRPr="00601EB3">
        <w:rPr>
          <w:rFonts w:ascii="Times New Roman" w:eastAsia="Times New Roman" w:hAnsi="Times New Roman" w:cs="Times New Roman"/>
          <w:sz w:val="20"/>
          <w:szCs w:val="20"/>
        </w:rPr>
        <w:t>, diffuse tissue distribution of VEGF mRNA correlated w</w:t>
      </w:r>
      <w:r w:rsidR="000576D6" w:rsidRPr="00601EB3">
        <w:rPr>
          <w:rFonts w:ascii="Times New Roman" w:eastAsia="Times New Roman" w:hAnsi="Times New Roman" w:cs="Times New Roman"/>
          <w:sz w:val="20"/>
          <w:szCs w:val="20"/>
        </w:rPr>
        <w:t>ith an unfavorable 5-year OS (p=</w:t>
      </w:r>
      <w:r w:rsidR="005F37C0" w:rsidRPr="00601EB3">
        <w:rPr>
          <w:rFonts w:ascii="Times New Roman" w:eastAsia="Times New Roman" w:hAnsi="Times New Roman" w:cs="Times New Roman"/>
          <w:sz w:val="20"/>
          <w:szCs w:val="20"/>
        </w:rPr>
        <w:t>0.004)</w:t>
      </w:r>
      <w:r w:rsidR="002D65DE" w:rsidRPr="00601EB3">
        <w:rPr>
          <w:rFonts w:ascii="Times New Roman" w:eastAsia="Times New Roman" w:hAnsi="Times New Roman" w:cs="Times New Roman"/>
          <w:sz w:val="20"/>
          <w:szCs w:val="20"/>
        </w:rPr>
        <w:t xml:space="preserve"> [29]</w:t>
      </w:r>
      <w:r w:rsidR="005F37C0" w:rsidRPr="00601EB3">
        <w:rPr>
          <w:rFonts w:ascii="Times New Roman" w:eastAsia="Times New Roman" w:hAnsi="Times New Roman" w:cs="Times New Roman"/>
          <w:sz w:val="20"/>
          <w:szCs w:val="20"/>
        </w:rPr>
        <w:t>.</w:t>
      </w:r>
      <w:r w:rsidR="005843F5">
        <w:rPr>
          <w:rFonts w:ascii="Times New Roman" w:eastAsia="Times New Roman" w:hAnsi="Times New Roman" w:cs="Times New Roman"/>
          <w:sz w:val="20"/>
          <w:szCs w:val="20"/>
        </w:rPr>
        <w:t xml:space="preserve"> </w:t>
      </w:r>
      <w:r w:rsidR="000E5E4F" w:rsidRPr="00601EB3">
        <w:rPr>
          <w:rFonts w:ascii="Times New Roman" w:hAnsi="Times New Roman" w:cs="Times New Roman"/>
          <w:sz w:val="20"/>
          <w:szCs w:val="20"/>
        </w:rPr>
        <w:t xml:space="preserve">Others as </w:t>
      </w:r>
      <w:proofErr w:type="spellStart"/>
      <w:r w:rsidR="005F37C0" w:rsidRPr="00601EB3">
        <w:rPr>
          <w:rFonts w:ascii="Times New Roman" w:eastAsia="Times New Roman" w:hAnsi="Times New Roman" w:cs="Times New Roman"/>
          <w:bCs/>
          <w:sz w:val="20"/>
          <w:szCs w:val="20"/>
        </w:rPr>
        <w:t>Paydas</w:t>
      </w:r>
      <w:proofErr w:type="spellEnd"/>
      <w:r w:rsidR="005F37C0" w:rsidRPr="00601EB3">
        <w:rPr>
          <w:rFonts w:ascii="Times New Roman" w:eastAsia="Times New Roman" w:hAnsi="Times New Roman" w:cs="Times New Roman"/>
          <w:bCs/>
          <w:sz w:val="20"/>
          <w:szCs w:val="20"/>
        </w:rPr>
        <w:t xml:space="preserve"> et al, 2009</w:t>
      </w:r>
      <w:r w:rsidR="000E5E4F" w:rsidRPr="00601EB3">
        <w:rPr>
          <w:rFonts w:ascii="Times New Roman" w:eastAsia="Times New Roman" w:hAnsi="Times New Roman" w:cs="Times New Roman"/>
          <w:bCs/>
          <w:sz w:val="20"/>
          <w:szCs w:val="20"/>
        </w:rPr>
        <w:t xml:space="preserve"> [13]</w:t>
      </w:r>
      <w:r w:rsidR="000576D6" w:rsidRPr="00601EB3">
        <w:rPr>
          <w:rFonts w:ascii="Times New Roman" w:eastAsia="Times New Roman" w:hAnsi="Times New Roman" w:cs="Times New Roman"/>
          <w:sz w:val="20"/>
          <w:szCs w:val="20"/>
        </w:rPr>
        <w:t xml:space="preserve"> found that</w:t>
      </w:r>
      <w:r w:rsidR="00E10B62" w:rsidRPr="00601EB3">
        <w:rPr>
          <w:rFonts w:ascii="Times New Roman" w:eastAsia="Times New Roman" w:hAnsi="Times New Roman" w:cs="Times New Roman"/>
          <w:sz w:val="20"/>
          <w:szCs w:val="20"/>
        </w:rPr>
        <w:t>,</w:t>
      </w:r>
      <w:r w:rsidR="000576D6" w:rsidRPr="00601EB3">
        <w:rPr>
          <w:rFonts w:ascii="Times New Roman" w:eastAsia="Times New Roman" w:hAnsi="Times New Roman" w:cs="Times New Roman"/>
          <w:sz w:val="20"/>
          <w:szCs w:val="20"/>
        </w:rPr>
        <w:t xml:space="preserve"> the o</w:t>
      </w:r>
      <w:r w:rsidR="005F37C0" w:rsidRPr="00601EB3">
        <w:rPr>
          <w:rFonts w:ascii="Times New Roman" w:eastAsia="Times New Roman" w:hAnsi="Times New Roman" w:cs="Times New Roman"/>
          <w:sz w:val="20"/>
          <w:szCs w:val="20"/>
        </w:rPr>
        <w:t xml:space="preserve">verall survival (OS) rate was shorter in cases with VEGF-A (+) cases than with </w:t>
      </w:r>
      <w:r w:rsidR="000576D6" w:rsidRPr="00601EB3">
        <w:rPr>
          <w:rFonts w:ascii="Times New Roman" w:eastAsia="Times New Roman" w:hAnsi="Times New Roman" w:cs="Times New Roman"/>
          <w:sz w:val="20"/>
          <w:szCs w:val="20"/>
        </w:rPr>
        <w:t>negative cases (</w:t>
      </w:r>
      <w:r w:rsidR="008D34B4" w:rsidRPr="00601EB3">
        <w:rPr>
          <w:rFonts w:ascii="Times New Roman" w:eastAsia="Times New Roman" w:hAnsi="Times New Roman" w:cs="Times New Roman"/>
          <w:sz w:val="20"/>
          <w:szCs w:val="20"/>
        </w:rPr>
        <w:t>P</w:t>
      </w:r>
      <w:r w:rsidR="000576D6" w:rsidRPr="00601EB3">
        <w:rPr>
          <w:rFonts w:ascii="Times New Roman" w:eastAsia="Times New Roman" w:hAnsi="Times New Roman" w:cs="Times New Roman"/>
          <w:sz w:val="20"/>
          <w:szCs w:val="20"/>
        </w:rPr>
        <w:t>=</w:t>
      </w:r>
      <w:r w:rsidR="005F37C0" w:rsidRPr="00601EB3">
        <w:rPr>
          <w:rFonts w:ascii="Times New Roman" w:eastAsia="Times New Roman" w:hAnsi="Times New Roman" w:cs="Times New Roman"/>
          <w:sz w:val="20"/>
          <w:szCs w:val="20"/>
        </w:rPr>
        <w:t>0.03)</w:t>
      </w:r>
      <w:r w:rsidR="008D34B4" w:rsidRPr="00601EB3">
        <w:rPr>
          <w:rFonts w:ascii="Times New Roman" w:eastAsia="Times New Roman" w:hAnsi="Times New Roman" w:cs="Times New Roman"/>
          <w:sz w:val="20"/>
          <w:szCs w:val="20"/>
        </w:rPr>
        <w:t xml:space="preserve"> and that</w:t>
      </w:r>
      <w:r w:rsidR="005843F5">
        <w:rPr>
          <w:rFonts w:ascii="Times New Roman" w:eastAsia="Times New Roman" w:hAnsi="Times New Roman" w:cs="Times New Roman"/>
          <w:sz w:val="20"/>
          <w:szCs w:val="20"/>
        </w:rPr>
        <w:t xml:space="preserve"> </w:t>
      </w:r>
      <w:r w:rsidR="005F37C0" w:rsidRPr="00601EB3">
        <w:rPr>
          <w:rFonts w:ascii="Times New Roman" w:eastAsia="Times New Roman" w:hAnsi="Times New Roman" w:cs="Times New Roman"/>
          <w:sz w:val="20"/>
          <w:szCs w:val="20"/>
        </w:rPr>
        <w:t>among DLBCL</w:t>
      </w:r>
      <w:r w:rsidR="000576D6" w:rsidRPr="00601EB3">
        <w:rPr>
          <w:rFonts w:ascii="Times New Roman" w:eastAsia="Times New Roman" w:hAnsi="Times New Roman" w:cs="Times New Roman"/>
          <w:sz w:val="20"/>
          <w:szCs w:val="20"/>
        </w:rPr>
        <w:t>, the m</w:t>
      </w:r>
      <w:r w:rsidR="005F37C0" w:rsidRPr="00601EB3">
        <w:rPr>
          <w:rFonts w:ascii="Times New Roman" w:eastAsia="Times New Roman" w:hAnsi="Times New Roman" w:cs="Times New Roman"/>
          <w:sz w:val="20"/>
          <w:szCs w:val="20"/>
        </w:rPr>
        <w:t>ean survival rates were significantly sho</w:t>
      </w:r>
      <w:r w:rsidR="000576D6" w:rsidRPr="00601EB3">
        <w:rPr>
          <w:rFonts w:ascii="Times New Roman" w:eastAsia="Times New Roman" w:hAnsi="Times New Roman" w:cs="Times New Roman"/>
          <w:sz w:val="20"/>
          <w:szCs w:val="20"/>
        </w:rPr>
        <w:t>rter in cases expressing VEGF-A</w:t>
      </w:r>
      <w:r w:rsidR="005F37C0" w:rsidRPr="00601EB3">
        <w:rPr>
          <w:rFonts w:ascii="Times New Roman" w:eastAsia="Times New Roman" w:hAnsi="Times New Roman" w:cs="Times New Roman"/>
          <w:sz w:val="20"/>
          <w:szCs w:val="20"/>
        </w:rPr>
        <w:t xml:space="preserve"> than cases not expressing </w:t>
      </w:r>
      <w:r w:rsidR="008D34B4" w:rsidRPr="00601EB3">
        <w:rPr>
          <w:rFonts w:ascii="Times New Roman" w:eastAsia="Times New Roman" w:hAnsi="Times New Roman" w:cs="Times New Roman"/>
          <w:sz w:val="20"/>
          <w:szCs w:val="20"/>
        </w:rPr>
        <w:t>i</w:t>
      </w:r>
      <w:r w:rsidR="00577CE4" w:rsidRPr="00601EB3">
        <w:rPr>
          <w:rFonts w:ascii="Times New Roman" w:eastAsia="Times New Roman" w:hAnsi="Times New Roman" w:cs="Times New Roman"/>
          <w:sz w:val="20"/>
          <w:szCs w:val="20"/>
        </w:rPr>
        <w:t>t</w:t>
      </w:r>
      <w:r w:rsidR="00A67EFA" w:rsidRPr="00601EB3">
        <w:rPr>
          <w:rFonts w:ascii="Times New Roman" w:hAnsi="Times New Roman" w:cs="Times New Roman"/>
          <w:sz w:val="20"/>
          <w:szCs w:val="20"/>
        </w:rPr>
        <w:t>.</w:t>
      </w:r>
      <w:r w:rsidR="005843F5">
        <w:rPr>
          <w:rFonts w:ascii="Times New Roman" w:hAnsi="Times New Roman" w:cs="Times New Roman"/>
          <w:sz w:val="20"/>
          <w:szCs w:val="20"/>
        </w:rPr>
        <w:t xml:space="preserve"> </w:t>
      </w:r>
      <w:proofErr w:type="spellStart"/>
      <w:r w:rsidR="00D7504C" w:rsidRPr="00601EB3">
        <w:rPr>
          <w:rFonts w:ascii="Times New Roman" w:eastAsia="Times New Roman" w:hAnsi="Times New Roman" w:cs="Times New Roman"/>
          <w:bCs/>
          <w:sz w:val="20"/>
          <w:szCs w:val="20"/>
        </w:rPr>
        <w:t>Hazar</w:t>
      </w:r>
      <w:proofErr w:type="spellEnd"/>
      <w:r w:rsidR="005843F5">
        <w:rPr>
          <w:rFonts w:ascii="Times New Roman" w:eastAsia="Times New Roman" w:hAnsi="Times New Roman" w:cs="Times New Roman"/>
          <w:bCs/>
          <w:sz w:val="20"/>
          <w:szCs w:val="20"/>
        </w:rPr>
        <w:t xml:space="preserve"> </w:t>
      </w:r>
      <w:r w:rsidR="005F37C0" w:rsidRPr="00601EB3">
        <w:rPr>
          <w:rFonts w:ascii="Times New Roman" w:eastAsia="Times New Roman" w:hAnsi="Times New Roman" w:cs="Times New Roman"/>
          <w:bCs/>
          <w:sz w:val="20"/>
          <w:szCs w:val="20"/>
        </w:rPr>
        <w:t>et al, 2003</w:t>
      </w:r>
      <w:r w:rsidR="00D7504C" w:rsidRPr="00601EB3">
        <w:rPr>
          <w:rFonts w:ascii="Times New Roman" w:eastAsia="Times New Roman" w:hAnsi="Times New Roman" w:cs="Times New Roman"/>
          <w:sz w:val="20"/>
          <w:szCs w:val="20"/>
        </w:rPr>
        <w:t xml:space="preserve">[15] </w:t>
      </w:r>
      <w:r w:rsidR="00E10B62" w:rsidRPr="00601EB3">
        <w:rPr>
          <w:rFonts w:ascii="Times New Roman" w:eastAsia="Times New Roman" w:hAnsi="Times New Roman" w:cs="Times New Roman"/>
          <w:sz w:val="20"/>
          <w:szCs w:val="20"/>
        </w:rPr>
        <w:t>found</w:t>
      </w:r>
      <w:r w:rsidR="005843F5">
        <w:rPr>
          <w:rFonts w:ascii="Times New Roman" w:eastAsia="Times New Roman" w:hAnsi="Times New Roman" w:cs="Times New Roman"/>
          <w:sz w:val="20"/>
          <w:szCs w:val="20"/>
        </w:rPr>
        <w:t xml:space="preserve"> </w:t>
      </w:r>
      <w:r w:rsidR="00577CE4" w:rsidRPr="00601EB3">
        <w:rPr>
          <w:rFonts w:ascii="Times New Roman" w:eastAsia="Times New Roman" w:hAnsi="Times New Roman" w:cs="Times New Roman"/>
          <w:sz w:val="20"/>
          <w:szCs w:val="20"/>
        </w:rPr>
        <w:t>that</w:t>
      </w:r>
      <w:r w:rsidR="005843F5">
        <w:rPr>
          <w:rFonts w:ascii="Times New Roman" w:eastAsia="Times New Roman" w:hAnsi="Times New Roman" w:cs="Times New Roman"/>
          <w:sz w:val="20"/>
          <w:szCs w:val="20"/>
        </w:rPr>
        <w:t xml:space="preserve"> </w:t>
      </w:r>
      <w:r w:rsidR="005F37C0" w:rsidRPr="00601EB3">
        <w:rPr>
          <w:rFonts w:ascii="Times New Roman" w:eastAsia="Times New Roman" w:hAnsi="Times New Roman" w:cs="Times New Roman"/>
          <w:sz w:val="20"/>
          <w:szCs w:val="20"/>
        </w:rPr>
        <w:t>in 71 patients with NHL</w:t>
      </w:r>
      <w:r w:rsidR="00E10B62" w:rsidRPr="00601EB3">
        <w:rPr>
          <w:rFonts w:ascii="Times New Roman" w:eastAsia="Times New Roman" w:hAnsi="Times New Roman" w:cs="Times New Roman"/>
          <w:sz w:val="20"/>
          <w:szCs w:val="20"/>
        </w:rPr>
        <w:t xml:space="preserve">, </w:t>
      </w:r>
      <w:r w:rsidR="005F37C0" w:rsidRPr="00601EB3">
        <w:rPr>
          <w:rFonts w:ascii="Times New Roman" w:eastAsia="Times New Roman" w:hAnsi="Times New Roman" w:cs="Times New Roman"/>
          <w:sz w:val="20"/>
          <w:szCs w:val="20"/>
        </w:rPr>
        <w:t>complete and partial response rate</w:t>
      </w:r>
      <w:r w:rsidR="00577CE4" w:rsidRPr="00601EB3">
        <w:rPr>
          <w:rFonts w:ascii="Times New Roman" w:eastAsia="Times New Roman" w:hAnsi="Times New Roman" w:cs="Times New Roman"/>
          <w:sz w:val="20"/>
          <w:szCs w:val="20"/>
        </w:rPr>
        <w:t>s</w:t>
      </w:r>
      <w:r w:rsidR="005F37C0" w:rsidRPr="00601EB3">
        <w:rPr>
          <w:rFonts w:ascii="Times New Roman" w:eastAsia="Times New Roman" w:hAnsi="Times New Roman" w:cs="Times New Roman"/>
          <w:sz w:val="20"/>
          <w:szCs w:val="20"/>
        </w:rPr>
        <w:t xml:space="preserve"> to therapy w</w:t>
      </w:r>
      <w:r w:rsidR="00577CE4" w:rsidRPr="00601EB3">
        <w:rPr>
          <w:rFonts w:ascii="Times New Roman" w:eastAsia="Times New Roman" w:hAnsi="Times New Roman" w:cs="Times New Roman"/>
          <w:sz w:val="20"/>
          <w:szCs w:val="20"/>
        </w:rPr>
        <w:t>ere</w:t>
      </w:r>
      <w:r w:rsidR="005F37C0" w:rsidRPr="00601EB3">
        <w:rPr>
          <w:rFonts w:ascii="Times New Roman" w:eastAsia="Times New Roman" w:hAnsi="Times New Roman" w:cs="Times New Roman"/>
          <w:sz w:val="20"/>
          <w:szCs w:val="20"/>
        </w:rPr>
        <w:t xml:space="preserve"> significantly higher in VEGF-negative patients than i</w:t>
      </w:r>
      <w:r w:rsidR="00E10B62" w:rsidRPr="00601EB3">
        <w:rPr>
          <w:rFonts w:ascii="Times New Roman" w:eastAsia="Times New Roman" w:hAnsi="Times New Roman" w:cs="Times New Roman"/>
          <w:sz w:val="20"/>
          <w:szCs w:val="20"/>
        </w:rPr>
        <w:t>n the VEGF-positive patients (</w:t>
      </w:r>
      <w:r w:rsidR="00577CE4" w:rsidRPr="00601EB3">
        <w:rPr>
          <w:rFonts w:ascii="Times New Roman" w:eastAsia="Times New Roman" w:hAnsi="Times New Roman" w:cs="Times New Roman"/>
          <w:sz w:val="20"/>
          <w:szCs w:val="20"/>
        </w:rPr>
        <w:t>P</w:t>
      </w:r>
      <w:r w:rsidR="00E10B62" w:rsidRPr="00601EB3">
        <w:rPr>
          <w:rFonts w:ascii="Times New Roman" w:eastAsia="Times New Roman" w:hAnsi="Times New Roman" w:cs="Times New Roman"/>
          <w:sz w:val="20"/>
          <w:szCs w:val="20"/>
        </w:rPr>
        <w:t>=</w:t>
      </w:r>
      <w:r w:rsidR="00D7504C" w:rsidRPr="00601EB3">
        <w:rPr>
          <w:rFonts w:ascii="Times New Roman" w:eastAsia="Times New Roman" w:hAnsi="Times New Roman" w:cs="Times New Roman"/>
          <w:sz w:val="20"/>
          <w:szCs w:val="20"/>
        </w:rPr>
        <w:t>0.003) and</w:t>
      </w:r>
      <w:r w:rsidR="005843F5">
        <w:rPr>
          <w:rFonts w:ascii="Times New Roman" w:eastAsia="Times New Roman" w:hAnsi="Times New Roman" w:cs="Times New Roman"/>
          <w:sz w:val="20"/>
          <w:szCs w:val="20"/>
        </w:rPr>
        <w:t xml:space="preserve"> </w:t>
      </w:r>
      <w:proofErr w:type="spellStart"/>
      <w:r w:rsidR="005F37C0" w:rsidRPr="00601EB3">
        <w:rPr>
          <w:rFonts w:ascii="Times New Roman" w:eastAsia="Times New Roman" w:hAnsi="Times New Roman" w:cs="Times New Roman"/>
          <w:bCs/>
          <w:sz w:val="20"/>
          <w:szCs w:val="20"/>
        </w:rPr>
        <w:t>Paydas</w:t>
      </w:r>
      <w:proofErr w:type="spellEnd"/>
      <w:r w:rsidR="005F37C0" w:rsidRPr="00601EB3">
        <w:rPr>
          <w:rFonts w:ascii="Times New Roman" w:eastAsia="Times New Roman" w:hAnsi="Times New Roman" w:cs="Times New Roman"/>
          <w:bCs/>
          <w:sz w:val="20"/>
          <w:szCs w:val="20"/>
        </w:rPr>
        <w:t xml:space="preserve"> et al, 2008</w:t>
      </w:r>
      <w:r w:rsidR="00D7504C" w:rsidRPr="00601EB3">
        <w:rPr>
          <w:rFonts w:ascii="Times New Roman" w:eastAsia="Times New Roman" w:hAnsi="Times New Roman" w:cs="Times New Roman"/>
          <w:bCs/>
          <w:sz w:val="20"/>
          <w:szCs w:val="20"/>
        </w:rPr>
        <w:t xml:space="preserve"> [22]</w:t>
      </w:r>
      <w:r w:rsidR="005843F5">
        <w:rPr>
          <w:rFonts w:ascii="Times New Roman" w:eastAsia="Times New Roman" w:hAnsi="Times New Roman" w:cs="Times New Roman"/>
          <w:bCs/>
          <w:sz w:val="20"/>
          <w:szCs w:val="20"/>
        </w:rPr>
        <w:t xml:space="preserve"> </w:t>
      </w:r>
      <w:r w:rsidR="00E10B62" w:rsidRPr="00601EB3">
        <w:rPr>
          <w:rFonts w:ascii="Times New Roman" w:eastAsia="Times New Roman" w:hAnsi="Times New Roman" w:cs="Times New Roman"/>
          <w:sz w:val="20"/>
          <w:szCs w:val="20"/>
        </w:rPr>
        <w:t>also found</w:t>
      </w:r>
      <w:r w:rsidR="00577CE4" w:rsidRPr="00601EB3">
        <w:rPr>
          <w:rFonts w:ascii="Times New Roman" w:eastAsia="Times New Roman" w:hAnsi="Times New Roman" w:cs="Times New Roman"/>
          <w:sz w:val="20"/>
          <w:szCs w:val="20"/>
        </w:rPr>
        <w:t xml:space="preserve"> that</w:t>
      </w:r>
      <w:r w:rsidR="00E10B62" w:rsidRPr="00601EB3">
        <w:rPr>
          <w:rFonts w:ascii="Times New Roman" w:eastAsia="Times New Roman" w:hAnsi="Times New Roman" w:cs="Times New Roman"/>
          <w:sz w:val="20"/>
          <w:szCs w:val="20"/>
        </w:rPr>
        <w:t xml:space="preserve"> a</w:t>
      </w:r>
      <w:r w:rsidR="005F37C0" w:rsidRPr="00601EB3">
        <w:rPr>
          <w:rFonts w:ascii="Times New Roman" w:eastAsia="Times New Roman" w:hAnsi="Times New Roman" w:cs="Times New Roman"/>
          <w:sz w:val="20"/>
          <w:szCs w:val="20"/>
        </w:rPr>
        <w:t>mong 60 cases with LGL and 117 cases with AL</w:t>
      </w:r>
      <w:r w:rsidR="00E10B62" w:rsidRPr="00601EB3">
        <w:rPr>
          <w:rFonts w:ascii="Times New Roman" w:eastAsia="Times New Roman" w:hAnsi="Times New Roman" w:cs="Times New Roman"/>
          <w:sz w:val="20"/>
          <w:szCs w:val="20"/>
        </w:rPr>
        <w:t xml:space="preserve">, </w:t>
      </w:r>
      <w:r w:rsidR="00577CE4" w:rsidRPr="00601EB3">
        <w:rPr>
          <w:rFonts w:ascii="Times New Roman" w:eastAsia="Times New Roman" w:hAnsi="Times New Roman" w:cs="Times New Roman"/>
          <w:sz w:val="20"/>
          <w:szCs w:val="20"/>
        </w:rPr>
        <w:t xml:space="preserve">the </w:t>
      </w:r>
      <w:r w:rsidR="00E10B62" w:rsidRPr="00601EB3">
        <w:rPr>
          <w:rFonts w:ascii="Times New Roman" w:eastAsia="Times New Roman" w:hAnsi="Times New Roman" w:cs="Times New Roman"/>
          <w:sz w:val="20"/>
          <w:szCs w:val="20"/>
        </w:rPr>
        <w:t>o</w:t>
      </w:r>
      <w:r w:rsidR="005F37C0" w:rsidRPr="00601EB3">
        <w:rPr>
          <w:rFonts w:ascii="Times New Roman" w:eastAsia="Times New Roman" w:hAnsi="Times New Roman" w:cs="Times New Roman"/>
          <w:sz w:val="20"/>
          <w:szCs w:val="20"/>
        </w:rPr>
        <w:t>verall survival times were shorter in VEGF (+) cases as compared with (−) cases</w:t>
      </w:r>
      <w:r w:rsidR="00E75E44" w:rsidRPr="00601EB3">
        <w:rPr>
          <w:rFonts w:ascii="Times New Roman" w:eastAsia="Times New Roman" w:hAnsi="Times New Roman" w:cs="Times New Roman"/>
          <w:sz w:val="20"/>
          <w:szCs w:val="20"/>
        </w:rPr>
        <w:t>.</w:t>
      </w:r>
      <w:r w:rsidR="005843F5">
        <w:rPr>
          <w:rFonts w:ascii="Times New Roman" w:eastAsia="Times New Roman" w:hAnsi="Times New Roman" w:cs="Times New Roman"/>
          <w:sz w:val="20"/>
          <w:szCs w:val="20"/>
        </w:rPr>
        <w:t xml:space="preserve"> </w:t>
      </w:r>
      <w:r w:rsidR="00222DC9" w:rsidRPr="00601EB3">
        <w:rPr>
          <w:rFonts w:ascii="Times New Roman" w:eastAsia="Times New Roman" w:hAnsi="Times New Roman" w:cs="Times New Roman"/>
          <w:bCs/>
          <w:sz w:val="20"/>
          <w:szCs w:val="20"/>
        </w:rPr>
        <w:t>In addition</w:t>
      </w:r>
      <w:r w:rsidR="007E75C3" w:rsidRPr="00601EB3">
        <w:rPr>
          <w:rFonts w:ascii="Times New Roman" w:eastAsia="Times New Roman" w:hAnsi="Times New Roman" w:cs="Times New Roman"/>
          <w:bCs/>
          <w:sz w:val="20"/>
          <w:szCs w:val="20"/>
        </w:rPr>
        <w:t>,</w:t>
      </w:r>
      <w:r w:rsidR="00222DC9" w:rsidRPr="00601EB3">
        <w:rPr>
          <w:rFonts w:ascii="Times New Roman" w:eastAsia="Times New Roman" w:hAnsi="Times New Roman" w:cs="Times New Roman"/>
          <w:bCs/>
          <w:sz w:val="20"/>
          <w:szCs w:val="20"/>
        </w:rPr>
        <w:t xml:space="preserve"> a previous old study,</w:t>
      </w:r>
      <w:r w:rsidR="005843F5">
        <w:rPr>
          <w:rFonts w:ascii="Times New Roman" w:eastAsia="Times New Roman" w:hAnsi="Times New Roman" w:cs="Times New Roman"/>
          <w:bCs/>
          <w:sz w:val="20"/>
          <w:szCs w:val="20"/>
        </w:rPr>
        <w:t xml:space="preserve"> </w:t>
      </w:r>
      <w:r w:rsidR="001C4E99" w:rsidRPr="00601EB3">
        <w:rPr>
          <w:rFonts w:ascii="Times New Roman" w:eastAsia="Times New Roman" w:hAnsi="Times New Roman" w:cs="Times New Roman"/>
          <w:sz w:val="20"/>
          <w:szCs w:val="20"/>
        </w:rPr>
        <w:t>documented upon</w:t>
      </w:r>
      <w:r w:rsidR="00986A79" w:rsidRPr="00601EB3">
        <w:rPr>
          <w:rFonts w:ascii="Times New Roman" w:eastAsia="Times New Roman" w:hAnsi="Times New Roman" w:cs="Times New Roman"/>
          <w:sz w:val="20"/>
          <w:szCs w:val="20"/>
        </w:rPr>
        <w:t>, baseline VEGF</w:t>
      </w:r>
      <w:r w:rsidR="005F37C0" w:rsidRPr="00601EB3">
        <w:rPr>
          <w:rFonts w:ascii="Times New Roman" w:eastAsia="Times New Roman" w:hAnsi="Times New Roman" w:cs="Times New Roman"/>
          <w:sz w:val="20"/>
          <w:szCs w:val="20"/>
        </w:rPr>
        <w:t xml:space="preserve"> levels of </w:t>
      </w:r>
      <w:r w:rsidR="00E75E44" w:rsidRPr="00601EB3">
        <w:rPr>
          <w:rFonts w:ascii="Times New Roman" w:eastAsia="Times New Roman" w:hAnsi="Times New Roman" w:cs="Times New Roman"/>
          <w:sz w:val="20"/>
          <w:szCs w:val="20"/>
        </w:rPr>
        <w:t xml:space="preserve">NHL </w:t>
      </w:r>
      <w:r w:rsidR="00986A79" w:rsidRPr="00601EB3">
        <w:rPr>
          <w:rFonts w:ascii="Times New Roman" w:eastAsia="Times New Roman" w:hAnsi="Times New Roman" w:cs="Times New Roman"/>
          <w:sz w:val="20"/>
          <w:szCs w:val="20"/>
        </w:rPr>
        <w:t>patients in CR</w:t>
      </w:r>
      <w:r w:rsidR="005F37C0" w:rsidRPr="00601EB3">
        <w:rPr>
          <w:rFonts w:ascii="Times New Roman" w:eastAsia="Times New Roman" w:hAnsi="Times New Roman" w:cs="Times New Roman"/>
          <w:sz w:val="20"/>
          <w:szCs w:val="20"/>
        </w:rPr>
        <w:t xml:space="preserve"> after a median follow-up of 21 months were significantly lower than those of patie</w:t>
      </w:r>
      <w:r w:rsidR="00986A79" w:rsidRPr="00601EB3">
        <w:rPr>
          <w:rFonts w:ascii="Times New Roman" w:eastAsia="Times New Roman" w:hAnsi="Times New Roman" w:cs="Times New Roman"/>
          <w:sz w:val="20"/>
          <w:szCs w:val="20"/>
        </w:rPr>
        <w:t>nts with progressive disease (P 0.016) and</w:t>
      </w:r>
      <w:r w:rsidR="005843F5">
        <w:rPr>
          <w:rFonts w:ascii="Times New Roman" w:eastAsia="Times New Roman" w:hAnsi="Times New Roman" w:cs="Times New Roman"/>
          <w:sz w:val="20"/>
          <w:szCs w:val="20"/>
        </w:rPr>
        <w:t xml:space="preserve"> </w:t>
      </w:r>
      <w:r w:rsidR="009D3675" w:rsidRPr="00601EB3">
        <w:rPr>
          <w:rFonts w:ascii="Times New Roman" w:eastAsia="Times New Roman" w:hAnsi="Times New Roman" w:cs="Times New Roman"/>
          <w:sz w:val="20"/>
          <w:szCs w:val="20"/>
        </w:rPr>
        <w:t>the</w:t>
      </w:r>
      <w:r w:rsidR="005843F5">
        <w:rPr>
          <w:rFonts w:ascii="Times New Roman" w:eastAsia="Times New Roman" w:hAnsi="Times New Roman" w:cs="Times New Roman"/>
          <w:sz w:val="20"/>
          <w:szCs w:val="20"/>
        </w:rPr>
        <w:t xml:space="preserve"> </w:t>
      </w:r>
      <w:r w:rsidR="00E75E44" w:rsidRPr="00601EB3">
        <w:rPr>
          <w:rFonts w:ascii="Times New Roman" w:eastAsia="Times New Roman" w:hAnsi="Times New Roman" w:cs="Times New Roman"/>
          <w:sz w:val="20"/>
          <w:szCs w:val="20"/>
        </w:rPr>
        <w:t>e</w:t>
      </w:r>
      <w:r w:rsidR="005F37C0" w:rsidRPr="00601EB3">
        <w:rPr>
          <w:rFonts w:ascii="Times New Roman" w:eastAsia="Times New Roman" w:hAnsi="Times New Roman" w:cs="Times New Roman"/>
          <w:sz w:val="20"/>
          <w:szCs w:val="20"/>
        </w:rPr>
        <w:t xml:space="preserve">vent-free survival (EFS) rate was significantly higher in </w:t>
      </w:r>
      <w:r w:rsidR="000D2DE1" w:rsidRPr="00601EB3">
        <w:rPr>
          <w:rFonts w:ascii="Times New Roman" w:eastAsia="Times New Roman" w:hAnsi="Times New Roman" w:cs="Times New Roman"/>
          <w:sz w:val="20"/>
          <w:szCs w:val="20"/>
        </w:rPr>
        <w:t xml:space="preserve">patients who had baseline VEGF </w:t>
      </w:r>
      <w:r w:rsidR="005F37C0" w:rsidRPr="00601EB3">
        <w:rPr>
          <w:rFonts w:ascii="Times New Roman" w:eastAsia="Times New Roman" w:hAnsi="Times New Roman" w:cs="Times New Roman"/>
          <w:sz w:val="20"/>
          <w:szCs w:val="20"/>
        </w:rPr>
        <w:t xml:space="preserve">level below the median </w:t>
      </w:r>
      <w:r w:rsidR="000D2DE1" w:rsidRPr="00601EB3">
        <w:rPr>
          <w:rFonts w:ascii="Times New Roman" w:eastAsia="Times New Roman" w:hAnsi="Times New Roman" w:cs="Times New Roman"/>
          <w:sz w:val="20"/>
          <w:szCs w:val="20"/>
        </w:rPr>
        <w:t>values of 147 and 19.5 pg/ml (P=</w:t>
      </w:r>
      <w:r w:rsidR="0092672C" w:rsidRPr="00601EB3">
        <w:rPr>
          <w:rFonts w:ascii="Times New Roman" w:eastAsia="Times New Roman" w:hAnsi="Times New Roman" w:cs="Times New Roman"/>
          <w:sz w:val="20"/>
          <w:szCs w:val="20"/>
        </w:rPr>
        <w:t>0.018</w:t>
      </w:r>
      <w:r w:rsidR="005F37C0" w:rsidRPr="00601EB3">
        <w:rPr>
          <w:rFonts w:ascii="Times New Roman" w:eastAsia="Times New Roman" w:hAnsi="Times New Roman" w:cs="Times New Roman"/>
          <w:sz w:val="20"/>
          <w:szCs w:val="20"/>
        </w:rPr>
        <w:t>)</w:t>
      </w:r>
      <w:r w:rsidR="00222DC9" w:rsidRPr="00601EB3">
        <w:rPr>
          <w:rFonts w:ascii="Times New Roman" w:eastAsia="Times New Roman" w:hAnsi="Times New Roman" w:cs="Times New Roman"/>
          <w:sz w:val="20"/>
          <w:szCs w:val="20"/>
        </w:rPr>
        <w:t xml:space="preserve"> [30]</w:t>
      </w:r>
      <w:r w:rsidR="0092672C" w:rsidRPr="00601EB3">
        <w:rPr>
          <w:rFonts w:ascii="Times New Roman" w:eastAsia="Times New Roman" w:hAnsi="Times New Roman" w:cs="Times New Roman"/>
          <w:sz w:val="20"/>
          <w:szCs w:val="20"/>
        </w:rPr>
        <w:t>.</w:t>
      </w:r>
      <w:r w:rsidR="005843F5">
        <w:rPr>
          <w:rFonts w:ascii="Times New Roman" w:eastAsia="Times New Roman" w:hAnsi="Times New Roman" w:cs="Times New Roman"/>
          <w:sz w:val="20"/>
          <w:szCs w:val="20"/>
        </w:rPr>
        <w:t xml:space="preserve"> </w:t>
      </w:r>
      <w:r w:rsidR="001C4E99" w:rsidRPr="00601EB3">
        <w:rPr>
          <w:rFonts w:ascii="Times New Roman" w:eastAsia="Times New Roman" w:hAnsi="Times New Roman" w:cs="Times New Roman"/>
          <w:sz w:val="20"/>
          <w:szCs w:val="20"/>
        </w:rPr>
        <w:t xml:space="preserve">Several other authors reported </w:t>
      </w:r>
      <w:r w:rsidR="005F37C0" w:rsidRPr="00601EB3">
        <w:rPr>
          <w:rFonts w:ascii="Times New Roman" w:eastAsia="Times New Roman" w:hAnsi="Times New Roman" w:cs="Times New Roman"/>
          <w:sz w:val="20"/>
          <w:szCs w:val="20"/>
        </w:rPr>
        <w:t>a positive correlation between increased VEGF serum level and serum lac</w:t>
      </w:r>
      <w:r w:rsidR="0092672C" w:rsidRPr="00601EB3">
        <w:rPr>
          <w:rFonts w:ascii="Times New Roman" w:eastAsia="Times New Roman" w:hAnsi="Times New Roman" w:cs="Times New Roman"/>
          <w:sz w:val="20"/>
          <w:szCs w:val="20"/>
        </w:rPr>
        <w:t xml:space="preserve">tate </w:t>
      </w:r>
      <w:proofErr w:type="spellStart"/>
      <w:r w:rsidR="0092672C" w:rsidRPr="00601EB3">
        <w:rPr>
          <w:rFonts w:ascii="Times New Roman" w:eastAsia="Times New Roman" w:hAnsi="Times New Roman" w:cs="Times New Roman"/>
          <w:sz w:val="20"/>
          <w:szCs w:val="20"/>
        </w:rPr>
        <w:t>dehydrogenase</w:t>
      </w:r>
      <w:proofErr w:type="spellEnd"/>
      <w:r w:rsidR="0092672C" w:rsidRPr="00601EB3">
        <w:rPr>
          <w:rFonts w:ascii="Times New Roman" w:eastAsia="Times New Roman" w:hAnsi="Times New Roman" w:cs="Times New Roman"/>
          <w:sz w:val="20"/>
          <w:szCs w:val="20"/>
        </w:rPr>
        <w:t xml:space="preserve"> level, </w:t>
      </w:r>
      <w:r w:rsidR="00B2697C" w:rsidRPr="00601EB3">
        <w:rPr>
          <w:rFonts w:ascii="Times New Roman" w:eastAsia="Times New Roman" w:hAnsi="Times New Roman" w:cs="Times New Roman"/>
          <w:sz w:val="20"/>
          <w:szCs w:val="20"/>
        </w:rPr>
        <w:t xml:space="preserve">and that </w:t>
      </w:r>
      <w:r w:rsidR="0092672C" w:rsidRPr="00601EB3">
        <w:rPr>
          <w:rFonts w:ascii="Times New Roman" w:eastAsia="Times New Roman" w:hAnsi="Times New Roman" w:cs="Times New Roman"/>
          <w:sz w:val="20"/>
          <w:szCs w:val="20"/>
        </w:rPr>
        <w:t>t</w:t>
      </w:r>
      <w:r w:rsidR="005F37C0" w:rsidRPr="00601EB3">
        <w:rPr>
          <w:rFonts w:ascii="Times New Roman" w:eastAsia="Times New Roman" w:hAnsi="Times New Roman" w:cs="Times New Roman"/>
          <w:sz w:val="20"/>
          <w:szCs w:val="20"/>
        </w:rPr>
        <w:t>he levels of VEGF were not significantly diff</w:t>
      </w:r>
      <w:r w:rsidR="0092672C" w:rsidRPr="00601EB3">
        <w:rPr>
          <w:rFonts w:ascii="Times New Roman" w:eastAsia="Times New Roman" w:hAnsi="Times New Roman" w:cs="Times New Roman"/>
          <w:sz w:val="20"/>
          <w:szCs w:val="20"/>
        </w:rPr>
        <w:t xml:space="preserve">erent in </w:t>
      </w:r>
      <w:r w:rsidR="00B2697C" w:rsidRPr="00601EB3">
        <w:rPr>
          <w:rFonts w:ascii="Times New Roman" w:eastAsia="Times New Roman" w:hAnsi="Times New Roman" w:cs="Times New Roman"/>
          <w:sz w:val="20"/>
          <w:szCs w:val="20"/>
        </w:rPr>
        <w:t>aggressive</w:t>
      </w:r>
      <w:r w:rsidR="0092672C" w:rsidRPr="00601EB3">
        <w:rPr>
          <w:rFonts w:ascii="Times New Roman" w:eastAsia="Times New Roman" w:hAnsi="Times New Roman" w:cs="Times New Roman"/>
          <w:sz w:val="20"/>
          <w:szCs w:val="20"/>
        </w:rPr>
        <w:t xml:space="preserve"> or indolent N</w:t>
      </w:r>
      <w:r w:rsidR="005F37C0" w:rsidRPr="00601EB3">
        <w:rPr>
          <w:rFonts w:ascii="Times New Roman" w:eastAsia="Times New Roman" w:hAnsi="Times New Roman" w:cs="Times New Roman"/>
          <w:sz w:val="20"/>
          <w:szCs w:val="20"/>
        </w:rPr>
        <w:t>HL patients</w:t>
      </w:r>
      <w:r w:rsidR="0036425F" w:rsidRPr="00601EB3">
        <w:rPr>
          <w:rFonts w:ascii="Times New Roman" w:eastAsia="Times New Roman" w:hAnsi="Times New Roman" w:cs="Times New Roman"/>
          <w:sz w:val="20"/>
          <w:szCs w:val="20"/>
        </w:rPr>
        <w:t xml:space="preserve"> [31]</w:t>
      </w:r>
      <w:r w:rsidR="001C6934" w:rsidRPr="00601EB3">
        <w:rPr>
          <w:rFonts w:ascii="Times New Roman" w:eastAsia="Times New Roman" w:hAnsi="Times New Roman" w:cs="Times New Roman"/>
          <w:sz w:val="20"/>
          <w:szCs w:val="20"/>
        </w:rPr>
        <w:t>.</w:t>
      </w:r>
      <w:r w:rsidR="005843F5">
        <w:rPr>
          <w:rFonts w:ascii="Times New Roman" w:eastAsia="Times New Roman" w:hAnsi="Times New Roman" w:cs="Times New Roman"/>
          <w:sz w:val="20"/>
          <w:szCs w:val="20"/>
        </w:rPr>
        <w:t xml:space="preserve"> </w:t>
      </w:r>
      <w:r w:rsidR="00D779F8" w:rsidRPr="00601EB3">
        <w:rPr>
          <w:rFonts w:ascii="Times New Roman" w:eastAsia="Times New Roman" w:hAnsi="Times New Roman" w:cs="Times New Roman"/>
          <w:sz w:val="20"/>
          <w:szCs w:val="20"/>
        </w:rPr>
        <w:t>I</w:t>
      </w:r>
      <w:r w:rsidR="0036425F" w:rsidRPr="00601EB3">
        <w:rPr>
          <w:rFonts w:ascii="Times New Roman" w:eastAsia="Times New Roman" w:hAnsi="Times New Roman" w:cs="Times New Roman"/>
          <w:sz w:val="20"/>
          <w:szCs w:val="20"/>
        </w:rPr>
        <w:t>t was documented also that</w:t>
      </w:r>
      <w:r w:rsidR="0092672C" w:rsidRPr="00601EB3">
        <w:rPr>
          <w:rFonts w:ascii="Times New Roman" w:eastAsia="Times New Roman" w:hAnsi="Times New Roman" w:cs="Times New Roman"/>
          <w:sz w:val="20"/>
          <w:szCs w:val="20"/>
        </w:rPr>
        <w:t xml:space="preserve"> upon sequential analyses of </w:t>
      </w:r>
      <w:r w:rsidR="005F37C0" w:rsidRPr="00601EB3">
        <w:rPr>
          <w:rFonts w:ascii="Times New Roman" w:eastAsia="Times New Roman" w:hAnsi="Times New Roman" w:cs="Times New Roman"/>
          <w:sz w:val="20"/>
          <w:szCs w:val="20"/>
        </w:rPr>
        <w:t>VEGF serum</w:t>
      </w:r>
      <w:r w:rsidR="0092672C" w:rsidRPr="00601EB3">
        <w:rPr>
          <w:rFonts w:ascii="Times New Roman" w:eastAsia="Times New Roman" w:hAnsi="Times New Roman" w:cs="Times New Roman"/>
          <w:sz w:val="20"/>
          <w:szCs w:val="20"/>
        </w:rPr>
        <w:t xml:space="preserve"> level in NHL, its level </w:t>
      </w:r>
      <w:r w:rsidR="005F37C0" w:rsidRPr="00601EB3">
        <w:rPr>
          <w:rFonts w:ascii="Times New Roman" w:eastAsia="Times New Roman" w:hAnsi="Times New Roman" w:cs="Times New Roman"/>
          <w:sz w:val="20"/>
          <w:szCs w:val="20"/>
        </w:rPr>
        <w:t>decreased significantly after 6 months of treatment completion</w:t>
      </w:r>
      <w:r w:rsidR="0036425F" w:rsidRPr="00601EB3">
        <w:rPr>
          <w:rFonts w:ascii="Times New Roman" w:eastAsia="Times New Roman" w:hAnsi="Times New Roman" w:cs="Times New Roman"/>
          <w:sz w:val="20"/>
          <w:szCs w:val="20"/>
        </w:rPr>
        <w:t xml:space="preserve"> [32]</w:t>
      </w:r>
      <w:r w:rsidR="005F37C0" w:rsidRPr="00601EB3">
        <w:rPr>
          <w:rFonts w:ascii="Times New Roman" w:eastAsia="Times New Roman" w:hAnsi="Times New Roman" w:cs="Times New Roman"/>
          <w:sz w:val="20"/>
          <w:szCs w:val="20"/>
        </w:rPr>
        <w:t xml:space="preserve">. </w:t>
      </w:r>
      <w:r w:rsidR="00492F12" w:rsidRPr="00601EB3">
        <w:rPr>
          <w:rFonts w:ascii="Times New Roman" w:eastAsia="Times New Roman" w:hAnsi="Times New Roman" w:cs="Times New Roman"/>
          <w:sz w:val="20"/>
          <w:szCs w:val="20"/>
        </w:rPr>
        <w:t>Moreover,</w:t>
      </w:r>
      <w:r w:rsidR="005F37C0" w:rsidRPr="00601EB3">
        <w:rPr>
          <w:rFonts w:ascii="Times New Roman" w:eastAsia="Times New Roman" w:hAnsi="Times New Roman" w:cs="Times New Roman"/>
          <w:sz w:val="20"/>
          <w:szCs w:val="20"/>
        </w:rPr>
        <w:t xml:space="preserve"> a trend toward</w:t>
      </w:r>
      <w:r w:rsidR="00B2697C" w:rsidRPr="00601EB3">
        <w:rPr>
          <w:rFonts w:ascii="Times New Roman" w:eastAsia="Times New Roman" w:hAnsi="Times New Roman" w:cs="Times New Roman"/>
          <w:sz w:val="20"/>
          <w:szCs w:val="20"/>
        </w:rPr>
        <w:t>s</w:t>
      </w:r>
      <w:r w:rsidR="005F37C0" w:rsidRPr="00601EB3">
        <w:rPr>
          <w:rFonts w:ascii="Times New Roman" w:eastAsia="Times New Roman" w:hAnsi="Times New Roman" w:cs="Times New Roman"/>
          <w:sz w:val="20"/>
          <w:szCs w:val="20"/>
        </w:rPr>
        <w:t xml:space="preserve"> significant correlation between high initial levels of </w:t>
      </w:r>
      <w:proofErr w:type="spellStart"/>
      <w:r w:rsidR="005F37C0" w:rsidRPr="00601EB3">
        <w:rPr>
          <w:rFonts w:ascii="Times New Roman" w:eastAsia="Times New Roman" w:hAnsi="Times New Roman" w:cs="Times New Roman"/>
          <w:sz w:val="20"/>
          <w:szCs w:val="20"/>
        </w:rPr>
        <w:t>sVEGF</w:t>
      </w:r>
      <w:proofErr w:type="spellEnd"/>
      <w:r w:rsidR="005843F5">
        <w:rPr>
          <w:rFonts w:ascii="Times New Roman" w:eastAsia="Times New Roman" w:hAnsi="Times New Roman" w:cs="Times New Roman"/>
          <w:sz w:val="20"/>
          <w:szCs w:val="20"/>
        </w:rPr>
        <w:t xml:space="preserve"> </w:t>
      </w:r>
      <w:r w:rsidR="00492F12" w:rsidRPr="00601EB3">
        <w:rPr>
          <w:rFonts w:ascii="Times New Roman" w:eastAsia="Times New Roman" w:hAnsi="Times New Roman" w:cs="Times New Roman"/>
          <w:sz w:val="20"/>
          <w:szCs w:val="20"/>
        </w:rPr>
        <w:t>and high tumor burden (p=0.077) was detected by others [33].</w:t>
      </w:r>
    </w:p>
    <w:p w:rsidR="00645418" w:rsidRPr="00601EB3" w:rsidRDefault="00645418" w:rsidP="00D67228">
      <w:pPr>
        <w:shd w:val="clear" w:color="auto" w:fill="FFFFFF"/>
        <w:bidi w:val="0"/>
        <w:adjustRightInd w:val="0"/>
        <w:snapToGrid w:val="0"/>
        <w:spacing w:after="0" w:line="240" w:lineRule="auto"/>
        <w:ind w:firstLine="425"/>
        <w:jc w:val="both"/>
        <w:rPr>
          <w:rFonts w:ascii="Times New Roman" w:eastAsia="Times New Roman" w:hAnsi="Times New Roman" w:cs="Times New Roman"/>
          <w:sz w:val="20"/>
          <w:szCs w:val="20"/>
          <w:highlight w:val="cyan"/>
        </w:rPr>
      </w:pPr>
      <w:r w:rsidRPr="00601EB3">
        <w:rPr>
          <w:rFonts w:ascii="Times New Roman" w:hAnsi="Times New Roman" w:cs="Times New Roman"/>
          <w:sz w:val="20"/>
          <w:szCs w:val="20"/>
        </w:rPr>
        <w:t xml:space="preserve">The results of </w:t>
      </w:r>
      <w:r w:rsidR="00EF79E2" w:rsidRPr="00601EB3">
        <w:rPr>
          <w:rFonts w:ascii="Times New Roman" w:hAnsi="Times New Roman" w:cs="Times New Roman"/>
          <w:sz w:val="20"/>
          <w:szCs w:val="20"/>
        </w:rPr>
        <w:t>our</w:t>
      </w:r>
      <w:r w:rsidRPr="00601EB3">
        <w:rPr>
          <w:rFonts w:ascii="Times New Roman" w:hAnsi="Times New Roman" w:cs="Times New Roman"/>
          <w:sz w:val="20"/>
          <w:szCs w:val="20"/>
        </w:rPr>
        <w:t xml:space="preserve"> study demonstrated lack of significant association between COX2 expression</w:t>
      </w:r>
      <w:r w:rsidR="00601EB3">
        <w:rPr>
          <w:rFonts w:ascii="Times New Roman" w:hAnsi="Times New Roman" w:cs="Times New Roman"/>
          <w:sz w:val="20"/>
          <w:szCs w:val="20"/>
        </w:rPr>
        <w:t xml:space="preserve"> </w:t>
      </w:r>
      <w:r w:rsidRPr="00601EB3">
        <w:rPr>
          <w:rFonts w:ascii="Times New Roman" w:hAnsi="Times New Roman" w:cs="Times New Roman"/>
          <w:sz w:val="20"/>
          <w:szCs w:val="20"/>
        </w:rPr>
        <w:t xml:space="preserve">and the </w:t>
      </w:r>
      <w:proofErr w:type="spellStart"/>
      <w:r w:rsidRPr="00601EB3">
        <w:rPr>
          <w:rFonts w:ascii="Times New Roman" w:hAnsi="Times New Roman" w:cs="Times New Roman"/>
          <w:sz w:val="20"/>
          <w:szCs w:val="20"/>
        </w:rPr>
        <w:t>clinico</w:t>
      </w:r>
      <w:proofErr w:type="spellEnd"/>
      <w:r w:rsidRPr="00601EB3">
        <w:rPr>
          <w:rFonts w:ascii="Times New Roman" w:hAnsi="Times New Roman" w:cs="Times New Roman"/>
          <w:sz w:val="20"/>
          <w:szCs w:val="20"/>
        </w:rPr>
        <w:t xml:space="preserve">-pathologic features of B-NHL as well as the studied standard prognostic factors including age, sex, </w:t>
      </w:r>
      <w:proofErr w:type="spellStart"/>
      <w:r w:rsidRPr="00601EB3">
        <w:rPr>
          <w:rFonts w:ascii="Times New Roman" w:hAnsi="Times New Roman" w:cs="Times New Roman"/>
          <w:sz w:val="20"/>
          <w:szCs w:val="20"/>
        </w:rPr>
        <w:t>organomegaly</w:t>
      </w:r>
      <w:proofErr w:type="spellEnd"/>
      <w:r w:rsidRPr="00601EB3">
        <w:rPr>
          <w:rFonts w:ascii="Times New Roman" w:hAnsi="Times New Roman" w:cs="Times New Roman"/>
          <w:sz w:val="20"/>
          <w:szCs w:val="20"/>
        </w:rPr>
        <w:t>,</w:t>
      </w:r>
      <w:r w:rsidR="00601EB3">
        <w:rPr>
          <w:rFonts w:ascii="Times New Roman" w:hAnsi="Times New Roman" w:cs="Times New Roman"/>
          <w:sz w:val="20"/>
          <w:szCs w:val="20"/>
        </w:rPr>
        <w:t xml:space="preserve"> </w:t>
      </w:r>
      <w:proofErr w:type="spellStart"/>
      <w:r w:rsidRPr="00601EB3">
        <w:rPr>
          <w:rFonts w:ascii="Times New Roman" w:hAnsi="Times New Roman" w:cs="Times New Roman"/>
          <w:sz w:val="20"/>
          <w:szCs w:val="20"/>
        </w:rPr>
        <w:t>lymphadenopathy</w:t>
      </w:r>
      <w:proofErr w:type="spellEnd"/>
      <w:r w:rsidRPr="00601EB3">
        <w:rPr>
          <w:rFonts w:ascii="Times New Roman" w:hAnsi="Times New Roman" w:cs="Times New Roman"/>
          <w:sz w:val="20"/>
          <w:szCs w:val="20"/>
        </w:rPr>
        <w:t>, B symptoms, staging, WBC count, hemoglobin, Platelet count.</w:t>
      </w:r>
      <w:r w:rsidR="005843F5">
        <w:rPr>
          <w:rFonts w:ascii="Times New Roman" w:hAnsi="Times New Roman" w:cs="Times New Roman"/>
          <w:sz w:val="20"/>
          <w:szCs w:val="20"/>
        </w:rPr>
        <w:t xml:space="preserve"> </w:t>
      </w:r>
      <w:r w:rsidRPr="00601EB3">
        <w:rPr>
          <w:rFonts w:ascii="Times New Roman" w:hAnsi="Times New Roman" w:cs="Times New Roman"/>
          <w:sz w:val="20"/>
          <w:szCs w:val="20"/>
        </w:rPr>
        <w:t>Also there was no statistically significant diffe</w:t>
      </w:r>
      <w:r w:rsidR="007D40F3" w:rsidRPr="00601EB3">
        <w:rPr>
          <w:rFonts w:ascii="Times New Roman" w:hAnsi="Times New Roman" w:cs="Times New Roman"/>
          <w:sz w:val="20"/>
          <w:szCs w:val="20"/>
        </w:rPr>
        <w:t xml:space="preserve">rence between </w:t>
      </w:r>
      <w:r w:rsidRPr="00601EB3">
        <w:rPr>
          <w:rFonts w:ascii="Times New Roman" w:hAnsi="Times New Roman" w:cs="Times New Roman"/>
          <w:sz w:val="20"/>
          <w:szCs w:val="20"/>
        </w:rPr>
        <w:t xml:space="preserve">positive </w:t>
      </w:r>
      <w:r w:rsidR="00A466E0" w:rsidRPr="00601EB3">
        <w:rPr>
          <w:rFonts w:ascii="Times New Roman" w:hAnsi="Times New Roman" w:cs="Times New Roman"/>
          <w:sz w:val="20"/>
          <w:szCs w:val="20"/>
        </w:rPr>
        <w:t xml:space="preserve">and </w:t>
      </w:r>
      <w:r w:rsidRPr="00601EB3">
        <w:rPr>
          <w:rFonts w:ascii="Times New Roman" w:hAnsi="Times New Roman" w:cs="Times New Roman"/>
          <w:sz w:val="20"/>
          <w:szCs w:val="20"/>
        </w:rPr>
        <w:t>negativ</w:t>
      </w:r>
      <w:r w:rsidR="00492A91" w:rsidRPr="00601EB3">
        <w:rPr>
          <w:rFonts w:ascii="Times New Roman" w:hAnsi="Times New Roman" w:cs="Times New Roman"/>
          <w:sz w:val="20"/>
          <w:szCs w:val="20"/>
        </w:rPr>
        <w:t>e</w:t>
      </w:r>
      <w:r w:rsidR="00A466E0" w:rsidRPr="00601EB3">
        <w:rPr>
          <w:rFonts w:ascii="Times New Roman" w:hAnsi="Times New Roman" w:cs="Times New Roman"/>
          <w:sz w:val="20"/>
          <w:szCs w:val="20"/>
        </w:rPr>
        <w:t xml:space="preserve"> COX-2 expression</w:t>
      </w:r>
      <w:r w:rsidR="00492A91" w:rsidRPr="00601EB3">
        <w:rPr>
          <w:rFonts w:ascii="Times New Roman" w:hAnsi="Times New Roman" w:cs="Times New Roman"/>
          <w:sz w:val="20"/>
          <w:szCs w:val="20"/>
        </w:rPr>
        <w:t xml:space="preserve"> a</w:t>
      </w:r>
      <w:r w:rsidRPr="00601EB3">
        <w:rPr>
          <w:rFonts w:ascii="Times New Roman" w:hAnsi="Times New Roman" w:cs="Times New Roman"/>
          <w:sz w:val="20"/>
          <w:szCs w:val="20"/>
        </w:rPr>
        <w:t>s regards response to treatment, follow up and survival status</w:t>
      </w:r>
      <w:r w:rsidR="00A466E0" w:rsidRPr="00601EB3">
        <w:rPr>
          <w:rFonts w:ascii="Times New Roman" w:hAnsi="Times New Roman" w:cs="Times New Roman"/>
          <w:sz w:val="20"/>
          <w:szCs w:val="20"/>
        </w:rPr>
        <w:t xml:space="preserve"> (P=0.433, 0.796, 0.433)</w:t>
      </w:r>
      <w:r w:rsidRPr="00601EB3">
        <w:rPr>
          <w:rFonts w:ascii="Times New Roman" w:hAnsi="Times New Roman" w:cs="Times New Roman"/>
          <w:sz w:val="20"/>
          <w:szCs w:val="20"/>
        </w:rPr>
        <w:t>.</w:t>
      </w:r>
      <w:r w:rsidR="005843F5">
        <w:rPr>
          <w:rFonts w:ascii="Times New Roman" w:hAnsi="Times New Roman" w:cs="Times New Roman"/>
          <w:sz w:val="20"/>
          <w:szCs w:val="20"/>
        </w:rPr>
        <w:t xml:space="preserve"> </w:t>
      </w:r>
      <w:r w:rsidR="007D40F3" w:rsidRPr="00601EB3">
        <w:rPr>
          <w:rFonts w:ascii="Times New Roman" w:eastAsia="Times New Roman" w:hAnsi="Times New Roman" w:cs="Times New Roman"/>
          <w:sz w:val="20"/>
          <w:szCs w:val="20"/>
        </w:rPr>
        <w:t>C</w:t>
      </w:r>
      <w:r w:rsidR="00EF79E2" w:rsidRPr="00601EB3">
        <w:rPr>
          <w:rFonts w:ascii="Times New Roman" w:eastAsia="Times New Roman" w:hAnsi="Times New Roman" w:cs="Times New Roman"/>
          <w:sz w:val="20"/>
          <w:szCs w:val="20"/>
        </w:rPr>
        <w:t>onsistent with our results;</w:t>
      </w:r>
      <w:r w:rsidRPr="00601EB3">
        <w:rPr>
          <w:rFonts w:ascii="Times New Roman" w:eastAsia="Times New Roman" w:hAnsi="Times New Roman" w:cs="Times New Roman"/>
          <w:sz w:val="20"/>
          <w:szCs w:val="20"/>
        </w:rPr>
        <w:t xml:space="preserve"> Ma et al, 2012 </w:t>
      </w:r>
      <w:r w:rsidR="00A466E0" w:rsidRPr="00601EB3">
        <w:rPr>
          <w:rFonts w:ascii="Times New Roman" w:eastAsia="Times New Roman" w:hAnsi="Times New Roman" w:cs="Times New Roman"/>
          <w:sz w:val="20"/>
          <w:szCs w:val="20"/>
        </w:rPr>
        <w:t>[</w:t>
      </w:r>
      <w:r w:rsidR="004D306F" w:rsidRPr="00601EB3">
        <w:rPr>
          <w:rFonts w:ascii="Times New Roman" w:eastAsia="Times New Roman" w:hAnsi="Times New Roman" w:cs="Times New Roman"/>
          <w:sz w:val="20"/>
          <w:szCs w:val="20"/>
        </w:rPr>
        <w:t>17</w:t>
      </w:r>
      <w:r w:rsidR="00A466E0" w:rsidRPr="00601EB3">
        <w:rPr>
          <w:rFonts w:ascii="Times New Roman" w:eastAsia="Times New Roman" w:hAnsi="Times New Roman" w:cs="Times New Roman"/>
          <w:sz w:val="20"/>
          <w:szCs w:val="20"/>
        </w:rPr>
        <w:t xml:space="preserve">] </w:t>
      </w:r>
      <w:r w:rsidRPr="00601EB3">
        <w:rPr>
          <w:rFonts w:ascii="Times New Roman" w:eastAsia="Times New Roman" w:hAnsi="Times New Roman" w:cs="Times New Roman"/>
          <w:sz w:val="20"/>
          <w:szCs w:val="20"/>
        </w:rPr>
        <w:t>found that</w:t>
      </w:r>
      <w:r w:rsidR="00EF79E2" w:rsidRPr="00601EB3">
        <w:rPr>
          <w:rFonts w:ascii="Times New Roman" w:eastAsia="Times New Roman" w:hAnsi="Times New Roman" w:cs="Times New Roman"/>
          <w:sz w:val="20"/>
          <w:szCs w:val="20"/>
        </w:rPr>
        <w:t>,</w:t>
      </w:r>
      <w:r w:rsidRPr="00601EB3">
        <w:rPr>
          <w:rFonts w:ascii="Times New Roman" w:hAnsi="Times New Roman" w:cs="Times New Roman"/>
          <w:sz w:val="20"/>
          <w:szCs w:val="20"/>
        </w:rPr>
        <w:t xml:space="preserve">COX-2 expression was not correlated with the gender, age, LDH levels, β2M levels, </w:t>
      </w:r>
      <w:proofErr w:type="spellStart"/>
      <w:r w:rsidRPr="00601EB3">
        <w:rPr>
          <w:rFonts w:ascii="Times New Roman" w:hAnsi="Times New Roman" w:cs="Times New Roman"/>
          <w:sz w:val="20"/>
          <w:szCs w:val="20"/>
        </w:rPr>
        <w:t>extranodal</w:t>
      </w:r>
      <w:proofErr w:type="spellEnd"/>
      <w:r w:rsidRPr="00601EB3">
        <w:rPr>
          <w:rFonts w:ascii="Times New Roman" w:hAnsi="Times New Roman" w:cs="Times New Roman"/>
          <w:sz w:val="20"/>
          <w:szCs w:val="20"/>
        </w:rPr>
        <w:t xml:space="preserve"> involvement, disease stage, B symptoms or IPI of the patients. </w:t>
      </w:r>
      <w:r w:rsidR="00EF79E2" w:rsidRPr="00601EB3">
        <w:rPr>
          <w:rFonts w:ascii="Times New Roman" w:hAnsi="Times New Roman" w:cs="Times New Roman"/>
          <w:sz w:val="20"/>
          <w:szCs w:val="20"/>
        </w:rPr>
        <w:t xml:space="preserve">Also </w:t>
      </w:r>
      <w:r w:rsidRPr="00601EB3">
        <w:rPr>
          <w:rFonts w:ascii="Times New Roman" w:hAnsi="Times New Roman" w:cs="Times New Roman"/>
          <w:sz w:val="20"/>
          <w:szCs w:val="20"/>
        </w:rPr>
        <w:t xml:space="preserve">COX-2 expression showed no difference between the indolent and aggressive subtypes of NHL. </w:t>
      </w:r>
      <w:r w:rsidR="005F5D12" w:rsidRPr="00601EB3">
        <w:rPr>
          <w:rFonts w:ascii="Times New Roman" w:hAnsi="Times New Roman" w:cs="Times New Roman"/>
          <w:sz w:val="20"/>
          <w:szCs w:val="20"/>
        </w:rPr>
        <w:t xml:space="preserve">On the same line, </w:t>
      </w:r>
      <w:r w:rsidR="007F6AC0" w:rsidRPr="00601EB3">
        <w:rPr>
          <w:rFonts w:ascii="Times New Roman" w:hAnsi="Times New Roman" w:cs="Times New Roman"/>
          <w:sz w:val="20"/>
          <w:szCs w:val="20"/>
        </w:rPr>
        <w:t xml:space="preserve">other studies </w:t>
      </w:r>
      <w:r w:rsidR="00EF79E2" w:rsidRPr="00601EB3">
        <w:rPr>
          <w:rFonts w:ascii="Times New Roman" w:hAnsi="Times New Roman" w:cs="Times New Roman"/>
          <w:sz w:val="20"/>
          <w:szCs w:val="20"/>
        </w:rPr>
        <w:t xml:space="preserve">also </w:t>
      </w:r>
      <w:r w:rsidRPr="00601EB3">
        <w:rPr>
          <w:rFonts w:ascii="Times New Roman" w:hAnsi="Times New Roman" w:cs="Times New Roman"/>
          <w:sz w:val="20"/>
          <w:szCs w:val="20"/>
        </w:rPr>
        <w:t>did not find any statistically significant correl</w:t>
      </w:r>
      <w:r w:rsidR="007D40F3" w:rsidRPr="00601EB3">
        <w:rPr>
          <w:rFonts w:ascii="Times New Roman" w:hAnsi="Times New Roman" w:cs="Times New Roman"/>
          <w:sz w:val="20"/>
          <w:szCs w:val="20"/>
        </w:rPr>
        <w:t>ation between expression of COX</w:t>
      </w:r>
      <w:r w:rsidRPr="00601EB3">
        <w:rPr>
          <w:rFonts w:ascii="Times New Roman" w:hAnsi="Times New Roman" w:cs="Times New Roman"/>
          <w:sz w:val="20"/>
          <w:szCs w:val="20"/>
        </w:rPr>
        <w:t xml:space="preserve">2, MRP1 and MRP2n and </w:t>
      </w:r>
      <w:proofErr w:type="spellStart"/>
      <w:r w:rsidRPr="00601EB3">
        <w:rPr>
          <w:rFonts w:ascii="Times New Roman" w:hAnsi="Times New Roman" w:cs="Times New Roman"/>
          <w:sz w:val="20"/>
          <w:szCs w:val="20"/>
        </w:rPr>
        <w:t>clinicopathological</w:t>
      </w:r>
      <w:proofErr w:type="spellEnd"/>
      <w:r w:rsidRPr="00601EB3">
        <w:rPr>
          <w:rFonts w:ascii="Times New Roman" w:hAnsi="Times New Roman" w:cs="Times New Roman"/>
          <w:sz w:val="20"/>
          <w:szCs w:val="20"/>
        </w:rPr>
        <w:t xml:space="preserve"> </w:t>
      </w:r>
      <w:r w:rsidRPr="00601EB3">
        <w:rPr>
          <w:rFonts w:ascii="Times New Roman" w:hAnsi="Times New Roman" w:cs="Times New Roman"/>
          <w:sz w:val="20"/>
          <w:szCs w:val="20"/>
        </w:rPr>
        <w:lastRenderedPageBreak/>
        <w:t>da</w:t>
      </w:r>
      <w:r w:rsidR="0044473A" w:rsidRPr="00601EB3">
        <w:rPr>
          <w:rFonts w:ascii="Times New Roman" w:hAnsi="Times New Roman" w:cs="Times New Roman"/>
          <w:sz w:val="20"/>
          <w:szCs w:val="20"/>
        </w:rPr>
        <w:t xml:space="preserve">ta from patients (P&gt;0.05) </w:t>
      </w:r>
      <w:r w:rsidR="007F6AC0" w:rsidRPr="00601EB3">
        <w:rPr>
          <w:rFonts w:ascii="Times New Roman" w:hAnsi="Times New Roman" w:cs="Times New Roman"/>
          <w:sz w:val="20"/>
          <w:szCs w:val="20"/>
        </w:rPr>
        <w:t>and</w:t>
      </w:r>
      <w:r w:rsidR="0044473A" w:rsidRPr="00601EB3">
        <w:rPr>
          <w:rFonts w:ascii="Times New Roman" w:hAnsi="Times New Roman" w:cs="Times New Roman"/>
          <w:sz w:val="20"/>
          <w:szCs w:val="20"/>
        </w:rPr>
        <w:t xml:space="preserve"> n</w:t>
      </w:r>
      <w:r w:rsidRPr="00601EB3">
        <w:rPr>
          <w:rFonts w:ascii="Times New Roman" w:hAnsi="Times New Roman" w:cs="Times New Roman"/>
          <w:sz w:val="20"/>
          <w:szCs w:val="20"/>
        </w:rPr>
        <w:t xml:space="preserve">o correlation </w:t>
      </w:r>
      <w:r w:rsidR="007F6AC0" w:rsidRPr="00601EB3">
        <w:rPr>
          <w:rFonts w:ascii="Times New Roman" w:hAnsi="Times New Roman" w:cs="Times New Roman"/>
          <w:sz w:val="20"/>
          <w:szCs w:val="20"/>
        </w:rPr>
        <w:t>was</w:t>
      </w:r>
      <w:r w:rsidR="0044473A" w:rsidRPr="00601EB3">
        <w:rPr>
          <w:rFonts w:ascii="Times New Roman" w:hAnsi="Times New Roman" w:cs="Times New Roman"/>
          <w:sz w:val="20"/>
          <w:szCs w:val="20"/>
        </w:rPr>
        <w:t xml:space="preserve"> found </w:t>
      </w:r>
      <w:r w:rsidRPr="00601EB3">
        <w:rPr>
          <w:rFonts w:ascii="Times New Roman" w:hAnsi="Times New Roman" w:cs="Times New Roman"/>
          <w:sz w:val="20"/>
          <w:szCs w:val="20"/>
        </w:rPr>
        <w:t>between expression of the investigated proteins and total observation time or progression-free survival time (P&gt;0.05)</w:t>
      </w:r>
      <w:r w:rsidR="007F6AC0" w:rsidRPr="00601EB3">
        <w:rPr>
          <w:rFonts w:ascii="Times New Roman" w:hAnsi="Times New Roman" w:cs="Times New Roman"/>
          <w:sz w:val="20"/>
          <w:szCs w:val="20"/>
        </w:rPr>
        <w:t xml:space="preserve"> [18]</w:t>
      </w:r>
      <w:r w:rsidRPr="00601EB3">
        <w:rPr>
          <w:rFonts w:ascii="Times New Roman" w:hAnsi="Times New Roman" w:cs="Times New Roman"/>
          <w:sz w:val="20"/>
          <w:szCs w:val="20"/>
        </w:rPr>
        <w:t xml:space="preserve">. </w:t>
      </w:r>
      <w:r w:rsidR="007F6AC0" w:rsidRPr="00601EB3">
        <w:rPr>
          <w:rFonts w:ascii="Times New Roman" w:eastAsia="Times New Roman" w:hAnsi="Times New Roman" w:cs="Times New Roman"/>
          <w:bCs/>
          <w:sz w:val="20"/>
          <w:szCs w:val="20"/>
        </w:rPr>
        <w:t>Similarly,</w:t>
      </w:r>
      <w:r w:rsidR="007F6AC0" w:rsidRPr="00601EB3">
        <w:rPr>
          <w:rFonts w:ascii="Times New Roman" w:eastAsia="Times New Roman" w:hAnsi="Times New Roman" w:cs="Times New Roman"/>
          <w:sz w:val="20"/>
          <w:szCs w:val="20"/>
        </w:rPr>
        <w:t xml:space="preserve"> reports</w:t>
      </w:r>
      <w:r w:rsidR="0044473A" w:rsidRPr="00601EB3">
        <w:rPr>
          <w:rFonts w:ascii="Times New Roman" w:eastAsia="Times New Roman" w:hAnsi="Times New Roman" w:cs="Times New Roman"/>
          <w:sz w:val="20"/>
          <w:szCs w:val="20"/>
        </w:rPr>
        <w:t xml:space="preserve"> that, t</w:t>
      </w:r>
      <w:r w:rsidRPr="00601EB3">
        <w:rPr>
          <w:rFonts w:ascii="Times New Roman" w:eastAsia="Times New Roman" w:hAnsi="Times New Roman" w:cs="Times New Roman"/>
          <w:sz w:val="20"/>
          <w:szCs w:val="20"/>
        </w:rPr>
        <w:t xml:space="preserve">here was no correlation between Cox-2 expression and age, IPI score, </w:t>
      </w:r>
      <w:proofErr w:type="spellStart"/>
      <w:r w:rsidRPr="00601EB3">
        <w:rPr>
          <w:rFonts w:ascii="Times New Roman" w:eastAsia="Times New Roman" w:hAnsi="Times New Roman" w:cs="Times New Roman"/>
          <w:sz w:val="20"/>
          <w:szCs w:val="20"/>
        </w:rPr>
        <w:t>extranodal</w:t>
      </w:r>
      <w:proofErr w:type="spellEnd"/>
      <w:r w:rsidRPr="00601EB3">
        <w:rPr>
          <w:rFonts w:ascii="Times New Roman" w:eastAsia="Times New Roman" w:hAnsi="Times New Roman" w:cs="Times New Roman"/>
          <w:sz w:val="20"/>
          <w:szCs w:val="20"/>
        </w:rPr>
        <w:t xml:space="preserve"> involvement, tumor grade, and </w:t>
      </w:r>
      <w:r w:rsidR="0044473A" w:rsidRPr="00601EB3">
        <w:rPr>
          <w:rFonts w:ascii="Times New Roman" w:eastAsia="Times New Roman" w:hAnsi="Times New Roman" w:cs="Times New Roman"/>
          <w:sz w:val="20"/>
          <w:szCs w:val="20"/>
        </w:rPr>
        <w:t xml:space="preserve">finally </w:t>
      </w:r>
      <w:r w:rsidR="007F6AC0" w:rsidRPr="00601EB3">
        <w:rPr>
          <w:rFonts w:ascii="Times New Roman" w:eastAsia="Times New Roman" w:hAnsi="Times New Roman" w:cs="Times New Roman"/>
          <w:sz w:val="20"/>
          <w:szCs w:val="20"/>
        </w:rPr>
        <w:t xml:space="preserve">B symptoms were documented [34]. </w:t>
      </w:r>
      <w:r w:rsidRPr="00601EB3">
        <w:rPr>
          <w:rFonts w:ascii="Times New Roman" w:eastAsia="Times New Roman" w:hAnsi="Times New Roman" w:cs="Times New Roman"/>
          <w:sz w:val="20"/>
          <w:szCs w:val="20"/>
        </w:rPr>
        <w:t>How</w:t>
      </w:r>
      <w:r w:rsidR="00CA487B" w:rsidRPr="00601EB3">
        <w:rPr>
          <w:rFonts w:ascii="Times New Roman" w:eastAsia="Times New Roman" w:hAnsi="Times New Roman" w:cs="Times New Roman"/>
          <w:sz w:val="20"/>
          <w:szCs w:val="20"/>
        </w:rPr>
        <w:t>ever in contrast to our results;</w:t>
      </w:r>
      <w:r w:rsidR="005843F5">
        <w:rPr>
          <w:rFonts w:ascii="Times New Roman" w:eastAsia="Times New Roman" w:hAnsi="Times New Roman" w:cs="Times New Roman"/>
          <w:sz w:val="20"/>
          <w:szCs w:val="20"/>
        </w:rPr>
        <w:t xml:space="preserve"> </w:t>
      </w:r>
      <w:r w:rsidR="00BF4124" w:rsidRPr="00601EB3">
        <w:rPr>
          <w:rFonts w:ascii="Times New Roman" w:eastAsia="Times New Roman" w:hAnsi="Times New Roman" w:cs="Times New Roman"/>
          <w:sz w:val="20"/>
          <w:szCs w:val="20"/>
        </w:rPr>
        <w:t>some</w:t>
      </w:r>
      <w:r w:rsidR="005843F5">
        <w:rPr>
          <w:rFonts w:ascii="Times New Roman" w:eastAsia="Times New Roman" w:hAnsi="Times New Roman" w:cs="Times New Roman"/>
          <w:sz w:val="20"/>
          <w:szCs w:val="20"/>
        </w:rPr>
        <w:t xml:space="preserve"> </w:t>
      </w:r>
      <w:r w:rsidR="00EA5943" w:rsidRPr="00601EB3">
        <w:rPr>
          <w:rFonts w:ascii="Times New Roman" w:eastAsia="Times New Roman" w:hAnsi="Times New Roman" w:cs="Times New Roman"/>
          <w:sz w:val="20"/>
          <w:szCs w:val="20"/>
        </w:rPr>
        <w:t xml:space="preserve">found </w:t>
      </w:r>
      <w:r w:rsidRPr="00601EB3">
        <w:rPr>
          <w:rFonts w:ascii="Times New Roman" w:eastAsia="Times New Roman" w:hAnsi="Times New Roman" w:cs="Times New Roman"/>
          <w:sz w:val="20"/>
          <w:szCs w:val="20"/>
        </w:rPr>
        <w:t>an important association between aggressive histology and</w:t>
      </w:r>
      <w:r w:rsidR="001843CF" w:rsidRPr="00601EB3">
        <w:rPr>
          <w:rFonts w:ascii="Times New Roman" w:eastAsia="Times New Roman" w:hAnsi="Times New Roman" w:cs="Times New Roman"/>
          <w:sz w:val="20"/>
          <w:szCs w:val="20"/>
        </w:rPr>
        <w:t xml:space="preserve"> C</w:t>
      </w:r>
      <w:r w:rsidR="007D40F3" w:rsidRPr="00601EB3">
        <w:rPr>
          <w:rFonts w:ascii="Times New Roman" w:eastAsia="Times New Roman" w:hAnsi="Times New Roman" w:cs="Times New Roman"/>
          <w:sz w:val="20"/>
          <w:szCs w:val="20"/>
        </w:rPr>
        <w:t>OX</w:t>
      </w:r>
      <w:r w:rsidR="001843CF" w:rsidRPr="00601EB3">
        <w:rPr>
          <w:rFonts w:ascii="Times New Roman" w:eastAsia="Times New Roman" w:hAnsi="Times New Roman" w:cs="Times New Roman"/>
          <w:sz w:val="20"/>
          <w:szCs w:val="20"/>
        </w:rPr>
        <w:t>2 expression (p=</w:t>
      </w:r>
      <w:r w:rsidR="00EA5943" w:rsidRPr="00601EB3">
        <w:rPr>
          <w:rFonts w:ascii="Times New Roman" w:eastAsia="Times New Roman" w:hAnsi="Times New Roman" w:cs="Times New Roman"/>
          <w:sz w:val="20"/>
          <w:szCs w:val="20"/>
        </w:rPr>
        <w:t>0.036) and a</w:t>
      </w:r>
      <w:r w:rsidRPr="00601EB3">
        <w:rPr>
          <w:rFonts w:ascii="Times New Roman" w:eastAsia="Times New Roman" w:hAnsi="Times New Roman" w:cs="Times New Roman"/>
          <w:sz w:val="20"/>
          <w:szCs w:val="20"/>
        </w:rPr>
        <w:t xml:space="preserve">lthough the overall survival times were longer in cases with lower or no </w:t>
      </w:r>
      <w:r w:rsidR="007D40F3" w:rsidRPr="00601EB3">
        <w:rPr>
          <w:rFonts w:ascii="Times New Roman" w:eastAsia="Times New Roman" w:hAnsi="Times New Roman" w:cs="Times New Roman"/>
          <w:sz w:val="20"/>
          <w:szCs w:val="20"/>
        </w:rPr>
        <w:t>COX</w:t>
      </w:r>
      <w:r w:rsidRPr="00601EB3">
        <w:rPr>
          <w:rFonts w:ascii="Times New Roman" w:eastAsia="Times New Roman" w:hAnsi="Times New Roman" w:cs="Times New Roman"/>
          <w:sz w:val="20"/>
          <w:szCs w:val="20"/>
        </w:rPr>
        <w:t xml:space="preserve">2 expression as compared with higher </w:t>
      </w:r>
      <w:r w:rsidR="007D40F3" w:rsidRPr="00601EB3">
        <w:rPr>
          <w:rFonts w:ascii="Times New Roman" w:eastAsia="Times New Roman" w:hAnsi="Times New Roman" w:cs="Times New Roman"/>
          <w:sz w:val="20"/>
          <w:szCs w:val="20"/>
        </w:rPr>
        <w:t>COX</w:t>
      </w:r>
      <w:r w:rsidRPr="00601EB3">
        <w:rPr>
          <w:rFonts w:ascii="Times New Roman" w:eastAsia="Times New Roman" w:hAnsi="Times New Roman" w:cs="Times New Roman"/>
          <w:sz w:val="20"/>
          <w:szCs w:val="20"/>
        </w:rPr>
        <w:t>2, the difference was not significant</w:t>
      </w:r>
      <w:r w:rsidR="00BF4124" w:rsidRPr="00601EB3">
        <w:rPr>
          <w:rFonts w:ascii="Times New Roman" w:eastAsia="Times New Roman" w:hAnsi="Times New Roman" w:cs="Times New Roman"/>
          <w:sz w:val="20"/>
          <w:szCs w:val="20"/>
        </w:rPr>
        <w:t xml:space="preserve"> [</w:t>
      </w:r>
      <w:r w:rsidR="0078607C" w:rsidRPr="00601EB3">
        <w:rPr>
          <w:rFonts w:ascii="Times New Roman" w:eastAsia="Times New Roman" w:hAnsi="Times New Roman" w:cs="Times New Roman"/>
          <w:sz w:val="20"/>
          <w:szCs w:val="20"/>
        </w:rPr>
        <w:t>16</w:t>
      </w:r>
      <w:r w:rsidR="00BF4124" w:rsidRPr="00601EB3">
        <w:rPr>
          <w:rFonts w:ascii="Times New Roman" w:eastAsia="Times New Roman" w:hAnsi="Times New Roman" w:cs="Times New Roman"/>
          <w:sz w:val="20"/>
          <w:szCs w:val="20"/>
        </w:rPr>
        <w:t>]</w:t>
      </w:r>
      <w:r w:rsidR="0078607C" w:rsidRPr="00601EB3">
        <w:rPr>
          <w:rFonts w:ascii="Times New Roman" w:eastAsia="Times New Roman" w:hAnsi="Times New Roman" w:cs="Times New Roman"/>
          <w:sz w:val="20"/>
          <w:szCs w:val="20"/>
        </w:rPr>
        <w:t>,</w:t>
      </w:r>
      <w:r w:rsidR="005843F5">
        <w:rPr>
          <w:rFonts w:ascii="Times New Roman" w:eastAsia="Times New Roman" w:hAnsi="Times New Roman" w:cs="Times New Roman"/>
          <w:sz w:val="20"/>
          <w:szCs w:val="20"/>
        </w:rPr>
        <w:t xml:space="preserve"> </w:t>
      </w:r>
      <w:r w:rsidR="00BF4124" w:rsidRPr="00601EB3">
        <w:rPr>
          <w:rFonts w:ascii="Times New Roman" w:eastAsia="Times New Roman" w:hAnsi="Times New Roman" w:cs="Times New Roman"/>
          <w:sz w:val="20"/>
          <w:szCs w:val="20"/>
        </w:rPr>
        <w:t>and others</w:t>
      </w:r>
      <w:r w:rsidR="00EA5943" w:rsidRPr="00601EB3">
        <w:rPr>
          <w:rFonts w:ascii="Times New Roman" w:eastAsia="Times New Roman" w:hAnsi="Times New Roman" w:cs="Times New Roman"/>
          <w:sz w:val="20"/>
          <w:szCs w:val="20"/>
        </w:rPr>
        <w:t xml:space="preserve"> reported </w:t>
      </w:r>
      <w:r w:rsidRPr="00601EB3">
        <w:rPr>
          <w:rFonts w:ascii="Times New Roman" w:eastAsia="Times New Roman" w:hAnsi="Times New Roman" w:cs="Times New Roman"/>
          <w:sz w:val="20"/>
          <w:szCs w:val="20"/>
        </w:rPr>
        <w:t xml:space="preserve">a </w:t>
      </w:r>
      <w:r w:rsidR="007D40F3" w:rsidRPr="00601EB3">
        <w:rPr>
          <w:rFonts w:ascii="Times New Roman" w:eastAsia="Times New Roman" w:hAnsi="Times New Roman" w:cs="Times New Roman"/>
          <w:sz w:val="20"/>
          <w:szCs w:val="20"/>
        </w:rPr>
        <w:t xml:space="preserve">positive </w:t>
      </w:r>
      <w:r w:rsidRPr="00601EB3">
        <w:rPr>
          <w:rFonts w:ascii="Times New Roman" w:eastAsia="Times New Roman" w:hAnsi="Times New Roman" w:cs="Times New Roman"/>
          <w:sz w:val="20"/>
          <w:szCs w:val="20"/>
        </w:rPr>
        <w:t>correlation bet</w:t>
      </w:r>
      <w:r w:rsidR="001843CF" w:rsidRPr="00601EB3">
        <w:rPr>
          <w:rFonts w:ascii="Times New Roman" w:eastAsia="Times New Roman" w:hAnsi="Times New Roman" w:cs="Times New Roman"/>
          <w:sz w:val="20"/>
          <w:szCs w:val="20"/>
        </w:rPr>
        <w:t xml:space="preserve">ween </w:t>
      </w:r>
      <w:r w:rsidR="007D40F3" w:rsidRPr="00601EB3">
        <w:rPr>
          <w:rFonts w:ascii="Times New Roman" w:eastAsia="Times New Roman" w:hAnsi="Times New Roman" w:cs="Times New Roman"/>
          <w:sz w:val="20"/>
          <w:szCs w:val="20"/>
        </w:rPr>
        <w:t>COX</w:t>
      </w:r>
      <w:r w:rsidR="001843CF" w:rsidRPr="00601EB3">
        <w:rPr>
          <w:rFonts w:ascii="Times New Roman" w:eastAsia="Times New Roman" w:hAnsi="Times New Roman" w:cs="Times New Roman"/>
          <w:sz w:val="20"/>
          <w:szCs w:val="20"/>
        </w:rPr>
        <w:t xml:space="preserve">2 and stage of </w:t>
      </w:r>
      <w:r w:rsidR="007D40F3" w:rsidRPr="00601EB3">
        <w:rPr>
          <w:rFonts w:ascii="Times New Roman" w:eastAsia="Times New Roman" w:hAnsi="Times New Roman" w:cs="Times New Roman"/>
          <w:sz w:val="20"/>
          <w:szCs w:val="20"/>
        </w:rPr>
        <w:t xml:space="preserve">the </w:t>
      </w:r>
      <w:r w:rsidR="001843CF" w:rsidRPr="00601EB3">
        <w:rPr>
          <w:rFonts w:ascii="Times New Roman" w:eastAsia="Times New Roman" w:hAnsi="Times New Roman" w:cs="Times New Roman"/>
          <w:sz w:val="20"/>
          <w:szCs w:val="20"/>
        </w:rPr>
        <w:t>disease</w:t>
      </w:r>
      <w:r w:rsidR="005843F5">
        <w:rPr>
          <w:rFonts w:ascii="Times New Roman" w:eastAsia="Times New Roman" w:hAnsi="Times New Roman" w:cs="Times New Roman"/>
          <w:sz w:val="20"/>
          <w:szCs w:val="20"/>
        </w:rPr>
        <w:t xml:space="preserve"> </w:t>
      </w:r>
      <w:r w:rsidR="001843CF" w:rsidRPr="00601EB3">
        <w:rPr>
          <w:rFonts w:ascii="Times New Roman" w:eastAsia="Times New Roman" w:hAnsi="Times New Roman" w:cs="Times New Roman"/>
          <w:sz w:val="20"/>
          <w:szCs w:val="20"/>
        </w:rPr>
        <w:t>(P=</w:t>
      </w:r>
      <w:r w:rsidR="007D40F3" w:rsidRPr="00601EB3">
        <w:rPr>
          <w:rFonts w:ascii="Times New Roman" w:eastAsia="Times New Roman" w:hAnsi="Times New Roman" w:cs="Times New Roman"/>
          <w:sz w:val="20"/>
          <w:szCs w:val="20"/>
        </w:rPr>
        <w:t>0.037) in NHL patients</w:t>
      </w:r>
      <w:r w:rsidR="00BF4124" w:rsidRPr="00601EB3">
        <w:rPr>
          <w:rFonts w:ascii="Times New Roman" w:eastAsia="Times New Roman" w:hAnsi="Times New Roman" w:cs="Times New Roman"/>
          <w:sz w:val="20"/>
          <w:szCs w:val="20"/>
        </w:rPr>
        <w:t xml:space="preserve"> [</w:t>
      </w:r>
      <w:r w:rsidR="0078607C" w:rsidRPr="00601EB3">
        <w:rPr>
          <w:rFonts w:ascii="Times New Roman" w:eastAsia="Times New Roman" w:hAnsi="Times New Roman" w:cs="Times New Roman"/>
          <w:sz w:val="20"/>
          <w:szCs w:val="20"/>
        </w:rPr>
        <w:t>34</w:t>
      </w:r>
      <w:r w:rsidR="00BF4124" w:rsidRPr="00601EB3">
        <w:rPr>
          <w:rFonts w:ascii="Times New Roman" w:eastAsia="Times New Roman" w:hAnsi="Times New Roman" w:cs="Times New Roman"/>
          <w:sz w:val="20"/>
          <w:szCs w:val="20"/>
        </w:rPr>
        <w:t>]</w:t>
      </w:r>
      <w:r w:rsidRPr="00601EB3">
        <w:rPr>
          <w:rFonts w:ascii="Times New Roman" w:eastAsia="Times New Roman" w:hAnsi="Times New Roman" w:cs="Times New Roman"/>
          <w:sz w:val="20"/>
          <w:szCs w:val="20"/>
        </w:rPr>
        <w:t xml:space="preserve">. </w:t>
      </w:r>
      <w:r w:rsidR="00DF6FAF" w:rsidRPr="00601EB3">
        <w:rPr>
          <w:rFonts w:ascii="Times New Roman" w:eastAsia="Times New Roman" w:hAnsi="Times New Roman" w:cs="Times New Roman"/>
          <w:sz w:val="20"/>
          <w:szCs w:val="20"/>
        </w:rPr>
        <w:t>Also, they found that, t</w:t>
      </w:r>
      <w:r w:rsidRPr="00601EB3">
        <w:rPr>
          <w:rFonts w:ascii="Times New Roman" w:eastAsia="Times New Roman" w:hAnsi="Times New Roman" w:cs="Times New Roman"/>
          <w:sz w:val="20"/>
          <w:szCs w:val="20"/>
        </w:rPr>
        <w:t xml:space="preserve">he complete response rate to therapy was significantly higher in </w:t>
      </w:r>
      <w:r w:rsidR="00DD38D7" w:rsidRPr="00601EB3">
        <w:rPr>
          <w:rFonts w:ascii="Times New Roman" w:eastAsia="Times New Roman" w:hAnsi="Times New Roman" w:cs="Times New Roman"/>
          <w:sz w:val="20"/>
          <w:szCs w:val="20"/>
        </w:rPr>
        <w:t xml:space="preserve">COX2 </w:t>
      </w:r>
      <w:r w:rsidRPr="00601EB3">
        <w:rPr>
          <w:rFonts w:ascii="Times New Roman" w:eastAsia="Times New Roman" w:hAnsi="Times New Roman" w:cs="Times New Roman"/>
          <w:sz w:val="20"/>
          <w:szCs w:val="20"/>
        </w:rPr>
        <w:t xml:space="preserve">negative patients than the </w:t>
      </w:r>
      <w:r w:rsidR="00DD38D7" w:rsidRPr="00601EB3">
        <w:rPr>
          <w:rFonts w:ascii="Times New Roman" w:eastAsia="Times New Roman" w:hAnsi="Times New Roman" w:cs="Times New Roman"/>
          <w:sz w:val="20"/>
          <w:szCs w:val="20"/>
        </w:rPr>
        <w:t xml:space="preserve">COX2 </w:t>
      </w:r>
      <w:r w:rsidRPr="00601EB3">
        <w:rPr>
          <w:rFonts w:ascii="Times New Roman" w:eastAsia="Times New Roman" w:hAnsi="Times New Roman" w:cs="Times New Roman"/>
          <w:sz w:val="20"/>
          <w:szCs w:val="20"/>
        </w:rPr>
        <w:t xml:space="preserve">positive </w:t>
      </w:r>
      <w:r w:rsidR="00DD38D7" w:rsidRPr="00601EB3">
        <w:rPr>
          <w:rFonts w:ascii="Times New Roman" w:eastAsia="Times New Roman" w:hAnsi="Times New Roman" w:cs="Times New Roman"/>
          <w:sz w:val="20"/>
          <w:szCs w:val="20"/>
        </w:rPr>
        <w:t>ones</w:t>
      </w:r>
      <w:r w:rsidRPr="00601EB3">
        <w:rPr>
          <w:rFonts w:ascii="Times New Roman" w:eastAsia="Times New Roman" w:hAnsi="Times New Roman" w:cs="Times New Roman"/>
          <w:sz w:val="20"/>
          <w:szCs w:val="20"/>
        </w:rPr>
        <w:t xml:space="preserve"> (7</w:t>
      </w:r>
      <w:r w:rsidR="00DF6FAF" w:rsidRPr="00601EB3">
        <w:rPr>
          <w:rFonts w:ascii="Times New Roman" w:eastAsia="Times New Roman" w:hAnsi="Times New Roman" w:cs="Times New Roman"/>
          <w:sz w:val="20"/>
          <w:szCs w:val="20"/>
        </w:rPr>
        <w:t>0.6% vs. 20.8%, respectively, P=</w:t>
      </w:r>
      <w:r w:rsidR="00B571A8" w:rsidRPr="00601EB3">
        <w:rPr>
          <w:rFonts w:ascii="Times New Roman" w:eastAsia="Times New Roman" w:hAnsi="Times New Roman" w:cs="Times New Roman"/>
          <w:sz w:val="20"/>
          <w:szCs w:val="20"/>
        </w:rPr>
        <w:t>0.001)</w:t>
      </w:r>
      <w:r w:rsidR="00DF6FAF" w:rsidRPr="00601EB3">
        <w:rPr>
          <w:rFonts w:ascii="Times New Roman" w:eastAsia="Times New Roman" w:hAnsi="Times New Roman" w:cs="Times New Roman"/>
          <w:sz w:val="20"/>
          <w:szCs w:val="20"/>
        </w:rPr>
        <w:t>, and t</w:t>
      </w:r>
      <w:r w:rsidRPr="00601EB3">
        <w:rPr>
          <w:rFonts w:ascii="Times New Roman" w:eastAsia="Times New Roman" w:hAnsi="Times New Roman" w:cs="Times New Roman"/>
          <w:sz w:val="20"/>
          <w:szCs w:val="20"/>
        </w:rPr>
        <w:t xml:space="preserve">he overall survival of </w:t>
      </w:r>
      <w:r w:rsidR="00DD38D7" w:rsidRPr="00601EB3">
        <w:rPr>
          <w:rFonts w:ascii="Times New Roman" w:eastAsia="Times New Roman" w:hAnsi="Times New Roman" w:cs="Times New Roman"/>
          <w:sz w:val="20"/>
          <w:szCs w:val="20"/>
        </w:rPr>
        <w:t xml:space="preserve">COX2 </w:t>
      </w:r>
      <w:r w:rsidRPr="00601EB3">
        <w:rPr>
          <w:rFonts w:ascii="Times New Roman" w:eastAsia="Times New Roman" w:hAnsi="Times New Roman" w:cs="Times New Roman"/>
          <w:sz w:val="20"/>
          <w:szCs w:val="20"/>
        </w:rPr>
        <w:t>positive patients was less than</w:t>
      </w:r>
      <w:r w:rsidR="00DD38D7" w:rsidRPr="00601EB3">
        <w:rPr>
          <w:rFonts w:ascii="Times New Roman" w:eastAsia="Times New Roman" w:hAnsi="Times New Roman" w:cs="Times New Roman"/>
          <w:sz w:val="20"/>
          <w:szCs w:val="20"/>
        </w:rPr>
        <w:t xml:space="preserve"> that</w:t>
      </w:r>
      <w:r w:rsidRPr="00601EB3">
        <w:rPr>
          <w:rFonts w:ascii="Times New Roman" w:eastAsia="Times New Roman" w:hAnsi="Times New Roman" w:cs="Times New Roman"/>
          <w:sz w:val="20"/>
          <w:szCs w:val="20"/>
        </w:rPr>
        <w:t xml:space="preserve"> for those without </w:t>
      </w:r>
      <w:r w:rsidR="00DD38D7" w:rsidRPr="00601EB3">
        <w:rPr>
          <w:rFonts w:ascii="Times New Roman" w:eastAsia="Times New Roman" w:hAnsi="Times New Roman" w:cs="Times New Roman"/>
          <w:sz w:val="20"/>
          <w:szCs w:val="20"/>
        </w:rPr>
        <w:t>COX2</w:t>
      </w:r>
      <w:r w:rsidRPr="00601EB3">
        <w:rPr>
          <w:rFonts w:ascii="Times New Roman" w:eastAsia="Times New Roman" w:hAnsi="Times New Roman" w:cs="Times New Roman"/>
          <w:sz w:val="20"/>
          <w:szCs w:val="20"/>
        </w:rPr>
        <w:t xml:space="preserve"> expression</w:t>
      </w:r>
      <w:r w:rsidR="00DD38D7" w:rsidRPr="00601EB3">
        <w:rPr>
          <w:rFonts w:ascii="Times New Roman" w:eastAsia="Times New Roman" w:hAnsi="Times New Roman" w:cs="Times New Roman"/>
          <w:sz w:val="20"/>
          <w:szCs w:val="20"/>
        </w:rPr>
        <w:t>,</w:t>
      </w:r>
      <w:r w:rsidRPr="00601EB3">
        <w:rPr>
          <w:rFonts w:ascii="Times New Roman" w:eastAsia="Times New Roman" w:hAnsi="Times New Roman" w:cs="Times New Roman"/>
          <w:sz w:val="20"/>
          <w:szCs w:val="20"/>
        </w:rPr>
        <w:t xml:space="preserve"> but the difference was not significant statistically (16.4+/-11.4 vs. 14.7+/-8.2 months,</w:t>
      </w:r>
      <w:r w:rsidR="00B571A8" w:rsidRPr="00601EB3">
        <w:rPr>
          <w:rFonts w:ascii="Times New Roman" w:eastAsia="Times New Roman" w:hAnsi="Times New Roman" w:cs="Times New Roman"/>
          <w:sz w:val="20"/>
          <w:szCs w:val="20"/>
        </w:rPr>
        <w:t xml:space="preserve"> respecti</w:t>
      </w:r>
      <w:r w:rsidR="00872FFE" w:rsidRPr="00601EB3">
        <w:rPr>
          <w:rFonts w:ascii="Times New Roman" w:eastAsia="Times New Roman" w:hAnsi="Times New Roman" w:cs="Times New Roman"/>
          <w:sz w:val="20"/>
          <w:szCs w:val="20"/>
        </w:rPr>
        <w:t>vely, P=</w:t>
      </w:r>
      <w:r w:rsidR="00B571A8" w:rsidRPr="00601EB3">
        <w:rPr>
          <w:rFonts w:ascii="Times New Roman" w:eastAsia="Times New Roman" w:hAnsi="Times New Roman" w:cs="Times New Roman"/>
          <w:sz w:val="20"/>
          <w:szCs w:val="20"/>
        </w:rPr>
        <w:t>0.552).</w:t>
      </w:r>
      <w:r w:rsidR="005843F5">
        <w:rPr>
          <w:rFonts w:ascii="Times New Roman" w:eastAsia="Times New Roman" w:hAnsi="Times New Roman" w:cs="Times New Roman"/>
          <w:sz w:val="20"/>
          <w:szCs w:val="20"/>
        </w:rPr>
        <w:t xml:space="preserve"> </w:t>
      </w:r>
      <w:r w:rsidR="00BF4124" w:rsidRPr="00601EB3">
        <w:rPr>
          <w:rFonts w:ascii="Times New Roman" w:eastAsia="Times New Roman" w:hAnsi="Times New Roman" w:cs="Times New Roman"/>
          <w:sz w:val="20"/>
          <w:szCs w:val="20"/>
        </w:rPr>
        <w:t xml:space="preserve">Besides, they </w:t>
      </w:r>
      <w:r w:rsidRPr="00601EB3">
        <w:rPr>
          <w:rFonts w:ascii="Times New Roman" w:eastAsia="Times New Roman" w:hAnsi="Times New Roman" w:cs="Times New Roman"/>
          <w:sz w:val="20"/>
          <w:szCs w:val="20"/>
        </w:rPr>
        <w:t>demonstrated that there is a clinical correlation between the C</w:t>
      </w:r>
      <w:r w:rsidR="0040477B" w:rsidRPr="00601EB3">
        <w:rPr>
          <w:rFonts w:ascii="Times New Roman" w:eastAsia="Times New Roman" w:hAnsi="Times New Roman" w:cs="Times New Roman"/>
          <w:sz w:val="20"/>
          <w:szCs w:val="20"/>
        </w:rPr>
        <w:t>OX2</w:t>
      </w:r>
      <w:r w:rsidRPr="00601EB3">
        <w:rPr>
          <w:rFonts w:ascii="Times New Roman" w:eastAsia="Times New Roman" w:hAnsi="Times New Roman" w:cs="Times New Roman"/>
          <w:sz w:val="20"/>
          <w:szCs w:val="20"/>
        </w:rPr>
        <w:t xml:space="preserve"> expression and prognostic f</w:t>
      </w:r>
      <w:r w:rsidR="00EF10BD" w:rsidRPr="00601EB3">
        <w:rPr>
          <w:rFonts w:ascii="Times New Roman" w:eastAsia="Times New Roman" w:hAnsi="Times New Roman" w:cs="Times New Roman"/>
          <w:sz w:val="20"/>
          <w:szCs w:val="20"/>
        </w:rPr>
        <w:t>actors in lymphoma patients and t</w:t>
      </w:r>
      <w:r w:rsidRPr="00601EB3">
        <w:rPr>
          <w:rFonts w:ascii="Times New Roman" w:eastAsia="Times New Roman" w:hAnsi="Times New Roman" w:cs="Times New Roman"/>
          <w:sz w:val="20"/>
          <w:szCs w:val="20"/>
        </w:rPr>
        <w:t xml:space="preserve">he combination of </w:t>
      </w:r>
      <w:r w:rsidR="0040477B" w:rsidRPr="00601EB3">
        <w:rPr>
          <w:rFonts w:ascii="Times New Roman" w:eastAsia="Times New Roman" w:hAnsi="Times New Roman" w:cs="Times New Roman"/>
          <w:sz w:val="20"/>
          <w:szCs w:val="20"/>
        </w:rPr>
        <w:t>COX2</w:t>
      </w:r>
      <w:r w:rsidRPr="00601EB3">
        <w:rPr>
          <w:rFonts w:ascii="Times New Roman" w:eastAsia="Times New Roman" w:hAnsi="Times New Roman" w:cs="Times New Roman"/>
          <w:sz w:val="20"/>
          <w:szCs w:val="20"/>
        </w:rPr>
        <w:t xml:space="preserve"> inhibitors with standard chemotherapeutics may enhance the potential of treatment options for malignant lymphomas</w:t>
      </w:r>
      <w:r w:rsidR="00BF4124" w:rsidRPr="00601EB3">
        <w:rPr>
          <w:rFonts w:ascii="Times New Roman" w:eastAsia="Times New Roman" w:hAnsi="Times New Roman" w:cs="Times New Roman"/>
          <w:sz w:val="20"/>
          <w:szCs w:val="20"/>
        </w:rPr>
        <w:t xml:space="preserve"> [</w:t>
      </w:r>
      <w:r w:rsidR="00BB0B47" w:rsidRPr="00601EB3">
        <w:rPr>
          <w:rFonts w:ascii="Times New Roman" w:eastAsia="Times New Roman" w:hAnsi="Times New Roman" w:cs="Times New Roman"/>
          <w:sz w:val="20"/>
          <w:szCs w:val="20"/>
        </w:rPr>
        <w:t>34</w:t>
      </w:r>
      <w:r w:rsidR="00BF4124" w:rsidRPr="00601EB3">
        <w:rPr>
          <w:rFonts w:ascii="Times New Roman" w:eastAsia="Times New Roman" w:hAnsi="Times New Roman" w:cs="Times New Roman"/>
          <w:sz w:val="20"/>
          <w:szCs w:val="20"/>
        </w:rPr>
        <w:t>]</w:t>
      </w:r>
      <w:r w:rsidRPr="00601EB3">
        <w:rPr>
          <w:rFonts w:ascii="Times New Roman" w:eastAsia="Times New Roman" w:hAnsi="Times New Roman" w:cs="Times New Roman"/>
          <w:sz w:val="20"/>
          <w:szCs w:val="20"/>
        </w:rPr>
        <w:t>.</w:t>
      </w:r>
    </w:p>
    <w:p w:rsidR="004431B2" w:rsidRPr="00601EB3" w:rsidRDefault="004431B2" w:rsidP="00D67228">
      <w:pPr>
        <w:bidi w:val="0"/>
        <w:adjustRightInd w:val="0"/>
        <w:snapToGrid w:val="0"/>
        <w:spacing w:after="0" w:line="240" w:lineRule="auto"/>
        <w:jc w:val="both"/>
        <w:rPr>
          <w:rFonts w:ascii="Times New Roman" w:hAnsi="Times New Roman" w:cs="Times New Roman"/>
          <w:sz w:val="20"/>
          <w:szCs w:val="20"/>
        </w:rPr>
      </w:pPr>
    </w:p>
    <w:p w:rsidR="004431B2" w:rsidRPr="00601EB3" w:rsidRDefault="00C12F24" w:rsidP="00D67228">
      <w:pPr>
        <w:bidi w:val="0"/>
        <w:adjustRightInd w:val="0"/>
        <w:snapToGrid w:val="0"/>
        <w:spacing w:after="0" w:line="240" w:lineRule="auto"/>
        <w:jc w:val="both"/>
        <w:rPr>
          <w:rFonts w:ascii="Times New Roman" w:hAnsi="Times New Roman" w:cs="Times New Roman"/>
          <w:b/>
          <w:bCs/>
          <w:sz w:val="20"/>
          <w:szCs w:val="20"/>
        </w:rPr>
      </w:pPr>
      <w:r w:rsidRPr="00601EB3">
        <w:rPr>
          <w:rFonts w:ascii="Times New Roman" w:hAnsi="Times New Roman" w:cs="Times New Roman"/>
          <w:b/>
          <w:bCs/>
          <w:sz w:val="20"/>
          <w:szCs w:val="20"/>
        </w:rPr>
        <w:t>5. Conclusions</w:t>
      </w:r>
    </w:p>
    <w:p w:rsidR="00645418" w:rsidRPr="00601EB3" w:rsidRDefault="00645418"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 xml:space="preserve">In conclusion, the results obtained by the current study couldn’t identify the association between VEGF-A and COX2. </w:t>
      </w:r>
      <w:r w:rsidR="0040477B" w:rsidRPr="00601EB3">
        <w:rPr>
          <w:rFonts w:ascii="Times New Roman" w:hAnsi="Times New Roman" w:cs="Times New Roman"/>
          <w:sz w:val="20"/>
          <w:szCs w:val="20"/>
        </w:rPr>
        <w:t>Controversially</w:t>
      </w:r>
      <w:r w:rsidR="00633D89" w:rsidRPr="00601EB3">
        <w:rPr>
          <w:rFonts w:ascii="Times New Roman" w:hAnsi="Times New Roman" w:cs="Times New Roman"/>
          <w:sz w:val="20"/>
          <w:szCs w:val="20"/>
        </w:rPr>
        <w:t>,</w:t>
      </w:r>
      <w:r w:rsidRPr="00601EB3">
        <w:rPr>
          <w:rFonts w:ascii="Times New Roman" w:hAnsi="Times New Roman" w:cs="Times New Roman"/>
          <w:sz w:val="20"/>
          <w:szCs w:val="20"/>
        </w:rPr>
        <w:t xml:space="preserve"> we found a better response to treatmen</w:t>
      </w:r>
      <w:r w:rsidR="009D3675" w:rsidRPr="00601EB3">
        <w:rPr>
          <w:rFonts w:ascii="Times New Roman" w:hAnsi="Times New Roman" w:cs="Times New Roman"/>
          <w:sz w:val="20"/>
          <w:szCs w:val="20"/>
        </w:rPr>
        <w:t>t in patients expressing VEGF-A</w:t>
      </w:r>
      <w:r w:rsidR="005843F5">
        <w:rPr>
          <w:rFonts w:ascii="Times New Roman" w:hAnsi="Times New Roman" w:cs="Times New Roman"/>
          <w:sz w:val="20"/>
          <w:szCs w:val="20"/>
        </w:rPr>
        <w:t xml:space="preserve"> </w:t>
      </w:r>
      <w:r w:rsidRPr="00601EB3">
        <w:rPr>
          <w:rFonts w:ascii="Times New Roman" w:hAnsi="Times New Roman" w:cs="Times New Roman"/>
          <w:sz w:val="20"/>
          <w:szCs w:val="20"/>
        </w:rPr>
        <w:t>than not expressing with borderline statistically s</w:t>
      </w:r>
      <w:r w:rsidR="00F70EE8" w:rsidRPr="00601EB3">
        <w:rPr>
          <w:rFonts w:ascii="Times New Roman" w:hAnsi="Times New Roman" w:cs="Times New Roman"/>
          <w:sz w:val="20"/>
          <w:szCs w:val="20"/>
        </w:rPr>
        <w:t>ignificant difference (p=0.06).</w:t>
      </w:r>
      <w:r w:rsidR="005843F5">
        <w:rPr>
          <w:rFonts w:ascii="Times New Roman" w:hAnsi="Times New Roman" w:cs="Times New Roman"/>
          <w:sz w:val="20"/>
          <w:szCs w:val="20"/>
        </w:rPr>
        <w:t xml:space="preserve"> </w:t>
      </w:r>
      <w:r w:rsidRPr="00601EB3">
        <w:rPr>
          <w:rFonts w:ascii="Times New Roman" w:hAnsi="Times New Roman" w:cs="Times New Roman"/>
          <w:sz w:val="20"/>
          <w:szCs w:val="20"/>
        </w:rPr>
        <w:t xml:space="preserve">Further studies with larger number of patients are required to clarify the association between the inflammatory mediator and the </w:t>
      </w:r>
      <w:proofErr w:type="spellStart"/>
      <w:r w:rsidRPr="00601EB3">
        <w:rPr>
          <w:rFonts w:ascii="Times New Roman" w:hAnsi="Times New Roman" w:cs="Times New Roman"/>
          <w:sz w:val="20"/>
          <w:szCs w:val="20"/>
        </w:rPr>
        <w:t>angiogenetic</w:t>
      </w:r>
      <w:proofErr w:type="spellEnd"/>
      <w:r w:rsidRPr="00601EB3">
        <w:rPr>
          <w:rFonts w:ascii="Times New Roman" w:hAnsi="Times New Roman" w:cs="Times New Roman"/>
          <w:sz w:val="20"/>
          <w:szCs w:val="20"/>
        </w:rPr>
        <w:t xml:space="preserve"> factor and to assess their role in the response to treatment for the possibility to use modifying drugs </w:t>
      </w:r>
      <w:r w:rsidR="009D3675" w:rsidRPr="00601EB3">
        <w:rPr>
          <w:rFonts w:ascii="Times New Roman" w:hAnsi="Times New Roman" w:cs="Times New Roman"/>
          <w:sz w:val="20"/>
          <w:szCs w:val="20"/>
        </w:rPr>
        <w:t xml:space="preserve">and improve the response of </w:t>
      </w:r>
      <w:r w:rsidRPr="00601EB3">
        <w:rPr>
          <w:rFonts w:ascii="Times New Roman" w:hAnsi="Times New Roman" w:cs="Times New Roman"/>
          <w:sz w:val="20"/>
          <w:szCs w:val="20"/>
        </w:rPr>
        <w:t>NHL patients.</w:t>
      </w:r>
    </w:p>
    <w:p w:rsidR="008E0A14" w:rsidRPr="00601EB3" w:rsidRDefault="008E0A14" w:rsidP="00D67228">
      <w:pPr>
        <w:bidi w:val="0"/>
        <w:adjustRightInd w:val="0"/>
        <w:snapToGrid w:val="0"/>
        <w:spacing w:after="0" w:line="240" w:lineRule="auto"/>
        <w:jc w:val="both"/>
        <w:rPr>
          <w:rFonts w:ascii="Times New Roman" w:hAnsi="Times New Roman" w:cs="Times New Roman"/>
          <w:b/>
          <w:bCs/>
          <w:sz w:val="20"/>
          <w:szCs w:val="20"/>
        </w:rPr>
      </w:pPr>
    </w:p>
    <w:p w:rsidR="00EF246F" w:rsidRPr="00601EB3" w:rsidRDefault="00C12F24" w:rsidP="00D67228">
      <w:pPr>
        <w:bidi w:val="0"/>
        <w:adjustRightInd w:val="0"/>
        <w:snapToGrid w:val="0"/>
        <w:spacing w:after="0" w:line="240" w:lineRule="auto"/>
        <w:jc w:val="both"/>
        <w:rPr>
          <w:rFonts w:ascii="Times New Roman" w:hAnsi="Times New Roman" w:cs="Times New Roman"/>
          <w:b/>
          <w:bCs/>
          <w:sz w:val="20"/>
          <w:szCs w:val="20"/>
        </w:rPr>
      </w:pPr>
      <w:r w:rsidRPr="00601EB3">
        <w:rPr>
          <w:rFonts w:ascii="Times New Roman" w:hAnsi="Times New Roman" w:cs="Times New Roman"/>
          <w:b/>
          <w:bCs/>
          <w:sz w:val="20"/>
          <w:szCs w:val="20"/>
        </w:rPr>
        <w:t>Conflict Of Interest</w:t>
      </w:r>
    </w:p>
    <w:p w:rsidR="00EF246F" w:rsidRPr="00601EB3" w:rsidRDefault="00EF246F" w:rsidP="00D67228">
      <w:pPr>
        <w:bidi w:val="0"/>
        <w:adjustRightInd w:val="0"/>
        <w:snapToGrid w:val="0"/>
        <w:spacing w:after="0" w:line="240" w:lineRule="auto"/>
        <w:ind w:firstLine="425"/>
        <w:jc w:val="both"/>
        <w:rPr>
          <w:rFonts w:ascii="Times New Roman" w:hAnsi="Times New Roman" w:cs="Times New Roman"/>
          <w:sz w:val="20"/>
          <w:szCs w:val="20"/>
        </w:rPr>
      </w:pPr>
      <w:r w:rsidRPr="00601EB3">
        <w:rPr>
          <w:rFonts w:ascii="Times New Roman" w:hAnsi="Times New Roman" w:cs="Times New Roman"/>
          <w:sz w:val="20"/>
          <w:szCs w:val="20"/>
        </w:rPr>
        <w:t>None of the authors of this paper has any financial or personal re</w:t>
      </w:r>
      <w:bookmarkStart w:id="9" w:name="_GoBack"/>
      <w:bookmarkEnd w:id="9"/>
      <w:r w:rsidRPr="00601EB3">
        <w:rPr>
          <w:rFonts w:ascii="Times New Roman" w:hAnsi="Times New Roman" w:cs="Times New Roman"/>
          <w:sz w:val="20"/>
          <w:szCs w:val="20"/>
        </w:rPr>
        <w:t>lationship with other people or organizations that could inappropriately influence or bias the content of the paper.</w:t>
      </w:r>
    </w:p>
    <w:p w:rsidR="00A1724A" w:rsidRPr="00601EB3" w:rsidRDefault="00A1724A" w:rsidP="00D67228">
      <w:pPr>
        <w:bidi w:val="0"/>
        <w:adjustRightInd w:val="0"/>
        <w:snapToGrid w:val="0"/>
        <w:spacing w:after="0" w:line="240" w:lineRule="auto"/>
        <w:jc w:val="both"/>
        <w:rPr>
          <w:rFonts w:ascii="Times New Roman" w:hAnsi="Times New Roman" w:cs="Times New Roman"/>
          <w:sz w:val="20"/>
          <w:szCs w:val="20"/>
        </w:rPr>
      </w:pPr>
    </w:p>
    <w:p w:rsidR="00A1724A" w:rsidRPr="00601EB3" w:rsidRDefault="00A1724A" w:rsidP="00D67228">
      <w:pPr>
        <w:bidi w:val="0"/>
        <w:adjustRightInd w:val="0"/>
        <w:snapToGrid w:val="0"/>
        <w:spacing w:after="0" w:line="240" w:lineRule="auto"/>
        <w:jc w:val="both"/>
        <w:rPr>
          <w:rFonts w:ascii="Times New Roman" w:hAnsi="Times New Roman" w:cs="Times New Roman"/>
          <w:b/>
          <w:bCs/>
          <w:sz w:val="20"/>
          <w:szCs w:val="20"/>
        </w:rPr>
      </w:pPr>
      <w:r w:rsidRPr="00601EB3">
        <w:rPr>
          <w:rFonts w:ascii="Times New Roman" w:hAnsi="Times New Roman" w:cs="Times New Roman"/>
          <w:b/>
          <w:bCs/>
          <w:sz w:val="20"/>
          <w:szCs w:val="20"/>
        </w:rPr>
        <w:t>References:</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Eser</w:t>
      </w:r>
      <w:proofErr w:type="spellEnd"/>
      <w:r w:rsidRPr="00601EB3">
        <w:rPr>
          <w:rFonts w:ascii="Times New Roman" w:eastAsia="Calibri" w:hAnsi="Times New Roman" w:cs="Times New Roman"/>
          <w:sz w:val="20"/>
          <w:szCs w:val="20"/>
        </w:rPr>
        <w:t xml:space="preserve"> S, Yakut C, </w:t>
      </w:r>
      <w:proofErr w:type="spellStart"/>
      <w:r w:rsidRPr="00601EB3">
        <w:rPr>
          <w:rFonts w:ascii="Times New Roman" w:eastAsia="Calibri" w:hAnsi="Times New Roman" w:cs="Times New Roman"/>
          <w:sz w:val="20"/>
          <w:szCs w:val="20"/>
        </w:rPr>
        <w:t>ozdemir</w:t>
      </w:r>
      <w:proofErr w:type="spellEnd"/>
      <w:r w:rsidRPr="00601EB3">
        <w:rPr>
          <w:rFonts w:ascii="Times New Roman" w:eastAsia="Calibri" w:hAnsi="Times New Roman" w:cs="Times New Roman"/>
          <w:sz w:val="20"/>
          <w:szCs w:val="20"/>
        </w:rPr>
        <w:t xml:space="preserve"> R, et al (2010). Cancer incidence rates in Turkey in 2006: a detailed registry based estimation. Asian Pac J Cancer </w:t>
      </w:r>
      <w:proofErr w:type="spellStart"/>
      <w:r w:rsidRPr="00601EB3">
        <w:rPr>
          <w:rFonts w:ascii="Times New Roman" w:eastAsia="Calibri" w:hAnsi="Times New Roman" w:cs="Times New Roman"/>
          <w:sz w:val="20"/>
          <w:szCs w:val="20"/>
        </w:rPr>
        <w:t>Prev</w:t>
      </w:r>
      <w:proofErr w:type="spellEnd"/>
      <w:r w:rsidRPr="00601EB3">
        <w:rPr>
          <w:rFonts w:ascii="Times New Roman" w:eastAsia="Calibri" w:hAnsi="Times New Roman" w:cs="Times New Roman"/>
          <w:sz w:val="20"/>
          <w:szCs w:val="20"/>
        </w:rPr>
        <w:t>, 11, 1731-9.</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r w:rsidRPr="00601EB3">
        <w:rPr>
          <w:rFonts w:ascii="Times New Roman" w:eastAsia="Calibri" w:hAnsi="Times New Roman" w:cs="Times New Roman"/>
          <w:sz w:val="20"/>
          <w:szCs w:val="20"/>
        </w:rPr>
        <w:lastRenderedPageBreak/>
        <w:t>Hassan B, Ahmad A, (2015). "</w:t>
      </w:r>
      <w:proofErr w:type="spellStart"/>
      <w:r w:rsidRPr="00601EB3">
        <w:rPr>
          <w:rFonts w:ascii="Times New Roman" w:eastAsia="Calibri" w:hAnsi="Times New Roman" w:cs="Times New Roman"/>
          <w:sz w:val="20"/>
          <w:szCs w:val="20"/>
        </w:rPr>
        <w:t>Clinicopathologic</w:t>
      </w:r>
      <w:proofErr w:type="spellEnd"/>
      <w:r w:rsidRPr="00601EB3">
        <w:rPr>
          <w:rFonts w:ascii="Times New Roman" w:eastAsia="Calibri" w:hAnsi="Times New Roman" w:cs="Times New Roman"/>
          <w:sz w:val="20"/>
          <w:szCs w:val="20"/>
        </w:rPr>
        <w:t xml:space="preserve"> evaluation of different subtypes of Non- Hodgkin’s lymphoma according to WHO classification"</w:t>
      </w:r>
      <w:r w:rsidR="00601EB3">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Life Science Journal, 12.</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Gille</w:t>
      </w:r>
      <w:proofErr w:type="spellEnd"/>
      <w:r w:rsidRPr="00601EB3">
        <w:rPr>
          <w:rFonts w:ascii="Times New Roman" w:eastAsia="Calibri" w:hAnsi="Times New Roman" w:cs="Times New Roman"/>
          <w:sz w:val="20"/>
          <w:szCs w:val="20"/>
        </w:rPr>
        <w:t xml:space="preserve"> H, Kowalski J, Li B, et al (2001). Analysis of biological effects and signaling properties of Flt-1</w:t>
      </w:r>
      <w:r w:rsidR="005843F5">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 xml:space="preserve">(VEGFR-1) and KDR (VEGFR-2). A reassessment using novel receptor-specific vascular endothelial growth factor mutants. J </w:t>
      </w:r>
      <w:proofErr w:type="spellStart"/>
      <w:r w:rsidRPr="00601EB3">
        <w:rPr>
          <w:rFonts w:ascii="Times New Roman" w:eastAsia="Calibri" w:hAnsi="Times New Roman" w:cs="Times New Roman"/>
          <w:sz w:val="20"/>
          <w:szCs w:val="20"/>
        </w:rPr>
        <w:t>Biol</w:t>
      </w:r>
      <w:proofErr w:type="spellEnd"/>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Chem</w:t>
      </w:r>
      <w:proofErr w:type="spellEnd"/>
      <w:r w:rsidRPr="00601EB3">
        <w:rPr>
          <w:rFonts w:ascii="Times New Roman" w:eastAsia="Calibri" w:hAnsi="Times New Roman" w:cs="Times New Roman"/>
          <w:sz w:val="20"/>
          <w:szCs w:val="20"/>
        </w:rPr>
        <w:t>, 276, 3222–30.</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r w:rsidRPr="00601EB3">
        <w:rPr>
          <w:rFonts w:ascii="Times New Roman" w:eastAsia="Calibri" w:hAnsi="Times New Roman" w:cs="Times New Roman"/>
          <w:sz w:val="20"/>
          <w:szCs w:val="20"/>
        </w:rPr>
        <w:t xml:space="preserve">Duse A, </w:t>
      </w:r>
      <w:proofErr w:type="spellStart"/>
      <w:r w:rsidRPr="00601EB3">
        <w:rPr>
          <w:rFonts w:ascii="Times New Roman" w:eastAsia="Calibri" w:hAnsi="Times New Roman" w:cs="Times New Roman"/>
          <w:sz w:val="20"/>
          <w:szCs w:val="20"/>
        </w:rPr>
        <w:t>Ceausu</w:t>
      </w:r>
      <w:proofErr w:type="spellEnd"/>
      <w:r w:rsidRPr="00601EB3">
        <w:rPr>
          <w:rFonts w:ascii="Times New Roman" w:eastAsia="Calibri" w:hAnsi="Times New Roman" w:cs="Times New Roman"/>
          <w:sz w:val="20"/>
          <w:szCs w:val="20"/>
        </w:rPr>
        <w:t xml:space="preserve"> R, </w:t>
      </w:r>
      <w:proofErr w:type="spellStart"/>
      <w:r w:rsidRPr="00601EB3">
        <w:rPr>
          <w:rFonts w:ascii="Times New Roman" w:eastAsia="Calibri" w:hAnsi="Times New Roman" w:cs="Times New Roman"/>
          <w:sz w:val="20"/>
          <w:szCs w:val="20"/>
        </w:rPr>
        <w:t>Anca</w:t>
      </w:r>
      <w:proofErr w:type="spellEnd"/>
      <w:r w:rsidRPr="00601EB3">
        <w:rPr>
          <w:rFonts w:ascii="Times New Roman" w:eastAsia="Calibri" w:hAnsi="Times New Roman" w:cs="Times New Roman"/>
          <w:sz w:val="20"/>
          <w:szCs w:val="20"/>
        </w:rPr>
        <w:t xml:space="preserve"> T, et al (2013).</w:t>
      </w:r>
      <w:r w:rsidR="005843F5">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Expression and possible significance of vascular endothelial growth factor in non-</w:t>
      </w:r>
      <w:proofErr w:type="spellStart"/>
      <w:r w:rsidRPr="00601EB3">
        <w:rPr>
          <w:rFonts w:ascii="Times New Roman" w:eastAsia="Calibri" w:hAnsi="Times New Roman" w:cs="Times New Roman"/>
          <w:sz w:val="20"/>
          <w:szCs w:val="20"/>
        </w:rPr>
        <w:t>hodgikin’s</w:t>
      </w:r>
      <w:proofErr w:type="spellEnd"/>
      <w:r w:rsidRPr="00601EB3">
        <w:rPr>
          <w:rFonts w:ascii="Times New Roman" w:eastAsia="Calibri" w:hAnsi="Times New Roman" w:cs="Times New Roman"/>
          <w:sz w:val="20"/>
          <w:szCs w:val="20"/>
        </w:rPr>
        <w:t xml:space="preserve"> lymphoma. Arch. Biol. Sci., Belgrade, 65 (2), 487-491.</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Sanaat</w:t>
      </w:r>
      <w:proofErr w:type="spellEnd"/>
      <w:r w:rsidRPr="00601EB3">
        <w:rPr>
          <w:rFonts w:ascii="Times New Roman" w:eastAsia="Calibri" w:hAnsi="Times New Roman" w:cs="Times New Roman"/>
          <w:sz w:val="20"/>
          <w:szCs w:val="20"/>
        </w:rPr>
        <w:t xml:space="preserve"> Z, </w:t>
      </w:r>
      <w:proofErr w:type="spellStart"/>
      <w:r w:rsidRPr="00601EB3">
        <w:rPr>
          <w:rFonts w:ascii="Times New Roman" w:eastAsia="Calibri" w:hAnsi="Times New Roman" w:cs="Times New Roman"/>
          <w:sz w:val="20"/>
          <w:szCs w:val="20"/>
        </w:rPr>
        <w:t>Tavangar</w:t>
      </w:r>
      <w:proofErr w:type="spellEnd"/>
      <w:r w:rsidRPr="00601EB3">
        <w:rPr>
          <w:rFonts w:ascii="Times New Roman" w:eastAsia="Calibri" w:hAnsi="Times New Roman" w:cs="Times New Roman"/>
          <w:sz w:val="20"/>
          <w:szCs w:val="20"/>
        </w:rPr>
        <w:t xml:space="preserve"> S, </w:t>
      </w:r>
      <w:proofErr w:type="spellStart"/>
      <w:r w:rsidRPr="00601EB3">
        <w:rPr>
          <w:rFonts w:ascii="Times New Roman" w:eastAsia="Calibri" w:hAnsi="Times New Roman" w:cs="Times New Roman"/>
          <w:sz w:val="20"/>
          <w:szCs w:val="20"/>
        </w:rPr>
        <w:t>Gharamaleki</w:t>
      </w:r>
      <w:proofErr w:type="spellEnd"/>
      <w:r w:rsidRPr="00601EB3">
        <w:rPr>
          <w:rFonts w:ascii="Times New Roman" w:eastAsia="Calibri" w:hAnsi="Times New Roman" w:cs="Times New Roman"/>
          <w:sz w:val="20"/>
          <w:szCs w:val="20"/>
        </w:rPr>
        <w:t xml:space="preserve"> J, et al (2013). Cyclooxygenase-2 (COX-2) Expression in Lymphoma in North-West of Iran. International Journal of Hematology Oncology and Stem Cell Research.</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Sundar</w:t>
      </w:r>
      <w:proofErr w:type="spellEnd"/>
      <w:r w:rsidRPr="00601EB3">
        <w:rPr>
          <w:rFonts w:ascii="Times New Roman" w:eastAsia="Calibri" w:hAnsi="Times New Roman" w:cs="Times New Roman"/>
          <w:sz w:val="20"/>
          <w:szCs w:val="20"/>
        </w:rPr>
        <w:t xml:space="preserve"> SS, </w:t>
      </w:r>
      <w:proofErr w:type="spellStart"/>
      <w:r w:rsidRPr="00601EB3">
        <w:rPr>
          <w:rFonts w:ascii="Times New Roman" w:eastAsia="Calibri" w:hAnsi="Times New Roman" w:cs="Times New Roman"/>
          <w:sz w:val="20"/>
          <w:szCs w:val="20"/>
        </w:rPr>
        <w:t>Ganesan</w:t>
      </w:r>
      <w:proofErr w:type="spellEnd"/>
      <w:r w:rsidRPr="00601EB3">
        <w:rPr>
          <w:rFonts w:ascii="Times New Roman" w:eastAsia="Calibri" w:hAnsi="Times New Roman" w:cs="Times New Roman"/>
          <w:sz w:val="20"/>
          <w:szCs w:val="20"/>
        </w:rPr>
        <w:t xml:space="preserve"> TS, (2007). Role of </w:t>
      </w:r>
      <w:proofErr w:type="spellStart"/>
      <w:r w:rsidRPr="00601EB3">
        <w:rPr>
          <w:rFonts w:ascii="Times New Roman" w:eastAsia="Calibri" w:hAnsi="Times New Roman" w:cs="Times New Roman"/>
          <w:sz w:val="20"/>
          <w:szCs w:val="20"/>
        </w:rPr>
        <w:t>lymphangiogenesis</w:t>
      </w:r>
      <w:proofErr w:type="spellEnd"/>
      <w:r w:rsidRPr="00601EB3">
        <w:rPr>
          <w:rFonts w:ascii="Times New Roman" w:eastAsia="Calibri" w:hAnsi="Times New Roman" w:cs="Times New Roman"/>
          <w:sz w:val="20"/>
          <w:szCs w:val="20"/>
        </w:rPr>
        <w:t xml:space="preserve"> in cancer. J </w:t>
      </w:r>
      <w:proofErr w:type="spellStart"/>
      <w:r w:rsidRPr="00601EB3">
        <w:rPr>
          <w:rFonts w:ascii="Times New Roman" w:eastAsia="Calibri" w:hAnsi="Times New Roman" w:cs="Times New Roman"/>
          <w:sz w:val="20"/>
          <w:szCs w:val="20"/>
        </w:rPr>
        <w:t>Clin</w:t>
      </w:r>
      <w:proofErr w:type="spellEnd"/>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Oncol</w:t>
      </w:r>
      <w:proofErr w:type="spellEnd"/>
      <w:r w:rsidRPr="00601EB3">
        <w:rPr>
          <w:rFonts w:ascii="Times New Roman" w:eastAsia="Calibri" w:hAnsi="Times New Roman" w:cs="Times New Roman"/>
          <w:sz w:val="20"/>
          <w:szCs w:val="20"/>
        </w:rPr>
        <w:t>, 25, 4299–307.</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r w:rsidRPr="00601EB3">
        <w:rPr>
          <w:rFonts w:ascii="Times New Roman" w:eastAsia="Calibri" w:hAnsi="Times New Roman" w:cs="Times New Roman"/>
          <w:sz w:val="20"/>
          <w:szCs w:val="20"/>
        </w:rPr>
        <w:t xml:space="preserve">Prophet B., Mills B., </w:t>
      </w:r>
      <w:proofErr w:type="spellStart"/>
      <w:r w:rsidRPr="00601EB3">
        <w:rPr>
          <w:rFonts w:ascii="Times New Roman" w:eastAsia="Calibri" w:hAnsi="Times New Roman" w:cs="Times New Roman"/>
          <w:sz w:val="20"/>
          <w:szCs w:val="20"/>
        </w:rPr>
        <w:t>Arrinqton</w:t>
      </w:r>
      <w:proofErr w:type="spellEnd"/>
      <w:r w:rsidRPr="00601EB3">
        <w:rPr>
          <w:rFonts w:ascii="Times New Roman" w:eastAsia="Calibri" w:hAnsi="Times New Roman" w:cs="Times New Roman"/>
          <w:sz w:val="20"/>
          <w:szCs w:val="20"/>
        </w:rPr>
        <w:t xml:space="preserve"> J, et al (1992). Laboratory Methods in </w:t>
      </w:r>
      <w:proofErr w:type="spellStart"/>
      <w:r w:rsidRPr="00601EB3">
        <w:rPr>
          <w:rFonts w:ascii="Times New Roman" w:eastAsia="Calibri" w:hAnsi="Times New Roman" w:cs="Times New Roman"/>
          <w:sz w:val="20"/>
          <w:szCs w:val="20"/>
        </w:rPr>
        <w:t>Histotechnology</w:t>
      </w:r>
      <w:proofErr w:type="spellEnd"/>
      <w:r w:rsidRPr="00601EB3">
        <w:rPr>
          <w:rFonts w:ascii="Times New Roman" w:eastAsia="Calibri" w:hAnsi="Times New Roman" w:cs="Times New Roman"/>
          <w:sz w:val="20"/>
          <w:szCs w:val="20"/>
        </w:rPr>
        <w:t>, Armed Forces Institute of Pathology. The American Registry of Pathology.</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Bisgaard</w:t>
      </w:r>
      <w:proofErr w:type="spellEnd"/>
      <w:r w:rsidRPr="00601EB3">
        <w:rPr>
          <w:rFonts w:ascii="Times New Roman" w:eastAsia="Calibri" w:hAnsi="Times New Roman" w:cs="Times New Roman"/>
          <w:sz w:val="20"/>
          <w:szCs w:val="20"/>
        </w:rPr>
        <w:t xml:space="preserve"> K, </w:t>
      </w:r>
      <w:proofErr w:type="spellStart"/>
      <w:r w:rsidRPr="00601EB3">
        <w:rPr>
          <w:rFonts w:ascii="Times New Roman" w:eastAsia="Calibri" w:hAnsi="Times New Roman" w:cs="Times New Roman"/>
          <w:sz w:val="20"/>
          <w:szCs w:val="20"/>
        </w:rPr>
        <w:t>Pluzek</w:t>
      </w:r>
      <w:proofErr w:type="spellEnd"/>
      <w:r w:rsidRPr="00601EB3">
        <w:rPr>
          <w:rFonts w:ascii="Times New Roman" w:eastAsia="Calibri" w:hAnsi="Times New Roman" w:cs="Times New Roman"/>
          <w:sz w:val="20"/>
          <w:szCs w:val="20"/>
        </w:rPr>
        <w:t xml:space="preserve"> K, (1996). Use of polymer conjugates in </w:t>
      </w:r>
      <w:proofErr w:type="spellStart"/>
      <w:r w:rsidRPr="00601EB3">
        <w:rPr>
          <w:rFonts w:ascii="Times New Roman" w:eastAsia="Calibri" w:hAnsi="Times New Roman" w:cs="Times New Roman"/>
          <w:sz w:val="20"/>
          <w:szCs w:val="20"/>
        </w:rPr>
        <w:t>immunohistochemistry</w:t>
      </w:r>
      <w:proofErr w:type="spellEnd"/>
      <w:r w:rsidRPr="00601EB3">
        <w:rPr>
          <w:rFonts w:ascii="Times New Roman" w:eastAsia="Calibri" w:hAnsi="Times New Roman" w:cs="Times New Roman"/>
          <w:sz w:val="20"/>
          <w:szCs w:val="20"/>
        </w:rPr>
        <w:t xml:space="preserve">: A comparative study of a traditional staining method to a staining method utilizing polymer conjugates. XXI Intl Cong Intl </w:t>
      </w:r>
      <w:proofErr w:type="spellStart"/>
      <w:r w:rsidRPr="00601EB3">
        <w:rPr>
          <w:rFonts w:ascii="Times New Roman" w:eastAsia="Calibri" w:hAnsi="Times New Roman" w:cs="Times New Roman"/>
          <w:sz w:val="20"/>
          <w:szCs w:val="20"/>
        </w:rPr>
        <w:t>Acad</w:t>
      </w:r>
      <w:proofErr w:type="spellEnd"/>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Pathol</w:t>
      </w:r>
      <w:proofErr w:type="spellEnd"/>
      <w:r w:rsidRPr="00601EB3">
        <w:rPr>
          <w:rFonts w:ascii="Times New Roman" w:eastAsia="Calibri" w:hAnsi="Times New Roman" w:cs="Times New Roman"/>
          <w:sz w:val="20"/>
          <w:szCs w:val="20"/>
        </w:rPr>
        <w:t xml:space="preserve"> and 12th World Cong </w:t>
      </w:r>
      <w:proofErr w:type="spellStart"/>
      <w:r w:rsidRPr="00601EB3">
        <w:rPr>
          <w:rFonts w:ascii="Times New Roman" w:eastAsia="Calibri" w:hAnsi="Times New Roman" w:cs="Times New Roman"/>
          <w:sz w:val="20"/>
          <w:szCs w:val="20"/>
        </w:rPr>
        <w:t>Acad</w:t>
      </w:r>
      <w:proofErr w:type="spellEnd"/>
      <w:r w:rsidRPr="00601EB3">
        <w:rPr>
          <w:rFonts w:ascii="Times New Roman" w:eastAsia="Calibri" w:hAnsi="Times New Roman" w:cs="Times New Roman"/>
          <w:sz w:val="20"/>
          <w:szCs w:val="20"/>
        </w:rPr>
        <w:t xml:space="preserve"> Environ </w:t>
      </w:r>
      <w:proofErr w:type="spellStart"/>
      <w:r w:rsidRPr="00601EB3">
        <w:rPr>
          <w:rFonts w:ascii="Times New Roman" w:eastAsia="Calibri" w:hAnsi="Times New Roman" w:cs="Times New Roman"/>
          <w:sz w:val="20"/>
          <w:szCs w:val="20"/>
        </w:rPr>
        <w:t>Pathol</w:t>
      </w:r>
      <w:proofErr w:type="spellEnd"/>
      <w:r w:rsidRPr="00601EB3">
        <w:rPr>
          <w:rFonts w:ascii="Times New Roman" w:eastAsia="Calibri" w:hAnsi="Times New Roman" w:cs="Times New Roman"/>
          <w:sz w:val="20"/>
          <w:szCs w:val="20"/>
        </w:rPr>
        <w:t>, Budapest, Hungary, 20-25.</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r w:rsidRPr="00601EB3">
        <w:rPr>
          <w:rFonts w:ascii="Times New Roman" w:eastAsia="Calibri" w:hAnsi="Times New Roman" w:cs="Times New Roman"/>
          <w:sz w:val="20"/>
          <w:szCs w:val="20"/>
        </w:rPr>
        <w:t xml:space="preserve">Cho MH, Yoon JH, </w:t>
      </w:r>
      <w:proofErr w:type="spellStart"/>
      <w:r w:rsidRPr="00601EB3">
        <w:rPr>
          <w:rFonts w:ascii="Times New Roman" w:eastAsia="Calibri" w:hAnsi="Times New Roman" w:cs="Times New Roman"/>
          <w:sz w:val="20"/>
          <w:szCs w:val="20"/>
        </w:rPr>
        <w:t>Jaegal</w:t>
      </w:r>
      <w:proofErr w:type="spellEnd"/>
      <w:r w:rsidRPr="00601EB3">
        <w:rPr>
          <w:rFonts w:ascii="Times New Roman" w:eastAsia="Calibri" w:hAnsi="Times New Roman" w:cs="Times New Roman"/>
          <w:sz w:val="20"/>
          <w:szCs w:val="20"/>
        </w:rPr>
        <w:t xml:space="preserve"> YJ, et al., (2006). Expression of cyclooxygenase-2 in breast carcinogenesis and its relation to HER-2/neu and p53 protein expression in invasive </w:t>
      </w:r>
      <w:proofErr w:type="spellStart"/>
      <w:r w:rsidRPr="00601EB3">
        <w:rPr>
          <w:rFonts w:ascii="Times New Roman" w:eastAsia="Calibri" w:hAnsi="Times New Roman" w:cs="Times New Roman"/>
          <w:sz w:val="20"/>
          <w:szCs w:val="20"/>
        </w:rPr>
        <w:t>ductal</w:t>
      </w:r>
      <w:proofErr w:type="spellEnd"/>
      <w:r w:rsidRPr="00601EB3">
        <w:rPr>
          <w:rFonts w:ascii="Times New Roman" w:eastAsia="Calibri" w:hAnsi="Times New Roman" w:cs="Times New Roman"/>
          <w:sz w:val="20"/>
          <w:szCs w:val="20"/>
        </w:rPr>
        <w:t xml:space="preserve"> carcinoma. Breast, 15, 390-8.</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Sullu</w:t>
      </w:r>
      <w:proofErr w:type="spellEnd"/>
      <w:r w:rsidRPr="00601EB3">
        <w:rPr>
          <w:rFonts w:ascii="Times New Roman" w:eastAsia="Calibri" w:hAnsi="Times New Roman" w:cs="Times New Roman"/>
          <w:sz w:val="20"/>
          <w:szCs w:val="20"/>
        </w:rPr>
        <w:t xml:space="preserve"> Y, Gun S, </w:t>
      </w:r>
      <w:proofErr w:type="spellStart"/>
      <w:r w:rsidRPr="00601EB3">
        <w:rPr>
          <w:rFonts w:ascii="Times New Roman" w:eastAsia="Calibri" w:hAnsi="Times New Roman" w:cs="Times New Roman"/>
          <w:sz w:val="20"/>
          <w:szCs w:val="20"/>
        </w:rPr>
        <w:t>Atmaca</w:t>
      </w:r>
      <w:proofErr w:type="spellEnd"/>
      <w:r w:rsidRPr="00601EB3">
        <w:rPr>
          <w:rFonts w:ascii="Times New Roman" w:eastAsia="Calibri" w:hAnsi="Times New Roman" w:cs="Times New Roman"/>
          <w:sz w:val="20"/>
          <w:szCs w:val="20"/>
        </w:rPr>
        <w:t xml:space="preserve"> S, et al (2010).</w:t>
      </w:r>
      <w:r w:rsidR="00601EB3">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 xml:space="preserve">Poor prognostic </w:t>
      </w:r>
      <w:proofErr w:type="spellStart"/>
      <w:r w:rsidRPr="00601EB3">
        <w:rPr>
          <w:rFonts w:ascii="Times New Roman" w:eastAsia="Calibri" w:hAnsi="Times New Roman" w:cs="Times New Roman"/>
          <w:sz w:val="20"/>
          <w:szCs w:val="20"/>
        </w:rPr>
        <w:t>clinicopathologic</w:t>
      </w:r>
      <w:proofErr w:type="spellEnd"/>
      <w:r w:rsidRPr="00601EB3">
        <w:rPr>
          <w:rFonts w:ascii="Times New Roman" w:eastAsia="Calibri" w:hAnsi="Times New Roman" w:cs="Times New Roman"/>
          <w:sz w:val="20"/>
          <w:szCs w:val="20"/>
        </w:rPr>
        <w:t xml:space="preserve"> features correlate with VEGF expression but not with PTEN expression in </w:t>
      </w:r>
      <w:proofErr w:type="spellStart"/>
      <w:r w:rsidRPr="00601EB3">
        <w:rPr>
          <w:rFonts w:ascii="Times New Roman" w:eastAsia="Calibri" w:hAnsi="Times New Roman" w:cs="Times New Roman"/>
          <w:sz w:val="20"/>
          <w:szCs w:val="20"/>
        </w:rPr>
        <w:t>squamous</w:t>
      </w:r>
      <w:proofErr w:type="spellEnd"/>
      <w:r w:rsidRPr="00601EB3">
        <w:rPr>
          <w:rFonts w:ascii="Times New Roman" w:eastAsia="Calibri" w:hAnsi="Times New Roman" w:cs="Times New Roman"/>
          <w:sz w:val="20"/>
          <w:szCs w:val="20"/>
        </w:rPr>
        <w:t xml:space="preserve"> cell carcinoma of the larynx, Diagnostic Pathology, 5, 35.</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Millanta</w:t>
      </w:r>
      <w:proofErr w:type="spellEnd"/>
      <w:r w:rsidRPr="00601EB3">
        <w:rPr>
          <w:rFonts w:ascii="Times New Roman" w:eastAsia="Calibri" w:hAnsi="Times New Roman" w:cs="Times New Roman"/>
          <w:sz w:val="20"/>
          <w:szCs w:val="20"/>
        </w:rPr>
        <w:t xml:space="preserve"> F, </w:t>
      </w:r>
      <w:proofErr w:type="spellStart"/>
      <w:r w:rsidRPr="00601EB3">
        <w:rPr>
          <w:rFonts w:ascii="Times New Roman" w:eastAsia="Calibri" w:hAnsi="Times New Roman" w:cs="Times New Roman"/>
          <w:sz w:val="20"/>
          <w:szCs w:val="20"/>
        </w:rPr>
        <w:t>Citi</w:t>
      </w:r>
      <w:proofErr w:type="spellEnd"/>
      <w:r w:rsidRPr="00601EB3">
        <w:rPr>
          <w:rFonts w:ascii="Times New Roman" w:eastAsia="Calibri" w:hAnsi="Times New Roman" w:cs="Times New Roman"/>
          <w:sz w:val="20"/>
          <w:szCs w:val="20"/>
        </w:rPr>
        <w:t xml:space="preserve"> S, Della S, et al (2006). COX-2 expression in canine and feline invasive mammary carcinomas: correlation with </w:t>
      </w:r>
      <w:proofErr w:type="spellStart"/>
      <w:r w:rsidRPr="00601EB3">
        <w:rPr>
          <w:rFonts w:ascii="Times New Roman" w:eastAsia="Calibri" w:hAnsi="Times New Roman" w:cs="Times New Roman"/>
          <w:sz w:val="20"/>
          <w:szCs w:val="20"/>
        </w:rPr>
        <w:t>clinicopathological</w:t>
      </w:r>
      <w:proofErr w:type="spellEnd"/>
      <w:r w:rsidRPr="00601EB3">
        <w:rPr>
          <w:rFonts w:ascii="Times New Roman" w:eastAsia="Calibri" w:hAnsi="Times New Roman" w:cs="Times New Roman"/>
          <w:sz w:val="20"/>
          <w:szCs w:val="20"/>
        </w:rPr>
        <w:t xml:space="preserve"> features and prognostic molecular markers. Breast, Cancer Research and Treatment, 98, 115-120.</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Duan</w:t>
      </w:r>
      <w:proofErr w:type="spellEnd"/>
      <w:r w:rsidRPr="00601EB3">
        <w:rPr>
          <w:rFonts w:ascii="Times New Roman" w:eastAsia="Calibri" w:hAnsi="Times New Roman" w:cs="Times New Roman"/>
          <w:sz w:val="20"/>
          <w:szCs w:val="20"/>
        </w:rPr>
        <w:t xml:space="preserve"> Y, Li G, </w:t>
      </w:r>
      <w:proofErr w:type="spellStart"/>
      <w:r w:rsidRPr="00601EB3">
        <w:rPr>
          <w:rFonts w:ascii="Times New Roman" w:eastAsia="Calibri" w:hAnsi="Times New Roman" w:cs="Times New Roman"/>
          <w:sz w:val="20"/>
          <w:szCs w:val="20"/>
        </w:rPr>
        <w:t>Hu</w:t>
      </w:r>
      <w:proofErr w:type="spellEnd"/>
      <w:r w:rsidRPr="00601EB3">
        <w:rPr>
          <w:rFonts w:ascii="Times New Roman" w:eastAsia="Calibri" w:hAnsi="Times New Roman" w:cs="Times New Roman"/>
          <w:sz w:val="20"/>
          <w:szCs w:val="20"/>
        </w:rPr>
        <w:t xml:space="preserve"> HX, (2012).</w:t>
      </w:r>
      <w:r w:rsidR="005843F5">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 xml:space="preserve">Clinical significance of serum lactate </w:t>
      </w:r>
      <w:proofErr w:type="spellStart"/>
      <w:r w:rsidRPr="00601EB3">
        <w:rPr>
          <w:rFonts w:ascii="Times New Roman" w:eastAsia="Calibri" w:hAnsi="Times New Roman" w:cs="Times New Roman"/>
          <w:sz w:val="20"/>
          <w:szCs w:val="20"/>
        </w:rPr>
        <w:t>dehydrogenase</w:t>
      </w:r>
      <w:proofErr w:type="spellEnd"/>
      <w:r w:rsidRPr="00601EB3">
        <w:rPr>
          <w:rFonts w:ascii="Times New Roman" w:eastAsia="Calibri" w:hAnsi="Times New Roman" w:cs="Times New Roman"/>
          <w:sz w:val="20"/>
          <w:szCs w:val="20"/>
        </w:rPr>
        <w:t>, β2-microglobulin and vascular endothelial growth factor level detection in patients with non-Hodgkin's lymphoma. 20(3):608-10.</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lastRenderedPageBreak/>
        <w:t>Paydas</w:t>
      </w:r>
      <w:proofErr w:type="spellEnd"/>
      <w:r w:rsidRPr="00601EB3">
        <w:rPr>
          <w:rFonts w:ascii="Times New Roman" w:eastAsia="Calibri" w:hAnsi="Times New Roman" w:cs="Times New Roman"/>
          <w:sz w:val="20"/>
          <w:szCs w:val="20"/>
        </w:rPr>
        <w:t xml:space="preserve"> S, </w:t>
      </w:r>
      <w:proofErr w:type="spellStart"/>
      <w:r w:rsidRPr="00601EB3">
        <w:rPr>
          <w:rFonts w:ascii="Times New Roman" w:eastAsia="Calibri" w:hAnsi="Times New Roman" w:cs="Times New Roman"/>
          <w:sz w:val="20"/>
          <w:szCs w:val="20"/>
        </w:rPr>
        <w:t>Seydaoglu</w:t>
      </w:r>
      <w:proofErr w:type="spellEnd"/>
      <w:r w:rsidRPr="00601EB3">
        <w:rPr>
          <w:rFonts w:ascii="Times New Roman" w:eastAsia="Calibri" w:hAnsi="Times New Roman" w:cs="Times New Roman"/>
          <w:sz w:val="20"/>
          <w:szCs w:val="20"/>
        </w:rPr>
        <w:t xml:space="preserve"> G, </w:t>
      </w:r>
      <w:proofErr w:type="spellStart"/>
      <w:r w:rsidRPr="00601EB3">
        <w:rPr>
          <w:rFonts w:ascii="Times New Roman" w:eastAsia="Calibri" w:hAnsi="Times New Roman" w:cs="Times New Roman"/>
          <w:sz w:val="20"/>
          <w:szCs w:val="20"/>
        </w:rPr>
        <w:t>Ergin</w:t>
      </w:r>
      <w:proofErr w:type="spellEnd"/>
      <w:r w:rsidRPr="00601EB3">
        <w:rPr>
          <w:rFonts w:ascii="Times New Roman" w:eastAsia="Calibri" w:hAnsi="Times New Roman" w:cs="Times New Roman"/>
          <w:sz w:val="20"/>
          <w:szCs w:val="20"/>
        </w:rPr>
        <w:t xml:space="preserve"> M, et al (2009).</w:t>
      </w:r>
      <w:r w:rsidR="005843F5">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 xml:space="preserve">The prognostic significance of VEGF-C and VEGF-A in non-Hodgkin lymphomas. </w:t>
      </w:r>
      <w:proofErr w:type="spellStart"/>
      <w:r w:rsidRPr="00601EB3">
        <w:rPr>
          <w:rFonts w:ascii="Times New Roman" w:eastAsia="Calibri" w:hAnsi="Times New Roman" w:cs="Times New Roman"/>
          <w:sz w:val="20"/>
          <w:szCs w:val="20"/>
        </w:rPr>
        <w:t>Leuk</w:t>
      </w:r>
      <w:proofErr w:type="spellEnd"/>
      <w:r w:rsidRPr="00601EB3">
        <w:rPr>
          <w:rFonts w:ascii="Times New Roman" w:eastAsia="Calibri" w:hAnsi="Times New Roman" w:cs="Times New Roman"/>
          <w:sz w:val="20"/>
          <w:szCs w:val="20"/>
        </w:rPr>
        <w:t xml:space="preserve"> Lymphoma 50(3), 366-73.</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r w:rsidRPr="00601EB3">
        <w:rPr>
          <w:rFonts w:ascii="Times New Roman" w:eastAsia="Calibri" w:hAnsi="Times New Roman" w:cs="Times New Roman"/>
          <w:sz w:val="20"/>
          <w:szCs w:val="20"/>
        </w:rPr>
        <w:t xml:space="preserve">Ho CL, </w:t>
      </w:r>
      <w:proofErr w:type="spellStart"/>
      <w:r w:rsidRPr="00601EB3">
        <w:rPr>
          <w:rFonts w:ascii="Times New Roman" w:eastAsia="Calibri" w:hAnsi="Times New Roman" w:cs="Times New Roman"/>
          <w:sz w:val="20"/>
          <w:szCs w:val="20"/>
        </w:rPr>
        <w:t>Sheu</w:t>
      </w:r>
      <w:proofErr w:type="spellEnd"/>
      <w:r w:rsidRPr="00601EB3">
        <w:rPr>
          <w:rFonts w:ascii="Times New Roman" w:eastAsia="Calibri" w:hAnsi="Times New Roman" w:cs="Times New Roman"/>
          <w:sz w:val="20"/>
          <w:szCs w:val="20"/>
        </w:rPr>
        <w:t xml:space="preserve"> LF, Li CY, (2003). </w:t>
      </w:r>
      <w:proofErr w:type="spellStart"/>
      <w:r w:rsidRPr="00601EB3">
        <w:rPr>
          <w:rFonts w:ascii="Times New Roman" w:eastAsia="Calibri" w:hAnsi="Times New Roman" w:cs="Times New Roman"/>
          <w:sz w:val="20"/>
          <w:szCs w:val="20"/>
        </w:rPr>
        <w:t>Immunohistochemical</w:t>
      </w:r>
      <w:proofErr w:type="spellEnd"/>
      <w:r w:rsidRPr="00601EB3">
        <w:rPr>
          <w:rFonts w:ascii="Times New Roman" w:eastAsia="Calibri" w:hAnsi="Times New Roman" w:cs="Times New Roman"/>
          <w:sz w:val="20"/>
          <w:szCs w:val="20"/>
        </w:rPr>
        <w:t xml:space="preserve"> expression of </w:t>
      </w:r>
      <w:proofErr w:type="spellStart"/>
      <w:r w:rsidRPr="00601EB3">
        <w:rPr>
          <w:rFonts w:ascii="Times New Roman" w:eastAsia="Calibri" w:hAnsi="Times New Roman" w:cs="Times New Roman"/>
          <w:sz w:val="20"/>
          <w:szCs w:val="20"/>
        </w:rPr>
        <w:t>angiogenic</w:t>
      </w:r>
      <w:proofErr w:type="spellEnd"/>
      <w:r w:rsidRPr="00601EB3">
        <w:rPr>
          <w:rFonts w:ascii="Times New Roman" w:eastAsia="Calibri" w:hAnsi="Times New Roman" w:cs="Times New Roman"/>
          <w:sz w:val="20"/>
          <w:szCs w:val="20"/>
        </w:rPr>
        <w:t xml:space="preserve"> cytokines and their receptors in reactive benign lymph nodes and non-Hodgkin lymphoma. Ann </w:t>
      </w:r>
      <w:proofErr w:type="spellStart"/>
      <w:r w:rsidRPr="00601EB3">
        <w:rPr>
          <w:rFonts w:ascii="Times New Roman" w:eastAsia="Calibri" w:hAnsi="Times New Roman" w:cs="Times New Roman"/>
          <w:sz w:val="20"/>
          <w:szCs w:val="20"/>
        </w:rPr>
        <w:t>Diagn</w:t>
      </w:r>
      <w:proofErr w:type="spellEnd"/>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Pathol</w:t>
      </w:r>
      <w:proofErr w:type="spellEnd"/>
      <w:r w:rsidRPr="00601EB3">
        <w:rPr>
          <w:rFonts w:ascii="Times New Roman" w:eastAsia="Calibri" w:hAnsi="Times New Roman" w:cs="Times New Roman"/>
          <w:sz w:val="20"/>
          <w:szCs w:val="20"/>
        </w:rPr>
        <w:t>, 7(1):1-8.</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Hazar</w:t>
      </w:r>
      <w:proofErr w:type="spellEnd"/>
      <w:r w:rsidRPr="00601EB3">
        <w:rPr>
          <w:rFonts w:ascii="Times New Roman" w:eastAsia="Calibri" w:hAnsi="Times New Roman" w:cs="Times New Roman"/>
          <w:sz w:val="20"/>
          <w:szCs w:val="20"/>
        </w:rPr>
        <w:t xml:space="preserve"> B, </w:t>
      </w:r>
      <w:proofErr w:type="spellStart"/>
      <w:r w:rsidRPr="00601EB3">
        <w:rPr>
          <w:rFonts w:ascii="Times New Roman" w:eastAsia="Calibri" w:hAnsi="Times New Roman" w:cs="Times New Roman"/>
          <w:sz w:val="20"/>
          <w:szCs w:val="20"/>
        </w:rPr>
        <w:t>Paydas</w:t>
      </w:r>
      <w:proofErr w:type="spellEnd"/>
      <w:r w:rsidRPr="00601EB3">
        <w:rPr>
          <w:rFonts w:ascii="Times New Roman" w:eastAsia="Calibri" w:hAnsi="Times New Roman" w:cs="Times New Roman"/>
          <w:sz w:val="20"/>
          <w:szCs w:val="20"/>
        </w:rPr>
        <w:t xml:space="preserve"> S, </w:t>
      </w:r>
      <w:proofErr w:type="spellStart"/>
      <w:r w:rsidRPr="00601EB3">
        <w:rPr>
          <w:rFonts w:ascii="Times New Roman" w:eastAsia="Calibri" w:hAnsi="Times New Roman" w:cs="Times New Roman"/>
          <w:sz w:val="20"/>
          <w:szCs w:val="20"/>
        </w:rPr>
        <w:t>Zorludemir</w:t>
      </w:r>
      <w:proofErr w:type="spellEnd"/>
      <w:r w:rsidRPr="00601EB3">
        <w:rPr>
          <w:rFonts w:ascii="Times New Roman" w:eastAsia="Calibri" w:hAnsi="Times New Roman" w:cs="Times New Roman"/>
          <w:sz w:val="20"/>
          <w:szCs w:val="20"/>
        </w:rPr>
        <w:t xml:space="preserve"> S, et al (2003). Prognostic significance of </w:t>
      </w:r>
      <w:proofErr w:type="spellStart"/>
      <w:r w:rsidRPr="00601EB3">
        <w:rPr>
          <w:rFonts w:ascii="Times New Roman" w:eastAsia="Calibri" w:hAnsi="Times New Roman" w:cs="Times New Roman"/>
          <w:sz w:val="20"/>
          <w:szCs w:val="20"/>
        </w:rPr>
        <w:t>microvessel</w:t>
      </w:r>
      <w:proofErr w:type="spellEnd"/>
      <w:r w:rsidRPr="00601EB3">
        <w:rPr>
          <w:rFonts w:ascii="Times New Roman" w:eastAsia="Calibri" w:hAnsi="Times New Roman" w:cs="Times New Roman"/>
          <w:sz w:val="20"/>
          <w:szCs w:val="20"/>
        </w:rPr>
        <w:t xml:space="preserve"> density and vascular endothelial growth factor (VEGF) expression in non-Hodgkin's lymphoma. </w:t>
      </w:r>
      <w:proofErr w:type="spellStart"/>
      <w:r w:rsidRPr="00601EB3">
        <w:rPr>
          <w:rFonts w:ascii="Times New Roman" w:eastAsia="Calibri" w:hAnsi="Times New Roman" w:cs="Times New Roman"/>
          <w:sz w:val="20"/>
          <w:szCs w:val="20"/>
        </w:rPr>
        <w:t>Leuk</w:t>
      </w:r>
      <w:proofErr w:type="spellEnd"/>
      <w:r w:rsidRPr="00601EB3">
        <w:rPr>
          <w:rFonts w:ascii="Times New Roman" w:eastAsia="Calibri" w:hAnsi="Times New Roman" w:cs="Times New Roman"/>
          <w:sz w:val="20"/>
          <w:szCs w:val="20"/>
        </w:rPr>
        <w:t xml:space="preserve"> Lymphoma, 44(12), 2089-93.</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Paydas</w:t>
      </w:r>
      <w:proofErr w:type="spellEnd"/>
      <w:r w:rsidRPr="00601EB3">
        <w:rPr>
          <w:rFonts w:ascii="Times New Roman" w:eastAsia="Calibri" w:hAnsi="Times New Roman" w:cs="Times New Roman"/>
          <w:sz w:val="20"/>
          <w:szCs w:val="20"/>
        </w:rPr>
        <w:t xml:space="preserve"> S, </w:t>
      </w:r>
      <w:proofErr w:type="spellStart"/>
      <w:r w:rsidRPr="00601EB3">
        <w:rPr>
          <w:rFonts w:ascii="Times New Roman" w:eastAsia="Calibri" w:hAnsi="Times New Roman" w:cs="Times New Roman"/>
          <w:sz w:val="20"/>
          <w:szCs w:val="20"/>
        </w:rPr>
        <w:t>Ergin</w:t>
      </w:r>
      <w:proofErr w:type="spellEnd"/>
      <w:r w:rsidRPr="00601EB3">
        <w:rPr>
          <w:rFonts w:ascii="Times New Roman" w:eastAsia="Calibri" w:hAnsi="Times New Roman" w:cs="Times New Roman"/>
          <w:sz w:val="20"/>
          <w:szCs w:val="20"/>
        </w:rPr>
        <w:t xml:space="preserve"> M, </w:t>
      </w:r>
      <w:proofErr w:type="spellStart"/>
      <w:r w:rsidRPr="00601EB3">
        <w:rPr>
          <w:rFonts w:ascii="Times New Roman" w:eastAsia="Calibri" w:hAnsi="Times New Roman" w:cs="Times New Roman"/>
          <w:sz w:val="20"/>
          <w:szCs w:val="20"/>
        </w:rPr>
        <w:t>Erdogan</w:t>
      </w:r>
      <w:proofErr w:type="spellEnd"/>
      <w:r w:rsidRPr="00601EB3">
        <w:rPr>
          <w:rFonts w:ascii="Times New Roman" w:eastAsia="Calibri" w:hAnsi="Times New Roman" w:cs="Times New Roman"/>
          <w:sz w:val="20"/>
          <w:szCs w:val="20"/>
        </w:rPr>
        <w:t xml:space="preserve"> S, et al (2007). Cyclooxygenase-2 expression in non-Hodgkin's lymphomas. </w:t>
      </w:r>
      <w:proofErr w:type="spellStart"/>
      <w:r w:rsidRPr="00601EB3">
        <w:rPr>
          <w:rFonts w:ascii="Times New Roman" w:eastAsia="Calibri" w:hAnsi="Times New Roman" w:cs="Times New Roman"/>
          <w:sz w:val="20"/>
          <w:szCs w:val="20"/>
        </w:rPr>
        <w:t>Leuk</w:t>
      </w:r>
      <w:proofErr w:type="spellEnd"/>
      <w:r w:rsidRPr="00601EB3">
        <w:rPr>
          <w:rFonts w:ascii="Times New Roman" w:eastAsia="Calibri" w:hAnsi="Times New Roman" w:cs="Times New Roman"/>
          <w:sz w:val="20"/>
          <w:szCs w:val="20"/>
        </w:rPr>
        <w:t xml:space="preserve"> Lymphoma, 48(2), 389-95.</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r w:rsidRPr="00601EB3">
        <w:rPr>
          <w:rFonts w:ascii="Times New Roman" w:eastAsia="Calibri" w:hAnsi="Times New Roman" w:cs="Times New Roman"/>
          <w:sz w:val="20"/>
          <w:szCs w:val="20"/>
        </w:rPr>
        <w:t xml:space="preserve">Ma SP, Lin M, Liu HN, et al (2012). </w:t>
      </w:r>
      <w:proofErr w:type="spellStart"/>
      <w:r w:rsidRPr="00601EB3">
        <w:rPr>
          <w:rFonts w:ascii="Times New Roman" w:eastAsia="Calibri" w:hAnsi="Times New Roman" w:cs="Times New Roman"/>
          <w:sz w:val="20"/>
          <w:szCs w:val="20"/>
        </w:rPr>
        <w:t>Lymphangiogenesis</w:t>
      </w:r>
      <w:proofErr w:type="spellEnd"/>
      <w:r w:rsidRPr="00601EB3">
        <w:rPr>
          <w:rFonts w:ascii="Times New Roman" w:eastAsia="Calibri" w:hAnsi="Times New Roman" w:cs="Times New Roman"/>
          <w:sz w:val="20"/>
          <w:szCs w:val="20"/>
        </w:rPr>
        <w:t xml:space="preserve"> in non-Hodgkin's lymphoma and its correlation with cyclooxygenase-2 and vascular endothelial growth factor-C. </w:t>
      </w:r>
      <w:proofErr w:type="spellStart"/>
      <w:r w:rsidRPr="00601EB3">
        <w:rPr>
          <w:rFonts w:ascii="Times New Roman" w:eastAsia="Calibri" w:hAnsi="Times New Roman" w:cs="Times New Roman"/>
          <w:sz w:val="20"/>
          <w:szCs w:val="20"/>
        </w:rPr>
        <w:t>Oncol</w:t>
      </w:r>
      <w:proofErr w:type="spellEnd"/>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Lett</w:t>
      </w:r>
      <w:proofErr w:type="spellEnd"/>
      <w:r w:rsidRPr="00601EB3">
        <w:rPr>
          <w:rFonts w:ascii="Times New Roman" w:eastAsia="Calibri" w:hAnsi="Times New Roman" w:cs="Times New Roman"/>
          <w:sz w:val="20"/>
          <w:szCs w:val="20"/>
        </w:rPr>
        <w:t>, 4(4):695-700.</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Szczuraszek</w:t>
      </w:r>
      <w:proofErr w:type="spellEnd"/>
      <w:r w:rsidRPr="00601EB3">
        <w:rPr>
          <w:rFonts w:ascii="Times New Roman" w:eastAsia="Calibri" w:hAnsi="Times New Roman" w:cs="Times New Roman"/>
          <w:sz w:val="20"/>
          <w:szCs w:val="20"/>
        </w:rPr>
        <w:t xml:space="preserve"> K, </w:t>
      </w:r>
      <w:proofErr w:type="spellStart"/>
      <w:r w:rsidRPr="00601EB3">
        <w:rPr>
          <w:rFonts w:ascii="Times New Roman" w:eastAsia="Calibri" w:hAnsi="Times New Roman" w:cs="Times New Roman"/>
          <w:sz w:val="20"/>
          <w:szCs w:val="20"/>
        </w:rPr>
        <w:t>Materna</w:t>
      </w:r>
      <w:proofErr w:type="spellEnd"/>
      <w:r w:rsidRPr="00601EB3">
        <w:rPr>
          <w:rFonts w:ascii="Times New Roman" w:eastAsia="Calibri" w:hAnsi="Times New Roman" w:cs="Times New Roman"/>
          <w:sz w:val="20"/>
          <w:szCs w:val="20"/>
        </w:rPr>
        <w:t xml:space="preserve"> V, </w:t>
      </w:r>
      <w:proofErr w:type="spellStart"/>
      <w:r w:rsidRPr="00601EB3">
        <w:rPr>
          <w:rFonts w:ascii="Times New Roman" w:eastAsia="Calibri" w:hAnsi="Times New Roman" w:cs="Times New Roman"/>
          <w:sz w:val="20"/>
          <w:szCs w:val="20"/>
        </w:rPr>
        <w:t>Halon</w:t>
      </w:r>
      <w:proofErr w:type="spellEnd"/>
      <w:r w:rsidRPr="00601EB3">
        <w:rPr>
          <w:rFonts w:ascii="Times New Roman" w:eastAsia="Calibri" w:hAnsi="Times New Roman" w:cs="Times New Roman"/>
          <w:sz w:val="20"/>
          <w:szCs w:val="20"/>
        </w:rPr>
        <w:t xml:space="preserve"> A, et al (2009).</w:t>
      </w:r>
      <w:r w:rsidR="00601EB3">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 xml:space="preserve">Positive correlation between cyclooxygenase-2 and ABC-transporter expression in non-Hodgkin's lymphomas. </w:t>
      </w:r>
      <w:proofErr w:type="spellStart"/>
      <w:r w:rsidRPr="00601EB3">
        <w:rPr>
          <w:rFonts w:ascii="Times New Roman" w:eastAsia="Calibri" w:hAnsi="Times New Roman" w:cs="Times New Roman"/>
          <w:sz w:val="20"/>
          <w:szCs w:val="20"/>
        </w:rPr>
        <w:t>Oncol</w:t>
      </w:r>
      <w:proofErr w:type="spellEnd"/>
      <w:r w:rsidRPr="00601EB3">
        <w:rPr>
          <w:rFonts w:ascii="Times New Roman" w:eastAsia="Calibri" w:hAnsi="Times New Roman" w:cs="Times New Roman"/>
          <w:sz w:val="20"/>
          <w:szCs w:val="20"/>
        </w:rPr>
        <w:t xml:space="preserve"> Rep, 22(6), 1315-23.</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Tzankov</w:t>
      </w:r>
      <w:proofErr w:type="spellEnd"/>
      <w:r w:rsidRPr="00601EB3">
        <w:rPr>
          <w:rFonts w:ascii="Times New Roman" w:eastAsia="Calibri" w:hAnsi="Times New Roman" w:cs="Times New Roman"/>
          <w:sz w:val="20"/>
          <w:szCs w:val="20"/>
        </w:rPr>
        <w:t xml:space="preserve"> A,</w:t>
      </w:r>
      <w:r w:rsidR="00601EB3">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Heiss</w:t>
      </w:r>
      <w:proofErr w:type="spellEnd"/>
      <w:r w:rsidRPr="00601EB3">
        <w:rPr>
          <w:rFonts w:ascii="Times New Roman" w:eastAsia="Calibri" w:hAnsi="Times New Roman" w:cs="Times New Roman"/>
          <w:sz w:val="20"/>
          <w:szCs w:val="20"/>
        </w:rPr>
        <w:t xml:space="preserve"> S,</w:t>
      </w:r>
      <w:r w:rsidR="00601EB3">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Ebner</w:t>
      </w:r>
      <w:proofErr w:type="spellEnd"/>
      <w:r w:rsidRPr="00601EB3">
        <w:rPr>
          <w:rFonts w:ascii="Times New Roman" w:eastAsia="Calibri" w:hAnsi="Times New Roman" w:cs="Times New Roman"/>
          <w:sz w:val="20"/>
          <w:szCs w:val="20"/>
        </w:rPr>
        <w:t xml:space="preserve"> S, et al (2007). Angiogenesis in nodal B cell lymphomas: a high throughput study, J </w:t>
      </w:r>
      <w:proofErr w:type="spellStart"/>
      <w:r w:rsidRPr="00601EB3">
        <w:rPr>
          <w:rFonts w:ascii="Times New Roman" w:eastAsia="Calibri" w:hAnsi="Times New Roman" w:cs="Times New Roman"/>
          <w:sz w:val="20"/>
          <w:szCs w:val="20"/>
        </w:rPr>
        <w:t>Clin</w:t>
      </w:r>
      <w:proofErr w:type="spellEnd"/>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Pathol</w:t>
      </w:r>
      <w:proofErr w:type="spellEnd"/>
      <w:r w:rsidRPr="00601EB3">
        <w:rPr>
          <w:rFonts w:ascii="Times New Roman" w:eastAsia="Calibri" w:hAnsi="Times New Roman" w:cs="Times New Roman"/>
          <w:sz w:val="20"/>
          <w:szCs w:val="20"/>
        </w:rPr>
        <w:t>, 60, 476–482.</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r w:rsidRPr="00601EB3">
        <w:rPr>
          <w:rFonts w:ascii="Times New Roman" w:eastAsia="Calibri" w:hAnsi="Times New Roman" w:cs="Times New Roman"/>
          <w:sz w:val="20"/>
          <w:szCs w:val="20"/>
        </w:rPr>
        <w:t xml:space="preserve">Yang J, Li W, He X, et al (2015). VEGF </w:t>
      </w:r>
      <w:proofErr w:type="spellStart"/>
      <w:r w:rsidRPr="00601EB3">
        <w:rPr>
          <w:rFonts w:ascii="Times New Roman" w:eastAsia="Calibri" w:hAnsi="Times New Roman" w:cs="Times New Roman"/>
          <w:sz w:val="20"/>
          <w:szCs w:val="20"/>
        </w:rPr>
        <w:t>overexpression</w:t>
      </w:r>
      <w:proofErr w:type="spellEnd"/>
      <w:r w:rsidRPr="00601EB3">
        <w:rPr>
          <w:rFonts w:ascii="Times New Roman" w:eastAsia="Calibri" w:hAnsi="Times New Roman" w:cs="Times New Roman"/>
          <w:sz w:val="20"/>
          <w:szCs w:val="20"/>
        </w:rPr>
        <w:t xml:space="preserve"> is a valuable prognostic factor for non-Hodgkin's lymphoma evidence from a systemic meta-analysis. </w:t>
      </w:r>
      <w:proofErr w:type="spellStart"/>
      <w:r w:rsidRPr="00601EB3">
        <w:rPr>
          <w:rFonts w:ascii="Times New Roman" w:eastAsia="Calibri" w:hAnsi="Times New Roman" w:cs="Times New Roman"/>
          <w:sz w:val="20"/>
          <w:szCs w:val="20"/>
        </w:rPr>
        <w:t>Dis</w:t>
      </w:r>
      <w:proofErr w:type="spellEnd"/>
      <w:r w:rsidRPr="00601EB3">
        <w:rPr>
          <w:rFonts w:ascii="Times New Roman" w:eastAsia="Calibri" w:hAnsi="Times New Roman" w:cs="Times New Roman"/>
          <w:sz w:val="20"/>
          <w:szCs w:val="20"/>
        </w:rPr>
        <w:t xml:space="preserve"> Markers, 2015, 786-790.</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Rujirojindakul</w:t>
      </w:r>
      <w:proofErr w:type="spellEnd"/>
      <w:r w:rsidRPr="00601EB3">
        <w:rPr>
          <w:rFonts w:ascii="Times New Roman" w:eastAsia="Calibri" w:hAnsi="Times New Roman" w:cs="Times New Roman"/>
          <w:sz w:val="20"/>
          <w:szCs w:val="20"/>
        </w:rPr>
        <w:t xml:space="preserve"> P, </w:t>
      </w:r>
      <w:proofErr w:type="spellStart"/>
      <w:r w:rsidRPr="00601EB3">
        <w:rPr>
          <w:rFonts w:ascii="Times New Roman" w:eastAsia="Calibri" w:hAnsi="Times New Roman" w:cs="Times New Roman"/>
          <w:sz w:val="20"/>
          <w:szCs w:val="20"/>
        </w:rPr>
        <w:t>Lekhakula</w:t>
      </w:r>
      <w:proofErr w:type="spellEnd"/>
      <w:r w:rsidRPr="00601EB3">
        <w:rPr>
          <w:rFonts w:ascii="Times New Roman" w:eastAsia="Calibri" w:hAnsi="Times New Roman" w:cs="Times New Roman"/>
          <w:sz w:val="20"/>
          <w:szCs w:val="20"/>
        </w:rPr>
        <w:t xml:space="preserve"> A, (2012). Prognostic significance of serum </w:t>
      </w:r>
      <w:proofErr w:type="spellStart"/>
      <w:r w:rsidRPr="00601EB3">
        <w:rPr>
          <w:rFonts w:ascii="Times New Roman" w:eastAsia="Calibri" w:hAnsi="Times New Roman" w:cs="Times New Roman"/>
          <w:sz w:val="20"/>
          <w:szCs w:val="20"/>
        </w:rPr>
        <w:t>proangiogenic</w:t>
      </w:r>
      <w:proofErr w:type="spellEnd"/>
      <w:r w:rsidRPr="00601EB3">
        <w:rPr>
          <w:rFonts w:ascii="Times New Roman" w:eastAsia="Calibri" w:hAnsi="Times New Roman" w:cs="Times New Roman"/>
          <w:sz w:val="20"/>
          <w:szCs w:val="20"/>
        </w:rPr>
        <w:t xml:space="preserve"> molecules in patients with de novo non-Hodgkin lymphomas. Scientific</w:t>
      </w:r>
      <w:r w:rsidR="005843F5">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World</w:t>
      </w:r>
      <w:r w:rsidR="005843F5">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Journal, 215231.</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Paydas</w:t>
      </w:r>
      <w:proofErr w:type="spellEnd"/>
      <w:r w:rsidRPr="00601EB3">
        <w:rPr>
          <w:rFonts w:ascii="Times New Roman" w:eastAsia="Calibri" w:hAnsi="Times New Roman" w:cs="Times New Roman"/>
          <w:sz w:val="20"/>
          <w:szCs w:val="20"/>
        </w:rPr>
        <w:t xml:space="preserve"> S, </w:t>
      </w:r>
      <w:proofErr w:type="spellStart"/>
      <w:r w:rsidRPr="00601EB3">
        <w:rPr>
          <w:rFonts w:ascii="Times New Roman" w:eastAsia="Calibri" w:hAnsi="Times New Roman" w:cs="Times New Roman"/>
          <w:sz w:val="20"/>
          <w:szCs w:val="20"/>
        </w:rPr>
        <w:t>Ergin</w:t>
      </w:r>
      <w:proofErr w:type="spellEnd"/>
      <w:r w:rsidRPr="00601EB3">
        <w:rPr>
          <w:rFonts w:ascii="Times New Roman" w:eastAsia="Calibri" w:hAnsi="Times New Roman" w:cs="Times New Roman"/>
          <w:sz w:val="20"/>
          <w:szCs w:val="20"/>
        </w:rPr>
        <w:t xml:space="preserve"> M, </w:t>
      </w:r>
      <w:proofErr w:type="spellStart"/>
      <w:r w:rsidRPr="00601EB3">
        <w:rPr>
          <w:rFonts w:ascii="Times New Roman" w:eastAsia="Calibri" w:hAnsi="Times New Roman" w:cs="Times New Roman"/>
          <w:sz w:val="20"/>
          <w:szCs w:val="20"/>
        </w:rPr>
        <w:t>Erdogan</w:t>
      </w:r>
      <w:proofErr w:type="spellEnd"/>
      <w:r w:rsidRPr="00601EB3">
        <w:rPr>
          <w:rFonts w:ascii="Times New Roman" w:eastAsia="Calibri" w:hAnsi="Times New Roman" w:cs="Times New Roman"/>
          <w:sz w:val="20"/>
          <w:szCs w:val="20"/>
        </w:rPr>
        <w:t xml:space="preserve"> S, et al (2008). Prognostic significance of EBV-LMP1 and VEGF-A expressions in non-Hodgkin's lymphomas. </w:t>
      </w:r>
      <w:proofErr w:type="spellStart"/>
      <w:r w:rsidRPr="00601EB3">
        <w:rPr>
          <w:rFonts w:ascii="Times New Roman" w:eastAsia="Calibri" w:hAnsi="Times New Roman" w:cs="Times New Roman"/>
          <w:sz w:val="20"/>
          <w:szCs w:val="20"/>
        </w:rPr>
        <w:t>Leuk</w:t>
      </w:r>
      <w:proofErr w:type="spellEnd"/>
      <w:r w:rsidRPr="00601EB3">
        <w:rPr>
          <w:rFonts w:ascii="Times New Roman" w:eastAsia="Calibri" w:hAnsi="Times New Roman" w:cs="Times New Roman"/>
          <w:sz w:val="20"/>
          <w:szCs w:val="20"/>
        </w:rPr>
        <w:t xml:space="preserve"> Res, 32(9), 1424-30.</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Niitsu</w:t>
      </w:r>
      <w:proofErr w:type="spellEnd"/>
      <w:r w:rsidRPr="00601EB3">
        <w:rPr>
          <w:rFonts w:ascii="Times New Roman" w:eastAsia="Calibri" w:hAnsi="Times New Roman" w:cs="Times New Roman"/>
          <w:sz w:val="20"/>
          <w:szCs w:val="20"/>
        </w:rPr>
        <w:t xml:space="preserve"> N, </w:t>
      </w:r>
      <w:proofErr w:type="spellStart"/>
      <w:r w:rsidRPr="00601EB3">
        <w:rPr>
          <w:rFonts w:ascii="Times New Roman" w:eastAsia="Calibri" w:hAnsi="Times New Roman" w:cs="Times New Roman"/>
          <w:sz w:val="20"/>
          <w:szCs w:val="20"/>
        </w:rPr>
        <w:t>Okamato</w:t>
      </w:r>
      <w:proofErr w:type="spellEnd"/>
      <w:r w:rsidRPr="00601EB3">
        <w:rPr>
          <w:rFonts w:ascii="Times New Roman" w:eastAsia="Calibri" w:hAnsi="Times New Roman" w:cs="Times New Roman"/>
          <w:sz w:val="20"/>
          <w:szCs w:val="20"/>
        </w:rPr>
        <w:t xml:space="preserve"> M, </w:t>
      </w:r>
      <w:proofErr w:type="spellStart"/>
      <w:r w:rsidRPr="00601EB3">
        <w:rPr>
          <w:rFonts w:ascii="Times New Roman" w:eastAsia="Calibri" w:hAnsi="Times New Roman" w:cs="Times New Roman"/>
          <w:sz w:val="20"/>
          <w:szCs w:val="20"/>
        </w:rPr>
        <w:t>Nakamine</w:t>
      </w:r>
      <w:proofErr w:type="spellEnd"/>
      <w:r w:rsidRPr="00601EB3">
        <w:rPr>
          <w:rFonts w:ascii="Times New Roman" w:eastAsia="Calibri" w:hAnsi="Times New Roman" w:cs="Times New Roman"/>
          <w:sz w:val="20"/>
          <w:szCs w:val="20"/>
        </w:rPr>
        <w:t xml:space="preserve"> H, et al (2002). Simultaneous elevation of the serum concentrations of vascular endothelial growth factor and interleukin-6 as independent predictors of prognosis in aggressive non-Hodgkin's lymphoma. </w:t>
      </w:r>
      <w:proofErr w:type="spellStart"/>
      <w:r w:rsidRPr="00601EB3">
        <w:rPr>
          <w:rFonts w:ascii="Times New Roman" w:eastAsia="Calibri" w:hAnsi="Times New Roman" w:cs="Times New Roman"/>
          <w:sz w:val="20"/>
          <w:szCs w:val="20"/>
        </w:rPr>
        <w:t>Eur</w:t>
      </w:r>
      <w:proofErr w:type="spellEnd"/>
      <w:r w:rsidRPr="00601EB3">
        <w:rPr>
          <w:rFonts w:ascii="Times New Roman" w:eastAsia="Calibri" w:hAnsi="Times New Roman" w:cs="Times New Roman"/>
          <w:sz w:val="20"/>
          <w:szCs w:val="20"/>
        </w:rPr>
        <w:t xml:space="preserve"> J </w:t>
      </w:r>
      <w:proofErr w:type="spellStart"/>
      <w:r w:rsidRPr="00601EB3">
        <w:rPr>
          <w:rFonts w:ascii="Times New Roman" w:eastAsia="Calibri" w:hAnsi="Times New Roman" w:cs="Times New Roman"/>
          <w:sz w:val="20"/>
          <w:szCs w:val="20"/>
        </w:rPr>
        <w:t>Haematol</w:t>
      </w:r>
      <w:proofErr w:type="spellEnd"/>
      <w:r w:rsidRPr="00601EB3">
        <w:rPr>
          <w:rFonts w:ascii="Times New Roman" w:eastAsia="Calibri" w:hAnsi="Times New Roman" w:cs="Times New Roman"/>
          <w:sz w:val="20"/>
          <w:szCs w:val="20"/>
        </w:rPr>
        <w:t>, 68(2), 91-100.</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r w:rsidRPr="00601EB3">
        <w:rPr>
          <w:rFonts w:ascii="Times New Roman" w:eastAsia="Calibri" w:hAnsi="Times New Roman" w:cs="Times New Roman"/>
          <w:sz w:val="20"/>
          <w:szCs w:val="20"/>
        </w:rPr>
        <w:t xml:space="preserve">Xia Y1, Sun XF, Zhang CQ, (2004). Primary study of relationship between serum level of VEGF and non-Hodgkin's lymphoma in children and adolescent patients. Ai </w:t>
      </w:r>
      <w:proofErr w:type="spellStart"/>
      <w:r w:rsidRPr="00601EB3">
        <w:rPr>
          <w:rFonts w:ascii="Times New Roman" w:eastAsia="Calibri" w:hAnsi="Times New Roman" w:cs="Times New Roman"/>
          <w:sz w:val="20"/>
          <w:szCs w:val="20"/>
        </w:rPr>
        <w:t>Zheng</w:t>
      </w:r>
      <w:proofErr w:type="spellEnd"/>
      <w:r w:rsidRPr="00601EB3">
        <w:rPr>
          <w:rFonts w:ascii="Times New Roman" w:eastAsia="Calibri" w:hAnsi="Times New Roman" w:cs="Times New Roman"/>
          <w:sz w:val="20"/>
          <w:szCs w:val="20"/>
        </w:rPr>
        <w:t>, 23, 1448-50.</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Koh</w:t>
      </w:r>
      <w:proofErr w:type="spellEnd"/>
      <w:r w:rsidRPr="00601EB3">
        <w:rPr>
          <w:rFonts w:ascii="Times New Roman" w:eastAsia="Calibri" w:hAnsi="Times New Roman" w:cs="Times New Roman"/>
          <w:sz w:val="20"/>
          <w:szCs w:val="20"/>
        </w:rPr>
        <w:t xml:space="preserve"> Y, Lee H, </w:t>
      </w:r>
      <w:proofErr w:type="spellStart"/>
      <w:r w:rsidRPr="00601EB3">
        <w:rPr>
          <w:rFonts w:ascii="Times New Roman" w:eastAsia="Calibri" w:hAnsi="Times New Roman" w:cs="Times New Roman"/>
          <w:sz w:val="20"/>
          <w:szCs w:val="20"/>
        </w:rPr>
        <w:t>Im</w:t>
      </w:r>
      <w:proofErr w:type="spellEnd"/>
      <w:r w:rsidRPr="00601EB3">
        <w:rPr>
          <w:rFonts w:ascii="Times New Roman" w:eastAsia="Calibri" w:hAnsi="Times New Roman" w:cs="Times New Roman"/>
          <w:sz w:val="20"/>
          <w:szCs w:val="20"/>
        </w:rPr>
        <w:t xml:space="preserve"> S, et al (2011). VEGF expression is related to good response and long </w:t>
      </w:r>
      <w:r w:rsidRPr="00601EB3">
        <w:rPr>
          <w:rFonts w:ascii="Times New Roman" w:eastAsia="Calibri" w:hAnsi="Times New Roman" w:cs="Times New Roman"/>
          <w:sz w:val="20"/>
          <w:szCs w:val="20"/>
        </w:rPr>
        <w:lastRenderedPageBreak/>
        <w:t xml:space="preserve">progression-free survival in gastrointestinal </w:t>
      </w:r>
      <w:proofErr w:type="spellStart"/>
      <w:r w:rsidRPr="00601EB3">
        <w:rPr>
          <w:rFonts w:ascii="Times New Roman" w:eastAsia="Calibri" w:hAnsi="Times New Roman" w:cs="Times New Roman"/>
          <w:sz w:val="20"/>
          <w:szCs w:val="20"/>
        </w:rPr>
        <w:t>stromal</w:t>
      </w:r>
      <w:proofErr w:type="spellEnd"/>
      <w:r w:rsidRPr="00601EB3">
        <w:rPr>
          <w:rFonts w:ascii="Times New Roman" w:eastAsia="Calibri" w:hAnsi="Times New Roman" w:cs="Times New Roman"/>
          <w:sz w:val="20"/>
          <w:szCs w:val="20"/>
        </w:rPr>
        <w:t xml:space="preserve"> tumor patients treated with </w:t>
      </w:r>
      <w:proofErr w:type="spellStart"/>
      <w:r w:rsidRPr="00601EB3">
        <w:rPr>
          <w:rFonts w:ascii="Times New Roman" w:eastAsia="Calibri" w:hAnsi="Times New Roman" w:cs="Times New Roman"/>
          <w:sz w:val="20"/>
          <w:szCs w:val="20"/>
        </w:rPr>
        <w:t>Sunitinib</w:t>
      </w:r>
      <w:proofErr w:type="spellEnd"/>
      <w:r w:rsidRPr="00601EB3">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Diagn</w:t>
      </w:r>
      <w:proofErr w:type="spellEnd"/>
      <w:r w:rsidR="005843F5">
        <w:rPr>
          <w:rFonts w:ascii="Times New Roman" w:eastAsia="Calibri" w:hAnsi="Times New Roman" w:cs="Times New Roman"/>
          <w:sz w:val="20"/>
          <w:szCs w:val="20"/>
        </w:rPr>
        <w:t xml:space="preserve"> </w:t>
      </w:r>
      <w:r w:rsidRPr="00601EB3">
        <w:rPr>
          <w:rFonts w:ascii="Times New Roman" w:eastAsia="Calibri" w:hAnsi="Times New Roman" w:cs="Times New Roman"/>
          <w:sz w:val="20"/>
          <w:szCs w:val="20"/>
        </w:rPr>
        <w:t>Mol</w:t>
      </w:r>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Pathol</w:t>
      </w:r>
      <w:proofErr w:type="spellEnd"/>
      <w:r w:rsidRPr="00601EB3">
        <w:rPr>
          <w:rFonts w:ascii="Times New Roman" w:eastAsia="Calibri" w:hAnsi="Times New Roman" w:cs="Times New Roman"/>
          <w:sz w:val="20"/>
          <w:szCs w:val="20"/>
        </w:rPr>
        <w:t>, 20(3), 143-7.</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Okur</w:t>
      </w:r>
      <w:proofErr w:type="spellEnd"/>
      <w:r w:rsidRPr="00601EB3">
        <w:rPr>
          <w:rFonts w:ascii="Times New Roman" w:eastAsia="Calibri" w:hAnsi="Times New Roman" w:cs="Times New Roman"/>
          <w:sz w:val="20"/>
          <w:szCs w:val="20"/>
        </w:rPr>
        <w:t xml:space="preserve"> FV1, </w:t>
      </w:r>
      <w:proofErr w:type="spellStart"/>
      <w:r w:rsidRPr="00601EB3">
        <w:rPr>
          <w:rFonts w:ascii="Times New Roman" w:eastAsia="Calibri" w:hAnsi="Times New Roman" w:cs="Times New Roman"/>
          <w:sz w:val="20"/>
          <w:szCs w:val="20"/>
        </w:rPr>
        <w:t>Karadeniz</w:t>
      </w:r>
      <w:proofErr w:type="spellEnd"/>
      <w:r w:rsidRPr="00601EB3">
        <w:rPr>
          <w:rFonts w:ascii="Times New Roman" w:eastAsia="Calibri" w:hAnsi="Times New Roman" w:cs="Times New Roman"/>
          <w:sz w:val="20"/>
          <w:szCs w:val="20"/>
        </w:rPr>
        <w:t xml:space="preserve"> C, </w:t>
      </w:r>
      <w:proofErr w:type="spellStart"/>
      <w:r w:rsidRPr="00601EB3">
        <w:rPr>
          <w:rFonts w:ascii="Times New Roman" w:eastAsia="Calibri" w:hAnsi="Times New Roman" w:cs="Times New Roman"/>
          <w:sz w:val="20"/>
          <w:szCs w:val="20"/>
        </w:rPr>
        <w:t>Buyukpamukcu</w:t>
      </w:r>
      <w:proofErr w:type="spellEnd"/>
      <w:r w:rsidRPr="00601EB3">
        <w:rPr>
          <w:rFonts w:ascii="Times New Roman" w:eastAsia="Calibri" w:hAnsi="Times New Roman" w:cs="Times New Roman"/>
          <w:sz w:val="20"/>
          <w:szCs w:val="20"/>
        </w:rPr>
        <w:t xml:space="preserve"> M, et al (2010).Clinical significance of serum vascular endothelial growth factor, </w:t>
      </w:r>
      <w:proofErr w:type="spellStart"/>
      <w:r w:rsidRPr="00601EB3">
        <w:rPr>
          <w:rFonts w:ascii="Times New Roman" w:eastAsia="Calibri" w:hAnsi="Times New Roman" w:cs="Times New Roman"/>
          <w:sz w:val="20"/>
          <w:szCs w:val="20"/>
        </w:rPr>
        <w:t>endostatin</w:t>
      </w:r>
      <w:proofErr w:type="spellEnd"/>
      <w:r w:rsidRPr="00601EB3">
        <w:rPr>
          <w:rFonts w:ascii="Times New Roman" w:eastAsia="Calibri" w:hAnsi="Times New Roman" w:cs="Times New Roman"/>
          <w:sz w:val="20"/>
          <w:szCs w:val="20"/>
        </w:rPr>
        <w:t xml:space="preserve">, and </w:t>
      </w:r>
      <w:proofErr w:type="spellStart"/>
      <w:r w:rsidRPr="00601EB3">
        <w:rPr>
          <w:rFonts w:ascii="Times New Roman" w:eastAsia="Calibri" w:hAnsi="Times New Roman" w:cs="Times New Roman"/>
          <w:sz w:val="20"/>
          <w:szCs w:val="20"/>
        </w:rPr>
        <w:t>leptin</w:t>
      </w:r>
      <w:proofErr w:type="spellEnd"/>
      <w:r w:rsidRPr="00601EB3">
        <w:rPr>
          <w:rFonts w:ascii="Times New Roman" w:eastAsia="Calibri" w:hAnsi="Times New Roman" w:cs="Times New Roman"/>
          <w:sz w:val="20"/>
          <w:szCs w:val="20"/>
        </w:rPr>
        <w:t xml:space="preserve"> levels in children with lymphoma. </w:t>
      </w:r>
      <w:proofErr w:type="spellStart"/>
      <w:r w:rsidRPr="00601EB3">
        <w:rPr>
          <w:rFonts w:ascii="Times New Roman" w:eastAsia="Calibri" w:hAnsi="Times New Roman" w:cs="Times New Roman"/>
          <w:sz w:val="20"/>
          <w:szCs w:val="20"/>
        </w:rPr>
        <w:t>Pediatr</w:t>
      </w:r>
      <w:proofErr w:type="spellEnd"/>
      <w:r w:rsidRPr="00601EB3">
        <w:rPr>
          <w:rFonts w:ascii="Times New Roman" w:eastAsia="Calibri" w:hAnsi="Times New Roman" w:cs="Times New Roman"/>
          <w:sz w:val="20"/>
          <w:szCs w:val="20"/>
        </w:rPr>
        <w:t xml:space="preserve"> Blood Cancer, 55(7),1272-7.</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r w:rsidRPr="00601EB3">
        <w:rPr>
          <w:rFonts w:ascii="Times New Roman" w:eastAsia="Calibri" w:hAnsi="Times New Roman" w:cs="Times New Roman"/>
          <w:sz w:val="20"/>
          <w:szCs w:val="20"/>
        </w:rPr>
        <w:t xml:space="preserve">Wang H, Li X, Han X, et al (2011). Clinical significance of tissue factor and vascular endothelial growth factor expressions on CD14+ </w:t>
      </w:r>
      <w:proofErr w:type="spellStart"/>
      <w:r w:rsidRPr="00601EB3">
        <w:rPr>
          <w:rFonts w:ascii="Times New Roman" w:eastAsia="Calibri" w:hAnsi="Times New Roman" w:cs="Times New Roman"/>
          <w:sz w:val="20"/>
          <w:szCs w:val="20"/>
        </w:rPr>
        <w:t>monocytes</w:t>
      </w:r>
      <w:proofErr w:type="spellEnd"/>
      <w:r w:rsidRPr="00601EB3">
        <w:rPr>
          <w:rFonts w:ascii="Times New Roman" w:eastAsia="Calibri" w:hAnsi="Times New Roman" w:cs="Times New Roman"/>
          <w:sz w:val="20"/>
          <w:szCs w:val="20"/>
        </w:rPr>
        <w:t xml:space="preserve"> in patients with non- Hodgkin lymphoma. </w:t>
      </w:r>
      <w:proofErr w:type="spellStart"/>
      <w:r w:rsidRPr="00601EB3">
        <w:rPr>
          <w:rFonts w:ascii="Times New Roman" w:eastAsia="Calibri" w:hAnsi="Times New Roman" w:cs="Times New Roman"/>
          <w:sz w:val="20"/>
          <w:szCs w:val="20"/>
        </w:rPr>
        <w:t>Zhongguo</w:t>
      </w:r>
      <w:proofErr w:type="spellEnd"/>
      <w:r w:rsidRPr="00601EB3">
        <w:rPr>
          <w:rFonts w:ascii="Times New Roman" w:eastAsia="Calibri" w:hAnsi="Times New Roman" w:cs="Times New Roman"/>
          <w:sz w:val="20"/>
          <w:szCs w:val="20"/>
        </w:rPr>
        <w:t xml:space="preserve"> Yi </w:t>
      </w:r>
      <w:proofErr w:type="spellStart"/>
      <w:r w:rsidRPr="00601EB3">
        <w:rPr>
          <w:rFonts w:ascii="Times New Roman" w:eastAsia="Calibri" w:hAnsi="Times New Roman" w:cs="Times New Roman"/>
          <w:sz w:val="20"/>
          <w:szCs w:val="20"/>
        </w:rPr>
        <w:t>Xue</w:t>
      </w:r>
      <w:proofErr w:type="spellEnd"/>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Ke</w:t>
      </w:r>
      <w:proofErr w:type="spellEnd"/>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Xue</w:t>
      </w:r>
      <w:proofErr w:type="spellEnd"/>
      <w:r w:rsidRPr="00601EB3">
        <w:rPr>
          <w:rFonts w:ascii="Times New Roman" w:eastAsia="Calibri" w:hAnsi="Times New Roman" w:cs="Times New Roman"/>
          <w:sz w:val="20"/>
          <w:szCs w:val="20"/>
        </w:rPr>
        <w:t xml:space="preserve"> Yuan </w:t>
      </w:r>
      <w:proofErr w:type="spellStart"/>
      <w:r w:rsidRPr="00601EB3">
        <w:rPr>
          <w:rFonts w:ascii="Times New Roman" w:eastAsia="Calibri" w:hAnsi="Times New Roman" w:cs="Times New Roman"/>
          <w:sz w:val="20"/>
          <w:szCs w:val="20"/>
        </w:rPr>
        <w:t>Xue</w:t>
      </w:r>
      <w:proofErr w:type="spellEnd"/>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Bao</w:t>
      </w:r>
      <w:proofErr w:type="spellEnd"/>
      <w:r w:rsidRPr="00601EB3">
        <w:rPr>
          <w:rFonts w:ascii="Times New Roman" w:eastAsia="Calibri" w:hAnsi="Times New Roman" w:cs="Times New Roman"/>
          <w:sz w:val="20"/>
          <w:szCs w:val="20"/>
        </w:rPr>
        <w:t>, 33(4), 427-31.</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Jørgensen</w:t>
      </w:r>
      <w:proofErr w:type="spellEnd"/>
      <w:r w:rsidRPr="00601EB3">
        <w:rPr>
          <w:rFonts w:ascii="Times New Roman" w:eastAsia="Calibri" w:hAnsi="Times New Roman" w:cs="Times New Roman"/>
          <w:sz w:val="20"/>
          <w:szCs w:val="20"/>
        </w:rPr>
        <w:t xml:space="preserve"> JM, </w:t>
      </w:r>
      <w:proofErr w:type="spellStart"/>
      <w:r w:rsidRPr="00601EB3">
        <w:rPr>
          <w:rFonts w:ascii="Times New Roman" w:eastAsia="Calibri" w:hAnsi="Times New Roman" w:cs="Times New Roman"/>
          <w:sz w:val="20"/>
          <w:szCs w:val="20"/>
        </w:rPr>
        <w:t>Sørensen</w:t>
      </w:r>
      <w:proofErr w:type="spellEnd"/>
      <w:r w:rsidRPr="00601EB3">
        <w:rPr>
          <w:rFonts w:ascii="Times New Roman" w:eastAsia="Calibri" w:hAnsi="Times New Roman" w:cs="Times New Roman"/>
          <w:sz w:val="20"/>
          <w:szCs w:val="20"/>
        </w:rPr>
        <w:t xml:space="preserve"> FB, </w:t>
      </w:r>
      <w:proofErr w:type="spellStart"/>
      <w:r w:rsidRPr="00601EB3">
        <w:rPr>
          <w:rFonts w:ascii="Times New Roman" w:eastAsia="Calibri" w:hAnsi="Times New Roman" w:cs="Times New Roman"/>
          <w:sz w:val="20"/>
          <w:szCs w:val="20"/>
        </w:rPr>
        <w:t>Bendix</w:t>
      </w:r>
      <w:proofErr w:type="spellEnd"/>
      <w:r w:rsidRPr="00601EB3">
        <w:rPr>
          <w:rFonts w:ascii="Times New Roman" w:eastAsia="Calibri" w:hAnsi="Times New Roman" w:cs="Times New Roman"/>
          <w:sz w:val="20"/>
          <w:szCs w:val="20"/>
        </w:rPr>
        <w:t xml:space="preserve"> K, et al (2007). Angiogenesis in non-Hodgkin's lymphoma: </w:t>
      </w:r>
      <w:proofErr w:type="spellStart"/>
      <w:r w:rsidRPr="00601EB3">
        <w:rPr>
          <w:rFonts w:ascii="Times New Roman" w:eastAsia="Calibri" w:hAnsi="Times New Roman" w:cs="Times New Roman"/>
          <w:sz w:val="20"/>
          <w:szCs w:val="20"/>
        </w:rPr>
        <w:t>clinico</w:t>
      </w:r>
      <w:proofErr w:type="spellEnd"/>
      <w:r w:rsidRPr="00601EB3">
        <w:rPr>
          <w:rFonts w:ascii="Times New Roman" w:eastAsia="Calibri" w:hAnsi="Times New Roman" w:cs="Times New Roman"/>
          <w:sz w:val="20"/>
          <w:szCs w:val="20"/>
        </w:rPr>
        <w:t xml:space="preserve">-pathological correlations and prognostic significance in specific subtypes. </w:t>
      </w:r>
      <w:proofErr w:type="spellStart"/>
      <w:r w:rsidRPr="00601EB3">
        <w:rPr>
          <w:rFonts w:ascii="Times New Roman" w:eastAsia="Calibri" w:hAnsi="Times New Roman" w:cs="Times New Roman"/>
          <w:sz w:val="20"/>
          <w:szCs w:val="20"/>
        </w:rPr>
        <w:t>Leuk</w:t>
      </w:r>
      <w:proofErr w:type="spellEnd"/>
      <w:r w:rsidRPr="00601EB3">
        <w:rPr>
          <w:rFonts w:ascii="Times New Roman" w:eastAsia="Calibri" w:hAnsi="Times New Roman" w:cs="Times New Roman"/>
          <w:sz w:val="20"/>
          <w:szCs w:val="20"/>
        </w:rPr>
        <w:t xml:space="preserve"> Lymphoma, 48(3), 584-95.</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Jørgensen</w:t>
      </w:r>
      <w:proofErr w:type="spellEnd"/>
      <w:r w:rsidRPr="00601EB3">
        <w:rPr>
          <w:rFonts w:ascii="Times New Roman" w:eastAsia="Calibri" w:hAnsi="Times New Roman" w:cs="Times New Roman"/>
          <w:sz w:val="20"/>
          <w:szCs w:val="20"/>
        </w:rPr>
        <w:t xml:space="preserve"> JM, </w:t>
      </w:r>
      <w:proofErr w:type="spellStart"/>
      <w:r w:rsidRPr="00601EB3">
        <w:rPr>
          <w:rFonts w:ascii="Times New Roman" w:eastAsia="Calibri" w:hAnsi="Times New Roman" w:cs="Times New Roman"/>
          <w:sz w:val="20"/>
          <w:szCs w:val="20"/>
        </w:rPr>
        <w:t>Sørensen</w:t>
      </w:r>
      <w:proofErr w:type="spellEnd"/>
      <w:r w:rsidRPr="00601EB3">
        <w:rPr>
          <w:rFonts w:ascii="Times New Roman" w:eastAsia="Calibri" w:hAnsi="Times New Roman" w:cs="Times New Roman"/>
          <w:sz w:val="20"/>
          <w:szCs w:val="20"/>
        </w:rPr>
        <w:t xml:space="preserve"> FB, </w:t>
      </w:r>
      <w:proofErr w:type="spellStart"/>
      <w:r w:rsidRPr="00601EB3">
        <w:rPr>
          <w:rFonts w:ascii="Times New Roman" w:eastAsia="Calibri" w:hAnsi="Times New Roman" w:cs="Times New Roman"/>
          <w:sz w:val="20"/>
          <w:szCs w:val="20"/>
        </w:rPr>
        <w:t>Bendix</w:t>
      </w:r>
      <w:proofErr w:type="spellEnd"/>
      <w:r w:rsidRPr="00601EB3">
        <w:rPr>
          <w:rFonts w:ascii="Times New Roman" w:eastAsia="Calibri" w:hAnsi="Times New Roman" w:cs="Times New Roman"/>
          <w:sz w:val="20"/>
          <w:szCs w:val="20"/>
        </w:rPr>
        <w:t xml:space="preserve"> K, et al (2009). Expression level, tissue distribution pattern, and prognostic impact of vascular endothelial growth factors VEGF and VEGF-C and their receptors Flt-1, KDR, and Flt-4 in </w:t>
      </w:r>
      <w:r w:rsidRPr="00601EB3">
        <w:rPr>
          <w:rFonts w:ascii="Times New Roman" w:eastAsia="Calibri" w:hAnsi="Times New Roman" w:cs="Times New Roman"/>
          <w:sz w:val="20"/>
          <w:szCs w:val="20"/>
        </w:rPr>
        <w:lastRenderedPageBreak/>
        <w:t xml:space="preserve">different subtypes of non-Hodgkin lymphomas. </w:t>
      </w:r>
      <w:proofErr w:type="spellStart"/>
      <w:r w:rsidRPr="00601EB3">
        <w:rPr>
          <w:rFonts w:ascii="Times New Roman" w:eastAsia="Calibri" w:hAnsi="Times New Roman" w:cs="Times New Roman"/>
          <w:sz w:val="20"/>
          <w:szCs w:val="20"/>
        </w:rPr>
        <w:t>Leuk</w:t>
      </w:r>
      <w:proofErr w:type="spellEnd"/>
      <w:r w:rsidRPr="00601EB3">
        <w:rPr>
          <w:rFonts w:ascii="Times New Roman" w:eastAsia="Calibri" w:hAnsi="Times New Roman" w:cs="Times New Roman"/>
          <w:sz w:val="20"/>
          <w:szCs w:val="20"/>
        </w:rPr>
        <w:t xml:space="preserve"> Lymphoma, 50(10), 1647-60.</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Bertolini</w:t>
      </w:r>
      <w:proofErr w:type="spellEnd"/>
      <w:r w:rsidRPr="00601EB3">
        <w:rPr>
          <w:rFonts w:ascii="Times New Roman" w:eastAsia="Calibri" w:hAnsi="Times New Roman" w:cs="Times New Roman"/>
          <w:sz w:val="20"/>
          <w:szCs w:val="20"/>
        </w:rPr>
        <w:t xml:space="preserve"> F, </w:t>
      </w:r>
      <w:proofErr w:type="spellStart"/>
      <w:r w:rsidRPr="00601EB3">
        <w:rPr>
          <w:rFonts w:ascii="Times New Roman" w:eastAsia="Calibri" w:hAnsi="Times New Roman" w:cs="Times New Roman"/>
          <w:sz w:val="20"/>
          <w:szCs w:val="20"/>
        </w:rPr>
        <w:t>Paolucci</w:t>
      </w:r>
      <w:proofErr w:type="spellEnd"/>
      <w:r w:rsidRPr="00601EB3">
        <w:rPr>
          <w:rFonts w:ascii="Times New Roman" w:eastAsia="Calibri" w:hAnsi="Times New Roman" w:cs="Times New Roman"/>
          <w:sz w:val="20"/>
          <w:szCs w:val="20"/>
        </w:rPr>
        <w:t xml:space="preserve"> M, </w:t>
      </w:r>
      <w:proofErr w:type="spellStart"/>
      <w:r w:rsidRPr="00601EB3">
        <w:rPr>
          <w:rFonts w:ascii="Times New Roman" w:eastAsia="Calibri" w:hAnsi="Times New Roman" w:cs="Times New Roman"/>
          <w:sz w:val="20"/>
          <w:szCs w:val="20"/>
        </w:rPr>
        <w:t>Peccatori</w:t>
      </w:r>
      <w:proofErr w:type="spellEnd"/>
      <w:r w:rsidRPr="00601EB3">
        <w:rPr>
          <w:rFonts w:ascii="Times New Roman" w:eastAsia="Calibri" w:hAnsi="Times New Roman" w:cs="Times New Roman"/>
          <w:sz w:val="20"/>
          <w:szCs w:val="20"/>
        </w:rPr>
        <w:t xml:space="preserve"> F, et al (1999).</w:t>
      </w:r>
      <w:r w:rsidR="005843F5">
        <w:rPr>
          <w:rFonts w:ascii="Times New Roman" w:eastAsia="Calibri" w:hAnsi="Times New Roman" w:cs="Times New Roman"/>
          <w:sz w:val="20"/>
          <w:szCs w:val="20"/>
        </w:rPr>
        <w:t xml:space="preserve"> </w:t>
      </w:r>
      <w:proofErr w:type="spellStart"/>
      <w:r w:rsidRPr="00601EB3">
        <w:rPr>
          <w:rFonts w:ascii="Times New Roman" w:eastAsia="Calibri" w:hAnsi="Times New Roman" w:cs="Times New Roman"/>
          <w:sz w:val="20"/>
          <w:szCs w:val="20"/>
        </w:rPr>
        <w:t>Angiogenic</w:t>
      </w:r>
      <w:proofErr w:type="spellEnd"/>
      <w:r w:rsidRPr="00601EB3">
        <w:rPr>
          <w:rFonts w:ascii="Times New Roman" w:eastAsia="Calibri" w:hAnsi="Times New Roman" w:cs="Times New Roman"/>
          <w:sz w:val="20"/>
          <w:szCs w:val="20"/>
        </w:rPr>
        <w:t xml:space="preserve"> growth factors and </w:t>
      </w:r>
      <w:proofErr w:type="spellStart"/>
      <w:r w:rsidRPr="00601EB3">
        <w:rPr>
          <w:rFonts w:ascii="Times New Roman" w:eastAsia="Calibri" w:hAnsi="Times New Roman" w:cs="Times New Roman"/>
          <w:sz w:val="20"/>
          <w:szCs w:val="20"/>
        </w:rPr>
        <w:t>endostatin</w:t>
      </w:r>
      <w:proofErr w:type="spellEnd"/>
      <w:r w:rsidRPr="00601EB3">
        <w:rPr>
          <w:rFonts w:ascii="Times New Roman" w:eastAsia="Calibri" w:hAnsi="Times New Roman" w:cs="Times New Roman"/>
          <w:sz w:val="20"/>
          <w:szCs w:val="20"/>
        </w:rPr>
        <w:t xml:space="preserve"> in non-Hodgkin's lymphoma. Br J </w:t>
      </w:r>
      <w:proofErr w:type="spellStart"/>
      <w:r w:rsidRPr="00601EB3">
        <w:rPr>
          <w:rFonts w:ascii="Times New Roman" w:eastAsia="Calibri" w:hAnsi="Times New Roman" w:cs="Times New Roman"/>
          <w:sz w:val="20"/>
          <w:szCs w:val="20"/>
        </w:rPr>
        <w:t>Haematol</w:t>
      </w:r>
      <w:proofErr w:type="spellEnd"/>
      <w:r w:rsidRPr="00601EB3">
        <w:rPr>
          <w:rFonts w:ascii="Times New Roman" w:eastAsia="Calibri" w:hAnsi="Times New Roman" w:cs="Times New Roman"/>
          <w:sz w:val="20"/>
          <w:szCs w:val="20"/>
        </w:rPr>
        <w:t>, 106(2), 504-9.</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Wróbel</w:t>
      </w:r>
      <w:proofErr w:type="spellEnd"/>
      <w:r w:rsidRPr="00601EB3">
        <w:rPr>
          <w:rFonts w:ascii="Times New Roman" w:eastAsia="Calibri" w:hAnsi="Times New Roman" w:cs="Times New Roman"/>
          <w:sz w:val="20"/>
          <w:szCs w:val="20"/>
        </w:rPr>
        <w:t xml:space="preserve"> T, Mazur G, </w:t>
      </w:r>
      <w:proofErr w:type="spellStart"/>
      <w:r w:rsidRPr="00601EB3">
        <w:rPr>
          <w:rFonts w:ascii="Times New Roman" w:eastAsia="Calibri" w:hAnsi="Times New Roman" w:cs="Times New Roman"/>
          <w:sz w:val="20"/>
          <w:szCs w:val="20"/>
        </w:rPr>
        <w:t>Usnarska-Zubkiewicz</w:t>
      </w:r>
      <w:proofErr w:type="spellEnd"/>
      <w:r w:rsidRPr="00601EB3">
        <w:rPr>
          <w:rFonts w:ascii="Times New Roman" w:eastAsia="Calibri" w:hAnsi="Times New Roman" w:cs="Times New Roman"/>
          <w:sz w:val="20"/>
          <w:szCs w:val="20"/>
        </w:rPr>
        <w:t xml:space="preserve"> L, et al (2004). Vascular endothelial growth factor (VEGF) serum concentration in non-Hodgkin's lymphoma patients. </w:t>
      </w:r>
      <w:proofErr w:type="spellStart"/>
      <w:r w:rsidRPr="00601EB3">
        <w:rPr>
          <w:rFonts w:ascii="Times New Roman" w:eastAsia="Calibri" w:hAnsi="Times New Roman" w:cs="Times New Roman"/>
          <w:sz w:val="20"/>
          <w:szCs w:val="20"/>
        </w:rPr>
        <w:t>Pol</w:t>
      </w:r>
      <w:proofErr w:type="spellEnd"/>
      <w:r w:rsidRPr="00601EB3">
        <w:rPr>
          <w:rFonts w:ascii="Times New Roman" w:eastAsia="Calibri" w:hAnsi="Times New Roman" w:cs="Times New Roman"/>
          <w:sz w:val="20"/>
          <w:szCs w:val="20"/>
        </w:rPr>
        <w:t xml:space="preserve"> Arch Med </w:t>
      </w:r>
      <w:proofErr w:type="spellStart"/>
      <w:r w:rsidRPr="00601EB3">
        <w:rPr>
          <w:rFonts w:ascii="Times New Roman" w:eastAsia="Calibri" w:hAnsi="Times New Roman" w:cs="Times New Roman"/>
          <w:sz w:val="20"/>
          <w:szCs w:val="20"/>
        </w:rPr>
        <w:t>Wewn</w:t>
      </w:r>
      <w:proofErr w:type="spellEnd"/>
      <w:r w:rsidRPr="00601EB3">
        <w:rPr>
          <w:rFonts w:ascii="Times New Roman" w:eastAsia="Calibri" w:hAnsi="Times New Roman" w:cs="Times New Roman"/>
          <w:sz w:val="20"/>
          <w:szCs w:val="20"/>
        </w:rPr>
        <w:t>, 112(2), 919-23.</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Etto</w:t>
      </w:r>
      <w:proofErr w:type="spellEnd"/>
      <w:r w:rsidRPr="00601EB3">
        <w:rPr>
          <w:rFonts w:ascii="Times New Roman" w:eastAsia="Calibri" w:hAnsi="Times New Roman" w:cs="Times New Roman"/>
          <w:sz w:val="20"/>
          <w:szCs w:val="20"/>
        </w:rPr>
        <w:t xml:space="preserve"> L, </w:t>
      </w:r>
      <w:proofErr w:type="spellStart"/>
      <w:r w:rsidRPr="00601EB3">
        <w:rPr>
          <w:rFonts w:ascii="Times New Roman" w:eastAsia="Calibri" w:hAnsi="Times New Roman" w:cs="Times New Roman"/>
          <w:sz w:val="20"/>
          <w:szCs w:val="20"/>
        </w:rPr>
        <w:t>Lacerda</w:t>
      </w:r>
      <w:proofErr w:type="spellEnd"/>
      <w:r w:rsidRPr="00601EB3">
        <w:rPr>
          <w:rFonts w:ascii="Times New Roman" w:eastAsia="Calibri" w:hAnsi="Times New Roman" w:cs="Times New Roman"/>
          <w:sz w:val="20"/>
          <w:szCs w:val="20"/>
        </w:rPr>
        <w:t xml:space="preserve"> E, </w:t>
      </w:r>
      <w:proofErr w:type="spellStart"/>
      <w:r w:rsidRPr="00601EB3">
        <w:rPr>
          <w:rFonts w:ascii="Times New Roman" w:eastAsia="Calibri" w:hAnsi="Times New Roman" w:cs="Times New Roman"/>
          <w:sz w:val="20"/>
          <w:szCs w:val="20"/>
        </w:rPr>
        <w:t>Baiocchi</w:t>
      </w:r>
      <w:proofErr w:type="spellEnd"/>
      <w:r w:rsidRPr="00601EB3">
        <w:rPr>
          <w:rFonts w:ascii="Times New Roman" w:eastAsia="Calibri" w:hAnsi="Times New Roman" w:cs="Times New Roman"/>
          <w:sz w:val="20"/>
          <w:szCs w:val="20"/>
        </w:rPr>
        <w:t xml:space="preserve"> O, et al (2008). Clinical correlations and prognostic relevance of HGF, VEGF AND FGF expression in Brazilian patients with non-Hodgkin lymphoma. </w:t>
      </w:r>
      <w:proofErr w:type="spellStart"/>
      <w:r w:rsidRPr="00601EB3">
        <w:rPr>
          <w:rFonts w:ascii="Times New Roman" w:eastAsia="Calibri" w:hAnsi="Times New Roman" w:cs="Times New Roman"/>
          <w:sz w:val="20"/>
          <w:szCs w:val="20"/>
        </w:rPr>
        <w:t>Leuk</w:t>
      </w:r>
      <w:proofErr w:type="spellEnd"/>
      <w:r w:rsidRPr="00601EB3">
        <w:rPr>
          <w:rFonts w:ascii="Times New Roman" w:eastAsia="Calibri" w:hAnsi="Times New Roman" w:cs="Times New Roman"/>
          <w:sz w:val="20"/>
          <w:szCs w:val="20"/>
        </w:rPr>
        <w:t xml:space="preserve"> Lymphoma, 49(2), 257-64.</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Milanovic</w:t>
      </w:r>
      <w:proofErr w:type="spellEnd"/>
      <w:r w:rsidRPr="00601EB3">
        <w:rPr>
          <w:rFonts w:ascii="Times New Roman" w:eastAsia="Calibri" w:hAnsi="Times New Roman" w:cs="Times New Roman"/>
          <w:sz w:val="20"/>
          <w:szCs w:val="20"/>
        </w:rPr>
        <w:t xml:space="preserve"> N, </w:t>
      </w:r>
      <w:proofErr w:type="spellStart"/>
      <w:r w:rsidRPr="00601EB3">
        <w:rPr>
          <w:rFonts w:ascii="Times New Roman" w:eastAsia="Calibri" w:hAnsi="Times New Roman" w:cs="Times New Roman"/>
          <w:sz w:val="20"/>
          <w:szCs w:val="20"/>
        </w:rPr>
        <w:t>Matkovic</w:t>
      </w:r>
      <w:proofErr w:type="spellEnd"/>
      <w:r w:rsidRPr="00601EB3">
        <w:rPr>
          <w:rFonts w:ascii="Times New Roman" w:eastAsia="Calibri" w:hAnsi="Times New Roman" w:cs="Times New Roman"/>
          <w:sz w:val="20"/>
          <w:szCs w:val="20"/>
        </w:rPr>
        <w:t xml:space="preserve"> S, </w:t>
      </w:r>
      <w:proofErr w:type="spellStart"/>
      <w:r w:rsidRPr="00601EB3">
        <w:rPr>
          <w:rFonts w:ascii="Times New Roman" w:eastAsia="Calibri" w:hAnsi="Times New Roman" w:cs="Times New Roman"/>
          <w:sz w:val="20"/>
          <w:szCs w:val="20"/>
        </w:rPr>
        <w:t>Ristic</w:t>
      </w:r>
      <w:proofErr w:type="spellEnd"/>
      <w:r w:rsidRPr="00601EB3">
        <w:rPr>
          <w:rFonts w:ascii="Times New Roman" w:eastAsia="Calibri" w:hAnsi="Times New Roman" w:cs="Times New Roman"/>
          <w:sz w:val="20"/>
          <w:szCs w:val="20"/>
        </w:rPr>
        <w:t xml:space="preserve"> D, et al (2012). Significance of tumor burden, vascular endothelial growth factor, lactate </w:t>
      </w:r>
      <w:proofErr w:type="spellStart"/>
      <w:r w:rsidRPr="00601EB3">
        <w:rPr>
          <w:rFonts w:ascii="Times New Roman" w:eastAsia="Calibri" w:hAnsi="Times New Roman" w:cs="Times New Roman"/>
          <w:sz w:val="20"/>
          <w:szCs w:val="20"/>
        </w:rPr>
        <w:t>dehydrogenase</w:t>
      </w:r>
      <w:proofErr w:type="spellEnd"/>
      <w:r w:rsidRPr="00601EB3">
        <w:rPr>
          <w:rFonts w:ascii="Times New Roman" w:eastAsia="Calibri" w:hAnsi="Times New Roman" w:cs="Times New Roman"/>
          <w:sz w:val="20"/>
          <w:szCs w:val="20"/>
        </w:rPr>
        <w:t xml:space="preserve"> and beta-2 </w:t>
      </w:r>
      <w:proofErr w:type="spellStart"/>
      <w:r w:rsidRPr="00601EB3">
        <w:rPr>
          <w:rFonts w:ascii="Times New Roman" w:eastAsia="Calibri" w:hAnsi="Times New Roman" w:cs="Times New Roman"/>
          <w:sz w:val="20"/>
          <w:szCs w:val="20"/>
        </w:rPr>
        <w:t>microglobulinserum</w:t>
      </w:r>
      <w:proofErr w:type="spellEnd"/>
      <w:r w:rsidRPr="00601EB3">
        <w:rPr>
          <w:rFonts w:ascii="Times New Roman" w:eastAsia="Calibri" w:hAnsi="Times New Roman" w:cs="Times New Roman"/>
          <w:sz w:val="20"/>
          <w:szCs w:val="20"/>
        </w:rPr>
        <w:t xml:space="preserve"> levels in advanced diffuse large B cell lymphoma. J BUON, 17(3), 497-501.</w:t>
      </w:r>
    </w:p>
    <w:p w:rsidR="00D62FF7" w:rsidRPr="00601EB3" w:rsidRDefault="00D62FF7" w:rsidP="00D67228">
      <w:pPr>
        <w:numPr>
          <w:ilvl w:val="0"/>
          <w:numId w:val="22"/>
        </w:numPr>
        <w:bidi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601EB3">
        <w:rPr>
          <w:rFonts w:ascii="Times New Roman" w:eastAsia="Calibri" w:hAnsi="Times New Roman" w:cs="Times New Roman"/>
          <w:sz w:val="20"/>
          <w:szCs w:val="20"/>
        </w:rPr>
        <w:t>Hazar</w:t>
      </w:r>
      <w:proofErr w:type="spellEnd"/>
      <w:r w:rsidRPr="00601EB3">
        <w:rPr>
          <w:rFonts w:ascii="Times New Roman" w:eastAsia="Calibri" w:hAnsi="Times New Roman" w:cs="Times New Roman"/>
          <w:sz w:val="20"/>
          <w:szCs w:val="20"/>
        </w:rPr>
        <w:t xml:space="preserve"> B, </w:t>
      </w:r>
      <w:proofErr w:type="spellStart"/>
      <w:r w:rsidRPr="00601EB3">
        <w:rPr>
          <w:rFonts w:ascii="Times New Roman" w:eastAsia="Calibri" w:hAnsi="Times New Roman" w:cs="Times New Roman"/>
          <w:sz w:val="20"/>
          <w:szCs w:val="20"/>
        </w:rPr>
        <w:t>Ergin</w:t>
      </w:r>
      <w:proofErr w:type="spellEnd"/>
      <w:r w:rsidRPr="00601EB3">
        <w:rPr>
          <w:rFonts w:ascii="Times New Roman" w:eastAsia="Calibri" w:hAnsi="Times New Roman" w:cs="Times New Roman"/>
          <w:sz w:val="20"/>
          <w:szCs w:val="20"/>
        </w:rPr>
        <w:t xml:space="preserve"> M, </w:t>
      </w:r>
      <w:proofErr w:type="spellStart"/>
      <w:r w:rsidRPr="00601EB3">
        <w:rPr>
          <w:rFonts w:ascii="Times New Roman" w:eastAsia="Calibri" w:hAnsi="Times New Roman" w:cs="Times New Roman"/>
          <w:sz w:val="20"/>
          <w:szCs w:val="20"/>
        </w:rPr>
        <w:t>Seyrek</w:t>
      </w:r>
      <w:proofErr w:type="spellEnd"/>
      <w:r w:rsidRPr="00601EB3">
        <w:rPr>
          <w:rFonts w:ascii="Times New Roman" w:eastAsia="Calibri" w:hAnsi="Times New Roman" w:cs="Times New Roman"/>
          <w:sz w:val="20"/>
          <w:szCs w:val="20"/>
        </w:rPr>
        <w:t xml:space="preserve"> E, et al (2004). Cyclooxygenase-2 (Cox-2) expression in lymphomas. </w:t>
      </w:r>
      <w:proofErr w:type="spellStart"/>
      <w:r w:rsidRPr="00601EB3">
        <w:rPr>
          <w:rFonts w:ascii="Times New Roman" w:eastAsia="Calibri" w:hAnsi="Times New Roman" w:cs="Times New Roman"/>
          <w:sz w:val="20"/>
          <w:szCs w:val="20"/>
        </w:rPr>
        <w:t>Leuk</w:t>
      </w:r>
      <w:proofErr w:type="spellEnd"/>
      <w:r w:rsidRPr="00601EB3">
        <w:rPr>
          <w:rFonts w:ascii="Times New Roman" w:eastAsia="Calibri" w:hAnsi="Times New Roman" w:cs="Times New Roman"/>
          <w:sz w:val="20"/>
          <w:szCs w:val="20"/>
        </w:rPr>
        <w:t xml:space="preserve"> Lymphoma, 45(7), 1395-9.</w:t>
      </w:r>
    </w:p>
    <w:p w:rsidR="000A44BA" w:rsidRPr="00601EB3" w:rsidRDefault="000A44BA" w:rsidP="00D67228">
      <w:pPr>
        <w:bidi w:val="0"/>
        <w:adjustRightInd w:val="0"/>
        <w:snapToGrid w:val="0"/>
        <w:spacing w:after="0" w:line="240" w:lineRule="auto"/>
        <w:ind w:left="425" w:hanging="425"/>
        <w:jc w:val="both"/>
        <w:rPr>
          <w:rFonts w:ascii="Times New Roman" w:eastAsia="Calibri" w:hAnsi="Times New Roman" w:cs="Times New Roman"/>
          <w:sz w:val="20"/>
          <w:szCs w:val="20"/>
        </w:rPr>
        <w:sectPr w:rsidR="000A44BA" w:rsidRPr="00601EB3" w:rsidSect="00601EB3">
          <w:type w:val="continuous"/>
          <w:pgSz w:w="12242" w:h="15842" w:code="1"/>
          <w:pgMar w:top="1440" w:right="1440" w:bottom="1440" w:left="1440" w:header="720" w:footer="720" w:gutter="0"/>
          <w:cols w:num="2" w:space="550"/>
          <w:docGrid w:linePitch="360"/>
        </w:sectPr>
      </w:pPr>
    </w:p>
    <w:p w:rsidR="005F20DF" w:rsidRPr="00601EB3" w:rsidRDefault="005F20DF" w:rsidP="00D67228">
      <w:pPr>
        <w:bidi w:val="0"/>
        <w:adjustRightInd w:val="0"/>
        <w:snapToGrid w:val="0"/>
        <w:spacing w:after="0" w:line="240" w:lineRule="auto"/>
        <w:ind w:left="425" w:hanging="425"/>
        <w:jc w:val="both"/>
        <w:rPr>
          <w:rFonts w:ascii="Times New Roman" w:eastAsia="Calibri" w:hAnsi="Times New Roman" w:cs="Times New Roman"/>
          <w:sz w:val="20"/>
          <w:szCs w:val="20"/>
        </w:rPr>
      </w:pPr>
    </w:p>
    <w:p w:rsidR="000A44BA" w:rsidRPr="00601EB3" w:rsidRDefault="000A44BA" w:rsidP="00D67228">
      <w:pPr>
        <w:bidi w:val="0"/>
        <w:adjustRightInd w:val="0"/>
        <w:snapToGrid w:val="0"/>
        <w:spacing w:after="0" w:line="240" w:lineRule="auto"/>
        <w:ind w:left="425" w:hanging="425"/>
        <w:jc w:val="both"/>
        <w:rPr>
          <w:rFonts w:ascii="Times New Roman" w:hAnsi="Times New Roman" w:cs="Times New Roman"/>
          <w:b/>
          <w:bCs/>
          <w:sz w:val="20"/>
          <w:szCs w:val="20"/>
        </w:rPr>
      </w:pPr>
    </w:p>
    <w:p w:rsidR="000A44BA" w:rsidRPr="00601EB3" w:rsidRDefault="000A44BA" w:rsidP="00D67228">
      <w:pPr>
        <w:bidi w:val="0"/>
        <w:adjustRightInd w:val="0"/>
        <w:snapToGrid w:val="0"/>
        <w:spacing w:after="0" w:line="240" w:lineRule="auto"/>
        <w:ind w:left="425" w:hanging="425"/>
        <w:jc w:val="both"/>
        <w:rPr>
          <w:rFonts w:ascii="Times New Roman" w:hAnsi="Times New Roman" w:cs="Times New Roman"/>
          <w:b/>
          <w:bCs/>
          <w:sz w:val="20"/>
          <w:szCs w:val="20"/>
        </w:rPr>
      </w:pPr>
    </w:p>
    <w:p w:rsidR="00D62FF7" w:rsidRPr="00601EB3" w:rsidRDefault="000A44BA" w:rsidP="00D67228">
      <w:pPr>
        <w:bidi w:val="0"/>
        <w:adjustRightInd w:val="0"/>
        <w:snapToGrid w:val="0"/>
        <w:spacing w:after="0" w:line="240" w:lineRule="auto"/>
        <w:ind w:left="425" w:hanging="425"/>
        <w:jc w:val="both"/>
        <w:rPr>
          <w:rFonts w:ascii="Times New Roman" w:hAnsi="Times New Roman" w:cs="Times New Roman"/>
          <w:bCs/>
          <w:sz w:val="20"/>
          <w:szCs w:val="20"/>
        </w:rPr>
      </w:pPr>
      <w:r w:rsidRPr="00601EB3">
        <w:rPr>
          <w:rFonts w:ascii="Times New Roman" w:hAnsi="Times New Roman" w:cs="Times New Roman"/>
          <w:bCs/>
          <w:sz w:val="20"/>
          <w:szCs w:val="20"/>
        </w:rPr>
        <w:t>5/16/2016</w:t>
      </w:r>
    </w:p>
    <w:sectPr w:rsidR="00D62FF7" w:rsidRPr="00601EB3" w:rsidSect="00DB5F45">
      <w:headerReference w:type="default" r:id="rId15"/>
      <w:footerReference w:type="default" r:id="rId16"/>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EB3" w:rsidRDefault="00601EB3" w:rsidP="009B3960">
      <w:pPr>
        <w:spacing w:after="0" w:line="240" w:lineRule="auto"/>
      </w:pPr>
      <w:r>
        <w:separator/>
      </w:r>
    </w:p>
  </w:endnote>
  <w:endnote w:type="continuationSeparator" w:id="0">
    <w:p w:rsidR="00601EB3" w:rsidRDefault="00601EB3" w:rsidP="009B3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Kepler Std">
    <w:altName w:val="Times New Roman"/>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
    <w:altName w:val="Trade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KPDDJG+TimesNewRoman">
    <w:altName w:val="Times New Roman"/>
    <w:panose1 w:val="00000000000000000000"/>
    <w:charset w:val="00"/>
    <w:family w:val="roman"/>
    <w:notTrueType/>
    <w:pitch w:val="default"/>
    <w:sig w:usb0="00000003" w:usb1="00000000" w:usb2="00000000" w:usb3="00000000" w:csb0="00000001" w:csb1="00000000"/>
  </w:font>
  <w:font w:name="Goudy Old Style">
    <w:charset w:val="00"/>
    <w:family w:val="roman"/>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B3" w:rsidRPr="000A44BA" w:rsidRDefault="00AD29BF" w:rsidP="000A44BA">
    <w:pPr>
      <w:bidi w:val="0"/>
      <w:spacing w:after="0" w:line="240" w:lineRule="auto"/>
      <w:jc w:val="center"/>
      <w:rPr>
        <w:rFonts w:ascii="Times New Roman" w:hAnsi="Times New Roman" w:cs="Times New Roman"/>
        <w:sz w:val="20"/>
      </w:rPr>
    </w:pPr>
    <w:r w:rsidRPr="000A44BA">
      <w:rPr>
        <w:rFonts w:ascii="Times New Roman" w:hAnsi="Times New Roman" w:cs="Times New Roman"/>
        <w:sz w:val="20"/>
      </w:rPr>
      <w:fldChar w:fldCharType="begin"/>
    </w:r>
    <w:r w:rsidR="00601EB3" w:rsidRPr="000A44BA">
      <w:rPr>
        <w:rFonts w:ascii="Times New Roman" w:hAnsi="Times New Roman" w:cs="Times New Roman"/>
        <w:sz w:val="20"/>
      </w:rPr>
      <w:instrText xml:space="preserve"> page </w:instrText>
    </w:r>
    <w:r w:rsidRPr="000A44BA">
      <w:rPr>
        <w:rFonts w:ascii="Times New Roman" w:hAnsi="Times New Roman" w:cs="Times New Roman"/>
        <w:sz w:val="20"/>
      </w:rPr>
      <w:fldChar w:fldCharType="separate"/>
    </w:r>
    <w:r w:rsidR="00B735B3">
      <w:rPr>
        <w:rFonts w:ascii="Times New Roman" w:hAnsi="Times New Roman" w:cs="Times New Roman"/>
        <w:noProof/>
        <w:sz w:val="20"/>
      </w:rPr>
      <w:t>1</w:t>
    </w:r>
    <w:r w:rsidRPr="000A44B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B3" w:rsidRPr="000A44BA" w:rsidRDefault="00AD29BF" w:rsidP="000A44BA">
    <w:pPr>
      <w:bidi w:val="0"/>
      <w:spacing w:after="0" w:line="240" w:lineRule="auto"/>
      <w:jc w:val="center"/>
      <w:rPr>
        <w:rFonts w:ascii="Times New Roman" w:hAnsi="Times New Roman" w:cs="Times New Roman"/>
        <w:sz w:val="20"/>
      </w:rPr>
    </w:pPr>
    <w:r w:rsidRPr="000A44BA">
      <w:rPr>
        <w:rFonts w:ascii="Times New Roman" w:hAnsi="Times New Roman" w:cs="Times New Roman"/>
        <w:sz w:val="20"/>
      </w:rPr>
      <w:fldChar w:fldCharType="begin"/>
    </w:r>
    <w:r w:rsidR="00601EB3" w:rsidRPr="000A44BA">
      <w:rPr>
        <w:rFonts w:ascii="Times New Roman" w:hAnsi="Times New Roman" w:cs="Times New Roman"/>
        <w:sz w:val="20"/>
      </w:rPr>
      <w:instrText xml:space="preserve"> page </w:instrText>
    </w:r>
    <w:r w:rsidRPr="000A44BA">
      <w:rPr>
        <w:rFonts w:ascii="Times New Roman" w:hAnsi="Times New Roman" w:cs="Times New Roman"/>
        <w:sz w:val="20"/>
      </w:rPr>
      <w:fldChar w:fldCharType="separate"/>
    </w:r>
    <w:r w:rsidR="00601EB3">
      <w:rPr>
        <w:rFonts w:ascii="Times New Roman" w:hAnsi="Times New Roman" w:cs="Times New Roman"/>
        <w:noProof/>
        <w:sz w:val="20"/>
      </w:rPr>
      <w:t>1</w:t>
    </w:r>
    <w:r w:rsidRPr="000A44B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EB3" w:rsidRDefault="00601EB3" w:rsidP="009B3960">
      <w:pPr>
        <w:spacing w:after="0" w:line="240" w:lineRule="auto"/>
      </w:pPr>
      <w:r>
        <w:separator/>
      </w:r>
    </w:p>
  </w:footnote>
  <w:footnote w:type="continuationSeparator" w:id="0">
    <w:p w:rsidR="00601EB3" w:rsidRDefault="00601EB3" w:rsidP="009B3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B3" w:rsidRPr="000A44BA" w:rsidRDefault="00601EB3" w:rsidP="000A44B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A44BA">
      <w:rPr>
        <w:rFonts w:ascii="Times New Roman" w:hAnsi="Times New Roman" w:cs="Times New Roman" w:hint="eastAsia"/>
        <w:iCs/>
        <w:color w:val="000000"/>
        <w:sz w:val="20"/>
      </w:rPr>
      <w:tab/>
    </w:r>
    <w:r w:rsidRPr="000A44BA">
      <w:rPr>
        <w:rFonts w:ascii="Times New Roman" w:hAnsi="Times New Roman" w:cs="Times New Roman"/>
        <w:iCs/>
        <w:color w:val="000000"/>
        <w:sz w:val="20"/>
      </w:rPr>
      <w:t xml:space="preserve">Cancer Biology </w:t>
    </w:r>
    <w:r w:rsidRPr="000A44BA">
      <w:rPr>
        <w:rFonts w:ascii="Times New Roman" w:hAnsi="Times New Roman" w:cs="Times New Roman"/>
        <w:iCs/>
        <w:sz w:val="20"/>
      </w:rPr>
      <w:t>201</w:t>
    </w:r>
    <w:r w:rsidRPr="000A44BA">
      <w:rPr>
        <w:rFonts w:ascii="Times New Roman" w:hAnsi="Times New Roman" w:cs="Times New Roman" w:hint="eastAsia"/>
        <w:iCs/>
        <w:sz w:val="20"/>
      </w:rPr>
      <w:t>6</w:t>
    </w:r>
    <w:r w:rsidRPr="000A44BA">
      <w:rPr>
        <w:rFonts w:ascii="Times New Roman" w:hAnsi="Times New Roman" w:cs="Times New Roman"/>
        <w:iCs/>
        <w:sz w:val="20"/>
      </w:rPr>
      <w:t>;</w:t>
    </w:r>
    <w:r w:rsidRPr="000A44BA">
      <w:rPr>
        <w:rFonts w:ascii="Times New Roman" w:hAnsi="Times New Roman" w:cs="Times New Roman" w:hint="eastAsia"/>
        <w:iCs/>
        <w:sz w:val="20"/>
      </w:rPr>
      <w:t>6</w:t>
    </w:r>
    <w:r w:rsidRPr="000A44BA">
      <w:rPr>
        <w:rFonts w:ascii="Times New Roman" w:hAnsi="Times New Roman" w:cs="Times New Roman"/>
        <w:iCs/>
        <w:sz w:val="20"/>
      </w:rPr>
      <w:t>(</w:t>
    </w:r>
    <w:r w:rsidRPr="000A44BA">
      <w:rPr>
        <w:rFonts w:ascii="Times New Roman" w:hAnsi="Times New Roman" w:cs="Times New Roman" w:hint="eastAsia"/>
        <w:iCs/>
        <w:sz w:val="20"/>
      </w:rPr>
      <w:t>3</w:t>
    </w:r>
    <w:r w:rsidRPr="000A44BA">
      <w:rPr>
        <w:rFonts w:ascii="Times New Roman" w:hAnsi="Times New Roman" w:cs="Times New Roman"/>
        <w:iCs/>
        <w:sz w:val="20"/>
      </w:rPr>
      <w:t xml:space="preserve">)  </w:t>
    </w:r>
    <w:r w:rsidRPr="000A44BA">
      <w:rPr>
        <w:rFonts w:ascii="Times New Roman" w:hAnsi="Times New Roman" w:cs="Times New Roman" w:hint="eastAsia"/>
        <w:iCs/>
        <w:sz w:val="20"/>
      </w:rPr>
      <w:t xml:space="preserve">   </w:t>
    </w:r>
    <w:r w:rsidRPr="000A44BA">
      <w:rPr>
        <w:rFonts w:ascii="Times New Roman" w:hAnsi="Times New Roman" w:cs="Times New Roman" w:hint="eastAsia"/>
        <w:iCs/>
        <w:sz w:val="20"/>
      </w:rPr>
      <w:tab/>
      <w:t xml:space="preserve">     </w:t>
    </w:r>
    <w:r w:rsidRPr="000A44BA">
      <w:rPr>
        <w:rFonts w:ascii="Times New Roman" w:hAnsi="Times New Roman" w:cs="Times New Roman"/>
        <w:iCs/>
        <w:sz w:val="20"/>
      </w:rPr>
      <w:t xml:space="preserve"> </w:t>
    </w:r>
    <w:r w:rsidRPr="000A44BA">
      <w:rPr>
        <w:rFonts w:ascii="Times New Roman" w:hAnsi="Times New Roman" w:cs="Times New Roman"/>
        <w:sz w:val="20"/>
      </w:rPr>
      <w:t xml:space="preserve">  </w:t>
    </w:r>
    <w:hyperlink r:id="rId1" w:history="1">
      <w:r w:rsidRPr="000A44BA">
        <w:rPr>
          <w:rStyle w:val="Hyperlink"/>
          <w:rFonts w:ascii="Times New Roman" w:hAnsi="Times New Roman" w:cs="Times New Roman"/>
          <w:sz w:val="20"/>
        </w:rPr>
        <w:t>http://www.cancerbio.net</w:t>
      </w:r>
    </w:hyperlink>
  </w:p>
  <w:p w:rsidR="00601EB3" w:rsidRPr="000A44BA" w:rsidRDefault="00601EB3" w:rsidP="000A44B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B3" w:rsidRPr="000A44BA" w:rsidRDefault="00601EB3" w:rsidP="000A44B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A44BA">
      <w:rPr>
        <w:rFonts w:ascii="Times New Roman" w:hAnsi="Times New Roman" w:cs="Times New Roman" w:hint="eastAsia"/>
        <w:iCs/>
        <w:color w:val="000000"/>
        <w:sz w:val="20"/>
      </w:rPr>
      <w:tab/>
    </w:r>
    <w:r w:rsidRPr="000A44BA">
      <w:rPr>
        <w:rFonts w:ascii="Times New Roman" w:hAnsi="Times New Roman" w:cs="Times New Roman"/>
        <w:iCs/>
        <w:color w:val="000000"/>
        <w:sz w:val="20"/>
      </w:rPr>
      <w:t xml:space="preserve">Cancer Biology </w:t>
    </w:r>
    <w:r w:rsidRPr="000A44BA">
      <w:rPr>
        <w:rFonts w:ascii="Times New Roman" w:hAnsi="Times New Roman" w:cs="Times New Roman"/>
        <w:iCs/>
        <w:sz w:val="20"/>
      </w:rPr>
      <w:t>201</w:t>
    </w:r>
    <w:r w:rsidRPr="000A44BA">
      <w:rPr>
        <w:rFonts w:ascii="Times New Roman" w:hAnsi="Times New Roman" w:cs="Times New Roman" w:hint="eastAsia"/>
        <w:iCs/>
        <w:sz w:val="20"/>
      </w:rPr>
      <w:t>6</w:t>
    </w:r>
    <w:r w:rsidRPr="000A44BA">
      <w:rPr>
        <w:rFonts w:ascii="Times New Roman" w:hAnsi="Times New Roman" w:cs="Times New Roman"/>
        <w:iCs/>
        <w:sz w:val="20"/>
      </w:rPr>
      <w:t>;</w:t>
    </w:r>
    <w:r w:rsidRPr="000A44BA">
      <w:rPr>
        <w:rFonts w:ascii="Times New Roman" w:hAnsi="Times New Roman" w:cs="Times New Roman" w:hint="eastAsia"/>
        <w:iCs/>
        <w:sz w:val="20"/>
      </w:rPr>
      <w:t>6</w:t>
    </w:r>
    <w:r w:rsidRPr="000A44BA">
      <w:rPr>
        <w:rFonts w:ascii="Times New Roman" w:hAnsi="Times New Roman" w:cs="Times New Roman"/>
        <w:iCs/>
        <w:sz w:val="20"/>
      </w:rPr>
      <w:t>(</w:t>
    </w:r>
    <w:r w:rsidRPr="000A44BA">
      <w:rPr>
        <w:rFonts w:ascii="Times New Roman" w:hAnsi="Times New Roman" w:cs="Times New Roman" w:hint="eastAsia"/>
        <w:iCs/>
        <w:sz w:val="20"/>
      </w:rPr>
      <w:t>3</w:t>
    </w:r>
    <w:r w:rsidRPr="000A44BA">
      <w:rPr>
        <w:rFonts w:ascii="Times New Roman" w:hAnsi="Times New Roman" w:cs="Times New Roman"/>
        <w:iCs/>
        <w:sz w:val="20"/>
      </w:rPr>
      <w:t xml:space="preserve">)  </w:t>
    </w:r>
    <w:r w:rsidRPr="000A44BA">
      <w:rPr>
        <w:rFonts w:ascii="Times New Roman" w:hAnsi="Times New Roman" w:cs="Times New Roman" w:hint="eastAsia"/>
        <w:iCs/>
        <w:sz w:val="20"/>
      </w:rPr>
      <w:t xml:space="preserve">   </w:t>
    </w:r>
    <w:r w:rsidRPr="000A44BA">
      <w:rPr>
        <w:rFonts w:ascii="Times New Roman" w:hAnsi="Times New Roman" w:cs="Times New Roman" w:hint="eastAsia"/>
        <w:iCs/>
        <w:sz w:val="20"/>
      </w:rPr>
      <w:tab/>
      <w:t xml:space="preserve">     </w:t>
    </w:r>
    <w:r w:rsidRPr="000A44BA">
      <w:rPr>
        <w:rFonts w:ascii="Times New Roman" w:hAnsi="Times New Roman" w:cs="Times New Roman"/>
        <w:iCs/>
        <w:sz w:val="20"/>
      </w:rPr>
      <w:t xml:space="preserve"> </w:t>
    </w:r>
    <w:r w:rsidRPr="000A44BA">
      <w:rPr>
        <w:rFonts w:ascii="Times New Roman" w:hAnsi="Times New Roman" w:cs="Times New Roman"/>
        <w:sz w:val="20"/>
      </w:rPr>
      <w:t xml:space="preserve">  </w:t>
    </w:r>
    <w:hyperlink r:id="rId1" w:history="1">
      <w:r w:rsidRPr="000A44BA">
        <w:rPr>
          <w:rStyle w:val="Hyperlink"/>
          <w:rFonts w:ascii="Times New Roman" w:hAnsi="Times New Roman" w:cs="Times New Roman"/>
          <w:sz w:val="20"/>
        </w:rPr>
        <w:t>http://www.cancerbio.net</w:t>
      </w:r>
    </w:hyperlink>
  </w:p>
  <w:p w:rsidR="00601EB3" w:rsidRPr="000A44BA" w:rsidRDefault="00601EB3" w:rsidP="000A44B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5E79"/>
    <w:multiLevelType w:val="hybridMultilevel"/>
    <w:tmpl w:val="493E522A"/>
    <w:lvl w:ilvl="0" w:tplc="F044E91C">
      <w:start w:val="1"/>
      <w:numFmt w:val="bullet"/>
      <w:lvlText w:val=""/>
      <w:lvlJc w:val="left"/>
      <w:pPr>
        <w:ind w:left="63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6EAD"/>
    <w:multiLevelType w:val="hybridMultilevel"/>
    <w:tmpl w:val="78A826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782503"/>
    <w:multiLevelType w:val="hybridMultilevel"/>
    <w:tmpl w:val="CA2EC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E859B2"/>
    <w:multiLevelType w:val="hybridMultilevel"/>
    <w:tmpl w:val="F230A4F0"/>
    <w:lvl w:ilvl="0" w:tplc="04090003">
      <w:start w:val="1"/>
      <w:numFmt w:val="bullet"/>
      <w:lvlText w:val="o"/>
      <w:lvlJc w:val="left"/>
      <w:pPr>
        <w:ind w:left="769" w:hanging="360"/>
      </w:pPr>
      <w:rPr>
        <w:rFonts w:ascii="Courier New" w:hAnsi="Courier New" w:cs="Courier New"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nsid w:val="1DD52920"/>
    <w:multiLevelType w:val="hybridMultilevel"/>
    <w:tmpl w:val="2FDC5B0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259562F"/>
    <w:multiLevelType w:val="hybridMultilevel"/>
    <w:tmpl w:val="0D283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3DA1E8B"/>
    <w:multiLevelType w:val="hybridMultilevel"/>
    <w:tmpl w:val="D988D0E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BD6B01"/>
    <w:multiLevelType w:val="hybridMultilevel"/>
    <w:tmpl w:val="CABC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C2172"/>
    <w:multiLevelType w:val="hybridMultilevel"/>
    <w:tmpl w:val="5F6C0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804CC"/>
    <w:multiLevelType w:val="hybridMultilevel"/>
    <w:tmpl w:val="B9543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738B4"/>
    <w:multiLevelType w:val="hybridMultilevel"/>
    <w:tmpl w:val="7F4A970C"/>
    <w:lvl w:ilvl="0" w:tplc="028281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833AF"/>
    <w:multiLevelType w:val="hybridMultilevel"/>
    <w:tmpl w:val="F3D8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32624"/>
    <w:multiLevelType w:val="hybridMultilevel"/>
    <w:tmpl w:val="817E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2F6F31"/>
    <w:multiLevelType w:val="hybridMultilevel"/>
    <w:tmpl w:val="161E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E66B1"/>
    <w:multiLevelType w:val="hybridMultilevel"/>
    <w:tmpl w:val="7A78B00C"/>
    <w:lvl w:ilvl="0" w:tplc="F044E91C">
      <w:start w:val="1"/>
      <w:numFmt w:val="bullet"/>
      <w:lvlText w:val=""/>
      <w:lvlJc w:val="left"/>
      <w:pPr>
        <w:ind w:left="360" w:hanging="360"/>
      </w:pPr>
      <w:rPr>
        <w:rFonts w:ascii="Wingdings" w:hAnsi="Wingdings" w:hint="default"/>
        <w:sz w:val="24"/>
      </w:rPr>
    </w:lvl>
    <w:lvl w:ilvl="1" w:tplc="33AA7C82">
      <w:start w:val="2"/>
      <w:numFmt w:val="bullet"/>
      <w:lvlText w:val="•"/>
      <w:lvlJc w:val="left"/>
      <w:pPr>
        <w:ind w:left="1440" w:hanging="360"/>
      </w:pPr>
      <w:rPr>
        <w:rFonts w:ascii="Times New Roman" w:eastAsia="Calibri" w:hAnsi="Times New Roman" w:cs="Times New Roman" w:hint="default"/>
      </w:rPr>
    </w:lvl>
    <w:lvl w:ilvl="2" w:tplc="3B3487D4">
      <w:start w:val="2"/>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717BC"/>
    <w:multiLevelType w:val="hybridMultilevel"/>
    <w:tmpl w:val="440C02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D2F3889"/>
    <w:multiLevelType w:val="hybridMultilevel"/>
    <w:tmpl w:val="3F1A2D66"/>
    <w:lvl w:ilvl="0" w:tplc="F044E91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1698A"/>
    <w:multiLevelType w:val="hybridMultilevel"/>
    <w:tmpl w:val="2320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C4281B"/>
    <w:multiLevelType w:val="hybridMultilevel"/>
    <w:tmpl w:val="3BBA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1D0BD8"/>
    <w:multiLevelType w:val="hybridMultilevel"/>
    <w:tmpl w:val="532AEAF4"/>
    <w:lvl w:ilvl="0" w:tplc="1E146306">
      <w:start w:val="1"/>
      <w:numFmt w:val="decimal"/>
      <w:lvlText w:val="%1-"/>
      <w:lvlJc w:val="left"/>
      <w:pPr>
        <w:ind w:left="720" w:hanging="360"/>
      </w:pPr>
      <w:rPr>
        <w:rFonts w:asciiTheme="minorHAnsi" w:eastAsia="Calibr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543BE"/>
    <w:multiLevelType w:val="hybridMultilevel"/>
    <w:tmpl w:val="2282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171E9B"/>
    <w:multiLevelType w:val="hybridMultilevel"/>
    <w:tmpl w:val="07547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E6712E"/>
    <w:multiLevelType w:val="hybridMultilevel"/>
    <w:tmpl w:val="5B262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16"/>
  </w:num>
  <w:num w:numId="7">
    <w:abstractNumId w:val="3"/>
  </w:num>
  <w:num w:numId="8">
    <w:abstractNumId w:val="0"/>
  </w:num>
  <w:num w:numId="9">
    <w:abstractNumId w:val="14"/>
  </w:num>
  <w:num w:numId="10">
    <w:abstractNumId w:val="13"/>
  </w:num>
  <w:num w:numId="11">
    <w:abstractNumId w:val="11"/>
  </w:num>
  <w:num w:numId="12">
    <w:abstractNumId w:val="8"/>
  </w:num>
  <w:num w:numId="13">
    <w:abstractNumId w:val="22"/>
  </w:num>
  <w:num w:numId="14">
    <w:abstractNumId w:val="7"/>
  </w:num>
  <w:num w:numId="15">
    <w:abstractNumId w:val="18"/>
  </w:num>
  <w:num w:numId="16">
    <w:abstractNumId w:val="9"/>
  </w:num>
  <w:num w:numId="17">
    <w:abstractNumId w:val="2"/>
  </w:num>
  <w:num w:numId="18">
    <w:abstractNumId w:val="1"/>
  </w:num>
  <w:num w:numId="19">
    <w:abstractNumId w:val="17"/>
  </w:num>
  <w:num w:numId="20">
    <w:abstractNumId w:val="12"/>
  </w:num>
  <w:num w:numId="21">
    <w:abstractNumId w:val="19"/>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2C6955"/>
    <w:rsid w:val="00000593"/>
    <w:rsid w:val="00005677"/>
    <w:rsid w:val="000118FC"/>
    <w:rsid w:val="00012480"/>
    <w:rsid w:val="00014EF6"/>
    <w:rsid w:val="00016CFB"/>
    <w:rsid w:val="00021790"/>
    <w:rsid w:val="0003023A"/>
    <w:rsid w:val="00031EE7"/>
    <w:rsid w:val="00033B93"/>
    <w:rsid w:val="000431AA"/>
    <w:rsid w:val="00044375"/>
    <w:rsid w:val="00046361"/>
    <w:rsid w:val="00050239"/>
    <w:rsid w:val="000532CC"/>
    <w:rsid w:val="000576D6"/>
    <w:rsid w:val="0006081B"/>
    <w:rsid w:val="0006649A"/>
    <w:rsid w:val="00071570"/>
    <w:rsid w:val="000719ED"/>
    <w:rsid w:val="00073D89"/>
    <w:rsid w:val="00074BD8"/>
    <w:rsid w:val="000763DB"/>
    <w:rsid w:val="0008446B"/>
    <w:rsid w:val="0008554F"/>
    <w:rsid w:val="00087124"/>
    <w:rsid w:val="000912AF"/>
    <w:rsid w:val="00091FBF"/>
    <w:rsid w:val="000962D5"/>
    <w:rsid w:val="000A2ADE"/>
    <w:rsid w:val="000A44BA"/>
    <w:rsid w:val="000A51CE"/>
    <w:rsid w:val="000B13DD"/>
    <w:rsid w:val="000B4641"/>
    <w:rsid w:val="000C0433"/>
    <w:rsid w:val="000C156A"/>
    <w:rsid w:val="000C2569"/>
    <w:rsid w:val="000C41A0"/>
    <w:rsid w:val="000C571F"/>
    <w:rsid w:val="000C5A8A"/>
    <w:rsid w:val="000C68E9"/>
    <w:rsid w:val="000D1DFB"/>
    <w:rsid w:val="000D2DE1"/>
    <w:rsid w:val="000D34F5"/>
    <w:rsid w:val="000D42A7"/>
    <w:rsid w:val="000D756F"/>
    <w:rsid w:val="000D7B49"/>
    <w:rsid w:val="000E263B"/>
    <w:rsid w:val="000E4B6C"/>
    <w:rsid w:val="000E5E4F"/>
    <w:rsid w:val="000F3092"/>
    <w:rsid w:val="000F5441"/>
    <w:rsid w:val="00100F2D"/>
    <w:rsid w:val="00103518"/>
    <w:rsid w:val="001049F7"/>
    <w:rsid w:val="001063DB"/>
    <w:rsid w:val="001105F4"/>
    <w:rsid w:val="00114351"/>
    <w:rsid w:val="0011513F"/>
    <w:rsid w:val="00115FEA"/>
    <w:rsid w:val="00116BBE"/>
    <w:rsid w:val="001173F0"/>
    <w:rsid w:val="001174A9"/>
    <w:rsid w:val="0012172F"/>
    <w:rsid w:val="001225DC"/>
    <w:rsid w:val="0012285D"/>
    <w:rsid w:val="0012390A"/>
    <w:rsid w:val="00126E05"/>
    <w:rsid w:val="0013024A"/>
    <w:rsid w:val="00130B21"/>
    <w:rsid w:val="00132AAA"/>
    <w:rsid w:val="001342A6"/>
    <w:rsid w:val="001356D3"/>
    <w:rsid w:val="00141295"/>
    <w:rsid w:val="0014559F"/>
    <w:rsid w:val="001535CB"/>
    <w:rsid w:val="00154A51"/>
    <w:rsid w:val="00156DBA"/>
    <w:rsid w:val="00157518"/>
    <w:rsid w:val="001603C3"/>
    <w:rsid w:val="00164B49"/>
    <w:rsid w:val="001716CD"/>
    <w:rsid w:val="00174889"/>
    <w:rsid w:val="00176840"/>
    <w:rsid w:val="00177A2F"/>
    <w:rsid w:val="00180385"/>
    <w:rsid w:val="0018050D"/>
    <w:rsid w:val="00180991"/>
    <w:rsid w:val="001843CF"/>
    <w:rsid w:val="0018551D"/>
    <w:rsid w:val="00191461"/>
    <w:rsid w:val="001918D3"/>
    <w:rsid w:val="0019221A"/>
    <w:rsid w:val="00196248"/>
    <w:rsid w:val="00197862"/>
    <w:rsid w:val="001A11E3"/>
    <w:rsid w:val="001A4907"/>
    <w:rsid w:val="001C1E1A"/>
    <w:rsid w:val="001C4E99"/>
    <w:rsid w:val="001C6934"/>
    <w:rsid w:val="001C7B20"/>
    <w:rsid w:val="001D718E"/>
    <w:rsid w:val="001D73A5"/>
    <w:rsid w:val="001E4808"/>
    <w:rsid w:val="001E4B7D"/>
    <w:rsid w:val="001E573B"/>
    <w:rsid w:val="001E5C16"/>
    <w:rsid w:val="001F40E2"/>
    <w:rsid w:val="001F4F95"/>
    <w:rsid w:val="001F63B1"/>
    <w:rsid w:val="001F6BAC"/>
    <w:rsid w:val="002012AB"/>
    <w:rsid w:val="0020267D"/>
    <w:rsid w:val="002078C2"/>
    <w:rsid w:val="0021102B"/>
    <w:rsid w:val="00211F60"/>
    <w:rsid w:val="00212A06"/>
    <w:rsid w:val="0021366F"/>
    <w:rsid w:val="00215B3B"/>
    <w:rsid w:val="00215CE7"/>
    <w:rsid w:val="00216202"/>
    <w:rsid w:val="00216DA7"/>
    <w:rsid w:val="00220F5E"/>
    <w:rsid w:val="00222DC9"/>
    <w:rsid w:val="002238B4"/>
    <w:rsid w:val="002248C4"/>
    <w:rsid w:val="00232AE7"/>
    <w:rsid w:val="00237DBA"/>
    <w:rsid w:val="0024233B"/>
    <w:rsid w:val="00246904"/>
    <w:rsid w:val="002509E0"/>
    <w:rsid w:val="0025140F"/>
    <w:rsid w:val="00253723"/>
    <w:rsid w:val="00254C9D"/>
    <w:rsid w:val="00255AF7"/>
    <w:rsid w:val="00255DC4"/>
    <w:rsid w:val="00255ECE"/>
    <w:rsid w:val="0026119B"/>
    <w:rsid w:val="00262297"/>
    <w:rsid w:val="002637CE"/>
    <w:rsid w:val="002679F2"/>
    <w:rsid w:val="00272045"/>
    <w:rsid w:val="002746B7"/>
    <w:rsid w:val="00275C01"/>
    <w:rsid w:val="00286121"/>
    <w:rsid w:val="0029189B"/>
    <w:rsid w:val="00291F3C"/>
    <w:rsid w:val="00292247"/>
    <w:rsid w:val="002A030D"/>
    <w:rsid w:val="002A2FC2"/>
    <w:rsid w:val="002A3696"/>
    <w:rsid w:val="002A6C33"/>
    <w:rsid w:val="002B1C71"/>
    <w:rsid w:val="002B37BA"/>
    <w:rsid w:val="002B45A7"/>
    <w:rsid w:val="002B5E20"/>
    <w:rsid w:val="002C0F23"/>
    <w:rsid w:val="002C1066"/>
    <w:rsid w:val="002C47B2"/>
    <w:rsid w:val="002C5518"/>
    <w:rsid w:val="002C6955"/>
    <w:rsid w:val="002C6A25"/>
    <w:rsid w:val="002D18A2"/>
    <w:rsid w:val="002D5C98"/>
    <w:rsid w:val="002D65DE"/>
    <w:rsid w:val="002E301A"/>
    <w:rsid w:val="002E3E84"/>
    <w:rsid w:val="002E3EF8"/>
    <w:rsid w:val="002E4E52"/>
    <w:rsid w:val="002E5CDE"/>
    <w:rsid w:val="002E73E2"/>
    <w:rsid w:val="002F3148"/>
    <w:rsid w:val="002F56A6"/>
    <w:rsid w:val="002F7FD2"/>
    <w:rsid w:val="00300951"/>
    <w:rsid w:val="00301A7D"/>
    <w:rsid w:val="00301BC3"/>
    <w:rsid w:val="00301DFB"/>
    <w:rsid w:val="00305D9C"/>
    <w:rsid w:val="00312377"/>
    <w:rsid w:val="00313D0F"/>
    <w:rsid w:val="00321D70"/>
    <w:rsid w:val="00321DFC"/>
    <w:rsid w:val="00333962"/>
    <w:rsid w:val="003345B1"/>
    <w:rsid w:val="00335482"/>
    <w:rsid w:val="00341DB7"/>
    <w:rsid w:val="00343DF8"/>
    <w:rsid w:val="00346A5B"/>
    <w:rsid w:val="0035151D"/>
    <w:rsid w:val="00351B80"/>
    <w:rsid w:val="0036425F"/>
    <w:rsid w:val="0036697A"/>
    <w:rsid w:val="003721CD"/>
    <w:rsid w:val="00377A62"/>
    <w:rsid w:val="003840B4"/>
    <w:rsid w:val="003878F7"/>
    <w:rsid w:val="003938F2"/>
    <w:rsid w:val="00394627"/>
    <w:rsid w:val="00394BDF"/>
    <w:rsid w:val="00395FCD"/>
    <w:rsid w:val="003A6F44"/>
    <w:rsid w:val="003B39A5"/>
    <w:rsid w:val="003B5892"/>
    <w:rsid w:val="003B5FE7"/>
    <w:rsid w:val="003C1477"/>
    <w:rsid w:val="003C26CF"/>
    <w:rsid w:val="003C6894"/>
    <w:rsid w:val="003D0394"/>
    <w:rsid w:val="003D0D86"/>
    <w:rsid w:val="003D15FE"/>
    <w:rsid w:val="003D3F14"/>
    <w:rsid w:val="003D6D09"/>
    <w:rsid w:val="003E75A8"/>
    <w:rsid w:val="003F4865"/>
    <w:rsid w:val="003F5FD9"/>
    <w:rsid w:val="003F6711"/>
    <w:rsid w:val="003F76FE"/>
    <w:rsid w:val="00401EBD"/>
    <w:rsid w:val="0040414D"/>
    <w:rsid w:val="0040477B"/>
    <w:rsid w:val="00411A97"/>
    <w:rsid w:val="00415E54"/>
    <w:rsid w:val="004201AE"/>
    <w:rsid w:val="00431B0E"/>
    <w:rsid w:val="00431CE5"/>
    <w:rsid w:val="00431E9D"/>
    <w:rsid w:val="004324B4"/>
    <w:rsid w:val="00432DEC"/>
    <w:rsid w:val="00433B3D"/>
    <w:rsid w:val="00434D79"/>
    <w:rsid w:val="004431B2"/>
    <w:rsid w:val="0044473A"/>
    <w:rsid w:val="00444B7D"/>
    <w:rsid w:val="0044760B"/>
    <w:rsid w:val="00447908"/>
    <w:rsid w:val="004512C9"/>
    <w:rsid w:val="004563D3"/>
    <w:rsid w:val="00456E04"/>
    <w:rsid w:val="004666B5"/>
    <w:rsid w:val="00476EA3"/>
    <w:rsid w:val="00482FF6"/>
    <w:rsid w:val="004839D4"/>
    <w:rsid w:val="00484A05"/>
    <w:rsid w:val="00492A91"/>
    <w:rsid w:val="00492F12"/>
    <w:rsid w:val="004936D3"/>
    <w:rsid w:val="004A47EE"/>
    <w:rsid w:val="004A53A6"/>
    <w:rsid w:val="004A7CA7"/>
    <w:rsid w:val="004A7D41"/>
    <w:rsid w:val="004B36C0"/>
    <w:rsid w:val="004B5181"/>
    <w:rsid w:val="004B6AEA"/>
    <w:rsid w:val="004B7177"/>
    <w:rsid w:val="004C1A13"/>
    <w:rsid w:val="004C5854"/>
    <w:rsid w:val="004C5967"/>
    <w:rsid w:val="004D0AB3"/>
    <w:rsid w:val="004D306F"/>
    <w:rsid w:val="004D6970"/>
    <w:rsid w:val="004D6C44"/>
    <w:rsid w:val="004E5565"/>
    <w:rsid w:val="004F0947"/>
    <w:rsid w:val="004F2588"/>
    <w:rsid w:val="004F4B4B"/>
    <w:rsid w:val="0050017B"/>
    <w:rsid w:val="005014F0"/>
    <w:rsid w:val="00501F40"/>
    <w:rsid w:val="00502403"/>
    <w:rsid w:val="00503B91"/>
    <w:rsid w:val="00505A97"/>
    <w:rsid w:val="00506962"/>
    <w:rsid w:val="00510E64"/>
    <w:rsid w:val="0051477F"/>
    <w:rsid w:val="005156C8"/>
    <w:rsid w:val="00515882"/>
    <w:rsid w:val="00522E47"/>
    <w:rsid w:val="0052329F"/>
    <w:rsid w:val="0052657D"/>
    <w:rsid w:val="00527334"/>
    <w:rsid w:val="00533335"/>
    <w:rsid w:val="00533CFF"/>
    <w:rsid w:val="005361F8"/>
    <w:rsid w:val="00543429"/>
    <w:rsid w:val="00544114"/>
    <w:rsid w:val="00544D63"/>
    <w:rsid w:val="00547249"/>
    <w:rsid w:val="0055100D"/>
    <w:rsid w:val="00560362"/>
    <w:rsid w:val="00566962"/>
    <w:rsid w:val="00570413"/>
    <w:rsid w:val="005707F2"/>
    <w:rsid w:val="00571735"/>
    <w:rsid w:val="00575064"/>
    <w:rsid w:val="00577CE4"/>
    <w:rsid w:val="00580BD2"/>
    <w:rsid w:val="00582BB1"/>
    <w:rsid w:val="00584048"/>
    <w:rsid w:val="005843B1"/>
    <w:rsid w:val="005843F5"/>
    <w:rsid w:val="005863A3"/>
    <w:rsid w:val="00586BEF"/>
    <w:rsid w:val="00591595"/>
    <w:rsid w:val="00591F51"/>
    <w:rsid w:val="005935A9"/>
    <w:rsid w:val="005A01D3"/>
    <w:rsid w:val="005A090A"/>
    <w:rsid w:val="005A3F5C"/>
    <w:rsid w:val="005A7507"/>
    <w:rsid w:val="005A77F7"/>
    <w:rsid w:val="005B5DC5"/>
    <w:rsid w:val="005B623B"/>
    <w:rsid w:val="005C1366"/>
    <w:rsid w:val="005C1C40"/>
    <w:rsid w:val="005C3555"/>
    <w:rsid w:val="005C5C9D"/>
    <w:rsid w:val="005D2C0D"/>
    <w:rsid w:val="005D30DC"/>
    <w:rsid w:val="005D40D6"/>
    <w:rsid w:val="005D6DAE"/>
    <w:rsid w:val="005E33AC"/>
    <w:rsid w:val="005E3C85"/>
    <w:rsid w:val="005E712F"/>
    <w:rsid w:val="005F1394"/>
    <w:rsid w:val="005F189D"/>
    <w:rsid w:val="005F19FC"/>
    <w:rsid w:val="005F20DF"/>
    <w:rsid w:val="005F37C0"/>
    <w:rsid w:val="005F4BC2"/>
    <w:rsid w:val="005F5D12"/>
    <w:rsid w:val="005F69B2"/>
    <w:rsid w:val="005F7D24"/>
    <w:rsid w:val="00601EB3"/>
    <w:rsid w:val="00606787"/>
    <w:rsid w:val="006102E8"/>
    <w:rsid w:val="00627C24"/>
    <w:rsid w:val="006300DE"/>
    <w:rsid w:val="006301C0"/>
    <w:rsid w:val="006320AC"/>
    <w:rsid w:val="00633D89"/>
    <w:rsid w:val="00640E05"/>
    <w:rsid w:val="00645418"/>
    <w:rsid w:val="00647796"/>
    <w:rsid w:val="00651A17"/>
    <w:rsid w:val="00657470"/>
    <w:rsid w:val="00657ACB"/>
    <w:rsid w:val="0066334F"/>
    <w:rsid w:val="00670318"/>
    <w:rsid w:val="00672BEE"/>
    <w:rsid w:val="00674D9E"/>
    <w:rsid w:val="00676045"/>
    <w:rsid w:val="00683712"/>
    <w:rsid w:val="00685533"/>
    <w:rsid w:val="00687D07"/>
    <w:rsid w:val="00693516"/>
    <w:rsid w:val="006945A3"/>
    <w:rsid w:val="006A1A5B"/>
    <w:rsid w:val="006A22C3"/>
    <w:rsid w:val="006A2F69"/>
    <w:rsid w:val="006A31D2"/>
    <w:rsid w:val="006A394E"/>
    <w:rsid w:val="006A3CA3"/>
    <w:rsid w:val="006A6166"/>
    <w:rsid w:val="006B16E3"/>
    <w:rsid w:val="006B4BC1"/>
    <w:rsid w:val="006D1AB1"/>
    <w:rsid w:val="006D4F7E"/>
    <w:rsid w:val="006E26B4"/>
    <w:rsid w:val="006E3B70"/>
    <w:rsid w:val="006F0691"/>
    <w:rsid w:val="0070258E"/>
    <w:rsid w:val="00702860"/>
    <w:rsid w:val="0070403A"/>
    <w:rsid w:val="007040A5"/>
    <w:rsid w:val="007067A0"/>
    <w:rsid w:val="00706FFD"/>
    <w:rsid w:val="00707818"/>
    <w:rsid w:val="007105EA"/>
    <w:rsid w:val="00711D01"/>
    <w:rsid w:val="00712861"/>
    <w:rsid w:val="00715D46"/>
    <w:rsid w:val="00724C3D"/>
    <w:rsid w:val="00724F5B"/>
    <w:rsid w:val="00725B47"/>
    <w:rsid w:val="0072792D"/>
    <w:rsid w:val="00734990"/>
    <w:rsid w:val="00735825"/>
    <w:rsid w:val="00745774"/>
    <w:rsid w:val="0075049B"/>
    <w:rsid w:val="0075057D"/>
    <w:rsid w:val="007514D8"/>
    <w:rsid w:val="007527B8"/>
    <w:rsid w:val="00757822"/>
    <w:rsid w:val="007622D2"/>
    <w:rsid w:val="00762E48"/>
    <w:rsid w:val="00774A44"/>
    <w:rsid w:val="00775006"/>
    <w:rsid w:val="00776514"/>
    <w:rsid w:val="00784673"/>
    <w:rsid w:val="00784B5F"/>
    <w:rsid w:val="0078607C"/>
    <w:rsid w:val="007874C4"/>
    <w:rsid w:val="00787C3B"/>
    <w:rsid w:val="00793C86"/>
    <w:rsid w:val="00797C44"/>
    <w:rsid w:val="007B52BE"/>
    <w:rsid w:val="007C06F0"/>
    <w:rsid w:val="007C10B0"/>
    <w:rsid w:val="007C1D2B"/>
    <w:rsid w:val="007C4FD7"/>
    <w:rsid w:val="007C7358"/>
    <w:rsid w:val="007D04B2"/>
    <w:rsid w:val="007D40F3"/>
    <w:rsid w:val="007D56F7"/>
    <w:rsid w:val="007D5BCD"/>
    <w:rsid w:val="007D5FE1"/>
    <w:rsid w:val="007E3428"/>
    <w:rsid w:val="007E75C3"/>
    <w:rsid w:val="007F075B"/>
    <w:rsid w:val="007F0C80"/>
    <w:rsid w:val="007F37EF"/>
    <w:rsid w:val="007F6AC0"/>
    <w:rsid w:val="00802314"/>
    <w:rsid w:val="00803F0E"/>
    <w:rsid w:val="00804E5C"/>
    <w:rsid w:val="00806456"/>
    <w:rsid w:val="00807860"/>
    <w:rsid w:val="00810C80"/>
    <w:rsid w:val="008135D0"/>
    <w:rsid w:val="008135D2"/>
    <w:rsid w:val="00822488"/>
    <w:rsid w:val="00823394"/>
    <w:rsid w:val="00840231"/>
    <w:rsid w:val="008402DC"/>
    <w:rsid w:val="00840728"/>
    <w:rsid w:val="00846911"/>
    <w:rsid w:val="00852113"/>
    <w:rsid w:val="00856520"/>
    <w:rsid w:val="00857FE1"/>
    <w:rsid w:val="008630A1"/>
    <w:rsid w:val="00871F15"/>
    <w:rsid w:val="00872FFE"/>
    <w:rsid w:val="00874639"/>
    <w:rsid w:val="00876235"/>
    <w:rsid w:val="00877C5D"/>
    <w:rsid w:val="00883140"/>
    <w:rsid w:val="00883896"/>
    <w:rsid w:val="00886B63"/>
    <w:rsid w:val="00887F9B"/>
    <w:rsid w:val="00891D2F"/>
    <w:rsid w:val="008956F6"/>
    <w:rsid w:val="008A4317"/>
    <w:rsid w:val="008A49F8"/>
    <w:rsid w:val="008A6E9F"/>
    <w:rsid w:val="008A76F4"/>
    <w:rsid w:val="008A7BB3"/>
    <w:rsid w:val="008C09A7"/>
    <w:rsid w:val="008C5616"/>
    <w:rsid w:val="008C6DEF"/>
    <w:rsid w:val="008C6E02"/>
    <w:rsid w:val="008C7A84"/>
    <w:rsid w:val="008D024F"/>
    <w:rsid w:val="008D34B4"/>
    <w:rsid w:val="008D38C9"/>
    <w:rsid w:val="008D466D"/>
    <w:rsid w:val="008D561F"/>
    <w:rsid w:val="008E0A14"/>
    <w:rsid w:val="008E0D70"/>
    <w:rsid w:val="008E1629"/>
    <w:rsid w:val="008E1F4B"/>
    <w:rsid w:val="008E3391"/>
    <w:rsid w:val="008F1410"/>
    <w:rsid w:val="008F18C4"/>
    <w:rsid w:val="008F2852"/>
    <w:rsid w:val="008F3EF8"/>
    <w:rsid w:val="008F642E"/>
    <w:rsid w:val="008F64EA"/>
    <w:rsid w:val="009002A5"/>
    <w:rsid w:val="00900D78"/>
    <w:rsid w:val="00901BA0"/>
    <w:rsid w:val="00904904"/>
    <w:rsid w:val="00904A1D"/>
    <w:rsid w:val="00910C90"/>
    <w:rsid w:val="00912D51"/>
    <w:rsid w:val="009148E8"/>
    <w:rsid w:val="00914D43"/>
    <w:rsid w:val="00914E2F"/>
    <w:rsid w:val="00916B49"/>
    <w:rsid w:val="00917EBB"/>
    <w:rsid w:val="009221F0"/>
    <w:rsid w:val="00922A20"/>
    <w:rsid w:val="00925996"/>
    <w:rsid w:val="0092672C"/>
    <w:rsid w:val="00926C53"/>
    <w:rsid w:val="00933F11"/>
    <w:rsid w:val="0093675C"/>
    <w:rsid w:val="00936AC8"/>
    <w:rsid w:val="00936E70"/>
    <w:rsid w:val="00941761"/>
    <w:rsid w:val="00942FA6"/>
    <w:rsid w:val="0095278C"/>
    <w:rsid w:val="009541A8"/>
    <w:rsid w:val="00960CB2"/>
    <w:rsid w:val="0096215D"/>
    <w:rsid w:val="0096419A"/>
    <w:rsid w:val="00965FF6"/>
    <w:rsid w:val="009735C5"/>
    <w:rsid w:val="0097698E"/>
    <w:rsid w:val="0098068C"/>
    <w:rsid w:val="00986A79"/>
    <w:rsid w:val="00987E55"/>
    <w:rsid w:val="00992341"/>
    <w:rsid w:val="0099235D"/>
    <w:rsid w:val="009928D1"/>
    <w:rsid w:val="00993D71"/>
    <w:rsid w:val="00995A6B"/>
    <w:rsid w:val="00995B22"/>
    <w:rsid w:val="00997068"/>
    <w:rsid w:val="009979EB"/>
    <w:rsid w:val="009A0137"/>
    <w:rsid w:val="009A2FA7"/>
    <w:rsid w:val="009A45B6"/>
    <w:rsid w:val="009A700B"/>
    <w:rsid w:val="009A75F6"/>
    <w:rsid w:val="009B30C1"/>
    <w:rsid w:val="009B3960"/>
    <w:rsid w:val="009B406D"/>
    <w:rsid w:val="009B514A"/>
    <w:rsid w:val="009B5B2A"/>
    <w:rsid w:val="009B5F6C"/>
    <w:rsid w:val="009B6921"/>
    <w:rsid w:val="009C1DD8"/>
    <w:rsid w:val="009C2FD4"/>
    <w:rsid w:val="009C3B61"/>
    <w:rsid w:val="009C6379"/>
    <w:rsid w:val="009D0956"/>
    <w:rsid w:val="009D21D9"/>
    <w:rsid w:val="009D3675"/>
    <w:rsid w:val="009E080A"/>
    <w:rsid w:val="009E743C"/>
    <w:rsid w:val="009F19A3"/>
    <w:rsid w:val="009F5F1D"/>
    <w:rsid w:val="009F7FE7"/>
    <w:rsid w:val="00A036AB"/>
    <w:rsid w:val="00A1724A"/>
    <w:rsid w:val="00A2574D"/>
    <w:rsid w:val="00A41F36"/>
    <w:rsid w:val="00A42537"/>
    <w:rsid w:val="00A434B1"/>
    <w:rsid w:val="00A466E0"/>
    <w:rsid w:val="00A52705"/>
    <w:rsid w:val="00A66A95"/>
    <w:rsid w:val="00A67EFA"/>
    <w:rsid w:val="00A7249D"/>
    <w:rsid w:val="00A87D2C"/>
    <w:rsid w:val="00A9060A"/>
    <w:rsid w:val="00A91677"/>
    <w:rsid w:val="00A91B98"/>
    <w:rsid w:val="00A9690B"/>
    <w:rsid w:val="00AA6A5D"/>
    <w:rsid w:val="00AA7FB9"/>
    <w:rsid w:val="00AB1D4A"/>
    <w:rsid w:val="00AB6DC5"/>
    <w:rsid w:val="00AB71CC"/>
    <w:rsid w:val="00AC043D"/>
    <w:rsid w:val="00AC184C"/>
    <w:rsid w:val="00AC5152"/>
    <w:rsid w:val="00AD29BF"/>
    <w:rsid w:val="00AD512E"/>
    <w:rsid w:val="00AD6BC0"/>
    <w:rsid w:val="00AE0519"/>
    <w:rsid w:val="00AE2563"/>
    <w:rsid w:val="00AE4315"/>
    <w:rsid w:val="00AE56C4"/>
    <w:rsid w:val="00AE5EC4"/>
    <w:rsid w:val="00AF0F6F"/>
    <w:rsid w:val="00AF2F04"/>
    <w:rsid w:val="00AF3201"/>
    <w:rsid w:val="00AF69EE"/>
    <w:rsid w:val="00AF70FE"/>
    <w:rsid w:val="00B00A87"/>
    <w:rsid w:val="00B0150C"/>
    <w:rsid w:val="00B02F54"/>
    <w:rsid w:val="00B06525"/>
    <w:rsid w:val="00B131D4"/>
    <w:rsid w:val="00B144A9"/>
    <w:rsid w:val="00B15EAB"/>
    <w:rsid w:val="00B25372"/>
    <w:rsid w:val="00B25981"/>
    <w:rsid w:val="00B2656D"/>
    <w:rsid w:val="00B2697C"/>
    <w:rsid w:val="00B305B5"/>
    <w:rsid w:val="00B3078C"/>
    <w:rsid w:val="00B30B9E"/>
    <w:rsid w:val="00B342ED"/>
    <w:rsid w:val="00B358E2"/>
    <w:rsid w:val="00B4276D"/>
    <w:rsid w:val="00B44C0B"/>
    <w:rsid w:val="00B5054E"/>
    <w:rsid w:val="00B51D17"/>
    <w:rsid w:val="00B5218A"/>
    <w:rsid w:val="00B571A8"/>
    <w:rsid w:val="00B62DF3"/>
    <w:rsid w:val="00B66457"/>
    <w:rsid w:val="00B67EA3"/>
    <w:rsid w:val="00B735B3"/>
    <w:rsid w:val="00B7443D"/>
    <w:rsid w:val="00B7549B"/>
    <w:rsid w:val="00B80CCE"/>
    <w:rsid w:val="00B810BA"/>
    <w:rsid w:val="00B81C35"/>
    <w:rsid w:val="00B83211"/>
    <w:rsid w:val="00B83485"/>
    <w:rsid w:val="00B8379D"/>
    <w:rsid w:val="00B84D04"/>
    <w:rsid w:val="00B87006"/>
    <w:rsid w:val="00B91E8B"/>
    <w:rsid w:val="00B922E9"/>
    <w:rsid w:val="00B93E7D"/>
    <w:rsid w:val="00B9531A"/>
    <w:rsid w:val="00B97BAF"/>
    <w:rsid w:val="00BA1929"/>
    <w:rsid w:val="00BA598F"/>
    <w:rsid w:val="00BB0B47"/>
    <w:rsid w:val="00BB2668"/>
    <w:rsid w:val="00BC7F0F"/>
    <w:rsid w:val="00BD3DB1"/>
    <w:rsid w:val="00BD3F32"/>
    <w:rsid w:val="00BD78B6"/>
    <w:rsid w:val="00BE2A41"/>
    <w:rsid w:val="00BF19CB"/>
    <w:rsid w:val="00BF4124"/>
    <w:rsid w:val="00BF4329"/>
    <w:rsid w:val="00BF619E"/>
    <w:rsid w:val="00BF793C"/>
    <w:rsid w:val="00BF7BDC"/>
    <w:rsid w:val="00C05CED"/>
    <w:rsid w:val="00C07517"/>
    <w:rsid w:val="00C1126C"/>
    <w:rsid w:val="00C118F2"/>
    <w:rsid w:val="00C12F24"/>
    <w:rsid w:val="00C14C44"/>
    <w:rsid w:val="00C23D3B"/>
    <w:rsid w:val="00C24FA3"/>
    <w:rsid w:val="00C30F53"/>
    <w:rsid w:val="00C3402E"/>
    <w:rsid w:val="00C34A6A"/>
    <w:rsid w:val="00C36361"/>
    <w:rsid w:val="00C43447"/>
    <w:rsid w:val="00C43482"/>
    <w:rsid w:val="00C45B2B"/>
    <w:rsid w:val="00C46AC3"/>
    <w:rsid w:val="00C51473"/>
    <w:rsid w:val="00C52905"/>
    <w:rsid w:val="00C554C5"/>
    <w:rsid w:val="00C65448"/>
    <w:rsid w:val="00C6564E"/>
    <w:rsid w:val="00C67788"/>
    <w:rsid w:val="00C75C60"/>
    <w:rsid w:val="00C8232C"/>
    <w:rsid w:val="00C86371"/>
    <w:rsid w:val="00CA0801"/>
    <w:rsid w:val="00CA487B"/>
    <w:rsid w:val="00CA50F9"/>
    <w:rsid w:val="00CB52CB"/>
    <w:rsid w:val="00CB59E5"/>
    <w:rsid w:val="00CB75CE"/>
    <w:rsid w:val="00CC1D69"/>
    <w:rsid w:val="00CC2288"/>
    <w:rsid w:val="00CD2E8B"/>
    <w:rsid w:val="00CD34B0"/>
    <w:rsid w:val="00CD4ABB"/>
    <w:rsid w:val="00CD6DDA"/>
    <w:rsid w:val="00CD7E7A"/>
    <w:rsid w:val="00CE1674"/>
    <w:rsid w:val="00CE26B5"/>
    <w:rsid w:val="00CE3940"/>
    <w:rsid w:val="00CE7839"/>
    <w:rsid w:val="00CF0FDB"/>
    <w:rsid w:val="00D011D2"/>
    <w:rsid w:val="00D0333C"/>
    <w:rsid w:val="00D0386D"/>
    <w:rsid w:val="00D03C3B"/>
    <w:rsid w:val="00D078A7"/>
    <w:rsid w:val="00D10998"/>
    <w:rsid w:val="00D177BE"/>
    <w:rsid w:val="00D223E9"/>
    <w:rsid w:val="00D30215"/>
    <w:rsid w:val="00D31ECA"/>
    <w:rsid w:val="00D3321B"/>
    <w:rsid w:val="00D374EB"/>
    <w:rsid w:val="00D375EF"/>
    <w:rsid w:val="00D4055F"/>
    <w:rsid w:val="00D41CCD"/>
    <w:rsid w:val="00D41DD6"/>
    <w:rsid w:val="00D421B4"/>
    <w:rsid w:val="00D42E27"/>
    <w:rsid w:val="00D43736"/>
    <w:rsid w:val="00D46C2E"/>
    <w:rsid w:val="00D50EFB"/>
    <w:rsid w:val="00D56E07"/>
    <w:rsid w:val="00D57CC2"/>
    <w:rsid w:val="00D62FF7"/>
    <w:rsid w:val="00D63DEF"/>
    <w:rsid w:val="00D67228"/>
    <w:rsid w:val="00D7130F"/>
    <w:rsid w:val="00D7249C"/>
    <w:rsid w:val="00D7504C"/>
    <w:rsid w:val="00D75AD3"/>
    <w:rsid w:val="00D7642A"/>
    <w:rsid w:val="00D779F8"/>
    <w:rsid w:val="00D833A7"/>
    <w:rsid w:val="00D84B17"/>
    <w:rsid w:val="00D8510C"/>
    <w:rsid w:val="00D90116"/>
    <w:rsid w:val="00D9026F"/>
    <w:rsid w:val="00D911AC"/>
    <w:rsid w:val="00D9221E"/>
    <w:rsid w:val="00D92846"/>
    <w:rsid w:val="00D938F1"/>
    <w:rsid w:val="00D945EE"/>
    <w:rsid w:val="00D9519E"/>
    <w:rsid w:val="00D955DA"/>
    <w:rsid w:val="00D96BDC"/>
    <w:rsid w:val="00D97F3E"/>
    <w:rsid w:val="00DA0E8E"/>
    <w:rsid w:val="00DA3340"/>
    <w:rsid w:val="00DA5347"/>
    <w:rsid w:val="00DB0B11"/>
    <w:rsid w:val="00DB2CB9"/>
    <w:rsid w:val="00DB4D3E"/>
    <w:rsid w:val="00DB5F45"/>
    <w:rsid w:val="00DC1919"/>
    <w:rsid w:val="00DC5895"/>
    <w:rsid w:val="00DC6E78"/>
    <w:rsid w:val="00DC7842"/>
    <w:rsid w:val="00DD38D7"/>
    <w:rsid w:val="00DD5ED5"/>
    <w:rsid w:val="00DE155C"/>
    <w:rsid w:val="00DE41CF"/>
    <w:rsid w:val="00DF0B35"/>
    <w:rsid w:val="00DF4205"/>
    <w:rsid w:val="00DF6FAF"/>
    <w:rsid w:val="00DF7F23"/>
    <w:rsid w:val="00E004AD"/>
    <w:rsid w:val="00E01853"/>
    <w:rsid w:val="00E05511"/>
    <w:rsid w:val="00E1034F"/>
    <w:rsid w:val="00E10686"/>
    <w:rsid w:val="00E10B62"/>
    <w:rsid w:val="00E11FFF"/>
    <w:rsid w:val="00E129C8"/>
    <w:rsid w:val="00E15395"/>
    <w:rsid w:val="00E16893"/>
    <w:rsid w:val="00E2204F"/>
    <w:rsid w:val="00E27D35"/>
    <w:rsid w:val="00E309B5"/>
    <w:rsid w:val="00E311AF"/>
    <w:rsid w:val="00E32C5C"/>
    <w:rsid w:val="00E3367B"/>
    <w:rsid w:val="00E35BC5"/>
    <w:rsid w:val="00E41505"/>
    <w:rsid w:val="00E43475"/>
    <w:rsid w:val="00E52D79"/>
    <w:rsid w:val="00E52EBA"/>
    <w:rsid w:val="00E54417"/>
    <w:rsid w:val="00E55726"/>
    <w:rsid w:val="00E57905"/>
    <w:rsid w:val="00E61A94"/>
    <w:rsid w:val="00E6336C"/>
    <w:rsid w:val="00E65646"/>
    <w:rsid w:val="00E7267B"/>
    <w:rsid w:val="00E72811"/>
    <w:rsid w:val="00E736A7"/>
    <w:rsid w:val="00E75E44"/>
    <w:rsid w:val="00E82771"/>
    <w:rsid w:val="00E839FC"/>
    <w:rsid w:val="00E8711D"/>
    <w:rsid w:val="00E90792"/>
    <w:rsid w:val="00E946E1"/>
    <w:rsid w:val="00E964DC"/>
    <w:rsid w:val="00EA2A9A"/>
    <w:rsid w:val="00EA4545"/>
    <w:rsid w:val="00EA51CA"/>
    <w:rsid w:val="00EA5943"/>
    <w:rsid w:val="00EB317A"/>
    <w:rsid w:val="00EB5523"/>
    <w:rsid w:val="00EC46A7"/>
    <w:rsid w:val="00ED0C70"/>
    <w:rsid w:val="00ED4935"/>
    <w:rsid w:val="00ED7B0A"/>
    <w:rsid w:val="00EE1CC4"/>
    <w:rsid w:val="00EE30B1"/>
    <w:rsid w:val="00EE5A2B"/>
    <w:rsid w:val="00EF10BD"/>
    <w:rsid w:val="00EF1872"/>
    <w:rsid w:val="00EF246F"/>
    <w:rsid w:val="00EF32FF"/>
    <w:rsid w:val="00EF516F"/>
    <w:rsid w:val="00EF79E2"/>
    <w:rsid w:val="00EF7AD8"/>
    <w:rsid w:val="00F00ADE"/>
    <w:rsid w:val="00F0326D"/>
    <w:rsid w:val="00F05381"/>
    <w:rsid w:val="00F103C2"/>
    <w:rsid w:val="00F1326E"/>
    <w:rsid w:val="00F178E4"/>
    <w:rsid w:val="00F25C17"/>
    <w:rsid w:val="00F26116"/>
    <w:rsid w:val="00F3168D"/>
    <w:rsid w:val="00F31B19"/>
    <w:rsid w:val="00F33953"/>
    <w:rsid w:val="00F345F7"/>
    <w:rsid w:val="00F36B00"/>
    <w:rsid w:val="00F403FE"/>
    <w:rsid w:val="00F42396"/>
    <w:rsid w:val="00F4362E"/>
    <w:rsid w:val="00F43FFC"/>
    <w:rsid w:val="00F44863"/>
    <w:rsid w:val="00F45C7A"/>
    <w:rsid w:val="00F46A18"/>
    <w:rsid w:val="00F46A82"/>
    <w:rsid w:val="00F472AC"/>
    <w:rsid w:val="00F479F9"/>
    <w:rsid w:val="00F51207"/>
    <w:rsid w:val="00F520FE"/>
    <w:rsid w:val="00F52CE0"/>
    <w:rsid w:val="00F54457"/>
    <w:rsid w:val="00F6101D"/>
    <w:rsid w:val="00F629C3"/>
    <w:rsid w:val="00F63990"/>
    <w:rsid w:val="00F64623"/>
    <w:rsid w:val="00F65BD0"/>
    <w:rsid w:val="00F65BEA"/>
    <w:rsid w:val="00F70EE8"/>
    <w:rsid w:val="00F73CC4"/>
    <w:rsid w:val="00F73D29"/>
    <w:rsid w:val="00F74783"/>
    <w:rsid w:val="00F76510"/>
    <w:rsid w:val="00F81E7A"/>
    <w:rsid w:val="00F83D37"/>
    <w:rsid w:val="00F9040B"/>
    <w:rsid w:val="00F93439"/>
    <w:rsid w:val="00FA1E96"/>
    <w:rsid w:val="00FB2735"/>
    <w:rsid w:val="00FB4CC8"/>
    <w:rsid w:val="00FC0D23"/>
    <w:rsid w:val="00FC261E"/>
    <w:rsid w:val="00FC6E5C"/>
    <w:rsid w:val="00FD6440"/>
    <w:rsid w:val="00FE4204"/>
    <w:rsid w:val="00FF289E"/>
    <w:rsid w:val="00FF31F4"/>
    <w:rsid w:val="00FF4683"/>
    <w:rsid w:val="00FF7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Cit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B2"/>
    <w:pPr>
      <w:bidi/>
    </w:pPr>
  </w:style>
  <w:style w:type="paragraph" w:styleId="Heading1">
    <w:name w:val="heading 1"/>
    <w:basedOn w:val="Normal"/>
    <w:next w:val="Normal"/>
    <w:link w:val="Heading1Char"/>
    <w:qFormat/>
    <w:rsid w:val="00B358E2"/>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57905"/>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7905"/>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7905"/>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57905"/>
    <w:pPr>
      <w:keepNext/>
      <w:keepLines/>
      <w:bidi w:val="0"/>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8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579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79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790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57905"/>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955"/>
    <w:rPr>
      <w:color w:val="0000FF"/>
      <w:u w:val="single"/>
    </w:rPr>
  </w:style>
  <w:style w:type="paragraph" w:customStyle="1" w:styleId="p">
    <w:name w:val="p"/>
    <w:basedOn w:val="Normal"/>
    <w:rsid w:val="002C69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58E2"/>
    <w:pPr>
      <w:bidi w:val="0"/>
      <w:ind w:left="720"/>
      <w:contextualSpacing/>
    </w:pPr>
  </w:style>
  <w:style w:type="paragraph" w:styleId="Header">
    <w:name w:val="header"/>
    <w:basedOn w:val="Normal"/>
    <w:link w:val="HeaderChar"/>
    <w:uiPriority w:val="99"/>
    <w:unhideWhenUsed/>
    <w:rsid w:val="00B358E2"/>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B358E2"/>
  </w:style>
  <w:style w:type="character" w:styleId="Strong">
    <w:name w:val="Strong"/>
    <w:basedOn w:val="DefaultParagraphFont"/>
    <w:qFormat/>
    <w:rsid w:val="00F54457"/>
    <w:rPr>
      <w:b/>
      <w:bCs/>
    </w:rPr>
  </w:style>
  <w:style w:type="paragraph" w:styleId="Footer">
    <w:name w:val="footer"/>
    <w:basedOn w:val="Normal"/>
    <w:link w:val="FooterChar"/>
    <w:uiPriority w:val="99"/>
    <w:unhideWhenUsed/>
    <w:rsid w:val="009B39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3960"/>
  </w:style>
  <w:style w:type="paragraph" w:styleId="BodyText">
    <w:name w:val="Body Text"/>
    <w:basedOn w:val="Normal"/>
    <w:link w:val="BodyTextChar"/>
    <w:rsid w:val="00E57905"/>
    <w:pPr>
      <w:tabs>
        <w:tab w:val="right" w:pos="7088"/>
      </w:tabs>
      <w:bidi w:val="0"/>
      <w:spacing w:after="0" w:line="360" w:lineRule="auto"/>
    </w:pPr>
    <w:rPr>
      <w:rFonts w:ascii="Times New Roman" w:eastAsia="Times New Roman" w:hAnsi="Times New Roman" w:cs="Traditional Arabic"/>
      <w:sz w:val="28"/>
      <w:szCs w:val="20"/>
      <w:lang w:eastAsia="zh-CN"/>
    </w:rPr>
  </w:style>
  <w:style w:type="character" w:customStyle="1" w:styleId="BodyTextChar">
    <w:name w:val="Body Text Char"/>
    <w:basedOn w:val="DefaultParagraphFont"/>
    <w:link w:val="BodyText"/>
    <w:rsid w:val="00E57905"/>
    <w:rPr>
      <w:rFonts w:ascii="Times New Roman" w:eastAsia="Times New Roman" w:hAnsi="Times New Roman" w:cs="Traditional Arabic"/>
      <w:sz w:val="28"/>
      <w:szCs w:val="20"/>
      <w:lang w:eastAsia="zh-CN"/>
    </w:rPr>
  </w:style>
  <w:style w:type="paragraph" w:styleId="BalloonText">
    <w:name w:val="Balloon Text"/>
    <w:basedOn w:val="Normal"/>
    <w:link w:val="BalloonTextChar"/>
    <w:uiPriority w:val="99"/>
    <w:semiHidden/>
    <w:unhideWhenUsed/>
    <w:rsid w:val="00E57905"/>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05"/>
    <w:rPr>
      <w:rFonts w:ascii="Tahoma" w:hAnsi="Tahoma" w:cs="Tahoma"/>
      <w:sz w:val="16"/>
      <w:szCs w:val="16"/>
    </w:rPr>
  </w:style>
  <w:style w:type="paragraph" w:styleId="NormalWeb">
    <w:name w:val="Normal (Web)"/>
    <w:basedOn w:val="Normal"/>
    <w:uiPriority w:val="99"/>
    <w:unhideWhenUsed/>
    <w:rsid w:val="00E579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
    <w:name w:val="cit"/>
    <w:basedOn w:val="DefaultParagraphFont"/>
    <w:rsid w:val="00E57905"/>
  </w:style>
  <w:style w:type="character" w:customStyle="1" w:styleId="fm-vol-iss-date">
    <w:name w:val="fm-vol-iss-date"/>
    <w:basedOn w:val="DefaultParagraphFont"/>
    <w:rsid w:val="00E57905"/>
  </w:style>
  <w:style w:type="character" w:customStyle="1" w:styleId="fm-citation-ids-label">
    <w:name w:val="fm-citation-ids-label"/>
    <w:basedOn w:val="DefaultParagraphFont"/>
    <w:rsid w:val="00E57905"/>
  </w:style>
  <w:style w:type="character" w:customStyle="1" w:styleId="doi1">
    <w:name w:val="doi1"/>
    <w:basedOn w:val="DefaultParagraphFont"/>
    <w:rsid w:val="00E57905"/>
  </w:style>
  <w:style w:type="paragraph" w:customStyle="1" w:styleId="Default">
    <w:name w:val="Default"/>
    <w:rsid w:val="00E57905"/>
    <w:pPr>
      <w:autoSpaceDE w:val="0"/>
      <w:autoSpaceDN w:val="0"/>
      <w:adjustRightInd w:val="0"/>
      <w:spacing w:after="0" w:line="240" w:lineRule="auto"/>
    </w:pPr>
    <w:rPr>
      <w:rFonts w:ascii="Kepler Std" w:hAnsi="Kepler Std" w:cs="Kepler Std"/>
      <w:color w:val="000000"/>
      <w:sz w:val="24"/>
      <w:szCs w:val="24"/>
    </w:rPr>
  </w:style>
  <w:style w:type="paragraph" w:customStyle="1" w:styleId="Pa3">
    <w:name w:val="Pa3"/>
    <w:basedOn w:val="Default"/>
    <w:next w:val="Default"/>
    <w:uiPriority w:val="99"/>
    <w:rsid w:val="00E57905"/>
    <w:pPr>
      <w:spacing w:line="241" w:lineRule="atLeast"/>
    </w:pPr>
    <w:rPr>
      <w:rFonts w:ascii="Frutiger LT Std 45 Light" w:hAnsi="Frutiger LT Std 45 Light" w:cstheme="minorBidi"/>
      <w:color w:val="auto"/>
    </w:rPr>
  </w:style>
  <w:style w:type="character" w:customStyle="1" w:styleId="element-citation">
    <w:name w:val="element-citation"/>
    <w:basedOn w:val="DefaultParagraphFont"/>
    <w:rsid w:val="00E57905"/>
  </w:style>
  <w:style w:type="character" w:customStyle="1" w:styleId="ref-journal">
    <w:name w:val="ref-journal"/>
    <w:basedOn w:val="DefaultParagraphFont"/>
    <w:rsid w:val="00E57905"/>
  </w:style>
  <w:style w:type="character" w:customStyle="1" w:styleId="sb-pages">
    <w:name w:val="sb-pages"/>
    <w:basedOn w:val="DefaultParagraphFont"/>
    <w:rsid w:val="00E57905"/>
  </w:style>
  <w:style w:type="paragraph" w:styleId="NoSpacing">
    <w:name w:val="No Spacing"/>
    <w:link w:val="NoSpacingChar"/>
    <w:qFormat/>
    <w:rsid w:val="00E57905"/>
    <w:pPr>
      <w:bidi/>
      <w:spacing w:after="0" w:line="240" w:lineRule="auto"/>
    </w:pPr>
    <w:rPr>
      <w:rFonts w:ascii="Calibri" w:eastAsia="Calibri" w:hAnsi="Calibri" w:cs="Arial"/>
      <w:noProof/>
      <w:lang w:bidi="ar-EG"/>
    </w:rPr>
  </w:style>
  <w:style w:type="paragraph" w:customStyle="1" w:styleId="Pa0">
    <w:name w:val="Pa0"/>
    <w:basedOn w:val="Default"/>
    <w:next w:val="Default"/>
    <w:uiPriority w:val="99"/>
    <w:rsid w:val="00E57905"/>
    <w:pPr>
      <w:spacing w:line="241" w:lineRule="atLeast"/>
    </w:pPr>
    <w:rPr>
      <w:rFonts w:ascii="TradeGothic" w:hAnsi="TradeGothic" w:cstheme="minorBidi"/>
      <w:color w:val="auto"/>
    </w:rPr>
  </w:style>
  <w:style w:type="paragraph" w:customStyle="1" w:styleId="Pa5">
    <w:name w:val="Pa5"/>
    <w:basedOn w:val="Default"/>
    <w:next w:val="Default"/>
    <w:uiPriority w:val="99"/>
    <w:rsid w:val="00E57905"/>
    <w:pPr>
      <w:spacing w:line="201" w:lineRule="atLeast"/>
    </w:pPr>
    <w:rPr>
      <w:rFonts w:ascii="TradeGothic" w:hAnsi="TradeGothic" w:cstheme="minorBidi"/>
      <w:color w:val="auto"/>
    </w:rPr>
  </w:style>
  <w:style w:type="character" w:customStyle="1" w:styleId="A5">
    <w:name w:val="A5"/>
    <w:uiPriority w:val="99"/>
    <w:rsid w:val="00E57905"/>
    <w:rPr>
      <w:rFonts w:cs="TradeGothic"/>
      <w:color w:val="000000"/>
      <w:sz w:val="11"/>
      <w:szCs w:val="11"/>
    </w:rPr>
  </w:style>
  <w:style w:type="character" w:customStyle="1" w:styleId="A7">
    <w:name w:val="A7"/>
    <w:rsid w:val="00E57905"/>
    <w:rPr>
      <w:rFonts w:cs="TradeGothic"/>
      <w:color w:val="000000"/>
      <w:sz w:val="14"/>
      <w:szCs w:val="14"/>
    </w:rPr>
  </w:style>
  <w:style w:type="character" w:customStyle="1" w:styleId="A6">
    <w:name w:val="A6"/>
    <w:rsid w:val="00E57905"/>
    <w:rPr>
      <w:rFonts w:ascii="Helvetica" w:hAnsi="Helvetica" w:cs="Helvetica"/>
      <w:color w:val="000000"/>
      <w:sz w:val="16"/>
      <w:szCs w:val="16"/>
    </w:rPr>
  </w:style>
  <w:style w:type="paragraph" w:customStyle="1" w:styleId="Pa4">
    <w:name w:val="Pa4"/>
    <w:basedOn w:val="Default"/>
    <w:next w:val="Default"/>
    <w:uiPriority w:val="99"/>
    <w:rsid w:val="00E57905"/>
    <w:pPr>
      <w:spacing w:line="201" w:lineRule="atLeast"/>
    </w:pPr>
    <w:rPr>
      <w:rFonts w:ascii="TradeGothic" w:hAnsi="TradeGothic" w:cstheme="minorBidi"/>
      <w:color w:val="auto"/>
    </w:rPr>
  </w:style>
  <w:style w:type="character" w:customStyle="1" w:styleId="publicationcat">
    <w:name w:val="publicationcat"/>
    <w:basedOn w:val="DefaultParagraphFont"/>
    <w:rsid w:val="00E57905"/>
  </w:style>
  <w:style w:type="character" w:customStyle="1" w:styleId="metadata">
    <w:name w:val="metadata"/>
    <w:basedOn w:val="DefaultParagraphFont"/>
    <w:rsid w:val="00E57905"/>
  </w:style>
  <w:style w:type="character" w:customStyle="1" w:styleId="articlereference">
    <w:name w:val="articlereference"/>
    <w:basedOn w:val="DefaultParagraphFont"/>
    <w:rsid w:val="00E57905"/>
  </w:style>
  <w:style w:type="character" w:styleId="Emphasis">
    <w:name w:val="Emphasis"/>
    <w:basedOn w:val="DefaultParagraphFont"/>
    <w:qFormat/>
    <w:rsid w:val="00E57905"/>
    <w:rPr>
      <w:i/>
      <w:iCs/>
      <w:sz w:val="24"/>
      <w:szCs w:val="24"/>
      <w:bdr w:val="none" w:sz="0" w:space="0" w:color="auto" w:frame="1"/>
      <w:vertAlign w:val="baseline"/>
    </w:rPr>
  </w:style>
  <w:style w:type="character" w:customStyle="1" w:styleId="section">
    <w:name w:val="section"/>
    <w:basedOn w:val="DefaultParagraphFont"/>
    <w:rsid w:val="00E57905"/>
    <w:rPr>
      <w:sz w:val="24"/>
      <w:szCs w:val="24"/>
      <w:bdr w:val="none" w:sz="0" w:space="0" w:color="auto" w:frame="1"/>
      <w:vertAlign w:val="baseline"/>
    </w:rPr>
  </w:style>
  <w:style w:type="character" w:customStyle="1" w:styleId="A0">
    <w:name w:val="A0"/>
    <w:rsid w:val="00E57905"/>
    <w:rPr>
      <w:rFonts w:cs="Frutiger LT Std 45 Light"/>
      <w:color w:val="000000"/>
      <w:sz w:val="60"/>
      <w:szCs w:val="60"/>
    </w:rPr>
  </w:style>
  <w:style w:type="character" w:customStyle="1" w:styleId="Date1">
    <w:name w:val="Date1"/>
    <w:basedOn w:val="DefaultParagraphFont"/>
    <w:rsid w:val="00E57905"/>
  </w:style>
  <w:style w:type="character" w:customStyle="1" w:styleId="author">
    <w:name w:val="author"/>
    <w:basedOn w:val="DefaultParagraphFont"/>
    <w:rsid w:val="00E57905"/>
  </w:style>
  <w:style w:type="paragraph" w:styleId="Title">
    <w:name w:val="Title"/>
    <w:basedOn w:val="Normal"/>
    <w:next w:val="Normal"/>
    <w:link w:val="TitleChar"/>
    <w:uiPriority w:val="10"/>
    <w:qFormat/>
    <w:rsid w:val="00E57905"/>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E5790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E57905"/>
    <w:pPr>
      <w:numPr>
        <w:ilvl w:val="1"/>
      </w:numPr>
      <w:bidi w:val="0"/>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57905"/>
    <w:rPr>
      <w:rFonts w:ascii="Cambria" w:eastAsia="Times New Roman" w:hAnsi="Cambria" w:cs="Times New Roman"/>
      <w:i/>
      <w:iCs/>
      <w:color w:val="4F81BD"/>
      <w:spacing w:val="15"/>
      <w:sz w:val="24"/>
      <w:szCs w:val="24"/>
    </w:rPr>
  </w:style>
  <w:style w:type="character" w:customStyle="1" w:styleId="apple-style-span">
    <w:name w:val="apple-style-span"/>
    <w:rsid w:val="00E57905"/>
    <w:rPr>
      <w:rFonts w:ascii="Times New Roman" w:hAnsi="Times New Roman" w:cs="Times New Roman" w:hint="default"/>
    </w:rPr>
  </w:style>
  <w:style w:type="paragraph" w:customStyle="1" w:styleId="authlist">
    <w:name w:val="auth_list"/>
    <w:basedOn w:val="Normal"/>
    <w:uiPriority w:val="99"/>
    <w:rsid w:val="00E579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1">
    <w:name w:val="ref-journal1"/>
    <w:rsid w:val="00E57905"/>
    <w:rPr>
      <w:rFonts w:ascii="Times New Roman" w:hAnsi="Times New Roman" w:cs="Times New Roman" w:hint="default"/>
      <w:i/>
      <w:iCs/>
    </w:rPr>
  </w:style>
  <w:style w:type="character" w:customStyle="1" w:styleId="ref-vol">
    <w:name w:val="ref-vol"/>
    <w:rsid w:val="00E57905"/>
    <w:rPr>
      <w:rFonts w:ascii="Times New Roman" w:hAnsi="Times New Roman" w:cs="Times New Roman" w:hint="default"/>
    </w:rPr>
  </w:style>
  <w:style w:type="character" w:customStyle="1" w:styleId="catch1">
    <w:name w:val="catch1"/>
    <w:rsid w:val="00E57905"/>
    <w:rPr>
      <w:rFonts w:ascii="Arial" w:hAnsi="Arial" w:cs="Arial" w:hint="default"/>
      <w:b/>
      <w:bCs/>
      <w:color w:val="00274B"/>
      <w:sz w:val="18"/>
      <w:szCs w:val="18"/>
    </w:rPr>
  </w:style>
  <w:style w:type="paragraph" w:customStyle="1" w:styleId="Standard">
    <w:name w:val="Standard"/>
    <w:basedOn w:val="Normal"/>
    <w:next w:val="Normal"/>
    <w:uiPriority w:val="99"/>
    <w:rsid w:val="00E57905"/>
    <w:pPr>
      <w:autoSpaceDE w:val="0"/>
      <w:autoSpaceDN w:val="0"/>
      <w:bidi w:val="0"/>
      <w:adjustRightInd w:val="0"/>
      <w:spacing w:after="0" w:line="240" w:lineRule="auto"/>
    </w:pPr>
    <w:rPr>
      <w:rFonts w:ascii="KPDDJG+TimesNewRoman" w:eastAsia="Times New Roman" w:hAnsi="KPDDJG+TimesNewRoman" w:cs="Times New Roman"/>
      <w:sz w:val="24"/>
      <w:szCs w:val="24"/>
    </w:rPr>
  </w:style>
  <w:style w:type="character" w:customStyle="1" w:styleId="journal10">
    <w:name w:val="journal10"/>
    <w:rsid w:val="00E57905"/>
    <w:rPr>
      <w:rFonts w:ascii="Times New Roman" w:hAnsi="Times New Roman" w:cs="Times New Roman" w:hint="default"/>
      <w:i/>
      <w:iCs/>
    </w:rPr>
  </w:style>
  <w:style w:type="character" w:customStyle="1" w:styleId="jnumber2">
    <w:name w:val="jnumber2"/>
    <w:rsid w:val="00E57905"/>
    <w:rPr>
      <w:rFonts w:ascii="Times New Roman" w:hAnsi="Times New Roman" w:cs="Times New Roman" w:hint="default"/>
      <w:b/>
      <w:bCs/>
    </w:rPr>
  </w:style>
  <w:style w:type="paragraph" w:customStyle="1" w:styleId="Pa26">
    <w:name w:val="Pa26"/>
    <w:basedOn w:val="Normal"/>
    <w:next w:val="Normal"/>
    <w:uiPriority w:val="99"/>
    <w:rsid w:val="00E57905"/>
    <w:pPr>
      <w:autoSpaceDE w:val="0"/>
      <w:autoSpaceDN w:val="0"/>
      <w:bidi w:val="0"/>
      <w:adjustRightInd w:val="0"/>
      <w:spacing w:after="0" w:line="181" w:lineRule="atLeast"/>
    </w:pPr>
    <w:rPr>
      <w:rFonts w:ascii="Goudy Old Style" w:eastAsia="Times New Roman" w:hAnsi="Goudy Old Style" w:cs="Times New Roman"/>
      <w:sz w:val="24"/>
      <w:szCs w:val="24"/>
    </w:rPr>
  </w:style>
  <w:style w:type="character" w:customStyle="1" w:styleId="apple-converted-space">
    <w:name w:val="apple-converted-space"/>
    <w:rsid w:val="00E57905"/>
    <w:rPr>
      <w:rFonts w:ascii="Times New Roman" w:hAnsi="Times New Roman" w:cs="Times New Roman" w:hint="default"/>
    </w:rPr>
  </w:style>
  <w:style w:type="paragraph" w:styleId="TOC1">
    <w:name w:val="toc 1"/>
    <w:basedOn w:val="Normal"/>
    <w:next w:val="Normal"/>
    <w:autoRedefine/>
    <w:uiPriority w:val="39"/>
    <w:unhideWhenUsed/>
    <w:rsid w:val="00E57905"/>
    <w:pPr>
      <w:bidi w:val="0"/>
      <w:spacing w:after="100"/>
    </w:pPr>
    <w:rPr>
      <w:rFonts w:ascii="Calibri" w:eastAsia="Calibri" w:hAnsi="Calibri" w:cs="Arial"/>
    </w:rPr>
  </w:style>
  <w:style w:type="paragraph" w:styleId="TOC2">
    <w:name w:val="toc 2"/>
    <w:basedOn w:val="Normal"/>
    <w:next w:val="Normal"/>
    <w:autoRedefine/>
    <w:uiPriority w:val="39"/>
    <w:unhideWhenUsed/>
    <w:rsid w:val="00E57905"/>
    <w:pPr>
      <w:bidi w:val="0"/>
      <w:spacing w:after="100"/>
      <w:ind w:left="220"/>
    </w:pPr>
    <w:rPr>
      <w:rFonts w:ascii="Calibri" w:eastAsia="Calibri" w:hAnsi="Calibri" w:cs="Arial"/>
    </w:rPr>
  </w:style>
  <w:style w:type="table" w:styleId="TableGrid">
    <w:name w:val="Table Grid"/>
    <w:basedOn w:val="TableNormal"/>
    <w:uiPriority w:val="39"/>
    <w:rsid w:val="00207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locked/>
    <w:rsid w:val="00E32C5C"/>
    <w:rPr>
      <w:rFonts w:ascii="Calibri" w:eastAsia="Calibri" w:hAnsi="Calibri" w:cs="Arial"/>
      <w:noProof/>
      <w:lang w:bidi="ar-EG"/>
    </w:rPr>
  </w:style>
  <w:style w:type="character" w:customStyle="1" w:styleId="msonormal0">
    <w:name w:val="msonormal0"/>
    <w:rsid w:val="00E32C5C"/>
  </w:style>
  <w:style w:type="character" w:customStyle="1" w:styleId="Absatz-Standardschriftart">
    <w:name w:val="Absatz-Standardschriftart"/>
    <w:rsid w:val="00E32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Cit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B358E2"/>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57905"/>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7905"/>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7905"/>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57905"/>
    <w:pPr>
      <w:keepNext/>
      <w:keepLines/>
      <w:bidi w:val="0"/>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8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579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79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790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57905"/>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955"/>
    <w:rPr>
      <w:color w:val="0000FF"/>
      <w:u w:val="single"/>
    </w:rPr>
  </w:style>
  <w:style w:type="paragraph" w:customStyle="1" w:styleId="p">
    <w:name w:val="p"/>
    <w:basedOn w:val="Normal"/>
    <w:rsid w:val="002C69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58E2"/>
    <w:pPr>
      <w:bidi w:val="0"/>
      <w:ind w:left="720"/>
      <w:contextualSpacing/>
    </w:pPr>
  </w:style>
  <w:style w:type="paragraph" w:styleId="Header">
    <w:name w:val="header"/>
    <w:basedOn w:val="Normal"/>
    <w:link w:val="HeaderChar"/>
    <w:uiPriority w:val="99"/>
    <w:unhideWhenUsed/>
    <w:rsid w:val="00B358E2"/>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B358E2"/>
  </w:style>
  <w:style w:type="character" w:styleId="Strong">
    <w:name w:val="Strong"/>
    <w:basedOn w:val="DefaultParagraphFont"/>
    <w:qFormat/>
    <w:rsid w:val="00F54457"/>
    <w:rPr>
      <w:b/>
      <w:bCs/>
    </w:rPr>
  </w:style>
  <w:style w:type="paragraph" w:styleId="Footer">
    <w:name w:val="footer"/>
    <w:basedOn w:val="Normal"/>
    <w:link w:val="FooterChar"/>
    <w:uiPriority w:val="99"/>
    <w:unhideWhenUsed/>
    <w:rsid w:val="009B39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3960"/>
  </w:style>
  <w:style w:type="paragraph" w:styleId="BodyText">
    <w:name w:val="Body Text"/>
    <w:basedOn w:val="Normal"/>
    <w:link w:val="BodyTextChar"/>
    <w:rsid w:val="00E57905"/>
    <w:pPr>
      <w:tabs>
        <w:tab w:val="right" w:pos="7088"/>
      </w:tabs>
      <w:bidi w:val="0"/>
      <w:spacing w:after="0" w:line="360" w:lineRule="auto"/>
    </w:pPr>
    <w:rPr>
      <w:rFonts w:ascii="Times New Roman" w:eastAsia="Times New Roman" w:hAnsi="Times New Roman" w:cs="Traditional Arabic"/>
      <w:sz w:val="28"/>
      <w:szCs w:val="20"/>
      <w:lang w:eastAsia="zh-CN"/>
    </w:rPr>
  </w:style>
  <w:style w:type="character" w:customStyle="1" w:styleId="BodyTextChar">
    <w:name w:val="Body Text Char"/>
    <w:basedOn w:val="DefaultParagraphFont"/>
    <w:link w:val="BodyText"/>
    <w:rsid w:val="00E57905"/>
    <w:rPr>
      <w:rFonts w:ascii="Times New Roman" w:eastAsia="Times New Roman" w:hAnsi="Times New Roman" w:cs="Traditional Arabic"/>
      <w:sz w:val="28"/>
      <w:szCs w:val="20"/>
      <w:lang w:eastAsia="zh-CN"/>
    </w:rPr>
  </w:style>
  <w:style w:type="paragraph" w:styleId="BalloonText">
    <w:name w:val="Balloon Text"/>
    <w:basedOn w:val="Normal"/>
    <w:link w:val="BalloonTextChar"/>
    <w:uiPriority w:val="99"/>
    <w:semiHidden/>
    <w:unhideWhenUsed/>
    <w:rsid w:val="00E57905"/>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05"/>
    <w:rPr>
      <w:rFonts w:ascii="Tahoma" w:hAnsi="Tahoma" w:cs="Tahoma"/>
      <w:sz w:val="16"/>
      <w:szCs w:val="16"/>
    </w:rPr>
  </w:style>
  <w:style w:type="paragraph" w:styleId="NormalWeb">
    <w:name w:val="Normal (Web)"/>
    <w:basedOn w:val="Normal"/>
    <w:uiPriority w:val="99"/>
    <w:unhideWhenUsed/>
    <w:rsid w:val="00E579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
    <w:name w:val="cit"/>
    <w:basedOn w:val="DefaultParagraphFont"/>
    <w:rsid w:val="00E57905"/>
  </w:style>
  <w:style w:type="character" w:customStyle="1" w:styleId="fm-vol-iss-date">
    <w:name w:val="fm-vol-iss-date"/>
    <w:basedOn w:val="DefaultParagraphFont"/>
    <w:rsid w:val="00E57905"/>
  </w:style>
  <w:style w:type="character" w:customStyle="1" w:styleId="fm-citation-ids-label">
    <w:name w:val="fm-citation-ids-label"/>
    <w:basedOn w:val="DefaultParagraphFont"/>
    <w:rsid w:val="00E57905"/>
  </w:style>
  <w:style w:type="character" w:customStyle="1" w:styleId="doi1">
    <w:name w:val="doi1"/>
    <w:basedOn w:val="DefaultParagraphFont"/>
    <w:rsid w:val="00E57905"/>
  </w:style>
  <w:style w:type="paragraph" w:customStyle="1" w:styleId="Default">
    <w:name w:val="Default"/>
    <w:rsid w:val="00E57905"/>
    <w:pPr>
      <w:autoSpaceDE w:val="0"/>
      <w:autoSpaceDN w:val="0"/>
      <w:adjustRightInd w:val="0"/>
      <w:spacing w:after="0" w:line="240" w:lineRule="auto"/>
    </w:pPr>
    <w:rPr>
      <w:rFonts w:ascii="Kepler Std" w:hAnsi="Kepler Std" w:cs="Kepler Std"/>
      <w:color w:val="000000"/>
      <w:sz w:val="24"/>
      <w:szCs w:val="24"/>
    </w:rPr>
  </w:style>
  <w:style w:type="paragraph" w:customStyle="1" w:styleId="Pa3">
    <w:name w:val="Pa3"/>
    <w:basedOn w:val="Default"/>
    <w:next w:val="Default"/>
    <w:uiPriority w:val="99"/>
    <w:rsid w:val="00E57905"/>
    <w:pPr>
      <w:spacing w:line="241" w:lineRule="atLeast"/>
    </w:pPr>
    <w:rPr>
      <w:rFonts w:ascii="Frutiger LT Std 45 Light" w:hAnsi="Frutiger LT Std 45 Light" w:cstheme="minorBidi"/>
      <w:color w:val="auto"/>
    </w:rPr>
  </w:style>
  <w:style w:type="character" w:customStyle="1" w:styleId="element-citation">
    <w:name w:val="element-citation"/>
    <w:basedOn w:val="DefaultParagraphFont"/>
    <w:rsid w:val="00E57905"/>
  </w:style>
  <w:style w:type="character" w:customStyle="1" w:styleId="ref-journal">
    <w:name w:val="ref-journal"/>
    <w:basedOn w:val="DefaultParagraphFont"/>
    <w:rsid w:val="00E57905"/>
  </w:style>
  <w:style w:type="character" w:customStyle="1" w:styleId="sb-pages">
    <w:name w:val="sb-pages"/>
    <w:basedOn w:val="DefaultParagraphFont"/>
    <w:rsid w:val="00E57905"/>
  </w:style>
  <w:style w:type="paragraph" w:styleId="NoSpacing">
    <w:name w:val="No Spacing"/>
    <w:link w:val="NoSpacingChar"/>
    <w:qFormat/>
    <w:rsid w:val="00E57905"/>
    <w:pPr>
      <w:bidi/>
      <w:spacing w:after="0" w:line="240" w:lineRule="auto"/>
    </w:pPr>
    <w:rPr>
      <w:rFonts w:ascii="Calibri" w:eastAsia="Calibri" w:hAnsi="Calibri" w:cs="Arial"/>
      <w:noProof/>
      <w:lang w:bidi="ar-EG"/>
    </w:rPr>
  </w:style>
  <w:style w:type="paragraph" w:customStyle="1" w:styleId="Pa0">
    <w:name w:val="Pa0"/>
    <w:basedOn w:val="Default"/>
    <w:next w:val="Default"/>
    <w:uiPriority w:val="99"/>
    <w:rsid w:val="00E57905"/>
    <w:pPr>
      <w:spacing w:line="241" w:lineRule="atLeast"/>
    </w:pPr>
    <w:rPr>
      <w:rFonts w:ascii="TradeGothic" w:hAnsi="TradeGothic" w:cstheme="minorBidi"/>
      <w:color w:val="auto"/>
    </w:rPr>
  </w:style>
  <w:style w:type="paragraph" w:customStyle="1" w:styleId="Pa5">
    <w:name w:val="Pa5"/>
    <w:basedOn w:val="Default"/>
    <w:next w:val="Default"/>
    <w:uiPriority w:val="99"/>
    <w:rsid w:val="00E57905"/>
    <w:pPr>
      <w:spacing w:line="201" w:lineRule="atLeast"/>
    </w:pPr>
    <w:rPr>
      <w:rFonts w:ascii="TradeGothic" w:hAnsi="TradeGothic" w:cstheme="minorBidi"/>
      <w:color w:val="auto"/>
    </w:rPr>
  </w:style>
  <w:style w:type="character" w:customStyle="1" w:styleId="A5">
    <w:name w:val="A5"/>
    <w:uiPriority w:val="99"/>
    <w:rsid w:val="00E57905"/>
    <w:rPr>
      <w:rFonts w:cs="TradeGothic"/>
      <w:color w:val="000000"/>
      <w:sz w:val="11"/>
      <w:szCs w:val="11"/>
    </w:rPr>
  </w:style>
  <w:style w:type="character" w:customStyle="1" w:styleId="A7">
    <w:name w:val="A7"/>
    <w:rsid w:val="00E57905"/>
    <w:rPr>
      <w:rFonts w:cs="TradeGothic"/>
      <w:color w:val="000000"/>
      <w:sz w:val="14"/>
      <w:szCs w:val="14"/>
    </w:rPr>
  </w:style>
  <w:style w:type="character" w:customStyle="1" w:styleId="A6">
    <w:name w:val="A6"/>
    <w:rsid w:val="00E57905"/>
    <w:rPr>
      <w:rFonts w:ascii="Helvetica" w:hAnsi="Helvetica" w:cs="Helvetica"/>
      <w:color w:val="000000"/>
      <w:sz w:val="16"/>
      <w:szCs w:val="16"/>
    </w:rPr>
  </w:style>
  <w:style w:type="paragraph" w:customStyle="1" w:styleId="Pa4">
    <w:name w:val="Pa4"/>
    <w:basedOn w:val="Default"/>
    <w:next w:val="Default"/>
    <w:uiPriority w:val="99"/>
    <w:rsid w:val="00E57905"/>
    <w:pPr>
      <w:spacing w:line="201" w:lineRule="atLeast"/>
    </w:pPr>
    <w:rPr>
      <w:rFonts w:ascii="TradeGothic" w:hAnsi="TradeGothic" w:cstheme="minorBidi"/>
      <w:color w:val="auto"/>
    </w:rPr>
  </w:style>
  <w:style w:type="character" w:customStyle="1" w:styleId="publicationcat">
    <w:name w:val="publicationcat"/>
    <w:basedOn w:val="DefaultParagraphFont"/>
    <w:rsid w:val="00E57905"/>
  </w:style>
  <w:style w:type="character" w:customStyle="1" w:styleId="metadata">
    <w:name w:val="metadata"/>
    <w:basedOn w:val="DefaultParagraphFont"/>
    <w:rsid w:val="00E57905"/>
  </w:style>
  <w:style w:type="character" w:customStyle="1" w:styleId="articlereference">
    <w:name w:val="articlereference"/>
    <w:basedOn w:val="DefaultParagraphFont"/>
    <w:rsid w:val="00E57905"/>
  </w:style>
  <w:style w:type="character" w:styleId="Emphasis">
    <w:name w:val="Emphasis"/>
    <w:basedOn w:val="DefaultParagraphFont"/>
    <w:qFormat/>
    <w:rsid w:val="00E57905"/>
    <w:rPr>
      <w:i/>
      <w:iCs/>
      <w:sz w:val="24"/>
      <w:szCs w:val="24"/>
      <w:bdr w:val="none" w:sz="0" w:space="0" w:color="auto" w:frame="1"/>
      <w:vertAlign w:val="baseline"/>
    </w:rPr>
  </w:style>
  <w:style w:type="character" w:customStyle="1" w:styleId="section">
    <w:name w:val="section"/>
    <w:basedOn w:val="DefaultParagraphFont"/>
    <w:rsid w:val="00E57905"/>
    <w:rPr>
      <w:sz w:val="24"/>
      <w:szCs w:val="24"/>
      <w:bdr w:val="none" w:sz="0" w:space="0" w:color="auto" w:frame="1"/>
      <w:vertAlign w:val="baseline"/>
    </w:rPr>
  </w:style>
  <w:style w:type="character" w:customStyle="1" w:styleId="A0">
    <w:name w:val="A0"/>
    <w:rsid w:val="00E57905"/>
    <w:rPr>
      <w:rFonts w:cs="Frutiger LT Std 45 Light"/>
      <w:color w:val="000000"/>
      <w:sz w:val="60"/>
      <w:szCs w:val="60"/>
    </w:rPr>
  </w:style>
  <w:style w:type="character" w:customStyle="1" w:styleId="Date1">
    <w:name w:val="Date1"/>
    <w:basedOn w:val="DefaultParagraphFont"/>
    <w:rsid w:val="00E57905"/>
  </w:style>
  <w:style w:type="character" w:customStyle="1" w:styleId="author">
    <w:name w:val="author"/>
    <w:basedOn w:val="DefaultParagraphFont"/>
    <w:rsid w:val="00E57905"/>
  </w:style>
  <w:style w:type="paragraph" w:styleId="Title">
    <w:name w:val="Title"/>
    <w:basedOn w:val="Normal"/>
    <w:next w:val="Normal"/>
    <w:link w:val="TitleChar"/>
    <w:uiPriority w:val="10"/>
    <w:qFormat/>
    <w:rsid w:val="00E57905"/>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E5790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E57905"/>
    <w:pPr>
      <w:numPr>
        <w:ilvl w:val="1"/>
      </w:numPr>
      <w:bidi w:val="0"/>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57905"/>
    <w:rPr>
      <w:rFonts w:ascii="Cambria" w:eastAsia="Times New Roman" w:hAnsi="Cambria" w:cs="Times New Roman"/>
      <w:i/>
      <w:iCs/>
      <w:color w:val="4F81BD"/>
      <w:spacing w:val="15"/>
      <w:sz w:val="24"/>
      <w:szCs w:val="24"/>
    </w:rPr>
  </w:style>
  <w:style w:type="character" w:customStyle="1" w:styleId="apple-style-span">
    <w:name w:val="apple-style-span"/>
    <w:rsid w:val="00E57905"/>
    <w:rPr>
      <w:rFonts w:ascii="Times New Roman" w:hAnsi="Times New Roman" w:cs="Times New Roman" w:hint="default"/>
    </w:rPr>
  </w:style>
  <w:style w:type="paragraph" w:customStyle="1" w:styleId="authlist">
    <w:name w:val="auth_list"/>
    <w:basedOn w:val="Normal"/>
    <w:uiPriority w:val="99"/>
    <w:rsid w:val="00E579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1">
    <w:name w:val="ref-journal1"/>
    <w:rsid w:val="00E57905"/>
    <w:rPr>
      <w:rFonts w:ascii="Times New Roman" w:hAnsi="Times New Roman" w:cs="Times New Roman" w:hint="default"/>
      <w:i/>
      <w:iCs/>
    </w:rPr>
  </w:style>
  <w:style w:type="character" w:customStyle="1" w:styleId="ref-vol">
    <w:name w:val="ref-vol"/>
    <w:rsid w:val="00E57905"/>
    <w:rPr>
      <w:rFonts w:ascii="Times New Roman" w:hAnsi="Times New Roman" w:cs="Times New Roman" w:hint="default"/>
    </w:rPr>
  </w:style>
  <w:style w:type="character" w:customStyle="1" w:styleId="catch1">
    <w:name w:val="catch1"/>
    <w:rsid w:val="00E57905"/>
    <w:rPr>
      <w:rFonts w:ascii="Arial" w:hAnsi="Arial" w:cs="Arial" w:hint="default"/>
      <w:b/>
      <w:bCs/>
      <w:color w:val="00274B"/>
      <w:sz w:val="18"/>
      <w:szCs w:val="18"/>
    </w:rPr>
  </w:style>
  <w:style w:type="paragraph" w:customStyle="1" w:styleId="Standard">
    <w:name w:val="Standard"/>
    <w:basedOn w:val="Normal"/>
    <w:next w:val="Normal"/>
    <w:uiPriority w:val="99"/>
    <w:rsid w:val="00E57905"/>
    <w:pPr>
      <w:autoSpaceDE w:val="0"/>
      <w:autoSpaceDN w:val="0"/>
      <w:bidi w:val="0"/>
      <w:adjustRightInd w:val="0"/>
      <w:spacing w:after="0" w:line="240" w:lineRule="auto"/>
    </w:pPr>
    <w:rPr>
      <w:rFonts w:ascii="KPDDJG+TimesNewRoman" w:eastAsia="Times New Roman" w:hAnsi="KPDDJG+TimesNewRoman" w:cs="Times New Roman"/>
      <w:sz w:val="24"/>
      <w:szCs w:val="24"/>
    </w:rPr>
  </w:style>
  <w:style w:type="character" w:customStyle="1" w:styleId="journal10">
    <w:name w:val="journal10"/>
    <w:rsid w:val="00E57905"/>
    <w:rPr>
      <w:rFonts w:ascii="Times New Roman" w:hAnsi="Times New Roman" w:cs="Times New Roman" w:hint="default"/>
      <w:i/>
      <w:iCs/>
    </w:rPr>
  </w:style>
  <w:style w:type="character" w:customStyle="1" w:styleId="jnumber2">
    <w:name w:val="jnumber2"/>
    <w:rsid w:val="00E57905"/>
    <w:rPr>
      <w:rFonts w:ascii="Times New Roman" w:hAnsi="Times New Roman" w:cs="Times New Roman" w:hint="default"/>
      <w:b/>
      <w:bCs/>
    </w:rPr>
  </w:style>
  <w:style w:type="paragraph" w:customStyle="1" w:styleId="Pa26">
    <w:name w:val="Pa26"/>
    <w:basedOn w:val="Normal"/>
    <w:next w:val="Normal"/>
    <w:uiPriority w:val="99"/>
    <w:rsid w:val="00E57905"/>
    <w:pPr>
      <w:autoSpaceDE w:val="0"/>
      <w:autoSpaceDN w:val="0"/>
      <w:bidi w:val="0"/>
      <w:adjustRightInd w:val="0"/>
      <w:spacing w:after="0" w:line="181" w:lineRule="atLeast"/>
    </w:pPr>
    <w:rPr>
      <w:rFonts w:ascii="Goudy Old Style" w:eastAsia="Times New Roman" w:hAnsi="Goudy Old Style" w:cs="Times New Roman"/>
      <w:sz w:val="24"/>
      <w:szCs w:val="24"/>
    </w:rPr>
  </w:style>
  <w:style w:type="character" w:customStyle="1" w:styleId="apple-converted-space">
    <w:name w:val="apple-converted-space"/>
    <w:rsid w:val="00E57905"/>
    <w:rPr>
      <w:rFonts w:ascii="Times New Roman" w:hAnsi="Times New Roman" w:cs="Times New Roman" w:hint="default"/>
    </w:rPr>
  </w:style>
  <w:style w:type="paragraph" w:styleId="TOC1">
    <w:name w:val="toc 1"/>
    <w:basedOn w:val="Normal"/>
    <w:next w:val="Normal"/>
    <w:autoRedefine/>
    <w:uiPriority w:val="39"/>
    <w:unhideWhenUsed/>
    <w:rsid w:val="00E57905"/>
    <w:pPr>
      <w:bidi w:val="0"/>
      <w:spacing w:after="100"/>
    </w:pPr>
    <w:rPr>
      <w:rFonts w:ascii="Calibri" w:eastAsia="Calibri" w:hAnsi="Calibri" w:cs="Arial"/>
    </w:rPr>
  </w:style>
  <w:style w:type="paragraph" w:styleId="TOC2">
    <w:name w:val="toc 2"/>
    <w:basedOn w:val="Normal"/>
    <w:next w:val="Normal"/>
    <w:autoRedefine/>
    <w:uiPriority w:val="39"/>
    <w:unhideWhenUsed/>
    <w:rsid w:val="00E57905"/>
    <w:pPr>
      <w:bidi w:val="0"/>
      <w:spacing w:after="100"/>
      <w:ind w:left="220"/>
    </w:pPr>
    <w:rPr>
      <w:rFonts w:ascii="Calibri" w:eastAsia="Calibri" w:hAnsi="Calibri" w:cs="Arial"/>
    </w:rPr>
  </w:style>
  <w:style w:type="table" w:styleId="TableGrid">
    <w:name w:val="Table Grid"/>
    <w:basedOn w:val="TableNormal"/>
    <w:uiPriority w:val="39"/>
    <w:rsid w:val="00207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locked/>
    <w:rsid w:val="00E32C5C"/>
    <w:rPr>
      <w:rFonts w:ascii="Calibri" w:eastAsia="Calibri" w:hAnsi="Calibri" w:cs="Arial"/>
      <w:noProof/>
      <w:lang w:bidi="ar-EG"/>
    </w:rPr>
  </w:style>
  <w:style w:type="character" w:customStyle="1" w:styleId="msonormal0">
    <w:name w:val="msonormal0"/>
    <w:rsid w:val="00E32C5C"/>
  </w:style>
  <w:style w:type="character" w:customStyle="1" w:styleId="Absatz-Standardschriftart">
    <w:name w:val="Absatz-Standardschriftart"/>
    <w:rsid w:val="00E32C5C"/>
  </w:style>
</w:styles>
</file>

<file path=word/webSettings.xml><?xml version="1.0" encoding="utf-8"?>
<w:webSettings xmlns:r="http://schemas.openxmlformats.org/officeDocument/2006/relationships" xmlns:w="http://schemas.openxmlformats.org/wordprocessingml/2006/main">
  <w:divs>
    <w:div w:id="19103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_r9@yahoo.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cbj060316.0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CR</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Sheet1!$A$2:$A$3</c:f>
              <c:strCache>
                <c:ptCount val="2"/>
                <c:pt idx="0">
                  <c:v>VEGF positive (n=21)</c:v>
                </c:pt>
                <c:pt idx="1">
                  <c:v>VEGF-A negative (n=19)</c:v>
                </c:pt>
              </c:strCache>
            </c:strRef>
          </c:cat>
          <c:val>
            <c:numRef>
              <c:f>Sheet1!$B$2:$B$3</c:f>
              <c:numCache>
                <c:formatCode>General</c:formatCode>
                <c:ptCount val="2"/>
                <c:pt idx="0">
                  <c:v>71.400000000000006</c:v>
                </c:pt>
                <c:pt idx="1">
                  <c:v>42.1</c:v>
                </c:pt>
              </c:numCache>
            </c:numRef>
          </c:val>
        </c:ser>
        <c:ser>
          <c:idx val="1"/>
          <c:order val="1"/>
          <c:tx>
            <c:strRef>
              <c:f>Sheet1!$C$1</c:f>
              <c:strCache>
                <c:ptCount val="1"/>
                <c:pt idx="0">
                  <c:v>no CR</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Sheet1!$A$2:$A$3</c:f>
              <c:strCache>
                <c:ptCount val="2"/>
                <c:pt idx="0">
                  <c:v>VEGF positive (n=21)</c:v>
                </c:pt>
                <c:pt idx="1">
                  <c:v>VEGF-A negative (n=19)</c:v>
                </c:pt>
              </c:strCache>
            </c:strRef>
          </c:cat>
          <c:val>
            <c:numRef>
              <c:f>Sheet1!$C$2:$C$3</c:f>
              <c:numCache>
                <c:formatCode>General</c:formatCode>
                <c:ptCount val="2"/>
                <c:pt idx="0">
                  <c:v>28.6</c:v>
                </c:pt>
                <c:pt idx="1">
                  <c:v>57.9</c:v>
                </c:pt>
              </c:numCache>
            </c:numRef>
          </c:val>
        </c:ser>
        <c:dLbls>
          <c:showVal val="1"/>
        </c:dLbls>
        <c:gapWidth val="75"/>
        <c:axId val="45163648"/>
        <c:axId val="45165184"/>
      </c:barChart>
      <c:catAx>
        <c:axId val="45163648"/>
        <c:scaling>
          <c:orientation val="minMax"/>
        </c:scaling>
        <c:axPos val="b"/>
        <c:numFmt formatCode="General" sourceLinked="1"/>
        <c:majorTickMark val="none"/>
        <c:tickLblPos val="nextTo"/>
        <c:txPr>
          <a:bodyPr/>
          <a:lstStyle/>
          <a:p>
            <a:pPr>
              <a:defRPr lang="en-US"/>
            </a:pPr>
            <a:endParaRPr lang="en-US"/>
          </a:p>
        </c:txPr>
        <c:crossAx val="45165184"/>
        <c:crosses val="autoZero"/>
        <c:auto val="1"/>
        <c:lblAlgn val="ctr"/>
        <c:lblOffset val="100"/>
      </c:catAx>
      <c:valAx>
        <c:axId val="45165184"/>
        <c:scaling>
          <c:orientation val="minMax"/>
        </c:scaling>
        <c:axPos val="l"/>
        <c:numFmt formatCode="General" sourceLinked="1"/>
        <c:majorTickMark val="none"/>
        <c:tickLblPos val="nextTo"/>
        <c:txPr>
          <a:bodyPr/>
          <a:lstStyle/>
          <a:p>
            <a:pPr>
              <a:defRPr lang="en-US"/>
            </a:pPr>
            <a:endParaRPr lang="en-US"/>
          </a:p>
        </c:txPr>
        <c:crossAx val="45163648"/>
        <c:crosses val="autoZero"/>
        <c:crossBetween val="between"/>
      </c:valAx>
    </c:plotArea>
    <c:legend>
      <c:legendPos val="b"/>
      <c:txPr>
        <a:bodyPr/>
        <a:lstStyle/>
        <a:p>
          <a:pPr>
            <a:defRPr lang="en-US"/>
          </a:pPr>
          <a:endParaRPr lang="en-US"/>
        </a:p>
      </c:txPr>
    </c:legend>
    <c:plotVisOnly val="1"/>
    <c:dispBlanksAs val="gap"/>
  </c:chart>
  <c:externalData r:id="rId2"/>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0.04861</cdr:x>
      <cdr:y>0.08332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66667" cy="26666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5A85-0D61-435A-8B00-0816D9ED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5925</Words>
  <Characters>33777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dc:creator>
  <cp:lastModifiedBy>Administrator</cp:lastModifiedBy>
  <cp:revision>7</cp:revision>
  <cp:lastPrinted>2016-07-04T22:18:00Z</cp:lastPrinted>
  <dcterms:created xsi:type="dcterms:W3CDTF">2016-05-17T12:15:00Z</dcterms:created>
  <dcterms:modified xsi:type="dcterms:W3CDTF">2016-07-04T22:18:00Z</dcterms:modified>
</cp:coreProperties>
</file>