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AA" w:rsidRPr="00694E72" w:rsidRDefault="004E4F2D" w:rsidP="00E72B14">
      <w:pPr>
        <w:snapToGrid w:val="0"/>
        <w:spacing w:after="0" w:line="240" w:lineRule="auto"/>
        <w:jc w:val="center"/>
        <w:rPr>
          <w:rFonts w:ascii="Times New Roman" w:eastAsia="Times New Roman" w:hAnsi="Times New Roman" w:cs="Times New Roman"/>
          <w:b/>
          <w:bCs/>
          <w:sz w:val="20"/>
          <w:szCs w:val="20"/>
        </w:rPr>
      </w:pPr>
      <w:r w:rsidRPr="00694E72">
        <w:rPr>
          <w:rFonts w:ascii="Times New Roman" w:eastAsia="Times New Roman" w:hAnsi="Times New Roman" w:cs="Times New Roman"/>
          <w:b/>
          <w:bCs/>
          <w:sz w:val="20"/>
          <w:szCs w:val="20"/>
        </w:rPr>
        <w:t>Possible Role of Anti-Inflammatory cytokine Gene Polymorphism in AML Susceptibility, Egypt</w:t>
      </w:r>
    </w:p>
    <w:p w:rsidR="00E3243B" w:rsidRPr="00694E72" w:rsidRDefault="00E3243B" w:rsidP="00E72B14">
      <w:pPr>
        <w:snapToGrid w:val="0"/>
        <w:spacing w:after="0" w:line="240" w:lineRule="auto"/>
        <w:jc w:val="center"/>
        <w:rPr>
          <w:rFonts w:ascii="Times New Roman" w:eastAsia="Times New Roman" w:hAnsi="Times New Roman" w:cs="Times New Roman"/>
          <w:b/>
          <w:bCs/>
          <w:sz w:val="20"/>
          <w:szCs w:val="20"/>
        </w:rPr>
      </w:pPr>
    </w:p>
    <w:p w:rsidR="0055380F" w:rsidRPr="00694E72" w:rsidRDefault="00D471AA" w:rsidP="00E72B14">
      <w:pPr>
        <w:snapToGrid w:val="0"/>
        <w:spacing w:after="0" w:line="240" w:lineRule="auto"/>
        <w:jc w:val="center"/>
        <w:rPr>
          <w:rFonts w:ascii="Times New Roman" w:hAnsi="Times New Roman" w:cs="Times New Roman"/>
          <w:sz w:val="20"/>
          <w:szCs w:val="20"/>
          <w:vertAlign w:val="superscript"/>
          <w:lang w:eastAsia="zh-CN"/>
        </w:rPr>
      </w:pPr>
      <w:proofErr w:type="spellStart"/>
      <w:r w:rsidRPr="00694E72">
        <w:rPr>
          <w:rFonts w:ascii="Times New Roman" w:eastAsia="Times New Roman" w:hAnsi="Times New Roman" w:cs="Times New Roman"/>
          <w:sz w:val="20"/>
          <w:szCs w:val="20"/>
        </w:rPr>
        <w:t>Reham</w:t>
      </w:r>
      <w:proofErr w:type="spellEnd"/>
      <w:r w:rsidRPr="00694E72">
        <w:rPr>
          <w:rFonts w:ascii="Times New Roman" w:eastAsia="Times New Roman" w:hAnsi="Times New Roman" w:cs="Times New Roman"/>
          <w:sz w:val="20"/>
          <w:szCs w:val="20"/>
        </w:rPr>
        <w:t xml:space="preserve"> Rashed</w:t>
      </w:r>
      <w:r w:rsidRPr="00694E72">
        <w:rPr>
          <w:rFonts w:ascii="Times New Roman" w:eastAsia="Times New Roman" w:hAnsi="Times New Roman" w:cs="Times New Roman"/>
          <w:sz w:val="20"/>
          <w:szCs w:val="20"/>
          <w:vertAlign w:val="superscript"/>
        </w:rPr>
        <w:t>1</w:t>
      </w:r>
      <w:r w:rsidRPr="00694E72">
        <w:rPr>
          <w:rFonts w:ascii="Times New Roman" w:eastAsia="Times New Roman" w:hAnsi="Times New Roman" w:cs="Times New Roman"/>
          <w:sz w:val="20"/>
          <w:szCs w:val="20"/>
        </w:rPr>
        <w:t xml:space="preserve">, </w:t>
      </w:r>
      <w:proofErr w:type="spellStart"/>
      <w:r w:rsidRPr="00694E72">
        <w:rPr>
          <w:rFonts w:ascii="Times New Roman" w:eastAsia="Times New Roman" w:hAnsi="Times New Roman" w:cs="Times New Roman"/>
          <w:sz w:val="20"/>
          <w:szCs w:val="20"/>
        </w:rPr>
        <w:t>Roxan</w:t>
      </w:r>
      <w:proofErr w:type="spellEnd"/>
      <w:r w:rsidRPr="00694E72">
        <w:rPr>
          <w:rFonts w:ascii="Times New Roman" w:eastAsia="Times New Roman" w:hAnsi="Times New Roman" w:cs="Times New Roman"/>
          <w:sz w:val="20"/>
          <w:szCs w:val="20"/>
        </w:rPr>
        <w:t xml:space="preserve"> Ezzat</w:t>
      </w:r>
      <w:r w:rsidR="0055380F" w:rsidRPr="00694E72">
        <w:rPr>
          <w:rFonts w:ascii="Times New Roman" w:eastAsia="Times New Roman" w:hAnsi="Times New Roman" w:cs="Times New Roman"/>
          <w:sz w:val="20"/>
          <w:szCs w:val="20"/>
          <w:vertAlign w:val="superscript"/>
        </w:rPr>
        <w:t>1</w:t>
      </w:r>
      <w:r w:rsidRPr="00694E72">
        <w:rPr>
          <w:rFonts w:ascii="Times New Roman" w:eastAsia="Times New Roman" w:hAnsi="Times New Roman" w:cs="Times New Roman"/>
          <w:sz w:val="20"/>
          <w:szCs w:val="20"/>
        </w:rPr>
        <w:t xml:space="preserve">, </w:t>
      </w:r>
      <w:proofErr w:type="spellStart"/>
      <w:r w:rsidRPr="00694E72">
        <w:rPr>
          <w:rFonts w:ascii="Times New Roman" w:eastAsia="Times New Roman" w:hAnsi="Times New Roman" w:cs="Times New Roman"/>
          <w:sz w:val="20"/>
          <w:szCs w:val="20"/>
        </w:rPr>
        <w:t>Nevine</w:t>
      </w:r>
      <w:proofErr w:type="spellEnd"/>
      <w:r w:rsidRPr="00694E72">
        <w:rPr>
          <w:rFonts w:ascii="Times New Roman" w:eastAsia="Times New Roman" w:hAnsi="Times New Roman" w:cs="Times New Roman"/>
          <w:sz w:val="20"/>
          <w:szCs w:val="20"/>
        </w:rPr>
        <w:t xml:space="preserve"> Fawzy</w:t>
      </w:r>
      <w:r w:rsidR="0055380F" w:rsidRPr="00694E72">
        <w:rPr>
          <w:rFonts w:ascii="Times New Roman" w:eastAsia="Times New Roman" w:hAnsi="Times New Roman" w:cs="Times New Roman"/>
          <w:sz w:val="20"/>
          <w:szCs w:val="20"/>
          <w:vertAlign w:val="superscript"/>
        </w:rPr>
        <w:t>1</w:t>
      </w:r>
      <w:r w:rsidRPr="00694E72">
        <w:rPr>
          <w:rFonts w:ascii="Times New Roman" w:eastAsia="Times New Roman" w:hAnsi="Times New Roman" w:cs="Times New Roman"/>
          <w:sz w:val="20"/>
          <w:szCs w:val="20"/>
        </w:rPr>
        <w:t xml:space="preserve">, and </w:t>
      </w:r>
      <w:proofErr w:type="spellStart"/>
      <w:r w:rsidRPr="00694E72">
        <w:rPr>
          <w:rFonts w:ascii="Times New Roman" w:eastAsia="Times New Roman" w:hAnsi="Times New Roman" w:cs="Times New Roman"/>
          <w:sz w:val="20"/>
          <w:szCs w:val="20"/>
        </w:rPr>
        <w:t>Hanan</w:t>
      </w:r>
      <w:proofErr w:type="spellEnd"/>
      <w:r w:rsidRPr="00694E72">
        <w:rPr>
          <w:rFonts w:ascii="Times New Roman" w:eastAsia="Times New Roman" w:hAnsi="Times New Roman" w:cs="Times New Roman"/>
          <w:sz w:val="20"/>
          <w:szCs w:val="20"/>
        </w:rPr>
        <w:t xml:space="preserve"> Ezzat</w:t>
      </w:r>
      <w:r w:rsidRPr="00694E72">
        <w:rPr>
          <w:rFonts w:ascii="Times New Roman" w:eastAsia="Times New Roman" w:hAnsi="Times New Roman" w:cs="Times New Roman"/>
          <w:sz w:val="20"/>
          <w:szCs w:val="20"/>
          <w:vertAlign w:val="superscript"/>
        </w:rPr>
        <w:t>2</w:t>
      </w:r>
    </w:p>
    <w:p w:rsidR="00E72B14" w:rsidRPr="00694E72" w:rsidRDefault="00E72B14" w:rsidP="00E72B14">
      <w:pPr>
        <w:snapToGrid w:val="0"/>
        <w:spacing w:after="0" w:line="240" w:lineRule="auto"/>
        <w:jc w:val="center"/>
        <w:rPr>
          <w:rFonts w:ascii="Times New Roman" w:hAnsi="Times New Roman" w:cs="Times New Roman"/>
          <w:sz w:val="20"/>
          <w:szCs w:val="20"/>
          <w:lang w:eastAsia="zh-CN"/>
        </w:rPr>
      </w:pPr>
    </w:p>
    <w:p w:rsidR="00D471AA" w:rsidRPr="00694E72" w:rsidRDefault="00D471AA" w:rsidP="00E72B14">
      <w:pPr>
        <w:snapToGrid w:val="0"/>
        <w:spacing w:after="0" w:line="240" w:lineRule="auto"/>
        <w:jc w:val="center"/>
        <w:rPr>
          <w:rFonts w:ascii="Times New Roman" w:eastAsia="Times New Roman" w:hAnsi="Times New Roman" w:cs="Times New Roman"/>
          <w:sz w:val="20"/>
          <w:szCs w:val="20"/>
        </w:rPr>
      </w:pPr>
      <w:r w:rsidRPr="00694E72">
        <w:rPr>
          <w:rFonts w:ascii="Times New Roman" w:eastAsia="Times New Roman" w:hAnsi="Times New Roman" w:cs="Times New Roman"/>
          <w:sz w:val="20"/>
          <w:szCs w:val="20"/>
        </w:rPr>
        <w:t>Departments of</w:t>
      </w:r>
      <w:r w:rsidR="00694E72" w:rsidRPr="00694E72">
        <w:rPr>
          <w:rFonts w:ascii="Times New Roman" w:hAnsi="Times New Roman" w:cs="Times New Roman" w:hint="eastAsia"/>
          <w:sz w:val="20"/>
          <w:szCs w:val="20"/>
          <w:lang w:eastAsia="zh-CN"/>
        </w:rPr>
        <w:t xml:space="preserve"> </w:t>
      </w:r>
      <w:r w:rsidRPr="00694E72">
        <w:rPr>
          <w:rFonts w:ascii="Times New Roman" w:eastAsia="Times New Roman" w:hAnsi="Times New Roman" w:cs="Times New Roman"/>
          <w:sz w:val="20"/>
          <w:szCs w:val="20"/>
          <w:vertAlign w:val="superscript"/>
        </w:rPr>
        <w:t>1</w:t>
      </w:r>
      <w:r w:rsidRPr="00694E72">
        <w:rPr>
          <w:rFonts w:ascii="Times New Roman" w:eastAsia="Times New Roman" w:hAnsi="Times New Roman" w:cs="Times New Roman"/>
          <w:sz w:val="20"/>
          <w:szCs w:val="20"/>
        </w:rPr>
        <w:t xml:space="preserve">Clinical Pathology; </w:t>
      </w:r>
      <w:r w:rsidRPr="00694E72">
        <w:rPr>
          <w:rFonts w:ascii="Times New Roman" w:eastAsia="Times New Roman" w:hAnsi="Times New Roman" w:cs="Times New Roman"/>
          <w:sz w:val="20"/>
          <w:szCs w:val="20"/>
          <w:vertAlign w:val="superscript"/>
        </w:rPr>
        <w:t>2</w:t>
      </w:r>
      <w:r w:rsidRPr="00694E72">
        <w:rPr>
          <w:rFonts w:ascii="Times New Roman" w:eastAsia="Times New Roman" w:hAnsi="Times New Roman" w:cs="Times New Roman"/>
          <w:sz w:val="20"/>
          <w:szCs w:val="20"/>
        </w:rPr>
        <w:t xml:space="preserve"> Medical Oncology</w:t>
      </w:r>
      <w:r w:rsidR="00E3243B" w:rsidRPr="00694E72">
        <w:rPr>
          <w:rFonts w:ascii="Times New Roman" w:eastAsia="Times New Roman" w:hAnsi="Times New Roman" w:cs="Times New Roman"/>
          <w:sz w:val="20"/>
          <w:szCs w:val="20"/>
        </w:rPr>
        <w:t xml:space="preserve">, </w:t>
      </w:r>
      <w:r w:rsidRPr="00694E72">
        <w:rPr>
          <w:rFonts w:ascii="Times New Roman" w:eastAsia="Times New Roman" w:hAnsi="Times New Roman" w:cs="Times New Roman"/>
          <w:sz w:val="20"/>
          <w:szCs w:val="20"/>
        </w:rPr>
        <w:t>National Cancer Institute, Cairo University, Cairo, Egypt</w:t>
      </w:r>
    </w:p>
    <w:p w:rsidR="00D471AA" w:rsidRPr="00694E72" w:rsidRDefault="009C5FE0" w:rsidP="00E72B14">
      <w:pPr>
        <w:snapToGrid w:val="0"/>
        <w:spacing w:after="0" w:line="240" w:lineRule="auto"/>
        <w:jc w:val="center"/>
        <w:rPr>
          <w:rFonts w:ascii="Times New Roman" w:eastAsia="Times New Roman" w:hAnsi="Times New Roman" w:cs="Times New Roman"/>
          <w:sz w:val="20"/>
          <w:szCs w:val="20"/>
        </w:rPr>
      </w:pPr>
      <w:hyperlink r:id="rId7" w:history="1">
        <w:r w:rsidR="0055380F" w:rsidRPr="00694E72">
          <w:rPr>
            <w:rStyle w:val="Hyperlink"/>
            <w:rFonts w:ascii="Times New Roman" w:eastAsia="Times New Roman" w:hAnsi="Times New Roman" w:cs="Times New Roman"/>
            <w:sz w:val="20"/>
            <w:szCs w:val="20"/>
          </w:rPr>
          <w:t>Reham_r9@yahoo.com</w:t>
        </w:r>
      </w:hyperlink>
    </w:p>
    <w:p w:rsidR="00D471AA" w:rsidRPr="00694E72" w:rsidRDefault="00D471AA" w:rsidP="00E72B14">
      <w:pPr>
        <w:snapToGrid w:val="0"/>
        <w:spacing w:after="0" w:line="240" w:lineRule="auto"/>
        <w:jc w:val="center"/>
        <w:rPr>
          <w:rFonts w:ascii="Times New Roman" w:hAnsi="Times New Roman" w:cs="Times New Roman"/>
          <w:b/>
          <w:bCs/>
          <w:i/>
          <w:iCs/>
          <w:sz w:val="20"/>
          <w:szCs w:val="20"/>
        </w:rPr>
      </w:pPr>
    </w:p>
    <w:p w:rsidR="00953A49" w:rsidRPr="00694E72" w:rsidRDefault="00953A49" w:rsidP="00E72B14">
      <w:pPr>
        <w:snapToGrid w:val="0"/>
        <w:spacing w:after="0" w:line="240" w:lineRule="auto"/>
        <w:jc w:val="both"/>
        <w:rPr>
          <w:rFonts w:ascii="Times New Roman" w:hAnsi="Times New Roman" w:cs="Times New Roman"/>
          <w:sz w:val="20"/>
          <w:szCs w:val="20"/>
        </w:rPr>
      </w:pPr>
      <w:r w:rsidRPr="00694E72">
        <w:rPr>
          <w:rFonts w:ascii="Times New Roman" w:hAnsi="Times New Roman" w:cs="Times New Roman"/>
          <w:b/>
          <w:bCs/>
          <w:i/>
          <w:iCs/>
          <w:sz w:val="20"/>
          <w:szCs w:val="20"/>
        </w:rPr>
        <w:t>Abstract:</w:t>
      </w:r>
      <w:r w:rsidR="00694E72" w:rsidRPr="00694E72">
        <w:rPr>
          <w:rFonts w:ascii="Times New Roman" w:hAnsi="Times New Roman" w:cs="Times New Roman" w:hint="eastAsia"/>
          <w:b/>
          <w:bCs/>
          <w:i/>
          <w:iCs/>
          <w:sz w:val="20"/>
          <w:szCs w:val="20"/>
          <w:lang w:eastAsia="zh-CN"/>
        </w:rPr>
        <w:t xml:space="preserve"> </w:t>
      </w:r>
      <w:r w:rsidRPr="00694E72">
        <w:rPr>
          <w:rFonts w:ascii="Times New Roman" w:hAnsi="Times New Roman" w:cs="Times New Roman"/>
          <w:b/>
          <w:bCs/>
          <w:i/>
          <w:iCs/>
          <w:sz w:val="20"/>
          <w:szCs w:val="20"/>
        </w:rPr>
        <w:t>Background</w:t>
      </w:r>
      <w:r w:rsidRPr="00694E72">
        <w:rPr>
          <w:rFonts w:ascii="Times New Roman" w:hAnsi="Times New Roman" w:cs="Times New Roman"/>
          <w:b/>
          <w:bCs/>
          <w:sz w:val="20"/>
          <w:szCs w:val="20"/>
        </w:rPr>
        <w:t>:</w:t>
      </w:r>
      <w:r w:rsidRPr="00694E72">
        <w:rPr>
          <w:rFonts w:ascii="Times New Roman" w:hAnsi="Times New Roman" w:cs="Times New Roman"/>
          <w:sz w:val="20"/>
          <w:szCs w:val="20"/>
        </w:rPr>
        <w:t xml:space="preserve"> Acute myeloid leukemia (</w:t>
      </w:r>
      <w:smartTag w:uri="urn:schemas-microsoft-com:office:smarttags" w:element="stockticker">
        <w:r w:rsidRPr="00694E72">
          <w:rPr>
            <w:rFonts w:ascii="Times New Roman" w:hAnsi="Times New Roman" w:cs="Times New Roman"/>
            <w:sz w:val="20"/>
            <w:szCs w:val="20"/>
          </w:rPr>
          <w:t>AML</w:t>
        </w:r>
      </w:smartTag>
      <w:r w:rsidRPr="00694E72">
        <w:rPr>
          <w:rFonts w:ascii="Times New Roman" w:hAnsi="Times New Roman" w:cs="Times New Roman"/>
          <w:sz w:val="20"/>
          <w:szCs w:val="20"/>
        </w:rPr>
        <w:t xml:space="preserve">) is a cytogenetically </w:t>
      </w:r>
      <w:r w:rsidR="000F2E48" w:rsidRPr="00694E72">
        <w:rPr>
          <w:rFonts w:ascii="Times New Roman" w:hAnsi="Times New Roman" w:cs="Times New Roman"/>
          <w:sz w:val="20"/>
          <w:szCs w:val="20"/>
        </w:rPr>
        <w:t>and molecularly heterogeneous di</w:t>
      </w:r>
      <w:r w:rsidRPr="00694E72">
        <w:rPr>
          <w:rFonts w:ascii="Times New Roman" w:hAnsi="Times New Roman" w:cs="Times New Roman"/>
          <w:sz w:val="20"/>
          <w:szCs w:val="20"/>
        </w:rPr>
        <w:t>sease</w:t>
      </w:r>
      <w:r w:rsidR="00DB061C" w:rsidRPr="00694E72">
        <w:rPr>
          <w:rFonts w:ascii="Times New Roman" w:hAnsi="Times New Roman" w:cs="Times New Roman"/>
          <w:sz w:val="20"/>
          <w:szCs w:val="20"/>
        </w:rPr>
        <w:t>s</w:t>
      </w:r>
      <w:r w:rsidR="000757AD" w:rsidRPr="00694E72">
        <w:rPr>
          <w:rFonts w:ascii="Times New Roman" w:hAnsi="Times New Roman" w:cs="Times New Roman"/>
          <w:sz w:val="20"/>
          <w:szCs w:val="20"/>
        </w:rPr>
        <w:t xml:space="preserve"> and</w:t>
      </w:r>
      <w:r w:rsidRPr="00694E72">
        <w:rPr>
          <w:rFonts w:ascii="Times New Roman" w:hAnsi="Times New Roman" w:cs="Times New Roman"/>
          <w:sz w:val="20"/>
          <w:szCs w:val="20"/>
        </w:rPr>
        <w:t xml:space="preserve"> characterization of transforming genetic events is becoming increasingly important. Interleukins (ILs) are a diverse set of small cell signaling protein molecules. Single nucleotide polymorphisms (SNPs) of ILs</w:t>
      </w:r>
      <w:r w:rsidR="00195008" w:rsidRPr="00694E72">
        <w:rPr>
          <w:rFonts w:ascii="Times New Roman" w:hAnsi="Times New Roman" w:cs="Times New Roman"/>
          <w:sz w:val="20"/>
          <w:szCs w:val="20"/>
        </w:rPr>
        <w:t xml:space="preserve"> alter their function, increasing</w:t>
      </w:r>
      <w:r w:rsidRPr="00694E72">
        <w:rPr>
          <w:rFonts w:ascii="Times New Roman" w:hAnsi="Times New Roman" w:cs="Times New Roman"/>
          <w:sz w:val="20"/>
          <w:szCs w:val="20"/>
        </w:rPr>
        <w:t xml:space="preserve"> susceptibility to different diseases. </w:t>
      </w:r>
      <w:r w:rsidRPr="00694E72">
        <w:rPr>
          <w:rFonts w:ascii="Times New Roman" w:hAnsi="Times New Roman" w:cs="Times New Roman"/>
          <w:b/>
          <w:bCs/>
          <w:i/>
          <w:iCs/>
          <w:sz w:val="20"/>
          <w:szCs w:val="20"/>
        </w:rPr>
        <w:t>Methods:</w:t>
      </w:r>
      <w:r w:rsidRPr="00694E72">
        <w:rPr>
          <w:rFonts w:ascii="Times New Roman" w:hAnsi="Times New Roman" w:cs="Times New Roman"/>
          <w:sz w:val="20"/>
          <w:szCs w:val="20"/>
        </w:rPr>
        <w:t xml:space="preserve"> We </w:t>
      </w:r>
      <w:r w:rsidR="00153A3E" w:rsidRPr="00694E72">
        <w:rPr>
          <w:rFonts w:ascii="Times New Roman" w:hAnsi="Times New Roman" w:cs="Times New Roman"/>
          <w:sz w:val="20"/>
          <w:szCs w:val="20"/>
        </w:rPr>
        <w:t>investigated</w:t>
      </w:r>
      <w:r w:rsidRPr="00694E72">
        <w:rPr>
          <w:rFonts w:ascii="Times New Roman" w:hAnsi="Times New Roman" w:cs="Times New Roman"/>
          <w:sz w:val="20"/>
          <w:szCs w:val="20"/>
        </w:rPr>
        <w:t xml:space="preserve"> the association </w:t>
      </w:r>
      <w:r w:rsidR="00153A3E" w:rsidRPr="00694E72">
        <w:rPr>
          <w:rFonts w:ascii="Times New Roman" w:hAnsi="Times New Roman" w:cs="Times New Roman"/>
          <w:sz w:val="20"/>
          <w:szCs w:val="20"/>
        </w:rPr>
        <w:t xml:space="preserve">between polymorphism in </w:t>
      </w:r>
      <w:r w:rsidRPr="00694E72">
        <w:rPr>
          <w:rFonts w:ascii="Times New Roman" w:hAnsi="Times New Roman" w:cs="Times New Roman"/>
          <w:sz w:val="20"/>
          <w:szCs w:val="20"/>
        </w:rPr>
        <w:t>interleukin</w:t>
      </w:r>
      <w:r w:rsidR="00195008" w:rsidRPr="00694E72">
        <w:rPr>
          <w:rFonts w:ascii="Times New Roman" w:hAnsi="Times New Roman" w:cs="Times New Roman"/>
          <w:sz w:val="20"/>
          <w:szCs w:val="20"/>
        </w:rPr>
        <w:t xml:space="preserve">-10 (IL-10) </w:t>
      </w:r>
      <w:r w:rsidR="00153A3E" w:rsidRPr="00694E72">
        <w:rPr>
          <w:rFonts w:ascii="Times New Roman" w:hAnsi="Times New Roman" w:cs="Times New Roman"/>
          <w:sz w:val="20"/>
          <w:szCs w:val="20"/>
        </w:rPr>
        <w:t>-819T/C (</w:t>
      </w:r>
      <w:proofErr w:type="spellStart"/>
      <w:r w:rsidR="00153A3E" w:rsidRPr="00694E72">
        <w:rPr>
          <w:rFonts w:ascii="Times New Roman" w:hAnsi="Times New Roman" w:cs="Times New Roman"/>
          <w:sz w:val="20"/>
          <w:szCs w:val="20"/>
        </w:rPr>
        <w:t>rs</w:t>
      </w:r>
      <w:proofErr w:type="spellEnd"/>
      <w:r w:rsidR="00153A3E" w:rsidRPr="00694E72">
        <w:rPr>
          <w:rFonts w:ascii="Times New Roman" w:hAnsi="Times New Roman" w:cs="Times New Roman"/>
          <w:sz w:val="20"/>
          <w:szCs w:val="20"/>
        </w:rPr>
        <w:t xml:space="preserve"> 1800871)</w:t>
      </w:r>
      <w:r w:rsidR="00CF486C" w:rsidRPr="00694E72">
        <w:rPr>
          <w:rFonts w:ascii="Times New Roman" w:hAnsi="Times New Roman" w:cs="Times New Roman"/>
          <w:sz w:val="20"/>
          <w:szCs w:val="20"/>
        </w:rPr>
        <w:t xml:space="preserve"> and the risk of AML</w:t>
      </w:r>
      <w:r w:rsidR="00153A3E" w:rsidRPr="00694E72">
        <w:rPr>
          <w:rFonts w:ascii="Times New Roman" w:hAnsi="Times New Roman" w:cs="Times New Roman"/>
          <w:sz w:val="20"/>
          <w:szCs w:val="20"/>
        </w:rPr>
        <w:t xml:space="preserve"> in the Egyptian population.</w:t>
      </w:r>
      <w:r w:rsidR="00A34876" w:rsidRPr="00694E72">
        <w:rPr>
          <w:rFonts w:ascii="Times New Roman" w:hAnsi="Times New Roman" w:cs="Times New Roman"/>
          <w:sz w:val="20"/>
          <w:szCs w:val="20"/>
        </w:rPr>
        <w:t xml:space="preserve"> DNA was isolated from bone marrow of </w:t>
      </w:r>
      <w:r w:rsidR="00153A3E" w:rsidRPr="00694E72">
        <w:rPr>
          <w:rFonts w:ascii="Times New Roman" w:hAnsi="Times New Roman" w:cs="Times New Roman"/>
          <w:sz w:val="20"/>
          <w:szCs w:val="20"/>
        </w:rPr>
        <w:t>80</w:t>
      </w:r>
      <w:r w:rsidRPr="00694E72">
        <w:rPr>
          <w:rFonts w:ascii="Times New Roman" w:hAnsi="Times New Roman" w:cs="Times New Roman"/>
          <w:sz w:val="20"/>
          <w:szCs w:val="20"/>
        </w:rPr>
        <w:t xml:space="preserve"> new</w:t>
      </w:r>
      <w:r w:rsidR="00195008" w:rsidRPr="00694E72">
        <w:rPr>
          <w:rFonts w:ascii="Times New Roman" w:hAnsi="Times New Roman" w:cs="Times New Roman"/>
          <w:sz w:val="20"/>
          <w:szCs w:val="20"/>
        </w:rPr>
        <w:t>ly diagnosed</w:t>
      </w:r>
      <w:r w:rsidR="00073794" w:rsidRPr="00694E72">
        <w:rPr>
          <w:rFonts w:ascii="Times New Roman" w:hAnsi="Times New Roman" w:cs="Times New Roman"/>
          <w:sz w:val="20"/>
          <w:szCs w:val="20"/>
        </w:rPr>
        <w:t xml:space="preserve"> adult</w:t>
      </w:r>
      <w:r w:rsidR="00195008" w:rsidRPr="00694E72">
        <w:rPr>
          <w:rFonts w:ascii="Times New Roman" w:hAnsi="Times New Roman" w:cs="Times New Roman"/>
          <w:sz w:val="20"/>
          <w:szCs w:val="20"/>
        </w:rPr>
        <w:t xml:space="preserve"> AML patients, and </w:t>
      </w:r>
      <w:r w:rsidR="00153A3E" w:rsidRPr="00694E72">
        <w:rPr>
          <w:rFonts w:ascii="Times New Roman" w:hAnsi="Times New Roman" w:cs="Times New Roman"/>
          <w:sz w:val="20"/>
          <w:szCs w:val="20"/>
        </w:rPr>
        <w:t>85</w:t>
      </w:r>
      <w:r w:rsidRPr="00694E72">
        <w:rPr>
          <w:rFonts w:ascii="Times New Roman" w:hAnsi="Times New Roman" w:cs="Times New Roman"/>
          <w:sz w:val="20"/>
          <w:szCs w:val="20"/>
        </w:rPr>
        <w:t xml:space="preserve"> age and sex matched controls. Genetic analysis of IL-10</w:t>
      </w:r>
      <w:r w:rsidR="00195008" w:rsidRPr="00694E72">
        <w:rPr>
          <w:rFonts w:ascii="Times New Roman" w:hAnsi="Times New Roman" w:cs="Times New Roman"/>
          <w:sz w:val="20"/>
          <w:szCs w:val="20"/>
        </w:rPr>
        <w:t xml:space="preserve"> SNPs at -819T/C was </w:t>
      </w:r>
      <w:r w:rsidR="00B2525F" w:rsidRPr="00694E72">
        <w:rPr>
          <w:rFonts w:ascii="Times New Roman" w:hAnsi="Times New Roman" w:cs="Times New Roman"/>
          <w:sz w:val="20"/>
          <w:szCs w:val="20"/>
        </w:rPr>
        <w:t>assayed by polymerase</w:t>
      </w:r>
      <w:r w:rsidRPr="00694E72">
        <w:rPr>
          <w:rFonts w:ascii="Times New Roman" w:hAnsi="Times New Roman" w:cs="Times New Roman"/>
          <w:sz w:val="20"/>
          <w:szCs w:val="20"/>
        </w:rPr>
        <w:t xml:space="preserve"> chain reaction-restriction fragment length polymorphism (</w:t>
      </w:r>
      <w:smartTag w:uri="urn:schemas-microsoft-com:office:smarttags" w:element="stockticker">
        <w:r w:rsidRPr="00694E72">
          <w:rPr>
            <w:rFonts w:ascii="Times New Roman" w:hAnsi="Times New Roman" w:cs="Times New Roman"/>
            <w:sz w:val="20"/>
            <w:szCs w:val="20"/>
          </w:rPr>
          <w:t>PCR</w:t>
        </w:r>
      </w:smartTag>
      <w:r w:rsidR="00195008" w:rsidRPr="00694E72">
        <w:rPr>
          <w:rFonts w:ascii="Times New Roman" w:hAnsi="Times New Roman" w:cs="Times New Roman"/>
          <w:sz w:val="20"/>
          <w:szCs w:val="20"/>
        </w:rPr>
        <w:t>-RFLP)</w:t>
      </w:r>
      <w:r w:rsidRPr="00694E72">
        <w:rPr>
          <w:rFonts w:ascii="Times New Roman" w:hAnsi="Times New Roman" w:cs="Times New Roman"/>
          <w:sz w:val="20"/>
          <w:szCs w:val="20"/>
        </w:rPr>
        <w:t xml:space="preserve">. </w:t>
      </w:r>
      <w:r w:rsidRPr="00694E72">
        <w:rPr>
          <w:rFonts w:ascii="Times New Roman" w:hAnsi="Times New Roman" w:cs="Times New Roman"/>
          <w:b/>
          <w:bCs/>
          <w:i/>
          <w:iCs/>
          <w:sz w:val="20"/>
          <w:szCs w:val="20"/>
        </w:rPr>
        <w:t>Results</w:t>
      </w:r>
      <w:r w:rsidRPr="00694E72">
        <w:rPr>
          <w:rFonts w:ascii="Times New Roman" w:hAnsi="Times New Roman" w:cs="Times New Roman"/>
          <w:b/>
          <w:bCs/>
          <w:sz w:val="20"/>
          <w:szCs w:val="20"/>
        </w:rPr>
        <w:t>:</w:t>
      </w:r>
      <w:r w:rsidR="00694E72" w:rsidRPr="00694E72">
        <w:rPr>
          <w:rFonts w:ascii="Times New Roman" w:hAnsi="Times New Roman" w:cs="Times New Roman" w:hint="eastAsia"/>
          <w:b/>
          <w:bCs/>
          <w:sz w:val="20"/>
          <w:szCs w:val="20"/>
          <w:lang w:eastAsia="zh-CN"/>
        </w:rPr>
        <w:t xml:space="preserve"> </w:t>
      </w:r>
      <w:r w:rsidR="00B16829" w:rsidRPr="00694E72">
        <w:rPr>
          <w:rFonts w:ascii="Times New Roman" w:hAnsi="Times New Roman" w:cs="Times New Roman"/>
          <w:sz w:val="20"/>
          <w:szCs w:val="20"/>
        </w:rPr>
        <w:t>Genetic analysis of IL-10 revealed that the</w:t>
      </w:r>
      <w:r w:rsidR="006672AC" w:rsidRPr="00694E72">
        <w:rPr>
          <w:rFonts w:ascii="Times New Roman" w:hAnsi="Times New Roman" w:cs="Times New Roman"/>
          <w:sz w:val="20"/>
          <w:szCs w:val="20"/>
        </w:rPr>
        <w:t xml:space="preserve"> Egyptians have high -819 T allele frequencies in apparently healthy controls</w:t>
      </w:r>
      <w:r w:rsidR="00694E72" w:rsidRPr="00694E72">
        <w:rPr>
          <w:rFonts w:ascii="Times New Roman" w:hAnsi="Times New Roman" w:cs="Times New Roman" w:hint="eastAsia"/>
          <w:sz w:val="20"/>
          <w:szCs w:val="20"/>
          <w:lang w:eastAsia="zh-CN"/>
        </w:rPr>
        <w:t xml:space="preserve"> </w:t>
      </w:r>
      <w:r w:rsidR="006672AC" w:rsidRPr="00694E72">
        <w:rPr>
          <w:rFonts w:ascii="Times New Roman" w:hAnsi="Times New Roman" w:cs="Times New Roman"/>
          <w:sz w:val="20"/>
          <w:szCs w:val="20"/>
        </w:rPr>
        <w:t xml:space="preserve">while </w:t>
      </w:r>
      <w:r w:rsidR="00F002BF" w:rsidRPr="00694E72">
        <w:rPr>
          <w:rFonts w:ascii="Times New Roman" w:hAnsi="Times New Roman" w:cs="Times New Roman"/>
          <w:sz w:val="20"/>
          <w:szCs w:val="20"/>
        </w:rPr>
        <w:t>-819CC genotype</w:t>
      </w:r>
      <w:r w:rsidR="00B16829" w:rsidRPr="00694E72">
        <w:rPr>
          <w:rFonts w:ascii="Times New Roman" w:hAnsi="Times New Roman" w:cs="Times New Roman"/>
          <w:sz w:val="20"/>
          <w:szCs w:val="20"/>
        </w:rPr>
        <w:t xml:space="preserve"> and the -819C allele frequencies in the AML group wer</w:t>
      </w:r>
      <w:r w:rsidR="0071366C" w:rsidRPr="00694E72">
        <w:rPr>
          <w:rFonts w:ascii="Times New Roman" w:hAnsi="Times New Roman" w:cs="Times New Roman"/>
          <w:sz w:val="20"/>
          <w:szCs w:val="20"/>
        </w:rPr>
        <w:t>e higher than in the controls (</w:t>
      </w:r>
      <w:r w:rsidR="0071366C" w:rsidRPr="00694E72">
        <w:rPr>
          <w:rFonts w:ascii="Times New Roman" w:hAnsi="Times New Roman" w:cs="Times New Roman"/>
          <w:i/>
          <w:iCs/>
          <w:sz w:val="20"/>
          <w:szCs w:val="20"/>
        </w:rPr>
        <w:t>P</w:t>
      </w:r>
      <w:r w:rsidR="00E65488" w:rsidRPr="00694E72">
        <w:rPr>
          <w:rFonts w:ascii="Times New Roman" w:hAnsi="Times New Roman" w:cs="Times New Roman"/>
          <w:sz w:val="20"/>
          <w:szCs w:val="20"/>
        </w:rPr>
        <w:t>=0.000086</w:t>
      </w:r>
      <w:r w:rsidR="00B16829" w:rsidRPr="00694E72">
        <w:rPr>
          <w:rFonts w:ascii="Times New Roman" w:hAnsi="Times New Roman" w:cs="Times New Roman"/>
          <w:sz w:val="20"/>
          <w:szCs w:val="20"/>
        </w:rPr>
        <w:t>)</w:t>
      </w:r>
      <w:r w:rsidR="00DC19C1" w:rsidRPr="00694E72">
        <w:rPr>
          <w:rFonts w:ascii="Times New Roman" w:hAnsi="Times New Roman" w:cs="Times New Roman"/>
          <w:sz w:val="20"/>
          <w:szCs w:val="20"/>
        </w:rPr>
        <w:t>.</w:t>
      </w:r>
      <w:r w:rsidR="00694E72" w:rsidRPr="00694E72">
        <w:rPr>
          <w:rFonts w:ascii="Times New Roman" w:hAnsi="Times New Roman" w:cs="Times New Roman"/>
          <w:sz w:val="20"/>
          <w:szCs w:val="20"/>
        </w:rPr>
        <w:t xml:space="preserve"> </w:t>
      </w:r>
      <w:r w:rsidR="00B16829" w:rsidRPr="00694E72">
        <w:rPr>
          <w:rFonts w:ascii="Times New Roman" w:hAnsi="Times New Roman" w:cs="Times New Roman"/>
          <w:sz w:val="20"/>
          <w:szCs w:val="20"/>
        </w:rPr>
        <w:t xml:space="preserve">The study suggested </w:t>
      </w:r>
      <w:r w:rsidR="00E60111" w:rsidRPr="00694E72">
        <w:rPr>
          <w:rFonts w:ascii="Times New Roman" w:hAnsi="Times New Roman" w:cs="Times New Roman"/>
          <w:sz w:val="20"/>
          <w:szCs w:val="20"/>
        </w:rPr>
        <w:t xml:space="preserve">that subjects carrying the </w:t>
      </w:r>
      <w:proofErr w:type="spellStart"/>
      <w:r w:rsidR="00E60111" w:rsidRPr="00694E72">
        <w:rPr>
          <w:rFonts w:ascii="Times New Roman" w:hAnsi="Times New Roman" w:cs="Times New Roman"/>
          <w:sz w:val="20"/>
          <w:szCs w:val="20"/>
        </w:rPr>
        <w:t>rs</w:t>
      </w:r>
      <w:proofErr w:type="spellEnd"/>
      <w:r w:rsidR="00E60111" w:rsidRPr="00694E72">
        <w:rPr>
          <w:rFonts w:ascii="Times New Roman" w:hAnsi="Times New Roman" w:cs="Times New Roman"/>
          <w:sz w:val="20"/>
          <w:szCs w:val="20"/>
        </w:rPr>
        <w:t xml:space="preserve"> 1800871 CC</w:t>
      </w:r>
      <w:r w:rsidR="00694E72" w:rsidRPr="00694E72">
        <w:rPr>
          <w:rFonts w:ascii="Times New Roman" w:hAnsi="Times New Roman" w:cs="Times New Roman" w:hint="eastAsia"/>
          <w:sz w:val="20"/>
          <w:szCs w:val="20"/>
          <w:lang w:eastAsia="zh-CN"/>
        </w:rPr>
        <w:t xml:space="preserve"> </w:t>
      </w:r>
      <w:r w:rsidR="00E60111" w:rsidRPr="00694E72">
        <w:rPr>
          <w:rFonts w:ascii="Times New Roman" w:hAnsi="Times New Roman" w:cs="Times New Roman"/>
          <w:sz w:val="20"/>
          <w:szCs w:val="20"/>
        </w:rPr>
        <w:t>genotype and C allele had a</w:t>
      </w:r>
      <w:r w:rsidR="00694E72" w:rsidRPr="00694E72">
        <w:rPr>
          <w:rFonts w:ascii="Times New Roman" w:hAnsi="Times New Roman" w:cs="Times New Roman" w:hint="eastAsia"/>
          <w:sz w:val="20"/>
          <w:szCs w:val="20"/>
          <w:lang w:eastAsia="zh-CN"/>
        </w:rPr>
        <w:t xml:space="preserve"> </w:t>
      </w:r>
      <w:r w:rsidR="00972757" w:rsidRPr="00694E72">
        <w:rPr>
          <w:rFonts w:ascii="Times New Roman" w:hAnsi="Times New Roman" w:cs="Times New Roman"/>
          <w:sz w:val="20"/>
          <w:szCs w:val="20"/>
        </w:rPr>
        <w:t>significantly increased risk for</w:t>
      </w:r>
      <w:r w:rsidR="00E60111" w:rsidRPr="00694E72">
        <w:rPr>
          <w:rFonts w:ascii="Times New Roman" w:hAnsi="Times New Roman" w:cs="Times New Roman"/>
          <w:sz w:val="20"/>
          <w:szCs w:val="20"/>
        </w:rPr>
        <w:t xml:space="preserve"> AML.</w:t>
      </w:r>
      <w:r w:rsidR="00694E72" w:rsidRPr="00694E72">
        <w:rPr>
          <w:rFonts w:ascii="Times New Roman" w:hAnsi="Times New Roman" w:cs="Times New Roman" w:hint="eastAsia"/>
          <w:sz w:val="20"/>
          <w:szCs w:val="20"/>
          <w:lang w:eastAsia="zh-CN"/>
        </w:rPr>
        <w:t xml:space="preserve"> </w:t>
      </w:r>
      <w:r w:rsidRPr="00694E72">
        <w:rPr>
          <w:rFonts w:ascii="Times New Roman" w:hAnsi="Times New Roman" w:cs="Times New Roman"/>
          <w:b/>
          <w:bCs/>
          <w:i/>
          <w:iCs/>
          <w:sz w:val="20"/>
          <w:szCs w:val="20"/>
        </w:rPr>
        <w:t>Conclusion</w:t>
      </w:r>
      <w:r w:rsidRPr="00694E72">
        <w:rPr>
          <w:rFonts w:ascii="Times New Roman" w:hAnsi="Times New Roman" w:cs="Times New Roman"/>
          <w:b/>
          <w:bCs/>
          <w:sz w:val="20"/>
          <w:szCs w:val="20"/>
        </w:rPr>
        <w:t>:</w:t>
      </w:r>
      <w:r w:rsidRPr="00694E72">
        <w:rPr>
          <w:rFonts w:ascii="Times New Roman" w:hAnsi="Times New Roman" w:cs="Times New Roman"/>
          <w:sz w:val="20"/>
          <w:szCs w:val="20"/>
        </w:rPr>
        <w:t xml:space="preserve"> IL-10 </w:t>
      </w:r>
      <w:smartTag w:uri="urn:schemas-microsoft-com:office:smarttags" w:element="stockticker">
        <w:r w:rsidRPr="00694E72">
          <w:rPr>
            <w:rFonts w:ascii="Times New Roman" w:hAnsi="Times New Roman" w:cs="Times New Roman"/>
            <w:sz w:val="20"/>
            <w:szCs w:val="20"/>
          </w:rPr>
          <w:t>SNP</w:t>
        </w:r>
      </w:smartTag>
      <w:r w:rsidRPr="00694E72">
        <w:rPr>
          <w:rFonts w:ascii="Times New Roman" w:hAnsi="Times New Roman" w:cs="Times New Roman"/>
          <w:sz w:val="20"/>
          <w:szCs w:val="20"/>
        </w:rPr>
        <w:t xml:space="preserve"> at -819 was associated with enhanced </w:t>
      </w:r>
      <w:smartTag w:uri="urn:schemas-microsoft-com:office:smarttags" w:element="stockticker">
        <w:r w:rsidRPr="00694E72">
          <w:rPr>
            <w:rFonts w:ascii="Times New Roman" w:hAnsi="Times New Roman" w:cs="Times New Roman"/>
            <w:sz w:val="20"/>
            <w:szCs w:val="20"/>
          </w:rPr>
          <w:t>AML risk</w:t>
        </w:r>
      </w:smartTag>
      <w:r w:rsidRPr="00694E72">
        <w:rPr>
          <w:rFonts w:ascii="Times New Roman" w:hAnsi="Times New Roman" w:cs="Times New Roman"/>
          <w:sz w:val="20"/>
          <w:szCs w:val="20"/>
        </w:rPr>
        <w:t xml:space="preserve">, suggesting </w:t>
      </w:r>
      <w:r w:rsidR="00972757" w:rsidRPr="00694E72">
        <w:rPr>
          <w:rFonts w:ascii="Times New Roman" w:hAnsi="Times New Roman" w:cs="Times New Roman"/>
          <w:sz w:val="20"/>
          <w:szCs w:val="20"/>
        </w:rPr>
        <w:t>that rs1800871</w:t>
      </w:r>
      <w:r w:rsidRPr="00694E72">
        <w:rPr>
          <w:rFonts w:ascii="Times New Roman" w:hAnsi="Times New Roman" w:cs="Times New Roman"/>
          <w:sz w:val="20"/>
          <w:szCs w:val="20"/>
        </w:rPr>
        <w:t xml:space="preserve"> provide</w:t>
      </w:r>
      <w:r w:rsidR="00972757" w:rsidRPr="00694E72">
        <w:rPr>
          <w:rFonts w:ascii="Times New Roman" w:hAnsi="Times New Roman" w:cs="Times New Roman"/>
          <w:sz w:val="20"/>
          <w:szCs w:val="20"/>
        </w:rPr>
        <w:t>s</w:t>
      </w:r>
      <w:r w:rsidRPr="00694E72">
        <w:rPr>
          <w:rFonts w:ascii="Times New Roman" w:hAnsi="Times New Roman" w:cs="Times New Roman"/>
          <w:sz w:val="20"/>
          <w:szCs w:val="20"/>
        </w:rPr>
        <w:t xml:space="preserve"> clue for future studies and early detection of </w:t>
      </w:r>
      <w:smartTag w:uri="urn:schemas-microsoft-com:office:smarttags" w:element="stockticker">
        <w:r w:rsidRPr="00694E72">
          <w:rPr>
            <w:rFonts w:ascii="Times New Roman" w:hAnsi="Times New Roman" w:cs="Times New Roman"/>
            <w:sz w:val="20"/>
            <w:szCs w:val="20"/>
          </w:rPr>
          <w:t>AML</w:t>
        </w:r>
      </w:smartTag>
      <w:r w:rsidRPr="00694E72">
        <w:rPr>
          <w:rFonts w:ascii="Times New Roman" w:hAnsi="Times New Roman" w:cs="Times New Roman"/>
          <w:sz w:val="20"/>
          <w:szCs w:val="20"/>
        </w:rPr>
        <w:t>.</w:t>
      </w:r>
    </w:p>
    <w:p w:rsidR="00E72B14" w:rsidRPr="00694E72" w:rsidRDefault="00ED517C" w:rsidP="00E72B14">
      <w:pPr>
        <w:pStyle w:val="NoSpacing"/>
        <w:snapToGrid w:val="0"/>
        <w:jc w:val="both"/>
        <w:rPr>
          <w:rFonts w:ascii="Times New Roman" w:hAnsi="Times New Roman" w:cs="Times New Roman"/>
          <w:color w:val="000000"/>
          <w:sz w:val="20"/>
          <w:szCs w:val="20"/>
          <w:shd w:val="clear" w:color="auto" w:fill="FFFFFF"/>
        </w:rPr>
      </w:pPr>
      <w:r w:rsidRPr="00694E72">
        <w:rPr>
          <w:rFonts w:ascii="Times New Roman" w:hAnsi="Times New Roman" w:cs="Times New Roman"/>
          <w:sz w:val="20"/>
          <w:szCs w:val="20"/>
        </w:rPr>
        <w:t>[</w:t>
      </w:r>
      <w:proofErr w:type="spellStart"/>
      <w:r w:rsidR="00E3243B" w:rsidRPr="00694E72">
        <w:rPr>
          <w:rFonts w:ascii="Times New Roman" w:hAnsi="Times New Roman" w:cs="Times New Roman"/>
          <w:sz w:val="20"/>
          <w:szCs w:val="20"/>
        </w:rPr>
        <w:t>Reham</w:t>
      </w:r>
      <w:proofErr w:type="spellEnd"/>
      <w:r w:rsidR="00694E72" w:rsidRPr="00694E72">
        <w:rPr>
          <w:rFonts w:ascii="Times New Roman" w:eastAsiaTheme="minorEastAsia" w:hAnsi="Times New Roman" w:cs="Times New Roman" w:hint="eastAsia"/>
          <w:sz w:val="20"/>
          <w:szCs w:val="20"/>
          <w:lang w:eastAsia="zh-CN"/>
        </w:rPr>
        <w:t xml:space="preserve"> </w:t>
      </w:r>
      <w:proofErr w:type="spellStart"/>
      <w:r w:rsidR="00E3243B" w:rsidRPr="00694E72">
        <w:rPr>
          <w:rFonts w:ascii="Times New Roman" w:hAnsi="Times New Roman" w:cs="Times New Roman"/>
          <w:sz w:val="20"/>
          <w:szCs w:val="20"/>
        </w:rPr>
        <w:t>Rashed</w:t>
      </w:r>
      <w:proofErr w:type="spellEnd"/>
      <w:r w:rsidR="00E3243B" w:rsidRPr="00694E72">
        <w:rPr>
          <w:rFonts w:ascii="Times New Roman" w:hAnsi="Times New Roman" w:cs="Times New Roman"/>
          <w:sz w:val="20"/>
          <w:szCs w:val="20"/>
        </w:rPr>
        <w:t xml:space="preserve">, </w:t>
      </w:r>
      <w:proofErr w:type="spellStart"/>
      <w:r w:rsidR="00E3243B" w:rsidRPr="00694E72">
        <w:rPr>
          <w:rFonts w:ascii="Times New Roman" w:hAnsi="Times New Roman" w:cs="Times New Roman"/>
          <w:sz w:val="20"/>
          <w:szCs w:val="20"/>
        </w:rPr>
        <w:t>Roxan</w:t>
      </w:r>
      <w:proofErr w:type="spellEnd"/>
      <w:r w:rsidR="00694E72" w:rsidRPr="00694E72">
        <w:rPr>
          <w:rFonts w:ascii="Times New Roman" w:eastAsiaTheme="minorEastAsia" w:hAnsi="Times New Roman" w:cs="Times New Roman" w:hint="eastAsia"/>
          <w:sz w:val="20"/>
          <w:szCs w:val="20"/>
          <w:lang w:eastAsia="zh-CN"/>
        </w:rPr>
        <w:t xml:space="preserve"> </w:t>
      </w:r>
      <w:proofErr w:type="spellStart"/>
      <w:r w:rsidR="00E3243B" w:rsidRPr="00694E72">
        <w:rPr>
          <w:rFonts w:ascii="Times New Roman" w:hAnsi="Times New Roman" w:cs="Times New Roman"/>
          <w:sz w:val="20"/>
          <w:szCs w:val="20"/>
        </w:rPr>
        <w:t>Ezzat</w:t>
      </w:r>
      <w:proofErr w:type="spellEnd"/>
      <w:r w:rsidR="00E3243B" w:rsidRPr="00694E72">
        <w:rPr>
          <w:rFonts w:ascii="Times New Roman" w:hAnsi="Times New Roman" w:cs="Times New Roman"/>
          <w:sz w:val="20"/>
          <w:szCs w:val="20"/>
        </w:rPr>
        <w:t xml:space="preserve">, </w:t>
      </w:r>
      <w:proofErr w:type="spellStart"/>
      <w:r w:rsidR="00E3243B" w:rsidRPr="00694E72">
        <w:rPr>
          <w:rFonts w:ascii="Times New Roman" w:hAnsi="Times New Roman" w:cs="Times New Roman"/>
          <w:sz w:val="20"/>
          <w:szCs w:val="20"/>
        </w:rPr>
        <w:t>Nevine</w:t>
      </w:r>
      <w:proofErr w:type="spellEnd"/>
      <w:r w:rsidR="00694E72" w:rsidRPr="00694E72">
        <w:rPr>
          <w:rFonts w:ascii="Times New Roman" w:eastAsiaTheme="minorEastAsia" w:hAnsi="Times New Roman" w:cs="Times New Roman" w:hint="eastAsia"/>
          <w:sz w:val="20"/>
          <w:szCs w:val="20"/>
          <w:lang w:eastAsia="zh-CN"/>
        </w:rPr>
        <w:t xml:space="preserve"> </w:t>
      </w:r>
      <w:proofErr w:type="spellStart"/>
      <w:r w:rsidR="00E3243B" w:rsidRPr="00694E72">
        <w:rPr>
          <w:rFonts w:ascii="Times New Roman" w:hAnsi="Times New Roman" w:cs="Times New Roman"/>
          <w:sz w:val="20"/>
          <w:szCs w:val="20"/>
        </w:rPr>
        <w:t>Fawzy</w:t>
      </w:r>
      <w:proofErr w:type="spellEnd"/>
      <w:r w:rsidR="00E3243B" w:rsidRPr="00694E72">
        <w:rPr>
          <w:rFonts w:ascii="Times New Roman" w:hAnsi="Times New Roman" w:cs="Times New Roman"/>
          <w:sz w:val="20"/>
          <w:szCs w:val="20"/>
        </w:rPr>
        <w:t xml:space="preserve"> and </w:t>
      </w:r>
      <w:proofErr w:type="spellStart"/>
      <w:r w:rsidR="00E3243B" w:rsidRPr="00694E72">
        <w:rPr>
          <w:rFonts w:ascii="Times New Roman" w:hAnsi="Times New Roman" w:cs="Times New Roman"/>
          <w:sz w:val="20"/>
          <w:szCs w:val="20"/>
        </w:rPr>
        <w:t>Hanan</w:t>
      </w:r>
      <w:proofErr w:type="spellEnd"/>
      <w:r w:rsidR="00694E72" w:rsidRPr="00694E72">
        <w:rPr>
          <w:rFonts w:ascii="Times New Roman" w:eastAsiaTheme="minorEastAsia" w:hAnsi="Times New Roman" w:cs="Times New Roman" w:hint="eastAsia"/>
          <w:sz w:val="20"/>
          <w:szCs w:val="20"/>
          <w:lang w:eastAsia="zh-CN"/>
        </w:rPr>
        <w:t xml:space="preserve"> </w:t>
      </w:r>
      <w:proofErr w:type="spellStart"/>
      <w:r w:rsidR="00E3243B" w:rsidRPr="00694E72">
        <w:rPr>
          <w:rFonts w:ascii="Times New Roman" w:hAnsi="Times New Roman" w:cs="Times New Roman"/>
          <w:sz w:val="20"/>
          <w:szCs w:val="20"/>
        </w:rPr>
        <w:t>Ezzat</w:t>
      </w:r>
      <w:proofErr w:type="spellEnd"/>
      <w:r w:rsidR="00E72B14" w:rsidRPr="00694E72">
        <w:rPr>
          <w:rFonts w:ascii="Times New Roman" w:eastAsiaTheme="minorEastAsia" w:hAnsi="Times New Roman" w:cs="Times New Roman" w:hint="eastAsia"/>
          <w:sz w:val="20"/>
          <w:szCs w:val="20"/>
          <w:lang w:eastAsia="zh-CN"/>
        </w:rPr>
        <w:t xml:space="preserve">. </w:t>
      </w:r>
      <w:r w:rsidR="00E3243B" w:rsidRPr="00694E72">
        <w:rPr>
          <w:rFonts w:ascii="Times New Roman" w:hAnsi="Times New Roman" w:cs="Times New Roman"/>
          <w:b/>
          <w:bCs/>
          <w:sz w:val="20"/>
          <w:szCs w:val="20"/>
        </w:rPr>
        <w:t xml:space="preserve">Possible Role of Anti-Inflammatory cytokine Gene Polymorphism in AML </w:t>
      </w:r>
      <w:bookmarkStart w:id="0" w:name="_GoBack"/>
      <w:bookmarkEnd w:id="0"/>
      <w:r w:rsidR="00E3243B" w:rsidRPr="00694E72">
        <w:rPr>
          <w:rFonts w:ascii="Times New Roman" w:hAnsi="Times New Roman" w:cs="Times New Roman"/>
          <w:b/>
          <w:bCs/>
          <w:sz w:val="20"/>
          <w:szCs w:val="20"/>
        </w:rPr>
        <w:t>Susceptibility, Egypt</w:t>
      </w:r>
      <w:r w:rsidR="00E72B14" w:rsidRPr="00694E72">
        <w:rPr>
          <w:rFonts w:ascii="Times New Roman" w:hAnsi="Times New Roman" w:cs="Times New Roman"/>
          <w:b/>
          <w:bCs/>
          <w:sz w:val="20"/>
          <w:szCs w:val="20"/>
          <w:lang w:bidi="fa-IR"/>
        </w:rPr>
        <w:t>.</w:t>
      </w:r>
      <w:r w:rsidR="00E72B14" w:rsidRPr="00694E72">
        <w:rPr>
          <w:rFonts w:ascii="Times New Roman" w:hAnsi="Times New Roman" w:cs="Times New Roman"/>
          <w:i/>
          <w:sz w:val="20"/>
          <w:szCs w:val="20"/>
        </w:rPr>
        <w:t xml:space="preserve"> Cancer Biology</w:t>
      </w:r>
      <w:r w:rsidR="00E72B14" w:rsidRPr="00694E72">
        <w:rPr>
          <w:rFonts w:ascii="Times New Roman" w:hAnsi="Times New Roman" w:cs="Times New Roman"/>
          <w:sz w:val="20"/>
          <w:szCs w:val="20"/>
        </w:rPr>
        <w:t xml:space="preserve"> 201</w:t>
      </w:r>
      <w:r w:rsidR="00E72B14" w:rsidRPr="00694E72">
        <w:rPr>
          <w:rFonts w:ascii="Times New Roman" w:hAnsi="Times New Roman" w:cs="Times New Roman" w:hint="eastAsia"/>
          <w:sz w:val="20"/>
          <w:szCs w:val="20"/>
        </w:rPr>
        <w:t>6</w:t>
      </w:r>
      <w:r w:rsidR="00E72B14" w:rsidRPr="00694E72">
        <w:rPr>
          <w:rFonts w:ascii="Times New Roman" w:hAnsi="Times New Roman" w:cs="Times New Roman"/>
          <w:sz w:val="20"/>
          <w:szCs w:val="20"/>
        </w:rPr>
        <w:t>;</w:t>
      </w:r>
      <w:r w:rsidR="00E72B14" w:rsidRPr="00694E72">
        <w:rPr>
          <w:rFonts w:ascii="Times New Roman" w:hAnsi="Times New Roman" w:cs="Times New Roman" w:hint="eastAsia"/>
          <w:sz w:val="20"/>
          <w:szCs w:val="20"/>
        </w:rPr>
        <w:t>6</w:t>
      </w:r>
      <w:r w:rsidR="00E72B14" w:rsidRPr="00694E72">
        <w:rPr>
          <w:rFonts w:ascii="Times New Roman" w:hAnsi="Times New Roman" w:cs="Times New Roman"/>
          <w:sz w:val="20"/>
          <w:szCs w:val="20"/>
        </w:rPr>
        <w:t>(</w:t>
      </w:r>
      <w:r w:rsidR="00E72B14" w:rsidRPr="00694E72">
        <w:rPr>
          <w:rFonts w:ascii="Times New Roman" w:hAnsi="Times New Roman" w:cs="Times New Roman" w:hint="eastAsia"/>
          <w:sz w:val="20"/>
          <w:szCs w:val="20"/>
        </w:rPr>
        <w:t>3</w:t>
      </w:r>
      <w:r w:rsidR="00E72B14" w:rsidRPr="00694E72">
        <w:rPr>
          <w:rFonts w:ascii="Times New Roman" w:hAnsi="Times New Roman" w:cs="Times New Roman"/>
          <w:sz w:val="20"/>
          <w:szCs w:val="20"/>
        </w:rPr>
        <w:t>):</w:t>
      </w:r>
      <w:r w:rsidR="00706D21" w:rsidRPr="00694E72">
        <w:rPr>
          <w:rFonts w:ascii="Times New Roman" w:hAnsi="Times New Roman" w:cs="Times New Roman"/>
          <w:noProof/>
          <w:color w:val="000000"/>
          <w:sz w:val="20"/>
          <w:szCs w:val="20"/>
        </w:rPr>
        <w:t>27</w:t>
      </w:r>
      <w:r w:rsidR="00E72B14" w:rsidRPr="00694E72">
        <w:rPr>
          <w:rFonts w:ascii="Times New Roman" w:hAnsi="Times New Roman" w:cs="Times New Roman"/>
          <w:color w:val="000000"/>
          <w:sz w:val="20"/>
          <w:szCs w:val="20"/>
        </w:rPr>
        <w:t>-</w:t>
      </w:r>
      <w:r w:rsidR="00706D21" w:rsidRPr="00694E72">
        <w:rPr>
          <w:rFonts w:ascii="Times New Roman" w:hAnsi="Times New Roman" w:cs="Times New Roman"/>
          <w:noProof/>
          <w:color w:val="000000"/>
          <w:sz w:val="20"/>
          <w:szCs w:val="20"/>
        </w:rPr>
        <w:t>33</w:t>
      </w:r>
      <w:r w:rsidR="00E72B14" w:rsidRPr="00694E72">
        <w:rPr>
          <w:rFonts w:ascii="Times New Roman" w:hAnsi="Times New Roman" w:cs="Times New Roman"/>
          <w:sz w:val="20"/>
          <w:szCs w:val="20"/>
        </w:rPr>
        <w:t xml:space="preserve">]. </w:t>
      </w:r>
      <w:r w:rsidR="00E72B14" w:rsidRPr="00694E72">
        <w:rPr>
          <w:rStyle w:val="msonormal0"/>
          <w:rFonts w:ascii="Times New Roman" w:eastAsia="宋" w:hAnsi="Times New Roman" w:cs="Times New Roman"/>
          <w:sz w:val="20"/>
          <w:szCs w:val="20"/>
        </w:rPr>
        <w:t>ISSN: 2150-1041 (print); ISSN: 2150-105X (online)</w:t>
      </w:r>
      <w:r w:rsidR="00E72B14" w:rsidRPr="00694E72">
        <w:rPr>
          <w:rFonts w:ascii="Times New Roman" w:hAnsi="Times New Roman" w:cs="Times New Roman"/>
          <w:sz w:val="20"/>
          <w:szCs w:val="20"/>
        </w:rPr>
        <w:t xml:space="preserve">. </w:t>
      </w:r>
      <w:hyperlink r:id="rId8" w:history="1">
        <w:r w:rsidR="00E72B14" w:rsidRPr="00694E72">
          <w:rPr>
            <w:rStyle w:val="Hyperlink"/>
            <w:rFonts w:ascii="Times New Roman" w:hAnsi="Times New Roman" w:cs="Times New Roman"/>
            <w:color w:val="0000FF"/>
            <w:sz w:val="20"/>
            <w:szCs w:val="20"/>
          </w:rPr>
          <w:t>http://www.cancerbio.net</w:t>
        </w:r>
      </w:hyperlink>
      <w:r w:rsidR="00E72B14" w:rsidRPr="00694E72">
        <w:rPr>
          <w:rFonts w:ascii="Times New Roman" w:hAnsi="Times New Roman" w:cs="Times New Roman"/>
          <w:sz w:val="20"/>
          <w:szCs w:val="20"/>
        </w:rPr>
        <w:t>.</w:t>
      </w:r>
      <w:r w:rsidR="00E72B14" w:rsidRPr="00694E72">
        <w:rPr>
          <w:rFonts w:ascii="Times New Roman" w:hAnsi="Times New Roman" w:cs="Times New Roman" w:hint="eastAsia"/>
          <w:sz w:val="20"/>
          <w:szCs w:val="20"/>
        </w:rPr>
        <w:t xml:space="preserve"> </w:t>
      </w:r>
      <w:r w:rsidR="00E72B14" w:rsidRPr="00694E72">
        <w:rPr>
          <w:rFonts w:ascii="Times New Roman" w:eastAsiaTheme="minorEastAsia" w:hAnsi="Times New Roman" w:cs="Times New Roman" w:hint="eastAsia"/>
          <w:sz w:val="20"/>
          <w:szCs w:val="20"/>
          <w:lang w:eastAsia="zh-CN"/>
        </w:rPr>
        <w:t>4</w:t>
      </w:r>
      <w:r w:rsidR="00E72B14" w:rsidRPr="00694E72">
        <w:rPr>
          <w:rFonts w:ascii="Times New Roman" w:hAnsi="Times New Roman" w:cs="Times New Roman" w:hint="eastAsia"/>
          <w:sz w:val="20"/>
          <w:szCs w:val="20"/>
        </w:rPr>
        <w:t xml:space="preserve">. </w:t>
      </w:r>
      <w:r w:rsidR="00E72B14" w:rsidRPr="00694E72">
        <w:rPr>
          <w:rFonts w:ascii="Times New Roman" w:hAnsi="Times New Roman" w:cs="Times New Roman"/>
          <w:color w:val="000000"/>
          <w:sz w:val="20"/>
          <w:szCs w:val="20"/>
          <w:shd w:val="clear" w:color="auto" w:fill="FFFFFF"/>
        </w:rPr>
        <w:t>doi:</w:t>
      </w:r>
      <w:hyperlink r:id="rId9" w:history="1">
        <w:r w:rsidR="00E72B14" w:rsidRPr="00694E72">
          <w:rPr>
            <w:rStyle w:val="Hyperlink"/>
            <w:rFonts w:ascii="Times New Roman" w:hAnsi="Times New Roman" w:cs="Times New Roman"/>
            <w:color w:val="0000FF"/>
            <w:sz w:val="20"/>
            <w:szCs w:val="20"/>
            <w:shd w:val="clear" w:color="auto" w:fill="FFFFFF"/>
          </w:rPr>
          <w:t>10.7537/mars</w:t>
        </w:r>
        <w:r w:rsidR="00E72B14" w:rsidRPr="00694E72">
          <w:rPr>
            <w:rStyle w:val="Hyperlink"/>
            <w:rFonts w:ascii="Times New Roman" w:hAnsi="Times New Roman" w:cs="Times New Roman" w:hint="eastAsia"/>
            <w:color w:val="0000FF"/>
            <w:sz w:val="20"/>
            <w:szCs w:val="20"/>
            <w:shd w:val="clear" w:color="auto" w:fill="FFFFFF"/>
          </w:rPr>
          <w:t>cbj0603</w:t>
        </w:r>
        <w:r w:rsidR="00E72B14" w:rsidRPr="00694E72">
          <w:rPr>
            <w:rStyle w:val="Hyperlink"/>
            <w:rFonts w:ascii="Times New Roman" w:hAnsi="Times New Roman" w:cs="Times New Roman"/>
            <w:color w:val="0000FF"/>
            <w:sz w:val="20"/>
            <w:szCs w:val="20"/>
            <w:shd w:val="clear" w:color="auto" w:fill="FFFFFF"/>
          </w:rPr>
          <w:t>1</w:t>
        </w:r>
        <w:r w:rsidR="00E72B14" w:rsidRPr="00694E72">
          <w:rPr>
            <w:rStyle w:val="Hyperlink"/>
            <w:rFonts w:ascii="Times New Roman" w:hAnsi="Times New Roman" w:cs="Times New Roman" w:hint="eastAsia"/>
            <w:color w:val="0000FF"/>
            <w:sz w:val="20"/>
            <w:szCs w:val="20"/>
            <w:shd w:val="clear" w:color="auto" w:fill="FFFFFF"/>
          </w:rPr>
          <w:t>6.</w:t>
        </w:r>
        <w:r w:rsidR="00E72B14" w:rsidRPr="00694E72">
          <w:rPr>
            <w:rStyle w:val="Hyperlink"/>
            <w:rFonts w:ascii="Times New Roman" w:hAnsi="Times New Roman" w:cs="Times New Roman"/>
            <w:color w:val="0000FF"/>
            <w:sz w:val="20"/>
            <w:szCs w:val="20"/>
            <w:shd w:val="clear" w:color="auto" w:fill="FFFFFF"/>
          </w:rPr>
          <w:t>0</w:t>
        </w:r>
        <w:r w:rsidR="00E72B14" w:rsidRPr="00694E72">
          <w:rPr>
            <w:rStyle w:val="Hyperlink"/>
            <w:rFonts w:ascii="Times New Roman" w:eastAsiaTheme="minorEastAsia" w:hAnsi="Times New Roman" w:cs="Times New Roman" w:hint="eastAsia"/>
            <w:color w:val="0000FF"/>
            <w:sz w:val="20"/>
            <w:szCs w:val="20"/>
            <w:shd w:val="clear" w:color="auto" w:fill="FFFFFF"/>
            <w:lang w:eastAsia="zh-CN"/>
          </w:rPr>
          <w:t>4</w:t>
        </w:r>
      </w:hyperlink>
      <w:r w:rsidR="00E72B14" w:rsidRPr="00694E72">
        <w:rPr>
          <w:rFonts w:ascii="Times New Roman" w:hAnsi="Times New Roman" w:cs="Times New Roman"/>
          <w:color w:val="000000"/>
          <w:sz w:val="20"/>
          <w:szCs w:val="20"/>
          <w:shd w:val="clear" w:color="auto" w:fill="FFFFFF"/>
        </w:rPr>
        <w:t>.</w:t>
      </w:r>
    </w:p>
    <w:p w:rsidR="00E3243B" w:rsidRPr="00694E72" w:rsidRDefault="00E3243B" w:rsidP="00E72B14">
      <w:pPr>
        <w:pStyle w:val="NoSpacing"/>
        <w:snapToGrid w:val="0"/>
        <w:jc w:val="both"/>
        <w:rPr>
          <w:rFonts w:ascii="Times New Roman" w:hAnsi="Times New Roman" w:cs="Times New Roman"/>
          <w:sz w:val="20"/>
          <w:szCs w:val="20"/>
        </w:rPr>
      </w:pPr>
    </w:p>
    <w:p w:rsidR="002E1E9A" w:rsidRPr="00F73727" w:rsidRDefault="002E1E9A" w:rsidP="00E72B14">
      <w:pPr>
        <w:snapToGrid w:val="0"/>
        <w:spacing w:after="0" w:line="240" w:lineRule="auto"/>
        <w:jc w:val="both"/>
        <w:rPr>
          <w:rFonts w:ascii="Times New Roman" w:eastAsia="Times New Roman" w:hAnsi="Times New Roman" w:cs="Times New Roman"/>
          <w:bCs/>
          <w:sz w:val="20"/>
          <w:szCs w:val="20"/>
        </w:rPr>
      </w:pPr>
      <w:r w:rsidRPr="00694E72">
        <w:rPr>
          <w:rFonts w:ascii="Times New Roman" w:eastAsia="Times New Roman" w:hAnsi="Times New Roman" w:cs="Times New Roman"/>
          <w:b/>
          <w:bCs/>
          <w:sz w:val="20"/>
          <w:szCs w:val="20"/>
        </w:rPr>
        <w:t>Keywords:</w:t>
      </w:r>
      <w:r w:rsidR="00694E72" w:rsidRPr="00694E72">
        <w:rPr>
          <w:rFonts w:ascii="Times New Roman" w:eastAsia="Times New Roman" w:hAnsi="Times New Roman" w:cs="Times New Roman"/>
          <w:b/>
          <w:bCs/>
          <w:sz w:val="20"/>
          <w:szCs w:val="20"/>
        </w:rPr>
        <w:t xml:space="preserve"> </w:t>
      </w:r>
      <w:r w:rsidRPr="00F73727">
        <w:rPr>
          <w:rFonts w:ascii="Times New Roman" w:eastAsia="Times New Roman" w:hAnsi="Times New Roman" w:cs="Times New Roman"/>
          <w:bCs/>
          <w:sz w:val="20"/>
          <w:szCs w:val="20"/>
        </w:rPr>
        <w:t>Il-10</w:t>
      </w:r>
      <w:r w:rsidR="00F73727">
        <w:rPr>
          <w:rFonts w:ascii="Times New Roman" w:eastAsia="Times New Roman" w:hAnsi="Times New Roman" w:cs="Times New Roman"/>
          <w:bCs/>
          <w:sz w:val="20"/>
          <w:szCs w:val="20"/>
        </w:rPr>
        <w:t>;</w:t>
      </w:r>
      <w:r w:rsidRPr="00F73727">
        <w:rPr>
          <w:rFonts w:ascii="Times New Roman" w:eastAsia="Times New Roman" w:hAnsi="Times New Roman" w:cs="Times New Roman"/>
          <w:bCs/>
          <w:sz w:val="20"/>
          <w:szCs w:val="20"/>
        </w:rPr>
        <w:t xml:space="preserve"> · gene polymorphism</w:t>
      </w:r>
      <w:r w:rsidR="00F73727">
        <w:rPr>
          <w:rFonts w:ascii="Times New Roman" w:eastAsia="Times New Roman" w:hAnsi="Times New Roman" w:cs="Times New Roman"/>
          <w:bCs/>
          <w:sz w:val="20"/>
          <w:szCs w:val="20"/>
        </w:rPr>
        <w:t>;</w:t>
      </w:r>
      <w:r w:rsidRPr="00F73727">
        <w:rPr>
          <w:rFonts w:ascii="Times New Roman" w:eastAsia="Times New Roman" w:hAnsi="Times New Roman" w:cs="Times New Roman"/>
          <w:bCs/>
          <w:sz w:val="20"/>
          <w:szCs w:val="20"/>
        </w:rPr>
        <w:t xml:space="preserve"> · Disease association</w:t>
      </w:r>
      <w:r w:rsidR="00F73727">
        <w:rPr>
          <w:rFonts w:ascii="Times New Roman" w:eastAsia="Times New Roman" w:hAnsi="Times New Roman" w:cs="Times New Roman"/>
          <w:bCs/>
          <w:sz w:val="20"/>
          <w:szCs w:val="20"/>
        </w:rPr>
        <w:t>;</w:t>
      </w:r>
      <w:r w:rsidRPr="00F73727">
        <w:rPr>
          <w:rFonts w:ascii="Times New Roman" w:eastAsia="Times New Roman" w:hAnsi="Times New Roman" w:cs="Times New Roman"/>
          <w:bCs/>
          <w:sz w:val="20"/>
          <w:szCs w:val="20"/>
        </w:rPr>
        <w:t xml:space="preserve"> · acute myeloid leukemia</w:t>
      </w:r>
    </w:p>
    <w:p w:rsidR="00E72B14" w:rsidRPr="00694E72" w:rsidRDefault="00E72B14" w:rsidP="00E72B14">
      <w:pPr>
        <w:snapToGrid w:val="0"/>
        <w:spacing w:after="0" w:line="240" w:lineRule="auto"/>
        <w:jc w:val="both"/>
        <w:rPr>
          <w:rFonts w:ascii="Times New Roman" w:hAnsi="Times New Roman" w:cs="Times New Roman"/>
          <w:b/>
          <w:bCs/>
          <w:sz w:val="20"/>
          <w:szCs w:val="20"/>
        </w:rPr>
      </w:pPr>
    </w:p>
    <w:p w:rsidR="00E72B14" w:rsidRPr="00694E72" w:rsidRDefault="00E72B14" w:rsidP="00E72B14">
      <w:pPr>
        <w:snapToGrid w:val="0"/>
        <w:spacing w:after="0" w:line="240" w:lineRule="auto"/>
        <w:jc w:val="both"/>
        <w:rPr>
          <w:rFonts w:ascii="Times New Roman" w:hAnsi="Times New Roman" w:cs="Times New Roman"/>
          <w:b/>
          <w:bCs/>
          <w:sz w:val="20"/>
          <w:szCs w:val="20"/>
        </w:rPr>
        <w:sectPr w:rsidR="00E72B14" w:rsidRPr="00694E72" w:rsidSect="00706D21">
          <w:headerReference w:type="default" r:id="rId10"/>
          <w:footerReference w:type="default" r:id="rId11"/>
          <w:type w:val="continuous"/>
          <w:pgSz w:w="12240" w:h="15840" w:code="1"/>
          <w:pgMar w:top="1440" w:right="1440" w:bottom="1440" w:left="1440" w:header="720" w:footer="720" w:gutter="0"/>
          <w:pgNumType w:start="27"/>
          <w:cols w:space="720"/>
          <w:docGrid w:linePitch="360"/>
        </w:sectPr>
      </w:pPr>
    </w:p>
    <w:p w:rsidR="00D30773" w:rsidRPr="00694E72" w:rsidRDefault="00A454BC" w:rsidP="00E72B14">
      <w:pPr>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lastRenderedPageBreak/>
        <w:t>1. Introduction:</w:t>
      </w:r>
    </w:p>
    <w:p w:rsidR="00D30773" w:rsidRPr="00694E72" w:rsidRDefault="00D30773" w:rsidP="00E72B14">
      <w:pPr>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 xml:space="preserve">Acute myeloid leukemia (AML) is a life-threatening hematopoietic stem cell </w:t>
      </w:r>
      <w:proofErr w:type="spellStart"/>
      <w:r w:rsidRPr="00694E72">
        <w:rPr>
          <w:rFonts w:ascii="Times New Roman" w:hAnsi="Times New Roman" w:cs="Times New Roman"/>
          <w:sz w:val="20"/>
          <w:szCs w:val="20"/>
        </w:rPr>
        <w:t>neoplasm</w:t>
      </w:r>
      <w:r w:rsidR="00255E2B" w:rsidRPr="00694E72">
        <w:rPr>
          <w:rFonts w:ascii="Times New Roman" w:hAnsi="Times New Roman" w:cs="Times New Roman"/>
          <w:sz w:val="20"/>
          <w:szCs w:val="20"/>
        </w:rPr>
        <w:t>s</w:t>
      </w:r>
      <w:proofErr w:type="spellEnd"/>
      <w:r w:rsidRPr="00694E72">
        <w:rPr>
          <w:rFonts w:ascii="Times New Roman" w:hAnsi="Times New Roman" w:cs="Times New Roman"/>
          <w:sz w:val="20"/>
          <w:szCs w:val="20"/>
        </w:rPr>
        <w:t>, it is a cytogenetically and molecularly heterogeneous disease</w:t>
      </w:r>
      <w:r w:rsidR="00787E8B" w:rsidRPr="00694E72">
        <w:rPr>
          <w:rFonts w:ascii="Times New Roman" w:hAnsi="Times New Roman" w:cs="Times New Roman"/>
          <w:sz w:val="20"/>
          <w:szCs w:val="20"/>
        </w:rPr>
        <w:t>s</w:t>
      </w:r>
      <w:r w:rsidRPr="00694E72">
        <w:rPr>
          <w:rFonts w:ascii="Times New Roman" w:hAnsi="Times New Roman" w:cs="Times New Roman"/>
          <w:sz w:val="20"/>
          <w:szCs w:val="20"/>
        </w:rPr>
        <w:t xml:space="preserve"> characterized by </w:t>
      </w:r>
      <w:proofErr w:type="spellStart"/>
      <w:r w:rsidRPr="00694E72">
        <w:rPr>
          <w:rFonts w:ascii="Times New Roman" w:hAnsi="Times New Roman" w:cs="Times New Roman"/>
          <w:sz w:val="20"/>
          <w:szCs w:val="20"/>
        </w:rPr>
        <w:t>clonal</w:t>
      </w:r>
      <w:proofErr w:type="spellEnd"/>
      <w:r w:rsidRPr="00694E72">
        <w:rPr>
          <w:rFonts w:ascii="Times New Roman" w:hAnsi="Times New Roman" w:cs="Times New Roman"/>
          <w:sz w:val="20"/>
          <w:szCs w:val="20"/>
        </w:rPr>
        <w:t xml:space="preserve"> proliferation of myeloid precursors and maturation arrest, with accumulation of acquired genetic alterations in hematopoietic progenitor cells that disturb normal mechanisms of cell growth, proliferation and differentiation</w:t>
      </w:r>
      <w:r w:rsidR="00CC5B90" w:rsidRPr="00694E72">
        <w:rPr>
          <w:rFonts w:ascii="Times New Roman" w:hAnsi="Times New Roman" w:cs="Times New Roman"/>
          <w:sz w:val="20"/>
          <w:szCs w:val="20"/>
        </w:rPr>
        <w:t xml:space="preserve">. </w:t>
      </w:r>
      <w:r w:rsidR="00CC5B90" w:rsidRPr="00694E72">
        <w:rPr>
          <w:rFonts w:ascii="Times New Roman" w:hAnsi="Times New Roman" w:cs="Times New Roman"/>
          <w:b/>
          <w:bCs/>
          <w:sz w:val="20"/>
          <w:szCs w:val="20"/>
        </w:rPr>
        <w:t>[1]</w:t>
      </w:r>
    </w:p>
    <w:p w:rsidR="00D30773" w:rsidRPr="00694E72" w:rsidRDefault="00D30773" w:rsidP="00E72B14">
      <w:pPr>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 xml:space="preserve">The precise molecular origins of AML are unknown. The </w:t>
      </w:r>
      <w:proofErr w:type="spellStart"/>
      <w:r w:rsidRPr="00694E72">
        <w:rPr>
          <w:rFonts w:ascii="Times New Roman" w:hAnsi="Times New Roman" w:cs="Times New Roman"/>
          <w:sz w:val="20"/>
          <w:szCs w:val="20"/>
        </w:rPr>
        <w:t>pathophysiologic</w:t>
      </w:r>
      <w:proofErr w:type="spellEnd"/>
      <w:r w:rsidRPr="00694E72">
        <w:rPr>
          <w:rFonts w:ascii="Times New Roman" w:hAnsi="Times New Roman" w:cs="Times New Roman"/>
          <w:sz w:val="20"/>
          <w:szCs w:val="20"/>
        </w:rPr>
        <w:t xml:space="preserve"> mechanisms are multiple, act in concert, and probably are distinct in different types of AML. Inherited genetic predisposition and environmental mutagens such as radiation, drugs and other toxins all play a role in the development of AML</w:t>
      </w:r>
      <w:r w:rsidR="00CC5B90" w:rsidRPr="00694E72">
        <w:rPr>
          <w:rFonts w:ascii="Times New Roman" w:hAnsi="Times New Roman" w:cs="Times New Roman"/>
          <w:sz w:val="20"/>
          <w:szCs w:val="20"/>
        </w:rPr>
        <w:t>.</w:t>
      </w:r>
      <w:r w:rsidR="00CC5B90" w:rsidRPr="00694E72">
        <w:rPr>
          <w:rFonts w:ascii="Times New Roman" w:hAnsi="Times New Roman" w:cs="Times New Roman"/>
          <w:b/>
          <w:bCs/>
          <w:sz w:val="20"/>
          <w:szCs w:val="20"/>
        </w:rPr>
        <w:t>[2]</w:t>
      </w:r>
    </w:p>
    <w:p w:rsidR="00D30773" w:rsidRPr="00694E72" w:rsidRDefault="00D30773" w:rsidP="00E72B14">
      <w:pPr>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Characterization of transforming genetic events is becoming increasingly important in establishing diagnosis, defining prognosis, and planning therapy in AML. Advances in chemotherapy and supportive management have improved the survival of younger patients with AML. The current challenge is to improve understanding of molecular mechanisms of AML and design leukemia-specific treatments that would be applicable to older patients</w:t>
      </w:r>
      <w:r w:rsidR="00CC5B90" w:rsidRPr="00694E72">
        <w:rPr>
          <w:rFonts w:ascii="Times New Roman" w:hAnsi="Times New Roman" w:cs="Times New Roman"/>
          <w:sz w:val="20"/>
          <w:szCs w:val="20"/>
        </w:rPr>
        <w:t>.</w:t>
      </w:r>
      <w:r w:rsidR="00CC5B90" w:rsidRPr="00694E72">
        <w:rPr>
          <w:rFonts w:ascii="Times New Roman" w:hAnsi="Times New Roman" w:cs="Times New Roman"/>
          <w:b/>
          <w:bCs/>
          <w:sz w:val="20"/>
          <w:szCs w:val="20"/>
        </w:rPr>
        <w:t>[3]</w:t>
      </w:r>
    </w:p>
    <w:p w:rsidR="00D30773" w:rsidRPr="00694E72" w:rsidRDefault="00D30773" w:rsidP="00E72B14">
      <w:pPr>
        <w:snapToGrid w:val="0"/>
        <w:spacing w:after="0" w:line="240" w:lineRule="auto"/>
        <w:ind w:firstLine="425"/>
        <w:jc w:val="both"/>
        <w:rPr>
          <w:rFonts w:ascii="Times New Roman" w:hAnsi="Times New Roman" w:cs="Times New Roman"/>
          <w:b/>
          <w:bCs/>
          <w:sz w:val="20"/>
          <w:szCs w:val="20"/>
        </w:rPr>
      </w:pPr>
      <w:r w:rsidRPr="00694E72">
        <w:rPr>
          <w:rFonts w:ascii="Times New Roman" w:hAnsi="Times New Roman" w:cs="Times New Roman"/>
          <w:sz w:val="20"/>
          <w:szCs w:val="20"/>
        </w:rPr>
        <w:t>Interleukins (ILs) are a diverse set of small cell signaling protein molecules, or cytokines, that function to alter the immune system in humans</w:t>
      </w:r>
      <w:r w:rsidR="00CC5B90" w:rsidRPr="00694E72">
        <w:rPr>
          <w:rFonts w:ascii="Times New Roman" w:hAnsi="Times New Roman" w:cs="Times New Roman"/>
          <w:sz w:val="20"/>
          <w:szCs w:val="20"/>
        </w:rPr>
        <w:t>.</w:t>
      </w:r>
      <w:r w:rsidRPr="00694E72">
        <w:rPr>
          <w:rFonts w:ascii="Times New Roman" w:hAnsi="Times New Roman" w:cs="Times New Roman"/>
          <w:b/>
          <w:bCs/>
          <w:sz w:val="20"/>
          <w:szCs w:val="20"/>
        </w:rPr>
        <w:t xml:space="preserve">[4, </w:t>
      </w:r>
      <w:r w:rsidR="00CC5B90" w:rsidRPr="00694E72">
        <w:rPr>
          <w:rFonts w:ascii="Times New Roman" w:hAnsi="Times New Roman" w:cs="Times New Roman"/>
          <w:b/>
          <w:bCs/>
          <w:sz w:val="20"/>
          <w:szCs w:val="20"/>
        </w:rPr>
        <w:t>5]</w:t>
      </w:r>
    </w:p>
    <w:p w:rsidR="00D30773" w:rsidRPr="00694E72" w:rsidRDefault="0054331A" w:rsidP="00E72B14">
      <w:pPr>
        <w:snapToGrid w:val="0"/>
        <w:spacing w:after="0" w:line="240" w:lineRule="auto"/>
        <w:ind w:firstLine="425"/>
        <w:jc w:val="both"/>
        <w:rPr>
          <w:rFonts w:ascii="Times New Roman" w:hAnsi="Times New Roman" w:cs="Times New Roman"/>
          <w:b/>
          <w:bCs/>
          <w:sz w:val="20"/>
          <w:szCs w:val="20"/>
        </w:rPr>
      </w:pPr>
      <w:r w:rsidRPr="00694E72">
        <w:rPr>
          <w:rFonts w:ascii="Times New Roman" w:hAnsi="Times New Roman" w:cs="Times New Roman"/>
          <w:sz w:val="20"/>
          <w:szCs w:val="20"/>
        </w:rPr>
        <w:lastRenderedPageBreak/>
        <w:t xml:space="preserve">Single nucleotide polymorphisms (SNPs) of ILs may alter their function, thus changing cytokine function and </w:t>
      </w:r>
      <w:proofErr w:type="spellStart"/>
      <w:r w:rsidRPr="00694E72">
        <w:rPr>
          <w:rFonts w:ascii="Times New Roman" w:hAnsi="Times New Roman" w:cs="Times New Roman"/>
          <w:sz w:val="20"/>
          <w:szCs w:val="20"/>
        </w:rPr>
        <w:t>dysregulating</w:t>
      </w:r>
      <w:proofErr w:type="spellEnd"/>
      <w:r w:rsidRPr="00694E72">
        <w:rPr>
          <w:rFonts w:ascii="Times New Roman" w:hAnsi="Times New Roman" w:cs="Times New Roman"/>
          <w:sz w:val="20"/>
          <w:szCs w:val="20"/>
        </w:rPr>
        <w:t xml:space="preserve"> their expression. </w:t>
      </w:r>
      <w:r w:rsidRPr="00694E72">
        <w:rPr>
          <w:rFonts w:ascii="Times New Roman" w:hAnsi="Times New Roman" w:cs="Times New Roman"/>
          <w:b/>
          <w:bCs/>
          <w:sz w:val="20"/>
          <w:szCs w:val="20"/>
        </w:rPr>
        <w:t>[6]</w:t>
      </w:r>
    </w:p>
    <w:p w:rsidR="00D30773" w:rsidRPr="00694E72" w:rsidRDefault="00D30773" w:rsidP="00E72B14">
      <w:pPr>
        <w:snapToGrid w:val="0"/>
        <w:spacing w:after="0" w:line="240" w:lineRule="auto"/>
        <w:ind w:firstLine="425"/>
        <w:jc w:val="both"/>
        <w:rPr>
          <w:rFonts w:ascii="Times New Roman" w:hAnsi="Times New Roman" w:cs="Times New Roman"/>
          <w:b/>
          <w:bCs/>
          <w:sz w:val="20"/>
          <w:szCs w:val="20"/>
        </w:rPr>
      </w:pPr>
      <w:r w:rsidRPr="00694E72">
        <w:rPr>
          <w:rFonts w:ascii="Times New Roman" w:hAnsi="Times New Roman" w:cs="Times New Roman"/>
          <w:sz w:val="20"/>
          <w:szCs w:val="20"/>
        </w:rPr>
        <w:t>IL10 is</w:t>
      </w:r>
      <w:r w:rsidR="00211515" w:rsidRPr="00694E72">
        <w:rPr>
          <w:rFonts w:ascii="Times New Roman" w:hAnsi="Times New Roman" w:cs="Times New Roman"/>
          <w:sz w:val="20"/>
          <w:szCs w:val="20"/>
        </w:rPr>
        <w:t xml:space="preserve"> a </w:t>
      </w:r>
      <w:proofErr w:type="spellStart"/>
      <w:r w:rsidR="00211515" w:rsidRPr="00694E72">
        <w:rPr>
          <w:rFonts w:ascii="Times New Roman" w:hAnsi="Times New Roman" w:cs="Times New Roman"/>
          <w:sz w:val="20"/>
          <w:szCs w:val="20"/>
        </w:rPr>
        <w:t>pleiotropic</w:t>
      </w:r>
      <w:proofErr w:type="spellEnd"/>
      <w:r w:rsidR="00211515" w:rsidRPr="00694E72">
        <w:rPr>
          <w:rFonts w:ascii="Times New Roman" w:hAnsi="Times New Roman" w:cs="Times New Roman"/>
          <w:sz w:val="20"/>
          <w:szCs w:val="20"/>
        </w:rPr>
        <w:t xml:space="preserve"> cytokine,</w:t>
      </w:r>
      <w:r w:rsidRPr="00694E72">
        <w:rPr>
          <w:rFonts w:ascii="Times New Roman" w:hAnsi="Times New Roman" w:cs="Times New Roman"/>
          <w:sz w:val="20"/>
          <w:szCs w:val="20"/>
        </w:rPr>
        <w:t xml:space="preserve"> produced by a variety of cells including T-cells, macrophages, </w:t>
      </w:r>
      <w:proofErr w:type="spellStart"/>
      <w:r w:rsidRPr="00694E72">
        <w:rPr>
          <w:rFonts w:ascii="Times New Roman" w:hAnsi="Times New Roman" w:cs="Times New Roman"/>
          <w:sz w:val="20"/>
          <w:szCs w:val="20"/>
        </w:rPr>
        <w:t>Lyl</w:t>
      </w:r>
      <w:proofErr w:type="spellEnd"/>
      <w:r w:rsidRPr="00694E72">
        <w:rPr>
          <w:rFonts w:ascii="Times New Roman" w:hAnsi="Times New Roman" w:cs="Times New Roman"/>
          <w:sz w:val="20"/>
          <w:szCs w:val="20"/>
        </w:rPr>
        <w:t xml:space="preserve"> positive B-cells, EBV positive B-cells, mast cells and </w:t>
      </w:r>
      <w:proofErr w:type="spellStart"/>
      <w:r w:rsidRPr="00694E72">
        <w:rPr>
          <w:rFonts w:ascii="Times New Roman" w:hAnsi="Times New Roman" w:cs="Times New Roman"/>
          <w:sz w:val="20"/>
          <w:szCs w:val="20"/>
        </w:rPr>
        <w:t>keratinocytes</w:t>
      </w:r>
      <w:proofErr w:type="spellEnd"/>
      <w:r w:rsidR="002C7AEE" w:rsidRPr="00694E72">
        <w:rPr>
          <w:rFonts w:ascii="Times New Roman" w:hAnsi="Times New Roman" w:cs="Times New Roman"/>
          <w:sz w:val="20"/>
          <w:szCs w:val="20"/>
        </w:rPr>
        <w:t>.</w:t>
      </w:r>
      <w:r w:rsidR="0050288D" w:rsidRPr="00694E72">
        <w:rPr>
          <w:rFonts w:ascii="Times New Roman" w:hAnsi="Times New Roman" w:cs="Times New Roman"/>
          <w:b/>
          <w:bCs/>
          <w:sz w:val="20"/>
          <w:szCs w:val="20"/>
        </w:rPr>
        <w:t>[7</w:t>
      </w:r>
      <w:r w:rsidRPr="00694E72">
        <w:rPr>
          <w:rFonts w:ascii="Times New Roman" w:hAnsi="Times New Roman" w:cs="Times New Roman"/>
          <w:b/>
          <w:bCs/>
          <w:sz w:val="20"/>
          <w:szCs w:val="20"/>
        </w:rPr>
        <w:t>]</w:t>
      </w:r>
      <w:r w:rsidR="00232398" w:rsidRPr="00694E72">
        <w:rPr>
          <w:rFonts w:ascii="Times New Roman" w:hAnsi="Times New Roman" w:cs="Times New Roman"/>
          <w:sz w:val="20"/>
          <w:szCs w:val="20"/>
        </w:rPr>
        <w:t xml:space="preserve"> IL10 has many inhibitory, </w:t>
      </w:r>
      <w:r w:rsidR="00232398" w:rsidRPr="00694E72">
        <w:rPr>
          <w:rFonts w:ascii="Times New Roman" w:hAnsi="Times New Roman" w:cs="Times New Roman"/>
          <w:b/>
          <w:bCs/>
          <w:sz w:val="20"/>
          <w:szCs w:val="20"/>
        </w:rPr>
        <w:t>[8</w:t>
      </w:r>
      <w:r w:rsidR="003032BD" w:rsidRPr="00694E72">
        <w:rPr>
          <w:rFonts w:ascii="Times New Roman" w:hAnsi="Times New Roman" w:cs="Times New Roman"/>
          <w:b/>
          <w:bCs/>
          <w:sz w:val="20"/>
          <w:szCs w:val="20"/>
        </w:rPr>
        <w:t>]</w:t>
      </w:r>
      <w:r w:rsidR="00232398" w:rsidRPr="00694E72">
        <w:rPr>
          <w:rFonts w:ascii="Times New Roman" w:hAnsi="Times New Roman" w:cs="Times New Roman"/>
          <w:b/>
          <w:bCs/>
          <w:sz w:val="20"/>
          <w:szCs w:val="20"/>
        </w:rPr>
        <w:t xml:space="preserve">, </w:t>
      </w:r>
      <w:r w:rsidR="003032BD" w:rsidRPr="00694E72">
        <w:rPr>
          <w:rFonts w:ascii="Times New Roman" w:hAnsi="Times New Roman" w:cs="Times New Roman"/>
          <w:b/>
          <w:bCs/>
          <w:sz w:val="20"/>
          <w:szCs w:val="20"/>
        </w:rPr>
        <w:t>[</w:t>
      </w:r>
      <w:r w:rsidR="00232398" w:rsidRPr="00694E72">
        <w:rPr>
          <w:rFonts w:ascii="Times New Roman" w:hAnsi="Times New Roman" w:cs="Times New Roman"/>
          <w:b/>
          <w:bCs/>
          <w:sz w:val="20"/>
          <w:szCs w:val="20"/>
        </w:rPr>
        <w:t>9]</w:t>
      </w:r>
      <w:r w:rsidR="005E6A59" w:rsidRPr="00694E72">
        <w:rPr>
          <w:rFonts w:ascii="Times New Roman" w:hAnsi="Times New Roman" w:cs="Times New Roman"/>
          <w:sz w:val="20"/>
          <w:szCs w:val="20"/>
        </w:rPr>
        <w:t xml:space="preserve">and stimulatory functions. </w:t>
      </w:r>
      <w:r w:rsidR="007B1187" w:rsidRPr="00694E72">
        <w:rPr>
          <w:rFonts w:ascii="Times New Roman" w:hAnsi="Times New Roman" w:cs="Times New Roman"/>
          <w:b/>
          <w:bCs/>
          <w:sz w:val="20"/>
          <w:szCs w:val="20"/>
        </w:rPr>
        <w:t>[10</w:t>
      </w:r>
      <w:r w:rsidR="007A1070" w:rsidRPr="00694E72">
        <w:rPr>
          <w:rFonts w:ascii="Times New Roman" w:hAnsi="Times New Roman" w:cs="Times New Roman"/>
          <w:b/>
          <w:bCs/>
          <w:sz w:val="20"/>
          <w:szCs w:val="20"/>
        </w:rPr>
        <w:t>-</w:t>
      </w:r>
      <w:r w:rsidR="007B1187" w:rsidRPr="00694E72">
        <w:rPr>
          <w:rFonts w:ascii="Times New Roman" w:hAnsi="Times New Roman" w:cs="Times New Roman"/>
          <w:b/>
          <w:bCs/>
          <w:sz w:val="20"/>
          <w:szCs w:val="20"/>
        </w:rPr>
        <w:t>12]</w:t>
      </w:r>
    </w:p>
    <w:p w:rsidR="00D30773" w:rsidRPr="00694E72" w:rsidRDefault="00D30773" w:rsidP="00E72B14">
      <w:pPr>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The gene encoding IL-10 is located on chromosome 1 (1q31-1q32) and displays a few polymorphisms in the promoter region of the transcriptional start site,</w:t>
      </w:r>
      <w:r w:rsidR="00694E72" w:rsidRPr="00694E72">
        <w:rPr>
          <w:rFonts w:ascii="Times New Roman" w:hAnsi="Times New Roman" w:cs="Times New Roman"/>
          <w:sz w:val="20"/>
          <w:szCs w:val="20"/>
        </w:rPr>
        <w:t xml:space="preserve"> </w:t>
      </w:r>
      <w:r w:rsidRPr="00694E72">
        <w:rPr>
          <w:rFonts w:ascii="Times New Roman" w:hAnsi="Times New Roman" w:cs="Times New Roman"/>
          <w:sz w:val="20"/>
          <w:szCs w:val="20"/>
        </w:rPr>
        <w:t xml:space="preserve">including IL-10 -1082G/A (rs1800896), -819T/C (rs1800871), and -592A/C (rs1800872). </w:t>
      </w:r>
      <w:r w:rsidR="004A22DF" w:rsidRPr="00694E72">
        <w:rPr>
          <w:rFonts w:ascii="Times New Roman" w:hAnsi="Times New Roman" w:cs="Times New Roman"/>
          <w:sz w:val="20"/>
          <w:szCs w:val="20"/>
        </w:rPr>
        <w:t xml:space="preserve">Very few studies have been published reporting that the polymorphisms in IL-10 were associated with AML. </w:t>
      </w:r>
      <w:r w:rsidR="001F2E48" w:rsidRPr="00694E72">
        <w:rPr>
          <w:rFonts w:ascii="Times New Roman" w:hAnsi="Times New Roman" w:cs="Times New Roman"/>
          <w:b/>
          <w:bCs/>
          <w:sz w:val="20"/>
          <w:szCs w:val="20"/>
        </w:rPr>
        <w:t>[13</w:t>
      </w:r>
      <w:r w:rsidR="00627413" w:rsidRPr="00694E72">
        <w:rPr>
          <w:rFonts w:ascii="Times New Roman" w:hAnsi="Times New Roman" w:cs="Times New Roman"/>
          <w:b/>
          <w:bCs/>
          <w:sz w:val="20"/>
          <w:szCs w:val="20"/>
        </w:rPr>
        <w:t xml:space="preserve">, </w:t>
      </w:r>
      <w:r w:rsidR="001F2E48" w:rsidRPr="00694E72">
        <w:rPr>
          <w:rFonts w:ascii="Times New Roman" w:hAnsi="Times New Roman" w:cs="Times New Roman"/>
          <w:b/>
          <w:bCs/>
          <w:sz w:val="20"/>
          <w:szCs w:val="20"/>
        </w:rPr>
        <w:t>14</w:t>
      </w:r>
      <w:r w:rsidR="004A22DF" w:rsidRPr="00694E72">
        <w:rPr>
          <w:rFonts w:ascii="Times New Roman" w:hAnsi="Times New Roman" w:cs="Times New Roman"/>
          <w:b/>
          <w:bCs/>
          <w:sz w:val="20"/>
          <w:szCs w:val="20"/>
        </w:rPr>
        <w:t>]</w:t>
      </w:r>
      <w:r w:rsidR="001C313D" w:rsidRPr="00694E72">
        <w:rPr>
          <w:rFonts w:ascii="Times New Roman" w:hAnsi="Times New Roman" w:cs="Times New Roman"/>
          <w:b/>
          <w:bCs/>
          <w:sz w:val="20"/>
          <w:szCs w:val="20"/>
        </w:rPr>
        <w:t>.</w:t>
      </w:r>
      <w:r w:rsidR="004A22DF" w:rsidRPr="00694E72">
        <w:rPr>
          <w:rFonts w:ascii="Times New Roman" w:hAnsi="Times New Roman" w:cs="Times New Roman"/>
          <w:sz w:val="20"/>
          <w:szCs w:val="20"/>
        </w:rPr>
        <w:t xml:space="preserve"> To</w:t>
      </w:r>
      <w:r w:rsidR="001C313D" w:rsidRPr="00694E72">
        <w:rPr>
          <w:rFonts w:ascii="Times New Roman" w:hAnsi="Times New Roman" w:cs="Times New Roman"/>
          <w:sz w:val="20"/>
          <w:szCs w:val="20"/>
        </w:rPr>
        <w:t xml:space="preserve"> the</w:t>
      </w:r>
      <w:r w:rsidR="004A22DF" w:rsidRPr="00694E72">
        <w:rPr>
          <w:rFonts w:ascii="Times New Roman" w:hAnsi="Times New Roman" w:cs="Times New Roman"/>
          <w:sz w:val="20"/>
          <w:szCs w:val="20"/>
        </w:rPr>
        <w:t xml:space="preserve"> best</w:t>
      </w:r>
      <w:r w:rsidR="001C313D" w:rsidRPr="00694E72">
        <w:rPr>
          <w:rFonts w:ascii="Times New Roman" w:hAnsi="Times New Roman" w:cs="Times New Roman"/>
          <w:sz w:val="20"/>
          <w:szCs w:val="20"/>
        </w:rPr>
        <w:t xml:space="preserve"> of our</w:t>
      </w:r>
      <w:r w:rsidR="004A22DF" w:rsidRPr="00694E72">
        <w:rPr>
          <w:rFonts w:ascii="Times New Roman" w:hAnsi="Times New Roman" w:cs="Times New Roman"/>
          <w:sz w:val="20"/>
          <w:szCs w:val="20"/>
        </w:rPr>
        <w:t xml:space="preserve"> knowledge there are no published studies its association in Caucasians or African AML cases.</w:t>
      </w:r>
    </w:p>
    <w:p w:rsidR="00D30773" w:rsidRPr="00694E72" w:rsidRDefault="00182BAF" w:rsidP="00E72B14">
      <w:pPr>
        <w:snapToGrid w:val="0"/>
        <w:spacing w:after="0" w:line="240" w:lineRule="auto"/>
        <w:ind w:firstLine="425"/>
        <w:jc w:val="both"/>
        <w:rPr>
          <w:rFonts w:ascii="Times New Roman" w:hAnsi="Times New Roman" w:cs="Times New Roman"/>
          <w:b/>
          <w:bCs/>
          <w:sz w:val="20"/>
          <w:szCs w:val="20"/>
          <w:highlight w:val="yellow"/>
        </w:rPr>
      </w:pPr>
      <w:r w:rsidRPr="00694E72">
        <w:rPr>
          <w:rFonts w:ascii="Times New Roman" w:hAnsi="Times New Roman" w:cs="Times New Roman"/>
          <w:sz w:val="20"/>
          <w:szCs w:val="20"/>
        </w:rPr>
        <w:t>The aim of this study was to investigate the frequency and association between -819 T/C (</w:t>
      </w:r>
      <w:proofErr w:type="spellStart"/>
      <w:r w:rsidRPr="00694E72">
        <w:rPr>
          <w:rFonts w:ascii="Times New Roman" w:hAnsi="Times New Roman" w:cs="Times New Roman"/>
          <w:sz w:val="20"/>
          <w:szCs w:val="20"/>
        </w:rPr>
        <w:t>rs</w:t>
      </w:r>
      <w:proofErr w:type="spellEnd"/>
      <w:r w:rsidRPr="00694E72">
        <w:rPr>
          <w:rFonts w:ascii="Times New Roman" w:hAnsi="Times New Roman" w:cs="Times New Roman"/>
          <w:sz w:val="20"/>
          <w:szCs w:val="20"/>
        </w:rPr>
        <w:t xml:space="preserve"> 1800871), one of the polymorphisms of IL -10 and the risk of AML in Egyptian patients. Taking in</w:t>
      </w:r>
      <w:r w:rsidR="002261EB" w:rsidRPr="00694E72">
        <w:rPr>
          <w:rFonts w:ascii="Times New Roman" w:hAnsi="Times New Roman" w:cs="Times New Roman"/>
          <w:sz w:val="20"/>
          <w:szCs w:val="20"/>
        </w:rPr>
        <w:t xml:space="preserve">to </w:t>
      </w:r>
      <w:r w:rsidRPr="00694E72">
        <w:rPr>
          <w:rFonts w:ascii="Times New Roman" w:hAnsi="Times New Roman" w:cs="Times New Roman"/>
          <w:sz w:val="20"/>
          <w:szCs w:val="20"/>
        </w:rPr>
        <w:t>consideration</w:t>
      </w:r>
      <w:r w:rsidR="007322B5" w:rsidRPr="00694E72">
        <w:rPr>
          <w:rFonts w:ascii="Times New Roman" w:hAnsi="Times New Roman" w:cs="Times New Roman"/>
          <w:sz w:val="20"/>
          <w:szCs w:val="20"/>
        </w:rPr>
        <w:t xml:space="preserve">, </w:t>
      </w:r>
      <w:r w:rsidRPr="00694E72">
        <w:rPr>
          <w:rFonts w:ascii="Times New Roman" w:hAnsi="Times New Roman" w:cs="Times New Roman"/>
          <w:sz w:val="20"/>
          <w:szCs w:val="20"/>
        </w:rPr>
        <w:t>number</w:t>
      </w:r>
      <w:r w:rsidR="007322B5" w:rsidRPr="00694E72">
        <w:rPr>
          <w:rFonts w:ascii="Times New Roman" w:hAnsi="Times New Roman" w:cs="Times New Roman"/>
          <w:sz w:val="20"/>
          <w:szCs w:val="20"/>
        </w:rPr>
        <w:t>s</w:t>
      </w:r>
      <w:r w:rsidRPr="00694E72">
        <w:rPr>
          <w:rFonts w:ascii="Times New Roman" w:hAnsi="Times New Roman" w:cs="Times New Roman"/>
          <w:sz w:val="20"/>
          <w:szCs w:val="20"/>
        </w:rPr>
        <w:t xml:space="preserve"> of</w:t>
      </w:r>
      <w:r w:rsidR="00694E72" w:rsidRPr="00694E72">
        <w:rPr>
          <w:rFonts w:ascii="Times New Roman" w:hAnsi="Times New Roman" w:cs="Times New Roman" w:hint="eastAsia"/>
          <w:sz w:val="20"/>
          <w:szCs w:val="20"/>
          <w:lang w:eastAsia="zh-CN"/>
        </w:rPr>
        <w:t xml:space="preserve"> </w:t>
      </w:r>
      <w:r w:rsidRPr="00694E72">
        <w:rPr>
          <w:rFonts w:ascii="Times New Roman" w:hAnsi="Times New Roman" w:cs="Times New Roman"/>
          <w:sz w:val="20"/>
          <w:szCs w:val="20"/>
        </w:rPr>
        <w:t xml:space="preserve">reports on the Egyptian population have documented differences in the frequencies of various SNPs of a number of genes when compared to populations in other parts of the world. </w:t>
      </w:r>
      <w:r w:rsidRPr="00694E72">
        <w:rPr>
          <w:rFonts w:ascii="Times New Roman" w:hAnsi="Times New Roman" w:cs="Times New Roman"/>
          <w:b/>
          <w:bCs/>
          <w:sz w:val="20"/>
          <w:szCs w:val="20"/>
        </w:rPr>
        <w:t>[</w:t>
      </w:r>
      <w:r w:rsidR="007A1070" w:rsidRPr="00694E72">
        <w:rPr>
          <w:rFonts w:ascii="Times New Roman" w:hAnsi="Times New Roman" w:cs="Times New Roman"/>
          <w:b/>
          <w:bCs/>
          <w:sz w:val="20"/>
          <w:szCs w:val="20"/>
        </w:rPr>
        <w:t>15-</w:t>
      </w:r>
      <w:r w:rsidRPr="00694E72">
        <w:rPr>
          <w:rFonts w:ascii="Times New Roman" w:hAnsi="Times New Roman" w:cs="Times New Roman"/>
          <w:b/>
          <w:bCs/>
          <w:sz w:val="20"/>
          <w:szCs w:val="20"/>
        </w:rPr>
        <w:t>17]</w:t>
      </w:r>
    </w:p>
    <w:p w:rsidR="00A454BC" w:rsidRPr="00694E72" w:rsidRDefault="00A454BC" w:rsidP="00E72B14">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30773" w:rsidRPr="00694E72" w:rsidRDefault="00A454BC" w:rsidP="00E72B14">
      <w:pPr>
        <w:autoSpaceDE w:val="0"/>
        <w:autoSpaceDN w:val="0"/>
        <w:adjustRightInd w:val="0"/>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t>2. Patients and methods</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lastRenderedPageBreak/>
        <w:t>This study was carried out on</w:t>
      </w:r>
      <w:r w:rsidR="00266008" w:rsidRPr="00694E72">
        <w:rPr>
          <w:rFonts w:ascii="Times New Roman" w:hAnsi="Times New Roman" w:cs="Times New Roman"/>
          <w:sz w:val="20"/>
          <w:szCs w:val="20"/>
        </w:rPr>
        <w:t xml:space="preserve"> 80</w:t>
      </w:r>
      <w:r w:rsidRPr="00694E72">
        <w:rPr>
          <w:rFonts w:ascii="Times New Roman" w:hAnsi="Times New Roman" w:cs="Times New Roman"/>
          <w:sz w:val="20"/>
          <w:szCs w:val="20"/>
        </w:rPr>
        <w:t xml:space="preserve"> newly diagnosed </w:t>
      </w:r>
      <w:r w:rsidR="00A838E2" w:rsidRPr="00694E72">
        <w:rPr>
          <w:rFonts w:ascii="Times New Roman" w:hAnsi="Times New Roman" w:cs="Times New Roman"/>
          <w:sz w:val="20"/>
          <w:szCs w:val="20"/>
        </w:rPr>
        <w:t>a</w:t>
      </w:r>
      <w:r w:rsidR="000D5372" w:rsidRPr="00694E72">
        <w:rPr>
          <w:rFonts w:ascii="Times New Roman" w:hAnsi="Times New Roman" w:cs="Times New Roman"/>
          <w:sz w:val="20"/>
          <w:szCs w:val="20"/>
        </w:rPr>
        <w:t xml:space="preserve">dult </w:t>
      </w:r>
      <w:r w:rsidRPr="00694E72">
        <w:rPr>
          <w:rFonts w:ascii="Times New Roman" w:hAnsi="Times New Roman" w:cs="Times New Roman"/>
          <w:sz w:val="20"/>
          <w:szCs w:val="20"/>
        </w:rPr>
        <w:t xml:space="preserve">AML patients </w:t>
      </w:r>
      <w:r w:rsidR="000510CA" w:rsidRPr="00694E72">
        <w:rPr>
          <w:rFonts w:ascii="Times New Roman" w:hAnsi="Times New Roman" w:cs="Times New Roman"/>
          <w:sz w:val="20"/>
          <w:szCs w:val="20"/>
        </w:rPr>
        <w:t>with</w:t>
      </w:r>
      <w:r w:rsidR="00694E72" w:rsidRPr="00694E72">
        <w:rPr>
          <w:rFonts w:ascii="Times New Roman" w:hAnsi="Times New Roman" w:cs="Times New Roman" w:hint="eastAsia"/>
          <w:sz w:val="20"/>
          <w:szCs w:val="20"/>
          <w:lang w:eastAsia="zh-CN"/>
        </w:rPr>
        <w:t xml:space="preserve"> </w:t>
      </w:r>
      <w:r w:rsidR="00266008" w:rsidRPr="00694E72">
        <w:rPr>
          <w:rFonts w:ascii="Times New Roman" w:hAnsi="Times New Roman" w:cs="Times New Roman"/>
          <w:sz w:val="20"/>
          <w:szCs w:val="20"/>
        </w:rPr>
        <w:t>85</w:t>
      </w:r>
      <w:r w:rsidR="00894F53" w:rsidRPr="00694E72">
        <w:rPr>
          <w:rFonts w:ascii="Times New Roman" w:hAnsi="Times New Roman" w:cs="Times New Roman"/>
          <w:sz w:val="20"/>
          <w:szCs w:val="20"/>
        </w:rPr>
        <w:t xml:space="preserve"> A</w:t>
      </w:r>
      <w:r w:rsidR="00366EA6" w:rsidRPr="00694E72">
        <w:rPr>
          <w:rFonts w:ascii="Times New Roman" w:hAnsi="Times New Roman" w:cs="Times New Roman"/>
          <w:sz w:val="20"/>
          <w:szCs w:val="20"/>
        </w:rPr>
        <w:t xml:space="preserve">ge and sex matched </w:t>
      </w:r>
      <w:r w:rsidR="000510CA" w:rsidRPr="00694E72">
        <w:rPr>
          <w:rFonts w:ascii="Times New Roman" w:hAnsi="Times New Roman" w:cs="Times New Roman"/>
          <w:sz w:val="20"/>
          <w:szCs w:val="20"/>
        </w:rPr>
        <w:t xml:space="preserve">apparently healthy individuals as </w:t>
      </w:r>
      <w:r w:rsidR="00366EA6" w:rsidRPr="00694E72">
        <w:rPr>
          <w:rFonts w:ascii="Times New Roman" w:hAnsi="Times New Roman" w:cs="Times New Roman"/>
          <w:sz w:val="20"/>
          <w:szCs w:val="20"/>
        </w:rPr>
        <w:t xml:space="preserve">controls </w:t>
      </w:r>
      <w:r w:rsidRPr="00694E72">
        <w:rPr>
          <w:rFonts w:ascii="Times New Roman" w:hAnsi="Times New Roman" w:cs="Times New Roman"/>
          <w:sz w:val="20"/>
          <w:szCs w:val="20"/>
        </w:rPr>
        <w:t xml:space="preserve">over a period </w:t>
      </w:r>
      <w:r w:rsidR="00366EA6" w:rsidRPr="00694E72">
        <w:rPr>
          <w:rFonts w:ascii="Times New Roman" w:hAnsi="Times New Roman" w:cs="Times New Roman"/>
          <w:sz w:val="20"/>
          <w:szCs w:val="20"/>
        </w:rPr>
        <w:t>of two year</w:t>
      </w:r>
      <w:r w:rsidR="000510CA" w:rsidRPr="00694E72">
        <w:rPr>
          <w:rFonts w:ascii="Times New Roman" w:hAnsi="Times New Roman" w:cs="Times New Roman"/>
          <w:sz w:val="20"/>
          <w:szCs w:val="20"/>
        </w:rPr>
        <w:t>s</w:t>
      </w:r>
      <w:r w:rsidRPr="00694E72">
        <w:rPr>
          <w:rFonts w:ascii="Times New Roman" w:hAnsi="Times New Roman" w:cs="Times New Roman"/>
          <w:sz w:val="20"/>
          <w:szCs w:val="20"/>
        </w:rPr>
        <w:t xml:space="preserve">. </w:t>
      </w:r>
      <w:r w:rsidR="00EC33CB" w:rsidRPr="00694E72">
        <w:rPr>
          <w:rFonts w:ascii="Times New Roman" w:hAnsi="Times New Roman" w:cs="Times New Roman"/>
          <w:sz w:val="20"/>
          <w:szCs w:val="20"/>
        </w:rPr>
        <w:t>Clinical</w:t>
      </w:r>
      <w:r w:rsidRPr="00694E72">
        <w:rPr>
          <w:rFonts w:ascii="Times New Roman" w:hAnsi="Times New Roman" w:cs="Times New Roman"/>
          <w:sz w:val="20"/>
          <w:szCs w:val="20"/>
        </w:rPr>
        <w:t xml:space="preserve">, morphological, </w:t>
      </w:r>
      <w:proofErr w:type="spellStart"/>
      <w:r w:rsidRPr="00694E72">
        <w:rPr>
          <w:rFonts w:ascii="Times New Roman" w:hAnsi="Times New Roman" w:cs="Times New Roman"/>
          <w:sz w:val="20"/>
          <w:szCs w:val="20"/>
        </w:rPr>
        <w:t>cytochemical</w:t>
      </w:r>
      <w:proofErr w:type="spellEnd"/>
      <w:r w:rsidRPr="00694E72">
        <w:rPr>
          <w:rFonts w:ascii="Times New Roman" w:hAnsi="Times New Roman" w:cs="Times New Roman"/>
          <w:sz w:val="20"/>
          <w:szCs w:val="20"/>
        </w:rPr>
        <w:t xml:space="preserve">, flow </w:t>
      </w:r>
      <w:proofErr w:type="spellStart"/>
      <w:r w:rsidRPr="00694E72">
        <w:rPr>
          <w:rFonts w:ascii="Times New Roman" w:hAnsi="Times New Roman" w:cs="Times New Roman"/>
          <w:sz w:val="20"/>
          <w:szCs w:val="20"/>
        </w:rPr>
        <w:t>cytometric</w:t>
      </w:r>
      <w:proofErr w:type="spellEnd"/>
      <w:r w:rsidRPr="00694E72">
        <w:rPr>
          <w:rFonts w:ascii="Times New Roman" w:hAnsi="Times New Roman" w:cs="Times New Roman"/>
          <w:sz w:val="20"/>
          <w:szCs w:val="20"/>
        </w:rPr>
        <w:t xml:space="preserve"> and cytogenetic analysis</w:t>
      </w:r>
      <w:r w:rsidR="000D127A" w:rsidRPr="00694E72">
        <w:rPr>
          <w:rFonts w:ascii="Times New Roman" w:hAnsi="Times New Roman" w:cs="Times New Roman"/>
          <w:sz w:val="20"/>
          <w:szCs w:val="20"/>
        </w:rPr>
        <w:t xml:space="preserve"> were done</w:t>
      </w:r>
      <w:r w:rsidR="00EC33CB" w:rsidRPr="00694E72">
        <w:rPr>
          <w:rFonts w:ascii="Times New Roman" w:hAnsi="Times New Roman" w:cs="Times New Roman"/>
          <w:sz w:val="20"/>
          <w:szCs w:val="20"/>
        </w:rPr>
        <w:t xml:space="preserve"> to confirm diagnosis</w:t>
      </w:r>
      <w:r w:rsidRPr="00694E72">
        <w:rPr>
          <w:rFonts w:ascii="Times New Roman" w:hAnsi="Times New Roman" w:cs="Times New Roman"/>
          <w:sz w:val="20"/>
          <w:szCs w:val="20"/>
        </w:rPr>
        <w:t>. All the cases met the AML diagnosis standards</w:t>
      </w:r>
      <w:r w:rsidR="002C7AEE" w:rsidRPr="00694E72">
        <w:rPr>
          <w:rFonts w:ascii="Times New Roman" w:hAnsi="Times New Roman" w:cs="Times New Roman"/>
          <w:sz w:val="20"/>
          <w:szCs w:val="20"/>
        </w:rPr>
        <w:t>.</w:t>
      </w:r>
      <w:r w:rsidR="0075441C" w:rsidRPr="00694E72">
        <w:rPr>
          <w:rFonts w:ascii="Times New Roman" w:hAnsi="Times New Roman" w:cs="Times New Roman"/>
          <w:b/>
          <w:bCs/>
          <w:sz w:val="20"/>
          <w:szCs w:val="20"/>
        </w:rPr>
        <w:t>[18</w:t>
      </w:r>
      <w:r w:rsidR="002C7AEE" w:rsidRPr="00694E72">
        <w:rPr>
          <w:rFonts w:ascii="Times New Roman" w:hAnsi="Times New Roman" w:cs="Times New Roman"/>
          <w:b/>
          <w:bCs/>
          <w:sz w:val="20"/>
          <w:szCs w:val="20"/>
        </w:rPr>
        <w:t>]</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A Written informed consent was approved by the Institutional Review board (IRB) ethical committee of the NCI which follows the rules of Helsinki IRB</w:t>
      </w:r>
      <w:r w:rsidR="000D5372" w:rsidRPr="00694E72">
        <w:rPr>
          <w:rFonts w:ascii="Times New Roman" w:hAnsi="Times New Roman" w:cs="Times New Roman"/>
          <w:sz w:val="20"/>
          <w:szCs w:val="20"/>
        </w:rPr>
        <w:t xml:space="preserve"> and</w:t>
      </w:r>
      <w:r w:rsidRPr="00694E72">
        <w:rPr>
          <w:rFonts w:ascii="Times New Roman" w:hAnsi="Times New Roman" w:cs="Times New Roman"/>
          <w:sz w:val="20"/>
          <w:szCs w:val="20"/>
        </w:rPr>
        <w:t xml:space="preserve"> was obtained from each patient before starting the data collection. For the sake of patient</w:t>
      </w:r>
      <w:r w:rsidR="000D5372" w:rsidRPr="00694E72">
        <w:rPr>
          <w:rFonts w:ascii="Times New Roman" w:hAnsi="Times New Roman" w:cs="Times New Roman"/>
          <w:sz w:val="20"/>
          <w:szCs w:val="20"/>
        </w:rPr>
        <w:t>s’</w:t>
      </w:r>
      <w:r w:rsidRPr="00694E72">
        <w:rPr>
          <w:rFonts w:ascii="Times New Roman" w:hAnsi="Times New Roman" w:cs="Times New Roman"/>
          <w:sz w:val="20"/>
          <w:szCs w:val="20"/>
        </w:rPr>
        <w:t xml:space="preserve"> privacy, they were given code numbers.</w:t>
      </w:r>
    </w:p>
    <w:p w:rsidR="00D30773" w:rsidRPr="00694E72" w:rsidRDefault="00C631CF" w:rsidP="00E72B14">
      <w:pPr>
        <w:autoSpaceDE w:val="0"/>
        <w:autoSpaceDN w:val="0"/>
        <w:adjustRightInd w:val="0"/>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t>Colle</w:t>
      </w:r>
      <w:r w:rsidR="00D30773" w:rsidRPr="00694E72">
        <w:rPr>
          <w:rFonts w:ascii="Times New Roman" w:hAnsi="Times New Roman" w:cs="Times New Roman"/>
          <w:b/>
          <w:bCs/>
          <w:sz w:val="20"/>
          <w:szCs w:val="20"/>
        </w:rPr>
        <w:t>ction and preservation of the sample:</w:t>
      </w:r>
    </w:p>
    <w:p w:rsidR="00D30773" w:rsidRPr="00694E72" w:rsidRDefault="00754E05"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 xml:space="preserve">Peripheral blood and bone marrow samples were collected in EDTA </w:t>
      </w:r>
      <w:r w:rsidR="00D30773" w:rsidRPr="00694E72">
        <w:rPr>
          <w:rFonts w:ascii="Times New Roman" w:hAnsi="Times New Roman" w:cs="Times New Roman"/>
          <w:sz w:val="20"/>
          <w:szCs w:val="20"/>
        </w:rPr>
        <w:t>2-5 ml</w:t>
      </w:r>
      <w:r w:rsidRPr="00694E72">
        <w:rPr>
          <w:rFonts w:ascii="Times New Roman" w:hAnsi="Times New Roman" w:cs="Times New Roman"/>
          <w:sz w:val="20"/>
          <w:szCs w:val="20"/>
        </w:rPr>
        <w:t xml:space="preserve"> tubes from</w:t>
      </w:r>
      <w:r w:rsidR="00D30773" w:rsidRPr="00694E72">
        <w:rPr>
          <w:rFonts w:ascii="Times New Roman" w:hAnsi="Times New Roman" w:cs="Times New Roman"/>
          <w:sz w:val="20"/>
          <w:szCs w:val="20"/>
        </w:rPr>
        <w:t xml:space="preserve"> the participants and treated with erythrocyte </w:t>
      </w:r>
      <w:proofErr w:type="spellStart"/>
      <w:r w:rsidR="00D30773" w:rsidRPr="00694E72">
        <w:rPr>
          <w:rFonts w:ascii="Times New Roman" w:hAnsi="Times New Roman" w:cs="Times New Roman"/>
          <w:sz w:val="20"/>
          <w:szCs w:val="20"/>
        </w:rPr>
        <w:t>lysis</w:t>
      </w:r>
      <w:proofErr w:type="spellEnd"/>
      <w:r w:rsidR="00D30773" w:rsidRPr="00694E72">
        <w:rPr>
          <w:rFonts w:ascii="Times New Roman" w:hAnsi="Times New Roman" w:cs="Times New Roman"/>
          <w:sz w:val="20"/>
          <w:szCs w:val="20"/>
        </w:rPr>
        <w:t xml:space="preserve"> solut</w:t>
      </w:r>
      <w:r w:rsidR="00971ABE" w:rsidRPr="00694E72">
        <w:rPr>
          <w:rFonts w:ascii="Times New Roman" w:hAnsi="Times New Roman" w:cs="Times New Roman"/>
          <w:sz w:val="20"/>
          <w:szCs w:val="20"/>
        </w:rPr>
        <w:t>ion. Leukocytes were then separated</w:t>
      </w:r>
      <w:r w:rsidR="00D30773" w:rsidRPr="00694E72">
        <w:rPr>
          <w:rFonts w:ascii="Times New Roman" w:hAnsi="Times New Roman" w:cs="Times New Roman"/>
          <w:sz w:val="20"/>
          <w:szCs w:val="20"/>
        </w:rPr>
        <w:t xml:space="preserve"> with centrifugation (2000 rpm, 2 min) at 4 °C and stored in </w:t>
      </w:r>
      <w:proofErr w:type="spellStart"/>
      <w:r w:rsidR="00D30773" w:rsidRPr="00694E72">
        <w:rPr>
          <w:rFonts w:ascii="Times New Roman" w:hAnsi="Times New Roman" w:cs="Times New Roman"/>
          <w:sz w:val="20"/>
          <w:szCs w:val="20"/>
        </w:rPr>
        <w:t>Trizol</w:t>
      </w:r>
      <w:proofErr w:type="spellEnd"/>
      <w:r w:rsidR="00D30773" w:rsidRPr="00694E72">
        <w:rPr>
          <w:rFonts w:ascii="Times New Roman" w:hAnsi="Times New Roman" w:cs="Times New Roman"/>
          <w:sz w:val="20"/>
          <w:szCs w:val="20"/>
        </w:rPr>
        <w:t xml:space="preserve"> (10</w:t>
      </w:r>
      <w:r w:rsidR="00D30773" w:rsidRPr="00694E72">
        <w:rPr>
          <w:rFonts w:ascii="Times New Roman" w:hAnsi="Times New Roman" w:cs="Times New Roman"/>
          <w:sz w:val="20"/>
          <w:szCs w:val="20"/>
          <w:vertAlign w:val="superscript"/>
        </w:rPr>
        <w:t>7</w:t>
      </w:r>
      <w:r w:rsidR="00694E72" w:rsidRPr="00694E72">
        <w:rPr>
          <w:rFonts w:ascii="Times New Roman" w:hAnsi="Times New Roman" w:cs="Times New Roman" w:hint="eastAsia"/>
          <w:sz w:val="20"/>
          <w:szCs w:val="20"/>
          <w:vertAlign w:val="superscript"/>
          <w:lang w:eastAsia="zh-CN"/>
        </w:rPr>
        <w:t xml:space="preserve"> </w:t>
      </w:r>
      <w:r w:rsidR="00D30773" w:rsidRPr="00694E72">
        <w:rPr>
          <w:rFonts w:ascii="Times New Roman" w:hAnsi="Times New Roman" w:cs="Times New Roman"/>
          <w:sz w:val="20"/>
          <w:szCs w:val="20"/>
        </w:rPr>
        <w:t xml:space="preserve">leukocytes/ml) at -80 °C </w:t>
      </w:r>
      <w:r w:rsidR="00212C9F" w:rsidRPr="00694E72">
        <w:rPr>
          <w:rFonts w:ascii="Times New Roman" w:hAnsi="Times New Roman" w:cs="Times New Roman"/>
          <w:sz w:val="20"/>
          <w:szCs w:val="20"/>
        </w:rPr>
        <w:t>for D</w:t>
      </w:r>
      <w:r w:rsidR="00D30773" w:rsidRPr="00694E72">
        <w:rPr>
          <w:rFonts w:ascii="Times New Roman" w:hAnsi="Times New Roman" w:cs="Times New Roman"/>
          <w:sz w:val="20"/>
          <w:szCs w:val="20"/>
        </w:rPr>
        <w:t>NA extraction.</w:t>
      </w:r>
    </w:p>
    <w:p w:rsidR="00D30773" w:rsidRPr="00694E72" w:rsidRDefault="00D30773" w:rsidP="00E72B14">
      <w:pPr>
        <w:autoSpaceDE w:val="0"/>
        <w:autoSpaceDN w:val="0"/>
        <w:adjustRightInd w:val="0"/>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t>Genetic polymorphism analysis:</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94E72">
        <w:rPr>
          <w:rFonts w:ascii="Times New Roman" w:hAnsi="Times New Roman" w:cs="Times New Roman"/>
          <w:sz w:val="20"/>
          <w:szCs w:val="20"/>
        </w:rPr>
        <w:t>Total genomic DNA was extracted from bone marrow cells of</w:t>
      </w:r>
      <w:r w:rsidR="00213102" w:rsidRPr="00694E72">
        <w:rPr>
          <w:rFonts w:ascii="Times New Roman" w:hAnsi="Times New Roman" w:cs="Times New Roman"/>
          <w:sz w:val="20"/>
          <w:szCs w:val="20"/>
        </w:rPr>
        <w:t xml:space="preserve"> AML</w:t>
      </w:r>
      <w:r w:rsidRPr="00694E72">
        <w:rPr>
          <w:rFonts w:ascii="Times New Roman" w:hAnsi="Times New Roman" w:cs="Times New Roman"/>
          <w:sz w:val="20"/>
          <w:szCs w:val="20"/>
        </w:rPr>
        <w:t xml:space="preserve"> patients using</w:t>
      </w:r>
      <w:r w:rsidR="00213102" w:rsidRPr="00694E72">
        <w:rPr>
          <w:rFonts w:ascii="Times New Roman" w:hAnsi="Times New Roman" w:cs="Times New Roman"/>
          <w:sz w:val="20"/>
          <w:szCs w:val="20"/>
        </w:rPr>
        <w:t xml:space="preserve"> the</w:t>
      </w:r>
      <w:r w:rsidR="00B30C56" w:rsidRPr="00694E72">
        <w:rPr>
          <w:rFonts w:ascii="Times New Roman" w:hAnsi="Times New Roman" w:cs="Times New Roman"/>
          <w:sz w:val="20"/>
          <w:szCs w:val="20"/>
        </w:rPr>
        <w:t xml:space="preserve"> Mini </w:t>
      </w:r>
      <w:proofErr w:type="spellStart"/>
      <w:r w:rsidR="00B30C56" w:rsidRPr="00694E72">
        <w:rPr>
          <w:rFonts w:ascii="Times New Roman" w:hAnsi="Times New Roman" w:cs="Times New Roman"/>
          <w:sz w:val="20"/>
          <w:szCs w:val="20"/>
        </w:rPr>
        <w:t>QIAamp</w:t>
      </w:r>
      <w:proofErr w:type="spellEnd"/>
      <w:r w:rsidR="00B30C56" w:rsidRPr="00694E72">
        <w:rPr>
          <w:rFonts w:ascii="Times New Roman" w:hAnsi="Times New Roman" w:cs="Times New Roman"/>
          <w:sz w:val="20"/>
          <w:szCs w:val="20"/>
        </w:rPr>
        <w:t xml:space="preserve"> DNA</w:t>
      </w:r>
      <w:r w:rsidRPr="00694E72">
        <w:rPr>
          <w:rFonts w:ascii="Times New Roman" w:hAnsi="Times New Roman" w:cs="Times New Roman"/>
          <w:sz w:val="20"/>
          <w:szCs w:val="20"/>
        </w:rPr>
        <w:t xml:space="preserve"> isolation kit (QIAGEN) following the standard procedures according to the manufacturer’s instructions. Genetic analysis of IL-10 SNPs at -819 was identified by polymerase chain reaction amplification and restriction fragment length polymorphism analysis (PCR-RFLP). The SNPs sequence of -819T/C (</w:t>
      </w:r>
      <w:proofErr w:type="spellStart"/>
      <w:r w:rsidRPr="00694E72">
        <w:rPr>
          <w:rFonts w:ascii="Times New Roman" w:hAnsi="Times New Roman" w:cs="Times New Roman"/>
          <w:sz w:val="20"/>
          <w:szCs w:val="20"/>
        </w:rPr>
        <w:t>rs</w:t>
      </w:r>
      <w:proofErr w:type="spellEnd"/>
      <w:r w:rsidRPr="00694E72">
        <w:rPr>
          <w:rFonts w:ascii="Times New Roman" w:hAnsi="Times New Roman" w:cs="Times New Roman"/>
          <w:sz w:val="20"/>
          <w:szCs w:val="20"/>
        </w:rPr>
        <w:t xml:space="preserve"> 1800871) of human IL-10 was searched through the Gene Bank from the National Center for Biotechnology Information (NCBI). The primer sequence of the desired SNP was as follows: (5´-TCATTCTATGTGCTGGAGATGG-3´) as a forward primer and (5´-TGGGGGAAGTGGGTAAGAGT-3´) as a reverse primer. The genomic DNA of AML patients and healthy controls were used as template and each PCR was performed in a Gene Amp</w:t>
      </w:r>
      <w:r w:rsidR="00787D18" w:rsidRPr="00694E72">
        <w:rPr>
          <w:rFonts w:ascii="Times New Roman" w:hAnsi="Times New Roman" w:cs="Times New Roman"/>
          <w:sz w:val="20"/>
          <w:szCs w:val="20"/>
        </w:rPr>
        <w:t>. PCR</w:t>
      </w:r>
      <w:r w:rsidR="0026755F" w:rsidRPr="00694E72">
        <w:rPr>
          <w:rFonts w:ascii="Times New Roman" w:hAnsi="Times New Roman" w:cs="Times New Roman"/>
          <w:sz w:val="20"/>
          <w:szCs w:val="20"/>
        </w:rPr>
        <w:t xml:space="preserve"> S</w:t>
      </w:r>
      <w:r w:rsidR="00787D18" w:rsidRPr="00694E72">
        <w:rPr>
          <w:rFonts w:ascii="Times New Roman" w:hAnsi="Times New Roman" w:cs="Times New Roman"/>
          <w:sz w:val="20"/>
          <w:szCs w:val="20"/>
        </w:rPr>
        <w:t>ystem</w:t>
      </w:r>
      <w:r w:rsidR="00694E72" w:rsidRPr="00694E72">
        <w:rPr>
          <w:rFonts w:ascii="Times New Roman" w:hAnsi="Times New Roman" w:cs="Times New Roman" w:hint="eastAsia"/>
          <w:sz w:val="20"/>
          <w:szCs w:val="20"/>
          <w:lang w:eastAsia="zh-CN"/>
        </w:rPr>
        <w:t xml:space="preserve"> </w:t>
      </w:r>
      <w:r w:rsidRPr="00694E72">
        <w:rPr>
          <w:rFonts w:ascii="Times New Roman" w:hAnsi="Times New Roman" w:cs="Times New Roman"/>
          <w:sz w:val="20"/>
          <w:szCs w:val="20"/>
        </w:rPr>
        <w:t>9700</w:t>
      </w:r>
      <w:r w:rsidR="00694E72" w:rsidRPr="00694E72">
        <w:rPr>
          <w:rFonts w:ascii="Times New Roman" w:hAnsi="Times New Roman" w:cs="Times New Roman" w:hint="eastAsia"/>
          <w:sz w:val="20"/>
          <w:szCs w:val="20"/>
          <w:lang w:eastAsia="zh-CN"/>
        </w:rPr>
        <w:t xml:space="preserve"> </w:t>
      </w:r>
      <w:r w:rsidR="001E13CC" w:rsidRPr="00694E72">
        <w:rPr>
          <w:rFonts w:ascii="Times New Roman" w:hAnsi="Times New Roman" w:cs="Times New Roman"/>
          <w:sz w:val="20"/>
          <w:szCs w:val="20"/>
        </w:rPr>
        <w:t>T</w:t>
      </w:r>
      <w:r w:rsidRPr="00694E72">
        <w:rPr>
          <w:rFonts w:ascii="Times New Roman" w:hAnsi="Times New Roman" w:cs="Times New Roman"/>
          <w:sz w:val="20"/>
          <w:szCs w:val="20"/>
        </w:rPr>
        <w:t>hermo</w:t>
      </w:r>
      <w:r w:rsidR="00B75E16" w:rsidRPr="00694E72">
        <w:rPr>
          <w:rFonts w:ascii="Times New Roman" w:hAnsi="Times New Roman" w:cs="Times New Roman"/>
          <w:sz w:val="20"/>
          <w:szCs w:val="20"/>
        </w:rPr>
        <w:t>-c</w:t>
      </w:r>
      <w:r w:rsidR="003F2E14" w:rsidRPr="00694E72">
        <w:rPr>
          <w:rFonts w:ascii="Times New Roman" w:hAnsi="Times New Roman" w:cs="Times New Roman"/>
          <w:sz w:val="20"/>
          <w:szCs w:val="20"/>
        </w:rPr>
        <w:t xml:space="preserve">ycler </w:t>
      </w:r>
      <w:r w:rsidR="006D211A" w:rsidRPr="00694E72">
        <w:rPr>
          <w:rFonts w:ascii="Times New Roman" w:hAnsi="Times New Roman" w:cs="Times New Roman"/>
          <w:sz w:val="20"/>
          <w:szCs w:val="20"/>
        </w:rPr>
        <w:t>(a</w:t>
      </w:r>
      <w:r w:rsidRPr="00694E72">
        <w:rPr>
          <w:rFonts w:ascii="Times New Roman" w:hAnsi="Times New Roman" w:cs="Times New Roman"/>
          <w:sz w:val="20"/>
          <w:szCs w:val="20"/>
        </w:rPr>
        <w:t>pplied Bio-</w:t>
      </w:r>
      <w:r w:rsidR="00237EE7" w:rsidRPr="00694E72">
        <w:rPr>
          <w:rFonts w:ascii="Times New Roman" w:hAnsi="Times New Roman" w:cs="Times New Roman"/>
          <w:sz w:val="20"/>
          <w:szCs w:val="20"/>
        </w:rPr>
        <w:t>S</w:t>
      </w:r>
      <w:r w:rsidR="0083337E" w:rsidRPr="00694E72">
        <w:rPr>
          <w:rFonts w:ascii="Times New Roman" w:hAnsi="Times New Roman" w:cs="Times New Roman"/>
          <w:sz w:val="20"/>
          <w:szCs w:val="20"/>
        </w:rPr>
        <w:t>ystems,</w:t>
      </w:r>
      <w:r w:rsidR="00694E72" w:rsidRPr="00694E72">
        <w:rPr>
          <w:rFonts w:ascii="Times New Roman" w:hAnsi="Times New Roman" w:cs="Times New Roman" w:hint="eastAsia"/>
          <w:sz w:val="20"/>
          <w:szCs w:val="20"/>
          <w:lang w:eastAsia="zh-CN"/>
        </w:rPr>
        <w:t xml:space="preserve"> </w:t>
      </w:r>
      <w:r w:rsidR="006D211A" w:rsidRPr="00694E72">
        <w:rPr>
          <w:rFonts w:ascii="Times New Roman" w:hAnsi="Times New Roman" w:cs="Times New Roman"/>
          <w:sz w:val="20"/>
          <w:szCs w:val="20"/>
        </w:rPr>
        <w:t>USA)</w:t>
      </w:r>
      <w:r w:rsidRPr="00694E72">
        <w:rPr>
          <w:rFonts w:ascii="Times New Roman" w:hAnsi="Times New Roman" w:cs="Times New Roman"/>
          <w:sz w:val="20"/>
          <w:szCs w:val="20"/>
        </w:rPr>
        <w:t>.</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 xml:space="preserve">PCR was conducted with 150 </w:t>
      </w:r>
      <w:proofErr w:type="spellStart"/>
      <w:r w:rsidRPr="00694E72">
        <w:rPr>
          <w:rFonts w:ascii="Times New Roman" w:hAnsi="Times New Roman" w:cs="Times New Roman"/>
          <w:sz w:val="20"/>
          <w:szCs w:val="20"/>
        </w:rPr>
        <w:t>ng</w:t>
      </w:r>
      <w:proofErr w:type="spellEnd"/>
      <w:r w:rsidRPr="00694E72">
        <w:rPr>
          <w:rFonts w:ascii="Times New Roman" w:hAnsi="Times New Roman" w:cs="Times New Roman"/>
          <w:sz w:val="20"/>
          <w:szCs w:val="20"/>
        </w:rPr>
        <w:t xml:space="preserve"> of genomic DNA, 10p/mol. of each </w:t>
      </w:r>
      <w:r w:rsidR="00172ABC" w:rsidRPr="00694E72">
        <w:rPr>
          <w:rFonts w:ascii="Times New Roman" w:hAnsi="Times New Roman" w:cs="Times New Roman"/>
          <w:sz w:val="20"/>
          <w:szCs w:val="20"/>
        </w:rPr>
        <w:t xml:space="preserve">of the </w:t>
      </w:r>
      <w:r w:rsidRPr="00694E72">
        <w:rPr>
          <w:rFonts w:ascii="Times New Roman" w:hAnsi="Times New Roman" w:cs="Times New Roman"/>
          <w:sz w:val="20"/>
          <w:szCs w:val="20"/>
        </w:rPr>
        <w:t xml:space="preserve">primer, and 12.5ul of </w:t>
      </w:r>
      <w:r w:rsidR="00172ABC" w:rsidRPr="00694E72">
        <w:rPr>
          <w:rFonts w:ascii="Times New Roman" w:hAnsi="Times New Roman" w:cs="Times New Roman"/>
          <w:sz w:val="20"/>
          <w:szCs w:val="20"/>
        </w:rPr>
        <w:t>M</w:t>
      </w:r>
      <w:r w:rsidRPr="00694E72">
        <w:rPr>
          <w:rFonts w:ascii="Times New Roman" w:hAnsi="Times New Roman" w:cs="Times New Roman"/>
          <w:sz w:val="20"/>
          <w:szCs w:val="20"/>
        </w:rPr>
        <w:t>aster</w:t>
      </w:r>
      <w:r w:rsidR="0083337E" w:rsidRPr="00694E72">
        <w:rPr>
          <w:rFonts w:ascii="Times New Roman" w:hAnsi="Times New Roman" w:cs="Times New Roman"/>
          <w:sz w:val="20"/>
          <w:szCs w:val="20"/>
        </w:rPr>
        <w:t xml:space="preserve"> M</w:t>
      </w:r>
      <w:r w:rsidR="00A833E8" w:rsidRPr="00694E72">
        <w:rPr>
          <w:rFonts w:ascii="Times New Roman" w:hAnsi="Times New Roman" w:cs="Times New Roman"/>
          <w:sz w:val="20"/>
          <w:szCs w:val="20"/>
        </w:rPr>
        <w:t>ix (TAQ.</w:t>
      </w:r>
      <w:r w:rsidR="00FF356D" w:rsidRPr="00694E72">
        <w:rPr>
          <w:rFonts w:ascii="Times New Roman" w:hAnsi="Times New Roman" w:cs="Times New Roman"/>
          <w:sz w:val="20"/>
          <w:szCs w:val="20"/>
        </w:rPr>
        <w:t xml:space="preserve"> PCR</w:t>
      </w:r>
      <w:r w:rsidR="00694E72" w:rsidRPr="00694E72">
        <w:rPr>
          <w:rFonts w:ascii="Times New Roman" w:hAnsi="Times New Roman" w:cs="Times New Roman" w:hint="eastAsia"/>
          <w:sz w:val="20"/>
          <w:szCs w:val="20"/>
          <w:lang w:eastAsia="zh-CN"/>
        </w:rPr>
        <w:t xml:space="preserve"> </w:t>
      </w:r>
      <w:r w:rsidR="0083337E" w:rsidRPr="00694E72">
        <w:rPr>
          <w:rFonts w:ascii="Times New Roman" w:hAnsi="Times New Roman" w:cs="Times New Roman"/>
          <w:sz w:val="20"/>
          <w:szCs w:val="20"/>
        </w:rPr>
        <w:t>M</w:t>
      </w:r>
      <w:r w:rsidRPr="00694E72">
        <w:rPr>
          <w:rFonts w:ascii="Times New Roman" w:hAnsi="Times New Roman" w:cs="Times New Roman"/>
          <w:sz w:val="20"/>
          <w:szCs w:val="20"/>
        </w:rPr>
        <w:t>aster</w:t>
      </w:r>
      <w:r w:rsidR="00694E72" w:rsidRPr="00694E72">
        <w:rPr>
          <w:rFonts w:ascii="Times New Roman" w:hAnsi="Times New Roman" w:cs="Times New Roman" w:hint="eastAsia"/>
          <w:sz w:val="20"/>
          <w:szCs w:val="20"/>
          <w:lang w:eastAsia="zh-CN"/>
        </w:rPr>
        <w:t xml:space="preserve"> </w:t>
      </w:r>
      <w:r w:rsidR="0083337E" w:rsidRPr="00694E72">
        <w:rPr>
          <w:rFonts w:ascii="Times New Roman" w:hAnsi="Times New Roman" w:cs="Times New Roman"/>
          <w:sz w:val="20"/>
          <w:szCs w:val="20"/>
        </w:rPr>
        <w:t>M</w:t>
      </w:r>
      <w:r w:rsidRPr="00694E72">
        <w:rPr>
          <w:rFonts w:ascii="Times New Roman" w:hAnsi="Times New Roman" w:cs="Times New Roman"/>
          <w:sz w:val="20"/>
          <w:szCs w:val="20"/>
        </w:rPr>
        <w:t>ix)</w:t>
      </w:r>
      <w:r w:rsidR="00BA1730" w:rsidRPr="00694E72">
        <w:rPr>
          <w:rFonts w:ascii="Times New Roman" w:hAnsi="Times New Roman" w:cs="Times New Roman"/>
          <w:sz w:val="20"/>
          <w:szCs w:val="20"/>
        </w:rPr>
        <w:t xml:space="preserve"> (applied Bio-Systems, USA)</w:t>
      </w:r>
      <w:r w:rsidRPr="00694E72">
        <w:rPr>
          <w:rFonts w:ascii="Times New Roman" w:hAnsi="Times New Roman" w:cs="Times New Roman"/>
          <w:sz w:val="20"/>
          <w:szCs w:val="20"/>
        </w:rPr>
        <w:t xml:space="preserve">. </w:t>
      </w:r>
      <w:r w:rsidR="002E4AB6" w:rsidRPr="00694E72">
        <w:rPr>
          <w:rFonts w:ascii="Times New Roman" w:hAnsi="Times New Roman" w:cs="Times New Roman"/>
          <w:sz w:val="20"/>
          <w:szCs w:val="20"/>
        </w:rPr>
        <w:t>The reaction was carried out using the following thermal cycle reaction:</w:t>
      </w:r>
      <w:r w:rsidR="00694E72" w:rsidRPr="00694E72">
        <w:rPr>
          <w:rFonts w:ascii="Times New Roman" w:hAnsi="Times New Roman" w:cs="Times New Roman"/>
          <w:sz w:val="20"/>
          <w:szCs w:val="20"/>
        </w:rPr>
        <w:t xml:space="preserve"> </w:t>
      </w:r>
      <w:r w:rsidRPr="00694E72">
        <w:rPr>
          <w:rFonts w:ascii="Times New Roman" w:hAnsi="Times New Roman" w:cs="Times New Roman"/>
          <w:sz w:val="20"/>
          <w:szCs w:val="20"/>
        </w:rPr>
        <w:t>95°C for 5 min</w:t>
      </w:r>
      <w:r w:rsidR="00921C2C" w:rsidRPr="00694E72">
        <w:rPr>
          <w:rFonts w:ascii="Times New Roman" w:hAnsi="Times New Roman" w:cs="Times New Roman"/>
          <w:sz w:val="20"/>
          <w:szCs w:val="20"/>
        </w:rPr>
        <w:t>.</w:t>
      </w:r>
      <w:r w:rsidRPr="00694E72">
        <w:rPr>
          <w:rFonts w:ascii="Times New Roman" w:hAnsi="Times New Roman" w:cs="Times New Roman"/>
          <w:sz w:val="20"/>
          <w:szCs w:val="20"/>
        </w:rPr>
        <w:t>, fol</w:t>
      </w:r>
      <w:r w:rsidRPr="00694E72">
        <w:rPr>
          <w:rFonts w:ascii="Times New Roman" w:hAnsi="Times New Roman" w:cs="Times New Roman"/>
          <w:sz w:val="20"/>
          <w:szCs w:val="20"/>
        </w:rPr>
        <w:softHyphen/>
        <w:t xml:space="preserve">lowed by </w:t>
      </w:r>
      <w:proofErr w:type="spellStart"/>
      <w:r w:rsidRPr="00694E72">
        <w:rPr>
          <w:rFonts w:ascii="Times New Roman" w:hAnsi="Times New Roman" w:cs="Times New Roman"/>
          <w:sz w:val="20"/>
          <w:szCs w:val="20"/>
        </w:rPr>
        <w:t>denaturation</w:t>
      </w:r>
      <w:proofErr w:type="spellEnd"/>
      <w:r w:rsidRPr="00694E72">
        <w:rPr>
          <w:rFonts w:ascii="Times New Roman" w:hAnsi="Times New Roman" w:cs="Times New Roman"/>
          <w:sz w:val="20"/>
          <w:szCs w:val="20"/>
        </w:rPr>
        <w:t xml:space="preserve"> at 94°C for 45 s</w:t>
      </w:r>
      <w:r w:rsidR="00921C2C" w:rsidRPr="00694E72">
        <w:rPr>
          <w:rFonts w:ascii="Times New Roman" w:hAnsi="Times New Roman" w:cs="Times New Roman"/>
          <w:sz w:val="20"/>
          <w:szCs w:val="20"/>
        </w:rPr>
        <w:t>ec.</w:t>
      </w:r>
      <w:r w:rsidRPr="00694E72">
        <w:rPr>
          <w:rFonts w:ascii="Times New Roman" w:hAnsi="Times New Roman" w:cs="Times New Roman"/>
          <w:sz w:val="20"/>
          <w:szCs w:val="20"/>
        </w:rPr>
        <w:t>, annealing at 59°C for 45 s</w:t>
      </w:r>
      <w:r w:rsidR="00921C2C" w:rsidRPr="00694E72">
        <w:rPr>
          <w:rFonts w:ascii="Times New Roman" w:hAnsi="Times New Roman" w:cs="Times New Roman"/>
          <w:sz w:val="20"/>
          <w:szCs w:val="20"/>
        </w:rPr>
        <w:t>ec.</w:t>
      </w:r>
      <w:r w:rsidRPr="00694E72">
        <w:rPr>
          <w:rFonts w:ascii="Times New Roman" w:hAnsi="Times New Roman" w:cs="Times New Roman"/>
          <w:sz w:val="20"/>
          <w:szCs w:val="20"/>
        </w:rPr>
        <w:t>, and extension at 72°C for 45 s</w:t>
      </w:r>
      <w:r w:rsidR="00921C2C" w:rsidRPr="00694E72">
        <w:rPr>
          <w:rFonts w:ascii="Times New Roman" w:hAnsi="Times New Roman" w:cs="Times New Roman"/>
          <w:sz w:val="20"/>
          <w:szCs w:val="20"/>
        </w:rPr>
        <w:t>ec.</w:t>
      </w:r>
      <w:r w:rsidRPr="00694E72">
        <w:rPr>
          <w:rFonts w:ascii="Times New Roman" w:hAnsi="Times New Roman" w:cs="Times New Roman"/>
          <w:sz w:val="20"/>
          <w:szCs w:val="20"/>
        </w:rPr>
        <w:t>, with a final extension at 72°C for 7 min. This resulted in one band at 209bp. Digestion o</w:t>
      </w:r>
      <w:r w:rsidR="00921C2C" w:rsidRPr="00694E72">
        <w:rPr>
          <w:rFonts w:ascii="Times New Roman" w:hAnsi="Times New Roman" w:cs="Times New Roman"/>
          <w:sz w:val="20"/>
          <w:szCs w:val="20"/>
        </w:rPr>
        <w:t xml:space="preserve">f the PCR product was done by </w:t>
      </w:r>
      <w:proofErr w:type="spellStart"/>
      <w:r w:rsidR="00921C2C" w:rsidRPr="00694E72">
        <w:rPr>
          <w:rFonts w:ascii="Times New Roman" w:hAnsi="Times New Roman" w:cs="Times New Roman"/>
          <w:sz w:val="20"/>
          <w:szCs w:val="20"/>
        </w:rPr>
        <w:t>MslI</w:t>
      </w:r>
      <w:proofErr w:type="spellEnd"/>
      <w:r w:rsidR="00921C2C" w:rsidRPr="00694E72">
        <w:rPr>
          <w:rFonts w:ascii="Times New Roman" w:hAnsi="Times New Roman" w:cs="Times New Roman"/>
          <w:sz w:val="20"/>
          <w:szCs w:val="20"/>
        </w:rPr>
        <w:t xml:space="preserve"> R</w:t>
      </w:r>
      <w:r w:rsidRPr="00694E72">
        <w:rPr>
          <w:rFonts w:ascii="Times New Roman" w:hAnsi="Times New Roman" w:cs="Times New Roman"/>
          <w:sz w:val="20"/>
          <w:szCs w:val="20"/>
        </w:rPr>
        <w:t>estriction enzyme (Sib Enzyme, Russia).</w:t>
      </w:r>
      <w:r w:rsidR="00694E72" w:rsidRPr="00694E72">
        <w:rPr>
          <w:rFonts w:ascii="Times New Roman" w:hAnsi="Times New Roman" w:cs="Times New Roman"/>
          <w:sz w:val="20"/>
          <w:szCs w:val="20"/>
        </w:rPr>
        <w:t xml:space="preserve"> </w:t>
      </w:r>
      <w:r w:rsidRPr="00694E72">
        <w:rPr>
          <w:rFonts w:ascii="Times New Roman" w:hAnsi="Times New Roman" w:cs="Times New Roman"/>
          <w:sz w:val="20"/>
          <w:szCs w:val="20"/>
        </w:rPr>
        <w:t xml:space="preserve">The polymorphism was detected on a 2.5% </w:t>
      </w:r>
      <w:proofErr w:type="spellStart"/>
      <w:r w:rsidRPr="00694E72">
        <w:rPr>
          <w:rFonts w:ascii="Times New Roman" w:hAnsi="Times New Roman" w:cs="Times New Roman"/>
          <w:sz w:val="20"/>
          <w:szCs w:val="20"/>
        </w:rPr>
        <w:t>agarose</w:t>
      </w:r>
      <w:proofErr w:type="spellEnd"/>
      <w:r w:rsidRPr="00694E72">
        <w:rPr>
          <w:rFonts w:ascii="Times New Roman" w:hAnsi="Times New Roman" w:cs="Times New Roman"/>
          <w:sz w:val="20"/>
          <w:szCs w:val="20"/>
        </w:rPr>
        <w:t xml:space="preserve"> gel electrophoresis.</w:t>
      </w:r>
    </w:p>
    <w:p w:rsidR="00B67ED5" w:rsidRPr="00694E72" w:rsidRDefault="00B67ED5"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Patients were assessed for response to therapy by bone marrow assessment on days 15 and 28. Patients were considered in remission if the blast count is less than 5 %.</w:t>
      </w:r>
    </w:p>
    <w:p w:rsidR="00D30773" w:rsidRPr="00694E72" w:rsidRDefault="00D30773" w:rsidP="00E72B14">
      <w:pPr>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lastRenderedPageBreak/>
        <w:t>Statistical methods:</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Data management and analysis was performed using SPSS, version 20. Categorical data were summarized as percentages; numerical data were summarized using means and standard deviation or medians and range</w:t>
      </w:r>
      <w:r w:rsidR="000D127A" w:rsidRPr="00694E72">
        <w:rPr>
          <w:rFonts w:ascii="Times New Roman" w:hAnsi="Times New Roman" w:cs="Times New Roman"/>
          <w:sz w:val="20"/>
          <w:szCs w:val="20"/>
        </w:rPr>
        <w:t>s</w:t>
      </w:r>
      <w:r w:rsidRPr="00694E72">
        <w:rPr>
          <w:rFonts w:ascii="Times New Roman" w:hAnsi="Times New Roman" w:cs="Times New Roman"/>
          <w:sz w:val="20"/>
          <w:szCs w:val="20"/>
        </w:rPr>
        <w:t xml:space="preserve">. Relation between IL-10 and other variables was assessed using Chi-square test. Overall survival (OS) was defined as the time from diagnosis to the time of death from any cause. Patients who were alive on the date of last follow-up were censored on that date. Progression free survival (PFS) was defined as the time from starting therapy until documented progression or death. For patients without disease progression (DP) at the time of analysis, the date of last follow-up was considered right-censored. OS and PFS were estimated using the Kaplan-Meier analysis. Log rank test was used to compare survival curves. All tests of hypotheses were </w:t>
      </w:r>
      <w:r w:rsidR="00471182" w:rsidRPr="00694E72">
        <w:rPr>
          <w:rFonts w:ascii="Times New Roman" w:hAnsi="Times New Roman" w:cs="Times New Roman"/>
          <w:sz w:val="20"/>
          <w:szCs w:val="20"/>
        </w:rPr>
        <w:t>conducted at the alpha of 0.05 L</w:t>
      </w:r>
      <w:r w:rsidRPr="00694E72">
        <w:rPr>
          <w:rFonts w:ascii="Times New Roman" w:hAnsi="Times New Roman" w:cs="Times New Roman"/>
          <w:sz w:val="20"/>
          <w:szCs w:val="20"/>
        </w:rPr>
        <w:t>evel, with a 95% confidence interval.</w:t>
      </w:r>
      <w:r w:rsidR="00D3279F" w:rsidRPr="00694E72">
        <w:rPr>
          <w:rFonts w:ascii="Times New Roman" w:hAnsi="Times New Roman" w:cs="Times New Roman"/>
          <w:b/>
          <w:bCs/>
          <w:sz w:val="20"/>
          <w:szCs w:val="20"/>
        </w:rPr>
        <w:t>[19]</w:t>
      </w:r>
    </w:p>
    <w:p w:rsidR="00A454BC" w:rsidRPr="00694E72" w:rsidRDefault="00A454BC" w:rsidP="00E72B14">
      <w:pPr>
        <w:snapToGrid w:val="0"/>
        <w:spacing w:after="0" w:line="240" w:lineRule="auto"/>
        <w:jc w:val="both"/>
        <w:rPr>
          <w:rFonts w:ascii="Times New Roman" w:hAnsi="Times New Roman" w:cs="Times New Roman"/>
          <w:b/>
          <w:bCs/>
          <w:sz w:val="20"/>
          <w:szCs w:val="20"/>
        </w:rPr>
      </w:pPr>
    </w:p>
    <w:p w:rsidR="00D30773" w:rsidRPr="00694E72" w:rsidRDefault="00A454BC" w:rsidP="00E72B14">
      <w:pPr>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t>3. Results</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94E72">
        <w:rPr>
          <w:rFonts w:ascii="Times New Roman" w:hAnsi="Times New Roman" w:cs="Times New Roman"/>
          <w:sz w:val="20"/>
          <w:szCs w:val="20"/>
        </w:rPr>
        <w:t>According to the PC</w:t>
      </w:r>
      <w:r w:rsidR="006C361D" w:rsidRPr="00694E72">
        <w:rPr>
          <w:rFonts w:ascii="Times New Roman" w:hAnsi="Times New Roman" w:cs="Times New Roman"/>
          <w:sz w:val="20"/>
          <w:szCs w:val="20"/>
        </w:rPr>
        <w:t xml:space="preserve"> </w:t>
      </w:r>
      <w:proofErr w:type="spellStart"/>
      <w:r w:rsidRPr="00694E72">
        <w:rPr>
          <w:rFonts w:ascii="Times New Roman" w:hAnsi="Times New Roman" w:cs="Times New Roman"/>
          <w:sz w:val="20"/>
          <w:szCs w:val="20"/>
        </w:rPr>
        <w:t>R</w:t>
      </w:r>
      <w:r w:rsidR="0097201E" w:rsidRPr="00694E72">
        <w:rPr>
          <w:rFonts w:ascii="Times New Roman" w:hAnsi="Times New Roman" w:cs="Times New Roman"/>
          <w:sz w:val="20"/>
          <w:szCs w:val="20"/>
        </w:rPr>
        <w:t>e</w:t>
      </w:r>
      <w:r w:rsidRPr="00694E72">
        <w:rPr>
          <w:rFonts w:ascii="Times New Roman" w:hAnsi="Times New Roman" w:cs="Times New Roman"/>
          <w:sz w:val="20"/>
          <w:szCs w:val="20"/>
        </w:rPr>
        <w:t>lectrophoregram</w:t>
      </w:r>
      <w:proofErr w:type="spellEnd"/>
      <w:r w:rsidRPr="00694E72">
        <w:rPr>
          <w:rFonts w:ascii="Times New Roman" w:hAnsi="Times New Roman" w:cs="Times New Roman"/>
          <w:sz w:val="20"/>
          <w:szCs w:val="20"/>
        </w:rPr>
        <w:t>, al</w:t>
      </w:r>
      <w:r w:rsidR="003152D2" w:rsidRPr="00694E72">
        <w:rPr>
          <w:rFonts w:ascii="Times New Roman" w:hAnsi="Times New Roman" w:cs="Times New Roman"/>
          <w:sz w:val="20"/>
          <w:szCs w:val="20"/>
        </w:rPr>
        <w:t>lele analysis reveal</w:t>
      </w:r>
      <w:r w:rsidR="00DC0D95" w:rsidRPr="00694E72">
        <w:rPr>
          <w:rFonts w:ascii="Times New Roman" w:hAnsi="Times New Roman" w:cs="Times New Roman"/>
          <w:sz w:val="20"/>
          <w:szCs w:val="20"/>
        </w:rPr>
        <w:t>ed 3 genotypes for SNPs at -819:</w:t>
      </w:r>
      <w:r w:rsidR="007B343A" w:rsidRPr="00694E72">
        <w:rPr>
          <w:rFonts w:ascii="Times New Roman" w:hAnsi="Times New Roman" w:cs="Times New Roman"/>
          <w:sz w:val="20"/>
          <w:szCs w:val="20"/>
        </w:rPr>
        <w:t>Wild type genotype (TT)</w:t>
      </w:r>
      <w:r w:rsidR="007478FE" w:rsidRPr="00694E72">
        <w:rPr>
          <w:rFonts w:ascii="Times New Roman" w:hAnsi="Times New Roman" w:cs="Times New Roman"/>
          <w:sz w:val="20"/>
          <w:szCs w:val="20"/>
        </w:rPr>
        <w:t xml:space="preserve">, </w:t>
      </w:r>
      <w:proofErr w:type="spellStart"/>
      <w:r w:rsidR="007478FE" w:rsidRPr="00694E72">
        <w:rPr>
          <w:rFonts w:ascii="Times New Roman" w:hAnsi="Times New Roman" w:cs="Times New Roman"/>
          <w:sz w:val="20"/>
          <w:szCs w:val="20"/>
        </w:rPr>
        <w:t>homozygotes</w:t>
      </w:r>
      <w:proofErr w:type="spellEnd"/>
      <w:r w:rsidR="007478FE" w:rsidRPr="00694E72">
        <w:rPr>
          <w:rFonts w:ascii="Times New Roman" w:hAnsi="Times New Roman" w:cs="Times New Roman"/>
          <w:sz w:val="20"/>
          <w:szCs w:val="20"/>
        </w:rPr>
        <w:t xml:space="preserve"> (CC) and </w:t>
      </w:r>
      <w:proofErr w:type="spellStart"/>
      <w:r w:rsidR="007B343A" w:rsidRPr="00694E72">
        <w:rPr>
          <w:rFonts w:ascii="Times New Roman" w:hAnsi="Times New Roman" w:cs="Times New Roman"/>
          <w:sz w:val="20"/>
          <w:szCs w:val="20"/>
        </w:rPr>
        <w:t>heterozygotes</w:t>
      </w:r>
      <w:proofErr w:type="spellEnd"/>
      <w:r w:rsidR="007B343A" w:rsidRPr="00694E72">
        <w:rPr>
          <w:rFonts w:ascii="Times New Roman" w:hAnsi="Times New Roman" w:cs="Times New Roman"/>
          <w:sz w:val="20"/>
          <w:szCs w:val="20"/>
        </w:rPr>
        <w:t xml:space="preserve"> (TC)</w:t>
      </w:r>
      <w:r w:rsidR="007478FE" w:rsidRPr="00694E72">
        <w:rPr>
          <w:rFonts w:ascii="Times New Roman" w:hAnsi="Times New Roman" w:cs="Times New Roman"/>
          <w:sz w:val="20"/>
          <w:szCs w:val="20"/>
        </w:rPr>
        <w:t>.After digestion of the PCR product</w:t>
      </w:r>
      <w:r w:rsidRPr="00694E72">
        <w:rPr>
          <w:rFonts w:ascii="Times New Roman" w:hAnsi="Times New Roman" w:cs="Times New Roman"/>
          <w:sz w:val="20"/>
          <w:szCs w:val="20"/>
        </w:rPr>
        <w:t xml:space="preserve"> at -819</w:t>
      </w:r>
      <w:r w:rsidR="007478FE" w:rsidRPr="00694E72">
        <w:rPr>
          <w:rFonts w:ascii="Times New Roman" w:hAnsi="Times New Roman" w:cs="Times New Roman"/>
          <w:sz w:val="20"/>
          <w:szCs w:val="20"/>
        </w:rPr>
        <w:t>site</w:t>
      </w:r>
      <w:r w:rsidRPr="00694E72">
        <w:rPr>
          <w:rFonts w:ascii="Times New Roman" w:hAnsi="Times New Roman" w:cs="Times New Roman"/>
          <w:sz w:val="20"/>
          <w:szCs w:val="20"/>
        </w:rPr>
        <w:t xml:space="preserve"> with </w:t>
      </w:r>
      <w:proofErr w:type="spellStart"/>
      <w:r w:rsidRPr="00694E72">
        <w:rPr>
          <w:rFonts w:ascii="Times New Roman" w:hAnsi="Times New Roman" w:cs="Times New Roman"/>
          <w:sz w:val="20"/>
          <w:szCs w:val="20"/>
        </w:rPr>
        <w:t>MslI</w:t>
      </w:r>
      <w:proofErr w:type="spellEnd"/>
      <w:r w:rsidRPr="00694E72">
        <w:rPr>
          <w:rFonts w:ascii="Times New Roman" w:hAnsi="Times New Roman" w:cs="Times New Roman"/>
          <w:sz w:val="20"/>
          <w:szCs w:val="20"/>
        </w:rPr>
        <w:t xml:space="preserve"> restriction enzyme, </w:t>
      </w:r>
      <w:r w:rsidR="007478FE" w:rsidRPr="00694E72">
        <w:rPr>
          <w:rFonts w:ascii="Times New Roman" w:hAnsi="Times New Roman" w:cs="Times New Roman"/>
          <w:sz w:val="20"/>
          <w:szCs w:val="20"/>
        </w:rPr>
        <w:t xml:space="preserve">TT produced one band at 209 </w:t>
      </w:r>
      <w:proofErr w:type="spellStart"/>
      <w:r w:rsidR="007478FE" w:rsidRPr="00694E72">
        <w:rPr>
          <w:rFonts w:ascii="Times New Roman" w:hAnsi="Times New Roman" w:cs="Times New Roman"/>
          <w:sz w:val="20"/>
          <w:szCs w:val="20"/>
        </w:rPr>
        <w:t>bp</w:t>
      </w:r>
      <w:proofErr w:type="spellEnd"/>
      <w:r w:rsidRPr="00694E72">
        <w:rPr>
          <w:rFonts w:ascii="Times New Roman" w:hAnsi="Times New Roman" w:cs="Times New Roman"/>
          <w:sz w:val="20"/>
          <w:szCs w:val="20"/>
        </w:rPr>
        <w:t xml:space="preserve">, </w:t>
      </w:r>
      <w:r w:rsidR="00BF35B4" w:rsidRPr="00694E72">
        <w:rPr>
          <w:rFonts w:ascii="Times New Roman" w:hAnsi="Times New Roman" w:cs="Times New Roman"/>
          <w:sz w:val="20"/>
          <w:szCs w:val="20"/>
        </w:rPr>
        <w:t xml:space="preserve">CC produced two bands at </w:t>
      </w:r>
      <w:r w:rsidRPr="00694E72">
        <w:rPr>
          <w:rFonts w:ascii="Times New Roman" w:hAnsi="Times New Roman" w:cs="Times New Roman"/>
          <w:sz w:val="20"/>
          <w:szCs w:val="20"/>
        </w:rPr>
        <w:t>93bp+116bp and</w:t>
      </w:r>
      <w:r w:rsidR="00BF35B4" w:rsidRPr="00694E72">
        <w:rPr>
          <w:rFonts w:ascii="Times New Roman" w:hAnsi="Times New Roman" w:cs="Times New Roman"/>
          <w:sz w:val="20"/>
          <w:szCs w:val="20"/>
        </w:rPr>
        <w:t xml:space="preserve"> TC produced three bands at</w:t>
      </w:r>
      <w:r w:rsidRPr="00694E72">
        <w:rPr>
          <w:rFonts w:ascii="Times New Roman" w:hAnsi="Times New Roman" w:cs="Times New Roman"/>
          <w:sz w:val="20"/>
          <w:szCs w:val="20"/>
        </w:rPr>
        <w:t xml:space="preserve"> 209bp+116bp+93bp respectively. </w:t>
      </w:r>
      <w:r w:rsidR="003032BD" w:rsidRPr="00694E72">
        <w:rPr>
          <w:rFonts w:ascii="Times New Roman" w:hAnsi="Times New Roman" w:cs="Times New Roman"/>
          <w:sz w:val="20"/>
          <w:szCs w:val="20"/>
        </w:rPr>
        <w:t>[</w:t>
      </w:r>
      <w:r w:rsidRPr="00694E72">
        <w:rPr>
          <w:rFonts w:ascii="Times New Roman" w:hAnsi="Times New Roman" w:cs="Times New Roman"/>
          <w:b/>
          <w:bCs/>
          <w:sz w:val="20"/>
          <w:szCs w:val="20"/>
        </w:rPr>
        <w:t>Figure1</w:t>
      </w:r>
      <w:r w:rsidR="003032BD" w:rsidRPr="00694E72">
        <w:rPr>
          <w:rFonts w:ascii="Times New Roman" w:hAnsi="Times New Roman" w:cs="Times New Roman"/>
          <w:b/>
          <w:bCs/>
          <w:sz w:val="20"/>
          <w:szCs w:val="20"/>
        </w:rPr>
        <w:t>]</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 xml:space="preserve">The genotype and allele frequencies for both patients and controls are listed in </w:t>
      </w:r>
      <w:r w:rsidR="000C0EE3" w:rsidRPr="00694E72">
        <w:rPr>
          <w:rFonts w:ascii="Times New Roman" w:hAnsi="Times New Roman" w:cs="Times New Roman"/>
          <w:b/>
          <w:bCs/>
          <w:sz w:val="20"/>
          <w:szCs w:val="20"/>
        </w:rPr>
        <w:t>Table 1,</w:t>
      </w:r>
      <w:r w:rsidR="000C0EE3" w:rsidRPr="00694E72">
        <w:rPr>
          <w:rFonts w:ascii="Times New Roman" w:hAnsi="Times New Roman" w:cs="Times New Roman"/>
          <w:sz w:val="20"/>
          <w:szCs w:val="20"/>
        </w:rPr>
        <w:t xml:space="preserve">showing a high statistical significant difference in the genotype distribution between cases and controls. CC genotype </w:t>
      </w:r>
      <w:r w:rsidR="003D5F34" w:rsidRPr="00694E72">
        <w:rPr>
          <w:rFonts w:ascii="Times New Roman" w:hAnsi="Times New Roman" w:cs="Times New Roman"/>
          <w:sz w:val="20"/>
          <w:szCs w:val="20"/>
        </w:rPr>
        <w:t>and C allele prevalence were</w:t>
      </w:r>
      <w:r w:rsidR="000C0EE3" w:rsidRPr="00694E72">
        <w:rPr>
          <w:rFonts w:ascii="Times New Roman" w:hAnsi="Times New Roman" w:cs="Times New Roman"/>
          <w:sz w:val="20"/>
          <w:szCs w:val="20"/>
        </w:rPr>
        <w:t xml:space="preserve"> significantly higher in cases than in controls (31, 38.8% versus 9, 10.6%, </w:t>
      </w:r>
      <w:r w:rsidR="000C0EE3" w:rsidRPr="00694E72">
        <w:rPr>
          <w:rFonts w:ascii="Times New Roman" w:hAnsi="Times New Roman" w:cs="Times New Roman"/>
          <w:i/>
          <w:iCs/>
          <w:sz w:val="20"/>
          <w:szCs w:val="20"/>
        </w:rPr>
        <w:t>P</w:t>
      </w:r>
      <w:r w:rsidR="0013417B" w:rsidRPr="00694E72">
        <w:rPr>
          <w:rFonts w:ascii="Times New Roman" w:hAnsi="Times New Roman" w:cs="Times New Roman"/>
          <w:sz w:val="20"/>
          <w:szCs w:val="20"/>
        </w:rPr>
        <w:t>=</w:t>
      </w:r>
      <w:r w:rsidR="004872D7" w:rsidRPr="00694E72">
        <w:rPr>
          <w:rFonts w:ascii="Times New Roman" w:hAnsi="Times New Roman" w:cs="Times New Roman"/>
          <w:sz w:val="20"/>
          <w:szCs w:val="20"/>
        </w:rPr>
        <w:t>0.00014</w:t>
      </w:r>
      <w:r w:rsidR="000C0EE3" w:rsidRPr="00694E72">
        <w:rPr>
          <w:rFonts w:ascii="Times New Roman" w:hAnsi="Times New Roman" w:cs="Times New Roman"/>
          <w:sz w:val="20"/>
          <w:szCs w:val="20"/>
        </w:rPr>
        <w:t>)</w:t>
      </w:r>
      <w:r w:rsidR="003D5F34" w:rsidRPr="00694E72">
        <w:rPr>
          <w:rFonts w:ascii="Times New Roman" w:hAnsi="Times New Roman" w:cs="Times New Roman"/>
          <w:sz w:val="20"/>
          <w:szCs w:val="20"/>
        </w:rPr>
        <w:t xml:space="preserve"> and (85, 53.1% versus 54, 31.76%, </w:t>
      </w:r>
      <w:r w:rsidR="003D5F34" w:rsidRPr="00694E72">
        <w:rPr>
          <w:rFonts w:ascii="Times New Roman" w:hAnsi="Times New Roman" w:cs="Times New Roman"/>
          <w:i/>
          <w:iCs/>
          <w:sz w:val="20"/>
          <w:szCs w:val="20"/>
        </w:rPr>
        <w:t>P</w:t>
      </w:r>
      <w:r w:rsidR="0013417B" w:rsidRPr="00694E72">
        <w:rPr>
          <w:rFonts w:ascii="Times New Roman" w:hAnsi="Times New Roman" w:cs="Times New Roman"/>
          <w:sz w:val="20"/>
          <w:szCs w:val="20"/>
        </w:rPr>
        <w:t>=</w:t>
      </w:r>
      <w:r w:rsidR="004872D7" w:rsidRPr="00694E72">
        <w:rPr>
          <w:rFonts w:ascii="Times New Roman" w:hAnsi="Times New Roman" w:cs="Times New Roman"/>
          <w:sz w:val="20"/>
          <w:szCs w:val="20"/>
        </w:rPr>
        <w:t>0.000086</w:t>
      </w:r>
      <w:r w:rsidR="003D5F34" w:rsidRPr="00694E72">
        <w:rPr>
          <w:rFonts w:ascii="Times New Roman" w:hAnsi="Times New Roman" w:cs="Times New Roman"/>
          <w:sz w:val="20"/>
          <w:szCs w:val="20"/>
        </w:rPr>
        <w:t>). On the other hand, TT genotype and T allele prevalence were higher among controls</w:t>
      </w:r>
      <w:r w:rsidR="001903E6" w:rsidRPr="00694E72">
        <w:rPr>
          <w:rFonts w:ascii="Times New Roman" w:hAnsi="Times New Roman" w:cs="Times New Roman"/>
          <w:sz w:val="20"/>
          <w:szCs w:val="20"/>
        </w:rPr>
        <w:t xml:space="preserve"> (40, 47.1% and 116, 68.24%).</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b/>
          <w:bCs/>
          <w:sz w:val="20"/>
          <w:szCs w:val="20"/>
        </w:rPr>
        <w:t xml:space="preserve">Tables 2 </w:t>
      </w:r>
      <w:r w:rsidR="00617576" w:rsidRPr="00694E72">
        <w:rPr>
          <w:rFonts w:ascii="Times New Roman" w:hAnsi="Times New Roman" w:cs="Times New Roman"/>
          <w:sz w:val="20"/>
          <w:szCs w:val="20"/>
        </w:rPr>
        <w:t>summarize</w:t>
      </w:r>
      <w:r w:rsidR="00E61829" w:rsidRPr="00694E72">
        <w:rPr>
          <w:rFonts w:ascii="Times New Roman" w:hAnsi="Times New Roman" w:cs="Times New Roman"/>
          <w:sz w:val="20"/>
          <w:szCs w:val="20"/>
        </w:rPr>
        <w:t>s</w:t>
      </w:r>
      <w:r w:rsidRPr="00694E72">
        <w:rPr>
          <w:rFonts w:ascii="Times New Roman" w:hAnsi="Times New Roman" w:cs="Times New Roman"/>
          <w:sz w:val="20"/>
          <w:szCs w:val="20"/>
        </w:rPr>
        <w:t xml:space="preserve"> the </w:t>
      </w:r>
      <w:r w:rsidR="00C43882" w:rsidRPr="00694E72">
        <w:rPr>
          <w:rFonts w:ascii="Times New Roman" w:hAnsi="Times New Roman" w:cs="Times New Roman"/>
          <w:sz w:val="20"/>
          <w:szCs w:val="20"/>
        </w:rPr>
        <w:t xml:space="preserve">Demographic characteristics, </w:t>
      </w:r>
      <w:r w:rsidRPr="00694E72">
        <w:rPr>
          <w:rFonts w:ascii="Times New Roman" w:hAnsi="Times New Roman" w:cs="Times New Roman"/>
          <w:sz w:val="20"/>
          <w:szCs w:val="20"/>
        </w:rPr>
        <w:t>clinical</w:t>
      </w:r>
      <w:r w:rsidR="00123374" w:rsidRPr="00694E72">
        <w:rPr>
          <w:rFonts w:ascii="Times New Roman" w:hAnsi="Times New Roman" w:cs="Times New Roman"/>
          <w:sz w:val="20"/>
          <w:szCs w:val="20"/>
        </w:rPr>
        <w:t>,</w:t>
      </w:r>
      <w:r w:rsidR="00694E72" w:rsidRPr="00694E72">
        <w:rPr>
          <w:rFonts w:ascii="Times New Roman" w:hAnsi="Times New Roman" w:cs="Times New Roman" w:hint="eastAsia"/>
          <w:sz w:val="20"/>
          <w:szCs w:val="20"/>
          <w:lang w:eastAsia="zh-CN"/>
        </w:rPr>
        <w:t xml:space="preserve"> </w:t>
      </w:r>
      <w:r w:rsidR="00123374" w:rsidRPr="00694E72">
        <w:rPr>
          <w:rFonts w:ascii="Times New Roman" w:hAnsi="Times New Roman" w:cs="Times New Roman"/>
          <w:sz w:val="20"/>
          <w:szCs w:val="20"/>
        </w:rPr>
        <w:t>hematological</w:t>
      </w:r>
      <w:r w:rsidR="00C43882" w:rsidRPr="00694E72">
        <w:rPr>
          <w:rFonts w:ascii="Times New Roman" w:hAnsi="Times New Roman" w:cs="Times New Roman"/>
          <w:sz w:val="20"/>
          <w:szCs w:val="20"/>
        </w:rPr>
        <w:t xml:space="preserve">, FAB classification and </w:t>
      </w:r>
      <w:proofErr w:type="spellStart"/>
      <w:r w:rsidR="00C43882" w:rsidRPr="00694E72">
        <w:rPr>
          <w:rFonts w:ascii="Times New Roman" w:hAnsi="Times New Roman" w:cs="Times New Roman"/>
          <w:sz w:val="20"/>
          <w:szCs w:val="20"/>
        </w:rPr>
        <w:t>karyotyping</w:t>
      </w:r>
      <w:proofErr w:type="spellEnd"/>
      <w:r w:rsidRPr="00694E72">
        <w:rPr>
          <w:rFonts w:ascii="Times New Roman" w:hAnsi="Times New Roman" w:cs="Times New Roman"/>
          <w:sz w:val="20"/>
          <w:szCs w:val="20"/>
        </w:rPr>
        <w:t xml:space="preserve"> of the</w:t>
      </w:r>
      <w:r w:rsidR="00030A18" w:rsidRPr="00694E72">
        <w:rPr>
          <w:rFonts w:ascii="Times New Roman" w:hAnsi="Times New Roman" w:cs="Times New Roman"/>
          <w:sz w:val="20"/>
          <w:szCs w:val="20"/>
        </w:rPr>
        <w:t xml:space="preserve"> AML</w:t>
      </w:r>
      <w:r w:rsidRPr="00694E72">
        <w:rPr>
          <w:rFonts w:ascii="Times New Roman" w:hAnsi="Times New Roman" w:cs="Times New Roman"/>
          <w:sz w:val="20"/>
          <w:szCs w:val="20"/>
        </w:rPr>
        <w:t xml:space="preserve"> patients.</w:t>
      </w:r>
      <w:r w:rsidR="00694E72" w:rsidRPr="00694E72">
        <w:rPr>
          <w:rFonts w:ascii="Times New Roman" w:hAnsi="Times New Roman" w:cs="Times New Roman"/>
          <w:sz w:val="20"/>
          <w:szCs w:val="20"/>
        </w:rPr>
        <w:t xml:space="preserve"> </w:t>
      </w:r>
      <w:r w:rsidR="00030A18" w:rsidRPr="00694E72">
        <w:rPr>
          <w:rFonts w:ascii="Times New Roman" w:hAnsi="Times New Roman" w:cs="Times New Roman"/>
          <w:sz w:val="20"/>
          <w:szCs w:val="20"/>
        </w:rPr>
        <w:t xml:space="preserve">Their mean </w:t>
      </w:r>
      <w:proofErr w:type="spellStart"/>
      <w:r w:rsidR="00030A18" w:rsidRPr="00694E72">
        <w:rPr>
          <w:rFonts w:ascii="Times New Roman" w:hAnsi="Times New Roman" w:cs="Times New Roman"/>
          <w:sz w:val="20"/>
          <w:szCs w:val="20"/>
        </w:rPr>
        <w:t>age</w:t>
      </w:r>
      <w:r w:rsidRPr="00694E72">
        <w:rPr>
          <w:rFonts w:ascii="Times New Roman" w:hAnsi="Times New Roman" w:cs="Times New Roman"/>
          <w:sz w:val="20"/>
          <w:szCs w:val="20"/>
        </w:rPr>
        <w:t>was</w:t>
      </w:r>
      <w:proofErr w:type="spellEnd"/>
      <w:r w:rsidRPr="00694E72">
        <w:rPr>
          <w:rFonts w:ascii="Times New Roman" w:hAnsi="Times New Roman" w:cs="Times New Roman"/>
          <w:sz w:val="20"/>
          <w:szCs w:val="20"/>
        </w:rPr>
        <w:t xml:space="preserve"> 34.1 ±1.4</w:t>
      </w:r>
      <w:r w:rsidR="00F574B5" w:rsidRPr="00694E72">
        <w:rPr>
          <w:rFonts w:ascii="Times New Roman" w:hAnsi="Times New Roman" w:cs="Times New Roman"/>
          <w:sz w:val="20"/>
          <w:szCs w:val="20"/>
        </w:rPr>
        <w:t>2</w:t>
      </w:r>
      <w:r w:rsidR="0074266C" w:rsidRPr="00694E72">
        <w:rPr>
          <w:rFonts w:ascii="Times New Roman" w:hAnsi="Times New Roman" w:cs="Times New Roman"/>
          <w:sz w:val="20"/>
          <w:szCs w:val="20"/>
        </w:rPr>
        <w:t xml:space="preserve"> and m</w:t>
      </w:r>
      <w:r w:rsidR="00DB621B" w:rsidRPr="00694E72">
        <w:rPr>
          <w:rFonts w:ascii="Times New Roman" w:hAnsi="Times New Roman" w:cs="Times New Roman"/>
          <w:sz w:val="20"/>
          <w:szCs w:val="20"/>
        </w:rPr>
        <w:t xml:space="preserve">ales represented </w:t>
      </w:r>
      <w:r w:rsidR="00E219F8" w:rsidRPr="00694E72">
        <w:rPr>
          <w:rFonts w:ascii="Times New Roman" w:hAnsi="Times New Roman" w:cs="Times New Roman"/>
          <w:sz w:val="20"/>
          <w:szCs w:val="20"/>
        </w:rPr>
        <w:t>49 (</w:t>
      </w:r>
      <w:r w:rsidR="00DB621B" w:rsidRPr="00694E72">
        <w:rPr>
          <w:rFonts w:ascii="Times New Roman" w:hAnsi="Times New Roman" w:cs="Times New Roman"/>
          <w:sz w:val="20"/>
          <w:szCs w:val="20"/>
        </w:rPr>
        <w:t>61</w:t>
      </w:r>
      <w:r w:rsidR="00BF4F77" w:rsidRPr="00694E72">
        <w:rPr>
          <w:rFonts w:ascii="Times New Roman" w:hAnsi="Times New Roman" w:cs="Times New Roman"/>
          <w:sz w:val="20"/>
          <w:szCs w:val="20"/>
        </w:rPr>
        <w:t>.</w:t>
      </w:r>
      <w:r w:rsidR="00DB621B" w:rsidRPr="00694E72">
        <w:rPr>
          <w:rFonts w:ascii="Times New Roman" w:hAnsi="Times New Roman" w:cs="Times New Roman"/>
          <w:sz w:val="20"/>
          <w:szCs w:val="20"/>
        </w:rPr>
        <w:t>2</w:t>
      </w:r>
      <w:r w:rsidR="00BF4F77" w:rsidRPr="00694E72">
        <w:rPr>
          <w:rFonts w:ascii="Times New Roman" w:hAnsi="Times New Roman" w:cs="Times New Roman"/>
          <w:sz w:val="20"/>
          <w:szCs w:val="20"/>
        </w:rPr>
        <w:t>5</w:t>
      </w:r>
      <w:r w:rsidRPr="00694E72">
        <w:rPr>
          <w:rFonts w:ascii="Times New Roman" w:hAnsi="Times New Roman" w:cs="Times New Roman"/>
          <w:sz w:val="20"/>
          <w:szCs w:val="20"/>
        </w:rPr>
        <w:t>%</w:t>
      </w:r>
      <w:r w:rsidR="00E219F8" w:rsidRPr="00694E72">
        <w:rPr>
          <w:rFonts w:ascii="Times New Roman" w:hAnsi="Times New Roman" w:cs="Times New Roman"/>
          <w:sz w:val="20"/>
          <w:szCs w:val="20"/>
        </w:rPr>
        <w:t>)</w:t>
      </w:r>
      <w:r w:rsidR="0074266C" w:rsidRPr="00694E72">
        <w:rPr>
          <w:rFonts w:ascii="Times New Roman" w:hAnsi="Times New Roman" w:cs="Times New Roman"/>
          <w:sz w:val="20"/>
          <w:szCs w:val="20"/>
        </w:rPr>
        <w:t>.</w:t>
      </w:r>
      <w:r w:rsidRPr="00694E72">
        <w:rPr>
          <w:rFonts w:ascii="Times New Roman" w:hAnsi="Times New Roman" w:cs="Times New Roman"/>
          <w:sz w:val="20"/>
          <w:szCs w:val="20"/>
        </w:rPr>
        <w:t xml:space="preserve"> Stratification of the patients according to FAB Classification showed that the most common subtype was M4 </w:t>
      </w:r>
      <w:r w:rsidR="005F6449" w:rsidRPr="00694E72">
        <w:rPr>
          <w:rFonts w:ascii="Times New Roman" w:hAnsi="Times New Roman" w:cs="Times New Roman"/>
          <w:sz w:val="20"/>
          <w:szCs w:val="20"/>
        </w:rPr>
        <w:t xml:space="preserve">(26, </w:t>
      </w:r>
      <w:r w:rsidR="00EB6806" w:rsidRPr="00694E72">
        <w:rPr>
          <w:rFonts w:ascii="Times New Roman" w:hAnsi="Times New Roman" w:cs="Times New Roman"/>
          <w:sz w:val="20"/>
          <w:szCs w:val="20"/>
        </w:rPr>
        <w:t>32.5</w:t>
      </w:r>
      <w:r w:rsidRPr="00694E72">
        <w:rPr>
          <w:rFonts w:ascii="Times New Roman" w:hAnsi="Times New Roman" w:cs="Times New Roman"/>
          <w:sz w:val="20"/>
          <w:szCs w:val="20"/>
        </w:rPr>
        <w:t>%), and the least w</w:t>
      </w:r>
      <w:r w:rsidR="00111D95" w:rsidRPr="00694E72">
        <w:rPr>
          <w:rFonts w:ascii="Times New Roman" w:hAnsi="Times New Roman" w:cs="Times New Roman"/>
          <w:sz w:val="20"/>
          <w:szCs w:val="20"/>
        </w:rPr>
        <w:t>as</w:t>
      </w:r>
      <w:r w:rsidRPr="00694E72">
        <w:rPr>
          <w:rFonts w:ascii="Times New Roman" w:hAnsi="Times New Roman" w:cs="Times New Roman"/>
          <w:sz w:val="20"/>
          <w:szCs w:val="20"/>
        </w:rPr>
        <w:t xml:space="preserve"> M0 </w:t>
      </w:r>
      <w:r w:rsidR="005F6449" w:rsidRPr="00694E72">
        <w:rPr>
          <w:rFonts w:ascii="Times New Roman" w:hAnsi="Times New Roman" w:cs="Times New Roman"/>
          <w:sz w:val="20"/>
          <w:szCs w:val="20"/>
        </w:rPr>
        <w:t>(</w:t>
      </w:r>
      <w:r w:rsidR="002C09BB" w:rsidRPr="00694E72">
        <w:rPr>
          <w:rFonts w:ascii="Times New Roman" w:hAnsi="Times New Roman" w:cs="Times New Roman"/>
          <w:sz w:val="20"/>
          <w:szCs w:val="20"/>
        </w:rPr>
        <w:t>1</w:t>
      </w:r>
      <w:r w:rsidR="005F6449" w:rsidRPr="00694E72">
        <w:rPr>
          <w:rFonts w:ascii="Times New Roman" w:hAnsi="Times New Roman" w:cs="Times New Roman"/>
          <w:sz w:val="20"/>
          <w:szCs w:val="20"/>
        </w:rPr>
        <w:t xml:space="preserve">, </w:t>
      </w:r>
      <w:r w:rsidR="00EB6806" w:rsidRPr="00694E72">
        <w:rPr>
          <w:rFonts w:ascii="Times New Roman" w:hAnsi="Times New Roman" w:cs="Times New Roman"/>
          <w:sz w:val="20"/>
          <w:szCs w:val="20"/>
        </w:rPr>
        <w:t>1.3</w:t>
      </w:r>
      <w:r w:rsidRPr="00694E72">
        <w:rPr>
          <w:rFonts w:ascii="Times New Roman" w:hAnsi="Times New Roman" w:cs="Times New Roman"/>
          <w:sz w:val="20"/>
          <w:szCs w:val="20"/>
        </w:rPr>
        <w:t>%).</w:t>
      </w:r>
    </w:p>
    <w:p w:rsidR="00D30773" w:rsidRPr="00694E72" w:rsidRDefault="004F6AF2"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FLT mutation was assessed in 77 patients only while the</w:t>
      </w:r>
      <w:r w:rsidR="00D30773" w:rsidRPr="00694E72">
        <w:rPr>
          <w:rFonts w:ascii="Times New Roman" w:hAnsi="Times New Roman" w:cs="Times New Roman"/>
          <w:sz w:val="20"/>
          <w:szCs w:val="20"/>
        </w:rPr>
        <w:t xml:space="preserve"> </w:t>
      </w:r>
      <w:proofErr w:type="spellStart"/>
      <w:r w:rsidR="00D30773" w:rsidRPr="00694E72">
        <w:rPr>
          <w:rFonts w:ascii="Times New Roman" w:hAnsi="Times New Roman" w:cs="Times New Roman"/>
          <w:sz w:val="20"/>
          <w:szCs w:val="20"/>
        </w:rPr>
        <w:t>Karyotype</w:t>
      </w:r>
      <w:proofErr w:type="spellEnd"/>
      <w:r w:rsidR="00D30773" w:rsidRPr="00694E72">
        <w:rPr>
          <w:rFonts w:ascii="Times New Roman" w:hAnsi="Times New Roman" w:cs="Times New Roman"/>
          <w:sz w:val="20"/>
          <w:szCs w:val="20"/>
        </w:rPr>
        <w:t xml:space="preserve"> analysis was achieved successfully in </w:t>
      </w:r>
      <w:r w:rsidR="00851229" w:rsidRPr="00694E72">
        <w:rPr>
          <w:rFonts w:ascii="Times New Roman" w:hAnsi="Times New Roman" w:cs="Times New Roman"/>
          <w:sz w:val="20"/>
          <w:szCs w:val="20"/>
        </w:rPr>
        <w:t>all</w:t>
      </w:r>
      <w:r w:rsidR="00D30773" w:rsidRPr="00694E72">
        <w:rPr>
          <w:rFonts w:ascii="Times New Roman" w:hAnsi="Times New Roman" w:cs="Times New Roman"/>
          <w:sz w:val="20"/>
          <w:szCs w:val="20"/>
        </w:rPr>
        <w:t xml:space="preserve"> patients. Abnormal </w:t>
      </w:r>
      <w:proofErr w:type="spellStart"/>
      <w:r w:rsidR="00D30773" w:rsidRPr="00694E72">
        <w:rPr>
          <w:rFonts w:ascii="Times New Roman" w:hAnsi="Times New Roman" w:cs="Times New Roman"/>
          <w:sz w:val="20"/>
          <w:szCs w:val="20"/>
        </w:rPr>
        <w:t>karyotype</w:t>
      </w:r>
      <w:proofErr w:type="spellEnd"/>
      <w:r w:rsidR="00D30773" w:rsidRPr="00694E72">
        <w:rPr>
          <w:rFonts w:ascii="Times New Roman" w:hAnsi="Times New Roman" w:cs="Times New Roman"/>
          <w:sz w:val="20"/>
          <w:szCs w:val="20"/>
        </w:rPr>
        <w:t xml:space="preserve"> was found in 17 patients</w:t>
      </w:r>
      <w:r w:rsidR="00725BBB" w:rsidRPr="00694E72">
        <w:rPr>
          <w:rFonts w:ascii="Times New Roman" w:hAnsi="Times New Roman" w:cs="Times New Roman"/>
          <w:sz w:val="20"/>
          <w:szCs w:val="20"/>
        </w:rPr>
        <w:t xml:space="preserve"> (21.3</w:t>
      </w:r>
      <w:r w:rsidR="00D30773" w:rsidRPr="00694E72">
        <w:rPr>
          <w:rFonts w:ascii="Times New Roman" w:hAnsi="Times New Roman" w:cs="Times New Roman"/>
          <w:sz w:val="20"/>
          <w:szCs w:val="20"/>
        </w:rPr>
        <w:t>%),</w:t>
      </w:r>
      <w:r w:rsidR="00A87D85" w:rsidRPr="00694E72">
        <w:rPr>
          <w:rFonts w:ascii="Times New Roman" w:hAnsi="Times New Roman" w:cs="Times New Roman"/>
          <w:sz w:val="20"/>
          <w:szCs w:val="20"/>
        </w:rPr>
        <w:t xml:space="preserve"> and</w:t>
      </w:r>
      <w:r w:rsidR="00D30773" w:rsidRPr="00694E72">
        <w:rPr>
          <w:rFonts w:ascii="Times New Roman" w:hAnsi="Times New Roman" w:cs="Times New Roman"/>
          <w:sz w:val="20"/>
          <w:szCs w:val="20"/>
        </w:rPr>
        <w:t xml:space="preserve"> the most common </w:t>
      </w:r>
      <w:r w:rsidR="00A324AE" w:rsidRPr="00694E72">
        <w:rPr>
          <w:rFonts w:ascii="Times New Roman" w:hAnsi="Times New Roman" w:cs="Times New Roman"/>
          <w:sz w:val="20"/>
          <w:szCs w:val="20"/>
        </w:rPr>
        <w:t>chromosomal abnormality was t (</w:t>
      </w:r>
      <w:r w:rsidR="00D30773" w:rsidRPr="00694E72">
        <w:rPr>
          <w:rFonts w:ascii="Times New Roman" w:hAnsi="Times New Roman" w:cs="Times New Roman"/>
          <w:sz w:val="20"/>
          <w:szCs w:val="20"/>
        </w:rPr>
        <w:t>8:21) in (</w:t>
      </w:r>
      <w:r w:rsidR="00426B61" w:rsidRPr="00694E72">
        <w:rPr>
          <w:rFonts w:ascii="Times New Roman" w:hAnsi="Times New Roman" w:cs="Times New Roman"/>
          <w:sz w:val="20"/>
          <w:szCs w:val="20"/>
        </w:rPr>
        <w:t xml:space="preserve">8, </w:t>
      </w:r>
      <w:r w:rsidR="00725BBB" w:rsidRPr="00694E72">
        <w:rPr>
          <w:rFonts w:ascii="Times New Roman" w:hAnsi="Times New Roman" w:cs="Times New Roman"/>
          <w:sz w:val="20"/>
          <w:szCs w:val="20"/>
        </w:rPr>
        <w:t>10.0</w:t>
      </w:r>
      <w:r w:rsidR="00D30773" w:rsidRPr="00694E72">
        <w:rPr>
          <w:rFonts w:ascii="Times New Roman" w:hAnsi="Times New Roman" w:cs="Times New Roman"/>
          <w:sz w:val="20"/>
          <w:szCs w:val="20"/>
        </w:rPr>
        <w:t>%)</w:t>
      </w:r>
      <w:r w:rsidR="00A87D85" w:rsidRPr="00694E72">
        <w:rPr>
          <w:rFonts w:ascii="Times New Roman" w:hAnsi="Times New Roman" w:cs="Times New Roman"/>
          <w:sz w:val="20"/>
          <w:szCs w:val="20"/>
        </w:rPr>
        <w:t xml:space="preserve"> patients.</w:t>
      </w:r>
    </w:p>
    <w:p w:rsidR="00D30773" w:rsidRPr="00694E72" w:rsidRDefault="00D30773"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Genotype distri</w:t>
      </w:r>
      <w:r w:rsidR="00D7694F" w:rsidRPr="00694E72">
        <w:rPr>
          <w:rFonts w:ascii="Times New Roman" w:hAnsi="Times New Roman" w:cs="Times New Roman"/>
          <w:sz w:val="20"/>
          <w:szCs w:val="20"/>
        </w:rPr>
        <w:t>bution</w:t>
      </w:r>
      <w:r w:rsidRPr="00694E72">
        <w:rPr>
          <w:rFonts w:ascii="Times New Roman" w:hAnsi="Times New Roman" w:cs="Times New Roman"/>
          <w:sz w:val="20"/>
          <w:szCs w:val="20"/>
        </w:rPr>
        <w:t xml:space="preserve"> of IL-</w:t>
      </w:r>
      <w:r w:rsidR="00D7694F" w:rsidRPr="00694E72">
        <w:rPr>
          <w:rFonts w:ascii="Times New Roman" w:hAnsi="Times New Roman" w:cs="Times New Roman"/>
          <w:sz w:val="20"/>
          <w:szCs w:val="20"/>
        </w:rPr>
        <w:t>10 in relation</w:t>
      </w:r>
      <w:r w:rsidRPr="00694E72">
        <w:rPr>
          <w:rFonts w:ascii="Times New Roman" w:hAnsi="Times New Roman" w:cs="Times New Roman"/>
          <w:sz w:val="20"/>
          <w:szCs w:val="20"/>
        </w:rPr>
        <w:t xml:space="preserve"> to demographic characteristics, FAB classification a</w:t>
      </w:r>
      <w:r w:rsidR="00D7694F" w:rsidRPr="00694E72">
        <w:rPr>
          <w:rFonts w:ascii="Times New Roman" w:hAnsi="Times New Roman" w:cs="Times New Roman"/>
          <w:sz w:val="20"/>
          <w:szCs w:val="20"/>
        </w:rPr>
        <w:t xml:space="preserve">nd </w:t>
      </w:r>
      <w:proofErr w:type="spellStart"/>
      <w:r w:rsidR="00D7694F" w:rsidRPr="00694E72">
        <w:rPr>
          <w:rFonts w:ascii="Times New Roman" w:hAnsi="Times New Roman" w:cs="Times New Roman"/>
          <w:sz w:val="20"/>
          <w:szCs w:val="20"/>
        </w:rPr>
        <w:t>karyotype</w:t>
      </w:r>
      <w:proofErr w:type="spellEnd"/>
      <w:r w:rsidR="00D7694F" w:rsidRPr="00694E72">
        <w:rPr>
          <w:rFonts w:ascii="Times New Roman" w:hAnsi="Times New Roman" w:cs="Times New Roman"/>
          <w:sz w:val="20"/>
          <w:szCs w:val="20"/>
        </w:rPr>
        <w:t xml:space="preserve"> is</w:t>
      </w:r>
      <w:r w:rsidRPr="00694E72">
        <w:rPr>
          <w:rFonts w:ascii="Times New Roman" w:hAnsi="Times New Roman" w:cs="Times New Roman"/>
          <w:sz w:val="20"/>
          <w:szCs w:val="20"/>
        </w:rPr>
        <w:t xml:space="preserve"> shown in </w:t>
      </w:r>
      <w:r w:rsidRPr="00694E72">
        <w:rPr>
          <w:rFonts w:ascii="Times New Roman" w:hAnsi="Times New Roman" w:cs="Times New Roman"/>
          <w:b/>
          <w:bCs/>
          <w:sz w:val="20"/>
          <w:szCs w:val="20"/>
        </w:rPr>
        <w:t xml:space="preserve">Table </w:t>
      </w:r>
      <w:r w:rsidR="00F75B4F" w:rsidRPr="00694E72">
        <w:rPr>
          <w:rFonts w:ascii="Times New Roman" w:hAnsi="Times New Roman" w:cs="Times New Roman"/>
          <w:b/>
          <w:bCs/>
          <w:sz w:val="20"/>
          <w:szCs w:val="20"/>
        </w:rPr>
        <w:t>3</w:t>
      </w:r>
      <w:r w:rsidR="000C0EE3" w:rsidRPr="00694E72">
        <w:rPr>
          <w:rFonts w:ascii="Times New Roman" w:hAnsi="Times New Roman" w:cs="Times New Roman"/>
          <w:sz w:val="20"/>
          <w:szCs w:val="20"/>
        </w:rPr>
        <w:t>,</w:t>
      </w:r>
      <w:r w:rsidR="00694E72" w:rsidRPr="00694E72">
        <w:rPr>
          <w:rFonts w:ascii="Times New Roman" w:hAnsi="Times New Roman" w:cs="Times New Roman" w:hint="eastAsia"/>
          <w:sz w:val="20"/>
          <w:szCs w:val="20"/>
          <w:lang w:eastAsia="zh-CN"/>
        </w:rPr>
        <w:t xml:space="preserve"> </w:t>
      </w:r>
      <w:r w:rsidR="000C0EE3" w:rsidRPr="00694E72">
        <w:rPr>
          <w:rFonts w:ascii="Times New Roman" w:hAnsi="Times New Roman" w:cs="Times New Roman"/>
          <w:sz w:val="20"/>
          <w:szCs w:val="20"/>
        </w:rPr>
        <w:t xml:space="preserve">with no statistical </w:t>
      </w:r>
      <w:r w:rsidRPr="00694E72">
        <w:rPr>
          <w:rFonts w:ascii="Times New Roman" w:hAnsi="Times New Roman" w:cs="Times New Roman"/>
          <w:sz w:val="20"/>
          <w:szCs w:val="20"/>
        </w:rPr>
        <w:lastRenderedPageBreak/>
        <w:t>significant association</w:t>
      </w:r>
      <w:r w:rsidR="008743C2" w:rsidRPr="00694E72">
        <w:rPr>
          <w:rFonts w:ascii="Times New Roman" w:hAnsi="Times New Roman" w:cs="Times New Roman"/>
          <w:sz w:val="20"/>
          <w:szCs w:val="20"/>
        </w:rPr>
        <w:t xml:space="preserve"> found</w:t>
      </w:r>
      <w:r w:rsidRPr="00694E72">
        <w:rPr>
          <w:rFonts w:ascii="Times New Roman" w:hAnsi="Times New Roman" w:cs="Times New Roman"/>
          <w:sz w:val="20"/>
          <w:szCs w:val="20"/>
        </w:rPr>
        <w:t xml:space="preserve"> between</w:t>
      </w:r>
      <w:r w:rsidR="00351D12" w:rsidRPr="00694E72">
        <w:rPr>
          <w:rFonts w:ascii="Times New Roman" w:hAnsi="Times New Roman" w:cs="Times New Roman"/>
          <w:sz w:val="20"/>
          <w:szCs w:val="20"/>
        </w:rPr>
        <w:t xml:space="preserve"> any of</w:t>
      </w:r>
      <w:r w:rsidRPr="00694E72">
        <w:rPr>
          <w:rFonts w:ascii="Times New Roman" w:hAnsi="Times New Roman" w:cs="Times New Roman"/>
          <w:sz w:val="20"/>
          <w:szCs w:val="20"/>
        </w:rPr>
        <w:t xml:space="preserve"> IL-10</w:t>
      </w:r>
      <w:r w:rsidR="0066246D" w:rsidRPr="00694E72">
        <w:rPr>
          <w:rFonts w:ascii="Times New Roman" w:hAnsi="Times New Roman" w:cs="Times New Roman"/>
          <w:sz w:val="20"/>
          <w:szCs w:val="20"/>
        </w:rPr>
        <w:t xml:space="preserve"> genotypes </w:t>
      </w:r>
      <w:r w:rsidRPr="00694E72">
        <w:rPr>
          <w:rFonts w:ascii="Times New Roman" w:hAnsi="Times New Roman" w:cs="Times New Roman"/>
          <w:sz w:val="20"/>
          <w:szCs w:val="20"/>
        </w:rPr>
        <w:t xml:space="preserve">and </w:t>
      </w:r>
      <w:r w:rsidR="00351D12" w:rsidRPr="00694E72">
        <w:rPr>
          <w:rFonts w:ascii="Times New Roman" w:hAnsi="Times New Roman" w:cs="Times New Roman"/>
          <w:sz w:val="20"/>
          <w:szCs w:val="20"/>
        </w:rPr>
        <w:t xml:space="preserve">age, TLC, </w:t>
      </w:r>
      <w:r w:rsidRPr="00694E72">
        <w:rPr>
          <w:rFonts w:ascii="Times New Roman" w:hAnsi="Times New Roman" w:cs="Times New Roman"/>
          <w:sz w:val="20"/>
          <w:szCs w:val="20"/>
        </w:rPr>
        <w:t>FAB</w:t>
      </w:r>
      <w:r w:rsidR="00351D12" w:rsidRPr="00694E72">
        <w:rPr>
          <w:rFonts w:ascii="Times New Roman" w:hAnsi="Times New Roman" w:cs="Times New Roman"/>
          <w:sz w:val="20"/>
          <w:szCs w:val="20"/>
        </w:rPr>
        <w:t xml:space="preserve"> subtypes,</w:t>
      </w:r>
      <w:r w:rsidRPr="00694E72">
        <w:rPr>
          <w:rFonts w:ascii="Times New Roman" w:hAnsi="Times New Roman" w:cs="Times New Roman"/>
          <w:sz w:val="20"/>
          <w:szCs w:val="20"/>
        </w:rPr>
        <w:t xml:space="preserve"> </w:t>
      </w:r>
      <w:proofErr w:type="spellStart"/>
      <w:r w:rsidRPr="00694E72">
        <w:rPr>
          <w:rFonts w:ascii="Times New Roman" w:hAnsi="Times New Roman" w:cs="Times New Roman"/>
          <w:sz w:val="20"/>
          <w:szCs w:val="20"/>
        </w:rPr>
        <w:t>karyotyping</w:t>
      </w:r>
      <w:proofErr w:type="spellEnd"/>
      <w:r w:rsidRPr="00694E72">
        <w:rPr>
          <w:rFonts w:ascii="Times New Roman" w:hAnsi="Times New Roman" w:cs="Times New Roman"/>
          <w:sz w:val="20"/>
          <w:szCs w:val="20"/>
        </w:rPr>
        <w:t xml:space="preserve"> </w:t>
      </w:r>
      <w:r w:rsidR="00351D12" w:rsidRPr="00694E72">
        <w:rPr>
          <w:rFonts w:ascii="Times New Roman" w:hAnsi="Times New Roman" w:cs="Times New Roman"/>
          <w:sz w:val="20"/>
          <w:szCs w:val="20"/>
        </w:rPr>
        <w:t>or FLT mutation (</w:t>
      </w:r>
      <w:r w:rsidR="00351D12" w:rsidRPr="00694E72">
        <w:rPr>
          <w:rFonts w:ascii="Times New Roman" w:hAnsi="Times New Roman" w:cs="Times New Roman"/>
          <w:i/>
          <w:iCs/>
          <w:sz w:val="20"/>
          <w:szCs w:val="20"/>
        </w:rPr>
        <w:t>P</w:t>
      </w:r>
      <w:r w:rsidR="00351D12" w:rsidRPr="00694E72">
        <w:rPr>
          <w:rFonts w:ascii="Times New Roman" w:hAnsi="Times New Roman" w:cs="Times New Roman"/>
          <w:sz w:val="20"/>
          <w:szCs w:val="20"/>
        </w:rPr>
        <w:t>= 0.</w:t>
      </w:r>
      <w:r w:rsidR="007B0337" w:rsidRPr="00694E72">
        <w:rPr>
          <w:rFonts w:ascii="Times New Roman" w:hAnsi="Times New Roman" w:cs="Times New Roman"/>
          <w:sz w:val="20"/>
          <w:szCs w:val="20"/>
        </w:rPr>
        <w:t>93, 0.61, 0.76, 0.94 and 0.16</w:t>
      </w:r>
      <w:r w:rsidRPr="00694E72">
        <w:rPr>
          <w:rFonts w:ascii="Times New Roman" w:hAnsi="Times New Roman" w:cs="Times New Roman"/>
          <w:sz w:val="20"/>
          <w:szCs w:val="20"/>
        </w:rPr>
        <w:t xml:space="preserve"> respectively).</w:t>
      </w:r>
    </w:p>
    <w:p w:rsidR="00D30773" w:rsidRPr="00694E72" w:rsidRDefault="003742A6" w:rsidP="00E72B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4E72">
        <w:rPr>
          <w:rFonts w:ascii="Times New Roman" w:hAnsi="Times New Roman" w:cs="Times New Roman"/>
          <w:sz w:val="20"/>
          <w:szCs w:val="20"/>
        </w:rPr>
        <w:t>During</w:t>
      </w:r>
      <w:r w:rsidR="00A8276A" w:rsidRPr="00694E72">
        <w:rPr>
          <w:rFonts w:ascii="Times New Roman" w:hAnsi="Times New Roman" w:cs="Times New Roman"/>
          <w:sz w:val="20"/>
          <w:szCs w:val="20"/>
        </w:rPr>
        <w:t xml:space="preserve"> follow up of the patients and assessment</w:t>
      </w:r>
      <w:r w:rsidR="00694E72" w:rsidRPr="00694E72">
        <w:rPr>
          <w:rFonts w:ascii="Times New Roman" w:hAnsi="Times New Roman" w:cs="Times New Roman" w:hint="eastAsia"/>
          <w:sz w:val="20"/>
          <w:szCs w:val="20"/>
          <w:lang w:eastAsia="zh-CN"/>
        </w:rPr>
        <w:t xml:space="preserve"> </w:t>
      </w:r>
      <w:r w:rsidR="00BB4168" w:rsidRPr="00694E72">
        <w:rPr>
          <w:rFonts w:ascii="Times New Roman" w:hAnsi="Times New Roman" w:cs="Times New Roman"/>
          <w:sz w:val="20"/>
          <w:szCs w:val="20"/>
        </w:rPr>
        <w:t>of the</w:t>
      </w:r>
      <w:r w:rsidR="00D30773" w:rsidRPr="00694E72">
        <w:rPr>
          <w:rFonts w:ascii="Times New Roman" w:hAnsi="Times New Roman" w:cs="Times New Roman"/>
          <w:sz w:val="20"/>
          <w:szCs w:val="20"/>
        </w:rPr>
        <w:t xml:space="preserve"> response to therapy</w:t>
      </w:r>
      <w:r w:rsidR="00A8276A" w:rsidRPr="00694E72">
        <w:rPr>
          <w:rFonts w:ascii="Times New Roman" w:hAnsi="Times New Roman" w:cs="Times New Roman"/>
          <w:sz w:val="20"/>
          <w:szCs w:val="20"/>
        </w:rPr>
        <w:t>,</w:t>
      </w:r>
      <w:r w:rsidR="00694E72" w:rsidRPr="00694E72">
        <w:rPr>
          <w:rFonts w:ascii="Times New Roman" w:hAnsi="Times New Roman" w:cs="Times New Roman" w:hint="eastAsia"/>
          <w:sz w:val="20"/>
          <w:szCs w:val="20"/>
          <w:lang w:eastAsia="zh-CN"/>
        </w:rPr>
        <w:t xml:space="preserve"> </w:t>
      </w:r>
      <w:r w:rsidR="003F2E4F" w:rsidRPr="00694E72">
        <w:rPr>
          <w:rFonts w:ascii="Times New Roman" w:hAnsi="Times New Roman" w:cs="Times New Roman"/>
          <w:sz w:val="20"/>
          <w:szCs w:val="20"/>
        </w:rPr>
        <w:t>49 patients (61</w:t>
      </w:r>
      <w:r w:rsidR="00B468CA" w:rsidRPr="00694E72">
        <w:rPr>
          <w:rFonts w:ascii="Times New Roman" w:hAnsi="Times New Roman" w:cs="Times New Roman"/>
          <w:sz w:val="20"/>
          <w:szCs w:val="20"/>
        </w:rPr>
        <w:t>.3</w:t>
      </w:r>
      <w:r w:rsidR="00D30773" w:rsidRPr="00694E72">
        <w:rPr>
          <w:rFonts w:ascii="Times New Roman" w:hAnsi="Times New Roman" w:cs="Times New Roman"/>
          <w:sz w:val="20"/>
          <w:szCs w:val="20"/>
        </w:rPr>
        <w:t>%)</w:t>
      </w:r>
      <w:r w:rsidR="009C7AB6" w:rsidRPr="00694E72">
        <w:rPr>
          <w:rFonts w:ascii="Times New Roman" w:hAnsi="Times New Roman" w:cs="Times New Roman"/>
          <w:sz w:val="20"/>
          <w:szCs w:val="20"/>
        </w:rPr>
        <w:t xml:space="preserve"> achieved complete remission, 16</w:t>
      </w:r>
      <w:r w:rsidR="00D30773" w:rsidRPr="00694E72">
        <w:rPr>
          <w:rFonts w:ascii="Times New Roman" w:hAnsi="Times New Roman" w:cs="Times New Roman"/>
          <w:sz w:val="20"/>
          <w:szCs w:val="20"/>
        </w:rPr>
        <w:t xml:space="preserve"> were resist</w:t>
      </w:r>
      <w:r w:rsidR="009C7AB6" w:rsidRPr="00694E72">
        <w:rPr>
          <w:rFonts w:ascii="Times New Roman" w:hAnsi="Times New Roman" w:cs="Times New Roman"/>
          <w:sz w:val="20"/>
          <w:szCs w:val="20"/>
        </w:rPr>
        <w:t xml:space="preserve">ant to </w:t>
      </w:r>
      <w:r w:rsidR="009C7AB6" w:rsidRPr="00694E72">
        <w:rPr>
          <w:rFonts w:ascii="Times New Roman" w:hAnsi="Times New Roman" w:cs="Times New Roman"/>
          <w:sz w:val="20"/>
          <w:szCs w:val="20"/>
        </w:rPr>
        <w:lastRenderedPageBreak/>
        <w:t>treatment (20.0%), and 15</w:t>
      </w:r>
      <w:r w:rsidR="00B468CA" w:rsidRPr="00694E72">
        <w:rPr>
          <w:rFonts w:ascii="Times New Roman" w:hAnsi="Times New Roman" w:cs="Times New Roman"/>
          <w:sz w:val="20"/>
          <w:szCs w:val="20"/>
        </w:rPr>
        <w:t xml:space="preserve"> (18.7</w:t>
      </w:r>
      <w:r w:rsidR="00D30773" w:rsidRPr="00694E72">
        <w:rPr>
          <w:rFonts w:ascii="Times New Roman" w:hAnsi="Times New Roman" w:cs="Times New Roman"/>
          <w:sz w:val="20"/>
          <w:szCs w:val="20"/>
        </w:rPr>
        <w:t>%) died before time of evaluation.</w:t>
      </w:r>
    </w:p>
    <w:p w:rsidR="00E30C7E" w:rsidRPr="00694E72" w:rsidRDefault="00E30C7E" w:rsidP="00E72B14">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94E72">
        <w:rPr>
          <w:rFonts w:ascii="Times New Roman" w:hAnsi="Times New Roman" w:cs="Times New Roman"/>
          <w:sz w:val="20"/>
          <w:szCs w:val="20"/>
        </w:rPr>
        <w:t>Median Progression Free Survival (PFS) and overall survival (OS) for all patie</w:t>
      </w:r>
      <w:r w:rsidR="0036480B" w:rsidRPr="00694E72">
        <w:rPr>
          <w:rFonts w:ascii="Times New Roman" w:hAnsi="Times New Roman" w:cs="Times New Roman"/>
          <w:sz w:val="20"/>
          <w:szCs w:val="20"/>
        </w:rPr>
        <w:t>nts were</w:t>
      </w:r>
      <w:r w:rsidRPr="00694E72">
        <w:rPr>
          <w:rFonts w:ascii="Times New Roman" w:hAnsi="Times New Roman" w:cs="Times New Roman"/>
          <w:sz w:val="20"/>
          <w:szCs w:val="20"/>
        </w:rPr>
        <w:t xml:space="preserve"> 12.2 months (95% CI 6.9-17.14) and 6.12 months (95% CI 0.027-12.21) respectively. There was no effect of</w:t>
      </w:r>
      <w:r w:rsidR="00EA4A33" w:rsidRPr="00694E72">
        <w:rPr>
          <w:rFonts w:ascii="Times New Roman" w:hAnsi="Times New Roman" w:cs="Times New Roman"/>
          <w:sz w:val="20"/>
          <w:szCs w:val="20"/>
        </w:rPr>
        <w:t xml:space="preserve"> the Il-10 genotype on PFS (</w:t>
      </w:r>
      <w:r w:rsidR="00EA4A33" w:rsidRPr="00694E72">
        <w:rPr>
          <w:rFonts w:ascii="Times New Roman" w:hAnsi="Times New Roman" w:cs="Times New Roman"/>
          <w:i/>
          <w:iCs/>
          <w:sz w:val="20"/>
          <w:szCs w:val="20"/>
        </w:rPr>
        <w:t>P</w:t>
      </w:r>
      <w:r w:rsidRPr="00694E72">
        <w:rPr>
          <w:rFonts w:ascii="Times New Roman" w:hAnsi="Times New Roman" w:cs="Times New Roman"/>
          <w:sz w:val="20"/>
          <w:szCs w:val="20"/>
        </w:rPr>
        <w:t>= 0.</w:t>
      </w:r>
      <w:r w:rsidR="00EA4A33" w:rsidRPr="00694E72">
        <w:rPr>
          <w:rFonts w:ascii="Times New Roman" w:hAnsi="Times New Roman" w:cs="Times New Roman"/>
          <w:sz w:val="20"/>
          <w:szCs w:val="20"/>
        </w:rPr>
        <w:t>93) or overall survival (</w:t>
      </w:r>
      <w:r w:rsidR="00EA4A33" w:rsidRPr="00694E72">
        <w:rPr>
          <w:rFonts w:ascii="Times New Roman" w:hAnsi="Times New Roman" w:cs="Times New Roman"/>
          <w:i/>
          <w:iCs/>
          <w:sz w:val="20"/>
          <w:szCs w:val="20"/>
        </w:rPr>
        <w:t>P</w:t>
      </w:r>
      <w:r w:rsidRPr="00694E72">
        <w:rPr>
          <w:rFonts w:ascii="Times New Roman" w:hAnsi="Times New Roman" w:cs="Times New Roman"/>
          <w:sz w:val="20"/>
          <w:szCs w:val="20"/>
        </w:rPr>
        <w:t>=0.92).</w:t>
      </w:r>
      <w:r w:rsidR="003032BD" w:rsidRPr="00694E72">
        <w:rPr>
          <w:rFonts w:ascii="Times New Roman" w:hAnsi="Times New Roman" w:cs="Times New Roman"/>
          <w:sz w:val="20"/>
          <w:szCs w:val="20"/>
        </w:rPr>
        <w:t>[</w:t>
      </w:r>
      <w:r w:rsidR="00EA4A33" w:rsidRPr="00694E72">
        <w:rPr>
          <w:rFonts w:ascii="Times New Roman" w:hAnsi="Times New Roman" w:cs="Times New Roman"/>
          <w:b/>
          <w:bCs/>
          <w:sz w:val="20"/>
          <w:szCs w:val="20"/>
        </w:rPr>
        <w:t>Figures2,3</w:t>
      </w:r>
      <w:r w:rsidR="003032BD" w:rsidRPr="00694E72">
        <w:rPr>
          <w:rFonts w:ascii="Times New Roman" w:hAnsi="Times New Roman" w:cs="Times New Roman"/>
          <w:b/>
          <w:bCs/>
          <w:sz w:val="20"/>
          <w:szCs w:val="20"/>
        </w:rPr>
        <w:t>]</w:t>
      </w:r>
    </w:p>
    <w:p w:rsidR="00E72B14" w:rsidRPr="00694E72" w:rsidRDefault="00E72B14" w:rsidP="00E72B14">
      <w:pPr>
        <w:autoSpaceDE w:val="0"/>
        <w:autoSpaceDN w:val="0"/>
        <w:adjustRightInd w:val="0"/>
        <w:snapToGrid w:val="0"/>
        <w:spacing w:after="0" w:line="240" w:lineRule="auto"/>
        <w:jc w:val="both"/>
        <w:rPr>
          <w:rFonts w:ascii="Times New Roman" w:hAnsi="Times New Roman" w:cs="Times New Roman"/>
          <w:b/>
          <w:bCs/>
          <w:sz w:val="20"/>
          <w:szCs w:val="20"/>
        </w:rPr>
        <w:sectPr w:rsidR="00E72B14" w:rsidRPr="00694E72" w:rsidSect="00E72B14">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357E76" w:rsidRPr="00694E72" w:rsidRDefault="00357E76" w:rsidP="00E72B14">
      <w:pPr>
        <w:autoSpaceDE w:val="0"/>
        <w:autoSpaceDN w:val="0"/>
        <w:adjustRightInd w:val="0"/>
        <w:snapToGrid w:val="0"/>
        <w:spacing w:after="0" w:line="240" w:lineRule="auto"/>
        <w:jc w:val="center"/>
        <w:rPr>
          <w:rFonts w:ascii="Times New Roman" w:hAnsi="Times New Roman" w:cs="Times New Roman"/>
          <w:b/>
          <w:bCs/>
          <w:sz w:val="20"/>
          <w:szCs w:val="20"/>
        </w:rPr>
      </w:pPr>
    </w:p>
    <w:p w:rsidR="003860A8" w:rsidRPr="00694E72" w:rsidRDefault="003860A8" w:rsidP="00E72B14">
      <w:pPr>
        <w:tabs>
          <w:tab w:val="left" w:pos="2745"/>
          <w:tab w:val="right" w:pos="9360"/>
        </w:tabs>
        <w:snapToGrid w:val="0"/>
        <w:spacing w:after="0" w:line="240" w:lineRule="auto"/>
        <w:jc w:val="center"/>
        <w:rPr>
          <w:rFonts w:ascii="Times New Roman" w:hAnsi="Times New Roman" w:cs="Times New Roman"/>
          <w:b/>
          <w:bCs/>
          <w:sz w:val="20"/>
          <w:szCs w:val="20"/>
        </w:rPr>
      </w:pPr>
      <w:r w:rsidRPr="00694E72">
        <w:rPr>
          <w:rFonts w:ascii="Times New Roman" w:hAnsi="Times New Roman" w:cs="Times New Roman"/>
          <w:b/>
          <w:bCs/>
          <w:sz w:val="20"/>
          <w:szCs w:val="20"/>
        </w:rPr>
        <w:t>Table 1</w:t>
      </w:r>
      <w:r w:rsidR="00694E72">
        <w:rPr>
          <w:rFonts w:ascii="Times New Roman" w:hAnsi="Times New Roman" w:cs="Times New Roman" w:hint="eastAsia"/>
          <w:b/>
          <w:bCs/>
          <w:sz w:val="20"/>
          <w:szCs w:val="20"/>
          <w:lang w:eastAsia="zh-CN"/>
        </w:rPr>
        <w:t>.</w:t>
      </w:r>
      <w:r w:rsidRPr="00694E72">
        <w:rPr>
          <w:rFonts w:ascii="Times New Roman" w:hAnsi="Times New Roman" w:cs="Times New Roman"/>
          <w:b/>
          <w:bCs/>
          <w:sz w:val="20"/>
          <w:szCs w:val="20"/>
        </w:rPr>
        <w:t xml:space="preserve"> Genotype and Allele Distribution in AML Cases and Controls.</w:t>
      </w:r>
    </w:p>
    <w:tbl>
      <w:tblPr>
        <w:tblStyle w:val="TableGrid"/>
        <w:bidiVisual/>
        <w:tblW w:w="0" w:type="auto"/>
        <w:jc w:val="center"/>
        <w:tblLook w:val="04A0"/>
      </w:tblPr>
      <w:tblGrid>
        <w:gridCol w:w="981"/>
        <w:gridCol w:w="396"/>
        <w:gridCol w:w="741"/>
        <w:gridCol w:w="486"/>
        <w:gridCol w:w="1311"/>
        <w:gridCol w:w="651"/>
        <w:gridCol w:w="891"/>
        <w:gridCol w:w="741"/>
        <w:gridCol w:w="396"/>
        <w:gridCol w:w="651"/>
        <w:gridCol w:w="396"/>
        <w:gridCol w:w="827"/>
        <w:gridCol w:w="1002"/>
      </w:tblGrid>
      <w:tr w:rsidR="00A454BC" w:rsidRPr="00694E72" w:rsidTr="00E72B14">
        <w:trPr>
          <w:jc w:val="center"/>
        </w:trPr>
        <w:tc>
          <w:tcPr>
            <w:tcW w:w="0" w:type="auto"/>
            <w:gridSpan w:val="4"/>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Allele frequency</w:t>
            </w:r>
          </w:p>
        </w:tc>
        <w:tc>
          <w:tcPr>
            <w:tcW w:w="0" w:type="auto"/>
            <w:vMerge w:val="restart"/>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Allele number</w:t>
            </w:r>
          </w:p>
        </w:tc>
        <w:tc>
          <w:tcPr>
            <w:tcW w:w="0" w:type="auto"/>
            <w:gridSpan w:val="6"/>
            <w:tcBorders>
              <w:bottom w:val="single" w:sz="4" w:space="0" w:color="auto"/>
            </w:tcBorders>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Genotype</w:t>
            </w:r>
          </w:p>
        </w:tc>
        <w:tc>
          <w:tcPr>
            <w:tcW w:w="0" w:type="auto"/>
            <w:vMerge w:val="restart"/>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Cases</w:t>
            </w:r>
          </w:p>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b/>
                <w:bCs/>
                <w:color w:val="000000"/>
                <w:sz w:val="18"/>
                <w:szCs w:val="18"/>
              </w:rPr>
              <w:t>number</w:t>
            </w:r>
          </w:p>
        </w:tc>
        <w:tc>
          <w:tcPr>
            <w:tcW w:w="0" w:type="auto"/>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Group</w:t>
            </w:r>
          </w:p>
        </w:tc>
      </w:tr>
      <w:tr w:rsidR="00A454BC" w:rsidRPr="00694E72" w:rsidTr="00E72B14">
        <w:trPr>
          <w:jc w:val="center"/>
        </w:trPr>
        <w:tc>
          <w:tcPr>
            <w:tcW w:w="0" w:type="auto"/>
            <w:gridSpan w:val="2"/>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C allele</w:t>
            </w:r>
          </w:p>
        </w:tc>
        <w:tc>
          <w:tcPr>
            <w:tcW w:w="0" w:type="auto"/>
            <w:gridSpan w:val="2"/>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T allele</w:t>
            </w:r>
          </w:p>
        </w:tc>
        <w:tc>
          <w:tcPr>
            <w:tcW w:w="0" w:type="auto"/>
            <w:vMerge/>
            <w:vAlign w:val="center"/>
          </w:tcPr>
          <w:p w:rsidR="00A454BC" w:rsidRPr="00694E72" w:rsidRDefault="00A454BC" w:rsidP="00E72B14">
            <w:pPr>
              <w:snapToGrid w:val="0"/>
              <w:jc w:val="both"/>
              <w:rPr>
                <w:rFonts w:ascii="Times New Roman" w:hAnsi="Times New Roman" w:cs="Times New Roman"/>
                <w:b/>
                <w:bCs/>
                <w:color w:val="000000"/>
                <w:sz w:val="18"/>
                <w:szCs w:val="18"/>
              </w:rPr>
            </w:pPr>
          </w:p>
        </w:tc>
        <w:tc>
          <w:tcPr>
            <w:tcW w:w="0" w:type="auto"/>
            <w:gridSpan w:val="2"/>
            <w:tcBorders>
              <w:bottom w:val="single" w:sz="4" w:space="0" w:color="auto"/>
            </w:tcBorders>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CC</w:t>
            </w:r>
          </w:p>
        </w:tc>
        <w:tc>
          <w:tcPr>
            <w:tcW w:w="0" w:type="auto"/>
            <w:gridSpan w:val="2"/>
            <w:tcBorders>
              <w:bottom w:val="single" w:sz="4" w:space="0" w:color="auto"/>
            </w:tcBorders>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TC</w:t>
            </w:r>
          </w:p>
        </w:tc>
        <w:tc>
          <w:tcPr>
            <w:tcW w:w="0" w:type="auto"/>
            <w:gridSpan w:val="2"/>
            <w:tcBorders>
              <w:bottom w:val="single" w:sz="4" w:space="0" w:color="auto"/>
            </w:tcBorders>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TT</w:t>
            </w:r>
          </w:p>
        </w:tc>
        <w:tc>
          <w:tcPr>
            <w:tcW w:w="0" w:type="auto"/>
            <w:vMerge/>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r>
      <w:tr w:rsidR="00E72B14" w:rsidRPr="00694E72" w:rsidTr="00E72B14">
        <w:trPr>
          <w:jc w:val="center"/>
        </w:trPr>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N</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N</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N</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N</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N</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r>
      <w:tr w:rsidR="00E72B14" w:rsidRPr="00694E72" w:rsidTr="00E72B14">
        <w:trPr>
          <w:jc w:val="center"/>
        </w:trPr>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(53.1)</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85</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(46.9)</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75</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160</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(38.8)</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31</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(28.8)</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23</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(32.5)</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26</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80</w:t>
            </w:r>
          </w:p>
        </w:tc>
        <w:tc>
          <w:tcPr>
            <w:tcW w:w="0" w:type="auto"/>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AML</w:t>
            </w:r>
          </w:p>
        </w:tc>
      </w:tr>
      <w:tr w:rsidR="00E72B14" w:rsidRPr="00694E72" w:rsidTr="00E72B14">
        <w:trPr>
          <w:jc w:val="center"/>
        </w:trPr>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(31.76)</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54</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(68.24)</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116</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170</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(10.6)</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9</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(42.35)</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36</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(47.1)</w:t>
            </w: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40</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r w:rsidRPr="00694E72">
              <w:rPr>
                <w:rFonts w:ascii="Times New Roman" w:hAnsi="Times New Roman" w:cs="Times New Roman"/>
                <w:color w:val="000000"/>
                <w:sz w:val="18"/>
                <w:szCs w:val="18"/>
              </w:rPr>
              <w:t>85</w:t>
            </w:r>
          </w:p>
        </w:tc>
        <w:tc>
          <w:tcPr>
            <w:tcW w:w="0" w:type="auto"/>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Controls</w:t>
            </w:r>
          </w:p>
        </w:tc>
      </w:tr>
      <w:tr w:rsidR="00E72B14" w:rsidRPr="00694E72" w:rsidTr="00E72B14">
        <w:trPr>
          <w:jc w:val="center"/>
        </w:trPr>
        <w:tc>
          <w:tcPr>
            <w:tcW w:w="0" w:type="auto"/>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0.000086*</w:t>
            </w: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0.00014*</w:t>
            </w: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tcBorders>
              <w:righ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tcBorders>
              <w:left w:val="nil"/>
            </w:tcBorders>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vAlign w:val="center"/>
          </w:tcPr>
          <w:p w:rsidR="00A454BC" w:rsidRPr="00694E72" w:rsidRDefault="00A454BC" w:rsidP="00E72B14">
            <w:pPr>
              <w:snapToGrid w:val="0"/>
              <w:jc w:val="both"/>
              <w:rPr>
                <w:rFonts w:ascii="Times New Roman" w:hAnsi="Times New Roman" w:cs="Times New Roman"/>
                <w:color w:val="000000"/>
                <w:sz w:val="18"/>
                <w:szCs w:val="18"/>
              </w:rPr>
            </w:pPr>
          </w:p>
        </w:tc>
        <w:tc>
          <w:tcPr>
            <w:tcW w:w="0" w:type="auto"/>
            <w:vAlign w:val="center"/>
          </w:tcPr>
          <w:p w:rsidR="00A454BC" w:rsidRPr="00694E72" w:rsidRDefault="00A454BC" w:rsidP="00E72B14">
            <w:pPr>
              <w:snapToGrid w:val="0"/>
              <w:jc w:val="both"/>
              <w:rPr>
                <w:rFonts w:ascii="Times New Roman" w:hAnsi="Times New Roman" w:cs="Times New Roman"/>
                <w:b/>
                <w:bCs/>
                <w:color w:val="000000"/>
                <w:sz w:val="18"/>
                <w:szCs w:val="18"/>
              </w:rPr>
            </w:pPr>
            <w:r w:rsidRPr="00694E72">
              <w:rPr>
                <w:rFonts w:ascii="Times New Roman" w:hAnsi="Times New Roman" w:cs="Times New Roman"/>
                <w:b/>
                <w:bCs/>
                <w:color w:val="000000"/>
                <w:sz w:val="18"/>
                <w:szCs w:val="18"/>
              </w:rPr>
              <w:t>P VALUE</w:t>
            </w:r>
          </w:p>
        </w:tc>
      </w:tr>
    </w:tbl>
    <w:p w:rsidR="00A454BC" w:rsidRPr="00694E72" w:rsidRDefault="00A454BC" w:rsidP="00E72B14">
      <w:pPr>
        <w:tabs>
          <w:tab w:val="left" w:pos="2745"/>
          <w:tab w:val="right" w:pos="9360"/>
        </w:tabs>
        <w:snapToGrid w:val="0"/>
        <w:spacing w:after="0" w:line="240" w:lineRule="auto"/>
        <w:jc w:val="both"/>
        <w:rPr>
          <w:rFonts w:ascii="Times New Roman" w:hAnsi="Times New Roman" w:cs="Times New Roman"/>
          <w:bCs/>
          <w:sz w:val="20"/>
          <w:szCs w:val="20"/>
        </w:rPr>
      </w:pPr>
      <w:r w:rsidRPr="00694E72">
        <w:rPr>
          <w:rFonts w:ascii="Times New Roman" w:hAnsi="Times New Roman" w:cs="Times New Roman"/>
          <w:bCs/>
          <w:sz w:val="20"/>
          <w:szCs w:val="20"/>
        </w:rPr>
        <w:t>*Highly significant</w:t>
      </w:r>
    </w:p>
    <w:p w:rsidR="00357E76" w:rsidRPr="00694E72" w:rsidRDefault="00357E76" w:rsidP="00E72B14">
      <w:pPr>
        <w:autoSpaceDE w:val="0"/>
        <w:autoSpaceDN w:val="0"/>
        <w:adjustRightInd w:val="0"/>
        <w:snapToGrid w:val="0"/>
        <w:spacing w:after="0" w:line="240" w:lineRule="auto"/>
        <w:jc w:val="center"/>
        <w:rPr>
          <w:rFonts w:ascii="Times New Roman" w:hAnsi="Times New Roman" w:cs="Times New Roman"/>
          <w:sz w:val="20"/>
          <w:szCs w:val="20"/>
        </w:rPr>
      </w:pPr>
    </w:p>
    <w:p w:rsidR="00E72B14" w:rsidRPr="00694E72" w:rsidRDefault="00070E91" w:rsidP="00E72B14">
      <w:pPr>
        <w:snapToGrid w:val="0"/>
        <w:spacing w:after="0" w:line="240" w:lineRule="auto"/>
        <w:jc w:val="both"/>
        <w:rPr>
          <w:rFonts w:ascii="Times New Roman" w:hAnsi="Times New Roman" w:cs="Times New Roman"/>
          <w:b/>
          <w:bCs/>
          <w:sz w:val="20"/>
          <w:szCs w:val="20"/>
          <w:lang w:eastAsia="zh-CN"/>
        </w:rPr>
      </w:pPr>
      <w:r w:rsidRPr="00694E72">
        <w:rPr>
          <w:rFonts w:ascii="Times New Roman" w:hAnsi="Times New Roman" w:cs="Times New Roman"/>
          <w:b/>
          <w:bCs/>
          <w:sz w:val="20"/>
          <w:szCs w:val="20"/>
        </w:rPr>
        <w:t>Table 2</w:t>
      </w:r>
      <w:r w:rsidR="00694E72">
        <w:rPr>
          <w:rFonts w:ascii="Times New Roman" w:hAnsi="Times New Roman" w:cs="Times New Roman" w:hint="eastAsia"/>
          <w:b/>
          <w:bCs/>
          <w:sz w:val="20"/>
          <w:szCs w:val="20"/>
          <w:lang w:eastAsia="zh-CN"/>
        </w:rPr>
        <w:t>.</w:t>
      </w:r>
      <w:r w:rsidRPr="00694E72">
        <w:rPr>
          <w:rFonts w:ascii="Times New Roman" w:hAnsi="Times New Roman" w:cs="Times New Roman"/>
          <w:b/>
          <w:bCs/>
          <w:sz w:val="20"/>
          <w:szCs w:val="20"/>
        </w:rPr>
        <w:t xml:space="preserve"> Demographic characteristics, clinical, hematological, FAB classification and </w:t>
      </w:r>
      <w:proofErr w:type="spellStart"/>
      <w:r w:rsidRPr="00694E72">
        <w:rPr>
          <w:rFonts w:ascii="Times New Roman" w:hAnsi="Times New Roman" w:cs="Times New Roman"/>
          <w:b/>
          <w:bCs/>
          <w:sz w:val="20"/>
          <w:szCs w:val="20"/>
        </w:rPr>
        <w:t>karyotyping</w:t>
      </w:r>
      <w:proofErr w:type="spellEnd"/>
      <w:r w:rsidRPr="00694E72">
        <w:rPr>
          <w:rFonts w:ascii="Times New Roman" w:hAnsi="Times New Roman" w:cs="Times New Roman"/>
          <w:b/>
          <w:bCs/>
          <w:sz w:val="20"/>
          <w:szCs w:val="20"/>
        </w:rPr>
        <w:t xml:space="preserve"> of AML patients.</w:t>
      </w:r>
    </w:p>
    <w:tbl>
      <w:tblPr>
        <w:tblStyle w:val="TableGrid"/>
        <w:tblW w:w="4586" w:type="pct"/>
        <w:jc w:val="center"/>
        <w:tblInd w:w="793" w:type="dxa"/>
        <w:tblLook w:val="04A0"/>
      </w:tblPr>
      <w:tblGrid>
        <w:gridCol w:w="4293"/>
        <w:gridCol w:w="2029"/>
        <w:gridCol w:w="2461"/>
      </w:tblGrid>
      <w:tr w:rsidR="00E72B14" w:rsidRPr="00694E72" w:rsidTr="00694E72">
        <w:trPr>
          <w:jc w:val="center"/>
        </w:trPr>
        <w:tc>
          <w:tcPr>
            <w:tcW w:w="2444" w:type="pct"/>
            <w:vAlign w:val="center"/>
          </w:tcPr>
          <w:p w:rsidR="00E72B14" w:rsidRPr="00694E72" w:rsidRDefault="00E72B14" w:rsidP="00E72B14">
            <w:pPr>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Patients characteristics</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N=80</w:t>
            </w:r>
            <w:r w:rsidRPr="00694E72">
              <w:rPr>
                <w:rFonts w:ascii="Times New Roman" w:hAnsi="Times New Roman" w:cs="Times New Roman" w:hint="eastAsia"/>
                <w:b/>
                <w:bCs/>
                <w:color w:val="000000"/>
                <w:sz w:val="20"/>
                <w:szCs w:val="20"/>
                <w:lang w:eastAsia="zh-CN"/>
              </w:rPr>
              <w:t xml:space="preserve"> </w:t>
            </w:r>
            <w:r w:rsidRPr="00694E72">
              <w:rPr>
                <w:rFonts w:ascii="Times New Roman" w:hAnsi="Times New Roman" w:cs="Times New Roman"/>
                <w:b/>
                <w:bCs/>
                <w:color w:val="000000"/>
                <w:sz w:val="20"/>
                <w:szCs w:val="20"/>
              </w:rPr>
              <w:t>Mean</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w:t>
            </w:r>
            <w:r w:rsidRPr="00694E72">
              <w:rPr>
                <w:rFonts w:ascii="Times New Roman" w:hAnsi="Times New Roman" w:cs="Times New Roman" w:hint="eastAsia"/>
                <w:b/>
                <w:bCs/>
                <w:color w:val="000000"/>
                <w:sz w:val="20"/>
                <w:szCs w:val="20"/>
                <w:lang w:eastAsia="zh-CN"/>
              </w:rPr>
              <w:t xml:space="preserve"> </w:t>
            </w:r>
            <w:r w:rsidRPr="00694E72">
              <w:rPr>
                <w:rFonts w:ascii="Times New Roman" w:hAnsi="Times New Roman" w:cs="Times New Roman"/>
                <w:b/>
                <w:bCs/>
                <w:color w:val="000000"/>
                <w:sz w:val="20"/>
                <w:szCs w:val="20"/>
              </w:rPr>
              <w:t>±SD</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Age</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34.1</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±1.42</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Sex</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Male</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49.0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(61.25)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color w:val="000000"/>
                <w:sz w:val="20"/>
                <w:szCs w:val="20"/>
              </w:rPr>
              <w:t>Female</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31.0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(38.75)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proofErr w:type="spellStart"/>
            <w:r w:rsidRPr="00694E72">
              <w:rPr>
                <w:rFonts w:ascii="Times New Roman" w:hAnsi="Times New Roman" w:cs="Times New Roman"/>
                <w:b/>
                <w:bCs/>
                <w:color w:val="000000"/>
                <w:sz w:val="20"/>
                <w:szCs w:val="20"/>
              </w:rPr>
              <w:t>Splenomegaly</w:t>
            </w:r>
            <w:proofErr w:type="spellEnd"/>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34.0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(42.5)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proofErr w:type="spellStart"/>
            <w:r w:rsidRPr="00694E72">
              <w:rPr>
                <w:rFonts w:ascii="Times New Roman" w:hAnsi="Times New Roman" w:cs="Times New Roman"/>
                <w:b/>
                <w:bCs/>
                <w:color w:val="000000"/>
                <w:sz w:val="20"/>
                <w:szCs w:val="20"/>
              </w:rPr>
              <w:t>Hepatomegaly</w:t>
            </w:r>
            <w:proofErr w:type="spellEnd"/>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34.0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(42.5)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proofErr w:type="spellStart"/>
            <w:r w:rsidRPr="00694E72">
              <w:rPr>
                <w:rFonts w:ascii="Times New Roman" w:hAnsi="Times New Roman" w:cs="Times New Roman"/>
                <w:b/>
                <w:bCs/>
                <w:color w:val="000000"/>
                <w:sz w:val="20"/>
                <w:szCs w:val="20"/>
              </w:rPr>
              <w:t>Lymphadenopathy</w:t>
            </w:r>
            <w:proofErr w:type="spellEnd"/>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11.0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(13.75)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Laboratory finding</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Mean</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 SD</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TLC</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61.64</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+/-7.53</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HB</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7.8</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+/-0.20</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Platelet</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74.07</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+/-18.7</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Peripheral blood blasts%</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57.1</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+/-2.55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Bone marrow blasts%</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68.29</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+/-2.11</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 xml:space="preserve">Bone marrow </w:t>
            </w:r>
            <w:proofErr w:type="spellStart"/>
            <w:r w:rsidRPr="00694E72">
              <w:rPr>
                <w:rFonts w:ascii="Times New Roman" w:hAnsi="Times New Roman" w:cs="Times New Roman"/>
                <w:b/>
                <w:bCs/>
                <w:color w:val="000000"/>
                <w:sz w:val="20"/>
                <w:szCs w:val="20"/>
              </w:rPr>
              <w:t>cellularity</w:t>
            </w:r>
            <w:proofErr w:type="spellEnd"/>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N</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Normo</w:t>
            </w:r>
            <w:proofErr w:type="spellEnd"/>
            <w:r w:rsidRPr="00694E72">
              <w:rPr>
                <w:rFonts w:ascii="Times New Roman" w:hAnsi="Times New Roman" w:cs="Times New Roman"/>
                <w:color w:val="000000"/>
                <w:sz w:val="20"/>
                <w:szCs w:val="20"/>
              </w:rPr>
              <w:t>-cellular</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9.0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(11.3)</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Hyper-cellular</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71.0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(88.8)</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FLT status</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N=77</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Wild</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49.0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(63.6)</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Mutant</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28.0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(36.4)</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FAB</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M0</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(1.3)</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M1</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20</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(25.0)</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M2</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22</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(27.5)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M3</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M4</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26</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(32.5)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M5</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5</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(6.3)</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b/>
                <w:bCs/>
                <w:color w:val="000000"/>
                <w:sz w:val="20"/>
                <w:szCs w:val="20"/>
              </w:rPr>
            </w:pPr>
            <w:proofErr w:type="spellStart"/>
            <w:r w:rsidRPr="00694E72">
              <w:rPr>
                <w:rFonts w:ascii="Times New Roman" w:hAnsi="Times New Roman" w:cs="Times New Roman"/>
                <w:b/>
                <w:bCs/>
                <w:color w:val="000000"/>
                <w:sz w:val="20"/>
                <w:szCs w:val="20"/>
              </w:rPr>
              <w:t>Cytogenetics</w:t>
            </w:r>
            <w:proofErr w:type="spellEnd"/>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 xml:space="preserve">Normal </w:t>
            </w:r>
            <w:proofErr w:type="spellStart"/>
            <w:r w:rsidRPr="00694E72">
              <w:rPr>
                <w:rFonts w:ascii="Times New Roman" w:hAnsi="Times New Roman" w:cs="Times New Roman"/>
                <w:color w:val="000000"/>
                <w:sz w:val="20"/>
                <w:szCs w:val="20"/>
              </w:rPr>
              <w:t>karyotype</w:t>
            </w:r>
            <w:proofErr w:type="spellEnd"/>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63</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(78.8)</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t (8:21)</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8</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(10.0)</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t (15:17)</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6</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Inv. 16</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(2.5)</w:t>
            </w:r>
          </w:p>
        </w:tc>
      </w:tr>
      <w:tr w:rsidR="00E72B14" w:rsidRPr="00694E72" w:rsidTr="00694E72">
        <w:trPr>
          <w:jc w:val="center"/>
        </w:trPr>
        <w:tc>
          <w:tcPr>
            <w:tcW w:w="2444"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t (9:22)</w:t>
            </w:r>
          </w:p>
        </w:tc>
        <w:tc>
          <w:tcPr>
            <w:tcW w:w="1155"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w:t>
            </w:r>
          </w:p>
        </w:tc>
        <w:tc>
          <w:tcPr>
            <w:tcW w:w="1401" w:type="pct"/>
            <w:vAlign w:val="center"/>
          </w:tcPr>
          <w:p w:rsidR="00E72B14" w:rsidRPr="00694E72" w:rsidRDefault="00E72B14" w:rsidP="00E72B14">
            <w:pPr>
              <w:autoSpaceDE w:val="0"/>
              <w:autoSpaceDN w:val="0"/>
              <w:adjustRightInd w:val="0"/>
              <w:snapToGrid w:val="0"/>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(1.3)</w:t>
            </w:r>
          </w:p>
        </w:tc>
      </w:tr>
    </w:tbl>
    <w:p w:rsidR="00115BD2" w:rsidRPr="00694E72" w:rsidRDefault="00115BD2" w:rsidP="00E72B14">
      <w:pPr>
        <w:snapToGrid w:val="0"/>
        <w:spacing w:after="0" w:line="240" w:lineRule="auto"/>
        <w:jc w:val="both"/>
        <w:rPr>
          <w:rFonts w:ascii="Times New Roman" w:hAnsi="Times New Roman" w:cs="Times New Roman"/>
          <w:bCs/>
          <w:sz w:val="20"/>
          <w:szCs w:val="20"/>
          <w:lang w:bidi="ar-EG"/>
        </w:rPr>
      </w:pPr>
      <w:r w:rsidRPr="00694E72">
        <w:rPr>
          <w:rFonts w:ascii="Times New Roman" w:hAnsi="Times New Roman" w:cs="Times New Roman"/>
          <w:bCs/>
          <w:i/>
          <w:iCs/>
          <w:sz w:val="20"/>
          <w:szCs w:val="20"/>
          <w:lang w:bidi="ar-EG"/>
        </w:rPr>
        <w:t>N= number</w:t>
      </w:r>
      <w:r w:rsidRPr="00694E72">
        <w:rPr>
          <w:rFonts w:ascii="Times New Roman" w:hAnsi="Times New Roman" w:cs="Times New Roman"/>
          <w:bCs/>
          <w:sz w:val="20"/>
          <w:szCs w:val="20"/>
          <w:lang w:bidi="ar-EG"/>
        </w:rPr>
        <w:t xml:space="preserve">, TLC (Total </w:t>
      </w:r>
      <w:proofErr w:type="spellStart"/>
      <w:r w:rsidRPr="00694E72">
        <w:rPr>
          <w:rFonts w:ascii="Times New Roman" w:hAnsi="Times New Roman" w:cs="Times New Roman"/>
          <w:bCs/>
          <w:sz w:val="20"/>
          <w:szCs w:val="20"/>
          <w:lang w:bidi="ar-EG"/>
        </w:rPr>
        <w:t>leucocyte</w:t>
      </w:r>
      <w:proofErr w:type="spellEnd"/>
      <w:r w:rsidRPr="00694E72">
        <w:rPr>
          <w:rFonts w:ascii="Times New Roman" w:hAnsi="Times New Roman" w:cs="Times New Roman"/>
          <w:bCs/>
          <w:sz w:val="20"/>
          <w:szCs w:val="20"/>
          <w:lang w:bidi="ar-EG"/>
        </w:rPr>
        <w:t xml:space="preserve"> count), HB (Hemoglobin), FLT (FMS-related tyrosine </w:t>
      </w:r>
      <w:proofErr w:type="spellStart"/>
      <w:r w:rsidRPr="00694E72">
        <w:rPr>
          <w:rFonts w:ascii="Times New Roman" w:hAnsi="Times New Roman" w:cs="Times New Roman"/>
          <w:bCs/>
          <w:sz w:val="20"/>
          <w:szCs w:val="20"/>
          <w:lang w:bidi="ar-EG"/>
        </w:rPr>
        <w:t>kinase</w:t>
      </w:r>
      <w:proofErr w:type="spellEnd"/>
      <w:r w:rsidRPr="00694E72">
        <w:rPr>
          <w:rFonts w:ascii="Times New Roman" w:hAnsi="Times New Roman" w:cs="Times New Roman"/>
          <w:bCs/>
          <w:sz w:val="20"/>
          <w:szCs w:val="20"/>
          <w:lang w:bidi="ar-EG"/>
        </w:rPr>
        <w:t xml:space="preserve"> 3) FAB (French American British)</w:t>
      </w:r>
    </w:p>
    <w:p w:rsidR="00694E72" w:rsidRDefault="00694E72" w:rsidP="00E72B14">
      <w:pPr>
        <w:snapToGrid w:val="0"/>
        <w:spacing w:after="0" w:line="240" w:lineRule="auto"/>
        <w:jc w:val="both"/>
        <w:rPr>
          <w:rFonts w:ascii="Times New Roman" w:hAnsi="Times New Roman" w:cs="Times New Roman"/>
          <w:b/>
          <w:bCs/>
          <w:sz w:val="20"/>
          <w:szCs w:val="20"/>
          <w:lang w:eastAsia="zh-CN" w:bidi="ar-EG"/>
        </w:rPr>
      </w:pPr>
    </w:p>
    <w:p w:rsidR="000233A0" w:rsidRPr="00694E72" w:rsidRDefault="003C1FC8" w:rsidP="00E72B14">
      <w:pPr>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lang w:bidi="ar-EG"/>
        </w:rPr>
        <w:t xml:space="preserve">Table 3: </w:t>
      </w:r>
      <w:r w:rsidRPr="00694E72">
        <w:rPr>
          <w:rFonts w:ascii="Times New Roman" w:hAnsi="Times New Roman" w:cs="Times New Roman"/>
          <w:b/>
          <w:bCs/>
          <w:sz w:val="20"/>
          <w:szCs w:val="20"/>
        </w:rPr>
        <w:t xml:space="preserve">Genotype distribution of IL-10 according to demographic characteristics, FAB and </w:t>
      </w:r>
      <w:proofErr w:type="spellStart"/>
      <w:r w:rsidRPr="00694E72">
        <w:rPr>
          <w:rFonts w:ascii="Times New Roman" w:hAnsi="Times New Roman" w:cs="Times New Roman"/>
          <w:b/>
          <w:bCs/>
          <w:sz w:val="20"/>
          <w:szCs w:val="20"/>
        </w:rPr>
        <w:t>karyotype</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454BC" w:rsidRPr="00694E72" w:rsidTr="00E72B14">
        <w:trPr>
          <w:jc w:val="center"/>
        </w:trPr>
        <w:tc>
          <w:tcPr>
            <w:tcW w:w="9576" w:type="dxa"/>
          </w:tcPr>
          <w:tbl>
            <w:tblPr>
              <w:tblStyle w:val="TableGrid"/>
              <w:tblW w:w="5000" w:type="pct"/>
              <w:jc w:val="center"/>
              <w:tblLook w:val="04A0"/>
            </w:tblPr>
            <w:tblGrid>
              <w:gridCol w:w="3159"/>
              <w:gridCol w:w="615"/>
              <w:gridCol w:w="1038"/>
              <w:gridCol w:w="615"/>
              <w:gridCol w:w="1038"/>
              <w:gridCol w:w="615"/>
              <w:gridCol w:w="1038"/>
              <w:gridCol w:w="1232"/>
            </w:tblGrid>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Patients characteristics</w:t>
                  </w:r>
                </w:p>
              </w:tc>
              <w:tc>
                <w:tcPr>
                  <w:tcW w:w="884" w:type="pct"/>
                  <w:gridSpan w:val="2"/>
                  <w:tcBorders>
                    <w:bottom w:val="single" w:sz="4" w:space="0" w:color="auto"/>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TT</w:t>
                  </w:r>
                </w:p>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N=26</w:t>
                  </w:r>
                </w:p>
              </w:tc>
              <w:tc>
                <w:tcPr>
                  <w:tcW w:w="884" w:type="pct"/>
                  <w:gridSpan w:val="2"/>
                  <w:tcBorders>
                    <w:bottom w:val="single" w:sz="4" w:space="0" w:color="auto"/>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TC</w:t>
                  </w:r>
                </w:p>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N=23</w:t>
                  </w:r>
                </w:p>
              </w:tc>
              <w:tc>
                <w:tcPr>
                  <w:tcW w:w="884" w:type="pct"/>
                  <w:gridSpan w:val="2"/>
                  <w:tcBorders>
                    <w:bottom w:val="single" w:sz="4" w:space="0" w:color="auto"/>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CC</w:t>
                  </w:r>
                </w:p>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N=31</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P value</w:t>
                  </w: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N</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N</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N</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Gender</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0.35</w:t>
                  </w: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Male</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13</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(50.0)</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15</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(65.2)</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21</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(67.7)</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Female</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13</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(50.0)</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(34.8)</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10</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(32.3)</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Age</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0.93</w:t>
                  </w: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&lt; 40</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19</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(73.1)</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16</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(69.6)</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23</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(74.2)</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 41</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(26.9)</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(30.4)</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(25.8)</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TLC</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0.61</w:t>
                  </w: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&lt;12</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19</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(73.1)</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(78.3)</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26</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(83.9)</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≥12</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(26.9)</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(21.7)</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(16.1)</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FAB</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0.76</w:t>
                  </w: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M0</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(0.0)</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(0.0)</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(3.2)</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M1</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(23.1)</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(26.1)</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(25.8)</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M2</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(30.8)</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(34.8)</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(19.4)</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M3</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(7.7)</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(4.3)</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(9.7)</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M4</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(26.9)</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(34.8)</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11</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(35.5)</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M5</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11.5</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(0.0)</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(6.5)</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proofErr w:type="spellStart"/>
                  <w:r w:rsidRPr="00694E72">
                    <w:rPr>
                      <w:rFonts w:ascii="Times New Roman" w:hAnsi="Times New Roman" w:cs="Times New Roman"/>
                      <w:b/>
                      <w:bCs/>
                      <w:i/>
                      <w:iCs/>
                      <w:color w:val="000000"/>
                      <w:sz w:val="20"/>
                      <w:szCs w:val="20"/>
                    </w:rPr>
                    <w:t>Cytogenetics</w:t>
                  </w:r>
                  <w:proofErr w:type="spellEnd"/>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0.94</w:t>
                  </w: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 xml:space="preserve">Normal </w:t>
                  </w:r>
                  <w:proofErr w:type="spellStart"/>
                  <w:r w:rsidRPr="00694E72">
                    <w:rPr>
                      <w:rFonts w:ascii="Times New Roman" w:hAnsi="Times New Roman" w:cs="Times New Roman"/>
                      <w:i/>
                      <w:iCs/>
                      <w:color w:val="000000"/>
                      <w:sz w:val="20"/>
                      <w:szCs w:val="20"/>
                    </w:rPr>
                    <w:t>karyotype</w:t>
                  </w:r>
                  <w:proofErr w:type="spellEnd"/>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21</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(80.8)</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(78.3)</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24</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(77.4)</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 xml:space="preserve">Abnormal </w:t>
                  </w:r>
                  <w:proofErr w:type="spellStart"/>
                  <w:r w:rsidRPr="00694E72">
                    <w:rPr>
                      <w:rFonts w:ascii="Times New Roman" w:hAnsi="Times New Roman" w:cs="Times New Roman"/>
                      <w:i/>
                      <w:iCs/>
                      <w:color w:val="000000"/>
                      <w:sz w:val="20"/>
                      <w:szCs w:val="20"/>
                    </w:rPr>
                    <w:t>karyotype</w:t>
                  </w:r>
                  <w:proofErr w:type="spellEnd"/>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(19.2)</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(21.7)</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7</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(22.6)</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b/>
                      <w:bCs/>
                      <w:i/>
                      <w:iCs/>
                      <w:color w:val="000000"/>
                      <w:sz w:val="20"/>
                      <w:szCs w:val="20"/>
                    </w:rPr>
                  </w:pPr>
                  <w:r w:rsidRPr="00694E72">
                    <w:rPr>
                      <w:rFonts w:ascii="Times New Roman" w:hAnsi="Times New Roman" w:cs="Times New Roman"/>
                      <w:b/>
                      <w:bCs/>
                      <w:i/>
                      <w:iCs/>
                      <w:color w:val="000000"/>
                      <w:sz w:val="20"/>
                      <w:szCs w:val="20"/>
                    </w:rPr>
                    <w:t>FLT status</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0.16</w:t>
                  </w: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Wild</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15</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(57.7)</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16</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(69.6)</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18</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(58.1)</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r w:rsidR="00A454BC" w:rsidRPr="00694E72" w:rsidTr="00694E72">
              <w:trPr>
                <w:cantSplit/>
                <w:jc w:val="center"/>
              </w:trPr>
              <w:tc>
                <w:tcPr>
                  <w:tcW w:w="1689"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Mutant</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10</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(38.5)</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6</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(26.1)</w:t>
                  </w:r>
                </w:p>
              </w:tc>
              <w:tc>
                <w:tcPr>
                  <w:tcW w:w="329" w:type="pct"/>
                  <w:tcBorders>
                    <w:righ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12</w:t>
                  </w:r>
                </w:p>
              </w:tc>
              <w:tc>
                <w:tcPr>
                  <w:tcW w:w="554" w:type="pct"/>
                  <w:tcBorders>
                    <w:left w:val="nil"/>
                  </w:tcBorders>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r w:rsidRPr="00694E72">
                    <w:rPr>
                      <w:rFonts w:ascii="Times New Roman" w:hAnsi="Times New Roman" w:cs="Times New Roman"/>
                      <w:i/>
                      <w:iCs/>
                      <w:color w:val="000000"/>
                      <w:sz w:val="20"/>
                      <w:szCs w:val="20"/>
                    </w:rPr>
                    <w:t>(38.7)</w:t>
                  </w:r>
                </w:p>
              </w:tc>
              <w:tc>
                <w:tcPr>
                  <w:tcW w:w="660" w:type="pct"/>
                </w:tcPr>
                <w:p w:rsidR="00A454BC" w:rsidRPr="00694E72" w:rsidRDefault="00A454BC" w:rsidP="00E72B14">
                  <w:pPr>
                    <w:autoSpaceDE w:val="0"/>
                    <w:autoSpaceDN w:val="0"/>
                    <w:adjustRightInd w:val="0"/>
                    <w:snapToGrid w:val="0"/>
                    <w:jc w:val="both"/>
                    <w:rPr>
                      <w:rFonts w:ascii="Times New Roman" w:hAnsi="Times New Roman" w:cs="Times New Roman"/>
                      <w:i/>
                      <w:iCs/>
                      <w:color w:val="000000"/>
                      <w:sz w:val="20"/>
                      <w:szCs w:val="20"/>
                    </w:rPr>
                  </w:pPr>
                </w:p>
              </w:tc>
            </w:tr>
          </w:tbl>
          <w:p w:rsidR="00A454BC" w:rsidRPr="00694E72" w:rsidRDefault="00A454BC" w:rsidP="00E72B14">
            <w:pPr>
              <w:snapToGrid w:val="0"/>
              <w:jc w:val="both"/>
              <w:rPr>
                <w:rFonts w:ascii="Times New Roman" w:hAnsi="Times New Roman" w:cs="Times New Roman"/>
                <w:b/>
                <w:bCs/>
                <w:color w:val="000000"/>
                <w:sz w:val="20"/>
                <w:szCs w:val="20"/>
              </w:rPr>
            </w:pPr>
          </w:p>
        </w:tc>
      </w:tr>
    </w:tbl>
    <w:p w:rsidR="0003397A" w:rsidRPr="00694E72" w:rsidRDefault="0003397A" w:rsidP="00E72B14">
      <w:pPr>
        <w:snapToGrid w:val="0"/>
        <w:spacing w:after="0" w:line="240" w:lineRule="auto"/>
        <w:ind w:firstLine="425"/>
        <w:jc w:val="both"/>
        <w:rPr>
          <w:rFonts w:ascii="Times New Roman" w:hAnsi="Times New Roman" w:cs="Times New Roman"/>
          <w:b/>
          <w:bCs/>
          <w:sz w:val="20"/>
          <w:szCs w:val="20"/>
        </w:rPr>
      </w:pPr>
      <w:r w:rsidRPr="00694E72">
        <w:rPr>
          <w:rFonts w:ascii="Times New Roman" w:hAnsi="Times New Roman" w:cs="Times New Roman"/>
          <w:b/>
          <w:bCs/>
          <w:sz w:val="20"/>
          <w:szCs w:val="20"/>
        </w:rPr>
        <w:t>*Significant P&lt;0.05</w:t>
      </w:r>
    </w:p>
    <w:p w:rsidR="00E72B14" w:rsidRPr="00694E72" w:rsidRDefault="00E72B14" w:rsidP="00E72B14">
      <w:pPr>
        <w:snapToGrid w:val="0"/>
        <w:spacing w:after="0" w:line="240" w:lineRule="auto"/>
        <w:jc w:val="both"/>
        <w:rPr>
          <w:rFonts w:ascii="Times New Roman" w:hAnsi="Times New Roman" w:cs="Times New Roman"/>
          <w:b/>
          <w:bCs/>
          <w:sz w:val="20"/>
          <w:szCs w:val="20"/>
        </w:rPr>
      </w:pPr>
    </w:p>
    <w:p w:rsidR="00E72B14" w:rsidRPr="00694E72" w:rsidRDefault="00E72B14" w:rsidP="00E72B14">
      <w:pPr>
        <w:snapToGrid w:val="0"/>
        <w:spacing w:after="0" w:line="240" w:lineRule="auto"/>
        <w:jc w:val="both"/>
        <w:rPr>
          <w:rFonts w:ascii="Times New Roman" w:hAnsi="Times New Roman" w:cs="Times New Roman"/>
          <w:b/>
          <w:bCs/>
          <w:sz w:val="20"/>
          <w:szCs w:val="20"/>
        </w:rPr>
        <w:sectPr w:rsidR="00E72B14" w:rsidRPr="00694E72" w:rsidSect="007A31B0">
          <w:headerReference w:type="default" r:id="rId14"/>
          <w:footerReference w:type="default" r:id="rId15"/>
          <w:type w:val="continuous"/>
          <w:pgSz w:w="12240" w:h="15840" w:code="1"/>
          <w:pgMar w:top="1440" w:right="1440" w:bottom="1440" w:left="1440" w:header="720" w:footer="720" w:gutter="0"/>
          <w:cols w:space="709"/>
          <w:docGrid w:linePitch="360"/>
        </w:sectPr>
      </w:pPr>
    </w:p>
    <w:p w:rsidR="00E72B14" w:rsidRPr="00694E72" w:rsidRDefault="00E72B14" w:rsidP="00E72B14">
      <w:pPr>
        <w:snapToGrid w:val="0"/>
        <w:spacing w:after="0" w:line="240" w:lineRule="auto"/>
        <w:jc w:val="center"/>
        <w:rPr>
          <w:rFonts w:ascii="Times New Roman" w:hAnsi="Times New Roman" w:cs="Times New Roman"/>
          <w:b/>
          <w:bCs/>
          <w:i/>
          <w:iCs/>
          <w:sz w:val="20"/>
          <w:szCs w:val="20"/>
          <w:lang w:eastAsia="zh-CN"/>
        </w:rPr>
      </w:pPr>
    </w:p>
    <w:p w:rsidR="00E72B14" w:rsidRPr="00694E72" w:rsidRDefault="00E72B14" w:rsidP="00E72B14">
      <w:pPr>
        <w:snapToGrid w:val="0"/>
        <w:spacing w:after="0" w:line="240" w:lineRule="auto"/>
        <w:jc w:val="center"/>
        <w:rPr>
          <w:rFonts w:ascii="Times New Roman" w:hAnsi="Times New Roman" w:cs="Times New Roman"/>
          <w:b/>
          <w:bCs/>
          <w:i/>
          <w:iCs/>
          <w:sz w:val="20"/>
          <w:szCs w:val="20"/>
          <w:lang w:eastAsia="zh-CN"/>
        </w:rPr>
      </w:pPr>
    </w:p>
    <w:p w:rsidR="00E72B14" w:rsidRPr="00694E72" w:rsidRDefault="00E72B14" w:rsidP="00E72B14">
      <w:pPr>
        <w:snapToGrid w:val="0"/>
        <w:spacing w:after="0" w:line="240" w:lineRule="auto"/>
        <w:jc w:val="center"/>
        <w:rPr>
          <w:rFonts w:ascii="Times New Roman" w:hAnsi="Times New Roman" w:cs="Times New Roman"/>
          <w:b/>
          <w:bCs/>
          <w:i/>
          <w:iCs/>
          <w:sz w:val="20"/>
          <w:szCs w:val="20"/>
        </w:rPr>
      </w:pPr>
      <w:r w:rsidRPr="00694E72">
        <w:rPr>
          <w:rFonts w:ascii="Times New Roman" w:hAnsi="Times New Roman" w:cs="Times New Roman"/>
          <w:b/>
          <w:bCs/>
          <w:i/>
          <w:iCs/>
          <w:noProof/>
          <w:sz w:val="20"/>
          <w:szCs w:val="20"/>
          <w:lang w:eastAsia="zh-CN"/>
        </w:rPr>
        <w:drawing>
          <wp:inline distT="0" distB="0" distL="0" distR="0">
            <wp:extent cx="2962821" cy="1979875"/>
            <wp:effectExtent l="19050" t="0" r="8979" b="0"/>
            <wp:docPr id="1" name="Picture 4" descr="C:\Users\asmaa.helal\Desktop\roxane\il-10-819\restriction\c1-c10 , 1-4\c1-c10,1-4.JPG"/>
            <wp:cNvGraphicFramePr/>
            <a:graphic xmlns:a="http://schemas.openxmlformats.org/drawingml/2006/main">
              <a:graphicData uri="http://schemas.openxmlformats.org/drawingml/2006/picture">
                <pic:pic xmlns:pic="http://schemas.openxmlformats.org/drawingml/2006/picture">
                  <pic:nvPicPr>
                    <pic:cNvPr id="7" name="Picture 7" descr="C:\Users\asmaa.helal\Desktop\roxane\il-10-819\restriction\c1-c10 , 1-4\c1-c10,1-4.JPG"/>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6229" r="8439" b="34268"/>
                    <a:stretch/>
                  </pic:blipFill>
                  <pic:spPr bwMode="auto">
                    <a:xfrm>
                      <a:off x="0" y="0"/>
                      <a:ext cx="2962821" cy="19798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72B14" w:rsidRPr="00694E72" w:rsidRDefault="00E72B14" w:rsidP="00E72B14">
      <w:pPr>
        <w:snapToGrid w:val="0"/>
        <w:spacing w:after="0" w:line="240" w:lineRule="auto"/>
        <w:jc w:val="both"/>
        <w:rPr>
          <w:rFonts w:ascii="Times New Roman" w:eastAsiaTheme="majorEastAsia" w:hAnsi="Times New Roman" w:cs="Times New Roman"/>
          <w:sz w:val="20"/>
          <w:szCs w:val="20"/>
          <w:u w:val="single"/>
        </w:rPr>
      </w:pPr>
      <w:r w:rsidRPr="00694E72">
        <w:rPr>
          <w:rFonts w:ascii="Times New Roman" w:hAnsi="Times New Roman" w:cs="Times New Roman"/>
          <w:b/>
          <w:bCs/>
          <w:sz w:val="20"/>
          <w:szCs w:val="20"/>
        </w:rPr>
        <w:t>Figure</w:t>
      </w:r>
      <w:r w:rsidR="00694E72">
        <w:rPr>
          <w:rFonts w:ascii="Times New Roman" w:hAnsi="Times New Roman" w:cs="Times New Roman" w:hint="eastAsia"/>
          <w:b/>
          <w:bCs/>
          <w:sz w:val="20"/>
          <w:szCs w:val="20"/>
          <w:lang w:eastAsia="zh-CN"/>
        </w:rPr>
        <w:t xml:space="preserve"> </w:t>
      </w:r>
      <w:r w:rsidRPr="00694E72">
        <w:rPr>
          <w:rFonts w:ascii="Times New Roman" w:hAnsi="Times New Roman" w:cs="Times New Roman"/>
          <w:b/>
          <w:bCs/>
          <w:sz w:val="20"/>
          <w:szCs w:val="20"/>
        </w:rPr>
        <w:t>1:</w:t>
      </w:r>
      <w:r w:rsidR="00694E72">
        <w:rPr>
          <w:rFonts w:ascii="Times New Roman" w:hAnsi="Times New Roman" w:cs="Times New Roman" w:hint="eastAsia"/>
          <w:b/>
          <w:bCs/>
          <w:sz w:val="20"/>
          <w:szCs w:val="20"/>
          <w:lang w:eastAsia="zh-CN"/>
        </w:rPr>
        <w:t xml:space="preserve"> </w:t>
      </w:r>
      <w:r w:rsidRPr="00694E72">
        <w:rPr>
          <w:rFonts w:ascii="Times New Roman" w:hAnsi="Times New Roman" w:cs="Times New Roman"/>
          <w:b/>
          <w:bCs/>
          <w:sz w:val="20"/>
          <w:szCs w:val="20"/>
        </w:rPr>
        <w:t>Run for PCR Detection of</w:t>
      </w:r>
      <w:r w:rsidR="00694E72">
        <w:rPr>
          <w:rFonts w:ascii="Times New Roman" w:hAnsi="Times New Roman" w:cs="Times New Roman" w:hint="eastAsia"/>
          <w:b/>
          <w:bCs/>
          <w:sz w:val="20"/>
          <w:szCs w:val="20"/>
          <w:lang w:eastAsia="zh-CN"/>
        </w:rPr>
        <w:t xml:space="preserve"> </w:t>
      </w:r>
      <w:r w:rsidRPr="00694E72">
        <w:rPr>
          <w:rFonts w:ascii="Times New Roman" w:hAnsi="Times New Roman" w:cs="Times New Roman"/>
          <w:b/>
          <w:bCs/>
          <w:sz w:val="20"/>
          <w:szCs w:val="20"/>
        </w:rPr>
        <w:t>IL-10 SNPs at -819T/C</w:t>
      </w:r>
    </w:p>
    <w:p w:rsidR="00E72B14" w:rsidRPr="00694E72" w:rsidRDefault="00E72B14" w:rsidP="00E72B14">
      <w:pPr>
        <w:pStyle w:val="NoSpacing"/>
        <w:snapToGrid w:val="0"/>
        <w:jc w:val="both"/>
        <w:rPr>
          <w:rFonts w:ascii="Times New Roman" w:eastAsiaTheme="minorEastAsia" w:hAnsi="Times New Roman" w:cs="Times New Roman"/>
          <w:b/>
          <w:bCs/>
          <w:sz w:val="20"/>
          <w:szCs w:val="20"/>
          <w:lang w:bidi="ar-EG"/>
        </w:rPr>
      </w:pPr>
      <w:r w:rsidRPr="00694E72">
        <w:rPr>
          <w:rFonts w:ascii="Times New Roman" w:eastAsiaTheme="minorEastAsia" w:hAnsi="Times New Roman" w:cs="Times New Roman"/>
          <w:b/>
          <w:bCs/>
          <w:sz w:val="20"/>
          <w:szCs w:val="20"/>
          <w:lang w:bidi="ar-EG"/>
        </w:rPr>
        <w:t>Lane 2, 4, 6, 8, 10:</w:t>
      </w:r>
      <w:r w:rsidR="00694E72" w:rsidRPr="00694E72">
        <w:rPr>
          <w:rFonts w:ascii="Times New Roman" w:eastAsiaTheme="minorEastAsia" w:hAnsi="Times New Roman" w:cs="Times New Roman"/>
          <w:b/>
          <w:bCs/>
          <w:sz w:val="20"/>
          <w:szCs w:val="20"/>
          <w:lang w:bidi="ar-EG"/>
        </w:rPr>
        <w:t xml:space="preserve"> </w:t>
      </w:r>
      <w:r w:rsidRPr="00694E72">
        <w:rPr>
          <w:rFonts w:ascii="Times New Roman" w:eastAsiaTheme="minorEastAsia" w:hAnsi="Times New Roman" w:cs="Times New Roman"/>
          <w:b/>
          <w:bCs/>
          <w:sz w:val="20"/>
          <w:szCs w:val="20"/>
          <w:lang w:bidi="ar-EG"/>
        </w:rPr>
        <w:t>PCR product for IL-10 (209bp).</w:t>
      </w:r>
    </w:p>
    <w:p w:rsidR="00E72B14" w:rsidRPr="00694E72" w:rsidRDefault="00E72B14" w:rsidP="00E72B14">
      <w:pPr>
        <w:snapToGrid w:val="0"/>
        <w:spacing w:after="0" w:line="240" w:lineRule="auto"/>
        <w:jc w:val="both"/>
        <w:rPr>
          <w:rFonts w:ascii="Times New Roman" w:hAnsi="Times New Roman" w:cs="Times New Roman"/>
          <w:b/>
          <w:bCs/>
          <w:sz w:val="20"/>
          <w:szCs w:val="20"/>
          <w:lang w:bidi="ar-EG"/>
        </w:rPr>
      </w:pPr>
      <w:r w:rsidRPr="00694E72">
        <w:rPr>
          <w:rFonts w:ascii="Times New Roman" w:hAnsi="Times New Roman" w:cs="Times New Roman"/>
          <w:b/>
          <w:bCs/>
          <w:sz w:val="20"/>
          <w:szCs w:val="20"/>
          <w:lang w:bidi="ar-EG"/>
        </w:rPr>
        <w:t>Lane 3: C/C genotype (116bp+93bp).</w:t>
      </w:r>
    </w:p>
    <w:p w:rsidR="00E72B14" w:rsidRPr="00694E72" w:rsidRDefault="00E72B14" w:rsidP="00E72B14">
      <w:pPr>
        <w:snapToGrid w:val="0"/>
        <w:spacing w:after="0" w:line="240" w:lineRule="auto"/>
        <w:jc w:val="both"/>
        <w:rPr>
          <w:rFonts w:ascii="Times New Roman" w:hAnsi="Times New Roman" w:cs="Times New Roman"/>
          <w:b/>
          <w:bCs/>
          <w:sz w:val="20"/>
          <w:szCs w:val="20"/>
          <w:lang w:bidi="ar-EG"/>
        </w:rPr>
      </w:pPr>
      <w:r w:rsidRPr="00694E72">
        <w:rPr>
          <w:rFonts w:ascii="Times New Roman" w:hAnsi="Times New Roman" w:cs="Times New Roman"/>
          <w:b/>
          <w:bCs/>
          <w:sz w:val="20"/>
          <w:szCs w:val="20"/>
          <w:lang w:bidi="ar-EG"/>
        </w:rPr>
        <w:t>Lane 5, 7, 11: T/C genotype (209bp+116bp+93bp).</w:t>
      </w:r>
    </w:p>
    <w:p w:rsidR="00E72B14" w:rsidRPr="00694E72" w:rsidRDefault="00E72B14" w:rsidP="00E72B14">
      <w:pPr>
        <w:snapToGrid w:val="0"/>
        <w:spacing w:after="0" w:line="240" w:lineRule="auto"/>
        <w:jc w:val="both"/>
        <w:rPr>
          <w:rFonts w:ascii="Times New Roman" w:hAnsi="Times New Roman" w:cs="Times New Roman"/>
          <w:b/>
          <w:bCs/>
          <w:sz w:val="20"/>
          <w:szCs w:val="20"/>
          <w:lang w:bidi="ar-EG"/>
        </w:rPr>
      </w:pPr>
      <w:r w:rsidRPr="00694E72">
        <w:rPr>
          <w:rFonts w:ascii="Times New Roman" w:hAnsi="Times New Roman" w:cs="Times New Roman"/>
          <w:b/>
          <w:bCs/>
          <w:sz w:val="20"/>
          <w:szCs w:val="20"/>
          <w:lang w:bidi="ar-EG"/>
        </w:rPr>
        <w:t>Lane 9: T/T genotype (209bp).</w:t>
      </w:r>
    </w:p>
    <w:p w:rsidR="00E72B14" w:rsidRPr="00694E72" w:rsidRDefault="00E72B14" w:rsidP="00E72B14">
      <w:pPr>
        <w:snapToGrid w:val="0"/>
        <w:spacing w:after="0" w:line="240" w:lineRule="auto"/>
        <w:jc w:val="both"/>
        <w:rPr>
          <w:rFonts w:ascii="Times New Roman" w:hAnsi="Times New Roman" w:cs="Times New Roman"/>
          <w:b/>
          <w:bCs/>
          <w:i/>
          <w:iCs/>
          <w:sz w:val="20"/>
          <w:szCs w:val="20"/>
        </w:rPr>
      </w:pPr>
    </w:p>
    <w:p w:rsidR="00E72B14" w:rsidRPr="00694E72" w:rsidRDefault="00E72B14" w:rsidP="00E72B14">
      <w:pPr>
        <w:snapToGrid w:val="0"/>
        <w:spacing w:after="0" w:line="240" w:lineRule="auto"/>
        <w:jc w:val="center"/>
        <w:rPr>
          <w:rFonts w:ascii="Times New Roman" w:hAnsi="Times New Roman" w:cs="Times New Roman"/>
          <w:b/>
          <w:bCs/>
          <w:i/>
          <w:iCs/>
          <w:sz w:val="20"/>
          <w:szCs w:val="20"/>
        </w:rPr>
      </w:pPr>
      <w:r w:rsidRPr="00694E72">
        <w:rPr>
          <w:rFonts w:ascii="Times New Roman" w:hAnsi="Times New Roman" w:cs="Times New Roman"/>
          <w:noProof/>
          <w:sz w:val="20"/>
          <w:szCs w:val="20"/>
          <w:lang w:eastAsia="zh-CN"/>
        </w:rPr>
        <w:lastRenderedPageBreak/>
        <w:drawing>
          <wp:inline distT="0" distB="0" distL="0" distR="0">
            <wp:extent cx="3186802" cy="267959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937"/>
                    <a:stretch>
                      <a:fillRect/>
                    </a:stretch>
                  </pic:blipFill>
                  <pic:spPr bwMode="auto">
                    <a:xfrm>
                      <a:off x="0" y="0"/>
                      <a:ext cx="3186802" cy="2679590"/>
                    </a:xfrm>
                    <a:prstGeom prst="rect">
                      <a:avLst/>
                    </a:prstGeom>
                    <a:noFill/>
                    <a:ln>
                      <a:noFill/>
                    </a:ln>
                  </pic:spPr>
                </pic:pic>
              </a:graphicData>
            </a:graphic>
          </wp:inline>
        </w:drawing>
      </w:r>
    </w:p>
    <w:p w:rsidR="00E72B14" w:rsidRPr="00694E72" w:rsidRDefault="00E72B14" w:rsidP="00E72B14">
      <w:pPr>
        <w:autoSpaceDE w:val="0"/>
        <w:autoSpaceDN w:val="0"/>
        <w:adjustRightInd w:val="0"/>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t>Figure</w:t>
      </w:r>
      <w:r w:rsidR="00694E72">
        <w:rPr>
          <w:rFonts w:ascii="Times New Roman" w:hAnsi="Times New Roman" w:cs="Times New Roman" w:hint="eastAsia"/>
          <w:b/>
          <w:bCs/>
          <w:sz w:val="20"/>
          <w:szCs w:val="20"/>
          <w:lang w:eastAsia="zh-CN"/>
        </w:rPr>
        <w:t xml:space="preserve"> </w:t>
      </w:r>
      <w:r w:rsidRPr="00694E72">
        <w:rPr>
          <w:rFonts w:ascii="Times New Roman" w:hAnsi="Times New Roman" w:cs="Times New Roman"/>
          <w:b/>
          <w:bCs/>
          <w:sz w:val="20"/>
          <w:szCs w:val="20"/>
        </w:rPr>
        <w:t>2: PFS of patients according to IL-10 phenotype</w:t>
      </w:r>
    </w:p>
    <w:p w:rsidR="00E72B14" w:rsidRPr="00694E72" w:rsidRDefault="00E72B14" w:rsidP="00E72B14">
      <w:pPr>
        <w:snapToGrid w:val="0"/>
        <w:spacing w:after="0" w:line="240" w:lineRule="auto"/>
        <w:jc w:val="both"/>
        <w:rPr>
          <w:rFonts w:ascii="Times New Roman" w:hAnsi="Times New Roman" w:cs="Times New Roman"/>
          <w:b/>
          <w:bCs/>
          <w:i/>
          <w:iCs/>
          <w:sz w:val="20"/>
          <w:szCs w:val="20"/>
        </w:rPr>
      </w:pPr>
    </w:p>
    <w:p w:rsidR="00E72B14" w:rsidRPr="00694E72" w:rsidRDefault="00E72B14" w:rsidP="00E72B14">
      <w:pPr>
        <w:snapToGrid w:val="0"/>
        <w:spacing w:after="0" w:line="240" w:lineRule="auto"/>
        <w:jc w:val="center"/>
        <w:rPr>
          <w:rFonts w:ascii="Times New Roman" w:hAnsi="Times New Roman" w:cs="Times New Roman"/>
          <w:b/>
          <w:bCs/>
          <w:i/>
          <w:iCs/>
          <w:sz w:val="20"/>
          <w:szCs w:val="20"/>
        </w:rPr>
      </w:pPr>
      <w:r w:rsidRPr="00694E72">
        <w:rPr>
          <w:rFonts w:ascii="Times New Roman" w:hAnsi="Times New Roman" w:cs="Times New Roman"/>
          <w:noProof/>
          <w:sz w:val="20"/>
          <w:szCs w:val="20"/>
          <w:lang w:eastAsia="zh-CN"/>
        </w:rPr>
        <w:lastRenderedPageBreak/>
        <w:drawing>
          <wp:inline distT="0" distB="0" distL="0" distR="0">
            <wp:extent cx="3002446" cy="2542172"/>
            <wp:effectExtent l="19050" t="0" r="7454"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572"/>
                    <a:stretch>
                      <a:fillRect/>
                    </a:stretch>
                  </pic:blipFill>
                  <pic:spPr bwMode="auto">
                    <a:xfrm>
                      <a:off x="0" y="0"/>
                      <a:ext cx="3005093" cy="2544413"/>
                    </a:xfrm>
                    <a:prstGeom prst="rect">
                      <a:avLst/>
                    </a:prstGeom>
                    <a:noFill/>
                    <a:ln>
                      <a:noFill/>
                    </a:ln>
                  </pic:spPr>
                </pic:pic>
              </a:graphicData>
            </a:graphic>
          </wp:inline>
        </w:drawing>
      </w:r>
    </w:p>
    <w:p w:rsidR="00E72B14" w:rsidRPr="00694E72" w:rsidRDefault="00E72B14" w:rsidP="00E72B14">
      <w:pPr>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t>Figure 3: OS of patients according to IL-10 phenotype</w:t>
      </w:r>
    </w:p>
    <w:p w:rsidR="00E72B14" w:rsidRPr="00694E72" w:rsidRDefault="00E72B14" w:rsidP="00E72B14">
      <w:pPr>
        <w:snapToGrid w:val="0"/>
        <w:spacing w:after="0" w:line="240" w:lineRule="auto"/>
        <w:jc w:val="both"/>
        <w:rPr>
          <w:rFonts w:ascii="Times New Roman" w:hAnsi="Times New Roman" w:cs="Times New Roman"/>
          <w:b/>
          <w:bCs/>
          <w:sz w:val="20"/>
          <w:szCs w:val="20"/>
          <w:lang w:eastAsia="zh-CN"/>
        </w:rPr>
      </w:pPr>
    </w:p>
    <w:p w:rsidR="00D30773" w:rsidRPr="00694E72" w:rsidRDefault="00ED517C" w:rsidP="00E72B14">
      <w:pPr>
        <w:snapToGrid w:val="0"/>
        <w:spacing w:after="0" w:line="240" w:lineRule="auto"/>
        <w:jc w:val="both"/>
        <w:rPr>
          <w:rFonts w:ascii="Times New Roman" w:hAnsi="Times New Roman" w:cs="Times New Roman"/>
          <w:b/>
          <w:bCs/>
          <w:sz w:val="20"/>
          <w:szCs w:val="20"/>
        </w:rPr>
      </w:pPr>
      <w:r w:rsidRPr="00694E72">
        <w:rPr>
          <w:rFonts w:ascii="Times New Roman" w:hAnsi="Times New Roman" w:cs="Times New Roman"/>
          <w:b/>
          <w:bCs/>
          <w:sz w:val="20"/>
          <w:szCs w:val="20"/>
        </w:rPr>
        <w:t xml:space="preserve">4. </w:t>
      </w:r>
      <w:r w:rsidR="00D30773" w:rsidRPr="00694E72">
        <w:rPr>
          <w:rFonts w:ascii="Times New Roman" w:hAnsi="Times New Roman" w:cs="Times New Roman"/>
          <w:b/>
          <w:bCs/>
          <w:sz w:val="20"/>
          <w:szCs w:val="20"/>
        </w:rPr>
        <w:t>Discussion:</w:t>
      </w:r>
    </w:p>
    <w:p w:rsidR="00D30773" w:rsidRPr="00694E72" w:rsidRDefault="00D30773" w:rsidP="00E72B14">
      <w:pPr>
        <w:pStyle w:val="Default"/>
        <w:snapToGrid w:val="0"/>
        <w:ind w:firstLine="425"/>
        <w:jc w:val="both"/>
        <w:rPr>
          <w:rFonts w:ascii="Times New Roman" w:hAnsi="Times New Roman" w:cs="Times New Roman"/>
          <w:b/>
          <w:bCs/>
          <w:sz w:val="20"/>
          <w:szCs w:val="20"/>
        </w:rPr>
      </w:pPr>
      <w:r w:rsidRPr="00694E72">
        <w:rPr>
          <w:rFonts w:ascii="Times New Roman" w:hAnsi="Times New Roman" w:cs="Times New Roman"/>
          <w:sz w:val="20"/>
          <w:szCs w:val="20"/>
        </w:rPr>
        <w:t xml:space="preserve">IL-10 is an important immune-regulatory cytokine which is produced by activated T </w:t>
      </w:r>
      <w:r w:rsidR="00CD3525" w:rsidRPr="00694E72">
        <w:rPr>
          <w:rFonts w:ascii="Times New Roman" w:hAnsi="Times New Roman" w:cs="Times New Roman"/>
          <w:sz w:val="20"/>
          <w:szCs w:val="20"/>
        </w:rPr>
        <w:t xml:space="preserve">cells, </w:t>
      </w:r>
      <w:proofErr w:type="spellStart"/>
      <w:r w:rsidR="00CD3525" w:rsidRPr="00694E72">
        <w:rPr>
          <w:rFonts w:ascii="Times New Roman" w:hAnsi="Times New Roman" w:cs="Times New Roman"/>
          <w:sz w:val="20"/>
          <w:szCs w:val="20"/>
        </w:rPr>
        <w:t>monocytes</w:t>
      </w:r>
      <w:proofErr w:type="spellEnd"/>
      <w:r w:rsidR="00CD3525" w:rsidRPr="00694E72">
        <w:rPr>
          <w:rFonts w:ascii="Times New Roman" w:hAnsi="Times New Roman" w:cs="Times New Roman"/>
          <w:sz w:val="20"/>
          <w:szCs w:val="20"/>
        </w:rPr>
        <w:t xml:space="preserve">, B cells, and </w:t>
      </w:r>
      <w:proofErr w:type="spellStart"/>
      <w:r w:rsidR="00CD3525" w:rsidRPr="00694E72">
        <w:rPr>
          <w:rFonts w:ascii="Times New Roman" w:hAnsi="Times New Roman" w:cs="Times New Roman"/>
          <w:sz w:val="20"/>
          <w:szCs w:val="20"/>
        </w:rPr>
        <w:t>t</w:t>
      </w:r>
      <w:r w:rsidRPr="00694E72">
        <w:rPr>
          <w:rFonts w:ascii="Times New Roman" w:hAnsi="Times New Roman" w:cs="Times New Roman"/>
          <w:sz w:val="20"/>
          <w:szCs w:val="20"/>
        </w:rPr>
        <w:t>hymocytes</w:t>
      </w:r>
      <w:proofErr w:type="spellEnd"/>
      <w:r w:rsidRPr="00694E72">
        <w:rPr>
          <w:rFonts w:ascii="Times New Roman" w:hAnsi="Times New Roman" w:cs="Times New Roman"/>
          <w:sz w:val="20"/>
          <w:szCs w:val="20"/>
        </w:rPr>
        <w:t>.</w:t>
      </w:r>
      <w:r w:rsidR="00694E72" w:rsidRPr="00694E72">
        <w:rPr>
          <w:rFonts w:ascii="Times New Roman" w:hAnsi="Times New Roman" w:cs="Times New Roman"/>
          <w:sz w:val="20"/>
          <w:szCs w:val="20"/>
        </w:rPr>
        <w:t xml:space="preserve"> </w:t>
      </w:r>
      <w:r w:rsidRPr="00694E72">
        <w:rPr>
          <w:rFonts w:ascii="Times New Roman" w:hAnsi="Times New Roman" w:cs="Times New Roman"/>
          <w:sz w:val="20"/>
          <w:szCs w:val="20"/>
        </w:rPr>
        <w:t xml:space="preserve">IL-10 has immune-stimulating and </w:t>
      </w:r>
      <w:proofErr w:type="spellStart"/>
      <w:r w:rsidRPr="00694E72">
        <w:rPr>
          <w:rFonts w:ascii="Times New Roman" w:hAnsi="Times New Roman" w:cs="Times New Roman"/>
          <w:sz w:val="20"/>
          <w:szCs w:val="20"/>
        </w:rPr>
        <w:t>immuno</w:t>
      </w:r>
      <w:proofErr w:type="spellEnd"/>
      <w:r w:rsidRPr="00694E72">
        <w:rPr>
          <w:rFonts w:ascii="Times New Roman" w:hAnsi="Times New Roman" w:cs="Times New Roman"/>
          <w:sz w:val="20"/>
          <w:szCs w:val="20"/>
        </w:rPr>
        <w:t>-suppressive functions and may regulate tumor susceptibility and development</w:t>
      </w:r>
      <w:r w:rsidR="002C7AEE" w:rsidRPr="00694E72">
        <w:rPr>
          <w:rFonts w:ascii="Times New Roman" w:hAnsi="Times New Roman" w:cs="Times New Roman"/>
          <w:sz w:val="20"/>
          <w:szCs w:val="20"/>
        </w:rPr>
        <w:t>.</w:t>
      </w:r>
      <w:r w:rsidR="00D3279F" w:rsidRPr="00694E72">
        <w:rPr>
          <w:rFonts w:ascii="Times New Roman" w:hAnsi="Times New Roman" w:cs="Times New Roman"/>
          <w:b/>
          <w:bCs/>
          <w:sz w:val="20"/>
          <w:szCs w:val="20"/>
        </w:rPr>
        <w:t>[20</w:t>
      </w:r>
      <w:r w:rsidR="00B6405E" w:rsidRPr="00694E72">
        <w:rPr>
          <w:rFonts w:ascii="Times New Roman" w:hAnsi="Times New Roman" w:cs="Times New Roman"/>
          <w:b/>
          <w:bCs/>
          <w:sz w:val="20"/>
          <w:szCs w:val="20"/>
        </w:rPr>
        <w:t xml:space="preserve">, </w:t>
      </w:r>
      <w:r w:rsidR="00D3279F" w:rsidRPr="00694E72">
        <w:rPr>
          <w:rFonts w:ascii="Times New Roman" w:hAnsi="Times New Roman" w:cs="Times New Roman"/>
          <w:b/>
          <w:bCs/>
          <w:sz w:val="20"/>
          <w:szCs w:val="20"/>
        </w:rPr>
        <w:t>21</w:t>
      </w:r>
      <w:r w:rsidR="002C7AEE" w:rsidRPr="00694E72">
        <w:rPr>
          <w:rFonts w:ascii="Times New Roman" w:hAnsi="Times New Roman" w:cs="Times New Roman"/>
          <w:b/>
          <w:bCs/>
          <w:sz w:val="20"/>
          <w:szCs w:val="20"/>
        </w:rPr>
        <w:t>]</w:t>
      </w:r>
    </w:p>
    <w:p w:rsidR="00D30773" w:rsidRPr="00694E72" w:rsidRDefault="00D30773" w:rsidP="00E72B14">
      <w:pPr>
        <w:snapToGrid w:val="0"/>
        <w:spacing w:after="0" w:line="240" w:lineRule="auto"/>
        <w:ind w:firstLine="425"/>
        <w:jc w:val="both"/>
        <w:rPr>
          <w:rFonts w:ascii="Times New Roman" w:hAnsi="Times New Roman" w:cs="Times New Roman"/>
          <w:b/>
          <w:bCs/>
          <w:sz w:val="20"/>
          <w:szCs w:val="20"/>
        </w:rPr>
      </w:pPr>
      <w:r w:rsidRPr="00694E72">
        <w:rPr>
          <w:rFonts w:ascii="Times New Roman" w:hAnsi="Times New Roman" w:cs="Times New Roman"/>
          <w:color w:val="000000"/>
          <w:sz w:val="20"/>
          <w:szCs w:val="20"/>
        </w:rPr>
        <w:t>Polymorphisms in the promoter region ofIL-10 gene</w:t>
      </w:r>
      <w:r w:rsidRPr="00694E72">
        <w:rPr>
          <w:rFonts w:ascii="Times New Roman" w:hAnsi="Times New Roman" w:cs="Times New Roman"/>
          <w:sz w:val="20"/>
          <w:szCs w:val="20"/>
        </w:rPr>
        <w:t xml:space="preserve"> was associated with cancer susceptibility</w:t>
      </w:r>
      <w:r w:rsidR="00CD3525" w:rsidRPr="00694E72">
        <w:rPr>
          <w:rFonts w:ascii="Times New Roman" w:hAnsi="Times New Roman" w:cs="Times New Roman"/>
          <w:sz w:val="20"/>
          <w:szCs w:val="20"/>
        </w:rPr>
        <w:t>,</w:t>
      </w:r>
      <w:r w:rsidR="00694E72">
        <w:rPr>
          <w:rFonts w:ascii="Times New Roman" w:hAnsi="Times New Roman" w:cs="Times New Roman" w:hint="eastAsia"/>
          <w:sz w:val="20"/>
          <w:szCs w:val="20"/>
          <w:lang w:eastAsia="zh-CN"/>
        </w:rPr>
        <w:t xml:space="preserve"> </w:t>
      </w:r>
      <w:r w:rsidRPr="00694E72">
        <w:rPr>
          <w:rFonts w:ascii="Times New Roman" w:hAnsi="Times New Roman" w:cs="Times New Roman"/>
          <w:sz w:val="20"/>
          <w:szCs w:val="20"/>
        </w:rPr>
        <w:t>affected the severity, progress of the disease and the IL-10 expression level</w:t>
      </w:r>
      <w:r w:rsidR="002C7AEE" w:rsidRPr="00694E72">
        <w:rPr>
          <w:rFonts w:ascii="Times New Roman" w:hAnsi="Times New Roman" w:cs="Times New Roman"/>
          <w:sz w:val="20"/>
          <w:szCs w:val="20"/>
        </w:rPr>
        <w:t>.</w:t>
      </w:r>
      <w:r w:rsidR="004612AD" w:rsidRPr="00694E72">
        <w:rPr>
          <w:rFonts w:ascii="Times New Roman" w:hAnsi="Times New Roman" w:cs="Times New Roman"/>
          <w:b/>
          <w:bCs/>
          <w:sz w:val="20"/>
          <w:szCs w:val="20"/>
        </w:rPr>
        <w:t>[6</w:t>
      </w:r>
      <w:r w:rsidR="00D3279F" w:rsidRPr="00694E72">
        <w:rPr>
          <w:rFonts w:ascii="Times New Roman" w:hAnsi="Times New Roman" w:cs="Times New Roman"/>
          <w:b/>
          <w:bCs/>
          <w:sz w:val="20"/>
          <w:szCs w:val="20"/>
        </w:rPr>
        <w:t>, 22</w:t>
      </w:r>
      <w:r w:rsidR="0097201E" w:rsidRPr="00694E72">
        <w:rPr>
          <w:rFonts w:ascii="Times New Roman" w:hAnsi="Times New Roman" w:cs="Times New Roman"/>
          <w:b/>
          <w:bCs/>
          <w:sz w:val="20"/>
          <w:szCs w:val="20"/>
        </w:rPr>
        <w:t>,</w:t>
      </w:r>
      <w:r w:rsidR="00D3279F" w:rsidRPr="00694E72">
        <w:rPr>
          <w:rFonts w:ascii="Times New Roman" w:hAnsi="Times New Roman" w:cs="Times New Roman"/>
          <w:b/>
          <w:bCs/>
          <w:sz w:val="20"/>
          <w:szCs w:val="20"/>
        </w:rPr>
        <w:t>23</w:t>
      </w:r>
      <w:r w:rsidR="002C7AEE" w:rsidRPr="00694E72">
        <w:rPr>
          <w:rFonts w:ascii="Times New Roman" w:hAnsi="Times New Roman" w:cs="Times New Roman"/>
          <w:b/>
          <w:bCs/>
          <w:sz w:val="20"/>
          <w:szCs w:val="20"/>
        </w:rPr>
        <w:t>]</w:t>
      </w:r>
    </w:p>
    <w:p w:rsidR="00D30773" w:rsidRPr="00694E72" w:rsidRDefault="00D30773" w:rsidP="00E72B14">
      <w:pPr>
        <w:snapToGrid w:val="0"/>
        <w:spacing w:after="0" w:line="240" w:lineRule="auto"/>
        <w:ind w:firstLine="425"/>
        <w:jc w:val="both"/>
        <w:rPr>
          <w:rFonts w:ascii="Times New Roman" w:hAnsi="Times New Roman" w:cs="Times New Roman"/>
          <w:b/>
          <w:bCs/>
          <w:color w:val="000000"/>
          <w:sz w:val="20"/>
          <w:szCs w:val="20"/>
          <w:highlight w:val="yellow"/>
        </w:rPr>
      </w:pPr>
      <w:proofErr w:type="spellStart"/>
      <w:r w:rsidRPr="00694E72">
        <w:rPr>
          <w:rFonts w:ascii="Times New Roman" w:hAnsi="Times New Roman" w:cs="Times New Roman"/>
          <w:sz w:val="20"/>
          <w:szCs w:val="20"/>
        </w:rPr>
        <w:t>SNPs</w:t>
      </w:r>
      <w:proofErr w:type="spellEnd"/>
      <w:r w:rsidRPr="00694E72">
        <w:rPr>
          <w:rFonts w:ascii="Times New Roman" w:hAnsi="Times New Roman" w:cs="Times New Roman"/>
          <w:sz w:val="20"/>
          <w:szCs w:val="20"/>
        </w:rPr>
        <w:t xml:space="preserve"> at</w:t>
      </w:r>
      <w:r w:rsidR="00D172EA" w:rsidRPr="00694E72">
        <w:rPr>
          <w:rFonts w:ascii="Times New Roman" w:hAnsi="Times New Roman" w:cs="Times New Roman"/>
          <w:sz w:val="20"/>
          <w:szCs w:val="20"/>
        </w:rPr>
        <w:t xml:space="preserve">-819 </w:t>
      </w:r>
      <w:r w:rsidR="00EC4441" w:rsidRPr="00694E72">
        <w:rPr>
          <w:rFonts w:ascii="Times New Roman" w:hAnsi="Times New Roman" w:cs="Times New Roman"/>
          <w:sz w:val="20"/>
          <w:szCs w:val="20"/>
        </w:rPr>
        <w:t>T/</w:t>
      </w:r>
      <w:proofErr w:type="spellStart"/>
      <w:r w:rsidR="00EC4441" w:rsidRPr="00694E72">
        <w:rPr>
          <w:rFonts w:ascii="Times New Roman" w:hAnsi="Times New Roman" w:cs="Times New Roman"/>
          <w:sz w:val="20"/>
          <w:szCs w:val="20"/>
        </w:rPr>
        <w:t>C</w:t>
      </w:r>
      <w:r w:rsidR="00EE1A88" w:rsidRPr="00694E72">
        <w:rPr>
          <w:rFonts w:ascii="Times New Roman" w:hAnsi="Times New Roman" w:cs="Times New Roman"/>
          <w:sz w:val="20"/>
          <w:szCs w:val="20"/>
        </w:rPr>
        <w:t>U</w:t>
      </w:r>
      <w:r w:rsidRPr="00694E72">
        <w:rPr>
          <w:rFonts w:ascii="Times New Roman" w:hAnsi="Times New Roman" w:cs="Times New Roman"/>
          <w:sz w:val="20"/>
          <w:szCs w:val="20"/>
        </w:rPr>
        <w:t>pstream</w:t>
      </w:r>
      <w:proofErr w:type="spellEnd"/>
      <w:r w:rsidRPr="00694E72">
        <w:rPr>
          <w:rFonts w:ascii="Times New Roman" w:hAnsi="Times New Roman" w:cs="Times New Roman"/>
          <w:sz w:val="20"/>
          <w:szCs w:val="20"/>
        </w:rPr>
        <w:t xml:space="preserve"> of the tra</w:t>
      </w:r>
      <w:r w:rsidR="007D7AD2" w:rsidRPr="00694E72">
        <w:rPr>
          <w:rFonts w:ascii="Times New Roman" w:hAnsi="Times New Roman" w:cs="Times New Roman"/>
          <w:sz w:val="20"/>
          <w:szCs w:val="20"/>
        </w:rPr>
        <w:t xml:space="preserve">nscription start site has been </w:t>
      </w:r>
      <w:r w:rsidRPr="00694E72">
        <w:rPr>
          <w:rFonts w:ascii="Times New Roman" w:hAnsi="Times New Roman" w:cs="Times New Roman"/>
          <w:sz w:val="20"/>
          <w:szCs w:val="20"/>
        </w:rPr>
        <w:t xml:space="preserve">identified and become the research focus in genetic susceptibility </w:t>
      </w:r>
      <w:r w:rsidR="007D7AD2" w:rsidRPr="00694E72">
        <w:rPr>
          <w:rFonts w:ascii="Times New Roman" w:hAnsi="Times New Roman" w:cs="Times New Roman"/>
          <w:sz w:val="20"/>
          <w:szCs w:val="20"/>
        </w:rPr>
        <w:t xml:space="preserve">of cancer </w:t>
      </w:r>
      <w:r w:rsidR="00D172EA" w:rsidRPr="00694E72">
        <w:rPr>
          <w:rFonts w:ascii="Times New Roman" w:hAnsi="Times New Roman" w:cs="Times New Roman"/>
          <w:sz w:val="20"/>
          <w:szCs w:val="20"/>
        </w:rPr>
        <w:t>in the recent 10 years</w:t>
      </w:r>
      <w:r w:rsidR="002C7AEE" w:rsidRPr="00694E72">
        <w:rPr>
          <w:rFonts w:ascii="Times New Roman" w:hAnsi="Times New Roman" w:cs="Times New Roman"/>
          <w:sz w:val="20"/>
          <w:szCs w:val="20"/>
        </w:rPr>
        <w:t>.</w:t>
      </w:r>
      <w:r w:rsidR="00D3279F" w:rsidRPr="00694E72">
        <w:rPr>
          <w:rFonts w:ascii="Times New Roman" w:hAnsi="Times New Roman" w:cs="Times New Roman"/>
          <w:b/>
          <w:bCs/>
          <w:sz w:val="20"/>
          <w:szCs w:val="20"/>
        </w:rPr>
        <w:t>[24</w:t>
      </w:r>
      <w:r w:rsidR="002C7AEE" w:rsidRPr="00694E72">
        <w:rPr>
          <w:rFonts w:ascii="Times New Roman" w:hAnsi="Times New Roman" w:cs="Times New Roman"/>
          <w:b/>
          <w:bCs/>
          <w:sz w:val="20"/>
          <w:szCs w:val="20"/>
        </w:rPr>
        <w:t>]</w:t>
      </w:r>
    </w:p>
    <w:p w:rsidR="00D30773" w:rsidRPr="00694E72" w:rsidRDefault="00F73727" w:rsidP="00E72B14">
      <w:pPr>
        <w:pStyle w:val="Default"/>
        <w:snapToGrid w:val="0"/>
        <w:ind w:firstLine="425"/>
        <w:jc w:val="both"/>
        <w:rPr>
          <w:rFonts w:ascii="Times New Roman" w:hAnsi="Times New Roman" w:cs="Times New Roman"/>
          <w:b/>
          <w:bCs/>
          <w:sz w:val="20"/>
          <w:szCs w:val="20"/>
        </w:rPr>
      </w:pPr>
      <w:r>
        <w:rPr>
          <w:rFonts w:ascii="Times New Roman" w:hAnsi="Times New Roman" w:cs="Times New Roman"/>
          <w:sz w:val="20"/>
          <w:szCs w:val="20"/>
        </w:rPr>
        <w:t>Pre</w:t>
      </w:r>
      <w:r w:rsidR="00D30773" w:rsidRPr="00694E72">
        <w:rPr>
          <w:rFonts w:ascii="Times New Roman" w:hAnsi="Times New Roman" w:cs="Times New Roman"/>
          <w:sz w:val="20"/>
          <w:szCs w:val="20"/>
        </w:rPr>
        <w:t xml:space="preserve">vious studies revealed that IL-10 polymorphisms are associated with many cancers such as gastric cancer, lung cancer, head and neck </w:t>
      </w:r>
      <w:proofErr w:type="spellStart"/>
      <w:r w:rsidR="00D30773" w:rsidRPr="00694E72">
        <w:rPr>
          <w:rFonts w:ascii="Times New Roman" w:hAnsi="Times New Roman" w:cs="Times New Roman"/>
          <w:sz w:val="20"/>
          <w:szCs w:val="20"/>
        </w:rPr>
        <w:t>squamous</w:t>
      </w:r>
      <w:proofErr w:type="spellEnd"/>
      <w:r w:rsidR="00D30773" w:rsidRPr="00694E72">
        <w:rPr>
          <w:rFonts w:ascii="Times New Roman" w:hAnsi="Times New Roman" w:cs="Times New Roman"/>
          <w:sz w:val="20"/>
          <w:szCs w:val="20"/>
        </w:rPr>
        <w:t xml:space="preserve"> cell carcinoma, oral cancer, cervical cancer, and prostate cancer</w:t>
      </w:r>
      <w:r w:rsidR="002C7AEE" w:rsidRPr="00694E72">
        <w:rPr>
          <w:rFonts w:ascii="Times New Roman" w:hAnsi="Times New Roman" w:cs="Times New Roman"/>
          <w:sz w:val="20"/>
          <w:szCs w:val="20"/>
        </w:rPr>
        <w:t>.</w:t>
      </w:r>
      <w:r w:rsidR="00D30773" w:rsidRPr="00694E72">
        <w:rPr>
          <w:rFonts w:ascii="Times New Roman" w:hAnsi="Times New Roman" w:cs="Times New Roman"/>
          <w:b/>
          <w:bCs/>
          <w:sz w:val="20"/>
          <w:szCs w:val="20"/>
        </w:rPr>
        <w:t>[</w:t>
      </w:r>
      <w:r w:rsidR="00D3279F" w:rsidRPr="00694E72">
        <w:rPr>
          <w:rFonts w:ascii="Times New Roman" w:hAnsi="Times New Roman" w:cs="Times New Roman"/>
          <w:b/>
          <w:bCs/>
          <w:sz w:val="20"/>
          <w:szCs w:val="20"/>
        </w:rPr>
        <w:t>5</w:t>
      </w:r>
      <w:r w:rsidR="00D30773" w:rsidRPr="00694E72">
        <w:rPr>
          <w:rFonts w:ascii="Times New Roman" w:hAnsi="Times New Roman" w:cs="Times New Roman"/>
          <w:b/>
          <w:bCs/>
          <w:sz w:val="20"/>
          <w:szCs w:val="20"/>
        </w:rPr>
        <w:t>,</w:t>
      </w:r>
      <w:r w:rsidR="00AC1118" w:rsidRPr="00694E72">
        <w:rPr>
          <w:rFonts w:ascii="Times New Roman" w:hAnsi="Times New Roman" w:cs="Times New Roman"/>
          <w:b/>
          <w:bCs/>
          <w:sz w:val="20"/>
          <w:szCs w:val="20"/>
        </w:rPr>
        <w:t xml:space="preserve"> 2</w:t>
      </w:r>
      <w:r w:rsidR="00D30773" w:rsidRPr="00694E72">
        <w:rPr>
          <w:rFonts w:ascii="Times New Roman" w:hAnsi="Times New Roman" w:cs="Times New Roman"/>
          <w:b/>
          <w:bCs/>
          <w:sz w:val="20"/>
          <w:szCs w:val="20"/>
        </w:rPr>
        <w:t>5</w:t>
      </w:r>
      <w:r w:rsidR="00AC1118" w:rsidRPr="00694E72">
        <w:rPr>
          <w:rFonts w:ascii="Times New Roman" w:hAnsi="Times New Roman" w:cs="Times New Roman"/>
          <w:b/>
          <w:bCs/>
          <w:sz w:val="20"/>
          <w:szCs w:val="20"/>
        </w:rPr>
        <w:t xml:space="preserve"> - </w:t>
      </w:r>
      <w:r w:rsidR="00D3279F" w:rsidRPr="00694E72">
        <w:rPr>
          <w:rFonts w:ascii="Times New Roman" w:hAnsi="Times New Roman" w:cs="Times New Roman"/>
          <w:b/>
          <w:bCs/>
          <w:sz w:val="20"/>
          <w:szCs w:val="20"/>
        </w:rPr>
        <w:t>27</w:t>
      </w:r>
      <w:r w:rsidR="002C7AEE" w:rsidRPr="00694E72">
        <w:rPr>
          <w:rFonts w:ascii="Times New Roman" w:hAnsi="Times New Roman" w:cs="Times New Roman"/>
          <w:b/>
          <w:bCs/>
          <w:sz w:val="20"/>
          <w:szCs w:val="20"/>
        </w:rPr>
        <w:t>]</w:t>
      </w:r>
      <w:r w:rsidR="00694E72">
        <w:rPr>
          <w:rFonts w:ascii="Times New Roman" w:hAnsi="Times New Roman" w:cs="Times New Roman" w:hint="eastAsia"/>
          <w:b/>
          <w:bCs/>
          <w:sz w:val="20"/>
          <w:szCs w:val="20"/>
          <w:lang w:eastAsia="zh-CN"/>
        </w:rPr>
        <w:t xml:space="preserve"> </w:t>
      </w:r>
      <w:r w:rsidR="00C37E32" w:rsidRPr="00694E72">
        <w:rPr>
          <w:rFonts w:ascii="Times New Roman" w:hAnsi="Times New Roman" w:cs="Times New Roman"/>
          <w:sz w:val="20"/>
          <w:szCs w:val="20"/>
        </w:rPr>
        <w:t xml:space="preserve">Others </w:t>
      </w:r>
      <w:r w:rsidR="00D30773" w:rsidRPr="00694E72">
        <w:rPr>
          <w:rFonts w:ascii="Times New Roman" w:hAnsi="Times New Roman" w:cs="Times New Roman"/>
          <w:sz w:val="20"/>
          <w:szCs w:val="20"/>
        </w:rPr>
        <w:t>found that IL-10 SNP was associated with the non-Hodgkin’s lymphoma</w:t>
      </w:r>
      <w:r w:rsidR="002C7AEE" w:rsidRPr="00694E72">
        <w:rPr>
          <w:rFonts w:ascii="Times New Roman" w:hAnsi="Times New Roman" w:cs="Times New Roman"/>
          <w:sz w:val="20"/>
          <w:szCs w:val="20"/>
        </w:rPr>
        <w:t>.</w:t>
      </w:r>
      <w:r w:rsidR="00D3279F" w:rsidRPr="00694E72">
        <w:rPr>
          <w:rFonts w:ascii="Times New Roman" w:hAnsi="Times New Roman" w:cs="Times New Roman"/>
          <w:b/>
          <w:bCs/>
          <w:sz w:val="20"/>
          <w:szCs w:val="20"/>
        </w:rPr>
        <w:t>[24</w:t>
      </w:r>
      <w:r w:rsidR="00D30773" w:rsidRPr="00694E72">
        <w:rPr>
          <w:rFonts w:ascii="Times New Roman" w:hAnsi="Times New Roman" w:cs="Times New Roman"/>
          <w:b/>
          <w:bCs/>
          <w:sz w:val="20"/>
          <w:szCs w:val="20"/>
        </w:rPr>
        <w:t xml:space="preserve">, </w:t>
      </w:r>
      <w:r w:rsidR="00D3279F" w:rsidRPr="00694E72">
        <w:rPr>
          <w:rFonts w:ascii="Times New Roman" w:hAnsi="Times New Roman" w:cs="Times New Roman"/>
          <w:b/>
          <w:bCs/>
          <w:sz w:val="20"/>
          <w:szCs w:val="20"/>
        </w:rPr>
        <w:t>28</w:t>
      </w:r>
      <w:r w:rsidR="002C7AEE" w:rsidRPr="00694E72">
        <w:rPr>
          <w:rFonts w:ascii="Times New Roman" w:hAnsi="Times New Roman" w:cs="Times New Roman"/>
          <w:b/>
          <w:bCs/>
          <w:sz w:val="20"/>
          <w:szCs w:val="20"/>
        </w:rPr>
        <w:t>]</w:t>
      </w:r>
    </w:p>
    <w:p w:rsidR="00D30773" w:rsidRPr="00694E72" w:rsidRDefault="00D30773" w:rsidP="00E72B14">
      <w:pPr>
        <w:pStyle w:val="Default"/>
        <w:snapToGrid w:val="0"/>
        <w:ind w:firstLine="425"/>
        <w:jc w:val="both"/>
        <w:rPr>
          <w:rFonts w:ascii="Times New Roman" w:hAnsi="Times New Roman" w:cs="Times New Roman"/>
          <w:b/>
          <w:bCs/>
          <w:sz w:val="20"/>
          <w:szCs w:val="20"/>
        </w:rPr>
      </w:pPr>
      <w:r w:rsidRPr="00694E72">
        <w:rPr>
          <w:rFonts w:ascii="Times New Roman" w:hAnsi="Times New Roman" w:cs="Times New Roman"/>
          <w:sz w:val="20"/>
          <w:szCs w:val="20"/>
        </w:rPr>
        <w:t>For AML, only 2 studies reported an association between the rs1800871 gene polymorphisms and risk of AML</w:t>
      </w:r>
      <w:r w:rsidR="002C7AEE" w:rsidRPr="00694E72">
        <w:rPr>
          <w:rFonts w:ascii="Times New Roman" w:hAnsi="Times New Roman" w:cs="Times New Roman"/>
          <w:sz w:val="20"/>
          <w:szCs w:val="20"/>
        </w:rPr>
        <w:t>.</w:t>
      </w:r>
      <w:r w:rsidR="00694E72">
        <w:rPr>
          <w:rFonts w:ascii="Times New Roman" w:hAnsi="Times New Roman" w:cs="Times New Roman" w:hint="eastAsia"/>
          <w:sz w:val="20"/>
          <w:szCs w:val="20"/>
          <w:lang w:eastAsia="zh-CN"/>
        </w:rPr>
        <w:t xml:space="preserve"> </w:t>
      </w:r>
      <w:r w:rsidR="0074376E" w:rsidRPr="00694E72">
        <w:rPr>
          <w:rFonts w:ascii="Times New Roman" w:hAnsi="Times New Roman" w:cs="Times New Roman"/>
          <w:sz w:val="20"/>
          <w:szCs w:val="20"/>
        </w:rPr>
        <w:t xml:space="preserve">These published studies were done on Asian populations and </w:t>
      </w:r>
      <w:r w:rsidRPr="00694E72">
        <w:rPr>
          <w:rFonts w:ascii="Times New Roman" w:hAnsi="Times New Roman" w:cs="Times New Roman"/>
          <w:sz w:val="20"/>
          <w:szCs w:val="20"/>
        </w:rPr>
        <w:t>showed that polymor</w:t>
      </w:r>
      <w:r w:rsidRPr="00694E72">
        <w:rPr>
          <w:rFonts w:ascii="Times New Roman" w:hAnsi="Times New Roman" w:cs="Times New Roman"/>
          <w:sz w:val="20"/>
          <w:szCs w:val="20"/>
        </w:rPr>
        <w:softHyphen/>
        <w:t>phisms in rs1800871 may be associated with increased risk of AML.</w:t>
      </w:r>
      <w:r w:rsidR="00CB3B47" w:rsidRPr="00694E72">
        <w:rPr>
          <w:rFonts w:ascii="Times New Roman" w:hAnsi="Times New Roman" w:cs="Times New Roman"/>
          <w:b/>
          <w:bCs/>
          <w:sz w:val="20"/>
          <w:szCs w:val="20"/>
        </w:rPr>
        <w:t>[13</w:t>
      </w:r>
      <w:r w:rsidR="001E453B" w:rsidRPr="00694E72">
        <w:rPr>
          <w:rFonts w:ascii="Times New Roman" w:hAnsi="Times New Roman" w:cs="Times New Roman"/>
          <w:b/>
          <w:bCs/>
          <w:sz w:val="20"/>
          <w:szCs w:val="20"/>
        </w:rPr>
        <w:t>, 14</w:t>
      </w:r>
      <w:r w:rsidR="0074376E" w:rsidRPr="00694E72">
        <w:rPr>
          <w:rFonts w:ascii="Times New Roman" w:hAnsi="Times New Roman" w:cs="Times New Roman"/>
          <w:b/>
          <w:bCs/>
          <w:sz w:val="20"/>
          <w:szCs w:val="20"/>
        </w:rPr>
        <w:t>]</w:t>
      </w:r>
    </w:p>
    <w:p w:rsidR="00490048" w:rsidRPr="00694E72" w:rsidRDefault="00FC1132" w:rsidP="00E72B14">
      <w:pPr>
        <w:pStyle w:val="Default"/>
        <w:snapToGrid w:val="0"/>
        <w:ind w:firstLine="425"/>
        <w:jc w:val="both"/>
        <w:rPr>
          <w:rFonts w:ascii="Times New Roman" w:hAnsi="Times New Roman" w:cs="Times New Roman"/>
          <w:sz w:val="20"/>
          <w:szCs w:val="20"/>
        </w:rPr>
      </w:pPr>
      <w:r w:rsidRPr="00694E72">
        <w:rPr>
          <w:rFonts w:ascii="Times New Roman" w:hAnsi="Times New Roman" w:cs="Times New Roman"/>
          <w:sz w:val="20"/>
          <w:szCs w:val="20"/>
        </w:rPr>
        <w:t>A study on the Chinese population showed that rs1800871 CC genotype and C allele showed a significantly increased risk for AML (</w:t>
      </w:r>
      <w:r w:rsidRPr="00694E72">
        <w:rPr>
          <w:rFonts w:ascii="Times New Roman" w:hAnsi="Times New Roman" w:cs="Times New Roman"/>
          <w:i/>
          <w:iCs/>
          <w:sz w:val="20"/>
          <w:szCs w:val="20"/>
        </w:rPr>
        <w:t>P</w:t>
      </w:r>
      <w:r w:rsidRPr="00694E72">
        <w:rPr>
          <w:rFonts w:ascii="Times New Roman" w:hAnsi="Times New Roman" w:cs="Times New Roman"/>
          <w:sz w:val="20"/>
          <w:szCs w:val="20"/>
        </w:rPr>
        <w:t>=0.04 and 0.03)</w:t>
      </w:r>
      <w:r w:rsidR="00591C26" w:rsidRPr="00694E72">
        <w:rPr>
          <w:rFonts w:ascii="Times New Roman" w:hAnsi="Times New Roman" w:cs="Times New Roman"/>
          <w:sz w:val="20"/>
          <w:szCs w:val="20"/>
        </w:rPr>
        <w:t>.</w:t>
      </w:r>
      <w:r w:rsidRPr="00694E72">
        <w:rPr>
          <w:rFonts w:ascii="Times New Roman" w:hAnsi="Times New Roman" w:cs="Times New Roman"/>
          <w:b/>
          <w:bCs/>
          <w:sz w:val="20"/>
          <w:szCs w:val="20"/>
        </w:rPr>
        <w:t>[13]</w:t>
      </w:r>
      <w:r w:rsidR="00694E72">
        <w:rPr>
          <w:rFonts w:ascii="Times New Roman" w:hAnsi="Times New Roman" w:cs="Times New Roman" w:hint="eastAsia"/>
          <w:b/>
          <w:bCs/>
          <w:sz w:val="20"/>
          <w:szCs w:val="20"/>
          <w:lang w:eastAsia="zh-CN"/>
        </w:rPr>
        <w:t xml:space="preserve"> </w:t>
      </w:r>
      <w:r w:rsidR="00591C26" w:rsidRPr="00694E72">
        <w:rPr>
          <w:rFonts w:ascii="Times New Roman" w:hAnsi="Times New Roman" w:cs="Times New Roman"/>
          <w:sz w:val="20"/>
          <w:szCs w:val="20"/>
        </w:rPr>
        <w:t>A</w:t>
      </w:r>
      <w:r w:rsidR="005357C0" w:rsidRPr="00694E72">
        <w:rPr>
          <w:rFonts w:ascii="Times New Roman" w:hAnsi="Times New Roman" w:cs="Times New Roman"/>
          <w:sz w:val="20"/>
          <w:szCs w:val="20"/>
        </w:rPr>
        <w:t xml:space="preserve"> result which is consistent with </w:t>
      </w:r>
      <w:r w:rsidR="004D581D" w:rsidRPr="00694E72">
        <w:rPr>
          <w:rFonts w:ascii="Times New Roman" w:hAnsi="Times New Roman" w:cs="Times New Roman"/>
          <w:sz w:val="20"/>
          <w:szCs w:val="20"/>
        </w:rPr>
        <w:t>ours.</w:t>
      </w:r>
    </w:p>
    <w:p w:rsidR="00FC1132" w:rsidRPr="00694E72" w:rsidRDefault="00490048" w:rsidP="00E72B14">
      <w:pPr>
        <w:pStyle w:val="Default"/>
        <w:snapToGrid w:val="0"/>
        <w:ind w:firstLine="425"/>
        <w:jc w:val="both"/>
        <w:rPr>
          <w:rFonts w:ascii="Times New Roman" w:hAnsi="Times New Roman" w:cs="Times New Roman"/>
          <w:sz w:val="20"/>
          <w:szCs w:val="20"/>
        </w:rPr>
      </w:pPr>
      <w:r w:rsidRPr="00694E72">
        <w:rPr>
          <w:rFonts w:ascii="Times New Roman" w:hAnsi="Times New Roman" w:cs="Times New Roman"/>
          <w:sz w:val="20"/>
          <w:szCs w:val="20"/>
        </w:rPr>
        <w:t xml:space="preserve">On the contrary, our results are not consistent with that encountered by Chen </w:t>
      </w:r>
      <w:r w:rsidRPr="00694E72">
        <w:rPr>
          <w:rFonts w:ascii="Times New Roman" w:hAnsi="Times New Roman" w:cs="Times New Roman"/>
          <w:i/>
          <w:iCs/>
          <w:color w:val="auto"/>
          <w:sz w:val="20"/>
          <w:szCs w:val="20"/>
        </w:rPr>
        <w:t>et al.,</w:t>
      </w:r>
      <w:r w:rsidRPr="00694E72">
        <w:rPr>
          <w:rFonts w:ascii="Times New Roman" w:hAnsi="Times New Roman" w:cs="Times New Roman"/>
          <w:b/>
          <w:bCs/>
          <w:color w:val="auto"/>
          <w:sz w:val="20"/>
          <w:szCs w:val="20"/>
        </w:rPr>
        <w:t>[</w:t>
      </w:r>
      <w:r w:rsidRPr="00694E72">
        <w:rPr>
          <w:rFonts w:ascii="Times New Roman" w:hAnsi="Times New Roman" w:cs="Times New Roman"/>
          <w:b/>
          <w:bCs/>
          <w:sz w:val="20"/>
          <w:szCs w:val="20"/>
        </w:rPr>
        <w:t>14]</w:t>
      </w:r>
      <w:r w:rsidRPr="00694E72">
        <w:rPr>
          <w:rFonts w:ascii="Times New Roman" w:hAnsi="Times New Roman" w:cs="Times New Roman"/>
          <w:sz w:val="20"/>
          <w:szCs w:val="20"/>
        </w:rPr>
        <w:t xml:space="preserve"> who found TT </w:t>
      </w:r>
      <w:r w:rsidR="00B645AC" w:rsidRPr="00694E72">
        <w:rPr>
          <w:rFonts w:ascii="Times New Roman" w:hAnsi="Times New Roman" w:cs="Times New Roman"/>
          <w:sz w:val="20"/>
          <w:szCs w:val="20"/>
        </w:rPr>
        <w:t xml:space="preserve">and T allele </w:t>
      </w:r>
      <w:r w:rsidR="00CD7FF5" w:rsidRPr="00694E72">
        <w:rPr>
          <w:rFonts w:ascii="Times New Roman" w:hAnsi="Times New Roman" w:cs="Times New Roman"/>
          <w:sz w:val="20"/>
          <w:szCs w:val="20"/>
        </w:rPr>
        <w:t xml:space="preserve">prevalence and </w:t>
      </w:r>
      <w:r w:rsidR="00B645AC" w:rsidRPr="00694E72">
        <w:rPr>
          <w:rFonts w:ascii="Times New Roman" w:hAnsi="Times New Roman" w:cs="Times New Roman"/>
          <w:sz w:val="20"/>
          <w:szCs w:val="20"/>
        </w:rPr>
        <w:t>frequencies were</w:t>
      </w:r>
      <w:r w:rsidR="00CD7FF5" w:rsidRPr="00694E72">
        <w:rPr>
          <w:rFonts w:ascii="Times New Roman" w:hAnsi="Times New Roman" w:cs="Times New Roman"/>
          <w:sz w:val="20"/>
          <w:szCs w:val="20"/>
        </w:rPr>
        <w:t xml:space="preserve"> </w:t>
      </w:r>
      <w:r w:rsidR="00CD7FF5" w:rsidRPr="00694E72">
        <w:rPr>
          <w:rFonts w:ascii="Times New Roman" w:hAnsi="Times New Roman" w:cs="Times New Roman"/>
          <w:sz w:val="20"/>
          <w:szCs w:val="20"/>
        </w:rPr>
        <w:lastRenderedPageBreak/>
        <w:t>higher in cases than</w:t>
      </w:r>
      <w:r w:rsidRPr="00694E72">
        <w:rPr>
          <w:rFonts w:ascii="Times New Roman" w:hAnsi="Times New Roman" w:cs="Times New Roman"/>
          <w:sz w:val="20"/>
          <w:szCs w:val="20"/>
        </w:rPr>
        <w:t xml:space="preserve"> controls (</w:t>
      </w:r>
      <w:r w:rsidRPr="00694E72">
        <w:rPr>
          <w:rFonts w:ascii="Times New Roman" w:hAnsi="Times New Roman" w:cs="Times New Roman"/>
          <w:i/>
          <w:iCs/>
          <w:sz w:val="20"/>
          <w:szCs w:val="20"/>
        </w:rPr>
        <w:t>P</w:t>
      </w:r>
      <w:r w:rsidR="00B645AC" w:rsidRPr="00694E72">
        <w:rPr>
          <w:rFonts w:ascii="Times New Roman" w:hAnsi="Times New Roman" w:cs="Times New Roman"/>
          <w:sz w:val="20"/>
          <w:szCs w:val="20"/>
        </w:rPr>
        <w:t>= 0.014</w:t>
      </w:r>
      <w:r w:rsidRPr="00694E72">
        <w:rPr>
          <w:rFonts w:ascii="Times New Roman" w:hAnsi="Times New Roman" w:cs="Times New Roman"/>
          <w:sz w:val="20"/>
          <w:szCs w:val="20"/>
        </w:rPr>
        <w:t xml:space="preserve"> and </w:t>
      </w:r>
      <w:r w:rsidR="00B645AC" w:rsidRPr="00694E72">
        <w:rPr>
          <w:rFonts w:ascii="Times New Roman" w:hAnsi="Times New Roman" w:cs="Times New Roman"/>
          <w:sz w:val="20"/>
          <w:szCs w:val="20"/>
        </w:rPr>
        <w:t>0.004)</w:t>
      </w:r>
      <w:r w:rsidRPr="00694E72">
        <w:rPr>
          <w:rFonts w:ascii="Times New Roman" w:hAnsi="Times New Roman" w:cs="Times New Roman"/>
          <w:sz w:val="20"/>
          <w:szCs w:val="20"/>
        </w:rPr>
        <w:t xml:space="preserve"> among Han population.</w:t>
      </w:r>
    </w:p>
    <w:p w:rsidR="00AB43D5" w:rsidRPr="00694E72" w:rsidRDefault="006F3804" w:rsidP="00E72B14">
      <w:pPr>
        <w:pStyle w:val="Default"/>
        <w:snapToGrid w:val="0"/>
        <w:ind w:firstLine="425"/>
        <w:jc w:val="both"/>
        <w:rPr>
          <w:rFonts w:ascii="Times New Roman" w:hAnsi="Times New Roman" w:cs="Times New Roman"/>
          <w:b/>
          <w:bCs/>
          <w:sz w:val="20"/>
          <w:szCs w:val="20"/>
        </w:rPr>
      </w:pPr>
      <w:r w:rsidRPr="00694E72">
        <w:rPr>
          <w:rFonts w:ascii="Times New Roman" w:hAnsi="Times New Roman" w:cs="Times New Roman"/>
          <w:sz w:val="20"/>
          <w:szCs w:val="20"/>
        </w:rPr>
        <w:t>Besides our results</w:t>
      </w:r>
      <w:r w:rsidR="00D57CC0" w:rsidRPr="00694E72">
        <w:rPr>
          <w:rFonts w:ascii="Times New Roman" w:hAnsi="Times New Roman" w:cs="Times New Roman"/>
          <w:sz w:val="20"/>
          <w:szCs w:val="20"/>
        </w:rPr>
        <w:t>,</w:t>
      </w:r>
      <w:r w:rsidR="00AB43D5" w:rsidRPr="00694E72">
        <w:rPr>
          <w:rFonts w:ascii="Times New Roman" w:hAnsi="Times New Roman" w:cs="Times New Roman"/>
          <w:sz w:val="20"/>
          <w:szCs w:val="20"/>
        </w:rPr>
        <w:t xml:space="preserve"> another Egyptian study showed that the apparent healthy controls had the prevalence of TT and T allele in -819 SNPs for IL-10 rs1800872</w:t>
      </w:r>
      <w:r w:rsidR="00D57CC0" w:rsidRPr="00694E72">
        <w:rPr>
          <w:rFonts w:ascii="Times New Roman" w:hAnsi="Times New Roman" w:cs="Times New Roman"/>
          <w:sz w:val="20"/>
          <w:szCs w:val="20"/>
        </w:rPr>
        <w:t>.</w:t>
      </w:r>
      <w:r w:rsidR="00D3279F" w:rsidRPr="00694E72">
        <w:rPr>
          <w:rFonts w:ascii="Times New Roman" w:hAnsi="Times New Roman" w:cs="Times New Roman"/>
          <w:b/>
          <w:bCs/>
          <w:sz w:val="20"/>
          <w:szCs w:val="20"/>
        </w:rPr>
        <w:t>[29</w:t>
      </w:r>
      <w:r w:rsidR="00AB43D5" w:rsidRPr="00694E72">
        <w:rPr>
          <w:rFonts w:ascii="Times New Roman" w:hAnsi="Times New Roman" w:cs="Times New Roman"/>
          <w:b/>
          <w:bCs/>
          <w:sz w:val="20"/>
          <w:szCs w:val="20"/>
        </w:rPr>
        <w:t>]</w:t>
      </w:r>
    </w:p>
    <w:p w:rsidR="0058638F" w:rsidRPr="00694E72" w:rsidRDefault="0058638F" w:rsidP="00E72B14">
      <w:pPr>
        <w:pStyle w:val="Default"/>
        <w:snapToGrid w:val="0"/>
        <w:ind w:firstLine="425"/>
        <w:jc w:val="both"/>
        <w:rPr>
          <w:rFonts w:ascii="Times New Roman" w:hAnsi="Times New Roman" w:cs="Times New Roman"/>
          <w:sz w:val="20"/>
          <w:szCs w:val="20"/>
        </w:rPr>
      </w:pPr>
      <w:r w:rsidRPr="00694E72">
        <w:rPr>
          <w:rFonts w:ascii="Times New Roman" w:hAnsi="Times New Roman" w:cs="Times New Roman"/>
          <w:sz w:val="20"/>
          <w:szCs w:val="20"/>
        </w:rPr>
        <w:t xml:space="preserve">When compared </w:t>
      </w:r>
      <w:r w:rsidR="002F0124" w:rsidRPr="00694E72">
        <w:rPr>
          <w:rFonts w:ascii="Times New Roman" w:hAnsi="Times New Roman" w:cs="Times New Roman"/>
          <w:sz w:val="20"/>
          <w:szCs w:val="20"/>
        </w:rPr>
        <w:t>with</w:t>
      </w:r>
      <w:r w:rsidRPr="00694E72">
        <w:rPr>
          <w:rFonts w:ascii="Times New Roman" w:hAnsi="Times New Roman" w:cs="Times New Roman"/>
          <w:sz w:val="20"/>
          <w:szCs w:val="20"/>
        </w:rPr>
        <w:t xml:space="preserve"> other populations in different parts of the world</w:t>
      </w:r>
      <w:r w:rsidR="002F0124" w:rsidRPr="00694E72">
        <w:rPr>
          <w:rFonts w:ascii="Times New Roman" w:hAnsi="Times New Roman" w:cs="Times New Roman"/>
          <w:sz w:val="20"/>
          <w:szCs w:val="20"/>
        </w:rPr>
        <w:t>,</w:t>
      </w:r>
      <w:r w:rsidRPr="00694E72">
        <w:rPr>
          <w:rFonts w:ascii="Times New Roman" w:hAnsi="Times New Roman" w:cs="Times New Roman"/>
          <w:sz w:val="20"/>
          <w:szCs w:val="20"/>
        </w:rPr>
        <w:t xml:space="preserve"> the Egyptian population has a documented difference in the Genotype and allele frequencies of a number of genes e</w:t>
      </w:r>
      <w:r w:rsidR="002F0124" w:rsidRPr="00694E72">
        <w:rPr>
          <w:rFonts w:ascii="Times New Roman" w:hAnsi="Times New Roman" w:cs="Times New Roman"/>
          <w:sz w:val="20"/>
          <w:szCs w:val="20"/>
        </w:rPr>
        <w:t>.</w:t>
      </w:r>
      <w:r w:rsidRPr="00694E72">
        <w:rPr>
          <w:rFonts w:ascii="Times New Roman" w:hAnsi="Times New Roman" w:cs="Times New Roman"/>
          <w:sz w:val="20"/>
          <w:szCs w:val="20"/>
        </w:rPr>
        <w:t>g</w:t>
      </w:r>
      <w:r w:rsidR="002F0124" w:rsidRPr="00694E72">
        <w:rPr>
          <w:rFonts w:ascii="Times New Roman" w:hAnsi="Times New Roman" w:cs="Times New Roman"/>
          <w:sz w:val="20"/>
          <w:szCs w:val="20"/>
        </w:rPr>
        <w:t>.</w:t>
      </w:r>
      <w:r w:rsidRPr="00694E72">
        <w:rPr>
          <w:rFonts w:ascii="Times New Roman" w:hAnsi="Times New Roman" w:cs="Times New Roman"/>
          <w:sz w:val="20"/>
          <w:szCs w:val="20"/>
        </w:rPr>
        <w:t xml:space="preserve"> TPMT, NAT</w:t>
      </w:r>
      <w:r w:rsidR="002F0124" w:rsidRPr="00694E72">
        <w:rPr>
          <w:rFonts w:ascii="Times New Roman" w:hAnsi="Times New Roman" w:cs="Times New Roman"/>
          <w:sz w:val="20"/>
          <w:szCs w:val="20"/>
        </w:rPr>
        <w:t>2, GST, SULT1A1 and</w:t>
      </w:r>
      <w:r w:rsidRPr="00694E72">
        <w:rPr>
          <w:rFonts w:ascii="Times New Roman" w:hAnsi="Times New Roman" w:cs="Times New Roman"/>
          <w:sz w:val="20"/>
          <w:szCs w:val="20"/>
        </w:rPr>
        <w:t xml:space="preserve"> MDR-1in general population</w:t>
      </w:r>
      <w:r w:rsidR="002F0124" w:rsidRPr="00694E72">
        <w:rPr>
          <w:rFonts w:ascii="Times New Roman" w:hAnsi="Times New Roman" w:cs="Times New Roman"/>
          <w:sz w:val="20"/>
          <w:szCs w:val="20"/>
        </w:rPr>
        <w:t xml:space="preserve">, </w:t>
      </w:r>
      <w:r w:rsidR="002F0124" w:rsidRPr="00694E72">
        <w:rPr>
          <w:rFonts w:ascii="Times New Roman" w:hAnsi="Times New Roman" w:cs="Times New Roman"/>
          <w:b/>
          <w:bCs/>
          <w:sz w:val="20"/>
          <w:szCs w:val="20"/>
        </w:rPr>
        <w:t>[15]</w:t>
      </w:r>
      <w:r w:rsidRPr="00694E72">
        <w:rPr>
          <w:rFonts w:ascii="Times New Roman" w:hAnsi="Times New Roman" w:cs="Times New Roman"/>
          <w:sz w:val="20"/>
          <w:szCs w:val="20"/>
        </w:rPr>
        <w:t xml:space="preserve"> as well as in different diseases e</w:t>
      </w:r>
      <w:r w:rsidR="002F0124" w:rsidRPr="00694E72">
        <w:rPr>
          <w:rFonts w:ascii="Times New Roman" w:hAnsi="Times New Roman" w:cs="Times New Roman"/>
          <w:sz w:val="20"/>
          <w:szCs w:val="20"/>
        </w:rPr>
        <w:t>.</w:t>
      </w:r>
      <w:r w:rsidRPr="00694E72">
        <w:rPr>
          <w:rFonts w:ascii="Times New Roman" w:hAnsi="Times New Roman" w:cs="Times New Roman"/>
          <w:sz w:val="20"/>
          <w:szCs w:val="20"/>
        </w:rPr>
        <w:t>g</w:t>
      </w:r>
      <w:r w:rsidR="002F0124" w:rsidRPr="00694E72">
        <w:rPr>
          <w:rFonts w:ascii="Times New Roman" w:hAnsi="Times New Roman" w:cs="Times New Roman"/>
          <w:sz w:val="20"/>
          <w:szCs w:val="20"/>
        </w:rPr>
        <w:t>.</w:t>
      </w:r>
      <w:r w:rsidR="00F73727">
        <w:rPr>
          <w:rFonts w:ascii="Times New Roman" w:hAnsi="Times New Roman" w:cs="Times New Roman"/>
          <w:sz w:val="20"/>
          <w:szCs w:val="20"/>
        </w:rPr>
        <w:t xml:space="preserve"> </w:t>
      </w:r>
      <w:r w:rsidR="002F0124" w:rsidRPr="00694E72">
        <w:rPr>
          <w:rFonts w:ascii="Times New Roman" w:hAnsi="Times New Roman" w:cs="Times New Roman"/>
          <w:sz w:val="20"/>
          <w:szCs w:val="20"/>
        </w:rPr>
        <w:t>type 1 diabetes mellitus, acute lymphoblastic leukemia and hepatitis C.</w:t>
      </w:r>
      <w:r w:rsidR="00D3279F" w:rsidRPr="00694E72">
        <w:rPr>
          <w:rFonts w:ascii="Times New Roman" w:hAnsi="Times New Roman" w:cs="Times New Roman"/>
          <w:b/>
          <w:bCs/>
          <w:sz w:val="20"/>
          <w:szCs w:val="20"/>
        </w:rPr>
        <w:t>[16, 17, 30</w:t>
      </w:r>
      <w:r w:rsidR="002F0124" w:rsidRPr="00694E72">
        <w:rPr>
          <w:rFonts w:ascii="Times New Roman" w:hAnsi="Times New Roman" w:cs="Times New Roman"/>
          <w:b/>
          <w:bCs/>
          <w:sz w:val="20"/>
          <w:szCs w:val="20"/>
        </w:rPr>
        <w:t>]</w:t>
      </w:r>
    </w:p>
    <w:p w:rsidR="0058638F" w:rsidRPr="00694E72" w:rsidRDefault="0058638F" w:rsidP="00E72B14">
      <w:pPr>
        <w:pStyle w:val="Default"/>
        <w:snapToGrid w:val="0"/>
        <w:ind w:firstLine="425"/>
        <w:jc w:val="both"/>
        <w:rPr>
          <w:rFonts w:ascii="Times New Roman" w:hAnsi="Times New Roman" w:cs="Times New Roman"/>
          <w:sz w:val="20"/>
          <w:szCs w:val="20"/>
        </w:rPr>
      </w:pPr>
      <w:r w:rsidRPr="00694E72">
        <w:rPr>
          <w:rFonts w:ascii="Times New Roman" w:hAnsi="Times New Roman" w:cs="Times New Roman"/>
          <w:sz w:val="20"/>
          <w:szCs w:val="20"/>
        </w:rPr>
        <w:t>Such results denote that polymorphisms can influence predisposition to various diseases depending on ethnic genetic makeup not the SNPs per se.</w:t>
      </w:r>
    </w:p>
    <w:p w:rsidR="00D30773" w:rsidRPr="00694E72" w:rsidRDefault="008215E9" w:rsidP="00E72B14">
      <w:pPr>
        <w:pStyle w:val="Default"/>
        <w:snapToGrid w:val="0"/>
        <w:ind w:firstLine="425"/>
        <w:jc w:val="both"/>
        <w:rPr>
          <w:rFonts w:ascii="Times New Roman" w:hAnsi="Times New Roman" w:cs="Times New Roman"/>
          <w:sz w:val="20"/>
          <w:szCs w:val="20"/>
        </w:rPr>
      </w:pPr>
      <w:r w:rsidRPr="00694E72">
        <w:rPr>
          <w:rFonts w:ascii="Times New Roman" w:hAnsi="Times New Roman" w:cs="Times New Roman"/>
          <w:sz w:val="20"/>
          <w:szCs w:val="20"/>
        </w:rPr>
        <w:t>Moreover, it should be taken into consideration</w:t>
      </w:r>
      <w:r w:rsidR="009B3742" w:rsidRPr="00694E72">
        <w:rPr>
          <w:rFonts w:ascii="Times New Roman" w:hAnsi="Times New Roman" w:cs="Times New Roman"/>
          <w:sz w:val="20"/>
          <w:szCs w:val="20"/>
        </w:rPr>
        <w:t>,</w:t>
      </w:r>
      <w:r w:rsidRPr="00694E72">
        <w:rPr>
          <w:rFonts w:ascii="Times New Roman" w:hAnsi="Times New Roman" w:cs="Times New Roman"/>
          <w:sz w:val="20"/>
          <w:szCs w:val="20"/>
        </w:rPr>
        <w:t xml:space="preserve"> differences in response to therapy between different populations although using the same protocols might</w:t>
      </w:r>
      <w:r w:rsidR="00A15842" w:rsidRPr="00694E72">
        <w:rPr>
          <w:rFonts w:ascii="Times New Roman" w:hAnsi="Times New Roman" w:cs="Times New Roman"/>
          <w:sz w:val="20"/>
          <w:szCs w:val="20"/>
        </w:rPr>
        <w:t xml:space="preserve"> be attributed to such genetic </w:t>
      </w:r>
      <w:proofErr w:type="spellStart"/>
      <w:r w:rsidR="00A15842" w:rsidRPr="00694E72">
        <w:rPr>
          <w:rFonts w:ascii="Times New Roman" w:hAnsi="Times New Roman" w:cs="Times New Roman"/>
          <w:sz w:val="20"/>
          <w:szCs w:val="20"/>
        </w:rPr>
        <w:t>v</w:t>
      </w:r>
      <w:r w:rsidRPr="00694E72">
        <w:rPr>
          <w:rFonts w:ascii="Times New Roman" w:hAnsi="Times New Roman" w:cs="Times New Roman"/>
          <w:sz w:val="20"/>
          <w:szCs w:val="20"/>
        </w:rPr>
        <w:t>ariabilities</w:t>
      </w:r>
      <w:proofErr w:type="spellEnd"/>
      <w:r w:rsidRPr="00694E72">
        <w:rPr>
          <w:rFonts w:ascii="Times New Roman" w:hAnsi="Times New Roman" w:cs="Times New Roman"/>
          <w:sz w:val="20"/>
          <w:szCs w:val="20"/>
        </w:rPr>
        <w:t>. Egyptian AML patients in spite of receiving the same therapy protocols recommended worldwide have worse outcome than reported elsewhere</w:t>
      </w:r>
      <w:r w:rsidR="00A15842" w:rsidRPr="00694E72">
        <w:rPr>
          <w:rFonts w:ascii="Times New Roman" w:hAnsi="Times New Roman" w:cs="Times New Roman"/>
          <w:sz w:val="20"/>
          <w:szCs w:val="20"/>
        </w:rPr>
        <w:t xml:space="preserve">. </w:t>
      </w:r>
      <w:r w:rsidR="00D3279F" w:rsidRPr="00694E72">
        <w:rPr>
          <w:rFonts w:ascii="Times New Roman" w:hAnsi="Times New Roman" w:cs="Times New Roman"/>
          <w:b/>
          <w:bCs/>
          <w:sz w:val="20"/>
          <w:szCs w:val="20"/>
        </w:rPr>
        <w:t>[31</w:t>
      </w:r>
      <w:r w:rsidR="00A15842" w:rsidRPr="00694E72">
        <w:rPr>
          <w:rFonts w:ascii="Times New Roman" w:hAnsi="Times New Roman" w:cs="Times New Roman"/>
          <w:b/>
          <w:bCs/>
          <w:sz w:val="20"/>
          <w:szCs w:val="20"/>
        </w:rPr>
        <w:t>]</w:t>
      </w:r>
    </w:p>
    <w:p w:rsidR="00D30773" w:rsidRPr="00694E72" w:rsidRDefault="006A7750" w:rsidP="00E72B14">
      <w:pPr>
        <w:snapToGrid w:val="0"/>
        <w:spacing w:after="0" w:line="240" w:lineRule="auto"/>
        <w:ind w:firstLine="425"/>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In conclusion, our preliminary results for the analysis of the</w:t>
      </w:r>
      <w:r w:rsidR="00D30773" w:rsidRPr="00694E72">
        <w:rPr>
          <w:rFonts w:ascii="Times New Roman" w:hAnsi="Times New Roman" w:cs="Times New Roman"/>
          <w:color w:val="000000"/>
          <w:sz w:val="20"/>
          <w:szCs w:val="20"/>
        </w:rPr>
        <w:t xml:space="preserve"> IL-10 SNP at -819 </w:t>
      </w:r>
      <w:r w:rsidR="00CC5490" w:rsidRPr="00694E72">
        <w:rPr>
          <w:rFonts w:ascii="Times New Roman" w:hAnsi="Times New Roman" w:cs="Times New Roman"/>
          <w:color w:val="000000"/>
          <w:sz w:val="20"/>
          <w:szCs w:val="20"/>
        </w:rPr>
        <w:t xml:space="preserve">among Egyptian </w:t>
      </w:r>
      <w:r w:rsidRPr="00694E72">
        <w:rPr>
          <w:rFonts w:ascii="Times New Roman" w:hAnsi="Times New Roman" w:cs="Times New Roman"/>
          <w:color w:val="000000"/>
          <w:sz w:val="20"/>
          <w:szCs w:val="20"/>
        </w:rPr>
        <w:t>population</w:t>
      </w:r>
      <w:r w:rsidR="00CC5490" w:rsidRPr="00694E72">
        <w:rPr>
          <w:rFonts w:ascii="Times New Roman" w:hAnsi="Times New Roman" w:cs="Times New Roman"/>
          <w:color w:val="000000"/>
          <w:sz w:val="20"/>
          <w:szCs w:val="20"/>
        </w:rPr>
        <w:t>,</w:t>
      </w:r>
      <w:r w:rsidRPr="00694E72">
        <w:rPr>
          <w:rFonts w:ascii="Times New Roman" w:hAnsi="Times New Roman" w:cs="Times New Roman"/>
          <w:color w:val="000000"/>
          <w:sz w:val="20"/>
          <w:szCs w:val="20"/>
        </w:rPr>
        <w:t xml:space="preserve"> was associated with increased risk of AML. O</w:t>
      </w:r>
      <w:r w:rsidR="00D30773" w:rsidRPr="00694E72">
        <w:rPr>
          <w:rFonts w:ascii="Times New Roman" w:hAnsi="Times New Roman" w:cs="Times New Roman"/>
          <w:color w:val="000000"/>
          <w:sz w:val="20"/>
          <w:szCs w:val="20"/>
        </w:rPr>
        <w:t>ur results</w:t>
      </w:r>
      <w:r w:rsidRPr="00694E72">
        <w:rPr>
          <w:rFonts w:ascii="Times New Roman" w:hAnsi="Times New Roman" w:cs="Times New Roman"/>
          <w:color w:val="000000"/>
          <w:sz w:val="20"/>
          <w:szCs w:val="20"/>
        </w:rPr>
        <w:t xml:space="preserve"> together with others,</w:t>
      </w:r>
      <w:r w:rsidR="00D30773" w:rsidRPr="00694E72">
        <w:rPr>
          <w:rFonts w:ascii="Times New Roman" w:hAnsi="Times New Roman" w:cs="Times New Roman"/>
          <w:color w:val="000000"/>
          <w:sz w:val="20"/>
          <w:szCs w:val="20"/>
        </w:rPr>
        <w:t xml:space="preserve"> suggested that rs1800871 </w:t>
      </w:r>
      <w:r w:rsidRPr="00694E72">
        <w:rPr>
          <w:rFonts w:ascii="Times New Roman" w:hAnsi="Times New Roman" w:cs="Times New Roman"/>
          <w:color w:val="000000"/>
          <w:sz w:val="20"/>
          <w:szCs w:val="20"/>
        </w:rPr>
        <w:t>is</w:t>
      </w:r>
      <w:r w:rsidR="00D30773" w:rsidRPr="00694E72">
        <w:rPr>
          <w:rFonts w:ascii="Times New Roman" w:hAnsi="Times New Roman" w:cs="Times New Roman"/>
          <w:color w:val="000000"/>
          <w:sz w:val="20"/>
          <w:szCs w:val="20"/>
        </w:rPr>
        <w:t xml:space="preserve"> a susceptible gene for AML, which provides important clues for future studies and early detection of AML. Further large-scale studies with large sample sizes from different ethnic populations are required to confirm our results.</w:t>
      </w:r>
      <w:r w:rsidR="00694E72">
        <w:rPr>
          <w:rFonts w:ascii="Times New Roman" w:hAnsi="Times New Roman" w:cs="Times New Roman" w:hint="eastAsia"/>
          <w:color w:val="000000"/>
          <w:sz w:val="20"/>
          <w:szCs w:val="20"/>
          <w:lang w:eastAsia="zh-CN"/>
        </w:rPr>
        <w:t xml:space="preserve"> </w:t>
      </w:r>
      <w:r w:rsidR="00A87493" w:rsidRPr="00694E72">
        <w:rPr>
          <w:rFonts w:ascii="Times New Roman" w:hAnsi="Times New Roman" w:cs="Times New Roman"/>
          <w:color w:val="000000"/>
          <w:sz w:val="20"/>
          <w:szCs w:val="20"/>
        </w:rPr>
        <w:t xml:space="preserve">So </w:t>
      </w:r>
      <w:r w:rsidR="008101FA" w:rsidRPr="00694E72">
        <w:rPr>
          <w:rFonts w:ascii="Times New Roman" w:hAnsi="Times New Roman" w:cs="Times New Roman"/>
          <w:color w:val="000000"/>
          <w:sz w:val="20"/>
          <w:szCs w:val="20"/>
        </w:rPr>
        <w:t>future s</w:t>
      </w:r>
      <w:r w:rsidR="00A87493" w:rsidRPr="00694E72">
        <w:rPr>
          <w:rFonts w:ascii="Times New Roman" w:hAnsi="Times New Roman" w:cs="Times New Roman"/>
          <w:color w:val="000000"/>
          <w:sz w:val="20"/>
          <w:szCs w:val="20"/>
        </w:rPr>
        <w:t>tudies, will help to further validate the diagnostic</w:t>
      </w:r>
      <w:r w:rsidR="005500C4" w:rsidRPr="00694E72">
        <w:rPr>
          <w:rFonts w:ascii="Times New Roman" w:hAnsi="Times New Roman" w:cs="Times New Roman"/>
          <w:color w:val="000000"/>
          <w:sz w:val="20"/>
          <w:szCs w:val="20"/>
        </w:rPr>
        <w:t xml:space="preserve"> and prognostic</w:t>
      </w:r>
      <w:r w:rsidR="00A87493" w:rsidRPr="00694E72">
        <w:rPr>
          <w:rFonts w:ascii="Times New Roman" w:hAnsi="Times New Roman" w:cs="Times New Roman"/>
          <w:color w:val="000000"/>
          <w:sz w:val="20"/>
          <w:szCs w:val="20"/>
        </w:rPr>
        <w:t xml:space="preserve"> importance of </w:t>
      </w:r>
      <w:r w:rsidR="005500C4" w:rsidRPr="00694E72">
        <w:rPr>
          <w:rFonts w:ascii="Times New Roman" w:hAnsi="Times New Roman" w:cs="Times New Roman"/>
          <w:color w:val="000000"/>
          <w:sz w:val="20"/>
          <w:szCs w:val="20"/>
        </w:rPr>
        <w:t>such polymorphism</w:t>
      </w:r>
      <w:r w:rsidR="00A87493" w:rsidRPr="00694E72">
        <w:rPr>
          <w:rFonts w:ascii="Times New Roman" w:hAnsi="Times New Roman" w:cs="Times New Roman"/>
          <w:color w:val="000000"/>
          <w:sz w:val="20"/>
          <w:szCs w:val="20"/>
        </w:rPr>
        <w:t xml:space="preserve"> and once this is clear, it may be possible to appropriately tailor the aggressiveness of therapy needed </w:t>
      </w:r>
      <w:r w:rsidR="005500C4" w:rsidRPr="00694E72">
        <w:rPr>
          <w:rFonts w:ascii="Times New Roman" w:hAnsi="Times New Roman" w:cs="Times New Roman"/>
          <w:color w:val="000000"/>
          <w:sz w:val="20"/>
          <w:szCs w:val="20"/>
        </w:rPr>
        <w:t>among different population according to their genetic makeup</w:t>
      </w:r>
      <w:r w:rsidR="00A87493" w:rsidRPr="00694E72">
        <w:rPr>
          <w:rFonts w:ascii="Times New Roman" w:hAnsi="Times New Roman" w:cs="Times New Roman"/>
          <w:color w:val="000000"/>
          <w:sz w:val="20"/>
          <w:szCs w:val="20"/>
        </w:rPr>
        <w:t xml:space="preserve"> especially after the high</w:t>
      </w:r>
      <w:r w:rsidR="007550A3" w:rsidRPr="00694E72">
        <w:rPr>
          <w:rFonts w:ascii="Times New Roman" w:hAnsi="Times New Roman" w:cs="Times New Roman"/>
          <w:color w:val="000000"/>
          <w:sz w:val="20"/>
          <w:szCs w:val="20"/>
        </w:rPr>
        <w:t xml:space="preserve"> differences in their response to therapy and high</w:t>
      </w:r>
      <w:r w:rsidR="00A87493" w:rsidRPr="00694E72">
        <w:rPr>
          <w:rFonts w:ascii="Times New Roman" w:hAnsi="Times New Roman" w:cs="Times New Roman"/>
          <w:color w:val="000000"/>
          <w:sz w:val="20"/>
          <w:szCs w:val="20"/>
        </w:rPr>
        <w:t xml:space="preserve"> relapse rates among them.</w:t>
      </w:r>
    </w:p>
    <w:p w:rsidR="00ED517C" w:rsidRPr="00694E72" w:rsidRDefault="00ED517C" w:rsidP="00E72B14">
      <w:pPr>
        <w:snapToGrid w:val="0"/>
        <w:spacing w:after="0" w:line="240" w:lineRule="auto"/>
        <w:jc w:val="both"/>
        <w:rPr>
          <w:rFonts w:ascii="Times New Roman" w:hAnsi="Times New Roman" w:cs="Times New Roman"/>
          <w:b/>
          <w:bCs/>
          <w:color w:val="000000"/>
          <w:sz w:val="20"/>
          <w:szCs w:val="20"/>
        </w:rPr>
      </w:pPr>
    </w:p>
    <w:p w:rsidR="00D30773" w:rsidRPr="00694E72" w:rsidRDefault="00ED517C" w:rsidP="00E72B14">
      <w:pPr>
        <w:snapToGrid w:val="0"/>
        <w:spacing w:after="0" w:line="240" w:lineRule="auto"/>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Conflict of Interest</w:t>
      </w:r>
    </w:p>
    <w:p w:rsidR="00F518EB" w:rsidRPr="00694E72" w:rsidRDefault="00771A1B" w:rsidP="00E72B14">
      <w:pPr>
        <w:snapToGrid w:val="0"/>
        <w:spacing w:after="0" w:line="240" w:lineRule="auto"/>
        <w:ind w:firstLine="425"/>
        <w:jc w:val="both"/>
        <w:rPr>
          <w:rFonts w:ascii="Times New Roman" w:eastAsia="Times New Roman" w:hAnsi="Times New Roman" w:cs="Times New Roman"/>
          <w:sz w:val="20"/>
          <w:szCs w:val="20"/>
          <w:lang w:bidi="ar-EG"/>
        </w:rPr>
      </w:pPr>
      <w:r w:rsidRPr="00694E72">
        <w:rPr>
          <w:rFonts w:ascii="Times New Roman" w:eastAsia="Times New Roman" w:hAnsi="Times New Roman" w:cs="Times New Roman"/>
          <w:sz w:val="20"/>
          <w:szCs w:val="20"/>
          <w:lang w:bidi="ar-EG"/>
        </w:rPr>
        <w:t>None of the authors of this paper has any financial or personal relationship with other people or organizations that could inappropriately influence or bias the content of the paper.</w:t>
      </w:r>
    </w:p>
    <w:p w:rsidR="00F518EB" w:rsidRPr="00694E72" w:rsidRDefault="00F518EB" w:rsidP="00E72B14">
      <w:pPr>
        <w:snapToGrid w:val="0"/>
        <w:spacing w:after="0" w:line="240" w:lineRule="auto"/>
        <w:jc w:val="both"/>
        <w:rPr>
          <w:rFonts w:ascii="Times New Roman" w:hAnsi="Times New Roman" w:cs="Times New Roman"/>
          <w:b/>
          <w:bCs/>
          <w:color w:val="000000"/>
          <w:sz w:val="20"/>
          <w:szCs w:val="20"/>
        </w:rPr>
      </w:pPr>
    </w:p>
    <w:p w:rsidR="00E72B14" w:rsidRPr="00694E72" w:rsidRDefault="00ED517C" w:rsidP="00E72B14">
      <w:pPr>
        <w:snapToGrid w:val="0"/>
        <w:spacing w:after="0" w:line="240" w:lineRule="auto"/>
        <w:jc w:val="both"/>
        <w:rPr>
          <w:rFonts w:ascii="Times New Roman" w:hAnsi="Times New Roman" w:cs="Times New Roman"/>
          <w:b/>
          <w:bCs/>
          <w:color w:val="000000"/>
          <w:sz w:val="20"/>
          <w:szCs w:val="20"/>
        </w:rPr>
      </w:pPr>
      <w:r w:rsidRPr="00694E72">
        <w:rPr>
          <w:rFonts w:ascii="Times New Roman" w:hAnsi="Times New Roman" w:cs="Times New Roman"/>
          <w:b/>
          <w:bCs/>
          <w:color w:val="000000"/>
          <w:sz w:val="20"/>
          <w:szCs w:val="20"/>
        </w:rPr>
        <w:t>References</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D</w:t>
      </w:r>
      <w:r w:rsidR="00D30773" w:rsidRPr="00694E72">
        <w:rPr>
          <w:rFonts w:ascii="Times New Roman" w:hAnsi="Times New Roman" w:cs="Times New Roman"/>
          <w:color w:val="000000"/>
          <w:sz w:val="20"/>
          <w:szCs w:val="20"/>
        </w:rPr>
        <w:t>ohner</w:t>
      </w:r>
      <w:proofErr w:type="spellEnd"/>
      <w:r w:rsidR="00D30773" w:rsidRPr="00694E72">
        <w:rPr>
          <w:rFonts w:ascii="Times New Roman" w:hAnsi="Times New Roman" w:cs="Times New Roman"/>
          <w:color w:val="000000"/>
          <w:sz w:val="20"/>
          <w:szCs w:val="20"/>
        </w:rPr>
        <w:t xml:space="preserve"> H.</w:t>
      </w:r>
      <w:r w:rsidR="00694E72" w:rsidRPr="00694E72">
        <w:rPr>
          <w:rFonts w:ascii="Times New Roman" w:hAnsi="Times New Roman" w:cs="Times New Roman"/>
          <w:color w:val="000000"/>
          <w:sz w:val="20"/>
          <w:szCs w:val="20"/>
        </w:rPr>
        <w:t xml:space="preserve"> </w:t>
      </w:r>
      <w:r w:rsidR="00D30773" w:rsidRPr="00694E72">
        <w:rPr>
          <w:rFonts w:ascii="Times New Roman" w:hAnsi="Times New Roman" w:cs="Times New Roman"/>
          <w:color w:val="000000"/>
          <w:sz w:val="20"/>
          <w:szCs w:val="20"/>
        </w:rPr>
        <w:t>Implication of the molecular characterization of</w:t>
      </w:r>
      <w:r w:rsidR="00694E72" w:rsidRPr="00694E72">
        <w:rPr>
          <w:rFonts w:ascii="Times New Roman" w:hAnsi="Times New Roman" w:cs="Times New Roman"/>
          <w:color w:val="000000"/>
          <w:sz w:val="20"/>
          <w:szCs w:val="20"/>
        </w:rPr>
        <w:t xml:space="preserve"> </w:t>
      </w:r>
      <w:r w:rsidR="00D30773" w:rsidRPr="00694E72">
        <w:rPr>
          <w:rFonts w:ascii="Times New Roman" w:hAnsi="Times New Roman" w:cs="Times New Roman"/>
          <w:color w:val="000000"/>
          <w:sz w:val="20"/>
          <w:szCs w:val="20"/>
        </w:rPr>
        <w:t>acute myeloid leukemia. Hematology</w:t>
      </w:r>
      <w:r w:rsidR="006F6401" w:rsidRPr="00694E72">
        <w:rPr>
          <w:rFonts w:ascii="Times New Roman" w:hAnsi="Times New Roman" w:cs="Times New Roman"/>
          <w:color w:val="000000"/>
          <w:sz w:val="20"/>
          <w:szCs w:val="20"/>
        </w:rPr>
        <w:t>.</w:t>
      </w:r>
      <w:r w:rsidR="00D30773" w:rsidRPr="00694E72">
        <w:rPr>
          <w:rFonts w:ascii="Times New Roman" w:hAnsi="Times New Roman" w:cs="Times New Roman"/>
          <w:color w:val="000000"/>
          <w:sz w:val="20"/>
          <w:szCs w:val="20"/>
        </w:rPr>
        <w:t xml:space="preserve"> Am</w:t>
      </w:r>
      <w:r w:rsidR="0006312C" w:rsidRPr="00694E72">
        <w:rPr>
          <w:rFonts w:ascii="Times New Roman" w:hAnsi="Times New Roman" w:cs="Times New Roman"/>
          <w:color w:val="000000"/>
          <w:sz w:val="20"/>
          <w:szCs w:val="20"/>
        </w:rPr>
        <w:t>.</w:t>
      </w:r>
      <w:r w:rsidR="00694E72">
        <w:rPr>
          <w:rFonts w:ascii="Times New Roman" w:hAnsi="Times New Roman" w:cs="Times New Roman" w:hint="eastAsia"/>
          <w:color w:val="000000"/>
          <w:sz w:val="20"/>
          <w:szCs w:val="20"/>
          <w:lang w:eastAsia="zh-CN"/>
        </w:rPr>
        <w:t xml:space="preserve"> </w:t>
      </w:r>
      <w:r w:rsidR="00D30773" w:rsidRPr="00694E72">
        <w:rPr>
          <w:rFonts w:ascii="Times New Roman" w:hAnsi="Times New Roman" w:cs="Times New Roman"/>
          <w:color w:val="000000"/>
          <w:sz w:val="20"/>
          <w:szCs w:val="20"/>
        </w:rPr>
        <w:t>Soc</w:t>
      </w:r>
      <w:r w:rsidR="0006312C" w:rsidRPr="00694E72">
        <w:rPr>
          <w:rFonts w:ascii="Times New Roman" w:hAnsi="Times New Roman" w:cs="Times New Roman"/>
          <w:color w:val="000000"/>
          <w:sz w:val="20"/>
          <w:szCs w:val="20"/>
        </w:rPr>
        <w:t>.</w:t>
      </w:r>
      <w:r w:rsidR="00694E72">
        <w:rPr>
          <w:rFonts w:ascii="Times New Roman" w:hAnsi="Times New Roman" w:cs="Times New Roman" w:hint="eastAsia"/>
          <w:color w:val="000000"/>
          <w:sz w:val="20"/>
          <w:szCs w:val="20"/>
          <w:lang w:eastAsia="zh-CN"/>
        </w:rPr>
        <w:t xml:space="preserve"> </w:t>
      </w:r>
      <w:proofErr w:type="spellStart"/>
      <w:r w:rsidR="00D30773" w:rsidRPr="00694E72">
        <w:rPr>
          <w:rFonts w:ascii="Times New Roman" w:hAnsi="Times New Roman" w:cs="Times New Roman"/>
          <w:color w:val="000000"/>
          <w:sz w:val="20"/>
          <w:szCs w:val="20"/>
        </w:rPr>
        <w:t>Hematol</w:t>
      </w:r>
      <w:proofErr w:type="spellEnd"/>
      <w:r w:rsidR="0006312C" w:rsidRPr="00694E72">
        <w:rPr>
          <w:rFonts w:ascii="Times New Roman" w:hAnsi="Times New Roman" w:cs="Times New Roman"/>
          <w:color w:val="000000"/>
          <w:sz w:val="20"/>
          <w:szCs w:val="20"/>
        </w:rPr>
        <w:t>.</w:t>
      </w:r>
      <w:r w:rsidR="00D30773" w:rsidRPr="00694E72">
        <w:rPr>
          <w:rFonts w:ascii="Times New Roman" w:hAnsi="Times New Roman" w:cs="Times New Roman"/>
          <w:color w:val="000000"/>
          <w:sz w:val="20"/>
          <w:szCs w:val="20"/>
        </w:rPr>
        <w:t xml:space="preserve"> Educ</w:t>
      </w:r>
      <w:r w:rsidR="0006312C" w:rsidRPr="00694E72">
        <w:rPr>
          <w:rFonts w:ascii="Times New Roman" w:hAnsi="Times New Roman" w:cs="Times New Roman"/>
          <w:color w:val="000000"/>
          <w:sz w:val="20"/>
          <w:szCs w:val="20"/>
        </w:rPr>
        <w:t>.</w:t>
      </w:r>
      <w:r w:rsidR="00D30773" w:rsidRPr="00694E72">
        <w:rPr>
          <w:rFonts w:ascii="Times New Roman" w:hAnsi="Times New Roman" w:cs="Times New Roman"/>
          <w:color w:val="000000"/>
          <w:sz w:val="20"/>
          <w:szCs w:val="20"/>
        </w:rPr>
        <w:t xml:space="preserve"> Program. 2007:412-</w:t>
      </w:r>
      <w:r w:rsidR="002029FF" w:rsidRPr="00694E72">
        <w:rPr>
          <w:rFonts w:ascii="Times New Roman" w:hAnsi="Times New Roman" w:cs="Times New Roman"/>
          <w:color w:val="000000"/>
          <w:sz w:val="20"/>
          <w:szCs w:val="20"/>
        </w:rPr>
        <w:t>41</w:t>
      </w:r>
      <w:r w:rsidR="00D30773" w:rsidRPr="00694E72">
        <w:rPr>
          <w:rFonts w:ascii="Times New Roman" w:hAnsi="Times New Roman" w:cs="Times New Roman"/>
          <w:color w:val="000000"/>
          <w:sz w:val="20"/>
          <w:szCs w:val="20"/>
        </w:rPr>
        <w:t>9.</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S</w:t>
      </w:r>
      <w:r w:rsidR="00D30773" w:rsidRPr="00694E72">
        <w:rPr>
          <w:rFonts w:ascii="Times New Roman" w:hAnsi="Times New Roman" w:cs="Times New Roman"/>
          <w:color w:val="000000"/>
          <w:sz w:val="20"/>
          <w:szCs w:val="20"/>
        </w:rPr>
        <w:t xml:space="preserve">olomon S, </w:t>
      </w:r>
      <w:proofErr w:type="spellStart"/>
      <w:r w:rsidR="00D30773" w:rsidRPr="00694E72">
        <w:rPr>
          <w:rFonts w:ascii="Times New Roman" w:hAnsi="Times New Roman" w:cs="Times New Roman"/>
          <w:color w:val="000000"/>
          <w:sz w:val="20"/>
          <w:szCs w:val="20"/>
        </w:rPr>
        <w:t>Malkovska</w:t>
      </w:r>
      <w:proofErr w:type="spellEnd"/>
      <w:r w:rsidR="00D30773" w:rsidRPr="00694E72">
        <w:rPr>
          <w:rFonts w:ascii="Times New Roman" w:hAnsi="Times New Roman" w:cs="Times New Roman"/>
          <w:color w:val="000000"/>
          <w:sz w:val="20"/>
          <w:szCs w:val="20"/>
        </w:rPr>
        <w:t xml:space="preserve"> V. Acute myeloid leukem</w:t>
      </w:r>
      <w:r w:rsidR="002E35BE" w:rsidRPr="00694E72">
        <w:rPr>
          <w:rFonts w:ascii="Times New Roman" w:hAnsi="Times New Roman" w:cs="Times New Roman"/>
          <w:color w:val="000000"/>
          <w:sz w:val="20"/>
          <w:szCs w:val="20"/>
        </w:rPr>
        <w:t>ia.</w:t>
      </w:r>
      <w:r w:rsidR="00694E72" w:rsidRPr="00694E72">
        <w:rPr>
          <w:rFonts w:ascii="Times New Roman" w:hAnsi="Times New Roman" w:cs="Times New Roman"/>
          <w:color w:val="000000"/>
          <w:sz w:val="20"/>
          <w:szCs w:val="20"/>
        </w:rPr>
        <w:t xml:space="preserve"> </w:t>
      </w:r>
      <w:r w:rsidR="002E35BE" w:rsidRPr="00694E72">
        <w:rPr>
          <w:rFonts w:ascii="Times New Roman" w:hAnsi="Times New Roman" w:cs="Times New Roman"/>
          <w:color w:val="000000"/>
          <w:sz w:val="20"/>
          <w:szCs w:val="20"/>
        </w:rPr>
        <w:t>In: Rodgers GP, Young NS, e</w:t>
      </w:r>
      <w:r w:rsidR="00D30773" w:rsidRPr="00694E72">
        <w:rPr>
          <w:rFonts w:ascii="Times New Roman" w:hAnsi="Times New Roman" w:cs="Times New Roman"/>
          <w:color w:val="000000"/>
          <w:sz w:val="20"/>
          <w:szCs w:val="20"/>
        </w:rPr>
        <w:t xml:space="preserve">ds. Bethesda </w:t>
      </w:r>
      <w:r w:rsidR="002E35BE" w:rsidRPr="00694E72">
        <w:rPr>
          <w:rFonts w:ascii="Times New Roman" w:hAnsi="Times New Roman" w:cs="Times New Roman"/>
          <w:color w:val="000000"/>
          <w:sz w:val="20"/>
          <w:szCs w:val="20"/>
        </w:rPr>
        <w:t>Handbook of Clinical Hematology.</w:t>
      </w:r>
      <w:r w:rsidR="00D30773" w:rsidRPr="00694E72">
        <w:rPr>
          <w:rFonts w:ascii="Times New Roman" w:hAnsi="Times New Roman" w:cs="Times New Roman"/>
          <w:color w:val="000000"/>
          <w:sz w:val="20"/>
          <w:szCs w:val="20"/>
        </w:rPr>
        <w:t xml:space="preserve"> </w:t>
      </w:r>
      <w:r w:rsidR="00D30773" w:rsidRPr="00694E72">
        <w:rPr>
          <w:rFonts w:ascii="Times New Roman" w:hAnsi="Times New Roman" w:cs="Times New Roman"/>
          <w:color w:val="000000"/>
          <w:sz w:val="20"/>
          <w:szCs w:val="20"/>
        </w:rPr>
        <w:lastRenderedPageBreak/>
        <w:t>Phi</w:t>
      </w:r>
      <w:r w:rsidR="002E35BE" w:rsidRPr="00694E72">
        <w:rPr>
          <w:rFonts w:ascii="Times New Roman" w:hAnsi="Times New Roman" w:cs="Times New Roman"/>
          <w:color w:val="000000"/>
          <w:sz w:val="20"/>
          <w:szCs w:val="20"/>
        </w:rPr>
        <w:t xml:space="preserve">ladelphia, </w:t>
      </w:r>
      <w:r w:rsidR="00D30773" w:rsidRPr="00694E72">
        <w:rPr>
          <w:rFonts w:ascii="Times New Roman" w:hAnsi="Times New Roman" w:cs="Times New Roman"/>
          <w:color w:val="000000"/>
          <w:sz w:val="20"/>
          <w:szCs w:val="20"/>
        </w:rPr>
        <w:t>Pa: Lippin</w:t>
      </w:r>
      <w:r w:rsidR="002E35BE" w:rsidRPr="00694E72">
        <w:rPr>
          <w:rFonts w:ascii="Times New Roman" w:hAnsi="Times New Roman" w:cs="Times New Roman"/>
          <w:color w:val="000000"/>
          <w:sz w:val="20"/>
          <w:szCs w:val="20"/>
        </w:rPr>
        <w:t>cott Williams and Wilkins 2005: pp</w:t>
      </w:r>
      <w:r w:rsidR="00D30773" w:rsidRPr="00694E72">
        <w:rPr>
          <w:rFonts w:ascii="Times New Roman" w:hAnsi="Times New Roman" w:cs="Times New Roman"/>
          <w:color w:val="000000"/>
          <w:sz w:val="20"/>
          <w:szCs w:val="20"/>
        </w:rPr>
        <w:t>135-150.</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S</w:t>
      </w:r>
      <w:r w:rsidR="00D30773" w:rsidRPr="00694E72">
        <w:rPr>
          <w:rFonts w:ascii="Times New Roman" w:hAnsi="Times New Roman" w:cs="Times New Roman"/>
          <w:color w:val="000000"/>
          <w:sz w:val="20"/>
          <w:szCs w:val="20"/>
        </w:rPr>
        <w:t>uhag</w:t>
      </w:r>
      <w:proofErr w:type="spellEnd"/>
      <w:r w:rsidR="00D30773" w:rsidRPr="00694E72">
        <w:rPr>
          <w:rFonts w:ascii="Times New Roman" w:hAnsi="Times New Roman" w:cs="Times New Roman"/>
          <w:color w:val="000000"/>
          <w:sz w:val="20"/>
          <w:szCs w:val="20"/>
        </w:rPr>
        <w:t xml:space="preserve"> V, Solomon S, </w:t>
      </w:r>
      <w:proofErr w:type="spellStart"/>
      <w:r w:rsidR="00D30773" w:rsidRPr="00694E72">
        <w:rPr>
          <w:rFonts w:ascii="Times New Roman" w:hAnsi="Times New Roman" w:cs="Times New Roman"/>
          <w:color w:val="000000"/>
          <w:sz w:val="20"/>
          <w:szCs w:val="20"/>
        </w:rPr>
        <w:t>Malkovska</w:t>
      </w:r>
      <w:proofErr w:type="spellEnd"/>
      <w:r w:rsidR="00D30773" w:rsidRPr="00694E72">
        <w:rPr>
          <w:rFonts w:ascii="Times New Roman" w:hAnsi="Times New Roman" w:cs="Times New Roman"/>
          <w:color w:val="000000"/>
          <w:sz w:val="20"/>
          <w:szCs w:val="20"/>
        </w:rPr>
        <w:t xml:space="preserve"> V. Acute </w:t>
      </w:r>
      <w:proofErr w:type="spellStart"/>
      <w:r w:rsidR="00D30773" w:rsidRPr="00694E72">
        <w:rPr>
          <w:rFonts w:ascii="Times New Roman" w:hAnsi="Times New Roman" w:cs="Times New Roman"/>
          <w:color w:val="000000"/>
          <w:sz w:val="20"/>
          <w:szCs w:val="20"/>
        </w:rPr>
        <w:t>myelogenous</w:t>
      </w:r>
      <w:proofErr w:type="spellEnd"/>
      <w:r w:rsidR="00D30773" w:rsidRPr="00694E72">
        <w:rPr>
          <w:rFonts w:ascii="Times New Roman" w:hAnsi="Times New Roman" w:cs="Times New Roman"/>
          <w:color w:val="000000"/>
          <w:sz w:val="20"/>
          <w:szCs w:val="20"/>
        </w:rPr>
        <w:t xml:space="preserve"> leu</w:t>
      </w:r>
      <w:r w:rsidR="006B67E6" w:rsidRPr="00694E72">
        <w:rPr>
          <w:rFonts w:ascii="Times New Roman" w:hAnsi="Times New Roman" w:cs="Times New Roman"/>
          <w:color w:val="000000"/>
          <w:sz w:val="20"/>
          <w:szCs w:val="20"/>
        </w:rPr>
        <w:t>kemia. In: Rodgers P, Young N, e</w:t>
      </w:r>
      <w:r w:rsidR="00D30773" w:rsidRPr="00694E72">
        <w:rPr>
          <w:rFonts w:ascii="Times New Roman" w:hAnsi="Times New Roman" w:cs="Times New Roman"/>
          <w:color w:val="000000"/>
          <w:sz w:val="20"/>
          <w:szCs w:val="20"/>
        </w:rPr>
        <w:t xml:space="preserve">ds. Bethesda Handbook of Clinical Hematology. New York: </w:t>
      </w:r>
      <w:r w:rsidR="006B67E6" w:rsidRPr="00694E72">
        <w:rPr>
          <w:rFonts w:ascii="Times New Roman" w:hAnsi="Times New Roman" w:cs="Times New Roman"/>
          <w:color w:val="000000"/>
          <w:sz w:val="20"/>
          <w:szCs w:val="20"/>
        </w:rPr>
        <w:t>Lippincott Williams and Wilkins 2005: pp</w:t>
      </w:r>
      <w:r w:rsidR="00D30773" w:rsidRPr="00694E72">
        <w:rPr>
          <w:rFonts w:ascii="Times New Roman" w:hAnsi="Times New Roman" w:cs="Times New Roman"/>
          <w:color w:val="000000"/>
          <w:sz w:val="20"/>
          <w:szCs w:val="20"/>
        </w:rPr>
        <w:t xml:space="preserve"> 131-147.</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L</w:t>
      </w:r>
      <w:r w:rsidR="00D30773" w:rsidRPr="00694E72">
        <w:rPr>
          <w:rFonts w:ascii="Times New Roman" w:hAnsi="Times New Roman" w:cs="Times New Roman"/>
          <w:color w:val="000000"/>
          <w:sz w:val="20"/>
          <w:szCs w:val="20"/>
        </w:rPr>
        <w:t>ippitz</w:t>
      </w:r>
      <w:proofErr w:type="spellEnd"/>
      <w:r w:rsidR="00D30773" w:rsidRPr="00694E72">
        <w:rPr>
          <w:rFonts w:ascii="Times New Roman" w:hAnsi="Times New Roman" w:cs="Times New Roman"/>
          <w:color w:val="000000"/>
          <w:sz w:val="20"/>
          <w:szCs w:val="20"/>
        </w:rPr>
        <w:t xml:space="preserve"> B E. Cytokine patterns in patients with cancer: a systematic review. Lancet</w:t>
      </w:r>
      <w:r w:rsidR="00DE7441" w:rsidRPr="00694E72">
        <w:rPr>
          <w:rFonts w:ascii="Times New Roman" w:hAnsi="Times New Roman" w:cs="Times New Roman"/>
          <w:color w:val="000000"/>
          <w:sz w:val="20"/>
          <w:szCs w:val="20"/>
        </w:rPr>
        <w:t xml:space="preserve">. </w:t>
      </w:r>
      <w:proofErr w:type="spellStart"/>
      <w:r w:rsidR="00DE7441" w:rsidRPr="00694E72">
        <w:rPr>
          <w:rFonts w:ascii="Times New Roman" w:hAnsi="Times New Roman" w:cs="Times New Roman"/>
          <w:color w:val="000000"/>
          <w:sz w:val="20"/>
          <w:szCs w:val="20"/>
        </w:rPr>
        <w:t>Oncol</w:t>
      </w:r>
      <w:proofErr w:type="spellEnd"/>
      <w:r w:rsidR="00DE7441" w:rsidRPr="00694E72">
        <w:rPr>
          <w:rFonts w:ascii="Times New Roman" w:hAnsi="Times New Roman" w:cs="Times New Roman"/>
          <w:color w:val="000000"/>
          <w:sz w:val="20"/>
          <w:szCs w:val="20"/>
        </w:rPr>
        <w:t>. 2013; 14</w:t>
      </w:r>
      <w:r w:rsidR="00F35641" w:rsidRPr="00694E72">
        <w:rPr>
          <w:rFonts w:ascii="Times New Roman" w:hAnsi="Times New Roman" w:cs="Times New Roman"/>
          <w:color w:val="000000"/>
          <w:sz w:val="20"/>
          <w:szCs w:val="20"/>
        </w:rPr>
        <w:t xml:space="preserve">: </w:t>
      </w:r>
      <w:r w:rsidR="00D30773" w:rsidRPr="00694E72">
        <w:rPr>
          <w:rFonts w:ascii="Times New Roman" w:hAnsi="Times New Roman" w:cs="Times New Roman"/>
          <w:color w:val="000000"/>
          <w:sz w:val="20"/>
          <w:szCs w:val="20"/>
        </w:rPr>
        <w:t>218-</w:t>
      </w:r>
      <w:r w:rsidR="00D334BE" w:rsidRPr="00694E72">
        <w:rPr>
          <w:rFonts w:ascii="Times New Roman" w:hAnsi="Times New Roman" w:cs="Times New Roman"/>
          <w:color w:val="000000"/>
          <w:sz w:val="20"/>
          <w:szCs w:val="20"/>
        </w:rPr>
        <w:t>2</w:t>
      </w:r>
      <w:r w:rsidR="00D30773" w:rsidRPr="00694E72">
        <w:rPr>
          <w:rFonts w:ascii="Times New Roman" w:hAnsi="Times New Roman" w:cs="Times New Roman"/>
          <w:color w:val="000000"/>
          <w:sz w:val="20"/>
          <w:szCs w:val="20"/>
        </w:rPr>
        <w:t>28.</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T</w:t>
      </w:r>
      <w:r w:rsidR="00D30773" w:rsidRPr="00694E72">
        <w:rPr>
          <w:rFonts w:ascii="Times New Roman" w:hAnsi="Times New Roman" w:cs="Times New Roman"/>
          <w:color w:val="000000"/>
          <w:sz w:val="20"/>
          <w:szCs w:val="20"/>
        </w:rPr>
        <w:t>sai CW, Tsai MH, Shih LC, Chang WS,</w:t>
      </w:r>
      <w:r w:rsidR="00694E72">
        <w:rPr>
          <w:rFonts w:ascii="Times New Roman" w:hAnsi="Times New Roman" w:cs="Times New Roman" w:hint="eastAsia"/>
          <w:color w:val="000000"/>
          <w:sz w:val="20"/>
          <w:szCs w:val="20"/>
          <w:lang w:eastAsia="zh-CN"/>
        </w:rPr>
        <w:t xml:space="preserve"> </w:t>
      </w:r>
      <w:hyperlink r:id="rId19" w:history="1">
        <w:r w:rsidR="00D30773" w:rsidRPr="00694E72">
          <w:rPr>
            <w:rFonts w:ascii="Times New Roman" w:hAnsi="Times New Roman" w:cs="Times New Roman"/>
            <w:color w:val="000000"/>
            <w:sz w:val="20"/>
            <w:szCs w:val="20"/>
          </w:rPr>
          <w:t>Lin CC</w:t>
        </w:r>
      </w:hyperlink>
      <w:r w:rsidR="00D30773" w:rsidRPr="00694E72">
        <w:rPr>
          <w:rFonts w:ascii="Times New Roman" w:hAnsi="Times New Roman" w:cs="Times New Roman"/>
          <w:color w:val="000000"/>
          <w:sz w:val="20"/>
          <w:szCs w:val="20"/>
        </w:rPr>
        <w:t xml:space="preserve">, </w:t>
      </w:r>
      <w:hyperlink r:id="rId20" w:history="1">
        <w:proofErr w:type="spellStart"/>
        <w:r w:rsidR="00D30773" w:rsidRPr="00694E72">
          <w:rPr>
            <w:rFonts w:ascii="Times New Roman" w:hAnsi="Times New Roman" w:cs="Times New Roman"/>
            <w:color w:val="000000"/>
            <w:sz w:val="20"/>
            <w:szCs w:val="20"/>
          </w:rPr>
          <w:t>Bau</w:t>
        </w:r>
        <w:proofErr w:type="spellEnd"/>
        <w:r w:rsidR="00D30773" w:rsidRPr="00694E72">
          <w:rPr>
            <w:rFonts w:ascii="Times New Roman" w:hAnsi="Times New Roman" w:cs="Times New Roman"/>
            <w:color w:val="000000"/>
            <w:sz w:val="20"/>
            <w:szCs w:val="20"/>
          </w:rPr>
          <w:t xml:space="preserve"> DT</w:t>
        </w:r>
      </w:hyperlink>
      <w:r w:rsidR="00D30773" w:rsidRPr="00694E72">
        <w:rPr>
          <w:rFonts w:ascii="Times New Roman" w:hAnsi="Times New Roman" w:cs="Times New Roman"/>
          <w:sz w:val="20"/>
          <w:szCs w:val="20"/>
        </w:rPr>
        <w:t xml:space="preserve">. </w:t>
      </w:r>
      <w:r w:rsidR="00D30773" w:rsidRPr="00694E72">
        <w:rPr>
          <w:rFonts w:ascii="Times New Roman" w:hAnsi="Times New Roman" w:cs="Times New Roman"/>
          <w:color w:val="000000"/>
          <w:sz w:val="20"/>
          <w:szCs w:val="20"/>
        </w:rPr>
        <w:t>Association of interleukin-10 (IL10) promoter genotypes with nasopharyngeal carcinoma risk in Taiwan. Anticancer</w:t>
      </w:r>
      <w:r w:rsidR="00103B82" w:rsidRPr="00694E72">
        <w:rPr>
          <w:rFonts w:ascii="Times New Roman" w:hAnsi="Times New Roman" w:cs="Times New Roman"/>
          <w:color w:val="000000"/>
          <w:sz w:val="20"/>
          <w:szCs w:val="20"/>
        </w:rPr>
        <w:t>.</w:t>
      </w:r>
      <w:r w:rsidR="00D30773" w:rsidRPr="00694E72">
        <w:rPr>
          <w:rFonts w:ascii="Times New Roman" w:hAnsi="Times New Roman" w:cs="Times New Roman"/>
          <w:color w:val="000000"/>
          <w:sz w:val="20"/>
          <w:szCs w:val="20"/>
        </w:rPr>
        <w:t xml:space="preserve"> Re</w:t>
      </w:r>
      <w:r w:rsidR="00103B82" w:rsidRPr="00694E72">
        <w:rPr>
          <w:rFonts w:ascii="Times New Roman" w:hAnsi="Times New Roman" w:cs="Times New Roman"/>
          <w:color w:val="000000"/>
          <w:sz w:val="20"/>
          <w:szCs w:val="20"/>
        </w:rPr>
        <w:t>s. 2013</w:t>
      </w:r>
      <w:r w:rsidR="00DE7441" w:rsidRPr="00694E72">
        <w:rPr>
          <w:rFonts w:ascii="Times New Roman" w:hAnsi="Times New Roman" w:cs="Times New Roman"/>
          <w:color w:val="000000"/>
          <w:sz w:val="20"/>
          <w:szCs w:val="20"/>
        </w:rPr>
        <w:t>; 33</w:t>
      </w:r>
      <w:r w:rsidR="00D30773" w:rsidRPr="00694E72">
        <w:rPr>
          <w:rFonts w:ascii="Times New Roman" w:hAnsi="Times New Roman" w:cs="Times New Roman"/>
          <w:color w:val="000000"/>
          <w:sz w:val="20"/>
          <w:szCs w:val="20"/>
        </w:rPr>
        <w:t>:3391-</w:t>
      </w:r>
      <w:r w:rsidR="00717B0A" w:rsidRPr="00694E72">
        <w:rPr>
          <w:rFonts w:ascii="Times New Roman" w:hAnsi="Times New Roman" w:cs="Times New Roman"/>
          <w:color w:val="000000"/>
          <w:sz w:val="20"/>
          <w:szCs w:val="20"/>
        </w:rPr>
        <w:t>339</w:t>
      </w:r>
      <w:r w:rsidR="00D30773" w:rsidRPr="00694E72">
        <w:rPr>
          <w:rFonts w:ascii="Times New Roman" w:hAnsi="Times New Roman" w:cs="Times New Roman"/>
          <w:color w:val="000000"/>
          <w:sz w:val="20"/>
          <w:szCs w:val="20"/>
        </w:rPr>
        <w:t>6.</w:t>
      </w:r>
    </w:p>
    <w:p w:rsidR="00E72B14" w:rsidRPr="00694E72" w:rsidRDefault="00E72B14" w:rsidP="00E72B14">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lang w:val="fr-FR"/>
        </w:rPr>
        <w:t>Z</w:t>
      </w:r>
      <w:r w:rsidR="0054331A" w:rsidRPr="00694E72">
        <w:rPr>
          <w:rFonts w:ascii="Times New Roman" w:hAnsi="Times New Roman" w:cs="Times New Roman"/>
          <w:color w:val="000000"/>
          <w:sz w:val="20"/>
          <w:szCs w:val="20"/>
          <w:lang w:val="fr-FR"/>
        </w:rPr>
        <w:t xml:space="preserve">hou Y, Li N, Zhuang W, Liu GJ, Wu TX, Yao X, </w:t>
      </w:r>
      <w:r w:rsidR="0054331A" w:rsidRPr="00694E72">
        <w:rPr>
          <w:rFonts w:ascii="Times New Roman" w:hAnsi="Times New Roman" w:cs="Times New Roman"/>
          <w:i/>
          <w:iCs/>
          <w:sz w:val="20"/>
          <w:szCs w:val="20"/>
          <w:lang w:val="fr-FR"/>
        </w:rPr>
        <w:t>et al</w:t>
      </w:r>
      <w:r w:rsidR="0054331A" w:rsidRPr="00694E72">
        <w:rPr>
          <w:rFonts w:ascii="Times New Roman" w:hAnsi="Times New Roman" w:cs="Times New Roman"/>
          <w:i/>
          <w:iCs/>
          <w:color w:val="FF0000"/>
          <w:sz w:val="20"/>
          <w:szCs w:val="20"/>
          <w:lang w:val="fr-FR"/>
        </w:rPr>
        <w:t>.</w:t>
      </w:r>
      <w:r w:rsidR="00C77D29">
        <w:rPr>
          <w:rFonts w:ascii="Times New Roman" w:hAnsi="Times New Roman" w:cs="Times New Roman" w:hint="eastAsia"/>
          <w:i/>
          <w:iCs/>
          <w:color w:val="FF0000"/>
          <w:sz w:val="20"/>
          <w:szCs w:val="20"/>
          <w:lang w:val="fr-FR" w:eastAsia="zh-CN"/>
        </w:rPr>
        <w:t xml:space="preserve"> </w:t>
      </w:r>
      <w:r w:rsidR="0054331A" w:rsidRPr="00694E72">
        <w:rPr>
          <w:rFonts w:ascii="Times New Roman" w:hAnsi="Times New Roman" w:cs="Times New Roman"/>
          <w:color w:val="000000"/>
          <w:sz w:val="20"/>
          <w:szCs w:val="20"/>
        </w:rPr>
        <w:t>Interleukin-10 -1082 promoter polymorphism associated with gastric cancer among Asians. Eur. J. Cancer. 2008; 44: 2648-2654.</w:t>
      </w:r>
    </w:p>
    <w:p w:rsidR="00E72B14" w:rsidRPr="00694E72" w:rsidRDefault="00E72B14" w:rsidP="00E72B14">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M</w:t>
      </w:r>
      <w:r w:rsidR="0050288D" w:rsidRPr="00694E72">
        <w:rPr>
          <w:rFonts w:ascii="Times New Roman" w:hAnsi="Times New Roman" w:cs="Times New Roman"/>
          <w:color w:val="000000"/>
          <w:sz w:val="20"/>
          <w:szCs w:val="20"/>
        </w:rPr>
        <w:t xml:space="preserve">oore KW, </w:t>
      </w:r>
      <w:proofErr w:type="spellStart"/>
      <w:r w:rsidR="0050288D" w:rsidRPr="00694E72">
        <w:rPr>
          <w:rFonts w:ascii="Times New Roman" w:hAnsi="Times New Roman" w:cs="Times New Roman"/>
          <w:color w:val="000000"/>
          <w:sz w:val="20"/>
          <w:szCs w:val="20"/>
        </w:rPr>
        <w:t>O'Garra</w:t>
      </w:r>
      <w:proofErr w:type="spellEnd"/>
      <w:r w:rsidR="0050288D" w:rsidRPr="00694E72">
        <w:rPr>
          <w:rFonts w:ascii="Times New Roman" w:hAnsi="Times New Roman" w:cs="Times New Roman"/>
          <w:color w:val="000000"/>
          <w:sz w:val="20"/>
          <w:szCs w:val="20"/>
        </w:rPr>
        <w:t xml:space="preserve"> A, de Waal </w:t>
      </w:r>
      <w:proofErr w:type="spellStart"/>
      <w:r w:rsidR="0050288D" w:rsidRPr="00694E72">
        <w:rPr>
          <w:rFonts w:ascii="Times New Roman" w:hAnsi="Times New Roman" w:cs="Times New Roman"/>
          <w:color w:val="000000"/>
          <w:sz w:val="20"/>
          <w:szCs w:val="20"/>
        </w:rPr>
        <w:t>Malefyt</w:t>
      </w:r>
      <w:proofErr w:type="spellEnd"/>
      <w:r w:rsidR="0050288D" w:rsidRPr="00694E72">
        <w:rPr>
          <w:rFonts w:ascii="Times New Roman" w:hAnsi="Times New Roman" w:cs="Times New Roman"/>
          <w:color w:val="000000"/>
          <w:sz w:val="20"/>
          <w:szCs w:val="20"/>
        </w:rPr>
        <w:t xml:space="preserve"> R, Vieira P, </w:t>
      </w:r>
      <w:proofErr w:type="spellStart"/>
      <w:r w:rsidR="0050288D" w:rsidRPr="00694E72">
        <w:rPr>
          <w:rFonts w:ascii="Times New Roman" w:hAnsi="Times New Roman" w:cs="Times New Roman"/>
          <w:color w:val="000000"/>
          <w:sz w:val="20"/>
          <w:szCs w:val="20"/>
        </w:rPr>
        <w:t>Mosmann</w:t>
      </w:r>
      <w:proofErr w:type="spellEnd"/>
      <w:r w:rsidR="0050288D" w:rsidRPr="00694E72">
        <w:rPr>
          <w:rFonts w:ascii="Times New Roman" w:hAnsi="Times New Roman" w:cs="Times New Roman"/>
          <w:color w:val="000000"/>
          <w:sz w:val="20"/>
          <w:szCs w:val="20"/>
        </w:rPr>
        <w:t xml:space="preserve"> TR.</w:t>
      </w:r>
      <w:r w:rsidR="00694E72" w:rsidRPr="00694E72">
        <w:rPr>
          <w:rFonts w:ascii="Times New Roman" w:hAnsi="Times New Roman" w:cs="Times New Roman"/>
          <w:color w:val="000000"/>
          <w:sz w:val="20"/>
          <w:szCs w:val="20"/>
        </w:rPr>
        <w:t xml:space="preserve"> </w:t>
      </w:r>
      <w:r w:rsidR="0050288D" w:rsidRPr="00694E72">
        <w:rPr>
          <w:rFonts w:ascii="Times New Roman" w:hAnsi="Times New Roman" w:cs="Times New Roman"/>
          <w:color w:val="000000"/>
          <w:sz w:val="20"/>
          <w:szCs w:val="20"/>
        </w:rPr>
        <w:t xml:space="preserve">Interleukin 10. </w:t>
      </w:r>
      <w:proofErr w:type="spellStart"/>
      <w:r w:rsidR="0050288D" w:rsidRPr="00694E72">
        <w:rPr>
          <w:rFonts w:ascii="Times New Roman" w:hAnsi="Times New Roman" w:cs="Times New Roman"/>
          <w:color w:val="000000"/>
          <w:sz w:val="20"/>
          <w:szCs w:val="20"/>
        </w:rPr>
        <w:t>Annu</w:t>
      </w:r>
      <w:proofErr w:type="spellEnd"/>
      <w:r w:rsidR="0050288D" w:rsidRPr="00694E72">
        <w:rPr>
          <w:rFonts w:ascii="Times New Roman" w:hAnsi="Times New Roman" w:cs="Times New Roman"/>
          <w:color w:val="000000"/>
          <w:sz w:val="20"/>
          <w:szCs w:val="20"/>
        </w:rPr>
        <w:t xml:space="preserve">. Rev. </w:t>
      </w:r>
      <w:proofErr w:type="spellStart"/>
      <w:r w:rsidR="0050288D" w:rsidRPr="00694E72">
        <w:rPr>
          <w:rFonts w:ascii="Times New Roman" w:hAnsi="Times New Roman" w:cs="Times New Roman"/>
          <w:color w:val="000000"/>
          <w:sz w:val="20"/>
          <w:szCs w:val="20"/>
        </w:rPr>
        <w:t>Immunol</w:t>
      </w:r>
      <w:proofErr w:type="spellEnd"/>
      <w:r w:rsidR="0050288D" w:rsidRPr="00694E72">
        <w:rPr>
          <w:rFonts w:ascii="Times New Roman" w:hAnsi="Times New Roman" w:cs="Times New Roman"/>
          <w:color w:val="000000"/>
          <w:sz w:val="20"/>
          <w:szCs w:val="20"/>
        </w:rPr>
        <w:t>. 1993; 11:165-190.</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F</w:t>
      </w:r>
      <w:r w:rsidR="00232398" w:rsidRPr="00694E72">
        <w:rPr>
          <w:rFonts w:ascii="Times New Roman" w:hAnsi="Times New Roman" w:cs="Times New Roman"/>
          <w:color w:val="000000"/>
          <w:sz w:val="20"/>
          <w:szCs w:val="20"/>
        </w:rPr>
        <w:t>iorentino</w:t>
      </w:r>
      <w:proofErr w:type="spellEnd"/>
      <w:r w:rsidR="00232398" w:rsidRPr="00694E72">
        <w:rPr>
          <w:rFonts w:ascii="Times New Roman" w:hAnsi="Times New Roman" w:cs="Times New Roman"/>
          <w:color w:val="000000"/>
          <w:sz w:val="20"/>
          <w:szCs w:val="20"/>
        </w:rPr>
        <w:t xml:space="preserve"> DF, </w:t>
      </w:r>
      <w:proofErr w:type="spellStart"/>
      <w:r w:rsidR="00232398" w:rsidRPr="00694E72">
        <w:rPr>
          <w:rFonts w:ascii="Times New Roman" w:hAnsi="Times New Roman" w:cs="Times New Roman"/>
          <w:color w:val="000000"/>
          <w:sz w:val="20"/>
          <w:szCs w:val="20"/>
        </w:rPr>
        <w:t>Zlotnik</w:t>
      </w:r>
      <w:proofErr w:type="spellEnd"/>
      <w:r w:rsidR="00232398" w:rsidRPr="00694E72">
        <w:rPr>
          <w:rFonts w:ascii="Times New Roman" w:hAnsi="Times New Roman" w:cs="Times New Roman"/>
          <w:color w:val="000000"/>
          <w:sz w:val="20"/>
          <w:szCs w:val="20"/>
        </w:rPr>
        <w:t xml:space="preserve"> A, </w:t>
      </w:r>
      <w:proofErr w:type="spellStart"/>
      <w:r w:rsidR="00232398" w:rsidRPr="00694E72">
        <w:rPr>
          <w:rFonts w:ascii="Times New Roman" w:hAnsi="Times New Roman" w:cs="Times New Roman"/>
          <w:color w:val="000000"/>
          <w:sz w:val="20"/>
          <w:szCs w:val="20"/>
        </w:rPr>
        <w:t>Mosmann</w:t>
      </w:r>
      <w:proofErr w:type="spellEnd"/>
      <w:r w:rsidR="00232398" w:rsidRPr="00694E72">
        <w:rPr>
          <w:rFonts w:ascii="Times New Roman" w:hAnsi="Times New Roman" w:cs="Times New Roman"/>
          <w:color w:val="000000"/>
          <w:sz w:val="20"/>
          <w:szCs w:val="20"/>
        </w:rPr>
        <w:t xml:space="preserve"> TR, Howard M, </w:t>
      </w:r>
      <w:proofErr w:type="spellStart"/>
      <w:r w:rsidR="00232398" w:rsidRPr="00694E72">
        <w:rPr>
          <w:rFonts w:ascii="Times New Roman" w:hAnsi="Times New Roman" w:cs="Times New Roman"/>
          <w:color w:val="000000"/>
          <w:sz w:val="20"/>
          <w:szCs w:val="20"/>
        </w:rPr>
        <w:t>O'Garra</w:t>
      </w:r>
      <w:proofErr w:type="spellEnd"/>
      <w:r w:rsidR="00232398" w:rsidRPr="00694E72">
        <w:rPr>
          <w:rFonts w:ascii="Times New Roman" w:hAnsi="Times New Roman" w:cs="Times New Roman"/>
          <w:color w:val="000000"/>
          <w:sz w:val="20"/>
          <w:szCs w:val="20"/>
        </w:rPr>
        <w:t xml:space="preserve"> A. IL-10 inhibits cytokine production by activated macrophages.</w:t>
      </w:r>
      <w:r w:rsidR="00694E72" w:rsidRPr="00694E72">
        <w:rPr>
          <w:rFonts w:ascii="Times New Roman" w:hAnsi="Times New Roman" w:cs="Times New Roman"/>
          <w:color w:val="000000"/>
          <w:sz w:val="20"/>
          <w:szCs w:val="20"/>
        </w:rPr>
        <w:t xml:space="preserve"> </w:t>
      </w:r>
      <w:r w:rsidR="00232398" w:rsidRPr="00694E72">
        <w:rPr>
          <w:rFonts w:ascii="Times New Roman" w:hAnsi="Times New Roman" w:cs="Times New Roman"/>
          <w:color w:val="000000"/>
          <w:sz w:val="20"/>
          <w:szCs w:val="20"/>
        </w:rPr>
        <w:t xml:space="preserve">J. </w:t>
      </w:r>
      <w:proofErr w:type="spellStart"/>
      <w:r w:rsidR="00232398" w:rsidRPr="00694E72">
        <w:rPr>
          <w:rFonts w:ascii="Times New Roman" w:hAnsi="Times New Roman" w:cs="Times New Roman"/>
          <w:color w:val="000000"/>
          <w:sz w:val="20"/>
          <w:szCs w:val="20"/>
        </w:rPr>
        <w:t>Immunol</w:t>
      </w:r>
      <w:proofErr w:type="spellEnd"/>
      <w:r w:rsidR="00232398" w:rsidRPr="00694E72">
        <w:rPr>
          <w:rFonts w:ascii="Times New Roman" w:hAnsi="Times New Roman" w:cs="Times New Roman"/>
          <w:color w:val="000000"/>
          <w:sz w:val="20"/>
          <w:szCs w:val="20"/>
        </w:rPr>
        <w:t>. 1991; 147: 3815-3822.</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lang w:val="fr-FR"/>
        </w:rPr>
        <w:t>D</w:t>
      </w:r>
      <w:r w:rsidR="00232398" w:rsidRPr="00694E72">
        <w:rPr>
          <w:rFonts w:ascii="Times New Roman" w:hAnsi="Times New Roman" w:cs="Times New Roman"/>
          <w:color w:val="000000"/>
          <w:sz w:val="20"/>
          <w:szCs w:val="20"/>
          <w:lang w:val="fr-FR"/>
        </w:rPr>
        <w:t xml:space="preserve">e Waal Malefyt R1, Abrams J, Bennett B, Figdor CG, de Vries JE. </w:t>
      </w:r>
      <w:r w:rsidR="00232398" w:rsidRPr="00694E72">
        <w:rPr>
          <w:rFonts w:ascii="Times New Roman" w:hAnsi="Times New Roman" w:cs="Times New Roman"/>
          <w:color w:val="000000"/>
          <w:sz w:val="20"/>
          <w:szCs w:val="20"/>
        </w:rPr>
        <w:t xml:space="preserve">Interleukin 10 (IL-10) inhibits cytokine synthesis by human </w:t>
      </w:r>
      <w:proofErr w:type="spellStart"/>
      <w:r w:rsidR="00232398" w:rsidRPr="00694E72">
        <w:rPr>
          <w:rFonts w:ascii="Times New Roman" w:hAnsi="Times New Roman" w:cs="Times New Roman"/>
          <w:color w:val="000000"/>
          <w:sz w:val="20"/>
          <w:szCs w:val="20"/>
        </w:rPr>
        <w:t>monocytes</w:t>
      </w:r>
      <w:proofErr w:type="spellEnd"/>
      <w:r w:rsidR="00232398" w:rsidRPr="00694E72">
        <w:rPr>
          <w:rFonts w:ascii="Times New Roman" w:hAnsi="Times New Roman" w:cs="Times New Roman"/>
          <w:color w:val="000000"/>
          <w:sz w:val="20"/>
          <w:szCs w:val="20"/>
        </w:rPr>
        <w:t xml:space="preserve">: An </w:t>
      </w:r>
      <w:proofErr w:type="spellStart"/>
      <w:r w:rsidR="00232398" w:rsidRPr="00694E72">
        <w:rPr>
          <w:rFonts w:ascii="Times New Roman" w:hAnsi="Times New Roman" w:cs="Times New Roman"/>
          <w:color w:val="000000"/>
          <w:sz w:val="20"/>
          <w:szCs w:val="20"/>
        </w:rPr>
        <w:t>autoregulatory</w:t>
      </w:r>
      <w:proofErr w:type="spellEnd"/>
      <w:r w:rsidR="00232398" w:rsidRPr="00694E72">
        <w:rPr>
          <w:rFonts w:ascii="Times New Roman" w:hAnsi="Times New Roman" w:cs="Times New Roman"/>
          <w:color w:val="000000"/>
          <w:sz w:val="20"/>
          <w:szCs w:val="20"/>
        </w:rPr>
        <w:t xml:space="preserve"> role of IL-10 produced by </w:t>
      </w:r>
      <w:proofErr w:type="spellStart"/>
      <w:r w:rsidR="00232398" w:rsidRPr="00694E72">
        <w:rPr>
          <w:rFonts w:ascii="Times New Roman" w:hAnsi="Times New Roman" w:cs="Times New Roman"/>
          <w:color w:val="000000"/>
          <w:sz w:val="20"/>
          <w:szCs w:val="20"/>
        </w:rPr>
        <w:t>monocytes</w:t>
      </w:r>
      <w:proofErr w:type="spellEnd"/>
      <w:r w:rsidR="00232398" w:rsidRPr="00694E72">
        <w:rPr>
          <w:rFonts w:ascii="Times New Roman" w:hAnsi="Times New Roman" w:cs="Times New Roman"/>
          <w:color w:val="000000"/>
          <w:sz w:val="20"/>
          <w:szCs w:val="20"/>
        </w:rPr>
        <w:t>. J. Exp. Med. 1991; 174:1209-1220.</w:t>
      </w:r>
    </w:p>
    <w:p w:rsidR="00E72B14" w:rsidRPr="00694E72" w:rsidRDefault="00E72B14" w:rsidP="00E72B14">
      <w:pPr>
        <w:pStyle w:val="ListParagraph"/>
        <w:numPr>
          <w:ilvl w:val="0"/>
          <w:numId w:val="6"/>
        </w:numPr>
        <w:shd w:val="clear" w:color="auto" w:fill="FFFFFF"/>
        <w:tabs>
          <w:tab w:val="left" w:pos="90"/>
        </w:tabs>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lang w:val="fr-FR"/>
        </w:rPr>
        <w:t>R</w:t>
      </w:r>
      <w:r w:rsidR="00C40EC6" w:rsidRPr="00694E72">
        <w:rPr>
          <w:rFonts w:ascii="Times New Roman" w:hAnsi="Times New Roman" w:cs="Times New Roman"/>
          <w:color w:val="000000"/>
          <w:sz w:val="20"/>
          <w:szCs w:val="20"/>
          <w:lang w:val="fr-FR"/>
        </w:rPr>
        <w:t xml:space="preserve">ousset F, Garcia E, Defrance T, Péronne C, Vezzio N, Hsu DH, </w:t>
      </w:r>
      <w:r w:rsidR="004D581D" w:rsidRPr="00694E72">
        <w:rPr>
          <w:rFonts w:ascii="Times New Roman" w:hAnsi="Times New Roman" w:cs="Times New Roman"/>
          <w:i/>
          <w:iCs/>
          <w:sz w:val="20"/>
          <w:szCs w:val="20"/>
          <w:lang w:val="fr-FR"/>
        </w:rPr>
        <w:t>et al</w:t>
      </w:r>
      <w:r w:rsidR="004D581D" w:rsidRPr="00694E72">
        <w:rPr>
          <w:rFonts w:ascii="Times New Roman" w:hAnsi="Times New Roman" w:cs="Times New Roman"/>
          <w:i/>
          <w:iCs/>
          <w:color w:val="FF0000"/>
          <w:sz w:val="20"/>
          <w:szCs w:val="20"/>
          <w:lang w:val="fr-FR"/>
        </w:rPr>
        <w:t>.</w:t>
      </w:r>
      <w:r w:rsidR="00C40EC6" w:rsidRPr="00694E72">
        <w:rPr>
          <w:rFonts w:ascii="Times New Roman" w:hAnsi="Times New Roman" w:cs="Times New Roman"/>
          <w:color w:val="000000"/>
          <w:sz w:val="20"/>
          <w:szCs w:val="20"/>
        </w:rPr>
        <w:t>Interleukin 10 is a potent growth and differentiation factor for activated human B lymphocytes. Proc. Natl. Acad. Sci. USA. 1992; 89: 1890-1893.</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M</w:t>
      </w:r>
      <w:r w:rsidR="00C40EC6" w:rsidRPr="00694E72">
        <w:rPr>
          <w:rFonts w:ascii="Times New Roman" w:hAnsi="Times New Roman" w:cs="Times New Roman"/>
          <w:color w:val="000000"/>
          <w:sz w:val="20"/>
          <w:szCs w:val="20"/>
        </w:rPr>
        <w:t>osmann</w:t>
      </w:r>
      <w:proofErr w:type="spellEnd"/>
      <w:r w:rsidR="00C40EC6" w:rsidRPr="00694E72">
        <w:rPr>
          <w:rFonts w:ascii="Times New Roman" w:hAnsi="Times New Roman" w:cs="Times New Roman"/>
          <w:color w:val="000000"/>
          <w:sz w:val="20"/>
          <w:szCs w:val="20"/>
        </w:rPr>
        <w:t xml:space="preserve"> TR, Moore KW. The role of IL-10 in </w:t>
      </w:r>
      <w:proofErr w:type="spellStart"/>
      <w:r w:rsidR="00C40EC6" w:rsidRPr="00694E72">
        <w:rPr>
          <w:rFonts w:ascii="Times New Roman" w:hAnsi="Times New Roman" w:cs="Times New Roman"/>
          <w:color w:val="000000"/>
          <w:sz w:val="20"/>
          <w:szCs w:val="20"/>
        </w:rPr>
        <w:t>crossregulation</w:t>
      </w:r>
      <w:proofErr w:type="spellEnd"/>
      <w:r w:rsidR="00C40EC6" w:rsidRPr="00694E72">
        <w:rPr>
          <w:rFonts w:ascii="Times New Roman" w:hAnsi="Times New Roman" w:cs="Times New Roman"/>
          <w:color w:val="000000"/>
          <w:sz w:val="20"/>
          <w:szCs w:val="20"/>
        </w:rPr>
        <w:t xml:space="preserve"> of TH1 and TH2 responses. </w:t>
      </w:r>
      <w:proofErr w:type="spellStart"/>
      <w:r w:rsidR="00C40EC6" w:rsidRPr="00694E72">
        <w:rPr>
          <w:rFonts w:ascii="Times New Roman" w:hAnsi="Times New Roman" w:cs="Times New Roman"/>
          <w:color w:val="000000"/>
          <w:sz w:val="20"/>
          <w:szCs w:val="20"/>
        </w:rPr>
        <w:t>Immunol</w:t>
      </w:r>
      <w:proofErr w:type="spellEnd"/>
      <w:r w:rsidR="00C40EC6" w:rsidRPr="00694E72">
        <w:rPr>
          <w:rFonts w:ascii="Times New Roman" w:hAnsi="Times New Roman" w:cs="Times New Roman"/>
          <w:color w:val="000000"/>
          <w:sz w:val="20"/>
          <w:szCs w:val="20"/>
        </w:rPr>
        <w:t>. Today. 1991; 12: 49-53.</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R</w:t>
      </w:r>
      <w:r w:rsidR="00C40EC6" w:rsidRPr="00694E72">
        <w:rPr>
          <w:rFonts w:ascii="Times New Roman" w:hAnsi="Times New Roman" w:cs="Times New Roman"/>
          <w:color w:val="000000"/>
          <w:sz w:val="20"/>
          <w:szCs w:val="20"/>
        </w:rPr>
        <w:t>ennick</w:t>
      </w:r>
      <w:proofErr w:type="spellEnd"/>
      <w:r w:rsidR="00C40EC6" w:rsidRPr="00694E72">
        <w:rPr>
          <w:rFonts w:ascii="Times New Roman" w:hAnsi="Times New Roman" w:cs="Times New Roman"/>
          <w:color w:val="000000"/>
          <w:sz w:val="20"/>
          <w:szCs w:val="20"/>
        </w:rPr>
        <w:t xml:space="preserve"> D, </w:t>
      </w:r>
      <w:proofErr w:type="spellStart"/>
      <w:r w:rsidR="00C40EC6" w:rsidRPr="00694E72">
        <w:rPr>
          <w:rFonts w:ascii="Times New Roman" w:hAnsi="Times New Roman" w:cs="Times New Roman"/>
          <w:color w:val="000000"/>
          <w:sz w:val="20"/>
          <w:szCs w:val="20"/>
        </w:rPr>
        <w:t>Hunte</w:t>
      </w:r>
      <w:proofErr w:type="spellEnd"/>
      <w:r w:rsidR="00C40EC6" w:rsidRPr="00694E72">
        <w:rPr>
          <w:rFonts w:ascii="Times New Roman" w:hAnsi="Times New Roman" w:cs="Times New Roman"/>
          <w:color w:val="000000"/>
          <w:sz w:val="20"/>
          <w:szCs w:val="20"/>
        </w:rPr>
        <w:t xml:space="preserve"> B, Dang W, Thompson-Snipes L, </w:t>
      </w:r>
      <w:proofErr w:type="spellStart"/>
      <w:r w:rsidR="00C40EC6" w:rsidRPr="00694E72">
        <w:rPr>
          <w:rFonts w:ascii="Times New Roman" w:hAnsi="Times New Roman" w:cs="Times New Roman"/>
          <w:color w:val="000000"/>
          <w:sz w:val="20"/>
          <w:szCs w:val="20"/>
        </w:rPr>
        <w:t>Hudak</w:t>
      </w:r>
      <w:proofErr w:type="spellEnd"/>
      <w:r w:rsidR="00C40EC6" w:rsidRPr="00694E72">
        <w:rPr>
          <w:rFonts w:ascii="Times New Roman" w:hAnsi="Times New Roman" w:cs="Times New Roman"/>
          <w:color w:val="000000"/>
          <w:sz w:val="20"/>
          <w:szCs w:val="20"/>
        </w:rPr>
        <w:t xml:space="preserve"> S. Interleukin-10 promotes the growth of </w:t>
      </w:r>
      <w:proofErr w:type="spellStart"/>
      <w:r w:rsidR="00C40EC6" w:rsidRPr="00694E72">
        <w:rPr>
          <w:rFonts w:ascii="Times New Roman" w:hAnsi="Times New Roman" w:cs="Times New Roman"/>
          <w:color w:val="000000"/>
          <w:sz w:val="20"/>
          <w:szCs w:val="20"/>
        </w:rPr>
        <w:t>megakaryocyte</w:t>
      </w:r>
      <w:proofErr w:type="spellEnd"/>
      <w:r w:rsidR="00C40EC6" w:rsidRPr="00694E72">
        <w:rPr>
          <w:rFonts w:ascii="Times New Roman" w:hAnsi="Times New Roman" w:cs="Times New Roman"/>
          <w:color w:val="000000"/>
          <w:sz w:val="20"/>
          <w:szCs w:val="20"/>
        </w:rPr>
        <w:t xml:space="preserve">, mast cell, and </w:t>
      </w:r>
      <w:proofErr w:type="spellStart"/>
      <w:r w:rsidR="00C40EC6" w:rsidRPr="00694E72">
        <w:rPr>
          <w:rFonts w:ascii="Times New Roman" w:hAnsi="Times New Roman" w:cs="Times New Roman"/>
          <w:color w:val="000000"/>
          <w:sz w:val="20"/>
          <w:szCs w:val="20"/>
        </w:rPr>
        <w:t>multilineage</w:t>
      </w:r>
      <w:proofErr w:type="spellEnd"/>
      <w:r w:rsidR="00C40EC6" w:rsidRPr="00694E72">
        <w:rPr>
          <w:rFonts w:ascii="Times New Roman" w:hAnsi="Times New Roman" w:cs="Times New Roman"/>
          <w:color w:val="000000"/>
          <w:sz w:val="20"/>
          <w:szCs w:val="20"/>
        </w:rPr>
        <w:t xml:space="preserve"> colonies: Analysis with committed progenitors and </w:t>
      </w:r>
      <w:proofErr w:type="spellStart"/>
      <w:r w:rsidR="00C40EC6" w:rsidRPr="00694E72">
        <w:rPr>
          <w:rFonts w:ascii="Times New Roman" w:hAnsi="Times New Roman" w:cs="Times New Roman"/>
          <w:color w:val="000000"/>
          <w:sz w:val="20"/>
          <w:szCs w:val="20"/>
        </w:rPr>
        <w:t>Thyllo</w:t>
      </w:r>
      <w:proofErr w:type="spellEnd"/>
      <w:r w:rsidR="00C77D29">
        <w:rPr>
          <w:rFonts w:ascii="Times New Roman" w:hAnsi="Times New Roman" w:cs="Times New Roman" w:hint="eastAsia"/>
          <w:color w:val="000000"/>
          <w:sz w:val="20"/>
          <w:szCs w:val="20"/>
          <w:lang w:eastAsia="zh-CN"/>
        </w:rPr>
        <w:t xml:space="preserve"> </w:t>
      </w:r>
      <w:proofErr w:type="spellStart"/>
      <w:r w:rsidR="00C40EC6" w:rsidRPr="00694E72">
        <w:rPr>
          <w:rFonts w:ascii="Times New Roman" w:hAnsi="Times New Roman" w:cs="Times New Roman"/>
          <w:color w:val="000000"/>
          <w:sz w:val="20"/>
          <w:szCs w:val="20"/>
        </w:rPr>
        <w:t>Scal</w:t>
      </w:r>
      <w:proofErr w:type="spellEnd"/>
      <w:r w:rsidR="00C40EC6" w:rsidRPr="00694E72">
        <w:rPr>
          <w:rFonts w:ascii="Times New Roman" w:hAnsi="Times New Roman" w:cs="Times New Roman"/>
          <w:color w:val="000000"/>
          <w:sz w:val="20"/>
          <w:szCs w:val="20"/>
        </w:rPr>
        <w:t xml:space="preserve">+ stem cells. Exp. </w:t>
      </w:r>
      <w:proofErr w:type="spellStart"/>
      <w:r w:rsidR="00C40EC6" w:rsidRPr="00694E72">
        <w:rPr>
          <w:rFonts w:ascii="Times New Roman" w:hAnsi="Times New Roman" w:cs="Times New Roman"/>
          <w:color w:val="000000"/>
          <w:sz w:val="20"/>
          <w:szCs w:val="20"/>
        </w:rPr>
        <w:t>Hematol</w:t>
      </w:r>
      <w:proofErr w:type="spellEnd"/>
      <w:r w:rsidR="00C40EC6" w:rsidRPr="00694E72">
        <w:rPr>
          <w:rFonts w:ascii="Times New Roman" w:hAnsi="Times New Roman" w:cs="Times New Roman"/>
          <w:color w:val="000000"/>
          <w:sz w:val="20"/>
          <w:szCs w:val="20"/>
        </w:rPr>
        <w:t>. 1994; 22: 136-141.</w:t>
      </w:r>
    </w:p>
    <w:p w:rsidR="00E72B14" w:rsidRPr="00694E72" w:rsidRDefault="00E72B14" w:rsidP="00E72B14">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Y</w:t>
      </w:r>
      <w:r w:rsidR="00403D68" w:rsidRPr="00694E72">
        <w:rPr>
          <w:rFonts w:ascii="Times New Roman" w:hAnsi="Times New Roman" w:cs="Times New Roman"/>
          <w:color w:val="000000"/>
          <w:sz w:val="20"/>
          <w:szCs w:val="20"/>
        </w:rPr>
        <w:t>ao CJ, Du W, Chen HB, Xiao S, Wang CH, Fan ZL.</w:t>
      </w:r>
      <w:r w:rsidR="00694E72" w:rsidRPr="00694E72">
        <w:rPr>
          <w:rFonts w:ascii="Times New Roman" w:hAnsi="Times New Roman" w:cs="Times New Roman"/>
          <w:color w:val="000000"/>
          <w:sz w:val="20"/>
          <w:szCs w:val="20"/>
        </w:rPr>
        <w:t xml:space="preserve"> </w:t>
      </w:r>
      <w:r w:rsidR="00403D68" w:rsidRPr="00694E72">
        <w:rPr>
          <w:rFonts w:ascii="Times New Roman" w:hAnsi="Times New Roman" w:cs="Times New Roman"/>
          <w:color w:val="000000"/>
          <w:sz w:val="20"/>
          <w:szCs w:val="20"/>
        </w:rPr>
        <w:t>Associations of IL-10 gene polymorphisms with acute myeloid leukemia in Human, China. Asian Pac. J. Cancer Prev. 2013; 14: 2439-2442.</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C</w:t>
      </w:r>
      <w:r w:rsidR="00403D68" w:rsidRPr="00694E72">
        <w:rPr>
          <w:rFonts w:ascii="Times New Roman" w:hAnsi="Times New Roman" w:cs="Times New Roman"/>
          <w:color w:val="000000"/>
          <w:sz w:val="20"/>
          <w:szCs w:val="20"/>
        </w:rPr>
        <w:t>henjiao</w:t>
      </w:r>
      <w:proofErr w:type="spellEnd"/>
      <w:r w:rsidR="00403D68" w:rsidRPr="00694E72">
        <w:rPr>
          <w:rFonts w:ascii="Times New Roman" w:hAnsi="Times New Roman" w:cs="Times New Roman"/>
          <w:color w:val="000000"/>
          <w:sz w:val="20"/>
          <w:szCs w:val="20"/>
        </w:rPr>
        <w:t xml:space="preserve"> Y, </w:t>
      </w:r>
      <w:proofErr w:type="spellStart"/>
      <w:r w:rsidR="00403D68" w:rsidRPr="00694E72">
        <w:rPr>
          <w:rFonts w:ascii="Times New Roman" w:hAnsi="Times New Roman" w:cs="Times New Roman"/>
          <w:color w:val="000000"/>
          <w:sz w:val="20"/>
          <w:szCs w:val="20"/>
        </w:rPr>
        <w:t>Zili</w:t>
      </w:r>
      <w:proofErr w:type="spellEnd"/>
      <w:r w:rsidR="00403D68" w:rsidRPr="00694E72">
        <w:rPr>
          <w:rFonts w:ascii="Times New Roman" w:hAnsi="Times New Roman" w:cs="Times New Roman"/>
          <w:color w:val="000000"/>
          <w:sz w:val="20"/>
          <w:szCs w:val="20"/>
        </w:rPr>
        <w:t xml:space="preserve"> F, </w:t>
      </w:r>
      <w:proofErr w:type="spellStart"/>
      <w:r w:rsidR="00403D68" w:rsidRPr="00694E72">
        <w:rPr>
          <w:rFonts w:ascii="Times New Roman" w:hAnsi="Times New Roman" w:cs="Times New Roman"/>
          <w:color w:val="000000"/>
          <w:sz w:val="20"/>
          <w:szCs w:val="20"/>
        </w:rPr>
        <w:t>Hai</w:t>
      </w:r>
      <w:proofErr w:type="spellEnd"/>
      <w:r w:rsidR="00403D68" w:rsidRPr="00694E72">
        <w:rPr>
          <w:rFonts w:ascii="Times New Roman" w:hAnsi="Times New Roman" w:cs="Times New Roman"/>
          <w:color w:val="000000"/>
          <w:sz w:val="20"/>
          <w:szCs w:val="20"/>
        </w:rPr>
        <w:t xml:space="preserve"> BC, Ying L, </w:t>
      </w:r>
      <w:proofErr w:type="spellStart"/>
      <w:r w:rsidR="00403D68" w:rsidRPr="00694E72">
        <w:rPr>
          <w:rFonts w:ascii="Times New Roman" w:hAnsi="Times New Roman" w:cs="Times New Roman"/>
          <w:color w:val="000000"/>
          <w:sz w:val="20"/>
          <w:szCs w:val="20"/>
        </w:rPr>
        <w:t>Sheng</w:t>
      </w:r>
      <w:proofErr w:type="spellEnd"/>
      <w:r w:rsidR="00403D68" w:rsidRPr="00694E72">
        <w:rPr>
          <w:rFonts w:ascii="Times New Roman" w:hAnsi="Times New Roman" w:cs="Times New Roman"/>
          <w:color w:val="000000"/>
          <w:sz w:val="20"/>
          <w:szCs w:val="20"/>
        </w:rPr>
        <w:t xml:space="preserve"> X, </w:t>
      </w:r>
      <w:proofErr w:type="spellStart"/>
      <w:r w:rsidR="00403D68" w:rsidRPr="00694E72">
        <w:rPr>
          <w:rFonts w:ascii="Times New Roman" w:hAnsi="Times New Roman" w:cs="Times New Roman"/>
          <w:color w:val="000000"/>
          <w:sz w:val="20"/>
          <w:szCs w:val="20"/>
        </w:rPr>
        <w:t>Lihua</w:t>
      </w:r>
      <w:proofErr w:type="spellEnd"/>
      <w:r w:rsidR="00403D68" w:rsidRPr="00694E72">
        <w:rPr>
          <w:rFonts w:ascii="Times New Roman" w:hAnsi="Times New Roman" w:cs="Times New Roman"/>
          <w:color w:val="000000"/>
          <w:sz w:val="20"/>
          <w:szCs w:val="20"/>
        </w:rPr>
        <w:t xml:space="preserve"> H, </w:t>
      </w:r>
      <w:r w:rsidR="004D581D" w:rsidRPr="00694E72">
        <w:rPr>
          <w:rFonts w:ascii="Times New Roman" w:hAnsi="Times New Roman" w:cs="Times New Roman"/>
          <w:i/>
          <w:iCs/>
          <w:sz w:val="20"/>
          <w:szCs w:val="20"/>
        </w:rPr>
        <w:t>et al.</w:t>
      </w:r>
      <w:r w:rsidR="00403D68" w:rsidRPr="00694E72">
        <w:rPr>
          <w:rFonts w:ascii="Times New Roman" w:hAnsi="Times New Roman" w:cs="Times New Roman"/>
          <w:color w:val="000000"/>
          <w:sz w:val="20"/>
          <w:szCs w:val="20"/>
        </w:rPr>
        <w:t xml:space="preserve">IL-10 promoter polymorphisms affect IL-10 production and associate with susceptibility to acute myeloid leukemia. </w:t>
      </w:r>
      <w:proofErr w:type="spellStart"/>
      <w:r w:rsidR="00403D68" w:rsidRPr="00694E72">
        <w:rPr>
          <w:rFonts w:ascii="Times New Roman" w:hAnsi="Times New Roman" w:cs="Times New Roman"/>
          <w:color w:val="000000"/>
          <w:sz w:val="20"/>
          <w:szCs w:val="20"/>
        </w:rPr>
        <w:t>Pharmazie</w:t>
      </w:r>
      <w:proofErr w:type="spellEnd"/>
      <w:r w:rsidR="00403D68" w:rsidRPr="00694E72">
        <w:rPr>
          <w:rFonts w:ascii="Times New Roman" w:hAnsi="Times New Roman" w:cs="Times New Roman"/>
          <w:color w:val="000000"/>
          <w:sz w:val="20"/>
          <w:szCs w:val="20"/>
        </w:rPr>
        <w:t>. 2013; 68: 201-206.</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lastRenderedPageBreak/>
        <w:t>H</w:t>
      </w:r>
      <w:r w:rsidR="00150492" w:rsidRPr="00694E72">
        <w:rPr>
          <w:rFonts w:ascii="Times New Roman" w:hAnsi="Times New Roman" w:cs="Times New Roman"/>
          <w:color w:val="000000"/>
          <w:sz w:val="20"/>
          <w:szCs w:val="20"/>
        </w:rPr>
        <w:t>amdy</w:t>
      </w:r>
      <w:proofErr w:type="spellEnd"/>
      <w:r w:rsidR="00150492" w:rsidRPr="00694E72">
        <w:rPr>
          <w:rFonts w:ascii="Times New Roman" w:hAnsi="Times New Roman" w:cs="Times New Roman"/>
          <w:color w:val="000000"/>
          <w:sz w:val="20"/>
          <w:szCs w:val="20"/>
        </w:rPr>
        <w:t xml:space="preserve"> SI, Hiratsuka M, </w:t>
      </w:r>
      <w:proofErr w:type="spellStart"/>
      <w:r w:rsidR="00150492" w:rsidRPr="00694E72">
        <w:rPr>
          <w:rFonts w:ascii="Times New Roman" w:hAnsi="Times New Roman" w:cs="Times New Roman"/>
          <w:color w:val="000000"/>
          <w:sz w:val="20"/>
          <w:szCs w:val="20"/>
        </w:rPr>
        <w:t>Narahara</w:t>
      </w:r>
      <w:proofErr w:type="spellEnd"/>
      <w:r w:rsidR="00150492" w:rsidRPr="00694E72">
        <w:rPr>
          <w:rFonts w:ascii="Times New Roman" w:hAnsi="Times New Roman" w:cs="Times New Roman"/>
          <w:color w:val="000000"/>
          <w:sz w:val="20"/>
          <w:szCs w:val="20"/>
        </w:rPr>
        <w:t xml:space="preserve"> K, Endo N, EI-</w:t>
      </w:r>
      <w:proofErr w:type="spellStart"/>
      <w:r w:rsidR="00150492" w:rsidRPr="00694E72">
        <w:rPr>
          <w:rFonts w:ascii="Times New Roman" w:hAnsi="Times New Roman" w:cs="Times New Roman"/>
          <w:color w:val="000000"/>
          <w:sz w:val="20"/>
          <w:szCs w:val="20"/>
        </w:rPr>
        <w:t>Enany</w:t>
      </w:r>
      <w:proofErr w:type="spellEnd"/>
      <w:r w:rsidR="00150492" w:rsidRPr="00694E72">
        <w:rPr>
          <w:rFonts w:ascii="Times New Roman" w:hAnsi="Times New Roman" w:cs="Times New Roman"/>
          <w:color w:val="000000"/>
          <w:sz w:val="20"/>
          <w:szCs w:val="20"/>
        </w:rPr>
        <w:t xml:space="preserve"> M, </w:t>
      </w:r>
      <w:proofErr w:type="spellStart"/>
      <w:r w:rsidR="00150492" w:rsidRPr="00694E72">
        <w:rPr>
          <w:rFonts w:ascii="Times New Roman" w:hAnsi="Times New Roman" w:cs="Times New Roman"/>
          <w:color w:val="000000"/>
          <w:sz w:val="20"/>
          <w:szCs w:val="20"/>
        </w:rPr>
        <w:t>Moursi</w:t>
      </w:r>
      <w:proofErr w:type="spellEnd"/>
      <w:r w:rsidR="00150492" w:rsidRPr="00694E72">
        <w:rPr>
          <w:rFonts w:ascii="Times New Roman" w:hAnsi="Times New Roman" w:cs="Times New Roman"/>
          <w:color w:val="000000"/>
          <w:sz w:val="20"/>
          <w:szCs w:val="20"/>
        </w:rPr>
        <w:t xml:space="preserve"> N, </w:t>
      </w:r>
      <w:r w:rsidR="004D581D" w:rsidRPr="00694E72">
        <w:rPr>
          <w:rFonts w:ascii="Times New Roman" w:hAnsi="Times New Roman" w:cs="Times New Roman"/>
          <w:i/>
          <w:iCs/>
          <w:sz w:val="20"/>
          <w:szCs w:val="20"/>
        </w:rPr>
        <w:t>et al</w:t>
      </w:r>
      <w:r w:rsidR="001B0AE6" w:rsidRPr="00694E72">
        <w:rPr>
          <w:rFonts w:ascii="Times New Roman" w:hAnsi="Times New Roman" w:cs="Times New Roman"/>
          <w:i/>
          <w:iCs/>
          <w:sz w:val="20"/>
          <w:szCs w:val="20"/>
        </w:rPr>
        <w:t>.</w:t>
      </w:r>
      <w:r w:rsidR="00C77D29">
        <w:rPr>
          <w:rFonts w:ascii="Times New Roman" w:hAnsi="Times New Roman" w:cs="Times New Roman" w:hint="eastAsia"/>
          <w:i/>
          <w:iCs/>
          <w:sz w:val="20"/>
          <w:szCs w:val="20"/>
          <w:lang w:eastAsia="zh-CN"/>
        </w:rPr>
        <w:t xml:space="preserve"> </w:t>
      </w:r>
      <w:r w:rsidR="00150492" w:rsidRPr="00694E72">
        <w:rPr>
          <w:rFonts w:ascii="Times New Roman" w:hAnsi="Times New Roman" w:cs="Times New Roman"/>
          <w:color w:val="000000"/>
          <w:sz w:val="20"/>
          <w:szCs w:val="20"/>
        </w:rPr>
        <w:t xml:space="preserve">Genotype and allele frequencies of TPMT, NAT2, GST, SULT1A1 and MDR-1 in the Egyptian population. Br. J. </w:t>
      </w:r>
      <w:proofErr w:type="spellStart"/>
      <w:r w:rsidR="00150492" w:rsidRPr="00694E72">
        <w:rPr>
          <w:rFonts w:ascii="Times New Roman" w:hAnsi="Times New Roman" w:cs="Times New Roman"/>
          <w:color w:val="000000"/>
          <w:sz w:val="20"/>
          <w:szCs w:val="20"/>
        </w:rPr>
        <w:t>Clin</w:t>
      </w:r>
      <w:proofErr w:type="spellEnd"/>
      <w:r w:rsidR="00150492" w:rsidRPr="00694E72">
        <w:rPr>
          <w:rFonts w:ascii="Times New Roman" w:hAnsi="Times New Roman" w:cs="Times New Roman"/>
          <w:color w:val="000000"/>
          <w:sz w:val="20"/>
          <w:szCs w:val="20"/>
        </w:rPr>
        <w:t xml:space="preserve">. </w:t>
      </w:r>
      <w:proofErr w:type="spellStart"/>
      <w:r w:rsidR="00150492" w:rsidRPr="00694E72">
        <w:rPr>
          <w:rFonts w:ascii="Times New Roman" w:hAnsi="Times New Roman" w:cs="Times New Roman"/>
          <w:color w:val="000000"/>
          <w:sz w:val="20"/>
          <w:szCs w:val="20"/>
        </w:rPr>
        <w:t>Pharmacol</w:t>
      </w:r>
      <w:proofErr w:type="spellEnd"/>
      <w:r w:rsidR="00150492" w:rsidRPr="00694E72">
        <w:rPr>
          <w:rFonts w:ascii="Times New Roman" w:hAnsi="Times New Roman" w:cs="Times New Roman"/>
          <w:color w:val="000000"/>
          <w:sz w:val="20"/>
          <w:szCs w:val="20"/>
        </w:rPr>
        <w:t>. 2003; 55: 560–569.</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E</w:t>
      </w:r>
      <w:r w:rsidR="00065173" w:rsidRPr="00694E72">
        <w:rPr>
          <w:rFonts w:ascii="Times New Roman" w:hAnsi="Times New Roman" w:cs="Times New Roman"/>
          <w:color w:val="000000"/>
          <w:sz w:val="20"/>
          <w:szCs w:val="20"/>
        </w:rPr>
        <w:t>l-</w:t>
      </w:r>
      <w:proofErr w:type="spellStart"/>
      <w:r w:rsidR="00065173" w:rsidRPr="00694E72">
        <w:rPr>
          <w:rFonts w:ascii="Times New Roman" w:hAnsi="Times New Roman" w:cs="Times New Roman"/>
          <w:color w:val="000000"/>
          <w:sz w:val="20"/>
          <w:szCs w:val="20"/>
        </w:rPr>
        <w:t>Kafoury</w:t>
      </w:r>
      <w:proofErr w:type="spellEnd"/>
      <w:r w:rsidR="00065173" w:rsidRPr="00694E72">
        <w:rPr>
          <w:rFonts w:ascii="Times New Roman" w:hAnsi="Times New Roman" w:cs="Times New Roman"/>
          <w:color w:val="000000"/>
          <w:sz w:val="20"/>
          <w:szCs w:val="20"/>
        </w:rPr>
        <w:t xml:space="preserve"> AA, </w:t>
      </w:r>
      <w:proofErr w:type="spellStart"/>
      <w:r w:rsidR="00065173" w:rsidRPr="00694E72">
        <w:rPr>
          <w:rFonts w:ascii="Times New Roman" w:hAnsi="Times New Roman" w:cs="Times New Roman"/>
          <w:color w:val="000000"/>
          <w:sz w:val="20"/>
          <w:szCs w:val="20"/>
        </w:rPr>
        <w:t>Haroun</w:t>
      </w:r>
      <w:proofErr w:type="spellEnd"/>
      <w:r w:rsidR="00065173" w:rsidRPr="00694E72">
        <w:rPr>
          <w:rFonts w:ascii="Times New Roman" w:hAnsi="Times New Roman" w:cs="Times New Roman"/>
          <w:color w:val="000000"/>
          <w:sz w:val="20"/>
          <w:szCs w:val="20"/>
        </w:rPr>
        <w:t xml:space="preserve"> M, </w:t>
      </w:r>
      <w:proofErr w:type="spellStart"/>
      <w:r w:rsidR="00065173" w:rsidRPr="00694E72">
        <w:rPr>
          <w:rFonts w:ascii="Times New Roman" w:hAnsi="Times New Roman" w:cs="Times New Roman"/>
          <w:color w:val="000000"/>
          <w:sz w:val="20"/>
          <w:szCs w:val="20"/>
        </w:rPr>
        <w:t>EmbabyAM</w:t>
      </w:r>
      <w:proofErr w:type="spellEnd"/>
      <w:r w:rsidR="009F0EEF" w:rsidRPr="00694E72">
        <w:rPr>
          <w:rFonts w:ascii="Times New Roman" w:hAnsi="Times New Roman" w:cs="Times New Roman"/>
          <w:color w:val="000000"/>
          <w:sz w:val="20"/>
          <w:szCs w:val="20"/>
        </w:rPr>
        <w:t xml:space="preserve">, </w:t>
      </w:r>
      <w:proofErr w:type="spellStart"/>
      <w:r w:rsidR="009F0EEF" w:rsidRPr="00694E72">
        <w:rPr>
          <w:rFonts w:ascii="Times New Roman" w:hAnsi="Times New Roman" w:cs="Times New Roman"/>
          <w:color w:val="000000"/>
          <w:sz w:val="20"/>
          <w:szCs w:val="20"/>
        </w:rPr>
        <w:t>Dawoods</w:t>
      </w:r>
      <w:proofErr w:type="spellEnd"/>
      <w:r w:rsidR="00065173" w:rsidRPr="00694E72">
        <w:rPr>
          <w:rFonts w:ascii="Times New Roman" w:hAnsi="Times New Roman" w:cs="Times New Roman"/>
          <w:color w:val="000000"/>
          <w:sz w:val="20"/>
          <w:szCs w:val="20"/>
        </w:rPr>
        <w:t xml:space="preserve"> AS.</w:t>
      </w:r>
      <w:r w:rsidR="009F0EEF" w:rsidRPr="00694E72">
        <w:rPr>
          <w:rFonts w:ascii="Times New Roman" w:hAnsi="Times New Roman" w:cs="Times New Roman"/>
          <w:color w:val="000000"/>
          <w:sz w:val="20"/>
          <w:szCs w:val="20"/>
        </w:rPr>
        <w:t xml:space="preserve"> The association of polymorphic sites in some genes with type 1 diabetes mellitus in a sample of Egyptian children</w:t>
      </w:r>
      <w:r w:rsidR="00065173" w:rsidRPr="00694E72">
        <w:rPr>
          <w:rFonts w:ascii="Times New Roman" w:hAnsi="Times New Roman" w:cs="Times New Roman"/>
          <w:color w:val="000000"/>
          <w:sz w:val="20"/>
          <w:szCs w:val="20"/>
        </w:rPr>
        <w:t>.</w:t>
      </w:r>
      <w:r w:rsidR="009F0EEF" w:rsidRPr="00694E72">
        <w:rPr>
          <w:rFonts w:ascii="Times New Roman" w:hAnsi="Times New Roman" w:cs="Times New Roman"/>
          <w:color w:val="000000"/>
          <w:sz w:val="20"/>
          <w:szCs w:val="20"/>
        </w:rPr>
        <w:t xml:space="preserve"> Egyptian Journal of Medical Human Genetics</w:t>
      </w:r>
      <w:r w:rsidR="00065173" w:rsidRPr="00694E72">
        <w:rPr>
          <w:rFonts w:ascii="Times New Roman" w:hAnsi="Times New Roman" w:cs="Times New Roman"/>
          <w:color w:val="000000"/>
          <w:sz w:val="20"/>
          <w:szCs w:val="20"/>
        </w:rPr>
        <w:t>. 2014;</w:t>
      </w:r>
      <w:r w:rsidR="009F0EEF" w:rsidRPr="00694E72">
        <w:rPr>
          <w:rFonts w:ascii="Times New Roman" w:hAnsi="Times New Roman" w:cs="Times New Roman"/>
          <w:color w:val="000000"/>
          <w:sz w:val="20"/>
          <w:szCs w:val="20"/>
        </w:rPr>
        <w:t xml:space="preserve"> 15</w:t>
      </w:r>
      <w:r w:rsidR="00065173" w:rsidRPr="00694E72">
        <w:rPr>
          <w:rFonts w:ascii="Times New Roman" w:hAnsi="Times New Roman" w:cs="Times New Roman"/>
          <w:color w:val="000000"/>
          <w:sz w:val="20"/>
          <w:szCs w:val="20"/>
        </w:rPr>
        <w:t>:</w:t>
      </w:r>
      <w:r w:rsidR="009F0EEF" w:rsidRPr="00694E72">
        <w:rPr>
          <w:rFonts w:ascii="Times New Roman" w:hAnsi="Times New Roman" w:cs="Times New Roman"/>
          <w:color w:val="000000"/>
          <w:sz w:val="20"/>
          <w:szCs w:val="20"/>
        </w:rPr>
        <w:t xml:space="preserve"> 265–272</w:t>
      </w:r>
      <w:r w:rsidR="00065173" w:rsidRPr="00694E72">
        <w:rPr>
          <w:rFonts w:ascii="Times New Roman" w:hAnsi="Times New Roman" w:cs="Times New Roman"/>
          <w:color w:val="000000"/>
          <w:sz w:val="20"/>
          <w:szCs w:val="20"/>
        </w:rPr>
        <w:t>.</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K</w:t>
      </w:r>
      <w:r w:rsidR="00EC5DC2" w:rsidRPr="00694E72">
        <w:rPr>
          <w:rFonts w:ascii="Times New Roman" w:hAnsi="Times New Roman" w:cs="Times New Roman"/>
          <w:color w:val="000000"/>
          <w:sz w:val="20"/>
          <w:szCs w:val="20"/>
        </w:rPr>
        <w:t>amel</w:t>
      </w:r>
      <w:proofErr w:type="spellEnd"/>
      <w:r w:rsidR="00EC5DC2" w:rsidRPr="00694E72">
        <w:rPr>
          <w:rFonts w:ascii="Times New Roman" w:hAnsi="Times New Roman" w:cs="Times New Roman"/>
          <w:color w:val="000000"/>
          <w:sz w:val="20"/>
          <w:szCs w:val="20"/>
        </w:rPr>
        <w:t xml:space="preserve"> AM, </w:t>
      </w:r>
      <w:proofErr w:type="spellStart"/>
      <w:r w:rsidR="00EC5DC2" w:rsidRPr="00694E72">
        <w:rPr>
          <w:rFonts w:ascii="Times New Roman" w:hAnsi="Times New Roman" w:cs="Times New Roman"/>
          <w:color w:val="000000"/>
          <w:sz w:val="20"/>
          <w:szCs w:val="20"/>
        </w:rPr>
        <w:t>Ebid</w:t>
      </w:r>
      <w:proofErr w:type="spellEnd"/>
      <w:r w:rsidR="00EC5DC2" w:rsidRPr="00694E72">
        <w:rPr>
          <w:rFonts w:ascii="Times New Roman" w:hAnsi="Times New Roman" w:cs="Times New Roman"/>
          <w:color w:val="000000"/>
          <w:sz w:val="20"/>
          <w:szCs w:val="20"/>
        </w:rPr>
        <w:t xml:space="preserve"> GTA, </w:t>
      </w:r>
      <w:proofErr w:type="spellStart"/>
      <w:r w:rsidR="00EC5DC2" w:rsidRPr="00694E72">
        <w:rPr>
          <w:rFonts w:ascii="Times New Roman" w:hAnsi="Times New Roman" w:cs="Times New Roman"/>
          <w:color w:val="000000"/>
          <w:sz w:val="20"/>
          <w:szCs w:val="20"/>
        </w:rPr>
        <w:t>Moussa</w:t>
      </w:r>
      <w:proofErr w:type="spellEnd"/>
      <w:r w:rsidR="00EC5DC2" w:rsidRPr="00694E72">
        <w:rPr>
          <w:rFonts w:ascii="Times New Roman" w:hAnsi="Times New Roman" w:cs="Times New Roman"/>
          <w:color w:val="000000"/>
          <w:sz w:val="20"/>
          <w:szCs w:val="20"/>
        </w:rPr>
        <w:t xml:space="preserve"> HS. N-</w:t>
      </w:r>
      <w:proofErr w:type="spellStart"/>
      <w:r w:rsidR="00EC5DC2" w:rsidRPr="00694E72">
        <w:rPr>
          <w:rFonts w:ascii="Times New Roman" w:hAnsi="Times New Roman" w:cs="Times New Roman"/>
          <w:color w:val="000000"/>
          <w:sz w:val="20"/>
          <w:szCs w:val="20"/>
        </w:rPr>
        <w:t>Acetyltransferase</w:t>
      </w:r>
      <w:proofErr w:type="spellEnd"/>
      <w:r w:rsidR="00EC5DC2" w:rsidRPr="00694E72">
        <w:rPr>
          <w:rFonts w:ascii="Times New Roman" w:hAnsi="Times New Roman" w:cs="Times New Roman"/>
          <w:color w:val="000000"/>
          <w:sz w:val="20"/>
          <w:szCs w:val="20"/>
        </w:rPr>
        <w:t xml:space="preserve"> 2 (NAT2) polymorphism as a risk modifier of susceptibility to pediatric acute lymphoblastic leukemia. Tumor Biol. 2015; 36: 6341-6348.</w:t>
      </w:r>
    </w:p>
    <w:p w:rsidR="00E72B14" w:rsidRPr="00694E72" w:rsidRDefault="00E72B14" w:rsidP="00E72B14">
      <w:pPr>
        <w:pStyle w:val="ListParagraph"/>
        <w:numPr>
          <w:ilvl w:val="0"/>
          <w:numId w:val="6"/>
        </w:numPr>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V</w:t>
      </w:r>
      <w:r w:rsidR="00183161" w:rsidRPr="00694E72">
        <w:rPr>
          <w:rFonts w:ascii="Times New Roman" w:hAnsi="Times New Roman" w:cs="Times New Roman"/>
          <w:color w:val="000000"/>
          <w:sz w:val="20"/>
          <w:szCs w:val="20"/>
        </w:rPr>
        <w:t>ardiman</w:t>
      </w:r>
      <w:proofErr w:type="spellEnd"/>
      <w:r w:rsidR="00183161" w:rsidRPr="00694E72">
        <w:rPr>
          <w:rFonts w:ascii="Times New Roman" w:hAnsi="Times New Roman" w:cs="Times New Roman"/>
          <w:color w:val="000000"/>
          <w:sz w:val="20"/>
          <w:szCs w:val="20"/>
        </w:rPr>
        <w:t xml:space="preserve"> JW, Thiele J, Arber DA, </w:t>
      </w:r>
      <w:proofErr w:type="spellStart"/>
      <w:r w:rsidR="00183161" w:rsidRPr="00694E72">
        <w:rPr>
          <w:rFonts w:ascii="Times New Roman" w:hAnsi="Times New Roman" w:cs="Times New Roman"/>
          <w:color w:val="000000"/>
          <w:sz w:val="20"/>
          <w:szCs w:val="20"/>
        </w:rPr>
        <w:t>Brunning</w:t>
      </w:r>
      <w:proofErr w:type="spellEnd"/>
      <w:r w:rsidR="00183161" w:rsidRPr="00694E72">
        <w:rPr>
          <w:rFonts w:ascii="Times New Roman" w:hAnsi="Times New Roman" w:cs="Times New Roman"/>
          <w:color w:val="000000"/>
          <w:sz w:val="20"/>
          <w:szCs w:val="20"/>
        </w:rPr>
        <w:t xml:space="preserve"> RD, </w:t>
      </w:r>
      <w:proofErr w:type="spellStart"/>
      <w:r w:rsidR="00183161" w:rsidRPr="00694E72">
        <w:rPr>
          <w:rFonts w:ascii="Times New Roman" w:hAnsi="Times New Roman" w:cs="Times New Roman"/>
          <w:color w:val="000000"/>
          <w:sz w:val="20"/>
          <w:szCs w:val="20"/>
        </w:rPr>
        <w:t>Borowitz</w:t>
      </w:r>
      <w:proofErr w:type="spellEnd"/>
      <w:r w:rsidR="00183161" w:rsidRPr="00694E72">
        <w:rPr>
          <w:rFonts w:ascii="Times New Roman" w:hAnsi="Times New Roman" w:cs="Times New Roman"/>
          <w:color w:val="000000"/>
          <w:sz w:val="20"/>
          <w:szCs w:val="20"/>
        </w:rPr>
        <w:t xml:space="preserve"> MJ, </w:t>
      </w:r>
      <w:proofErr w:type="spellStart"/>
      <w:r w:rsidR="00183161" w:rsidRPr="00694E72">
        <w:rPr>
          <w:rFonts w:ascii="Times New Roman" w:hAnsi="Times New Roman" w:cs="Times New Roman"/>
          <w:color w:val="000000"/>
          <w:sz w:val="20"/>
          <w:szCs w:val="20"/>
        </w:rPr>
        <w:t>Porwit</w:t>
      </w:r>
      <w:proofErr w:type="spellEnd"/>
      <w:r w:rsidR="00183161" w:rsidRPr="00694E72">
        <w:rPr>
          <w:rFonts w:ascii="Times New Roman" w:hAnsi="Times New Roman" w:cs="Times New Roman"/>
          <w:color w:val="000000"/>
          <w:sz w:val="20"/>
          <w:szCs w:val="20"/>
        </w:rPr>
        <w:t xml:space="preserve"> A, </w:t>
      </w:r>
      <w:r w:rsidR="004D581D" w:rsidRPr="00694E72">
        <w:rPr>
          <w:rFonts w:ascii="Times New Roman" w:hAnsi="Times New Roman" w:cs="Times New Roman"/>
          <w:i/>
          <w:iCs/>
          <w:sz w:val="20"/>
          <w:szCs w:val="20"/>
        </w:rPr>
        <w:t>et al.</w:t>
      </w:r>
      <w:r w:rsidR="00C77D29">
        <w:rPr>
          <w:rFonts w:ascii="Times New Roman" w:hAnsi="Times New Roman" w:cs="Times New Roman" w:hint="eastAsia"/>
          <w:i/>
          <w:iCs/>
          <w:sz w:val="20"/>
          <w:szCs w:val="20"/>
          <w:lang w:eastAsia="zh-CN"/>
        </w:rPr>
        <w:t xml:space="preserve"> </w:t>
      </w:r>
      <w:r w:rsidR="00183161" w:rsidRPr="00694E72">
        <w:rPr>
          <w:rFonts w:ascii="Times New Roman" w:hAnsi="Times New Roman" w:cs="Times New Roman"/>
          <w:color w:val="000000"/>
          <w:sz w:val="20"/>
          <w:szCs w:val="20"/>
        </w:rPr>
        <w:t xml:space="preserve">The 2008 revision of the World Health Organization (WHO) classification of myeloid </w:t>
      </w:r>
      <w:proofErr w:type="spellStart"/>
      <w:r w:rsidR="00183161" w:rsidRPr="00694E72">
        <w:rPr>
          <w:rFonts w:ascii="Times New Roman" w:hAnsi="Times New Roman" w:cs="Times New Roman"/>
          <w:color w:val="000000"/>
          <w:sz w:val="20"/>
          <w:szCs w:val="20"/>
        </w:rPr>
        <w:t>neoplasms</w:t>
      </w:r>
      <w:proofErr w:type="spellEnd"/>
      <w:r w:rsidR="00183161" w:rsidRPr="00694E72">
        <w:rPr>
          <w:rFonts w:ascii="Times New Roman" w:hAnsi="Times New Roman" w:cs="Times New Roman"/>
          <w:color w:val="000000"/>
          <w:sz w:val="20"/>
          <w:szCs w:val="20"/>
        </w:rPr>
        <w:t xml:space="preserve"> and acute leukemia: rationale and important changes. Blood. 2009; 114: 937-951.</w:t>
      </w:r>
    </w:p>
    <w:p w:rsidR="00E72B14" w:rsidRPr="00694E72" w:rsidRDefault="00E72B14" w:rsidP="00E72B14">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94E72">
        <w:rPr>
          <w:rFonts w:ascii="Times New Roman" w:eastAsiaTheme="minorHAnsi" w:hAnsi="Times New Roman" w:cs="Times New Roman"/>
          <w:sz w:val="20"/>
          <w:szCs w:val="20"/>
        </w:rPr>
        <w:t>D</w:t>
      </w:r>
      <w:r w:rsidR="00FC6643" w:rsidRPr="00694E72">
        <w:rPr>
          <w:rFonts w:ascii="Times New Roman" w:eastAsiaTheme="minorHAnsi" w:hAnsi="Times New Roman" w:cs="Times New Roman"/>
          <w:sz w:val="20"/>
          <w:szCs w:val="20"/>
        </w:rPr>
        <w:t>awson-Saunders B, Trapp GT (editors). Basic and Clinical Biostatistics. Norwalk, Connecticut, Lange</w:t>
      </w:r>
      <w:r w:rsidR="00C77D29">
        <w:rPr>
          <w:rFonts w:ascii="Times New Roman" w:hAnsi="Times New Roman" w:cs="Times New Roman" w:hint="eastAsia"/>
          <w:sz w:val="20"/>
          <w:szCs w:val="20"/>
          <w:lang w:eastAsia="zh-CN"/>
        </w:rPr>
        <w:t xml:space="preserve"> </w:t>
      </w:r>
      <w:r w:rsidR="00FC6643" w:rsidRPr="00694E72">
        <w:rPr>
          <w:rFonts w:ascii="Times New Roman" w:eastAsiaTheme="minorHAnsi" w:hAnsi="Times New Roman" w:cs="Times New Roman"/>
          <w:sz w:val="20"/>
          <w:szCs w:val="20"/>
        </w:rPr>
        <w:t>Medical Books, Appleton &amp; Lange, 1994, p. 123.</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V</w:t>
      </w:r>
      <w:r w:rsidR="00C21E11" w:rsidRPr="00694E72">
        <w:rPr>
          <w:rFonts w:ascii="Times New Roman" w:hAnsi="Times New Roman" w:cs="Times New Roman"/>
          <w:color w:val="000000"/>
          <w:sz w:val="20"/>
          <w:szCs w:val="20"/>
        </w:rPr>
        <w:t>illalta</w:t>
      </w:r>
      <w:proofErr w:type="spellEnd"/>
      <w:r w:rsidR="00C21E11" w:rsidRPr="00694E72">
        <w:rPr>
          <w:rFonts w:ascii="Times New Roman" w:hAnsi="Times New Roman" w:cs="Times New Roman"/>
          <w:color w:val="000000"/>
          <w:sz w:val="20"/>
          <w:szCs w:val="20"/>
        </w:rPr>
        <w:t xml:space="preserve"> SA, </w:t>
      </w:r>
      <w:proofErr w:type="spellStart"/>
      <w:r w:rsidR="00C21E11" w:rsidRPr="00694E72">
        <w:rPr>
          <w:rFonts w:ascii="Times New Roman" w:hAnsi="Times New Roman" w:cs="Times New Roman"/>
          <w:color w:val="000000"/>
          <w:sz w:val="20"/>
          <w:szCs w:val="20"/>
        </w:rPr>
        <w:t>Rinaldi</w:t>
      </w:r>
      <w:proofErr w:type="spellEnd"/>
      <w:r w:rsidR="00C21E11" w:rsidRPr="00694E72">
        <w:rPr>
          <w:rFonts w:ascii="Times New Roman" w:hAnsi="Times New Roman" w:cs="Times New Roman"/>
          <w:color w:val="000000"/>
          <w:sz w:val="20"/>
          <w:szCs w:val="20"/>
        </w:rPr>
        <w:t xml:space="preserve"> C, Deng B, Liu G, </w:t>
      </w:r>
      <w:proofErr w:type="spellStart"/>
      <w:r w:rsidR="00C21E11" w:rsidRPr="00694E72">
        <w:rPr>
          <w:rFonts w:ascii="Times New Roman" w:hAnsi="Times New Roman" w:cs="Times New Roman"/>
          <w:color w:val="000000"/>
          <w:sz w:val="20"/>
          <w:szCs w:val="20"/>
        </w:rPr>
        <w:t>Fedor</w:t>
      </w:r>
      <w:proofErr w:type="spellEnd"/>
      <w:r w:rsidR="00C21E11" w:rsidRPr="00694E72">
        <w:rPr>
          <w:rFonts w:ascii="Times New Roman" w:hAnsi="Times New Roman" w:cs="Times New Roman"/>
          <w:color w:val="000000"/>
          <w:sz w:val="20"/>
          <w:szCs w:val="20"/>
        </w:rPr>
        <w:t xml:space="preserve"> B, </w:t>
      </w:r>
      <w:proofErr w:type="spellStart"/>
      <w:r w:rsidR="00C21E11" w:rsidRPr="00694E72">
        <w:rPr>
          <w:rFonts w:ascii="Times New Roman" w:hAnsi="Times New Roman" w:cs="Times New Roman"/>
          <w:color w:val="000000"/>
          <w:sz w:val="20"/>
          <w:szCs w:val="20"/>
        </w:rPr>
        <w:t>Tidball</w:t>
      </w:r>
      <w:proofErr w:type="spellEnd"/>
      <w:r w:rsidR="00C21E11" w:rsidRPr="00694E72">
        <w:rPr>
          <w:rFonts w:ascii="Times New Roman" w:hAnsi="Times New Roman" w:cs="Times New Roman"/>
          <w:color w:val="000000"/>
          <w:sz w:val="20"/>
          <w:szCs w:val="20"/>
        </w:rPr>
        <w:t xml:space="preserve"> JG. Interleukin-10 reduces the pathology of </w:t>
      </w:r>
      <w:proofErr w:type="spellStart"/>
      <w:r w:rsidR="00C21E11" w:rsidRPr="00694E72">
        <w:rPr>
          <w:rFonts w:ascii="Times New Roman" w:hAnsi="Times New Roman" w:cs="Times New Roman"/>
          <w:color w:val="000000"/>
          <w:sz w:val="20"/>
          <w:szCs w:val="20"/>
        </w:rPr>
        <w:t>mdx</w:t>
      </w:r>
      <w:proofErr w:type="spellEnd"/>
      <w:r w:rsidR="00C21E11" w:rsidRPr="00694E72">
        <w:rPr>
          <w:rFonts w:ascii="Times New Roman" w:hAnsi="Times New Roman" w:cs="Times New Roman"/>
          <w:color w:val="000000"/>
          <w:sz w:val="20"/>
          <w:szCs w:val="20"/>
        </w:rPr>
        <w:t xml:space="preserve"> muscular dystrophy by deactivating M1 macrophages and modulating macrophage phenotype. Hum. Mol. Genet. 2011; 20: 790-805.</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H</w:t>
      </w:r>
      <w:r w:rsidR="00C21E11" w:rsidRPr="00694E72">
        <w:rPr>
          <w:rFonts w:ascii="Times New Roman" w:hAnsi="Times New Roman" w:cs="Times New Roman"/>
          <w:color w:val="000000"/>
          <w:sz w:val="20"/>
          <w:szCs w:val="20"/>
        </w:rPr>
        <w:t>elminen</w:t>
      </w:r>
      <w:proofErr w:type="spellEnd"/>
      <w:r w:rsidR="00C21E11" w:rsidRPr="00694E72">
        <w:rPr>
          <w:rFonts w:ascii="Times New Roman" w:hAnsi="Times New Roman" w:cs="Times New Roman"/>
          <w:color w:val="000000"/>
          <w:sz w:val="20"/>
          <w:szCs w:val="20"/>
        </w:rPr>
        <w:t xml:space="preserve"> M, </w:t>
      </w:r>
      <w:proofErr w:type="spellStart"/>
      <w:r w:rsidR="00C21E11" w:rsidRPr="00694E72">
        <w:rPr>
          <w:rFonts w:ascii="Times New Roman" w:hAnsi="Times New Roman" w:cs="Times New Roman"/>
          <w:color w:val="000000"/>
          <w:sz w:val="20"/>
          <w:szCs w:val="20"/>
        </w:rPr>
        <w:t>Lahdenpohja</w:t>
      </w:r>
      <w:proofErr w:type="spellEnd"/>
      <w:r w:rsidR="00C21E11" w:rsidRPr="00694E72">
        <w:rPr>
          <w:rFonts w:ascii="Times New Roman" w:hAnsi="Times New Roman" w:cs="Times New Roman"/>
          <w:color w:val="000000"/>
          <w:sz w:val="20"/>
          <w:szCs w:val="20"/>
        </w:rPr>
        <w:t xml:space="preserve"> N, </w:t>
      </w:r>
      <w:proofErr w:type="spellStart"/>
      <w:r w:rsidR="00C21E11" w:rsidRPr="00694E72">
        <w:rPr>
          <w:rFonts w:ascii="Times New Roman" w:hAnsi="Times New Roman" w:cs="Times New Roman"/>
          <w:color w:val="000000"/>
          <w:sz w:val="20"/>
          <w:szCs w:val="20"/>
        </w:rPr>
        <w:t>Hurme</w:t>
      </w:r>
      <w:proofErr w:type="spellEnd"/>
      <w:r w:rsidR="00C21E11" w:rsidRPr="00694E72">
        <w:rPr>
          <w:rFonts w:ascii="Times New Roman" w:hAnsi="Times New Roman" w:cs="Times New Roman"/>
          <w:color w:val="000000"/>
          <w:sz w:val="20"/>
          <w:szCs w:val="20"/>
        </w:rPr>
        <w:t xml:space="preserve"> M. Polymorphism of the interleukin-10 gene is associated with susceptibility to Epstein-Barr virus infection. J. Infect. Dis.1999; 180: 496-499.</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lang w:val="fr-FR"/>
        </w:rPr>
      </w:pPr>
      <w:r w:rsidRPr="00694E72">
        <w:rPr>
          <w:rFonts w:ascii="Times New Roman" w:hAnsi="Times New Roman" w:cs="Times New Roman"/>
          <w:color w:val="000000"/>
          <w:sz w:val="20"/>
          <w:szCs w:val="20"/>
        </w:rPr>
        <w:t>C</w:t>
      </w:r>
      <w:r w:rsidR="004612AD" w:rsidRPr="00694E72">
        <w:rPr>
          <w:rFonts w:ascii="Times New Roman" w:hAnsi="Times New Roman" w:cs="Times New Roman"/>
          <w:color w:val="000000"/>
          <w:sz w:val="20"/>
          <w:szCs w:val="20"/>
        </w:rPr>
        <w:t xml:space="preserve">hen KF, Li B, Wei YG, </w:t>
      </w:r>
      <w:proofErr w:type="spellStart"/>
      <w:r w:rsidR="004612AD" w:rsidRPr="00694E72">
        <w:rPr>
          <w:rFonts w:ascii="Times New Roman" w:hAnsi="Times New Roman" w:cs="Times New Roman"/>
          <w:color w:val="000000"/>
          <w:sz w:val="20"/>
          <w:szCs w:val="20"/>
        </w:rPr>
        <w:t>Peng</w:t>
      </w:r>
      <w:proofErr w:type="spellEnd"/>
      <w:r w:rsidR="004612AD" w:rsidRPr="00694E72">
        <w:rPr>
          <w:rFonts w:ascii="Times New Roman" w:hAnsi="Times New Roman" w:cs="Times New Roman"/>
          <w:color w:val="000000"/>
          <w:sz w:val="20"/>
          <w:szCs w:val="20"/>
        </w:rPr>
        <w:t xml:space="preserve"> CJ. Interleukin-10 -819 promoter polymorphism associated with gastric cancer among Asians. </w:t>
      </w:r>
      <w:r w:rsidR="004612AD" w:rsidRPr="00694E72">
        <w:rPr>
          <w:rFonts w:ascii="Times New Roman" w:hAnsi="Times New Roman" w:cs="Times New Roman"/>
          <w:color w:val="000000"/>
          <w:sz w:val="20"/>
          <w:szCs w:val="20"/>
          <w:lang w:val="fr-FR"/>
        </w:rPr>
        <w:t>J. Int. Med. Res. 2010; 38: 1-8.</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lang w:val="fr-FR"/>
        </w:rPr>
        <w:t>Z</w:t>
      </w:r>
      <w:r w:rsidR="004612AD" w:rsidRPr="00694E72">
        <w:rPr>
          <w:rFonts w:ascii="Times New Roman" w:hAnsi="Times New Roman" w:cs="Times New Roman"/>
          <w:color w:val="000000"/>
          <w:sz w:val="20"/>
          <w:szCs w:val="20"/>
          <w:lang w:val="fr-FR"/>
        </w:rPr>
        <w:t xml:space="preserve">huang W, Wu XT, Zhou Y, Liu L, Liu GJ, Wu TX, </w:t>
      </w:r>
      <w:r w:rsidR="004D581D" w:rsidRPr="00694E72">
        <w:rPr>
          <w:rFonts w:ascii="Times New Roman" w:hAnsi="Times New Roman" w:cs="Times New Roman"/>
          <w:i/>
          <w:iCs/>
          <w:sz w:val="20"/>
          <w:szCs w:val="20"/>
          <w:lang w:val="fr-FR"/>
        </w:rPr>
        <w:t>et al.</w:t>
      </w:r>
      <w:r w:rsidR="004612AD" w:rsidRPr="00694E72">
        <w:rPr>
          <w:rFonts w:ascii="Times New Roman" w:hAnsi="Times New Roman" w:cs="Times New Roman"/>
          <w:sz w:val="20"/>
          <w:szCs w:val="20"/>
        </w:rPr>
        <w:t xml:space="preserve">Interleukin10 </w:t>
      </w:r>
      <w:r w:rsidR="004612AD" w:rsidRPr="00694E72">
        <w:rPr>
          <w:rFonts w:ascii="Times New Roman" w:hAnsi="Times New Roman" w:cs="Times New Roman"/>
          <w:color w:val="000000"/>
          <w:sz w:val="20"/>
          <w:szCs w:val="20"/>
        </w:rPr>
        <w:t>-592 promoter polymorphism associated with gastric cancer among Asians: a meta-analysis of epidemiologic studies. Dig.</w:t>
      </w:r>
      <w:r w:rsidR="00694E72" w:rsidRPr="00694E72">
        <w:rPr>
          <w:rFonts w:ascii="Times New Roman" w:hAnsi="Times New Roman" w:cs="Times New Roman"/>
          <w:color w:val="000000"/>
          <w:sz w:val="20"/>
          <w:szCs w:val="20"/>
        </w:rPr>
        <w:t xml:space="preserve"> </w:t>
      </w:r>
      <w:r w:rsidR="004612AD" w:rsidRPr="00694E72">
        <w:rPr>
          <w:rFonts w:ascii="Times New Roman" w:hAnsi="Times New Roman" w:cs="Times New Roman"/>
          <w:color w:val="000000"/>
          <w:sz w:val="20"/>
          <w:szCs w:val="20"/>
        </w:rPr>
        <w:t>Dis. Sci. 2010; 55: 1525-1532.</w:t>
      </w:r>
    </w:p>
    <w:p w:rsidR="00E72B14" w:rsidRPr="00694E72" w:rsidRDefault="00E72B14" w:rsidP="00E72B14">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C</w:t>
      </w:r>
      <w:r w:rsidR="00910382" w:rsidRPr="00694E72">
        <w:rPr>
          <w:rFonts w:ascii="Times New Roman" w:hAnsi="Times New Roman" w:cs="Times New Roman"/>
          <w:color w:val="000000"/>
          <w:sz w:val="20"/>
          <w:szCs w:val="20"/>
        </w:rPr>
        <w:t xml:space="preserve">unningham LM, Chapman C, Dunstan R, Bell MC, </w:t>
      </w:r>
      <w:proofErr w:type="spellStart"/>
      <w:r w:rsidR="00910382" w:rsidRPr="00694E72">
        <w:rPr>
          <w:rFonts w:ascii="Times New Roman" w:hAnsi="Times New Roman" w:cs="Times New Roman"/>
          <w:color w:val="000000"/>
          <w:sz w:val="20"/>
          <w:szCs w:val="20"/>
        </w:rPr>
        <w:t>Joske</w:t>
      </w:r>
      <w:proofErr w:type="spellEnd"/>
      <w:r w:rsidR="00910382" w:rsidRPr="00694E72">
        <w:rPr>
          <w:rFonts w:ascii="Times New Roman" w:hAnsi="Times New Roman" w:cs="Times New Roman"/>
          <w:color w:val="000000"/>
          <w:sz w:val="20"/>
          <w:szCs w:val="20"/>
        </w:rPr>
        <w:t xml:space="preserve"> DJ. Polymorphisms in the interleukin 10 gene promoter are associated with susceptibility to aggressive non-Hodgkin’s lymphoma. </w:t>
      </w:r>
      <w:proofErr w:type="spellStart"/>
      <w:r w:rsidR="00910382" w:rsidRPr="00694E72">
        <w:rPr>
          <w:rFonts w:ascii="Times New Roman" w:hAnsi="Times New Roman" w:cs="Times New Roman"/>
          <w:color w:val="000000"/>
          <w:sz w:val="20"/>
          <w:szCs w:val="20"/>
        </w:rPr>
        <w:t>Leuk</w:t>
      </w:r>
      <w:proofErr w:type="spellEnd"/>
      <w:r w:rsidR="00910382" w:rsidRPr="00694E72">
        <w:rPr>
          <w:rFonts w:ascii="Times New Roman" w:hAnsi="Times New Roman" w:cs="Times New Roman"/>
          <w:color w:val="000000"/>
          <w:sz w:val="20"/>
          <w:szCs w:val="20"/>
        </w:rPr>
        <w:t>. Lymphoma. 2003; 44: 251-255.</w:t>
      </w:r>
    </w:p>
    <w:p w:rsidR="00E72B14" w:rsidRPr="00694E72" w:rsidRDefault="00E72B14" w:rsidP="00E72B14">
      <w:pPr>
        <w:pStyle w:val="ListParagraph"/>
        <w:numPr>
          <w:ilvl w:val="0"/>
          <w:numId w:val="6"/>
        </w:numPr>
        <w:snapToGrid w:val="0"/>
        <w:spacing w:after="0" w:line="240" w:lineRule="auto"/>
        <w:jc w:val="both"/>
        <w:rPr>
          <w:rFonts w:ascii="Times New Roman" w:hAnsi="Times New Roman" w:cs="Times New Roman"/>
          <w:color w:val="000000"/>
          <w:sz w:val="20"/>
          <w:szCs w:val="20"/>
          <w:lang w:val="fr-FR"/>
        </w:rPr>
      </w:pPr>
      <w:r w:rsidRPr="00694E72">
        <w:rPr>
          <w:rFonts w:ascii="Times New Roman" w:hAnsi="Times New Roman" w:cs="Times New Roman"/>
          <w:color w:val="000000"/>
          <w:sz w:val="20"/>
          <w:szCs w:val="20"/>
        </w:rPr>
        <w:t>H</w:t>
      </w:r>
      <w:r w:rsidR="007364BF" w:rsidRPr="00694E72">
        <w:rPr>
          <w:rFonts w:ascii="Times New Roman" w:hAnsi="Times New Roman" w:cs="Times New Roman"/>
          <w:color w:val="000000"/>
          <w:sz w:val="20"/>
          <w:szCs w:val="20"/>
        </w:rPr>
        <w:t>owell WM, Rose-</w:t>
      </w:r>
      <w:proofErr w:type="spellStart"/>
      <w:r w:rsidR="007364BF" w:rsidRPr="00694E72">
        <w:rPr>
          <w:rFonts w:ascii="Times New Roman" w:hAnsi="Times New Roman" w:cs="Times New Roman"/>
          <w:color w:val="000000"/>
          <w:sz w:val="20"/>
          <w:szCs w:val="20"/>
        </w:rPr>
        <w:t>Zerilli</w:t>
      </w:r>
      <w:proofErr w:type="spellEnd"/>
      <w:r w:rsidR="007364BF" w:rsidRPr="00694E72">
        <w:rPr>
          <w:rFonts w:ascii="Times New Roman" w:hAnsi="Times New Roman" w:cs="Times New Roman"/>
          <w:color w:val="000000"/>
          <w:sz w:val="20"/>
          <w:szCs w:val="20"/>
        </w:rPr>
        <w:t xml:space="preserve"> MJ. Cytokine gene polymorphisms, cancer susceptibility, and prognosis. </w:t>
      </w:r>
      <w:r w:rsidR="007364BF" w:rsidRPr="00694E72">
        <w:rPr>
          <w:rFonts w:ascii="Times New Roman" w:hAnsi="Times New Roman" w:cs="Times New Roman"/>
          <w:color w:val="000000"/>
          <w:sz w:val="20"/>
          <w:szCs w:val="20"/>
          <w:lang w:val="fr-FR"/>
        </w:rPr>
        <w:t>J. Nutr. 2007; 137: 194-199.</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lang w:val="fr-FR"/>
        </w:rPr>
        <w:t>P</w:t>
      </w:r>
      <w:r w:rsidR="0057755E" w:rsidRPr="00694E72">
        <w:rPr>
          <w:rFonts w:ascii="Times New Roman" w:hAnsi="Times New Roman" w:cs="Times New Roman"/>
          <w:color w:val="000000"/>
          <w:sz w:val="20"/>
          <w:szCs w:val="20"/>
          <w:lang w:val="fr-FR"/>
        </w:rPr>
        <w:t xml:space="preserve">an XF, Yang SJ, Loh M, Xie Y, Wen YY, Tian Z, </w:t>
      </w:r>
      <w:r w:rsidR="004D581D" w:rsidRPr="00694E72">
        <w:rPr>
          <w:rFonts w:ascii="Times New Roman" w:hAnsi="Times New Roman" w:cs="Times New Roman"/>
          <w:i/>
          <w:iCs/>
          <w:sz w:val="20"/>
          <w:szCs w:val="20"/>
          <w:lang w:val="fr-FR"/>
        </w:rPr>
        <w:t>et al.</w:t>
      </w:r>
      <w:r w:rsidR="00F73727">
        <w:rPr>
          <w:rFonts w:ascii="Times New Roman" w:hAnsi="Times New Roman" w:cs="Times New Roman"/>
          <w:i/>
          <w:iCs/>
          <w:sz w:val="20"/>
          <w:szCs w:val="20"/>
          <w:lang w:val="fr-FR"/>
        </w:rPr>
        <w:t xml:space="preserve"> </w:t>
      </w:r>
      <w:r w:rsidR="0057755E" w:rsidRPr="00694E72">
        <w:rPr>
          <w:rFonts w:ascii="Times New Roman" w:hAnsi="Times New Roman" w:cs="Times New Roman"/>
          <w:sz w:val="20"/>
          <w:szCs w:val="20"/>
        </w:rPr>
        <w:t>Interleukin</w:t>
      </w:r>
      <w:r w:rsidR="0057755E" w:rsidRPr="00694E72">
        <w:rPr>
          <w:rFonts w:ascii="Times New Roman" w:hAnsi="Times New Roman" w:cs="Times New Roman"/>
          <w:color w:val="000000"/>
          <w:sz w:val="20"/>
          <w:szCs w:val="20"/>
        </w:rPr>
        <w:t xml:space="preserve">-10 gene promoter </w:t>
      </w:r>
      <w:r w:rsidR="0057755E" w:rsidRPr="00694E72">
        <w:rPr>
          <w:rFonts w:ascii="Times New Roman" w:hAnsi="Times New Roman" w:cs="Times New Roman"/>
          <w:color w:val="000000"/>
          <w:sz w:val="20"/>
          <w:szCs w:val="20"/>
        </w:rPr>
        <w:lastRenderedPageBreak/>
        <w:t xml:space="preserve">polymorphisms and risk of gastric cancer in a Chinese population: single nucleotide and </w:t>
      </w:r>
      <w:proofErr w:type="spellStart"/>
      <w:r w:rsidR="0057755E" w:rsidRPr="00694E72">
        <w:rPr>
          <w:rFonts w:ascii="Times New Roman" w:hAnsi="Times New Roman" w:cs="Times New Roman"/>
          <w:color w:val="000000"/>
          <w:sz w:val="20"/>
          <w:szCs w:val="20"/>
        </w:rPr>
        <w:t>haplotype</w:t>
      </w:r>
      <w:proofErr w:type="spellEnd"/>
      <w:r w:rsidR="0057755E" w:rsidRPr="00694E72">
        <w:rPr>
          <w:rFonts w:ascii="Times New Roman" w:hAnsi="Times New Roman" w:cs="Times New Roman"/>
          <w:color w:val="000000"/>
          <w:sz w:val="20"/>
          <w:szCs w:val="20"/>
        </w:rPr>
        <w:t xml:space="preserve"> analyses. Asian Pac. J. Cancer Prev. 2013; 14: 2577-2582.</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S</w:t>
      </w:r>
      <w:r w:rsidR="0057755E" w:rsidRPr="00694E72">
        <w:rPr>
          <w:rFonts w:ascii="Times New Roman" w:hAnsi="Times New Roman" w:cs="Times New Roman"/>
          <w:color w:val="000000"/>
          <w:sz w:val="20"/>
          <w:szCs w:val="20"/>
        </w:rPr>
        <w:t xml:space="preserve">un JM, Li Q, </w:t>
      </w:r>
      <w:proofErr w:type="spellStart"/>
      <w:r w:rsidR="0057755E" w:rsidRPr="00694E72">
        <w:rPr>
          <w:rFonts w:ascii="Times New Roman" w:hAnsi="Times New Roman" w:cs="Times New Roman"/>
          <w:color w:val="000000"/>
          <w:sz w:val="20"/>
          <w:szCs w:val="20"/>
        </w:rPr>
        <w:t>Gu</w:t>
      </w:r>
      <w:proofErr w:type="spellEnd"/>
      <w:r w:rsidR="0057755E" w:rsidRPr="00694E72">
        <w:rPr>
          <w:rFonts w:ascii="Times New Roman" w:hAnsi="Times New Roman" w:cs="Times New Roman"/>
          <w:color w:val="000000"/>
          <w:sz w:val="20"/>
          <w:szCs w:val="20"/>
        </w:rPr>
        <w:t xml:space="preserve"> HY, Chen YJ, Wei JS, Zhu Q, </w:t>
      </w:r>
      <w:r w:rsidR="004D581D" w:rsidRPr="00694E72">
        <w:rPr>
          <w:rFonts w:ascii="Times New Roman" w:hAnsi="Times New Roman" w:cs="Times New Roman"/>
          <w:i/>
          <w:iCs/>
          <w:sz w:val="20"/>
          <w:szCs w:val="20"/>
        </w:rPr>
        <w:t>et al.</w:t>
      </w:r>
      <w:r w:rsidR="00C77D29">
        <w:rPr>
          <w:rFonts w:ascii="Times New Roman" w:hAnsi="Times New Roman" w:cs="Times New Roman" w:hint="eastAsia"/>
          <w:i/>
          <w:iCs/>
          <w:sz w:val="20"/>
          <w:szCs w:val="20"/>
          <w:lang w:eastAsia="zh-CN"/>
        </w:rPr>
        <w:t xml:space="preserve"> </w:t>
      </w:r>
      <w:r w:rsidR="0057755E" w:rsidRPr="00694E72">
        <w:rPr>
          <w:rFonts w:ascii="Times New Roman" w:hAnsi="Times New Roman" w:cs="Times New Roman"/>
          <w:color w:val="000000"/>
          <w:sz w:val="20"/>
          <w:szCs w:val="20"/>
        </w:rPr>
        <w:t>Interleukin 10 rs1800872 T/ G polymorphism was associated with an increased risk of esophageal cancer in a Chinese population. Asian Pac. J. Cancer Prev. 2013; 14: 3443-3447.</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lang w:val="fr-FR"/>
        </w:rPr>
        <w:t>L</w:t>
      </w:r>
      <w:r w:rsidR="0057755E" w:rsidRPr="00694E72">
        <w:rPr>
          <w:rFonts w:ascii="Times New Roman" w:hAnsi="Times New Roman" w:cs="Times New Roman"/>
          <w:color w:val="000000"/>
          <w:sz w:val="20"/>
          <w:szCs w:val="20"/>
          <w:lang w:val="fr-FR"/>
        </w:rPr>
        <w:t xml:space="preserve">an Q, Zheng T, Rthoman N, Zhang Y, Wang SS, Shen M, </w:t>
      </w:r>
      <w:r w:rsidR="004D581D" w:rsidRPr="00694E72">
        <w:rPr>
          <w:rFonts w:ascii="Times New Roman" w:hAnsi="Times New Roman" w:cs="Times New Roman"/>
          <w:i/>
          <w:iCs/>
          <w:sz w:val="20"/>
          <w:szCs w:val="20"/>
          <w:lang w:val="fr-FR"/>
        </w:rPr>
        <w:t>et al.</w:t>
      </w:r>
      <w:r w:rsidR="00C77D29">
        <w:rPr>
          <w:rFonts w:ascii="Times New Roman" w:hAnsi="Times New Roman" w:cs="Times New Roman" w:hint="eastAsia"/>
          <w:i/>
          <w:iCs/>
          <w:sz w:val="20"/>
          <w:szCs w:val="20"/>
          <w:lang w:val="fr-FR" w:eastAsia="zh-CN"/>
        </w:rPr>
        <w:t xml:space="preserve"> </w:t>
      </w:r>
      <w:r w:rsidR="0057755E" w:rsidRPr="00694E72">
        <w:rPr>
          <w:rFonts w:ascii="Times New Roman" w:hAnsi="Times New Roman" w:cs="Times New Roman"/>
          <w:color w:val="000000"/>
          <w:sz w:val="20"/>
          <w:szCs w:val="20"/>
        </w:rPr>
        <w:t>Cytokine polymorphisms in the Th1/Th2 pathway and susceptibility to non-Hodgkin lymphoma. Blood. 2006; 107: 4101- 4108.</w:t>
      </w:r>
    </w:p>
    <w:p w:rsidR="00E72B14" w:rsidRPr="00694E72" w:rsidRDefault="00E72B14" w:rsidP="00E72B14">
      <w:pPr>
        <w:pStyle w:val="ListParagraph"/>
        <w:numPr>
          <w:ilvl w:val="0"/>
          <w:numId w:val="6"/>
        </w:numPr>
        <w:snapToGrid w:val="0"/>
        <w:spacing w:after="0" w:line="240" w:lineRule="auto"/>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S</w:t>
      </w:r>
      <w:r w:rsidR="00AB43D5" w:rsidRPr="00694E72">
        <w:rPr>
          <w:rFonts w:ascii="Times New Roman" w:hAnsi="Times New Roman" w:cs="Times New Roman"/>
          <w:color w:val="000000"/>
          <w:sz w:val="20"/>
          <w:szCs w:val="20"/>
        </w:rPr>
        <w:t xml:space="preserve">haker OG, </w:t>
      </w:r>
      <w:proofErr w:type="spellStart"/>
      <w:r w:rsidR="00AB43D5" w:rsidRPr="00694E72">
        <w:rPr>
          <w:rFonts w:ascii="Times New Roman" w:hAnsi="Times New Roman" w:cs="Times New Roman"/>
          <w:color w:val="000000"/>
          <w:sz w:val="20"/>
          <w:szCs w:val="20"/>
        </w:rPr>
        <w:t>Sadik</w:t>
      </w:r>
      <w:proofErr w:type="spellEnd"/>
      <w:r w:rsidR="00AB43D5" w:rsidRPr="00694E72">
        <w:rPr>
          <w:rFonts w:ascii="Times New Roman" w:hAnsi="Times New Roman" w:cs="Times New Roman"/>
          <w:color w:val="000000"/>
          <w:sz w:val="20"/>
          <w:szCs w:val="20"/>
        </w:rPr>
        <w:t xml:space="preserve"> NAH. Polymorphisms in interleukin-10 and interleukin-28B genes in </w:t>
      </w:r>
      <w:r w:rsidR="00AB43D5" w:rsidRPr="00694E72">
        <w:rPr>
          <w:rFonts w:ascii="Times New Roman" w:hAnsi="Times New Roman" w:cs="Times New Roman"/>
          <w:color w:val="000000"/>
          <w:sz w:val="20"/>
          <w:szCs w:val="20"/>
        </w:rPr>
        <w:lastRenderedPageBreak/>
        <w:t xml:space="preserve">Egyptian patients with chronic hepatitis C virus genotype 4 and their effect on the response to </w:t>
      </w:r>
      <w:proofErr w:type="spellStart"/>
      <w:r w:rsidR="00AB43D5" w:rsidRPr="00694E72">
        <w:rPr>
          <w:rFonts w:ascii="Times New Roman" w:hAnsi="Times New Roman" w:cs="Times New Roman"/>
          <w:color w:val="000000"/>
          <w:sz w:val="20"/>
          <w:szCs w:val="20"/>
        </w:rPr>
        <w:t>pegylated</w:t>
      </w:r>
      <w:proofErr w:type="spellEnd"/>
      <w:r w:rsidR="00AB43D5" w:rsidRPr="00694E72">
        <w:rPr>
          <w:rFonts w:ascii="Times New Roman" w:hAnsi="Times New Roman" w:cs="Times New Roman"/>
          <w:color w:val="000000"/>
          <w:sz w:val="20"/>
          <w:szCs w:val="20"/>
        </w:rPr>
        <w:t xml:space="preserve"> interferon/</w:t>
      </w:r>
      <w:proofErr w:type="spellStart"/>
      <w:r w:rsidR="00AB43D5" w:rsidRPr="00694E72">
        <w:rPr>
          <w:rFonts w:ascii="Times New Roman" w:hAnsi="Times New Roman" w:cs="Times New Roman"/>
          <w:color w:val="000000"/>
          <w:sz w:val="20"/>
          <w:szCs w:val="20"/>
        </w:rPr>
        <w:t>ribavirin</w:t>
      </w:r>
      <w:proofErr w:type="spellEnd"/>
      <w:r w:rsidR="00AB43D5" w:rsidRPr="00694E72">
        <w:rPr>
          <w:rFonts w:ascii="Times New Roman" w:hAnsi="Times New Roman" w:cs="Times New Roman"/>
          <w:color w:val="000000"/>
          <w:sz w:val="20"/>
          <w:szCs w:val="20"/>
        </w:rPr>
        <w:t xml:space="preserve">-therapy. Journal of Gastroenterology and </w:t>
      </w:r>
      <w:proofErr w:type="spellStart"/>
      <w:r w:rsidR="00AB43D5" w:rsidRPr="00694E72">
        <w:rPr>
          <w:rFonts w:ascii="Times New Roman" w:hAnsi="Times New Roman" w:cs="Times New Roman"/>
          <w:color w:val="000000"/>
          <w:sz w:val="20"/>
          <w:szCs w:val="20"/>
        </w:rPr>
        <w:t>Hepatology</w:t>
      </w:r>
      <w:proofErr w:type="spellEnd"/>
      <w:r w:rsidR="00AB43D5" w:rsidRPr="00694E72">
        <w:rPr>
          <w:rFonts w:ascii="Times New Roman" w:hAnsi="Times New Roman" w:cs="Times New Roman"/>
          <w:color w:val="000000"/>
          <w:sz w:val="20"/>
          <w:szCs w:val="20"/>
        </w:rPr>
        <w:t>. 2012; 27: 1842–1849.</w:t>
      </w:r>
    </w:p>
    <w:p w:rsidR="00E72B14" w:rsidRPr="00694E72" w:rsidRDefault="00E72B14" w:rsidP="00E72B14">
      <w:pPr>
        <w:pStyle w:val="ListParagraph"/>
        <w:numPr>
          <w:ilvl w:val="0"/>
          <w:numId w:val="6"/>
        </w:numPr>
        <w:shd w:val="clear" w:color="auto" w:fill="FFFFFF"/>
        <w:snapToGrid w:val="0"/>
        <w:spacing w:after="0" w:line="240" w:lineRule="auto"/>
        <w:jc w:val="both"/>
        <w:rPr>
          <w:rFonts w:ascii="Times New Roman" w:hAnsi="Times New Roman" w:cs="Times New Roman"/>
          <w:color w:val="000000"/>
          <w:sz w:val="20"/>
          <w:szCs w:val="20"/>
        </w:rPr>
      </w:pPr>
      <w:proofErr w:type="spellStart"/>
      <w:r w:rsidRPr="00694E72">
        <w:rPr>
          <w:rFonts w:ascii="Times New Roman" w:hAnsi="Times New Roman" w:cs="Times New Roman"/>
          <w:color w:val="000000"/>
          <w:sz w:val="20"/>
          <w:szCs w:val="20"/>
        </w:rPr>
        <w:t>P</w:t>
      </w:r>
      <w:r w:rsidR="0089198B" w:rsidRPr="00694E72">
        <w:rPr>
          <w:rFonts w:ascii="Times New Roman" w:hAnsi="Times New Roman" w:cs="Times New Roman"/>
          <w:color w:val="000000"/>
          <w:sz w:val="20"/>
          <w:szCs w:val="20"/>
        </w:rPr>
        <w:t>edergnana</w:t>
      </w:r>
      <w:proofErr w:type="spellEnd"/>
      <w:r w:rsidR="0089198B" w:rsidRPr="00694E72">
        <w:rPr>
          <w:rFonts w:ascii="Times New Roman" w:hAnsi="Times New Roman" w:cs="Times New Roman"/>
          <w:color w:val="000000"/>
          <w:sz w:val="20"/>
          <w:szCs w:val="20"/>
        </w:rPr>
        <w:t xml:space="preserve"> V, Abdel-</w:t>
      </w:r>
      <w:proofErr w:type="spellStart"/>
      <w:r w:rsidR="0089198B" w:rsidRPr="00694E72">
        <w:rPr>
          <w:rFonts w:ascii="Times New Roman" w:hAnsi="Times New Roman" w:cs="Times New Roman"/>
          <w:color w:val="000000"/>
          <w:sz w:val="20"/>
          <w:szCs w:val="20"/>
        </w:rPr>
        <w:t>Hamid</w:t>
      </w:r>
      <w:proofErr w:type="spellEnd"/>
      <w:r w:rsidR="0089198B" w:rsidRPr="00694E72">
        <w:rPr>
          <w:rFonts w:ascii="Times New Roman" w:hAnsi="Times New Roman" w:cs="Times New Roman"/>
          <w:color w:val="000000"/>
          <w:sz w:val="20"/>
          <w:szCs w:val="20"/>
        </w:rPr>
        <w:t xml:space="preserve"> M, </w:t>
      </w:r>
      <w:proofErr w:type="spellStart"/>
      <w:r w:rsidR="0089198B" w:rsidRPr="00694E72">
        <w:rPr>
          <w:rFonts w:ascii="Times New Roman" w:hAnsi="Times New Roman" w:cs="Times New Roman"/>
          <w:color w:val="000000"/>
          <w:sz w:val="20"/>
          <w:szCs w:val="20"/>
        </w:rPr>
        <w:t>Guergnon</w:t>
      </w:r>
      <w:proofErr w:type="spellEnd"/>
      <w:r w:rsidR="0089198B" w:rsidRPr="00694E72">
        <w:rPr>
          <w:rFonts w:ascii="Times New Roman" w:hAnsi="Times New Roman" w:cs="Times New Roman"/>
          <w:color w:val="000000"/>
          <w:sz w:val="20"/>
          <w:szCs w:val="20"/>
        </w:rPr>
        <w:t xml:space="preserve"> J, </w:t>
      </w:r>
      <w:proofErr w:type="spellStart"/>
      <w:r w:rsidR="0089198B" w:rsidRPr="00694E72">
        <w:rPr>
          <w:rFonts w:ascii="Times New Roman" w:hAnsi="Times New Roman" w:cs="Times New Roman"/>
          <w:color w:val="000000"/>
          <w:sz w:val="20"/>
          <w:szCs w:val="20"/>
        </w:rPr>
        <w:t>Mohsen</w:t>
      </w:r>
      <w:proofErr w:type="spellEnd"/>
      <w:r w:rsidR="0089198B" w:rsidRPr="00694E72">
        <w:rPr>
          <w:rFonts w:ascii="Times New Roman" w:hAnsi="Times New Roman" w:cs="Times New Roman"/>
          <w:color w:val="000000"/>
          <w:sz w:val="20"/>
          <w:szCs w:val="20"/>
        </w:rPr>
        <w:t xml:space="preserve"> A, Le Fouler L, </w:t>
      </w:r>
      <w:proofErr w:type="spellStart"/>
      <w:r w:rsidR="0089198B" w:rsidRPr="00694E72">
        <w:rPr>
          <w:rFonts w:ascii="Times New Roman" w:hAnsi="Times New Roman" w:cs="Times New Roman"/>
          <w:color w:val="000000"/>
          <w:sz w:val="20"/>
          <w:szCs w:val="20"/>
        </w:rPr>
        <w:t>Theodorou</w:t>
      </w:r>
      <w:proofErr w:type="spellEnd"/>
      <w:r w:rsidR="0089198B" w:rsidRPr="00694E72">
        <w:rPr>
          <w:rFonts w:ascii="Times New Roman" w:hAnsi="Times New Roman" w:cs="Times New Roman"/>
          <w:color w:val="000000"/>
          <w:sz w:val="20"/>
          <w:szCs w:val="20"/>
        </w:rPr>
        <w:t xml:space="preserve"> I, </w:t>
      </w:r>
      <w:r w:rsidR="004D581D" w:rsidRPr="00694E72">
        <w:rPr>
          <w:rFonts w:ascii="Times New Roman" w:hAnsi="Times New Roman" w:cs="Times New Roman"/>
          <w:i/>
          <w:iCs/>
          <w:sz w:val="20"/>
          <w:szCs w:val="20"/>
        </w:rPr>
        <w:t>et al.</w:t>
      </w:r>
      <w:r w:rsidR="00C77D29">
        <w:rPr>
          <w:rFonts w:ascii="Times New Roman" w:hAnsi="Times New Roman" w:cs="Times New Roman" w:hint="eastAsia"/>
          <w:i/>
          <w:iCs/>
          <w:sz w:val="20"/>
          <w:szCs w:val="20"/>
          <w:lang w:eastAsia="zh-CN"/>
        </w:rPr>
        <w:t xml:space="preserve"> </w:t>
      </w:r>
      <w:r w:rsidR="0089198B" w:rsidRPr="00694E72">
        <w:rPr>
          <w:rFonts w:ascii="Times New Roman" w:hAnsi="Times New Roman" w:cs="Times New Roman"/>
          <w:color w:val="000000"/>
          <w:sz w:val="20"/>
          <w:szCs w:val="20"/>
        </w:rPr>
        <w:t xml:space="preserve">Analysis of IL28B variants in an Egyptian population defines the 20 </w:t>
      </w:r>
      <w:proofErr w:type="spellStart"/>
      <w:r w:rsidR="0089198B" w:rsidRPr="00694E72">
        <w:rPr>
          <w:rFonts w:ascii="Times New Roman" w:hAnsi="Times New Roman" w:cs="Times New Roman"/>
          <w:color w:val="000000"/>
          <w:sz w:val="20"/>
          <w:szCs w:val="20"/>
        </w:rPr>
        <w:t>kilobases</w:t>
      </w:r>
      <w:proofErr w:type="spellEnd"/>
      <w:r w:rsidR="0089198B" w:rsidRPr="00694E72">
        <w:rPr>
          <w:rFonts w:ascii="Times New Roman" w:hAnsi="Times New Roman" w:cs="Times New Roman"/>
          <w:color w:val="000000"/>
          <w:sz w:val="20"/>
          <w:szCs w:val="20"/>
        </w:rPr>
        <w:t xml:space="preserve"> minimal region involved in spontaneous clearance of hepatitis C virus. </w:t>
      </w:r>
      <w:proofErr w:type="spellStart"/>
      <w:r w:rsidR="0089198B" w:rsidRPr="00694E72">
        <w:rPr>
          <w:rFonts w:ascii="Times New Roman" w:hAnsi="Times New Roman" w:cs="Times New Roman"/>
          <w:color w:val="000000"/>
          <w:sz w:val="20"/>
          <w:szCs w:val="20"/>
        </w:rPr>
        <w:t>PLoS</w:t>
      </w:r>
      <w:proofErr w:type="spellEnd"/>
      <w:r w:rsidR="0089198B" w:rsidRPr="00694E72">
        <w:rPr>
          <w:rFonts w:ascii="Times New Roman" w:hAnsi="Times New Roman" w:cs="Times New Roman"/>
          <w:color w:val="000000"/>
          <w:sz w:val="20"/>
          <w:szCs w:val="20"/>
        </w:rPr>
        <w:t>. One. 2012; 7.</w:t>
      </w:r>
    </w:p>
    <w:p w:rsidR="00E72B14" w:rsidRPr="00C77D29" w:rsidRDefault="00E72B14" w:rsidP="00E72B14">
      <w:pPr>
        <w:pStyle w:val="ListParagraph"/>
        <w:numPr>
          <w:ilvl w:val="0"/>
          <w:numId w:val="6"/>
        </w:numPr>
        <w:shd w:val="clear" w:color="auto" w:fill="FFFFFF"/>
        <w:snapToGrid w:val="0"/>
        <w:spacing w:after="0" w:line="240" w:lineRule="auto"/>
        <w:ind w:left="425" w:hanging="425"/>
        <w:jc w:val="both"/>
        <w:rPr>
          <w:rFonts w:ascii="Times New Roman" w:hAnsi="Times New Roman" w:cs="Times New Roman"/>
          <w:color w:val="000000"/>
          <w:sz w:val="20"/>
          <w:szCs w:val="20"/>
        </w:rPr>
      </w:pPr>
      <w:r w:rsidRPr="00C77D29">
        <w:rPr>
          <w:rFonts w:ascii="Times New Roman" w:hAnsi="Times New Roman" w:cs="Times New Roman"/>
          <w:color w:val="000000"/>
          <w:sz w:val="20"/>
          <w:szCs w:val="20"/>
        </w:rPr>
        <w:t>E</w:t>
      </w:r>
      <w:r w:rsidR="00832D02" w:rsidRPr="00C77D29">
        <w:rPr>
          <w:rFonts w:ascii="Times New Roman" w:hAnsi="Times New Roman" w:cs="Times New Roman"/>
          <w:color w:val="000000"/>
          <w:sz w:val="20"/>
          <w:szCs w:val="20"/>
        </w:rPr>
        <w:t>l-</w:t>
      </w:r>
      <w:proofErr w:type="spellStart"/>
      <w:r w:rsidR="00832D02" w:rsidRPr="00C77D29">
        <w:rPr>
          <w:rFonts w:ascii="Times New Roman" w:hAnsi="Times New Roman" w:cs="Times New Roman"/>
          <w:color w:val="000000"/>
          <w:sz w:val="20"/>
          <w:szCs w:val="20"/>
        </w:rPr>
        <w:t>zawahry</w:t>
      </w:r>
      <w:proofErr w:type="spellEnd"/>
      <w:r w:rsidR="00694E72" w:rsidRPr="00C77D29">
        <w:rPr>
          <w:rFonts w:ascii="Times New Roman" w:hAnsi="Times New Roman" w:cs="Times New Roman"/>
          <w:color w:val="000000"/>
          <w:sz w:val="20"/>
          <w:szCs w:val="20"/>
        </w:rPr>
        <w:t xml:space="preserve"> </w:t>
      </w:r>
      <w:r w:rsidR="00A15842" w:rsidRPr="00C77D29">
        <w:rPr>
          <w:rFonts w:ascii="Times New Roman" w:hAnsi="Times New Roman" w:cs="Times New Roman"/>
          <w:color w:val="000000"/>
          <w:sz w:val="20"/>
          <w:szCs w:val="20"/>
        </w:rPr>
        <w:t xml:space="preserve">HM, </w:t>
      </w:r>
      <w:proofErr w:type="spellStart"/>
      <w:r w:rsidR="00A15842" w:rsidRPr="00C77D29">
        <w:rPr>
          <w:rFonts w:ascii="Times New Roman" w:hAnsi="Times New Roman" w:cs="Times New Roman"/>
          <w:color w:val="000000"/>
          <w:sz w:val="20"/>
          <w:szCs w:val="20"/>
        </w:rPr>
        <w:t>Z</w:t>
      </w:r>
      <w:r w:rsidR="00832D02" w:rsidRPr="00C77D29">
        <w:rPr>
          <w:rFonts w:ascii="Times New Roman" w:hAnsi="Times New Roman" w:cs="Times New Roman"/>
          <w:color w:val="000000"/>
          <w:sz w:val="20"/>
          <w:szCs w:val="20"/>
        </w:rPr>
        <w:t>eeneldine</w:t>
      </w:r>
      <w:proofErr w:type="spellEnd"/>
      <w:r w:rsidR="00A15842" w:rsidRPr="00C77D29">
        <w:rPr>
          <w:rFonts w:ascii="Times New Roman" w:hAnsi="Times New Roman" w:cs="Times New Roman"/>
          <w:color w:val="000000"/>
          <w:sz w:val="20"/>
          <w:szCs w:val="20"/>
        </w:rPr>
        <w:t xml:space="preserve"> AA</w:t>
      </w:r>
      <w:r w:rsidR="00832D02" w:rsidRPr="00C77D29">
        <w:rPr>
          <w:rFonts w:ascii="Times New Roman" w:hAnsi="Times New Roman" w:cs="Times New Roman"/>
          <w:color w:val="000000"/>
          <w:sz w:val="20"/>
          <w:szCs w:val="20"/>
        </w:rPr>
        <w:t>, Samira</w:t>
      </w:r>
      <w:r w:rsidR="00A15842" w:rsidRPr="00C77D29">
        <w:rPr>
          <w:rFonts w:ascii="Times New Roman" w:hAnsi="Times New Roman" w:cs="Times New Roman"/>
          <w:color w:val="000000"/>
          <w:sz w:val="20"/>
          <w:szCs w:val="20"/>
        </w:rPr>
        <w:t xml:space="preserve"> MA</w:t>
      </w:r>
      <w:r w:rsidR="00832D02" w:rsidRPr="00C77D29">
        <w:rPr>
          <w:rFonts w:ascii="Times New Roman" w:hAnsi="Times New Roman" w:cs="Times New Roman"/>
          <w:color w:val="000000"/>
          <w:sz w:val="20"/>
          <w:szCs w:val="20"/>
        </w:rPr>
        <w:t xml:space="preserve">, </w:t>
      </w:r>
      <w:proofErr w:type="spellStart"/>
      <w:r w:rsidR="00832D02" w:rsidRPr="00C77D29">
        <w:rPr>
          <w:rFonts w:ascii="Times New Roman" w:hAnsi="Times New Roman" w:cs="Times New Roman"/>
          <w:color w:val="000000"/>
          <w:sz w:val="20"/>
          <w:szCs w:val="20"/>
        </w:rPr>
        <w:t>Mattar</w:t>
      </w:r>
      <w:proofErr w:type="spellEnd"/>
      <w:r w:rsidR="00A15842" w:rsidRPr="00C77D29">
        <w:rPr>
          <w:rFonts w:ascii="Times New Roman" w:hAnsi="Times New Roman" w:cs="Times New Roman"/>
          <w:color w:val="000000"/>
          <w:sz w:val="20"/>
          <w:szCs w:val="20"/>
        </w:rPr>
        <w:t xml:space="preserve"> MM, E</w:t>
      </w:r>
      <w:r w:rsidR="00832D02" w:rsidRPr="00C77D29">
        <w:rPr>
          <w:rFonts w:ascii="Times New Roman" w:hAnsi="Times New Roman" w:cs="Times New Roman"/>
          <w:color w:val="000000"/>
          <w:sz w:val="20"/>
          <w:szCs w:val="20"/>
        </w:rPr>
        <w:t>l-</w:t>
      </w:r>
      <w:proofErr w:type="spellStart"/>
      <w:r w:rsidR="00832D02" w:rsidRPr="00C77D29">
        <w:rPr>
          <w:rFonts w:ascii="Times New Roman" w:hAnsi="Times New Roman" w:cs="Times New Roman"/>
          <w:color w:val="000000"/>
          <w:sz w:val="20"/>
          <w:szCs w:val="20"/>
        </w:rPr>
        <w:t>Gammal</w:t>
      </w:r>
      <w:proofErr w:type="spellEnd"/>
      <w:r w:rsidR="00A15842" w:rsidRPr="00C77D29">
        <w:rPr>
          <w:rFonts w:ascii="Times New Roman" w:hAnsi="Times New Roman" w:cs="Times New Roman"/>
          <w:color w:val="000000"/>
          <w:sz w:val="20"/>
          <w:szCs w:val="20"/>
        </w:rPr>
        <w:t xml:space="preserve"> MM, </w:t>
      </w:r>
      <w:proofErr w:type="spellStart"/>
      <w:r w:rsidR="00A15842" w:rsidRPr="00C77D29">
        <w:rPr>
          <w:rFonts w:ascii="Times New Roman" w:hAnsi="Times New Roman" w:cs="Times New Roman"/>
          <w:color w:val="000000"/>
          <w:sz w:val="20"/>
          <w:szCs w:val="20"/>
        </w:rPr>
        <w:t>A</w:t>
      </w:r>
      <w:r w:rsidR="00832D02" w:rsidRPr="00C77D29">
        <w:rPr>
          <w:rFonts w:ascii="Times New Roman" w:hAnsi="Times New Roman" w:cs="Times New Roman"/>
          <w:color w:val="000000"/>
          <w:sz w:val="20"/>
          <w:szCs w:val="20"/>
        </w:rPr>
        <w:t>bd</w:t>
      </w:r>
      <w:proofErr w:type="spellEnd"/>
      <w:r w:rsidR="00694E72" w:rsidRPr="00C77D29">
        <w:rPr>
          <w:rFonts w:ascii="Times New Roman" w:hAnsi="Times New Roman" w:cs="Times New Roman"/>
          <w:color w:val="000000"/>
          <w:sz w:val="20"/>
          <w:szCs w:val="20"/>
        </w:rPr>
        <w:t xml:space="preserve"> </w:t>
      </w:r>
      <w:r w:rsidR="00832D02" w:rsidRPr="00C77D29">
        <w:rPr>
          <w:rFonts w:ascii="Times New Roman" w:hAnsi="Times New Roman" w:cs="Times New Roman"/>
          <w:color w:val="000000"/>
          <w:sz w:val="20"/>
          <w:szCs w:val="20"/>
        </w:rPr>
        <w:t>El</w:t>
      </w:r>
      <w:r w:rsidR="00A15842" w:rsidRPr="00C77D29">
        <w:rPr>
          <w:rFonts w:ascii="Times New Roman" w:hAnsi="Times New Roman" w:cs="Times New Roman"/>
          <w:color w:val="000000"/>
          <w:sz w:val="20"/>
          <w:szCs w:val="20"/>
        </w:rPr>
        <w:t>-</w:t>
      </w:r>
      <w:proofErr w:type="spellStart"/>
      <w:r w:rsidR="00A15842" w:rsidRPr="00C77D29">
        <w:rPr>
          <w:rFonts w:ascii="Times New Roman" w:hAnsi="Times New Roman" w:cs="Times New Roman"/>
          <w:color w:val="000000"/>
          <w:sz w:val="20"/>
          <w:szCs w:val="20"/>
        </w:rPr>
        <w:t>S</w:t>
      </w:r>
      <w:r w:rsidR="00832D02" w:rsidRPr="00C77D29">
        <w:rPr>
          <w:rFonts w:ascii="Times New Roman" w:hAnsi="Times New Roman" w:cs="Times New Roman"/>
          <w:color w:val="000000"/>
          <w:sz w:val="20"/>
          <w:szCs w:val="20"/>
        </w:rPr>
        <w:t>amee</w:t>
      </w:r>
      <w:proofErr w:type="spellEnd"/>
      <w:r w:rsidR="00A15842" w:rsidRPr="00C77D29">
        <w:rPr>
          <w:rFonts w:ascii="Times New Roman" w:hAnsi="Times New Roman" w:cs="Times New Roman"/>
          <w:color w:val="000000"/>
          <w:sz w:val="20"/>
          <w:szCs w:val="20"/>
        </w:rPr>
        <w:t xml:space="preserve"> A, </w:t>
      </w:r>
      <w:r w:rsidR="004D581D" w:rsidRPr="00C77D29">
        <w:rPr>
          <w:rFonts w:ascii="Times New Roman" w:hAnsi="Times New Roman" w:cs="Times New Roman"/>
          <w:i/>
          <w:iCs/>
          <w:sz w:val="20"/>
          <w:szCs w:val="20"/>
        </w:rPr>
        <w:t xml:space="preserve">et </w:t>
      </w:r>
      <w:proofErr w:type="spellStart"/>
      <w:r w:rsidR="004D581D" w:rsidRPr="00C77D29">
        <w:rPr>
          <w:rFonts w:ascii="Times New Roman" w:hAnsi="Times New Roman" w:cs="Times New Roman"/>
          <w:i/>
          <w:iCs/>
          <w:sz w:val="20"/>
          <w:szCs w:val="20"/>
        </w:rPr>
        <w:t>al.</w:t>
      </w:r>
      <w:r w:rsidR="00A15842" w:rsidRPr="00C77D29">
        <w:rPr>
          <w:rFonts w:ascii="Times New Roman" w:hAnsi="Times New Roman" w:cs="Times New Roman"/>
          <w:color w:val="000000"/>
          <w:sz w:val="20"/>
          <w:szCs w:val="20"/>
        </w:rPr>
        <w:t>Cost</w:t>
      </w:r>
      <w:proofErr w:type="spellEnd"/>
      <w:r w:rsidR="00A15842" w:rsidRPr="00C77D29">
        <w:rPr>
          <w:rFonts w:ascii="Times New Roman" w:hAnsi="Times New Roman" w:cs="Times New Roman"/>
          <w:color w:val="000000"/>
          <w:sz w:val="20"/>
          <w:szCs w:val="20"/>
        </w:rPr>
        <w:t xml:space="preserve"> and Outcome of Treatment of Adults with Acute Myeloid Leukemia at the National Cancer Institute-Egypt. Journal of the Egyptian Nat. Cancer Inst.</w:t>
      </w:r>
      <w:r w:rsidR="00F73727">
        <w:rPr>
          <w:rFonts w:ascii="Times New Roman" w:hAnsi="Times New Roman" w:cs="Times New Roman"/>
          <w:color w:val="000000"/>
          <w:sz w:val="20"/>
          <w:szCs w:val="20"/>
        </w:rPr>
        <w:t xml:space="preserve"> </w:t>
      </w:r>
      <w:r w:rsidR="00A15842" w:rsidRPr="00C77D29">
        <w:rPr>
          <w:rFonts w:ascii="Times New Roman" w:hAnsi="Times New Roman" w:cs="Times New Roman"/>
          <w:color w:val="000000"/>
          <w:sz w:val="20"/>
          <w:szCs w:val="20"/>
        </w:rPr>
        <w:t>2007; 19: 106-113.</w:t>
      </w:r>
      <w:r w:rsidR="00C77D29" w:rsidRPr="00C77D29">
        <w:rPr>
          <w:rFonts w:ascii="Times New Roman" w:hAnsi="Times New Roman" w:cs="Times New Roman" w:hint="eastAsia"/>
          <w:color w:val="000000"/>
          <w:sz w:val="20"/>
          <w:szCs w:val="20"/>
          <w:lang w:eastAsia="zh-CN"/>
        </w:rPr>
        <w:t xml:space="preserve"> </w:t>
      </w:r>
    </w:p>
    <w:p w:rsidR="00E72B14" w:rsidRPr="00694E72" w:rsidRDefault="00E72B14" w:rsidP="00E72B14">
      <w:pPr>
        <w:pStyle w:val="ListParagraph"/>
        <w:shd w:val="clear" w:color="auto" w:fill="FFFFFF"/>
        <w:snapToGrid w:val="0"/>
        <w:spacing w:after="0" w:line="240" w:lineRule="auto"/>
        <w:ind w:left="425" w:hanging="425"/>
        <w:jc w:val="both"/>
        <w:rPr>
          <w:rFonts w:ascii="Times New Roman" w:hAnsi="Times New Roman" w:cs="Times New Roman"/>
          <w:color w:val="000000"/>
          <w:sz w:val="20"/>
          <w:szCs w:val="20"/>
        </w:rPr>
        <w:sectPr w:rsidR="00E72B14" w:rsidRPr="00694E72" w:rsidSect="00E72B14">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E72B14" w:rsidRPr="00694E72" w:rsidRDefault="00E72B14" w:rsidP="00E72B14">
      <w:pPr>
        <w:pStyle w:val="ListParagraph"/>
        <w:shd w:val="clear" w:color="auto" w:fill="FFFFFF"/>
        <w:snapToGrid w:val="0"/>
        <w:spacing w:after="0" w:line="240" w:lineRule="auto"/>
        <w:ind w:left="425" w:hanging="425"/>
        <w:jc w:val="both"/>
        <w:rPr>
          <w:rFonts w:ascii="Times New Roman" w:hAnsi="Times New Roman" w:cs="Times New Roman"/>
          <w:color w:val="000000"/>
          <w:sz w:val="20"/>
          <w:szCs w:val="20"/>
          <w:lang w:eastAsia="zh-CN"/>
        </w:rPr>
      </w:pPr>
    </w:p>
    <w:p w:rsidR="00E72B14" w:rsidRPr="00694E72" w:rsidRDefault="00E72B14" w:rsidP="00E72B14">
      <w:pPr>
        <w:pStyle w:val="ListParagraph"/>
        <w:shd w:val="clear" w:color="auto" w:fill="FFFFFF"/>
        <w:snapToGrid w:val="0"/>
        <w:spacing w:after="0" w:line="240" w:lineRule="auto"/>
        <w:ind w:left="425" w:hanging="425"/>
        <w:jc w:val="both"/>
        <w:rPr>
          <w:rFonts w:ascii="Times New Roman" w:hAnsi="Times New Roman" w:cs="Times New Roman"/>
          <w:color w:val="000000"/>
          <w:sz w:val="20"/>
          <w:szCs w:val="20"/>
          <w:lang w:eastAsia="zh-CN"/>
        </w:rPr>
      </w:pPr>
    </w:p>
    <w:p w:rsidR="00E72B14" w:rsidRPr="00694E72" w:rsidRDefault="00E72B14" w:rsidP="00E72B14">
      <w:pPr>
        <w:pStyle w:val="ListParagraph"/>
        <w:shd w:val="clear" w:color="auto" w:fill="FFFFFF"/>
        <w:snapToGrid w:val="0"/>
        <w:spacing w:after="0" w:line="240" w:lineRule="auto"/>
        <w:ind w:left="425" w:hanging="425"/>
        <w:jc w:val="both"/>
        <w:rPr>
          <w:rFonts w:ascii="Times New Roman" w:hAnsi="Times New Roman" w:cs="Times New Roman"/>
          <w:color w:val="000000"/>
          <w:sz w:val="20"/>
          <w:szCs w:val="20"/>
          <w:lang w:eastAsia="zh-CN"/>
        </w:rPr>
      </w:pPr>
    </w:p>
    <w:p w:rsidR="00A15842" w:rsidRPr="00694E72" w:rsidRDefault="00E72B14" w:rsidP="00E72B14">
      <w:pPr>
        <w:pStyle w:val="ListParagraph"/>
        <w:shd w:val="clear" w:color="auto" w:fill="FFFFFF"/>
        <w:snapToGrid w:val="0"/>
        <w:spacing w:after="0" w:line="240" w:lineRule="auto"/>
        <w:ind w:left="425" w:hanging="425"/>
        <w:jc w:val="both"/>
        <w:rPr>
          <w:rFonts w:ascii="Times New Roman" w:hAnsi="Times New Roman" w:cs="Times New Roman"/>
          <w:color w:val="000000"/>
          <w:sz w:val="20"/>
          <w:szCs w:val="20"/>
        </w:rPr>
      </w:pPr>
      <w:r w:rsidRPr="00694E72">
        <w:rPr>
          <w:rFonts w:ascii="Times New Roman" w:hAnsi="Times New Roman" w:cs="Times New Roman"/>
          <w:color w:val="000000"/>
          <w:sz w:val="20"/>
          <w:szCs w:val="20"/>
        </w:rPr>
        <w:t>7/</w:t>
      </w:r>
      <w:r w:rsidRPr="00694E72">
        <w:rPr>
          <w:rFonts w:ascii="Times New Roman" w:hAnsi="Times New Roman" w:cs="Times New Roman" w:hint="eastAsia"/>
          <w:color w:val="000000"/>
          <w:sz w:val="20"/>
          <w:szCs w:val="20"/>
          <w:lang w:eastAsia="zh-CN"/>
        </w:rPr>
        <w:t>10</w:t>
      </w:r>
      <w:r w:rsidRPr="00694E72">
        <w:rPr>
          <w:rFonts w:ascii="Times New Roman" w:hAnsi="Times New Roman" w:cs="Times New Roman"/>
          <w:color w:val="000000"/>
          <w:sz w:val="20"/>
          <w:szCs w:val="20"/>
        </w:rPr>
        <w:t>/2016</w:t>
      </w:r>
    </w:p>
    <w:sectPr w:rsidR="00A15842" w:rsidRPr="00694E72" w:rsidSect="007A31B0">
      <w:headerReference w:type="default" r:id="rId23"/>
      <w:footerReference w:type="default" r:id="rId24"/>
      <w:type w:val="continuous"/>
      <w:pgSz w:w="12240" w:h="15840" w:code="1"/>
      <w:pgMar w:top="1440" w:right="1440" w:bottom="1440" w:left="1440" w:header="720" w:footer="720" w:gutter="0"/>
      <w:cols w:num="2" w:space="709"/>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840BB" w15:done="0"/>
  <w15:commentEx w15:paraId="7A382CF5" w15:done="0"/>
  <w15:commentEx w15:paraId="5821A9D7" w15:done="0"/>
  <w15:commentEx w15:paraId="5DF523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72" w:rsidRDefault="00694E72" w:rsidP="005877EF">
      <w:pPr>
        <w:spacing w:after="0" w:line="240" w:lineRule="auto"/>
      </w:pPr>
      <w:r>
        <w:separator/>
      </w:r>
    </w:p>
  </w:endnote>
  <w:endnote w:type="continuationSeparator" w:id="0">
    <w:p w:rsidR="00694E72" w:rsidRDefault="00694E72" w:rsidP="00587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9C5FE0" w:rsidP="00E72B14">
    <w:pPr>
      <w:spacing w:after="0" w:line="240" w:lineRule="auto"/>
      <w:jc w:val="center"/>
      <w:rPr>
        <w:rFonts w:ascii="Times New Roman" w:hAnsi="Times New Roman" w:cs="Times New Roman"/>
        <w:sz w:val="20"/>
      </w:rPr>
    </w:pPr>
    <w:r w:rsidRPr="00E72B14">
      <w:rPr>
        <w:rFonts w:ascii="Times New Roman" w:hAnsi="Times New Roman" w:cs="Times New Roman"/>
        <w:sz w:val="20"/>
      </w:rPr>
      <w:fldChar w:fldCharType="begin"/>
    </w:r>
    <w:r w:rsidR="00694E72" w:rsidRPr="00E72B14">
      <w:rPr>
        <w:rFonts w:ascii="Times New Roman" w:hAnsi="Times New Roman" w:cs="Times New Roman"/>
        <w:sz w:val="20"/>
      </w:rPr>
      <w:instrText xml:space="preserve"> page </w:instrText>
    </w:r>
    <w:r w:rsidRPr="00E72B14">
      <w:rPr>
        <w:rFonts w:ascii="Times New Roman" w:hAnsi="Times New Roman" w:cs="Times New Roman"/>
        <w:sz w:val="20"/>
      </w:rPr>
      <w:fldChar w:fldCharType="separate"/>
    </w:r>
    <w:r w:rsidR="00F73727">
      <w:rPr>
        <w:rFonts w:ascii="Times New Roman" w:hAnsi="Times New Roman" w:cs="Times New Roman"/>
        <w:noProof/>
        <w:sz w:val="20"/>
      </w:rPr>
      <w:t>27</w:t>
    </w:r>
    <w:r w:rsidRPr="00E72B1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9C5FE0" w:rsidP="00E72B14">
    <w:pPr>
      <w:spacing w:after="0" w:line="240" w:lineRule="auto"/>
      <w:jc w:val="center"/>
      <w:rPr>
        <w:rFonts w:ascii="Times New Roman" w:hAnsi="Times New Roman" w:cs="Times New Roman"/>
        <w:sz w:val="20"/>
      </w:rPr>
    </w:pPr>
    <w:r w:rsidRPr="00E72B14">
      <w:rPr>
        <w:rFonts w:ascii="Times New Roman" w:hAnsi="Times New Roman" w:cs="Times New Roman"/>
        <w:sz w:val="20"/>
      </w:rPr>
      <w:fldChar w:fldCharType="begin"/>
    </w:r>
    <w:r w:rsidR="00694E72" w:rsidRPr="00E72B14">
      <w:rPr>
        <w:rFonts w:ascii="Times New Roman" w:hAnsi="Times New Roman" w:cs="Times New Roman"/>
        <w:sz w:val="20"/>
      </w:rPr>
      <w:instrText xml:space="preserve"> page </w:instrText>
    </w:r>
    <w:r w:rsidRPr="00E72B14">
      <w:rPr>
        <w:rFonts w:ascii="Times New Roman" w:hAnsi="Times New Roman" w:cs="Times New Roman"/>
        <w:sz w:val="20"/>
      </w:rPr>
      <w:fldChar w:fldCharType="separate"/>
    </w:r>
    <w:r w:rsidR="00F73727">
      <w:rPr>
        <w:rFonts w:ascii="Times New Roman" w:hAnsi="Times New Roman" w:cs="Times New Roman"/>
        <w:noProof/>
        <w:sz w:val="20"/>
      </w:rPr>
      <w:t>29</w:t>
    </w:r>
    <w:r w:rsidRPr="00E72B1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9C5FE0" w:rsidP="00E72B14">
    <w:pPr>
      <w:spacing w:after="0" w:line="240" w:lineRule="auto"/>
      <w:jc w:val="center"/>
      <w:rPr>
        <w:rFonts w:ascii="Times New Roman" w:hAnsi="Times New Roman" w:cs="Times New Roman"/>
        <w:sz w:val="20"/>
      </w:rPr>
    </w:pPr>
    <w:r w:rsidRPr="00E72B14">
      <w:rPr>
        <w:rFonts w:ascii="Times New Roman" w:hAnsi="Times New Roman" w:cs="Times New Roman"/>
        <w:sz w:val="20"/>
      </w:rPr>
      <w:fldChar w:fldCharType="begin"/>
    </w:r>
    <w:r w:rsidR="00694E72" w:rsidRPr="00E72B14">
      <w:rPr>
        <w:rFonts w:ascii="Times New Roman" w:hAnsi="Times New Roman" w:cs="Times New Roman"/>
        <w:sz w:val="20"/>
      </w:rPr>
      <w:instrText xml:space="preserve"> page </w:instrText>
    </w:r>
    <w:r w:rsidRPr="00E72B14">
      <w:rPr>
        <w:rFonts w:ascii="Times New Roman" w:hAnsi="Times New Roman" w:cs="Times New Roman"/>
        <w:sz w:val="20"/>
      </w:rPr>
      <w:fldChar w:fldCharType="separate"/>
    </w:r>
    <w:r w:rsidR="00F73727">
      <w:rPr>
        <w:rFonts w:ascii="Times New Roman" w:hAnsi="Times New Roman" w:cs="Times New Roman"/>
        <w:noProof/>
        <w:sz w:val="20"/>
      </w:rPr>
      <w:t>30</w:t>
    </w:r>
    <w:r w:rsidRPr="00E72B1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9C5FE0" w:rsidP="00E72B14">
    <w:pPr>
      <w:spacing w:after="0" w:line="240" w:lineRule="auto"/>
      <w:jc w:val="center"/>
      <w:rPr>
        <w:rFonts w:ascii="Times New Roman" w:hAnsi="Times New Roman" w:cs="Times New Roman"/>
        <w:sz w:val="20"/>
      </w:rPr>
    </w:pPr>
    <w:r w:rsidRPr="00E72B14">
      <w:rPr>
        <w:rFonts w:ascii="Times New Roman" w:hAnsi="Times New Roman" w:cs="Times New Roman"/>
        <w:sz w:val="20"/>
      </w:rPr>
      <w:fldChar w:fldCharType="begin"/>
    </w:r>
    <w:r w:rsidR="00694E72" w:rsidRPr="00E72B14">
      <w:rPr>
        <w:rFonts w:ascii="Times New Roman" w:hAnsi="Times New Roman" w:cs="Times New Roman"/>
        <w:sz w:val="20"/>
      </w:rPr>
      <w:instrText xml:space="preserve"> page </w:instrText>
    </w:r>
    <w:r w:rsidRPr="00E72B14">
      <w:rPr>
        <w:rFonts w:ascii="Times New Roman" w:hAnsi="Times New Roman" w:cs="Times New Roman"/>
        <w:sz w:val="20"/>
      </w:rPr>
      <w:fldChar w:fldCharType="separate"/>
    </w:r>
    <w:r w:rsidR="00F73727">
      <w:rPr>
        <w:rFonts w:ascii="Times New Roman" w:hAnsi="Times New Roman" w:cs="Times New Roman"/>
        <w:noProof/>
        <w:sz w:val="20"/>
      </w:rPr>
      <w:t>33</w:t>
    </w:r>
    <w:r w:rsidRPr="00E72B1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9C5FE0" w:rsidP="00E72B14">
    <w:pPr>
      <w:spacing w:after="0" w:line="240" w:lineRule="auto"/>
      <w:jc w:val="center"/>
      <w:rPr>
        <w:rFonts w:ascii="Times New Roman" w:hAnsi="Times New Roman" w:cs="Times New Roman"/>
        <w:sz w:val="20"/>
      </w:rPr>
    </w:pPr>
    <w:r w:rsidRPr="00E72B14">
      <w:rPr>
        <w:rFonts w:ascii="Times New Roman" w:hAnsi="Times New Roman" w:cs="Times New Roman"/>
        <w:sz w:val="20"/>
      </w:rPr>
      <w:fldChar w:fldCharType="begin"/>
    </w:r>
    <w:r w:rsidR="00694E72" w:rsidRPr="00E72B14">
      <w:rPr>
        <w:rFonts w:ascii="Times New Roman" w:hAnsi="Times New Roman" w:cs="Times New Roman"/>
        <w:sz w:val="20"/>
      </w:rPr>
      <w:instrText xml:space="preserve"> page </w:instrText>
    </w:r>
    <w:r w:rsidRPr="00E72B14">
      <w:rPr>
        <w:rFonts w:ascii="Times New Roman" w:hAnsi="Times New Roman" w:cs="Times New Roman"/>
        <w:sz w:val="20"/>
      </w:rPr>
      <w:fldChar w:fldCharType="separate"/>
    </w:r>
    <w:r w:rsidR="00694E72">
      <w:rPr>
        <w:rFonts w:ascii="Times New Roman" w:hAnsi="Times New Roman" w:cs="Times New Roman"/>
        <w:noProof/>
        <w:sz w:val="20"/>
      </w:rPr>
      <w:t>1</w:t>
    </w:r>
    <w:r w:rsidRPr="00E72B1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72" w:rsidRDefault="00694E72" w:rsidP="005877EF">
      <w:pPr>
        <w:spacing w:after="0" w:line="240" w:lineRule="auto"/>
      </w:pPr>
      <w:r>
        <w:separator/>
      </w:r>
    </w:p>
  </w:footnote>
  <w:footnote w:type="continuationSeparator" w:id="0">
    <w:p w:rsidR="00694E72" w:rsidRDefault="00694E72" w:rsidP="005877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694E72" w:rsidP="00E72B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72B14">
      <w:rPr>
        <w:rFonts w:ascii="Times New Roman" w:hAnsi="Times New Roman" w:cs="Times New Roman" w:hint="eastAsia"/>
        <w:iCs/>
        <w:color w:val="000000"/>
        <w:sz w:val="20"/>
      </w:rPr>
      <w:tab/>
    </w:r>
    <w:r w:rsidRPr="00E72B14">
      <w:rPr>
        <w:rFonts w:ascii="Times New Roman" w:hAnsi="Times New Roman" w:cs="Times New Roman"/>
        <w:iCs/>
        <w:color w:val="000000"/>
        <w:sz w:val="20"/>
      </w:rPr>
      <w:t xml:space="preserve">Cancer Biology </w:t>
    </w:r>
    <w:r w:rsidRPr="00E72B14">
      <w:rPr>
        <w:rFonts w:ascii="Times New Roman" w:hAnsi="Times New Roman" w:cs="Times New Roman"/>
        <w:iCs/>
        <w:sz w:val="20"/>
      </w:rPr>
      <w:t>201</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3</w:t>
    </w:r>
    <w:r w:rsidRPr="00E72B14">
      <w:rPr>
        <w:rFonts w:ascii="Times New Roman" w:hAnsi="Times New Roman" w:cs="Times New Roman"/>
        <w:iCs/>
        <w:sz w:val="20"/>
      </w:rPr>
      <w:t xml:space="preserve">)  </w:t>
    </w:r>
    <w:r w:rsidRPr="00E72B14">
      <w:rPr>
        <w:rFonts w:ascii="Times New Roman" w:hAnsi="Times New Roman" w:cs="Times New Roman" w:hint="eastAsia"/>
        <w:iCs/>
        <w:sz w:val="20"/>
      </w:rPr>
      <w:t xml:space="preserve">   </w:t>
    </w:r>
    <w:r w:rsidRPr="00E72B14">
      <w:rPr>
        <w:rFonts w:ascii="Times New Roman" w:hAnsi="Times New Roman" w:cs="Times New Roman" w:hint="eastAsia"/>
        <w:iCs/>
        <w:sz w:val="20"/>
      </w:rPr>
      <w:tab/>
      <w:t xml:space="preserve">     </w:t>
    </w:r>
    <w:r w:rsidRPr="00E72B14">
      <w:rPr>
        <w:rFonts w:ascii="Times New Roman" w:hAnsi="Times New Roman" w:cs="Times New Roman"/>
        <w:iCs/>
        <w:sz w:val="20"/>
      </w:rPr>
      <w:t xml:space="preserve"> </w:t>
    </w:r>
    <w:r w:rsidRPr="00E72B14">
      <w:rPr>
        <w:rFonts w:ascii="Times New Roman" w:hAnsi="Times New Roman" w:cs="Times New Roman"/>
        <w:sz w:val="20"/>
      </w:rPr>
      <w:t xml:space="preserve">  </w:t>
    </w:r>
    <w:hyperlink r:id="rId1" w:history="1">
      <w:r w:rsidRPr="00E72B14">
        <w:rPr>
          <w:rStyle w:val="Hyperlink"/>
          <w:rFonts w:ascii="Times New Roman" w:hAnsi="Times New Roman" w:cs="Times New Roman"/>
          <w:color w:val="0000FF"/>
          <w:sz w:val="20"/>
        </w:rPr>
        <w:t>http://www.cancerbio.net</w:t>
      </w:r>
    </w:hyperlink>
  </w:p>
  <w:p w:rsidR="00694E72" w:rsidRPr="00E72B14" w:rsidRDefault="00694E72" w:rsidP="00E72B1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694E72" w:rsidP="00E72B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72B14">
      <w:rPr>
        <w:rFonts w:ascii="Times New Roman" w:hAnsi="Times New Roman" w:cs="Times New Roman" w:hint="eastAsia"/>
        <w:iCs/>
        <w:color w:val="000000"/>
        <w:sz w:val="20"/>
      </w:rPr>
      <w:tab/>
    </w:r>
    <w:r w:rsidRPr="00E72B14">
      <w:rPr>
        <w:rFonts w:ascii="Times New Roman" w:hAnsi="Times New Roman" w:cs="Times New Roman"/>
        <w:iCs/>
        <w:color w:val="000000"/>
        <w:sz w:val="20"/>
      </w:rPr>
      <w:t xml:space="preserve">Cancer Biology </w:t>
    </w:r>
    <w:r w:rsidRPr="00E72B14">
      <w:rPr>
        <w:rFonts w:ascii="Times New Roman" w:hAnsi="Times New Roman" w:cs="Times New Roman"/>
        <w:iCs/>
        <w:sz w:val="20"/>
      </w:rPr>
      <w:t>201</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3</w:t>
    </w:r>
    <w:r w:rsidRPr="00E72B14">
      <w:rPr>
        <w:rFonts w:ascii="Times New Roman" w:hAnsi="Times New Roman" w:cs="Times New Roman"/>
        <w:iCs/>
        <w:sz w:val="20"/>
      </w:rPr>
      <w:t xml:space="preserve">)  </w:t>
    </w:r>
    <w:r w:rsidRPr="00E72B14">
      <w:rPr>
        <w:rFonts w:ascii="Times New Roman" w:hAnsi="Times New Roman" w:cs="Times New Roman" w:hint="eastAsia"/>
        <w:iCs/>
        <w:sz w:val="20"/>
      </w:rPr>
      <w:t xml:space="preserve">   </w:t>
    </w:r>
    <w:r w:rsidRPr="00E72B14">
      <w:rPr>
        <w:rFonts w:ascii="Times New Roman" w:hAnsi="Times New Roman" w:cs="Times New Roman" w:hint="eastAsia"/>
        <w:iCs/>
        <w:sz w:val="20"/>
      </w:rPr>
      <w:tab/>
      <w:t xml:space="preserve">     </w:t>
    </w:r>
    <w:r w:rsidRPr="00E72B14">
      <w:rPr>
        <w:rFonts w:ascii="Times New Roman" w:hAnsi="Times New Roman" w:cs="Times New Roman"/>
        <w:iCs/>
        <w:sz w:val="20"/>
      </w:rPr>
      <w:t xml:space="preserve"> </w:t>
    </w:r>
    <w:r w:rsidRPr="00E72B14">
      <w:rPr>
        <w:rFonts w:ascii="Times New Roman" w:hAnsi="Times New Roman" w:cs="Times New Roman"/>
        <w:sz w:val="20"/>
      </w:rPr>
      <w:t xml:space="preserve">  </w:t>
    </w:r>
    <w:hyperlink r:id="rId1" w:history="1">
      <w:r w:rsidRPr="00E72B14">
        <w:rPr>
          <w:rStyle w:val="Hyperlink"/>
          <w:rFonts w:ascii="Times New Roman" w:hAnsi="Times New Roman" w:cs="Times New Roman"/>
          <w:color w:val="0000FF"/>
          <w:sz w:val="20"/>
        </w:rPr>
        <w:t>http://www.cancerbio.net</w:t>
      </w:r>
    </w:hyperlink>
  </w:p>
  <w:p w:rsidR="00694E72" w:rsidRPr="00E72B14" w:rsidRDefault="00694E72" w:rsidP="00E72B1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694E72" w:rsidP="00E72B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72B14">
      <w:rPr>
        <w:rFonts w:ascii="Times New Roman" w:hAnsi="Times New Roman" w:cs="Times New Roman" w:hint="eastAsia"/>
        <w:iCs/>
        <w:color w:val="000000"/>
        <w:sz w:val="20"/>
      </w:rPr>
      <w:tab/>
    </w:r>
    <w:r w:rsidRPr="00E72B14">
      <w:rPr>
        <w:rFonts w:ascii="Times New Roman" w:hAnsi="Times New Roman" w:cs="Times New Roman"/>
        <w:iCs/>
        <w:color w:val="000000"/>
        <w:sz w:val="20"/>
      </w:rPr>
      <w:t xml:space="preserve">Cancer Biology </w:t>
    </w:r>
    <w:r w:rsidRPr="00E72B14">
      <w:rPr>
        <w:rFonts w:ascii="Times New Roman" w:hAnsi="Times New Roman" w:cs="Times New Roman"/>
        <w:iCs/>
        <w:sz w:val="20"/>
      </w:rPr>
      <w:t>201</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3</w:t>
    </w:r>
    <w:r w:rsidRPr="00E72B14">
      <w:rPr>
        <w:rFonts w:ascii="Times New Roman" w:hAnsi="Times New Roman" w:cs="Times New Roman"/>
        <w:iCs/>
        <w:sz w:val="20"/>
      </w:rPr>
      <w:t xml:space="preserve">)  </w:t>
    </w:r>
    <w:r w:rsidRPr="00E72B14">
      <w:rPr>
        <w:rFonts w:ascii="Times New Roman" w:hAnsi="Times New Roman" w:cs="Times New Roman" w:hint="eastAsia"/>
        <w:iCs/>
        <w:sz w:val="20"/>
      </w:rPr>
      <w:t xml:space="preserve">   </w:t>
    </w:r>
    <w:r w:rsidRPr="00E72B14">
      <w:rPr>
        <w:rFonts w:ascii="Times New Roman" w:hAnsi="Times New Roman" w:cs="Times New Roman" w:hint="eastAsia"/>
        <w:iCs/>
        <w:sz w:val="20"/>
      </w:rPr>
      <w:tab/>
      <w:t xml:space="preserve">     </w:t>
    </w:r>
    <w:r w:rsidRPr="00E72B14">
      <w:rPr>
        <w:rFonts w:ascii="Times New Roman" w:hAnsi="Times New Roman" w:cs="Times New Roman"/>
        <w:iCs/>
        <w:sz w:val="20"/>
      </w:rPr>
      <w:t xml:space="preserve"> </w:t>
    </w:r>
    <w:r w:rsidRPr="00E72B14">
      <w:rPr>
        <w:rFonts w:ascii="Times New Roman" w:hAnsi="Times New Roman" w:cs="Times New Roman"/>
        <w:sz w:val="20"/>
      </w:rPr>
      <w:t xml:space="preserve">  </w:t>
    </w:r>
    <w:hyperlink r:id="rId1" w:history="1">
      <w:r w:rsidRPr="00E72B14">
        <w:rPr>
          <w:rStyle w:val="Hyperlink"/>
          <w:rFonts w:ascii="Times New Roman" w:hAnsi="Times New Roman" w:cs="Times New Roman"/>
          <w:color w:val="0000FF"/>
          <w:sz w:val="20"/>
        </w:rPr>
        <w:t>http://www.cancerbio.net</w:t>
      </w:r>
    </w:hyperlink>
  </w:p>
  <w:p w:rsidR="00694E72" w:rsidRPr="00E72B14" w:rsidRDefault="00694E72" w:rsidP="00E72B1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694E72" w:rsidP="00E72B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72B14">
      <w:rPr>
        <w:rFonts w:ascii="Times New Roman" w:hAnsi="Times New Roman" w:cs="Times New Roman" w:hint="eastAsia"/>
        <w:iCs/>
        <w:color w:val="000000"/>
        <w:sz w:val="20"/>
      </w:rPr>
      <w:tab/>
    </w:r>
    <w:r w:rsidRPr="00E72B14">
      <w:rPr>
        <w:rFonts w:ascii="Times New Roman" w:hAnsi="Times New Roman" w:cs="Times New Roman"/>
        <w:iCs/>
        <w:color w:val="000000"/>
        <w:sz w:val="20"/>
      </w:rPr>
      <w:t xml:space="preserve">Cancer Biology </w:t>
    </w:r>
    <w:r w:rsidRPr="00E72B14">
      <w:rPr>
        <w:rFonts w:ascii="Times New Roman" w:hAnsi="Times New Roman" w:cs="Times New Roman"/>
        <w:iCs/>
        <w:sz w:val="20"/>
      </w:rPr>
      <w:t>201</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3</w:t>
    </w:r>
    <w:r w:rsidRPr="00E72B14">
      <w:rPr>
        <w:rFonts w:ascii="Times New Roman" w:hAnsi="Times New Roman" w:cs="Times New Roman"/>
        <w:iCs/>
        <w:sz w:val="20"/>
      </w:rPr>
      <w:t xml:space="preserve">)  </w:t>
    </w:r>
    <w:r w:rsidRPr="00E72B14">
      <w:rPr>
        <w:rFonts w:ascii="Times New Roman" w:hAnsi="Times New Roman" w:cs="Times New Roman" w:hint="eastAsia"/>
        <w:iCs/>
        <w:sz w:val="20"/>
      </w:rPr>
      <w:t xml:space="preserve">   </w:t>
    </w:r>
    <w:r w:rsidRPr="00E72B14">
      <w:rPr>
        <w:rFonts w:ascii="Times New Roman" w:hAnsi="Times New Roman" w:cs="Times New Roman" w:hint="eastAsia"/>
        <w:iCs/>
        <w:sz w:val="20"/>
      </w:rPr>
      <w:tab/>
      <w:t xml:space="preserve">     </w:t>
    </w:r>
    <w:r w:rsidRPr="00E72B14">
      <w:rPr>
        <w:rFonts w:ascii="Times New Roman" w:hAnsi="Times New Roman" w:cs="Times New Roman"/>
        <w:iCs/>
        <w:sz w:val="20"/>
      </w:rPr>
      <w:t xml:space="preserve"> </w:t>
    </w:r>
    <w:r w:rsidRPr="00E72B14">
      <w:rPr>
        <w:rFonts w:ascii="Times New Roman" w:hAnsi="Times New Roman" w:cs="Times New Roman"/>
        <w:sz w:val="20"/>
      </w:rPr>
      <w:t xml:space="preserve">  </w:t>
    </w:r>
    <w:hyperlink r:id="rId1" w:history="1">
      <w:r w:rsidRPr="00E72B14">
        <w:rPr>
          <w:rStyle w:val="Hyperlink"/>
          <w:rFonts w:ascii="Times New Roman" w:hAnsi="Times New Roman" w:cs="Times New Roman"/>
          <w:color w:val="0000FF"/>
          <w:sz w:val="20"/>
        </w:rPr>
        <w:t>http://www.cancerbio.net</w:t>
      </w:r>
    </w:hyperlink>
  </w:p>
  <w:p w:rsidR="00694E72" w:rsidRPr="00E72B14" w:rsidRDefault="00694E72" w:rsidP="00E72B1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2" w:rsidRPr="00E72B14" w:rsidRDefault="00694E72" w:rsidP="00E72B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72B14">
      <w:rPr>
        <w:rFonts w:ascii="Times New Roman" w:hAnsi="Times New Roman" w:cs="Times New Roman" w:hint="eastAsia"/>
        <w:iCs/>
        <w:color w:val="000000"/>
        <w:sz w:val="20"/>
      </w:rPr>
      <w:tab/>
    </w:r>
    <w:r w:rsidRPr="00E72B14">
      <w:rPr>
        <w:rFonts w:ascii="Times New Roman" w:hAnsi="Times New Roman" w:cs="Times New Roman"/>
        <w:iCs/>
        <w:color w:val="000000"/>
        <w:sz w:val="20"/>
      </w:rPr>
      <w:t xml:space="preserve">Cancer Biology </w:t>
    </w:r>
    <w:r w:rsidRPr="00E72B14">
      <w:rPr>
        <w:rFonts w:ascii="Times New Roman" w:hAnsi="Times New Roman" w:cs="Times New Roman"/>
        <w:iCs/>
        <w:sz w:val="20"/>
      </w:rPr>
      <w:t>201</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6</w:t>
    </w:r>
    <w:r w:rsidRPr="00E72B14">
      <w:rPr>
        <w:rFonts w:ascii="Times New Roman" w:hAnsi="Times New Roman" w:cs="Times New Roman"/>
        <w:iCs/>
        <w:sz w:val="20"/>
      </w:rPr>
      <w:t>(</w:t>
    </w:r>
    <w:r w:rsidRPr="00E72B14">
      <w:rPr>
        <w:rFonts w:ascii="Times New Roman" w:hAnsi="Times New Roman" w:cs="Times New Roman" w:hint="eastAsia"/>
        <w:iCs/>
        <w:sz w:val="20"/>
      </w:rPr>
      <w:t>3</w:t>
    </w:r>
    <w:r w:rsidRPr="00E72B14">
      <w:rPr>
        <w:rFonts w:ascii="Times New Roman" w:hAnsi="Times New Roman" w:cs="Times New Roman"/>
        <w:iCs/>
        <w:sz w:val="20"/>
      </w:rPr>
      <w:t xml:space="preserve">)  </w:t>
    </w:r>
    <w:r w:rsidRPr="00E72B14">
      <w:rPr>
        <w:rFonts w:ascii="Times New Roman" w:hAnsi="Times New Roman" w:cs="Times New Roman" w:hint="eastAsia"/>
        <w:iCs/>
        <w:sz w:val="20"/>
      </w:rPr>
      <w:t xml:space="preserve">   </w:t>
    </w:r>
    <w:r w:rsidRPr="00E72B14">
      <w:rPr>
        <w:rFonts w:ascii="Times New Roman" w:hAnsi="Times New Roman" w:cs="Times New Roman" w:hint="eastAsia"/>
        <w:iCs/>
        <w:sz w:val="20"/>
      </w:rPr>
      <w:tab/>
      <w:t xml:space="preserve">     </w:t>
    </w:r>
    <w:r w:rsidRPr="00E72B14">
      <w:rPr>
        <w:rFonts w:ascii="Times New Roman" w:hAnsi="Times New Roman" w:cs="Times New Roman"/>
        <w:iCs/>
        <w:sz w:val="20"/>
      </w:rPr>
      <w:t xml:space="preserve"> </w:t>
    </w:r>
    <w:r w:rsidRPr="00E72B14">
      <w:rPr>
        <w:rFonts w:ascii="Times New Roman" w:hAnsi="Times New Roman" w:cs="Times New Roman"/>
        <w:sz w:val="20"/>
      </w:rPr>
      <w:t xml:space="preserve">  </w:t>
    </w:r>
    <w:hyperlink r:id="rId1" w:history="1">
      <w:r w:rsidRPr="00E72B14">
        <w:rPr>
          <w:rStyle w:val="Hyperlink"/>
          <w:rFonts w:ascii="Times New Roman" w:hAnsi="Times New Roman" w:cs="Times New Roman"/>
          <w:color w:val="0000FF"/>
          <w:sz w:val="20"/>
        </w:rPr>
        <w:t>http://www.cancerbio.net</w:t>
      </w:r>
    </w:hyperlink>
  </w:p>
  <w:p w:rsidR="00694E72" w:rsidRPr="00E72B14" w:rsidRDefault="00694E72" w:rsidP="00E72B1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70BA1"/>
    <w:multiLevelType w:val="hybridMultilevel"/>
    <w:tmpl w:val="C3FE7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901205"/>
    <w:multiLevelType w:val="hybridMultilevel"/>
    <w:tmpl w:val="59A2303E"/>
    <w:lvl w:ilvl="0" w:tplc="3DB8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937D6"/>
    <w:multiLevelType w:val="hybridMultilevel"/>
    <w:tmpl w:val="31FCE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8410D"/>
    <w:multiLevelType w:val="hybridMultilevel"/>
    <w:tmpl w:val="891C5A00"/>
    <w:lvl w:ilvl="0" w:tplc="525628E0">
      <w:start w:val="2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C793A02"/>
    <w:multiLevelType w:val="hybridMultilevel"/>
    <w:tmpl w:val="F50C85DE"/>
    <w:lvl w:ilvl="0" w:tplc="746497EE">
      <w:start w:val="3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978FA"/>
    <w:multiLevelType w:val="hybridMultilevel"/>
    <w:tmpl w:val="DB84F3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854E2B"/>
    <w:rsid w:val="0000044E"/>
    <w:rsid w:val="000022A0"/>
    <w:rsid w:val="00002882"/>
    <w:rsid w:val="00014C16"/>
    <w:rsid w:val="0001584A"/>
    <w:rsid w:val="00022A35"/>
    <w:rsid w:val="000233A0"/>
    <w:rsid w:val="000238EE"/>
    <w:rsid w:val="00024A71"/>
    <w:rsid w:val="00024F83"/>
    <w:rsid w:val="00030A18"/>
    <w:rsid w:val="0003397A"/>
    <w:rsid w:val="000510CA"/>
    <w:rsid w:val="00054707"/>
    <w:rsid w:val="0006092F"/>
    <w:rsid w:val="000619BD"/>
    <w:rsid w:val="0006312C"/>
    <w:rsid w:val="00065173"/>
    <w:rsid w:val="00070E91"/>
    <w:rsid w:val="00073794"/>
    <w:rsid w:val="000757AD"/>
    <w:rsid w:val="00081528"/>
    <w:rsid w:val="0008618A"/>
    <w:rsid w:val="00091B4C"/>
    <w:rsid w:val="000C0CB9"/>
    <w:rsid w:val="000C0EE3"/>
    <w:rsid w:val="000D127A"/>
    <w:rsid w:val="000D5372"/>
    <w:rsid w:val="000F2E48"/>
    <w:rsid w:val="000F346B"/>
    <w:rsid w:val="000F3DE6"/>
    <w:rsid w:val="000F633E"/>
    <w:rsid w:val="00103B82"/>
    <w:rsid w:val="00104FF0"/>
    <w:rsid w:val="00105802"/>
    <w:rsid w:val="00106270"/>
    <w:rsid w:val="00111868"/>
    <w:rsid w:val="00111D95"/>
    <w:rsid w:val="00115BD2"/>
    <w:rsid w:val="00117F71"/>
    <w:rsid w:val="00123374"/>
    <w:rsid w:val="0013417B"/>
    <w:rsid w:val="0014197B"/>
    <w:rsid w:val="00143925"/>
    <w:rsid w:val="00150492"/>
    <w:rsid w:val="00153A3E"/>
    <w:rsid w:val="0016096D"/>
    <w:rsid w:val="00172ABC"/>
    <w:rsid w:val="00175977"/>
    <w:rsid w:val="00182BAF"/>
    <w:rsid w:val="00183161"/>
    <w:rsid w:val="0018347A"/>
    <w:rsid w:val="0018365F"/>
    <w:rsid w:val="001903E6"/>
    <w:rsid w:val="00193721"/>
    <w:rsid w:val="001947DC"/>
    <w:rsid w:val="00195008"/>
    <w:rsid w:val="00196C2B"/>
    <w:rsid w:val="001A3CD1"/>
    <w:rsid w:val="001A4C83"/>
    <w:rsid w:val="001B0AE6"/>
    <w:rsid w:val="001B56A2"/>
    <w:rsid w:val="001B77C3"/>
    <w:rsid w:val="001B7BDB"/>
    <w:rsid w:val="001C313D"/>
    <w:rsid w:val="001C4B9D"/>
    <w:rsid w:val="001D2EBA"/>
    <w:rsid w:val="001E13CC"/>
    <w:rsid w:val="001E453B"/>
    <w:rsid w:val="001F134C"/>
    <w:rsid w:val="001F2E48"/>
    <w:rsid w:val="00200838"/>
    <w:rsid w:val="002029FF"/>
    <w:rsid w:val="002103E9"/>
    <w:rsid w:val="002103FE"/>
    <w:rsid w:val="00210D3C"/>
    <w:rsid w:val="00211515"/>
    <w:rsid w:val="00211965"/>
    <w:rsid w:val="00212C9F"/>
    <w:rsid w:val="00213102"/>
    <w:rsid w:val="002158FF"/>
    <w:rsid w:val="002167FA"/>
    <w:rsid w:val="0022166D"/>
    <w:rsid w:val="002261EB"/>
    <w:rsid w:val="00232398"/>
    <w:rsid w:val="002339EF"/>
    <w:rsid w:val="00236918"/>
    <w:rsid w:val="00237EE7"/>
    <w:rsid w:val="00253611"/>
    <w:rsid w:val="00255E2B"/>
    <w:rsid w:val="00266008"/>
    <w:rsid w:val="0026755F"/>
    <w:rsid w:val="0028108F"/>
    <w:rsid w:val="00282629"/>
    <w:rsid w:val="00285C03"/>
    <w:rsid w:val="002A0FB2"/>
    <w:rsid w:val="002A2F9F"/>
    <w:rsid w:val="002B136B"/>
    <w:rsid w:val="002C09BB"/>
    <w:rsid w:val="002C7AEE"/>
    <w:rsid w:val="002D18E5"/>
    <w:rsid w:val="002E1E9A"/>
    <w:rsid w:val="002E2EA1"/>
    <w:rsid w:val="002E35BE"/>
    <w:rsid w:val="002E4AB6"/>
    <w:rsid w:val="002F0124"/>
    <w:rsid w:val="002F2D2D"/>
    <w:rsid w:val="002F76D2"/>
    <w:rsid w:val="003032BD"/>
    <w:rsid w:val="0030485E"/>
    <w:rsid w:val="00313246"/>
    <w:rsid w:val="003134D4"/>
    <w:rsid w:val="003152D2"/>
    <w:rsid w:val="00316AD9"/>
    <w:rsid w:val="00346A43"/>
    <w:rsid w:val="00351D12"/>
    <w:rsid w:val="003521AB"/>
    <w:rsid w:val="00357E76"/>
    <w:rsid w:val="0036480B"/>
    <w:rsid w:val="0036635B"/>
    <w:rsid w:val="00366EA6"/>
    <w:rsid w:val="003742A6"/>
    <w:rsid w:val="003860A8"/>
    <w:rsid w:val="003935A4"/>
    <w:rsid w:val="003962A9"/>
    <w:rsid w:val="003A1773"/>
    <w:rsid w:val="003A6BAE"/>
    <w:rsid w:val="003C1FC8"/>
    <w:rsid w:val="003C207E"/>
    <w:rsid w:val="003C72A4"/>
    <w:rsid w:val="003D5F34"/>
    <w:rsid w:val="003E0959"/>
    <w:rsid w:val="003E201F"/>
    <w:rsid w:val="003E641E"/>
    <w:rsid w:val="003E75A1"/>
    <w:rsid w:val="003F2E14"/>
    <w:rsid w:val="003F2E4F"/>
    <w:rsid w:val="003F7100"/>
    <w:rsid w:val="00403D68"/>
    <w:rsid w:val="00426B61"/>
    <w:rsid w:val="00430D21"/>
    <w:rsid w:val="00435F96"/>
    <w:rsid w:val="00440B17"/>
    <w:rsid w:val="00446213"/>
    <w:rsid w:val="004612AD"/>
    <w:rsid w:val="00471182"/>
    <w:rsid w:val="00485729"/>
    <w:rsid w:val="004872D7"/>
    <w:rsid w:val="00490048"/>
    <w:rsid w:val="00497CA8"/>
    <w:rsid w:val="00497D0F"/>
    <w:rsid w:val="004A22DF"/>
    <w:rsid w:val="004A58F5"/>
    <w:rsid w:val="004C7D74"/>
    <w:rsid w:val="004D4A0E"/>
    <w:rsid w:val="004D4AE8"/>
    <w:rsid w:val="004D581D"/>
    <w:rsid w:val="004E311F"/>
    <w:rsid w:val="004E4F2D"/>
    <w:rsid w:val="004E612E"/>
    <w:rsid w:val="004F6AF2"/>
    <w:rsid w:val="0050288D"/>
    <w:rsid w:val="00504776"/>
    <w:rsid w:val="00515153"/>
    <w:rsid w:val="00515A2B"/>
    <w:rsid w:val="0051758A"/>
    <w:rsid w:val="0053571F"/>
    <w:rsid w:val="005357C0"/>
    <w:rsid w:val="0054331A"/>
    <w:rsid w:val="00544F50"/>
    <w:rsid w:val="005500C4"/>
    <w:rsid w:val="00550F1D"/>
    <w:rsid w:val="00551AFA"/>
    <w:rsid w:val="0055380F"/>
    <w:rsid w:val="00567322"/>
    <w:rsid w:val="00576A16"/>
    <w:rsid w:val="0057755E"/>
    <w:rsid w:val="0058638F"/>
    <w:rsid w:val="00586D3A"/>
    <w:rsid w:val="005877EF"/>
    <w:rsid w:val="00591C26"/>
    <w:rsid w:val="005A0C34"/>
    <w:rsid w:val="005A4B50"/>
    <w:rsid w:val="005B5BAF"/>
    <w:rsid w:val="005C172E"/>
    <w:rsid w:val="005E6105"/>
    <w:rsid w:val="005E6A59"/>
    <w:rsid w:val="005F6449"/>
    <w:rsid w:val="006009A3"/>
    <w:rsid w:val="00601D14"/>
    <w:rsid w:val="00603A95"/>
    <w:rsid w:val="0060424D"/>
    <w:rsid w:val="0061246B"/>
    <w:rsid w:val="006163E1"/>
    <w:rsid w:val="00617576"/>
    <w:rsid w:val="00627413"/>
    <w:rsid w:val="00627C1D"/>
    <w:rsid w:val="0063343F"/>
    <w:rsid w:val="00637A09"/>
    <w:rsid w:val="006568FD"/>
    <w:rsid w:val="0066246D"/>
    <w:rsid w:val="0066280B"/>
    <w:rsid w:val="00665711"/>
    <w:rsid w:val="006672AC"/>
    <w:rsid w:val="00670062"/>
    <w:rsid w:val="00672D8E"/>
    <w:rsid w:val="00675CA2"/>
    <w:rsid w:val="00676F0D"/>
    <w:rsid w:val="0068005D"/>
    <w:rsid w:val="00685CC9"/>
    <w:rsid w:val="00694E72"/>
    <w:rsid w:val="0069794D"/>
    <w:rsid w:val="006A0588"/>
    <w:rsid w:val="006A4731"/>
    <w:rsid w:val="006A7750"/>
    <w:rsid w:val="006B41C9"/>
    <w:rsid w:val="006B67E6"/>
    <w:rsid w:val="006C0945"/>
    <w:rsid w:val="006C187F"/>
    <w:rsid w:val="006C361D"/>
    <w:rsid w:val="006D211A"/>
    <w:rsid w:val="006E5B98"/>
    <w:rsid w:val="006E6AD3"/>
    <w:rsid w:val="006F0A95"/>
    <w:rsid w:val="006F3804"/>
    <w:rsid w:val="006F6401"/>
    <w:rsid w:val="00706D21"/>
    <w:rsid w:val="0071089C"/>
    <w:rsid w:val="0071254B"/>
    <w:rsid w:val="0071366C"/>
    <w:rsid w:val="00717B0A"/>
    <w:rsid w:val="00725BBB"/>
    <w:rsid w:val="00725EB9"/>
    <w:rsid w:val="0072779D"/>
    <w:rsid w:val="007322B5"/>
    <w:rsid w:val="007364BF"/>
    <w:rsid w:val="00736789"/>
    <w:rsid w:val="0074266C"/>
    <w:rsid w:val="0074376E"/>
    <w:rsid w:val="00747209"/>
    <w:rsid w:val="007478FE"/>
    <w:rsid w:val="0075441C"/>
    <w:rsid w:val="00754E05"/>
    <w:rsid w:val="007550A3"/>
    <w:rsid w:val="007622E4"/>
    <w:rsid w:val="00771A1B"/>
    <w:rsid w:val="007847A1"/>
    <w:rsid w:val="00787D18"/>
    <w:rsid w:val="00787E8B"/>
    <w:rsid w:val="007A1070"/>
    <w:rsid w:val="007A31B0"/>
    <w:rsid w:val="007B0337"/>
    <w:rsid w:val="007B1187"/>
    <w:rsid w:val="007B2EB3"/>
    <w:rsid w:val="007B343A"/>
    <w:rsid w:val="007C6425"/>
    <w:rsid w:val="007C77C9"/>
    <w:rsid w:val="007D05B6"/>
    <w:rsid w:val="007D3445"/>
    <w:rsid w:val="007D6194"/>
    <w:rsid w:val="007D7AD2"/>
    <w:rsid w:val="007E3349"/>
    <w:rsid w:val="008008D8"/>
    <w:rsid w:val="00805411"/>
    <w:rsid w:val="008101FA"/>
    <w:rsid w:val="008162F0"/>
    <w:rsid w:val="0081733B"/>
    <w:rsid w:val="008215E9"/>
    <w:rsid w:val="00832D02"/>
    <w:rsid w:val="0083337E"/>
    <w:rsid w:val="00845701"/>
    <w:rsid w:val="0084770D"/>
    <w:rsid w:val="00851229"/>
    <w:rsid w:val="008548B5"/>
    <w:rsid w:val="00854E2B"/>
    <w:rsid w:val="008642F7"/>
    <w:rsid w:val="008743C2"/>
    <w:rsid w:val="00875FFE"/>
    <w:rsid w:val="0088390C"/>
    <w:rsid w:val="008845B4"/>
    <w:rsid w:val="008847A1"/>
    <w:rsid w:val="0089198B"/>
    <w:rsid w:val="00894F53"/>
    <w:rsid w:val="0089581D"/>
    <w:rsid w:val="00896BDD"/>
    <w:rsid w:val="008B53F1"/>
    <w:rsid w:val="008C05A0"/>
    <w:rsid w:val="008C43AE"/>
    <w:rsid w:val="008C5AE5"/>
    <w:rsid w:val="008F11E2"/>
    <w:rsid w:val="008F15D7"/>
    <w:rsid w:val="00902A7E"/>
    <w:rsid w:val="00910382"/>
    <w:rsid w:val="00911528"/>
    <w:rsid w:val="00911E44"/>
    <w:rsid w:val="0091568B"/>
    <w:rsid w:val="0091686E"/>
    <w:rsid w:val="00921C2C"/>
    <w:rsid w:val="009268D1"/>
    <w:rsid w:val="009512EA"/>
    <w:rsid w:val="00953A49"/>
    <w:rsid w:val="00960F48"/>
    <w:rsid w:val="00962CD9"/>
    <w:rsid w:val="009713A1"/>
    <w:rsid w:val="00971ABE"/>
    <w:rsid w:val="0097201E"/>
    <w:rsid w:val="00972757"/>
    <w:rsid w:val="00981081"/>
    <w:rsid w:val="009844A4"/>
    <w:rsid w:val="009937A4"/>
    <w:rsid w:val="009B11AA"/>
    <w:rsid w:val="009B3742"/>
    <w:rsid w:val="009B78F9"/>
    <w:rsid w:val="009C5FE0"/>
    <w:rsid w:val="009C7AB6"/>
    <w:rsid w:val="009D1893"/>
    <w:rsid w:val="009D3E8F"/>
    <w:rsid w:val="009D495C"/>
    <w:rsid w:val="009D7E6E"/>
    <w:rsid w:val="009F0C72"/>
    <w:rsid w:val="009F0EEF"/>
    <w:rsid w:val="00A045BA"/>
    <w:rsid w:val="00A05B51"/>
    <w:rsid w:val="00A15842"/>
    <w:rsid w:val="00A22687"/>
    <w:rsid w:val="00A324AE"/>
    <w:rsid w:val="00A34876"/>
    <w:rsid w:val="00A35B81"/>
    <w:rsid w:val="00A41981"/>
    <w:rsid w:val="00A454BC"/>
    <w:rsid w:val="00A620D6"/>
    <w:rsid w:val="00A73450"/>
    <w:rsid w:val="00A73FC5"/>
    <w:rsid w:val="00A8276A"/>
    <w:rsid w:val="00A82C52"/>
    <w:rsid w:val="00A833E8"/>
    <w:rsid w:val="00A838E2"/>
    <w:rsid w:val="00A84211"/>
    <w:rsid w:val="00A87493"/>
    <w:rsid w:val="00A876B6"/>
    <w:rsid w:val="00A87D85"/>
    <w:rsid w:val="00AA1999"/>
    <w:rsid w:val="00AA2D49"/>
    <w:rsid w:val="00AA3558"/>
    <w:rsid w:val="00AA46A9"/>
    <w:rsid w:val="00AB43D5"/>
    <w:rsid w:val="00AB587C"/>
    <w:rsid w:val="00AC1118"/>
    <w:rsid w:val="00AD4A85"/>
    <w:rsid w:val="00AE3DC7"/>
    <w:rsid w:val="00AF1961"/>
    <w:rsid w:val="00AF41C4"/>
    <w:rsid w:val="00AF53C1"/>
    <w:rsid w:val="00B030D3"/>
    <w:rsid w:val="00B0611D"/>
    <w:rsid w:val="00B06E85"/>
    <w:rsid w:val="00B16829"/>
    <w:rsid w:val="00B170AC"/>
    <w:rsid w:val="00B17E02"/>
    <w:rsid w:val="00B2525F"/>
    <w:rsid w:val="00B30C56"/>
    <w:rsid w:val="00B316A4"/>
    <w:rsid w:val="00B41043"/>
    <w:rsid w:val="00B468CA"/>
    <w:rsid w:val="00B479D9"/>
    <w:rsid w:val="00B51592"/>
    <w:rsid w:val="00B52F34"/>
    <w:rsid w:val="00B6405E"/>
    <w:rsid w:val="00B645AC"/>
    <w:rsid w:val="00B67ED5"/>
    <w:rsid w:val="00B75E16"/>
    <w:rsid w:val="00B901A4"/>
    <w:rsid w:val="00B9623E"/>
    <w:rsid w:val="00BA1730"/>
    <w:rsid w:val="00BA4EB9"/>
    <w:rsid w:val="00BB4168"/>
    <w:rsid w:val="00BB66A4"/>
    <w:rsid w:val="00BC3E23"/>
    <w:rsid w:val="00BD01BC"/>
    <w:rsid w:val="00BD3062"/>
    <w:rsid w:val="00BD7D28"/>
    <w:rsid w:val="00BF35B4"/>
    <w:rsid w:val="00BF41C9"/>
    <w:rsid w:val="00BF4F77"/>
    <w:rsid w:val="00BF70FA"/>
    <w:rsid w:val="00C00793"/>
    <w:rsid w:val="00C13A3C"/>
    <w:rsid w:val="00C13B95"/>
    <w:rsid w:val="00C13BF1"/>
    <w:rsid w:val="00C21330"/>
    <w:rsid w:val="00C21E11"/>
    <w:rsid w:val="00C37E32"/>
    <w:rsid w:val="00C40EC6"/>
    <w:rsid w:val="00C43882"/>
    <w:rsid w:val="00C513DD"/>
    <w:rsid w:val="00C53A5C"/>
    <w:rsid w:val="00C60C5D"/>
    <w:rsid w:val="00C631CF"/>
    <w:rsid w:val="00C63370"/>
    <w:rsid w:val="00C63FD4"/>
    <w:rsid w:val="00C72102"/>
    <w:rsid w:val="00C72586"/>
    <w:rsid w:val="00C72AB2"/>
    <w:rsid w:val="00C77D29"/>
    <w:rsid w:val="00C77FA8"/>
    <w:rsid w:val="00C86371"/>
    <w:rsid w:val="00C96A3F"/>
    <w:rsid w:val="00CB3B47"/>
    <w:rsid w:val="00CC0ACF"/>
    <w:rsid w:val="00CC5490"/>
    <w:rsid w:val="00CC5B90"/>
    <w:rsid w:val="00CC5D31"/>
    <w:rsid w:val="00CC60D5"/>
    <w:rsid w:val="00CC7895"/>
    <w:rsid w:val="00CD3525"/>
    <w:rsid w:val="00CD3590"/>
    <w:rsid w:val="00CD7FF5"/>
    <w:rsid w:val="00CE6F43"/>
    <w:rsid w:val="00CF062D"/>
    <w:rsid w:val="00CF486C"/>
    <w:rsid w:val="00CF66CE"/>
    <w:rsid w:val="00D0556E"/>
    <w:rsid w:val="00D1690E"/>
    <w:rsid w:val="00D1696C"/>
    <w:rsid w:val="00D172EA"/>
    <w:rsid w:val="00D205D2"/>
    <w:rsid w:val="00D30773"/>
    <w:rsid w:val="00D3279F"/>
    <w:rsid w:val="00D334BE"/>
    <w:rsid w:val="00D3704D"/>
    <w:rsid w:val="00D450E1"/>
    <w:rsid w:val="00D471AA"/>
    <w:rsid w:val="00D55C43"/>
    <w:rsid w:val="00D55F97"/>
    <w:rsid w:val="00D57781"/>
    <w:rsid w:val="00D57CC0"/>
    <w:rsid w:val="00D60040"/>
    <w:rsid w:val="00D66963"/>
    <w:rsid w:val="00D7694F"/>
    <w:rsid w:val="00D807FB"/>
    <w:rsid w:val="00D91D6F"/>
    <w:rsid w:val="00D947BE"/>
    <w:rsid w:val="00D974CF"/>
    <w:rsid w:val="00DA4F06"/>
    <w:rsid w:val="00DB061C"/>
    <w:rsid w:val="00DB0FEC"/>
    <w:rsid w:val="00DB2821"/>
    <w:rsid w:val="00DB48EE"/>
    <w:rsid w:val="00DB5C44"/>
    <w:rsid w:val="00DB621B"/>
    <w:rsid w:val="00DB6986"/>
    <w:rsid w:val="00DC0D95"/>
    <w:rsid w:val="00DC19C1"/>
    <w:rsid w:val="00DC716F"/>
    <w:rsid w:val="00DC7D71"/>
    <w:rsid w:val="00DD4506"/>
    <w:rsid w:val="00DE7441"/>
    <w:rsid w:val="00DE7633"/>
    <w:rsid w:val="00DE76D6"/>
    <w:rsid w:val="00DF5C84"/>
    <w:rsid w:val="00E0293D"/>
    <w:rsid w:val="00E03355"/>
    <w:rsid w:val="00E0408A"/>
    <w:rsid w:val="00E06B78"/>
    <w:rsid w:val="00E219F8"/>
    <w:rsid w:val="00E25453"/>
    <w:rsid w:val="00E303A2"/>
    <w:rsid w:val="00E30C7E"/>
    <w:rsid w:val="00E3243B"/>
    <w:rsid w:val="00E376D5"/>
    <w:rsid w:val="00E41140"/>
    <w:rsid w:val="00E47967"/>
    <w:rsid w:val="00E5265C"/>
    <w:rsid w:val="00E60111"/>
    <w:rsid w:val="00E60870"/>
    <w:rsid w:val="00E61829"/>
    <w:rsid w:val="00E61F7E"/>
    <w:rsid w:val="00E62682"/>
    <w:rsid w:val="00E65488"/>
    <w:rsid w:val="00E67E99"/>
    <w:rsid w:val="00E72B14"/>
    <w:rsid w:val="00E82DD1"/>
    <w:rsid w:val="00EA4A33"/>
    <w:rsid w:val="00EA7B86"/>
    <w:rsid w:val="00EB6806"/>
    <w:rsid w:val="00EC18E2"/>
    <w:rsid w:val="00EC33CB"/>
    <w:rsid w:val="00EC4441"/>
    <w:rsid w:val="00EC5545"/>
    <w:rsid w:val="00EC5DC2"/>
    <w:rsid w:val="00EC79FD"/>
    <w:rsid w:val="00ED517C"/>
    <w:rsid w:val="00ED6668"/>
    <w:rsid w:val="00EE1A88"/>
    <w:rsid w:val="00EF6F50"/>
    <w:rsid w:val="00F002BF"/>
    <w:rsid w:val="00F15FE8"/>
    <w:rsid w:val="00F23166"/>
    <w:rsid w:val="00F250EA"/>
    <w:rsid w:val="00F3505C"/>
    <w:rsid w:val="00F35641"/>
    <w:rsid w:val="00F35E64"/>
    <w:rsid w:val="00F37076"/>
    <w:rsid w:val="00F416AD"/>
    <w:rsid w:val="00F453FA"/>
    <w:rsid w:val="00F518EB"/>
    <w:rsid w:val="00F563C6"/>
    <w:rsid w:val="00F574B5"/>
    <w:rsid w:val="00F617F7"/>
    <w:rsid w:val="00F73727"/>
    <w:rsid w:val="00F75B4F"/>
    <w:rsid w:val="00F827D4"/>
    <w:rsid w:val="00F9516B"/>
    <w:rsid w:val="00F95EE4"/>
    <w:rsid w:val="00FA3041"/>
    <w:rsid w:val="00FA5CBA"/>
    <w:rsid w:val="00FA6A3B"/>
    <w:rsid w:val="00FB5222"/>
    <w:rsid w:val="00FB6745"/>
    <w:rsid w:val="00FC1132"/>
    <w:rsid w:val="00FC6643"/>
    <w:rsid w:val="00FD33F5"/>
    <w:rsid w:val="00FD4A50"/>
    <w:rsid w:val="00FD5642"/>
    <w:rsid w:val="00FE69BA"/>
    <w:rsid w:val="00FF1444"/>
    <w:rsid w:val="00FF3514"/>
    <w:rsid w:val="00FF3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D30773"/>
    <w:rPr>
      <w:b/>
      <w:bCs/>
      <w:color w:val="000000"/>
      <w:sz w:val="20"/>
      <w:szCs w:val="20"/>
    </w:rPr>
  </w:style>
  <w:style w:type="paragraph" w:customStyle="1" w:styleId="Default">
    <w:name w:val="Default"/>
    <w:rsid w:val="00D30773"/>
    <w:pPr>
      <w:autoSpaceDE w:val="0"/>
      <w:autoSpaceDN w:val="0"/>
      <w:adjustRightInd w:val="0"/>
      <w:spacing w:after="0" w:line="240" w:lineRule="auto"/>
    </w:pPr>
    <w:rPr>
      <w:rFonts w:ascii="Times" w:hAnsi="Times" w:cs="Times"/>
      <w:color w:val="000000"/>
      <w:sz w:val="24"/>
      <w:szCs w:val="24"/>
    </w:rPr>
  </w:style>
  <w:style w:type="paragraph" w:styleId="ListParagraph">
    <w:name w:val="List Paragraph"/>
    <w:basedOn w:val="Normal"/>
    <w:uiPriority w:val="34"/>
    <w:qFormat/>
    <w:rsid w:val="00D30773"/>
    <w:pPr>
      <w:ind w:left="720"/>
      <w:contextualSpacing/>
    </w:pPr>
  </w:style>
  <w:style w:type="paragraph" w:styleId="NormalWeb">
    <w:name w:val="Normal (Web)"/>
    <w:basedOn w:val="Normal"/>
    <w:uiPriority w:val="99"/>
    <w:unhideWhenUsed/>
    <w:rsid w:val="00D30773"/>
    <w:pPr>
      <w:spacing w:before="100" w:beforeAutospacing="1" w:after="100" w:afterAutospacing="1" w:line="240" w:lineRule="auto"/>
    </w:pPr>
    <w:rPr>
      <w:rFonts w:ascii="Times New Roman" w:eastAsia="Times New Roman" w:hAnsi="Times New Roman" w:cs="Times New Roman"/>
      <w:color w:val="111111"/>
      <w:sz w:val="24"/>
      <w:szCs w:val="24"/>
    </w:rPr>
  </w:style>
  <w:style w:type="table" w:styleId="TableGrid">
    <w:name w:val="Table Grid"/>
    <w:basedOn w:val="TableNormal"/>
    <w:uiPriority w:val="59"/>
    <w:rsid w:val="00D3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D30773"/>
    <w:pPr>
      <w:spacing w:after="0" w:line="240" w:lineRule="auto"/>
    </w:pPr>
    <w:rPr>
      <w:rFonts w:ascii="Calibri" w:eastAsia="Times New Roman" w:hAnsi="Calibri" w:cs="Arial"/>
    </w:rPr>
  </w:style>
  <w:style w:type="character" w:customStyle="1" w:styleId="NoSpacingChar">
    <w:name w:val="No Spacing Char"/>
    <w:basedOn w:val="DefaultParagraphFont"/>
    <w:link w:val="NoSpacing"/>
    <w:rsid w:val="00D30773"/>
    <w:rPr>
      <w:rFonts w:ascii="Calibri" w:eastAsia="Times New Roman" w:hAnsi="Calibri" w:cs="Arial"/>
    </w:rPr>
  </w:style>
  <w:style w:type="paragraph" w:styleId="BalloonText">
    <w:name w:val="Balloon Text"/>
    <w:basedOn w:val="Normal"/>
    <w:link w:val="BalloonTextChar"/>
    <w:uiPriority w:val="99"/>
    <w:semiHidden/>
    <w:unhideWhenUsed/>
    <w:rsid w:val="00D3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73"/>
    <w:rPr>
      <w:rFonts w:ascii="Tahoma" w:eastAsiaTheme="minorEastAsia" w:hAnsi="Tahoma" w:cs="Tahoma"/>
      <w:sz w:val="16"/>
      <w:szCs w:val="16"/>
    </w:rPr>
  </w:style>
  <w:style w:type="character" w:styleId="Hyperlink">
    <w:name w:val="Hyperlink"/>
    <w:basedOn w:val="DefaultParagraphFont"/>
    <w:uiPriority w:val="99"/>
    <w:unhideWhenUsed/>
    <w:rsid w:val="0055380F"/>
    <w:rPr>
      <w:color w:val="0000FF" w:themeColor="hyperlink"/>
      <w:u w:val="single"/>
    </w:rPr>
  </w:style>
  <w:style w:type="character" w:styleId="CommentReference">
    <w:name w:val="annotation reference"/>
    <w:basedOn w:val="DefaultParagraphFont"/>
    <w:uiPriority w:val="99"/>
    <w:semiHidden/>
    <w:unhideWhenUsed/>
    <w:rsid w:val="0055380F"/>
    <w:rPr>
      <w:sz w:val="16"/>
      <w:szCs w:val="16"/>
    </w:rPr>
  </w:style>
  <w:style w:type="paragraph" w:styleId="CommentText">
    <w:name w:val="annotation text"/>
    <w:basedOn w:val="Normal"/>
    <w:link w:val="CommentTextChar"/>
    <w:uiPriority w:val="99"/>
    <w:semiHidden/>
    <w:unhideWhenUsed/>
    <w:rsid w:val="0055380F"/>
    <w:pPr>
      <w:spacing w:line="240" w:lineRule="auto"/>
    </w:pPr>
    <w:rPr>
      <w:sz w:val="20"/>
      <w:szCs w:val="20"/>
    </w:rPr>
  </w:style>
  <w:style w:type="character" w:customStyle="1" w:styleId="CommentTextChar">
    <w:name w:val="Comment Text Char"/>
    <w:basedOn w:val="DefaultParagraphFont"/>
    <w:link w:val="CommentText"/>
    <w:uiPriority w:val="99"/>
    <w:semiHidden/>
    <w:rsid w:val="00553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380F"/>
    <w:rPr>
      <w:b/>
      <w:bCs/>
    </w:rPr>
  </w:style>
  <w:style w:type="character" w:customStyle="1" w:styleId="CommentSubjectChar">
    <w:name w:val="Comment Subject Char"/>
    <w:basedOn w:val="CommentTextChar"/>
    <w:link w:val="CommentSubject"/>
    <w:uiPriority w:val="99"/>
    <w:semiHidden/>
    <w:rsid w:val="0055380F"/>
    <w:rPr>
      <w:rFonts w:eastAsiaTheme="minorEastAsia"/>
      <w:b/>
      <w:bCs/>
      <w:sz w:val="20"/>
      <w:szCs w:val="20"/>
    </w:rPr>
  </w:style>
  <w:style w:type="paragraph" w:styleId="Header">
    <w:name w:val="header"/>
    <w:basedOn w:val="Normal"/>
    <w:link w:val="HeaderChar"/>
    <w:uiPriority w:val="99"/>
    <w:semiHidden/>
    <w:unhideWhenUsed/>
    <w:rsid w:val="005877E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877EF"/>
    <w:rPr>
      <w:rFonts w:eastAsiaTheme="minorEastAsia"/>
    </w:rPr>
  </w:style>
  <w:style w:type="paragraph" w:styleId="Footer">
    <w:name w:val="footer"/>
    <w:basedOn w:val="Normal"/>
    <w:link w:val="FooterChar"/>
    <w:uiPriority w:val="99"/>
    <w:semiHidden/>
    <w:unhideWhenUsed/>
    <w:rsid w:val="005877E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877EF"/>
    <w:rPr>
      <w:rFonts w:eastAsiaTheme="minorEastAsia"/>
    </w:rPr>
  </w:style>
  <w:style w:type="character" w:customStyle="1" w:styleId="msonormal0">
    <w:name w:val="msonormal0"/>
    <w:rsid w:val="005877EF"/>
  </w:style>
  <w:style w:type="character" w:customStyle="1" w:styleId="Absatz-Standardschriftart">
    <w:name w:val="Absatz-Standardschriftart"/>
    <w:rsid w:val="00587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D30773"/>
    <w:rPr>
      <w:b/>
      <w:bCs/>
      <w:color w:val="000000"/>
      <w:sz w:val="20"/>
      <w:szCs w:val="20"/>
    </w:rPr>
  </w:style>
  <w:style w:type="paragraph" w:customStyle="1" w:styleId="Default">
    <w:name w:val="Default"/>
    <w:rsid w:val="00D30773"/>
    <w:pPr>
      <w:autoSpaceDE w:val="0"/>
      <w:autoSpaceDN w:val="0"/>
      <w:adjustRightInd w:val="0"/>
      <w:spacing w:after="0" w:line="240" w:lineRule="auto"/>
    </w:pPr>
    <w:rPr>
      <w:rFonts w:ascii="Times" w:hAnsi="Times" w:cs="Times"/>
      <w:color w:val="000000"/>
      <w:sz w:val="24"/>
      <w:szCs w:val="24"/>
    </w:rPr>
  </w:style>
  <w:style w:type="paragraph" w:styleId="ListParagraph">
    <w:name w:val="List Paragraph"/>
    <w:basedOn w:val="Normal"/>
    <w:uiPriority w:val="34"/>
    <w:qFormat/>
    <w:rsid w:val="00D30773"/>
    <w:pPr>
      <w:ind w:left="720"/>
      <w:contextualSpacing/>
    </w:pPr>
  </w:style>
  <w:style w:type="paragraph" w:styleId="NormalWeb">
    <w:name w:val="Normal (Web)"/>
    <w:basedOn w:val="Normal"/>
    <w:uiPriority w:val="99"/>
    <w:unhideWhenUsed/>
    <w:rsid w:val="00D30773"/>
    <w:pPr>
      <w:spacing w:before="100" w:beforeAutospacing="1" w:after="100" w:afterAutospacing="1" w:line="240" w:lineRule="auto"/>
    </w:pPr>
    <w:rPr>
      <w:rFonts w:ascii="Times New Roman" w:eastAsia="Times New Roman" w:hAnsi="Times New Roman" w:cs="Times New Roman"/>
      <w:color w:val="111111"/>
      <w:sz w:val="24"/>
      <w:szCs w:val="24"/>
    </w:rPr>
  </w:style>
  <w:style w:type="table" w:styleId="TableGrid">
    <w:name w:val="Table Grid"/>
    <w:basedOn w:val="TableNormal"/>
    <w:uiPriority w:val="59"/>
    <w:rsid w:val="00D3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D30773"/>
    <w:pPr>
      <w:spacing w:after="0" w:line="240" w:lineRule="auto"/>
    </w:pPr>
    <w:rPr>
      <w:rFonts w:ascii="Calibri" w:eastAsia="Times New Roman" w:hAnsi="Calibri" w:cs="Arial"/>
    </w:rPr>
  </w:style>
  <w:style w:type="character" w:customStyle="1" w:styleId="NoSpacingChar">
    <w:name w:val="No Spacing Char"/>
    <w:basedOn w:val="DefaultParagraphFont"/>
    <w:link w:val="NoSpacing"/>
    <w:rsid w:val="00D30773"/>
    <w:rPr>
      <w:rFonts w:ascii="Calibri" w:eastAsia="Times New Roman" w:hAnsi="Calibri" w:cs="Arial"/>
    </w:rPr>
  </w:style>
  <w:style w:type="paragraph" w:styleId="BalloonText">
    <w:name w:val="Balloon Text"/>
    <w:basedOn w:val="Normal"/>
    <w:link w:val="BalloonTextChar"/>
    <w:uiPriority w:val="99"/>
    <w:semiHidden/>
    <w:unhideWhenUsed/>
    <w:rsid w:val="00D3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73"/>
    <w:rPr>
      <w:rFonts w:ascii="Tahoma" w:eastAsiaTheme="minorEastAsia" w:hAnsi="Tahoma" w:cs="Tahoma"/>
      <w:sz w:val="16"/>
      <w:szCs w:val="16"/>
    </w:rPr>
  </w:style>
  <w:style w:type="character" w:styleId="Hyperlink">
    <w:name w:val="Hyperlink"/>
    <w:basedOn w:val="DefaultParagraphFont"/>
    <w:uiPriority w:val="99"/>
    <w:unhideWhenUsed/>
    <w:rsid w:val="0055380F"/>
    <w:rPr>
      <w:color w:val="0000FF" w:themeColor="hyperlink"/>
      <w:u w:val="single"/>
    </w:rPr>
  </w:style>
  <w:style w:type="character" w:styleId="CommentReference">
    <w:name w:val="annotation reference"/>
    <w:basedOn w:val="DefaultParagraphFont"/>
    <w:uiPriority w:val="99"/>
    <w:semiHidden/>
    <w:unhideWhenUsed/>
    <w:rsid w:val="0055380F"/>
    <w:rPr>
      <w:sz w:val="16"/>
      <w:szCs w:val="16"/>
    </w:rPr>
  </w:style>
  <w:style w:type="paragraph" w:styleId="CommentText">
    <w:name w:val="annotation text"/>
    <w:basedOn w:val="Normal"/>
    <w:link w:val="CommentTextChar"/>
    <w:uiPriority w:val="99"/>
    <w:semiHidden/>
    <w:unhideWhenUsed/>
    <w:rsid w:val="0055380F"/>
    <w:pPr>
      <w:spacing w:line="240" w:lineRule="auto"/>
    </w:pPr>
    <w:rPr>
      <w:sz w:val="20"/>
      <w:szCs w:val="20"/>
    </w:rPr>
  </w:style>
  <w:style w:type="character" w:customStyle="1" w:styleId="CommentTextChar">
    <w:name w:val="Comment Text Char"/>
    <w:basedOn w:val="DefaultParagraphFont"/>
    <w:link w:val="CommentText"/>
    <w:uiPriority w:val="99"/>
    <w:semiHidden/>
    <w:rsid w:val="00553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380F"/>
    <w:rPr>
      <w:b/>
      <w:bCs/>
    </w:rPr>
  </w:style>
  <w:style w:type="character" w:customStyle="1" w:styleId="CommentSubjectChar">
    <w:name w:val="Comment Subject Char"/>
    <w:basedOn w:val="CommentTextChar"/>
    <w:link w:val="CommentSubject"/>
    <w:uiPriority w:val="99"/>
    <w:semiHidden/>
    <w:rsid w:val="0055380F"/>
    <w:rPr>
      <w:rFonts w:eastAsiaTheme="minorEastAsia"/>
      <w:b/>
      <w:bCs/>
      <w:sz w:val="20"/>
      <w:szCs w:val="20"/>
    </w:rPr>
  </w:style>
  <w:style w:type="paragraph" w:styleId="Header">
    <w:name w:val="header"/>
    <w:basedOn w:val="Normal"/>
    <w:link w:val="HeaderChar"/>
    <w:uiPriority w:val="99"/>
    <w:semiHidden/>
    <w:unhideWhenUsed/>
    <w:rsid w:val="005877E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877EF"/>
    <w:rPr>
      <w:rFonts w:eastAsiaTheme="minorEastAsia"/>
    </w:rPr>
  </w:style>
  <w:style w:type="paragraph" w:styleId="Footer">
    <w:name w:val="footer"/>
    <w:basedOn w:val="Normal"/>
    <w:link w:val="FooterChar"/>
    <w:uiPriority w:val="99"/>
    <w:semiHidden/>
    <w:unhideWhenUsed/>
    <w:rsid w:val="005877E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877EF"/>
    <w:rPr>
      <w:rFonts w:eastAsiaTheme="minorEastAsia"/>
    </w:rPr>
  </w:style>
  <w:style w:type="character" w:customStyle="1" w:styleId="msonormal0">
    <w:name w:val="msonormal0"/>
    <w:rsid w:val="005877EF"/>
  </w:style>
  <w:style w:type="character" w:customStyle="1" w:styleId="Absatz-Standardschriftart">
    <w:name w:val="Absatz-Standardschriftart"/>
    <w:rsid w:val="005877EF"/>
  </w:style>
</w:styles>
</file>

<file path=word/webSettings.xml><?xml version="1.0" encoding="utf-8"?>
<w:webSettings xmlns:r="http://schemas.openxmlformats.org/officeDocument/2006/relationships" xmlns:w="http://schemas.openxmlformats.org/wordprocessingml/2006/main">
  <w:divs>
    <w:div w:id="7232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Reham_r9@yahoo.com" TargetMode="Externa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ncbi.nlm.nih.gov/pubmed/?term=Bau%20DT%5BAuthor%5D&amp;cauthor=true&amp;cauthor_uid=23898109"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www.ncbi.nlm.nih.gov/pubmed/?term=Lin%20CC%5BAuthor%5D&amp;cauthor=true&amp;cauthor_uid=23898109" TargetMode="External"/><Relationship Id="rId4" Type="http://schemas.openxmlformats.org/officeDocument/2006/relationships/webSettings" Target="webSettings.xml"/><Relationship Id="rId9" Type="http://schemas.openxmlformats.org/officeDocument/2006/relationships/hyperlink" Target="http://www.dx.doi.org/10.7537/marscbj060316.04" TargetMode="External"/><Relationship Id="rId14" Type="http://schemas.openxmlformats.org/officeDocument/2006/relationships/header" Target="header3.xml"/><Relationship Id="rId22" Type="http://schemas.openxmlformats.org/officeDocument/2006/relationships/footer" Target="footer4.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MoHHQ</Company>
  <LinksUpToDate>false</LinksUpToDate>
  <CharactersWithSpaces>22969</CharactersWithSpaces>
  <SharedDoc>false</SharedDoc>
  <HLinks>
    <vt:vector size="30" baseType="variant">
      <vt:variant>
        <vt:i4>3276866</vt:i4>
      </vt:variant>
      <vt:variant>
        <vt:i4>9</vt:i4>
      </vt:variant>
      <vt:variant>
        <vt:i4>0</vt:i4>
      </vt:variant>
      <vt:variant>
        <vt:i4>5</vt:i4>
      </vt:variant>
      <vt:variant>
        <vt:lpwstr>http://www.ncbi.nlm.nih.gov/pubmed/?term=Bau%20DT%5BAuthor%5D&amp;cauthor=true&amp;cauthor_uid=23898109</vt:lpwstr>
      </vt:variant>
      <vt:variant>
        <vt:lpwstr/>
      </vt:variant>
      <vt:variant>
        <vt:i4>2097245</vt:i4>
      </vt:variant>
      <vt:variant>
        <vt:i4>6</vt:i4>
      </vt:variant>
      <vt:variant>
        <vt:i4>0</vt:i4>
      </vt:variant>
      <vt:variant>
        <vt:i4>5</vt:i4>
      </vt:variant>
      <vt:variant>
        <vt:lpwstr>http://www.ncbi.nlm.nih.gov/pubmed/?term=Lin%20CC%5BAuthor%5D&amp;cauthor=true&amp;cauthor_uid=23898109</vt:lpwstr>
      </vt:variant>
      <vt:variant>
        <vt:lpwstr/>
      </vt:variant>
      <vt:variant>
        <vt:i4>5505026</vt:i4>
      </vt:variant>
      <vt:variant>
        <vt:i4>3</vt:i4>
      </vt:variant>
      <vt:variant>
        <vt:i4>0</vt:i4>
      </vt:variant>
      <vt:variant>
        <vt:i4>5</vt:i4>
      </vt:variant>
      <vt:variant>
        <vt:lpwstr>http://www.cancerbio.net/</vt:lpwstr>
      </vt:variant>
      <vt:variant>
        <vt:lpwstr/>
      </vt:variant>
      <vt:variant>
        <vt:i4>6815797</vt:i4>
      </vt:variant>
      <vt:variant>
        <vt:i4>0</vt:i4>
      </vt:variant>
      <vt:variant>
        <vt:i4>0</vt:i4>
      </vt:variant>
      <vt:variant>
        <vt:i4>5</vt:i4>
      </vt:variant>
      <vt:variant>
        <vt:lpwstr>mailto:Reham_r9@yahoo.com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Administrator</cp:lastModifiedBy>
  <cp:revision>5</cp:revision>
  <cp:lastPrinted>2016-07-11T04:03:00Z</cp:lastPrinted>
  <dcterms:created xsi:type="dcterms:W3CDTF">2016-07-11T08:08:00Z</dcterms:created>
  <dcterms:modified xsi:type="dcterms:W3CDTF">2016-07-12T02:08:00Z</dcterms:modified>
</cp:coreProperties>
</file>