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3B6" w:rsidRPr="0032790C" w:rsidRDefault="003D43B6" w:rsidP="00294C32">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Study of Inhibition Effect of Propolis on Growth of Hepatocellular carcinoma cell lines (HepG 2) (</w:t>
      </w:r>
      <w:r w:rsidRPr="0032790C">
        <w:rPr>
          <w:rFonts w:ascii="Times New Roman" w:hAnsi="Times New Roman" w:cs="Times New Roman"/>
          <w:b/>
          <w:bCs/>
          <w:i/>
          <w:iCs/>
          <w:sz w:val="20"/>
          <w:szCs w:val="20"/>
        </w:rPr>
        <w:t>In vitro</w:t>
      </w:r>
      <w:r w:rsidRPr="0032790C">
        <w:rPr>
          <w:rFonts w:ascii="Times New Roman" w:hAnsi="Times New Roman" w:cs="Times New Roman"/>
          <w:b/>
          <w:bCs/>
          <w:sz w:val="20"/>
          <w:szCs w:val="20"/>
        </w:rPr>
        <w:t>)</w:t>
      </w:r>
    </w:p>
    <w:p w:rsidR="003D43B6" w:rsidRPr="0032790C" w:rsidRDefault="003D43B6" w:rsidP="00294C32">
      <w:pPr>
        <w:pStyle w:val="BodyText"/>
        <w:bidi w:val="0"/>
        <w:adjustRightInd w:val="0"/>
        <w:snapToGrid w:val="0"/>
        <w:jc w:val="center"/>
        <w:rPr>
          <w:sz w:val="20"/>
          <w:szCs w:val="20"/>
        </w:rPr>
      </w:pPr>
    </w:p>
    <w:p w:rsidR="003D43B6" w:rsidRPr="0032790C" w:rsidRDefault="003D43B6" w:rsidP="00294C32">
      <w:pPr>
        <w:pStyle w:val="BodyText"/>
        <w:bidi w:val="0"/>
        <w:adjustRightInd w:val="0"/>
        <w:snapToGrid w:val="0"/>
        <w:jc w:val="center"/>
        <w:rPr>
          <w:sz w:val="20"/>
          <w:szCs w:val="20"/>
          <w:rtl/>
        </w:rPr>
      </w:pPr>
      <w:r w:rsidRPr="0032790C">
        <w:rPr>
          <w:sz w:val="20"/>
          <w:szCs w:val="20"/>
        </w:rPr>
        <w:t>Lina Abdul-Fattah Kurdi</w:t>
      </w:r>
    </w:p>
    <w:p w:rsidR="003D43B6" w:rsidRPr="0032790C" w:rsidRDefault="003D43B6" w:rsidP="00294C32">
      <w:pPr>
        <w:pStyle w:val="BodyText"/>
        <w:bidi w:val="0"/>
        <w:adjustRightInd w:val="0"/>
        <w:snapToGrid w:val="0"/>
        <w:jc w:val="center"/>
        <w:rPr>
          <w:sz w:val="20"/>
          <w:szCs w:val="20"/>
        </w:rPr>
      </w:pPr>
    </w:p>
    <w:p w:rsidR="003D43B6" w:rsidRPr="0032790C" w:rsidRDefault="003D43B6" w:rsidP="00294C32">
      <w:pPr>
        <w:pStyle w:val="BodyText"/>
        <w:bidi w:val="0"/>
        <w:adjustRightInd w:val="0"/>
        <w:snapToGrid w:val="0"/>
        <w:jc w:val="center"/>
        <w:rPr>
          <w:sz w:val="20"/>
          <w:szCs w:val="20"/>
          <w:rtl/>
        </w:rPr>
      </w:pPr>
      <w:r w:rsidRPr="0032790C">
        <w:rPr>
          <w:sz w:val="20"/>
          <w:szCs w:val="20"/>
        </w:rPr>
        <w:t>Faculty of Sciences - Al Faisaliah- King Abdul Aziz University, Department of Biology Zoology</w:t>
      </w:r>
      <w:r w:rsidR="00FA1E04">
        <w:rPr>
          <w:sz w:val="20"/>
          <w:szCs w:val="20"/>
        </w:rPr>
        <w:t xml:space="preserve">, </w:t>
      </w:r>
      <w:r w:rsidRPr="0032790C">
        <w:rPr>
          <w:sz w:val="20"/>
          <w:szCs w:val="20"/>
        </w:rPr>
        <w:t>P.O. Box. 4938, Jeddah 21412</w:t>
      </w:r>
    </w:p>
    <w:p w:rsidR="003D43B6" w:rsidRPr="0032790C" w:rsidRDefault="00E75442" w:rsidP="00294C32">
      <w:pPr>
        <w:bidi w:val="0"/>
        <w:adjustRightInd w:val="0"/>
        <w:snapToGrid w:val="0"/>
        <w:spacing w:after="0" w:line="240" w:lineRule="auto"/>
        <w:jc w:val="center"/>
        <w:rPr>
          <w:rFonts w:ascii="Times New Roman" w:hAnsi="Times New Roman" w:cs="Times New Roman"/>
          <w:sz w:val="20"/>
          <w:szCs w:val="20"/>
        </w:rPr>
      </w:pPr>
      <w:hyperlink r:id="rId8" w:history="1">
        <w:r w:rsidR="00F739E0" w:rsidRPr="0032790C">
          <w:rPr>
            <w:rStyle w:val="Hyperlink"/>
            <w:rFonts w:ascii="Times New Roman" w:hAnsi="Times New Roman" w:cs="Times New Roman"/>
            <w:sz w:val="20"/>
            <w:szCs w:val="20"/>
            <w:u w:val="none"/>
          </w:rPr>
          <w:t>dr.lina_kurdi@hotmail.com</w:t>
        </w:r>
      </w:hyperlink>
    </w:p>
    <w:p w:rsidR="00F739E0" w:rsidRPr="0032790C" w:rsidRDefault="00F739E0" w:rsidP="00294C32">
      <w:pPr>
        <w:bidi w:val="0"/>
        <w:adjustRightInd w:val="0"/>
        <w:snapToGrid w:val="0"/>
        <w:spacing w:after="0" w:line="240" w:lineRule="auto"/>
        <w:jc w:val="both"/>
        <w:rPr>
          <w:rFonts w:ascii="Times New Roman" w:hAnsi="Times New Roman" w:cs="Times New Roman"/>
          <w:b/>
          <w:bCs/>
          <w:sz w:val="20"/>
          <w:szCs w:val="20"/>
        </w:rPr>
      </w:pPr>
    </w:p>
    <w:p w:rsidR="003D43B6" w:rsidRPr="0032790C" w:rsidRDefault="00F739E0" w:rsidP="00294C32">
      <w:pPr>
        <w:bidi w:val="0"/>
        <w:adjustRightInd w:val="0"/>
        <w:snapToGrid w:val="0"/>
        <w:spacing w:after="0" w:line="240" w:lineRule="auto"/>
        <w:jc w:val="both"/>
        <w:rPr>
          <w:rFonts w:ascii="Times New Roman" w:hAnsi="Times New Roman" w:cs="Times New Roman"/>
          <w:sz w:val="20"/>
          <w:szCs w:val="20"/>
          <w:lang w:bidi="ar-EG"/>
        </w:rPr>
      </w:pPr>
      <w:r w:rsidRPr="0032790C">
        <w:rPr>
          <w:rFonts w:ascii="Times New Roman" w:hAnsi="Times New Roman" w:cs="Times New Roman"/>
          <w:b/>
          <w:bCs/>
          <w:sz w:val="20"/>
          <w:szCs w:val="20"/>
        </w:rPr>
        <w:t xml:space="preserve">Abstract: </w:t>
      </w:r>
      <w:r w:rsidR="003D43B6" w:rsidRPr="0032790C">
        <w:rPr>
          <w:rFonts w:ascii="Times New Roman" w:hAnsi="Times New Roman" w:cs="Times New Roman"/>
          <w:sz w:val="20"/>
          <w:szCs w:val="20"/>
          <w:lang w:bidi="ar-EG"/>
        </w:rPr>
        <w:t xml:space="preserve">This study was primarily concerned with gauging the </w:t>
      </w:r>
      <w:r w:rsidR="003D43B6" w:rsidRPr="0032790C">
        <w:rPr>
          <w:rFonts w:ascii="Times New Roman" w:hAnsi="Times New Roman" w:cs="Times New Roman"/>
          <w:i/>
          <w:iCs/>
          <w:sz w:val="20"/>
          <w:szCs w:val="20"/>
          <w:lang w:bidi="ar-EG"/>
        </w:rPr>
        <w:t>in-vitro</w:t>
      </w:r>
      <w:r w:rsidR="003D43B6" w:rsidRPr="0032790C">
        <w:rPr>
          <w:rFonts w:ascii="Times New Roman" w:hAnsi="Times New Roman" w:cs="Times New Roman"/>
          <w:sz w:val="20"/>
          <w:szCs w:val="20"/>
          <w:lang w:bidi="ar-EG"/>
        </w:rPr>
        <w:t xml:space="preserve"> inhibitory effect of Propolis on the growth of liver cancer cell lines, compared to the standard anti-neoplastic agent, Dacarbazine.</w:t>
      </w:r>
      <w:r w:rsidRPr="0032790C">
        <w:rPr>
          <w:rFonts w:ascii="Times New Roman" w:hAnsi="Times New Roman" w:cs="Times New Roman"/>
          <w:b/>
          <w:bCs/>
          <w:sz w:val="20"/>
          <w:szCs w:val="20"/>
        </w:rPr>
        <w:t xml:space="preserve"> </w:t>
      </w:r>
      <w:r w:rsidR="003D43B6" w:rsidRPr="0032790C">
        <w:rPr>
          <w:rFonts w:ascii="Times New Roman" w:hAnsi="Times New Roman" w:cs="Times New Roman"/>
          <w:sz w:val="20"/>
          <w:szCs w:val="20"/>
          <w:lang w:bidi="ar-EG"/>
        </w:rPr>
        <w:t>The results of treatment with three (3) concentrations of Propolis (50,100 and 200mcg/ml), treatment with Dacabazine and combined treatment with Propolis and Dacarbazine demonstrate the morphological closeness of the inhibitory impact exerted by each treatment on the growth of liver cancer cell lines (HepG2), after incubation for 48 and 72 hours.</w:t>
      </w:r>
      <w:r w:rsidRPr="0032790C">
        <w:rPr>
          <w:rFonts w:ascii="Times New Roman" w:hAnsi="Times New Roman" w:cs="Times New Roman"/>
          <w:sz w:val="20"/>
          <w:szCs w:val="20"/>
          <w:lang w:bidi="ar-EG"/>
        </w:rPr>
        <w:t xml:space="preserve"> </w:t>
      </w:r>
      <w:r w:rsidR="003D43B6" w:rsidRPr="0032790C">
        <w:rPr>
          <w:rFonts w:ascii="Times New Roman" w:hAnsi="Times New Roman" w:cs="Times New Roman"/>
          <w:sz w:val="20"/>
          <w:szCs w:val="20"/>
          <w:lang w:bidi="ar-EG"/>
        </w:rPr>
        <w:t>Comparison of the inhibitory impact of various treatments demonstrated remarkable, concentration-proportional improvements as a result of the treatments under study.</w:t>
      </w:r>
      <w:r w:rsidRPr="0032790C">
        <w:rPr>
          <w:rFonts w:ascii="Times New Roman" w:hAnsi="Times New Roman" w:cs="Times New Roman"/>
          <w:b/>
          <w:bCs/>
          <w:sz w:val="20"/>
          <w:szCs w:val="20"/>
        </w:rPr>
        <w:t xml:space="preserve"> </w:t>
      </w:r>
      <w:r w:rsidR="003D43B6" w:rsidRPr="0032790C">
        <w:rPr>
          <w:rFonts w:ascii="Times New Roman" w:hAnsi="Times New Roman" w:cs="Times New Roman"/>
          <w:sz w:val="20"/>
          <w:szCs w:val="20"/>
          <w:lang w:bidi="ar-EG"/>
        </w:rPr>
        <w:t>Upon calculation of the lethal inhibitory concentration that inhibits 50% of the cells (IC</w:t>
      </w:r>
      <w:r w:rsidR="003D43B6" w:rsidRPr="0032790C">
        <w:rPr>
          <w:rFonts w:ascii="Times New Roman" w:hAnsi="Times New Roman" w:cs="Times New Roman"/>
          <w:sz w:val="20"/>
          <w:szCs w:val="20"/>
          <w:vertAlign w:val="subscript"/>
          <w:lang w:bidi="ar-EG"/>
        </w:rPr>
        <w:t>50</w:t>
      </w:r>
      <w:r w:rsidR="003D43B6" w:rsidRPr="0032790C">
        <w:rPr>
          <w:rFonts w:ascii="Times New Roman" w:hAnsi="Times New Roman" w:cs="Times New Roman"/>
          <w:sz w:val="20"/>
          <w:szCs w:val="20"/>
          <w:lang w:bidi="ar-EG"/>
        </w:rPr>
        <w:t>) and 90% of the cells (IC</w:t>
      </w:r>
      <w:r w:rsidR="003D43B6" w:rsidRPr="0032790C">
        <w:rPr>
          <w:rFonts w:ascii="Times New Roman" w:hAnsi="Times New Roman" w:cs="Times New Roman"/>
          <w:sz w:val="20"/>
          <w:szCs w:val="20"/>
          <w:vertAlign w:val="subscript"/>
          <w:lang w:bidi="ar-EG"/>
        </w:rPr>
        <w:t>90</w:t>
      </w:r>
      <w:r w:rsidR="003D43B6" w:rsidRPr="0032790C">
        <w:rPr>
          <w:rFonts w:ascii="Times New Roman" w:hAnsi="Times New Roman" w:cs="Times New Roman"/>
          <w:sz w:val="20"/>
          <w:szCs w:val="20"/>
          <w:lang w:bidi="ar-EG"/>
        </w:rPr>
        <w:t>), the best result was posted by treatment with Dacarbazine, followed by the combined treatment with both Dacarbazine and Propolis, followed by treatment with Propolis per se, respectively.</w:t>
      </w:r>
      <w:r w:rsidR="007D7A37">
        <w:rPr>
          <w:rFonts w:ascii="Times New Roman" w:hAnsi="Times New Roman" w:cs="Times New Roman" w:hint="eastAsia"/>
          <w:sz w:val="20"/>
          <w:szCs w:val="20"/>
          <w:lang w:eastAsia="zh-CN" w:bidi="ar-EG"/>
        </w:rPr>
        <w:t xml:space="preserve"> </w:t>
      </w:r>
      <w:r w:rsidR="003D43B6" w:rsidRPr="0032790C">
        <w:rPr>
          <w:rFonts w:ascii="Times New Roman" w:hAnsi="Times New Roman" w:cs="Times New Roman"/>
          <w:sz w:val="20"/>
          <w:szCs w:val="20"/>
          <w:lang w:bidi="ar-EG"/>
        </w:rPr>
        <w:t xml:space="preserve">Based on the foregoing, we propose to use Propolis in conjunction with chemotherapeutic agents in the treatment of cancer patients, being a strong anti-neoplastic agent and because of the </w:t>
      </w:r>
      <w:r w:rsidR="003D43B6" w:rsidRPr="0032790C">
        <w:rPr>
          <w:rFonts w:ascii="Times New Roman" w:hAnsi="Times New Roman" w:cs="Times New Roman"/>
          <w:i/>
          <w:iCs/>
          <w:sz w:val="20"/>
          <w:szCs w:val="20"/>
          <w:lang w:bidi="ar-EG"/>
        </w:rPr>
        <w:t>in-vitro</w:t>
      </w:r>
      <w:r w:rsidR="003D43B6" w:rsidRPr="0032790C">
        <w:rPr>
          <w:rFonts w:ascii="Times New Roman" w:hAnsi="Times New Roman" w:cs="Times New Roman"/>
          <w:sz w:val="20"/>
          <w:szCs w:val="20"/>
          <w:lang w:bidi="ar-EG"/>
        </w:rPr>
        <w:t xml:space="preserve"> prophylactic impact exerted by its components, which is attributable to its</w:t>
      </w:r>
      <w:r w:rsidR="005C0239" w:rsidRPr="0032790C">
        <w:rPr>
          <w:rFonts w:ascii="Times New Roman" w:hAnsi="Times New Roman" w:cs="Times New Roman"/>
          <w:sz w:val="20"/>
          <w:szCs w:val="20"/>
          <w:lang w:bidi="ar-EG"/>
        </w:rPr>
        <w:t xml:space="preserve"> </w:t>
      </w:r>
      <w:r w:rsidR="003D43B6" w:rsidRPr="0032790C">
        <w:rPr>
          <w:rFonts w:ascii="Times New Roman" w:hAnsi="Times New Roman" w:cs="Times New Roman"/>
          <w:sz w:val="20"/>
          <w:szCs w:val="20"/>
          <w:lang w:bidi="ar-EG"/>
        </w:rPr>
        <w:t>anti-oxidant and anti-neoplastic properties.</w:t>
      </w:r>
      <w:r w:rsidR="0032790C">
        <w:rPr>
          <w:rFonts w:ascii="Times New Roman" w:hAnsi="Times New Roman" w:cs="Times New Roman"/>
          <w:sz w:val="20"/>
          <w:szCs w:val="20"/>
          <w:lang w:bidi="ar-EG"/>
        </w:rPr>
        <w:t xml:space="preserve"> </w:t>
      </w:r>
    </w:p>
    <w:p w:rsidR="00B41FFC" w:rsidRPr="0032790C" w:rsidRDefault="00F739E0" w:rsidP="00294C32">
      <w:pPr>
        <w:pStyle w:val="NoSpacing"/>
        <w:adjustRightInd w:val="0"/>
        <w:snapToGrid w:val="0"/>
        <w:spacing w:before="0" w:beforeAutospacing="0" w:after="0" w:afterAutospacing="0"/>
        <w:jc w:val="both"/>
        <w:rPr>
          <w:color w:val="000000"/>
          <w:sz w:val="20"/>
          <w:szCs w:val="20"/>
          <w:shd w:val="clear" w:color="auto" w:fill="FFFFFF"/>
        </w:rPr>
      </w:pPr>
      <w:r w:rsidRPr="0032790C">
        <w:rPr>
          <w:b/>
          <w:bCs/>
          <w:sz w:val="20"/>
          <w:szCs w:val="20"/>
        </w:rPr>
        <w:t>[</w:t>
      </w:r>
      <w:r w:rsidRPr="0032790C">
        <w:rPr>
          <w:sz w:val="20"/>
          <w:szCs w:val="20"/>
        </w:rPr>
        <w:t xml:space="preserve">Lina Abdul-Fattah Kurdi. </w:t>
      </w:r>
      <w:r w:rsidRPr="0032790C">
        <w:rPr>
          <w:b/>
          <w:bCs/>
          <w:sz w:val="20"/>
          <w:szCs w:val="20"/>
        </w:rPr>
        <w:t>Study of Inhibition Effect of Propolis on Growth of Hepatocellular carcinoma cell lines (HepG 2) (</w:t>
      </w:r>
      <w:r w:rsidRPr="0032790C">
        <w:rPr>
          <w:b/>
          <w:bCs/>
          <w:i/>
          <w:iCs/>
          <w:sz w:val="20"/>
          <w:szCs w:val="20"/>
        </w:rPr>
        <w:t>In vitro</w:t>
      </w:r>
      <w:r w:rsidRPr="0032790C">
        <w:rPr>
          <w:b/>
          <w:bCs/>
          <w:sz w:val="20"/>
          <w:szCs w:val="20"/>
        </w:rPr>
        <w:t>)</w:t>
      </w:r>
      <w:r w:rsidR="00B41FFC" w:rsidRPr="0032790C">
        <w:rPr>
          <w:rFonts w:eastAsia="Times New Roman"/>
          <w:b/>
          <w:bCs/>
          <w:sz w:val="20"/>
          <w:szCs w:val="20"/>
          <w:lang w:bidi="fa-IR"/>
        </w:rPr>
        <w:t>.</w:t>
      </w:r>
      <w:r w:rsidR="00B41FFC" w:rsidRPr="0032790C">
        <w:rPr>
          <w:i/>
          <w:sz w:val="20"/>
          <w:szCs w:val="20"/>
        </w:rPr>
        <w:t xml:space="preserve"> Cancer Biology</w:t>
      </w:r>
      <w:r w:rsidR="00B41FFC" w:rsidRPr="0032790C">
        <w:rPr>
          <w:sz w:val="20"/>
          <w:szCs w:val="20"/>
        </w:rPr>
        <w:t xml:space="preserve"> 201</w:t>
      </w:r>
      <w:r w:rsidR="00B41FFC" w:rsidRPr="0032790C">
        <w:rPr>
          <w:rFonts w:hint="eastAsia"/>
          <w:sz w:val="20"/>
          <w:szCs w:val="20"/>
        </w:rPr>
        <w:t>6</w:t>
      </w:r>
      <w:r w:rsidR="00B41FFC" w:rsidRPr="0032790C">
        <w:rPr>
          <w:sz w:val="20"/>
          <w:szCs w:val="20"/>
        </w:rPr>
        <w:t>;</w:t>
      </w:r>
      <w:r w:rsidR="00B41FFC" w:rsidRPr="0032790C">
        <w:rPr>
          <w:rFonts w:hint="eastAsia"/>
          <w:sz w:val="20"/>
          <w:szCs w:val="20"/>
        </w:rPr>
        <w:t>6</w:t>
      </w:r>
      <w:r w:rsidR="00B41FFC" w:rsidRPr="0032790C">
        <w:rPr>
          <w:sz w:val="20"/>
          <w:szCs w:val="20"/>
        </w:rPr>
        <w:t>(</w:t>
      </w:r>
      <w:r w:rsidR="00B41FFC" w:rsidRPr="0032790C">
        <w:rPr>
          <w:rFonts w:hint="eastAsia"/>
          <w:sz w:val="20"/>
          <w:szCs w:val="20"/>
        </w:rPr>
        <w:t>3</w:t>
      </w:r>
      <w:r w:rsidR="00B41FFC" w:rsidRPr="0032790C">
        <w:rPr>
          <w:sz w:val="20"/>
          <w:szCs w:val="20"/>
        </w:rPr>
        <w:t>):</w:t>
      </w:r>
      <w:r w:rsidR="008F5CDD" w:rsidRPr="0032790C">
        <w:rPr>
          <w:noProof/>
          <w:color w:val="000000"/>
          <w:sz w:val="20"/>
          <w:szCs w:val="20"/>
        </w:rPr>
        <w:t>50</w:t>
      </w:r>
      <w:r w:rsidR="00B41FFC" w:rsidRPr="0032790C">
        <w:rPr>
          <w:color w:val="000000"/>
          <w:sz w:val="20"/>
          <w:szCs w:val="20"/>
        </w:rPr>
        <w:t>-</w:t>
      </w:r>
      <w:r w:rsidR="008F5CDD" w:rsidRPr="0032790C">
        <w:rPr>
          <w:noProof/>
          <w:color w:val="000000"/>
          <w:sz w:val="20"/>
          <w:szCs w:val="20"/>
        </w:rPr>
        <w:t>6</w:t>
      </w:r>
      <w:r w:rsidR="00E71EE5">
        <w:rPr>
          <w:rFonts w:hint="eastAsia"/>
          <w:noProof/>
          <w:color w:val="000000"/>
          <w:sz w:val="20"/>
          <w:szCs w:val="20"/>
        </w:rPr>
        <w:t>7</w:t>
      </w:r>
      <w:r w:rsidR="00B41FFC" w:rsidRPr="0032790C">
        <w:rPr>
          <w:sz w:val="20"/>
          <w:szCs w:val="20"/>
        </w:rPr>
        <w:t xml:space="preserve">]. </w:t>
      </w:r>
      <w:r w:rsidR="00B41FFC" w:rsidRPr="0032790C">
        <w:rPr>
          <w:rStyle w:val="msonormal0"/>
          <w:rFonts w:eastAsia="宋"/>
          <w:sz w:val="20"/>
          <w:szCs w:val="20"/>
        </w:rPr>
        <w:t>ISSN: 2150-1041 (print); ISSN: 2150-105X (online)</w:t>
      </w:r>
      <w:r w:rsidR="00B41FFC" w:rsidRPr="0032790C">
        <w:rPr>
          <w:sz w:val="20"/>
          <w:szCs w:val="20"/>
        </w:rPr>
        <w:t xml:space="preserve">. </w:t>
      </w:r>
      <w:hyperlink r:id="rId9" w:history="1">
        <w:r w:rsidR="00B41FFC" w:rsidRPr="0032790C">
          <w:rPr>
            <w:rStyle w:val="Hyperlink"/>
            <w:sz w:val="20"/>
            <w:szCs w:val="20"/>
          </w:rPr>
          <w:t>http://www.cancerbio.net</w:t>
        </w:r>
      </w:hyperlink>
      <w:r w:rsidR="00B41FFC" w:rsidRPr="0032790C">
        <w:rPr>
          <w:sz w:val="20"/>
          <w:szCs w:val="20"/>
        </w:rPr>
        <w:t>.</w:t>
      </w:r>
      <w:r w:rsidR="00B41FFC" w:rsidRPr="0032790C">
        <w:rPr>
          <w:rFonts w:hint="eastAsia"/>
          <w:sz w:val="20"/>
          <w:szCs w:val="20"/>
        </w:rPr>
        <w:t xml:space="preserve"> 7. </w:t>
      </w:r>
      <w:r w:rsidR="00B41FFC" w:rsidRPr="0032790C">
        <w:rPr>
          <w:color w:val="000000"/>
          <w:sz w:val="20"/>
          <w:szCs w:val="20"/>
          <w:shd w:val="clear" w:color="auto" w:fill="FFFFFF"/>
        </w:rPr>
        <w:t>doi:</w:t>
      </w:r>
      <w:hyperlink r:id="rId10" w:history="1">
        <w:r w:rsidR="00B41FFC" w:rsidRPr="0032790C">
          <w:rPr>
            <w:rStyle w:val="Hyperlink"/>
            <w:sz w:val="20"/>
            <w:szCs w:val="20"/>
            <w:shd w:val="clear" w:color="auto" w:fill="FFFFFF"/>
          </w:rPr>
          <w:t>10.7537/mars</w:t>
        </w:r>
        <w:r w:rsidR="00B41FFC" w:rsidRPr="0032790C">
          <w:rPr>
            <w:rStyle w:val="Hyperlink"/>
            <w:rFonts w:hint="eastAsia"/>
            <w:sz w:val="20"/>
            <w:szCs w:val="20"/>
            <w:shd w:val="clear" w:color="auto" w:fill="FFFFFF"/>
          </w:rPr>
          <w:t>cbj0603</w:t>
        </w:r>
        <w:r w:rsidR="00B41FFC" w:rsidRPr="0032790C">
          <w:rPr>
            <w:rStyle w:val="Hyperlink"/>
            <w:sz w:val="20"/>
            <w:szCs w:val="20"/>
            <w:shd w:val="clear" w:color="auto" w:fill="FFFFFF"/>
          </w:rPr>
          <w:t>1</w:t>
        </w:r>
        <w:r w:rsidR="00B41FFC" w:rsidRPr="0032790C">
          <w:rPr>
            <w:rStyle w:val="Hyperlink"/>
            <w:rFonts w:hint="eastAsia"/>
            <w:sz w:val="20"/>
            <w:szCs w:val="20"/>
            <w:shd w:val="clear" w:color="auto" w:fill="FFFFFF"/>
          </w:rPr>
          <w:t>6.</w:t>
        </w:r>
        <w:r w:rsidR="00B41FFC" w:rsidRPr="0032790C">
          <w:rPr>
            <w:rStyle w:val="Hyperlink"/>
            <w:sz w:val="20"/>
            <w:szCs w:val="20"/>
            <w:shd w:val="clear" w:color="auto" w:fill="FFFFFF"/>
          </w:rPr>
          <w:t>0</w:t>
        </w:r>
        <w:r w:rsidR="00B41FFC" w:rsidRPr="0032790C">
          <w:rPr>
            <w:rStyle w:val="Hyperlink"/>
            <w:rFonts w:hint="eastAsia"/>
            <w:sz w:val="20"/>
            <w:szCs w:val="20"/>
            <w:shd w:val="clear" w:color="auto" w:fill="FFFFFF"/>
          </w:rPr>
          <w:t>7</w:t>
        </w:r>
      </w:hyperlink>
      <w:r w:rsidR="00B41FFC" w:rsidRPr="0032790C">
        <w:rPr>
          <w:color w:val="000000"/>
          <w:sz w:val="20"/>
          <w:szCs w:val="20"/>
          <w:shd w:val="clear" w:color="auto" w:fill="FFFFFF"/>
        </w:rPr>
        <w:t>.</w:t>
      </w:r>
    </w:p>
    <w:p w:rsidR="00F739E0" w:rsidRPr="0032790C" w:rsidRDefault="00F739E0" w:rsidP="00294C32">
      <w:pPr>
        <w:autoSpaceDE w:val="0"/>
        <w:autoSpaceDN w:val="0"/>
        <w:bidi w:val="0"/>
        <w:adjustRightInd w:val="0"/>
        <w:snapToGrid w:val="0"/>
        <w:spacing w:after="0" w:line="240" w:lineRule="auto"/>
        <w:rPr>
          <w:rFonts w:ascii="Times New Roman" w:hAnsi="Times New Roman" w:cs="Times New Roman"/>
          <w:b/>
          <w:bCs/>
          <w:sz w:val="20"/>
          <w:szCs w:val="20"/>
        </w:rPr>
      </w:pPr>
    </w:p>
    <w:p w:rsidR="00F739E0" w:rsidRPr="0032790C" w:rsidRDefault="00F739E0" w:rsidP="00294C32">
      <w:pPr>
        <w:tabs>
          <w:tab w:val="right" w:pos="180"/>
        </w:tabs>
        <w:bidi w:val="0"/>
        <w:adjustRightInd w:val="0"/>
        <w:snapToGrid w:val="0"/>
        <w:spacing w:after="0" w:line="240" w:lineRule="auto"/>
        <w:jc w:val="both"/>
        <w:rPr>
          <w:rFonts w:ascii="Times New Roman" w:hAnsi="Times New Roman" w:cs="Times New Roman"/>
          <w:b/>
          <w:bCs/>
          <w:sz w:val="20"/>
          <w:szCs w:val="20"/>
          <w:rtl/>
        </w:rPr>
      </w:pPr>
      <w:r w:rsidRPr="0032790C">
        <w:rPr>
          <w:rFonts w:ascii="Times New Roman" w:hAnsi="Times New Roman" w:cs="Times New Roman"/>
          <w:b/>
          <w:bCs/>
          <w:sz w:val="20"/>
          <w:szCs w:val="20"/>
        </w:rPr>
        <w:t>Key Words</w:t>
      </w:r>
      <w:r w:rsidRPr="0032790C">
        <w:rPr>
          <w:rFonts w:ascii="Times New Roman" w:hAnsi="Times New Roman" w:cs="Times New Roman"/>
          <w:sz w:val="20"/>
          <w:szCs w:val="20"/>
        </w:rPr>
        <w:t xml:space="preserve">: propalis, dacarbazine, </w:t>
      </w:r>
      <w:r w:rsidRPr="0032790C">
        <w:rPr>
          <w:rFonts w:ascii="Times New Roman" w:hAnsi="Times New Roman" w:cs="Times New Roman"/>
          <w:sz w:val="20"/>
          <w:szCs w:val="20"/>
          <w:lang w:bidi="ar-EG"/>
        </w:rPr>
        <w:t xml:space="preserve">liver </w:t>
      </w:r>
      <w:r w:rsidRPr="0032790C">
        <w:rPr>
          <w:rFonts w:ascii="Times New Roman" w:hAnsi="Times New Roman" w:cs="Times New Roman"/>
          <w:sz w:val="20"/>
          <w:szCs w:val="20"/>
        </w:rPr>
        <w:t xml:space="preserve">cancer cell lines, </w:t>
      </w:r>
      <w:r w:rsidRPr="0032790C">
        <w:rPr>
          <w:rFonts w:ascii="Times New Roman" w:hAnsi="Times New Roman" w:cs="Times New Roman"/>
          <w:sz w:val="20"/>
          <w:szCs w:val="20"/>
          <w:lang w:bidi="ar-EG"/>
        </w:rPr>
        <w:t>apoptosis</w:t>
      </w:r>
    </w:p>
    <w:p w:rsidR="003D43B6" w:rsidRPr="0032790C" w:rsidRDefault="003D43B6" w:rsidP="00294C32">
      <w:pPr>
        <w:pStyle w:val="BodyText"/>
        <w:tabs>
          <w:tab w:val="num" w:pos="-29"/>
        </w:tabs>
        <w:bidi w:val="0"/>
        <w:adjustRightInd w:val="0"/>
        <w:snapToGrid w:val="0"/>
        <w:jc w:val="both"/>
        <w:rPr>
          <w:sz w:val="20"/>
          <w:szCs w:val="20"/>
        </w:rPr>
      </w:pPr>
    </w:p>
    <w:p w:rsidR="00B41FFC" w:rsidRPr="0032790C" w:rsidRDefault="00B41FFC" w:rsidP="00294C32">
      <w:pPr>
        <w:pStyle w:val="BodyText"/>
        <w:tabs>
          <w:tab w:val="num" w:pos="-29"/>
        </w:tabs>
        <w:bidi w:val="0"/>
        <w:adjustRightInd w:val="0"/>
        <w:snapToGrid w:val="0"/>
        <w:jc w:val="both"/>
        <w:rPr>
          <w:b/>
          <w:bCs/>
          <w:sz w:val="20"/>
          <w:szCs w:val="20"/>
        </w:rPr>
        <w:sectPr w:rsidR="00B41FFC" w:rsidRPr="0032790C" w:rsidSect="008F5CDD">
          <w:headerReference w:type="default" r:id="rId11"/>
          <w:footerReference w:type="default" r:id="rId12"/>
          <w:type w:val="continuous"/>
          <w:pgSz w:w="12242" w:h="15842" w:code="1"/>
          <w:pgMar w:top="1440" w:right="1440" w:bottom="1440" w:left="1440" w:header="720" w:footer="720" w:gutter="0"/>
          <w:pgNumType w:start="50"/>
          <w:cols w:space="709"/>
          <w:bidi/>
          <w:docGrid w:linePitch="360"/>
        </w:sectPr>
      </w:pPr>
    </w:p>
    <w:p w:rsidR="001A2A3C" w:rsidRPr="0032790C" w:rsidRDefault="00F739E0" w:rsidP="00294C32">
      <w:pPr>
        <w:pStyle w:val="BodyText"/>
        <w:tabs>
          <w:tab w:val="num" w:pos="-29"/>
        </w:tabs>
        <w:bidi w:val="0"/>
        <w:adjustRightInd w:val="0"/>
        <w:snapToGrid w:val="0"/>
        <w:jc w:val="both"/>
        <w:rPr>
          <w:b/>
          <w:bCs/>
          <w:sz w:val="20"/>
          <w:szCs w:val="20"/>
        </w:rPr>
      </w:pPr>
      <w:r w:rsidRPr="0032790C">
        <w:rPr>
          <w:b/>
          <w:bCs/>
          <w:sz w:val="20"/>
          <w:szCs w:val="20"/>
        </w:rPr>
        <w:lastRenderedPageBreak/>
        <w:t xml:space="preserve">1. </w:t>
      </w:r>
      <w:r w:rsidR="001A2A3C" w:rsidRPr="0032790C">
        <w:rPr>
          <w:b/>
          <w:bCs/>
          <w:sz w:val="20"/>
          <w:szCs w:val="20"/>
        </w:rPr>
        <w:t>Introduction</w:t>
      </w:r>
    </w:p>
    <w:p w:rsidR="001A2A3C" w:rsidRPr="0032790C" w:rsidRDefault="001A2A3C"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rPr>
        <w:t>Liver cancer or Hepatocellular carcinoma(HCC):</w:t>
      </w:r>
    </w:p>
    <w:p w:rsidR="001A2A3C" w:rsidRPr="0032790C" w:rsidRDefault="001A2A3C"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rPr>
        <w:t>HCC is one of the most common tumors, represents the fifth common tumor in the world and</w:t>
      </w:r>
      <w:bookmarkStart w:id="0" w:name="_GoBack"/>
      <w:bookmarkEnd w:id="0"/>
      <w:r w:rsidRPr="0032790C">
        <w:rPr>
          <w:rFonts w:ascii="Times New Roman" w:hAnsi="Times New Roman" w:cs="Times New Roman"/>
          <w:sz w:val="20"/>
          <w:szCs w:val="20"/>
        </w:rPr>
        <w:t xml:space="preserve"> the third cause of death among cancers.</w:t>
      </w:r>
    </w:p>
    <w:p w:rsidR="00247557" w:rsidRPr="0032790C" w:rsidRDefault="001A2A3C"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The estimated number of cases per year is about 600000 case </w:t>
      </w:r>
      <w:r w:rsidR="00BA676B" w:rsidRPr="0032790C">
        <w:rPr>
          <w:rFonts w:ascii="Times New Roman" w:hAnsi="Times New Roman" w:cs="Times New Roman"/>
          <w:sz w:val="20"/>
          <w:szCs w:val="20"/>
          <w:lang w:bidi="ar-EG"/>
        </w:rPr>
        <w:t>55% of them are only in china, total average age for patients with hepatocellular carcinoma is about five years for 8.9% of them, At present the treatment of hepatocellular carcinoma is represented by surgery and chemotherapy. But the therapeutic effects of the current</w:t>
      </w:r>
      <w:r w:rsidR="009623DC" w:rsidRPr="0032790C">
        <w:rPr>
          <w:rFonts w:ascii="Times New Roman" w:hAnsi="Times New Roman" w:cs="Times New Roman"/>
          <w:sz w:val="20"/>
          <w:szCs w:val="20"/>
          <w:lang w:bidi="ar-EG"/>
        </w:rPr>
        <w:t>ly used</w:t>
      </w:r>
      <w:r w:rsidR="00BA676B" w:rsidRPr="0032790C">
        <w:rPr>
          <w:rFonts w:ascii="Times New Roman" w:hAnsi="Times New Roman" w:cs="Times New Roman"/>
          <w:sz w:val="20"/>
          <w:szCs w:val="20"/>
          <w:lang w:bidi="ar-EG"/>
        </w:rPr>
        <w:t xml:space="preserve"> chemotherapy drugs </w:t>
      </w:r>
      <w:r w:rsidR="0092104A" w:rsidRPr="0032790C">
        <w:rPr>
          <w:rFonts w:ascii="Times New Roman" w:hAnsi="Times New Roman" w:cs="Times New Roman"/>
          <w:sz w:val="20"/>
          <w:szCs w:val="20"/>
          <w:lang w:bidi="ar-EG"/>
        </w:rPr>
        <w:t>including HCC drugs are not very effective with the appearance of many side effects</w:t>
      </w:r>
      <w:r w:rsidR="00247557" w:rsidRPr="0032790C">
        <w:rPr>
          <w:rFonts w:ascii="Times New Roman" w:hAnsi="Times New Roman" w:cs="Times New Roman"/>
          <w:sz w:val="20"/>
          <w:szCs w:val="20"/>
          <w:lang w:bidi="ar-EG"/>
        </w:rPr>
        <w:t>.</w:t>
      </w:r>
    </w:p>
    <w:p w:rsidR="001A2A3C" w:rsidRPr="0032790C" w:rsidRDefault="00247557"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rPr>
      </w:pPr>
      <w:r w:rsidRPr="0032790C">
        <w:rPr>
          <w:rFonts w:ascii="Times New Roman" w:hAnsi="Times New Roman" w:cs="Times New Roman"/>
          <w:sz w:val="20"/>
          <w:szCs w:val="20"/>
          <w:lang w:bidi="ar-EG"/>
        </w:rPr>
        <w:t>So it was important to find new strategies and more efficient antitumor drugs to treat hepatocellular carcinoma. It was found that chemoprophylaxis and using natural or artificial chemicals to suppress and prevent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cancer is considered </w:t>
      </w:r>
      <w:r w:rsidR="00EC7F26" w:rsidRPr="0032790C">
        <w:rPr>
          <w:rFonts w:ascii="Times New Roman" w:hAnsi="Times New Roman" w:cs="Times New Roman"/>
          <w:sz w:val="20"/>
          <w:szCs w:val="20"/>
          <w:lang w:bidi="ar-EG"/>
        </w:rPr>
        <w:t>as an important means to face hepatocellular carcinoma, as many natural chemicals have protective properties against diseases.</w:t>
      </w:r>
      <w:r w:rsidR="006F7038" w:rsidRPr="0032790C">
        <w:rPr>
          <w:rFonts w:ascii="Times New Roman" w:hAnsi="Times New Roman" w:cs="Times New Roman" w:hint="eastAsia"/>
          <w:sz w:val="20"/>
          <w:szCs w:val="20"/>
          <w:lang w:eastAsia="zh-CN" w:bidi="ar-EG"/>
        </w:rPr>
        <w:t xml:space="preserve"> </w:t>
      </w:r>
      <w:r w:rsidR="002D34F7" w:rsidRPr="0032790C">
        <w:rPr>
          <w:rFonts w:ascii="Times New Roman" w:hAnsi="Times New Roman" w:cs="Times New Roman"/>
          <w:sz w:val="20"/>
          <w:szCs w:val="20"/>
        </w:rPr>
        <w:t>(</w:t>
      </w:r>
      <w:r w:rsidR="00E9164D" w:rsidRPr="0032790C">
        <w:rPr>
          <w:rFonts w:ascii="Times New Roman" w:hAnsi="Times New Roman" w:cs="Times New Roman"/>
          <w:sz w:val="20"/>
          <w:szCs w:val="20"/>
        </w:rPr>
        <w:t>Stagos</w:t>
      </w:r>
      <w:r w:rsidR="002D34F7" w:rsidRPr="0032790C">
        <w:rPr>
          <w:rFonts w:ascii="Times New Roman" w:hAnsi="Times New Roman" w:cs="Times New Roman"/>
          <w:sz w:val="20"/>
          <w:szCs w:val="20"/>
        </w:rPr>
        <w:t xml:space="preserve"> </w:t>
      </w:r>
      <w:r w:rsidR="00E9164D" w:rsidRPr="0032790C">
        <w:rPr>
          <w:rFonts w:ascii="Times New Roman" w:hAnsi="Times New Roman" w:cs="Times New Roman"/>
          <w:i/>
          <w:iCs/>
          <w:sz w:val="20"/>
          <w:szCs w:val="20"/>
        </w:rPr>
        <w:t>et al</w:t>
      </w:r>
      <w:r w:rsidR="00E9164D" w:rsidRPr="0032790C">
        <w:rPr>
          <w:rFonts w:ascii="Times New Roman" w:hAnsi="Times New Roman" w:cs="Times New Roman"/>
          <w:sz w:val="20"/>
          <w:szCs w:val="20"/>
        </w:rPr>
        <w:t>.,</w:t>
      </w:r>
      <w:r w:rsidR="006F7038" w:rsidRPr="0032790C">
        <w:rPr>
          <w:rFonts w:ascii="Times New Roman" w:hAnsi="Times New Roman" w:cs="Times New Roman" w:hint="eastAsia"/>
          <w:sz w:val="20"/>
          <w:szCs w:val="20"/>
          <w:lang w:eastAsia="zh-CN"/>
        </w:rPr>
        <w:t xml:space="preserve"> </w:t>
      </w:r>
      <w:r w:rsidR="00E9164D" w:rsidRPr="0032790C">
        <w:rPr>
          <w:rFonts w:ascii="Times New Roman" w:hAnsi="Times New Roman" w:cs="Times New Roman"/>
          <w:sz w:val="20"/>
          <w:szCs w:val="20"/>
        </w:rPr>
        <w:t>2012</w:t>
      </w:r>
      <w:r w:rsidR="001A2A3C" w:rsidRPr="0032790C">
        <w:rPr>
          <w:rFonts w:ascii="Times New Roman" w:hAnsi="Times New Roman" w:cs="Times New Roman"/>
          <w:sz w:val="20"/>
          <w:szCs w:val="20"/>
        </w:rPr>
        <w:t>;</w:t>
      </w:r>
      <w:r w:rsidR="00EC7F26" w:rsidRPr="0032790C">
        <w:rPr>
          <w:rFonts w:ascii="Times New Roman" w:hAnsi="Times New Roman" w:cs="Times New Roman"/>
          <w:sz w:val="20"/>
          <w:szCs w:val="20"/>
        </w:rPr>
        <w:t xml:space="preserve"> Lee </w:t>
      </w:r>
      <w:r w:rsidR="00EC7F26" w:rsidRPr="0032790C">
        <w:rPr>
          <w:rFonts w:ascii="Times New Roman" w:hAnsi="Times New Roman" w:cs="Times New Roman"/>
          <w:i/>
          <w:iCs/>
          <w:sz w:val="20"/>
          <w:szCs w:val="20"/>
        </w:rPr>
        <w:t>et al,</w:t>
      </w:r>
      <w:r w:rsidR="00EC7F26" w:rsidRPr="0032790C">
        <w:rPr>
          <w:rFonts w:ascii="Times New Roman" w:hAnsi="Times New Roman" w:cs="Times New Roman"/>
          <w:sz w:val="20"/>
          <w:szCs w:val="20"/>
        </w:rPr>
        <w:t xml:space="preserve"> 2015).</w:t>
      </w:r>
    </w:p>
    <w:p w:rsidR="00F35034" w:rsidRPr="0032790C" w:rsidRDefault="00F35034"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rPr>
        <w:t xml:space="preserve">Dietary flavonoids have been associated with decreasing the </w:t>
      </w:r>
      <w:r w:rsidRPr="0032790C">
        <w:rPr>
          <w:rFonts w:ascii="Times New Roman" w:hAnsi="Times New Roman" w:cs="Times New Roman"/>
          <w:sz w:val="20"/>
          <w:szCs w:val="20"/>
          <w:lang w:bidi="ar-EG"/>
        </w:rPr>
        <w:t>risk of cancer diseases, including Hepatocellular carcinoma (HCC)</w:t>
      </w:r>
      <w:r w:rsidR="00A809FA" w:rsidRPr="0032790C">
        <w:rPr>
          <w:rFonts w:ascii="Times New Roman" w:hAnsi="Times New Roman" w:cs="Times New Roman"/>
          <w:sz w:val="20"/>
          <w:szCs w:val="20"/>
          <w:lang w:bidi="ar-EG"/>
        </w:rPr>
        <w:t>.</w:t>
      </w:r>
    </w:p>
    <w:p w:rsidR="001A2A3C" w:rsidRPr="0032790C" w:rsidRDefault="00A809FA"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When studying the effect of Quercetin compound on stimulating apoptosis (programmed cell death) in Hepatocellular carcinoma, it was observed after 18 hours of incubation after treatment that the incidence of apoptosis depends on dose and </w:t>
      </w:r>
      <w:r w:rsidR="00EE6E60" w:rsidRPr="0032790C">
        <w:rPr>
          <w:rFonts w:ascii="Times New Roman" w:hAnsi="Times New Roman" w:cs="Times New Roman"/>
          <w:sz w:val="20"/>
          <w:szCs w:val="20"/>
          <w:lang w:bidi="ar-EG"/>
        </w:rPr>
        <w:t xml:space="preserve">time, as it stops the </w:t>
      </w:r>
      <w:r w:rsidR="00EE6E60" w:rsidRPr="0032790C">
        <w:rPr>
          <w:rFonts w:ascii="Times New Roman" w:hAnsi="Times New Roman" w:cs="Times New Roman"/>
          <w:sz w:val="20"/>
          <w:szCs w:val="20"/>
          <w:lang w:bidi="ar-EG"/>
        </w:rPr>
        <w:lastRenderedPageBreak/>
        <w:t>cell cycle in the stage of DNA replication (S-Phase), in addition to its powerful ability to inhibit topoisomeraseǁ enzyme in DNA</w:t>
      </w:r>
      <w:r w:rsidR="00DE7B8D" w:rsidRPr="0032790C">
        <w:rPr>
          <w:rFonts w:ascii="Times New Roman" w:hAnsi="Times New Roman" w:cs="Times New Roman"/>
          <w:sz w:val="20"/>
          <w:szCs w:val="20"/>
          <w:lang w:bidi="ar-EG"/>
        </w:rPr>
        <w:t xml:space="preserve">, without causing any negative impact on normal cells </w:t>
      </w:r>
      <w:r w:rsidR="00B13258" w:rsidRPr="0032790C">
        <w:rPr>
          <w:rFonts w:ascii="Times New Roman" w:hAnsi="Times New Roman" w:cs="Times New Roman"/>
          <w:sz w:val="20"/>
          <w:szCs w:val="20"/>
          <w:lang w:bidi="ar-EG"/>
        </w:rPr>
        <w:t xml:space="preserve">indicating that Quercetin compound is considered as antagonist </w:t>
      </w:r>
      <w:r w:rsidR="00494E26" w:rsidRPr="0032790C">
        <w:rPr>
          <w:rFonts w:ascii="Times New Roman" w:hAnsi="Times New Roman" w:cs="Times New Roman"/>
          <w:sz w:val="20"/>
          <w:szCs w:val="20"/>
          <w:lang w:bidi="ar-EG"/>
        </w:rPr>
        <w:t>for Hepatocellular carcinoma, has anti-proliferative activities and antioxidant</w:t>
      </w:r>
      <w:r w:rsidR="002525D7" w:rsidRPr="0032790C">
        <w:rPr>
          <w:rFonts w:ascii="Times New Roman" w:hAnsi="Times New Roman" w:cs="Times New Roman"/>
          <w:sz w:val="20"/>
          <w:szCs w:val="20"/>
          <w:lang w:bidi="ar-EG"/>
        </w:rPr>
        <w:t xml:space="preserve"> </w:t>
      </w:r>
      <w:r w:rsidR="001A2A3C" w:rsidRPr="0032790C">
        <w:rPr>
          <w:rFonts w:ascii="Times New Roman" w:hAnsi="Times New Roman" w:cs="Times New Roman"/>
          <w:sz w:val="20"/>
          <w:szCs w:val="20"/>
        </w:rPr>
        <w:t>(Granado</w:t>
      </w:r>
      <w:r w:rsidR="0032790C">
        <w:rPr>
          <w:rFonts w:ascii="Times New Roman" w:hAnsi="Times New Roman" w:cs="Times New Roman" w:hint="eastAsia"/>
          <w:sz w:val="20"/>
          <w:szCs w:val="20"/>
          <w:lang w:eastAsia="zh-CN"/>
        </w:rPr>
        <w:t xml:space="preserve"> </w:t>
      </w:r>
      <w:r w:rsidR="001A2A3C" w:rsidRPr="0032790C">
        <w:rPr>
          <w:rFonts w:ascii="Times New Roman" w:hAnsi="Times New Roman" w:cs="Times New Roman"/>
          <w:i/>
          <w:iCs/>
          <w:sz w:val="20"/>
          <w:szCs w:val="20"/>
        </w:rPr>
        <w:t>et al</w:t>
      </w:r>
      <w:r w:rsidR="001A2A3C" w:rsidRPr="0032790C">
        <w:rPr>
          <w:rFonts w:ascii="Times New Roman" w:hAnsi="Times New Roman" w:cs="Times New Roman"/>
          <w:sz w:val="20"/>
          <w:szCs w:val="20"/>
        </w:rPr>
        <w:t xml:space="preserve">, 2006; Wang </w:t>
      </w:r>
      <w:r w:rsidR="001A2A3C" w:rsidRPr="0032790C">
        <w:rPr>
          <w:rFonts w:ascii="Times New Roman" w:hAnsi="Times New Roman" w:cs="Times New Roman"/>
          <w:i/>
          <w:iCs/>
          <w:sz w:val="20"/>
          <w:szCs w:val="20"/>
        </w:rPr>
        <w:t>et al</w:t>
      </w:r>
      <w:r w:rsidR="001A2A3C" w:rsidRPr="0032790C">
        <w:rPr>
          <w:rFonts w:ascii="Times New Roman" w:hAnsi="Times New Roman" w:cs="Times New Roman"/>
          <w:sz w:val="20"/>
          <w:szCs w:val="20"/>
        </w:rPr>
        <w:t>, 2012</w:t>
      </w:r>
      <w:r w:rsidR="0032790C">
        <w:rPr>
          <w:rFonts w:ascii="Times New Roman" w:hAnsi="Times New Roman" w:cs="Times New Roman"/>
          <w:sz w:val="20"/>
          <w:szCs w:val="20"/>
        </w:rPr>
        <w:t>;</w:t>
      </w:r>
      <w:r w:rsidR="001A2A3C" w:rsidRPr="0032790C">
        <w:rPr>
          <w:rFonts w:ascii="Times New Roman" w:hAnsi="Times New Roman" w:cs="Times New Roman"/>
          <w:sz w:val="20"/>
          <w:szCs w:val="20"/>
        </w:rPr>
        <w:t xml:space="preserve"> Casella </w:t>
      </w:r>
      <w:r w:rsidR="001A2A3C" w:rsidRPr="0032790C">
        <w:rPr>
          <w:rFonts w:ascii="Times New Roman" w:hAnsi="Times New Roman" w:cs="Times New Roman"/>
          <w:i/>
          <w:iCs/>
          <w:sz w:val="20"/>
          <w:szCs w:val="20"/>
        </w:rPr>
        <w:t>et al</w:t>
      </w:r>
      <w:r w:rsidR="001A2A3C" w:rsidRPr="0032790C">
        <w:rPr>
          <w:rFonts w:ascii="Times New Roman" w:hAnsi="Times New Roman" w:cs="Times New Roman"/>
          <w:sz w:val="20"/>
          <w:szCs w:val="20"/>
        </w:rPr>
        <w:t>, 2014 Sudan and Rupasinghe, 2014)</w:t>
      </w:r>
      <w:r w:rsidR="00494E26" w:rsidRPr="0032790C">
        <w:rPr>
          <w:rFonts w:ascii="Times New Roman" w:hAnsi="Times New Roman" w:cs="Times New Roman"/>
          <w:sz w:val="20"/>
          <w:szCs w:val="20"/>
        </w:rPr>
        <w:t>.</w:t>
      </w:r>
    </w:p>
    <w:p w:rsidR="00D9189C" w:rsidRPr="0032790C" w:rsidRDefault="006069F3"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Pr>
      </w:pPr>
      <w:r w:rsidRPr="0032790C">
        <w:rPr>
          <w:rFonts w:ascii="Times New Roman" w:hAnsi="Times New Roman" w:cs="Times New Roman"/>
          <w:sz w:val="20"/>
          <w:szCs w:val="20"/>
          <w:lang w:bidi="ar-EG"/>
        </w:rPr>
        <w:t>And as the propolis is a Bee glue</w:t>
      </w:r>
      <w:r w:rsidR="002F7F0D" w:rsidRPr="0032790C">
        <w:rPr>
          <w:rFonts w:ascii="Times New Roman" w:hAnsi="Times New Roman" w:cs="Times New Roman"/>
          <w:sz w:val="20"/>
          <w:szCs w:val="20"/>
          <w:lang w:bidi="ar-EG"/>
        </w:rPr>
        <w:t xml:space="preserve"> collected by bees from leaves buds and cracks of the bark from different plants, which composed of 50% of flavonoids linked with phenolic acids, 30% wax, 10% essential oils, 5% pollen grains and 5% </w:t>
      </w:r>
      <w:r w:rsidR="00D9189C" w:rsidRPr="0032790C">
        <w:rPr>
          <w:rFonts w:ascii="Times New Roman" w:hAnsi="Times New Roman" w:cs="Times New Roman"/>
          <w:sz w:val="20"/>
          <w:szCs w:val="20"/>
          <w:lang w:bidi="ar-EG"/>
        </w:rPr>
        <w:t>different organic compounds.</w:t>
      </w:r>
      <w:r w:rsidR="0032790C">
        <w:rPr>
          <w:rFonts w:ascii="Times New Roman" w:hAnsi="Times New Roman" w:cs="Times New Roman"/>
          <w:sz w:val="20"/>
          <w:szCs w:val="20"/>
        </w:rPr>
        <w:t>(</w:t>
      </w:r>
      <w:r w:rsidR="00D9189C" w:rsidRPr="0032790C">
        <w:rPr>
          <w:rFonts w:ascii="Times New Roman" w:hAnsi="Times New Roman" w:cs="Times New Roman"/>
          <w:sz w:val="20"/>
          <w:szCs w:val="20"/>
          <w:lang w:bidi="ar-EG"/>
        </w:rPr>
        <w:t xml:space="preserve">Pietta </w:t>
      </w:r>
      <w:r w:rsidR="00D9189C"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00D9189C" w:rsidRPr="0032790C">
        <w:rPr>
          <w:rFonts w:ascii="Times New Roman" w:hAnsi="Times New Roman" w:cs="Times New Roman"/>
          <w:sz w:val="20"/>
          <w:szCs w:val="20"/>
          <w:lang w:bidi="ar-EG"/>
        </w:rPr>
        <w:t>2002).</w:t>
      </w:r>
    </w:p>
    <w:p w:rsidR="00494E26" w:rsidRPr="0032790C" w:rsidRDefault="00D9189C"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It has been used widely in medicine since ancient times as an antioxidant and anti-inflammatory, and strengthens the immune and has anti-cancer activity of different parts at different cancer cell lines. (Ozkul </w:t>
      </w:r>
      <w:r w:rsidRPr="0032790C">
        <w:rPr>
          <w:rFonts w:ascii="Times New Roman" w:hAnsi="Times New Roman" w:cs="Times New Roman"/>
          <w:i/>
          <w:iCs/>
          <w:sz w:val="20"/>
          <w:szCs w:val="20"/>
          <w:lang w:bidi="ar-EG"/>
        </w:rPr>
        <w:t>et al.,</w:t>
      </w:r>
      <w:r w:rsidRPr="0032790C">
        <w:rPr>
          <w:rFonts w:ascii="Times New Roman" w:hAnsi="Times New Roman" w:cs="Times New Roman"/>
          <w:sz w:val="20"/>
          <w:szCs w:val="20"/>
          <w:lang w:bidi="ar-EG"/>
        </w:rPr>
        <w:t xml:space="preserve"> 2005; Watanabe </w:t>
      </w:r>
      <w:r w:rsidRPr="0032790C">
        <w:rPr>
          <w:rFonts w:ascii="Times New Roman" w:hAnsi="Times New Roman" w:cs="Times New Roman"/>
          <w:i/>
          <w:iCs/>
          <w:sz w:val="20"/>
          <w:szCs w:val="20"/>
          <w:lang w:bidi="ar-EG"/>
        </w:rPr>
        <w:t>et al.,</w:t>
      </w:r>
      <w:r w:rsidR="00294C32">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2011</w:t>
      </w:r>
      <w:r w:rsidR="0032790C">
        <w:rPr>
          <w:rFonts w:ascii="Times New Roman" w:hAnsi="Times New Roman" w:cs="Times New Roman"/>
          <w:sz w:val="20"/>
          <w:szCs w:val="20"/>
          <w:lang w:bidi="ar-EG"/>
        </w:rPr>
        <w:t>;</w:t>
      </w:r>
      <w:r w:rsidR="00294C32">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Turan </w:t>
      </w:r>
      <w:r w:rsidR="002525D7" w:rsidRPr="0032790C">
        <w:rPr>
          <w:rFonts w:ascii="Times New Roman" w:hAnsi="Times New Roman" w:cs="Times New Roman"/>
          <w:i/>
          <w:iCs/>
          <w:sz w:val="20"/>
          <w:szCs w:val="20"/>
          <w:lang w:bidi="ar-EG"/>
        </w:rPr>
        <w:t>et al.,</w:t>
      </w:r>
      <w:r w:rsidRPr="0032790C">
        <w:rPr>
          <w:rFonts w:ascii="Times New Roman" w:hAnsi="Times New Roman" w:cs="Times New Roman"/>
          <w:sz w:val="20"/>
          <w:szCs w:val="20"/>
          <w:lang w:bidi="ar-EG"/>
        </w:rPr>
        <w:t>2015).</w:t>
      </w:r>
    </w:p>
    <w:p w:rsidR="00606E1D" w:rsidRPr="0032790C" w:rsidRDefault="00606E1D"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So propolis compound was selected to estimate the cytotoxic effect of Dacarbazine drug as one of the </w:t>
      </w:r>
      <w:r w:rsidR="00E92D15" w:rsidRPr="0032790C">
        <w:rPr>
          <w:rFonts w:ascii="Times New Roman" w:hAnsi="Times New Roman" w:cs="Times New Roman"/>
          <w:sz w:val="20"/>
          <w:szCs w:val="20"/>
          <w:lang w:bidi="ar-EG"/>
        </w:rPr>
        <w:t>chemical treatments that</w:t>
      </w:r>
      <w:r w:rsidRPr="0032790C">
        <w:rPr>
          <w:rFonts w:ascii="Times New Roman" w:hAnsi="Times New Roman" w:cs="Times New Roman"/>
          <w:sz w:val="20"/>
          <w:szCs w:val="20"/>
          <w:lang w:bidi="ar-EG"/>
        </w:rPr>
        <w:t xml:space="preserve"> show</w:t>
      </w:r>
      <w:r w:rsidR="00E92D15" w:rsidRPr="0032790C">
        <w:rPr>
          <w:rFonts w:ascii="Times New Roman" w:hAnsi="Times New Roman" w:cs="Times New Roman"/>
          <w:sz w:val="20"/>
          <w:szCs w:val="20"/>
          <w:lang w:bidi="ar-EG"/>
        </w:rPr>
        <w:t>s</w:t>
      </w:r>
      <w:r w:rsidRPr="0032790C">
        <w:rPr>
          <w:rFonts w:ascii="Times New Roman" w:hAnsi="Times New Roman" w:cs="Times New Roman"/>
          <w:sz w:val="20"/>
          <w:szCs w:val="20"/>
          <w:lang w:bidi="ar-EG"/>
        </w:rPr>
        <w:t xml:space="preserve"> the scientific miracles in the therapeutic capability </w:t>
      </w:r>
      <w:r w:rsidR="00E92D15" w:rsidRPr="0032790C">
        <w:rPr>
          <w:rFonts w:ascii="Times New Roman" w:hAnsi="Times New Roman" w:cs="Times New Roman"/>
          <w:sz w:val="20"/>
          <w:szCs w:val="20"/>
          <w:lang w:bidi="ar-EG"/>
        </w:rPr>
        <w:t>set by God Almighty in one of bees' products.</w:t>
      </w:r>
    </w:p>
    <w:p w:rsidR="00E92D15" w:rsidRPr="0032790C" w:rsidRDefault="00E92D15"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p>
    <w:p w:rsidR="00E92D15" w:rsidRPr="0032790C" w:rsidRDefault="00F739E0"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 xml:space="preserve">2. </w:t>
      </w:r>
      <w:r w:rsidR="00E92D15" w:rsidRPr="0032790C">
        <w:rPr>
          <w:rFonts w:ascii="Times New Roman" w:hAnsi="Times New Roman" w:cs="Times New Roman"/>
          <w:b/>
          <w:bCs/>
          <w:sz w:val="20"/>
          <w:szCs w:val="20"/>
          <w:lang w:bidi="ar-EG"/>
        </w:rPr>
        <w:t>Materials &amp; Methods</w:t>
      </w:r>
    </w:p>
    <w:p w:rsidR="00E92D15" w:rsidRPr="0032790C" w:rsidRDefault="00E92D15"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Cell lines</w:t>
      </w:r>
      <w:r w:rsidR="00421E07" w:rsidRPr="0032790C">
        <w:rPr>
          <w:rFonts w:ascii="Times New Roman" w:hAnsi="Times New Roman" w:cs="Times New Roman"/>
          <w:b/>
          <w:bCs/>
          <w:sz w:val="20"/>
          <w:szCs w:val="20"/>
          <w:lang w:bidi="ar-EG"/>
        </w:rPr>
        <w:t>:</w:t>
      </w:r>
    </w:p>
    <w:p w:rsidR="00E92D15" w:rsidRPr="0032790C" w:rsidRDefault="00E92D15"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Hepatocellular carcinoma cell lines HepG 2 (ATCC®HB-8065TM) were obtained from king Fahad research center at king Abdul-Aziz University.</w:t>
      </w:r>
    </w:p>
    <w:p w:rsidR="00E92D15" w:rsidRPr="0032790C" w:rsidRDefault="00E92D15"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Dacarbazine</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(DTIC</w:t>
      </w:r>
      <w:r w:rsidR="00F97C71" w:rsidRPr="0032790C">
        <w:rPr>
          <w:rFonts w:ascii="Times New Roman" w:hAnsi="Times New Roman" w:cs="Times New Roman"/>
          <w:b/>
          <w:bCs/>
          <w:sz w:val="20"/>
          <w:szCs w:val="20"/>
          <w:lang w:bidi="ar-EG"/>
        </w:rPr>
        <w:t>)</w:t>
      </w:r>
    </w:p>
    <w:p w:rsidR="00E92D15" w:rsidRPr="0032790C" w:rsidRDefault="00F97C71"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Dacarbazine is a drug used in chemotherapy for the treatment of cancer patients and known commercially as DETICENE, it was obtained from King Abdul-Aziz hospital in Jeddah.</w:t>
      </w:r>
    </w:p>
    <w:p w:rsidR="00E92D15" w:rsidRPr="0032790C" w:rsidRDefault="00E92D15" w:rsidP="00294C32">
      <w:pPr>
        <w:pStyle w:val="ListParagraph"/>
        <w:bidi w:val="0"/>
        <w:adjustRightInd w:val="0"/>
        <w:snapToGrid w:val="0"/>
        <w:spacing w:after="0" w:line="240" w:lineRule="auto"/>
        <w:ind w:left="0"/>
        <w:contextualSpacing w:val="0"/>
        <w:jc w:val="both"/>
        <w:rPr>
          <w:rFonts w:ascii="Times New Roman" w:hAnsi="Times New Roman" w:cs="Times New Roman"/>
          <w:sz w:val="20"/>
          <w:szCs w:val="20"/>
          <w:lang w:bidi="ar-EG"/>
        </w:rPr>
      </w:pPr>
      <w:r w:rsidRPr="0032790C">
        <w:rPr>
          <w:rFonts w:ascii="Times New Roman" w:hAnsi="Times New Roman" w:cs="Times New Roman"/>
          <w:b/>
          <w:bCs/>
          <w:sz w:val="20"/>
          <w:szCs w:val="20"/>
          <w:lang w:bidi="ar-EG"/>
        </w:rPr>
        <w:t>Propolis</w:t>
      </w:r>
      <w:r w:rsidR="00421E07" w:rsidRPr="0032790C">
        <w:rPr>
          <w:rFonts w:ascii="Times New Roman" w:hAnsi="Times New Roman" w:cs="Times New Roman"/>
          <w:sz w:val="20"/>
          <w:szCs w:val="20"/>
          <w:lang w:bidi="ar-EG"/>
        </w:rPr>
        <w:t>:</w:t>
      </w:r>
    </w:p>
    <w:p w:rsidR="00E92D15" w:rsidRPr="0032790C" w:rsidRDefault="00F97C71"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 xml:space="preserve">Bee glue (propolis) is a substance collected by bees from </w:t>
      </w:r>
      <w:r w:rsidR="00421E07" w:rsidRPr="0032790C">
        <w:rPr>
          <w:rFonts w:ascii="Times New Roman" w:hAnsi="Times New Roman" w:cs="Times New Roman"/>
          <w:sz w:val="20"/>
          <w:szCs w:val="20"/>
          <w:lang w:bidi="ar-EG"/>
        </w:rPr>
        <w:t>the buds of trees, it has multiple benefits and was obtained from Wild honey company in Riyadh.</w:t>
      </w:r>
    </w:p>
    <w:p w:rsidR="00421E07" w:rsidRPr="0032790C" w:rsidRDefault="00E92D15"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 xml:space="preserve">Experimental </w:t>
      </w:r>
      <w:r w:rsidR="00421E07" w:rsidRPr="0032790C">
        <w:rPr>
          <w:rFonts w:ascii="Times New Roman" w:hAnsi="Times New Roman" w:cs="Times New Roman"/>
          <w:b/>
          <w:bCs/>
          <w:sz w:val="20"/>
          <w:szCs w:val="20"/>
          <w:lang w:bidi="ar-EG"/>
        </w:rPr>
        <w:t>Design:</w:t>
      </w:r>
    </w:p>
    <w:p w:rsidR="00421E07" w:rsidRPr="0032790C" w:rsidRDefault="00421E07"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SRB Cells Cytotoxicity Assay:</w:t>
      </w:r>
    </w:p>
    <w:p w:rsidR="00860665" w:rsidRPr="0032790C" w:rsidRDefault="00860665"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Hepatocellular carcinoma cell lines have</w:t>
      </w:r>
      <w:r w:rsidR="00421E07" w:rsidRPr="0032790C">
        <w:rPr>
          <w:rFonts w:ascii="Times New Roman" w:hAnsi="Times New Roman" w:cs="Times New Roman"/>
          <w:sz w:val="20"/>
          <w:szCs w:val="20"/>
          <w:lang w:bidi="ar-EG"/>
        </w:rPr>
        <w:t xml:space="preserve"> been used</w:t>
      </w:r>
      <w:r w:rsidRPr="0032790C">
        <w:rPr>
          <w:rFonts w:ascii="Times New Roman" w:hAnsi="Times New Roman" w:cs="Times New Roman"/>
          <w:sz w:val="20"/>
          <w:szCs w:val="20"/>
          <w:lang w:bidi="ar-EG"/>
        </w:rPr>
        <w:t xml:space="preserve"> in this test, and it was divided into four essential groups as following:</w:t>
      </w:r>
    </w:p>
    <w:p w:rsidR="00860665" w:rsidRPr="0032790C" w:rsidRDefault="00860665" w:rsidP="00294C32">
      <w:pPr>
        <w:pStyle w:val="ListParagraph"/>
        <w:numPr>
          <w:ilvl w:val="0"/>
          <w:numId w:val="7"/>
        </w:numPr>
        <w:bidi w:val="0"/>
        <w:adjustRightInd w:val="0"/>
        <w:snapToGrid w:val="0"/>
        <w:spacing w:after="0" w:line="240" w:lineRule="auto"/>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First </w:t>
      </w:r>
      <w:r w:rsidR="00516044" w:rsidRPr="0032790C">
        <w:rPr>
          <w:rFonts w:ascii="Times New Roman" w:hAnsi="Times New Roman" w:cs="Times New Roman"/>
          <w:sz w:val="20"/>
          <w:szCs w:val="20"/>
          <w:lang w:bidi="ar-EG"/>
        </w:rPr>
        <w:t>group:</w:t>
      </w:r>
      <w:r w:rsidRPr="0032790C">
        <w:rPr>
          <w:rFonts w:ascii="Times New Roman" w:hAnsi="Times New Roman" w:cs="Times New Roman"/>
          <w:sz w:val="20"/>
          <w:szCs w:val="20"/>
          <w:lang w:bidi="ar-EG"/>
        </w:rPr>
        <w:t xml:space="preserve"> represents the Non-treated control group.</w:t>
      </w:r>
    </w:p>
    <w:p w:rsidR="00516044" w:rsidRPr="0032790C" w:rsidRDefault="00860665" w:rsidP="00294C32">
      <w:pPr>
        <w:pStyle w:val="ListParagraph"/>
        <w:numPr>
          <w:ilvl w:val="0"/>
          <w:numId w:val="7"/>
        </w:numPr>
        <w:bidi w:val="0"/>
        <w:adjustRightInd w:val="0"/>
        <w:snapToGrid w:val="0"/>
        <w:spacing w:after="0" w:line="240" w:lineRule="auto"/>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Second </w:t>
      </w:r>
      <w:r w:rsidR="00516044" w:rsidRPr="0032790C">
        <w:rPr>
          <w:rFonts w:ascii="Times New Roman" w:hAnsi="Times New Roman" w:cs="Times New Roman"/>
          <w:sz w:val="20"/>
          <w:szCs w:val="20"/>
          <w:lang w:bidi="ar-EG"/>
        </w:rPr>
        <w:t>group:represents</w:t>
      </w:r>
      <w:r w:rsidRPr="0032790C">
        <w:rPr>
          <w:rFonts w:ascii="Times New Roman" w:hAnsi="Times New Roman" w:cs="Times New Roman"/>
          <w:sz w:val="20"/>
          <w:szCs w:val="20"/>
          <w:lang w:bidi="ar-EG"/>
        </w:rPr>
        <w:t xml:space="preserve"> the treated group with dose of (50mg/kg) of bee glue (propolis</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(Xuan </w:t>
      </w:r>
      <w:r w:rsidR="002525D7" w:rsidRPr="0032790C">
        <w:rPr>
          <w:rFonts w:ascii="Times New Roman" w:hAnsi="Times New Roman" w:cs="Times New Roman"/>
          <w:i/>
          <w:iCs/>
          <w:sz w:val="20"/>
          <w:szCs w:val="20"/>
          <w:lang w:bidi="ar-EG"/>
        </w:rPr>
        <w:t>et al.,</w:t>
      </w:r>
      <w:r w:rsid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 xml:space="preserve">2014) with concentrations </w:t>
      </w:r>
      <w:r w:rsidR="00516044" w:rsidRPr="0032790C">
        <w:rPr>
          <w:rFonts w:ascii="Times New Roman" w:hAnsi="Times New Roman" w:cs="Times New Roman"/>
          <w:sz w:val="20"/>
          <w:szCs w:val="20"/>
          <w:lang w:bidi="ar-EG"/>
        </w:rPr>
        <w:t>(50µg/ml</w:t>
      </w:r>
      <w:r w:rsidR="0032790C" w:rsidRPr="0032790C">
        <w:rPr>
          <w:rFonts w:ascii="Times New Roman" w:hAnsi="Times New Roman" w:cs="Times New Roman"/>
          <w:sz w:val="20"/>
          <w:szCs w:val="20"/>
          <w:lang w:bidi="ar-EG"/>
        </w:rPr>
        <w:t>,</w:t>
      </w:r>
      <w:r w:rsidR="00516044" w:rsidRPr="0032790C">
        <w:rPr>
          <w:rFonts w:ascii="Times New Roman" w:hAnsi="Times New Roman" w:cs="Times New Roman"/>
          <w:sz w:val="20"/>
          <w:szCs w:val="20"/>
          <w:lang w:bidi="ar-EG"/>
        </w:rPr>
        <w:t xml:space="preserve"> 100µg/ml</w:t>
      </w:r>
      <w:r w:rsidR="0032790C" w:rsidRPr="0032790C">
        <w:rPr>
          <w:rFonts w:ascii="Times New Roman" w:hAnsi="Times New Roman" w:cs="Times New Roman"/>
          <w:sz w:val="20"/>
          <w:szCs w:val="20"/>
          <w:lang w:bidi="ar-EG"/>
        </w:rPr>
        <w:t>,</w:t>
      </w:r>
      <w:r w:rsidR="00516044" w:rsidRPr="0032790C">
        <w:rPr>
          <w:rFonts w:ascii="Times New Roman" w:hAnsi="Times New Roman" w:cs="Times New Roman"/>
          <w:sz w:val="20"/>
          <w:szCs w:val="20"/>
          <w:lang w:bidi="ar-EG"/>
        </w:rPr>
        <w:t xml:space="preserve"> 200µg/ml).</w:t>
      </w:r>
    </w:p>
    <w:p w:rsidR="00516044" w:rsidRPr="0032790C" w:rsidRDefault="00516044" w:rsidP="00294C32">
      <w:pPr>
        <w:pStyle w:val="ListParagraph"/>
        <w:numPr>
          <w:ilvl w:val="0"/>
          <w:numId w:val="7"/>
        </w:numPr>
        <w:bidi w:val="0"/>
        <w:adjustRightInd w:val="0"/>
        <w:snapToGrid w:val="0"/>
        <w:spacing w:after="0" w:line="240" w:lineRule="auto"/>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Third group: represents the treated group with the medicinal dose of Dacarbazinedrug</w:t>
      </w:r>
      <w:r w:rsidR="00294C32">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(Hardman </w:t>
      </w:r>
      <w:r w:rsidR="002525D7" w:rsidRPr="0032790C">
        <w:rPr>
          <w:rFonts w:ascii="Times New Roman" w:hAnsi="Times New Roman" w:cs="Times New Roman"/>
          <w:i/>
          <w:iCs/>
          <w:sz w:val="20"/>
          <w:szCs w:val="20"/>
          <w:lang w:bidi="ar-EG"/>
        </w:rPr>
        <w:t>et al.,</w:t>
      </w:r>
      <w:r w:rsidR="00294C32">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2006) (3.5mg/kg) with concentrations of (50µg/ml</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100µg/ml</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200µg/ml).</w:t>
      </w:r>
    </w:p>
    <w:p w:rsidR="00CC23FA" w:rsidRPr="0032790C" w:rsidRDefault="00CC23FA" w:rsidP="00294C32">
      <w:pPr>
        <w:pStyle w:val="ListParagraph"/>
        <w:numPr>
          <w:ilvl w:val="0"/>
          <w:numId w:val="7"/>
        </w:numPr>
        <w:bidi w:val="0"/>
        <w:adjustRightInd w:val="0"/>
        <w:snapToGrid w:val="0"/>
        <w:spacing w:after="0" w:line="240" w:lineRule="auto"/>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Fourth group: represents the double treatment with bee glue and Dacarbazine drug with concentrations of (50µg/ml</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100µg/ml</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200µg/ml).</w:t>
      </w:r>
    </w:p>
    <w:p w:rsidR="00CC23FA" w:rsidRPr="0032790C" w:rsidRDefault="00CC23FA"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 xml:space="preserve">The method of (Houghton </w:t>
      </w:r>
      <w:r w:rsidR="002525D7"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2007) was followed in the preparation and installation and dye the cancerous cells</w:t>
      </w:r>
      <w:r w:rsidR="00847695" w:rsidRPr="0032790C">
        <w:rPr>
          <w:rFonts w:ascii="Times New Roman" w:hAnsi="Times New Roman" w:cs="Times New Roman"/>
          <w:sz w:val="20"/>
          <w:szCs w:val="20"/>
          <w:lang w:bidi="ar-EG"/>
        </w:rPr>
        <w:t xml:space="preserve"> to apply the test of SRB Cells Cytotoxicity Assay</w:t>
      </w:r>
      <w:r w:rsidR="00E360F4" w:rsidRPr="0032790C">
        <w:rPr>
          <w:rFonts w:ascii="Times New Roman" w:hAnsi="Times New Roman" w:cs="Times New Roman"/>
          <w:sz w:val="20"/>
          <w:szCs w:val="20"/>
          <w:lang w:bidi="ar-EG"/>
        </w:rPr>
        <w:t>.</w:t>
      </w:r>
    </w:p>
    <w:p w:rsidR="00CC23FA" w:rsidRPr="0032790C" w:rsidRDefault="008253EC"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ratio of growth inhibition (IC</w:t>
      </w:r>
      <w:r w:rsidRPr="0032790C">
        <w:rPr>
          <w:rFonts w:ascii="Times New Roman" w:hAnsi="Times New Roman" w:cs="Times New Roman"/>
          <w:sz w:val="20"/>
          <w:szCs w:val="20"/>
          <w:vertAlign w:val="subscript"/>
          <w:lang w:bidi="ar-EG"/>
        </w:rPr>
        <w:t>50</w:t>
      </w:r>
      <w:r w:rsidRPr="0032790C">
        <w:rPr>
          <w:rFonts w:ascii="Times New Roman" w:hAnsi="Times New Roman" w:cs="Times New Roman"/>
          <w:sz w:val="20"/>
          <w:szCs w:val="20"/>
          <w:lang w:bidi="ar-EG"/>
        </w:rPr>
        <w:t>) and (IC</w:t>
      </w:r>
      <w:r w:rsidRPr="0032790C">
        <w:rPr>
          <w:rFonts w:ascii="Times New Roman" w:hAnsi="Times New Roman" w:cs="Times New Roman"/>
          <w:sz w:val="20"/>
          <w:szCs w:val="20"/>
          <w:vertAlign w:val="subscript"/>
          <w:lang w:bidi="ar-EG"/>
        </w:rPr>
        <w:t>90</w:t>
      </w:r>
      <w:r w:rsidRPr="0032790C">
        <w:rPr>
          <w:rFonts w:ascii="Times New Roman" w:hAnsi="Times New Roman" w:cs="Times New Roman"/>
          <w:sz w:val="20"/>
          <w:szCs w:val="20"/>
          <w:lang w:bidi="ar-EG"/>
        </w:rPr>
        <w:t>) was calculated as following:</w:t>
      </w:r>
    </w:p>
    <w:p w:rsidR="00CB30E5" w:rsidRPr="0032790C" w:rsidRDefault="00CB30E5" w:rsidP="00294C32">
      <w:pPr>
        <w:pStyle w:val="ListParagraph"/>
        <w:bidi w:val="0"/>
        <w:adjustRightInd w:val="0"/>
        <w:snapToGrid w:val="0"/>
        <w:spacing w:after="0" w:line="240" w:lineRule="auto"/>
        <w:ind w:left="0"/>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(OD)</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control wells –(OD) treated wells/ (OD) control wells).</w:t>
      </w:r>
    </w:p>
    <w:p w:rsidR="00CB30E5" w:rsidRPr="0032790C" w:rsidRDefault="00CB30E5"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Statistical Analysis</w:t>
      </w:r>
      <w:r w:rsidRPr="0032790C">
        <w:rPr>
          <w:rFonts w:ascii="Times New Roman" w:hAnsi="Times New Roman" w:cs="Times New Roman"/>
          <w:b/>
          <w:bCs/>
          <w:sz w:val="20"/>
          <w:szCs w:val="20"/>
          <w:rtl/>
          <w:lang w:bidi="ar-EG"/>
        </w:rPr>
        <w:t>:</w:t>
      </w:r>
    </w:p>
    <w:p w:rsidR="00CB30E5" w:rsidRPr="0032790C" w:rsidRDefault="00CB30E5"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Student "t" test and variance analysis</w:t>
      </w:r>
      <w:r w:rsidR="002525D7" w:rsidRPr="0032790C">
        <w:rPr>
          <w:rFonts w:ascii="Times New Roman" w:hAnsi="Times New Roman" w:cs="Times New Roman"/>
          <w:sz w:val="20"/>
          <w:szCs w:val="20"/>
          <w:lang w:bidi="ar-EG"/>
        </w:rPr>
        <w:t xml:space="preserve"> </w:t>
      </w:r>
      <w:r w:rsidR="00025710" w:rsidRPr="0032790C">
        <w:rPr>
          <w:rFonts w:ascii="Times New Roman" w:hAnsi="Times New Roman" w:cs="Times New Roman"/>
          <w:sz w:val="20"/>
          <w:szCs w:val="20"/>
          <w:lang w:bidi="ar-EG"/>
        </w:rPr>
        <w:t>Anova</w:t>
      </w:r>
      <w:r w:rsidRPr="0032790C">
        <w:rPr>
          <w:rFonts w:ascii="Times New Roman" w:hAnsi="Times New Roman" w:cs="Times New Roman"/>
          <w:sz w:val="20"/>
          <w:szCs w:val="20"/>
          <w:lang w:bidi="ar-EG"/>
        </w:rPr>
        <w:t xml:space="preserve"> were applied both to calculate </w:t>
      </w:r>
      <w:r w:rsidR="00025710" w:rsidRPr="0032790C">
        <w:rPr>
          <w:rFonts w:ascii="Times New Roman" w:hAnsi="Times New Roman" w:cs="Times New Roman"/>
          <w:sz w:val="20"/>
          <w:szCs w:val="20"/>
          <w:lang w:bidi="ar-EG"/>
        </w:rPr>
        <w:t>the significance of obtained results from test being studied statistically.</w:t>
      </w:r>
    </w:p>
    <w:p w:rsidR="00025710" w:rsidRPr="0032790C" w:rsidRDefault="00025710"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p>
    <w:p w:rsidR="00CB30E5" w:rsidRPr="0032790C" w:rsidRDefault="00F739E0"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 xml:space="preserve">3. </w:t>
      </w:r>
      <w:r w:rsidR="00CB30E5" w:rsidRPr="0032790C">
        <w:rPr>
          <w:rFonts w:ascii="Times New Roman" w:hAnsi="Times New Roman" w:cs="Times New Roman"/>
          <w:b/>
          <w:bCs/>
          <w:sz w:val="20"/>
          <w:szCs w:val="20"/>
          <w:lang w:bidi="ar-EG"/>
        </w:rPr>
        <w:t>Results</w:t>
      </w:r>
    </w:p>
    <w:p w:rsidR="000001B5" w:rsidRPr="0032790C" w:rsidRDefault="000001B5" w:rsidP="00294C32">
      <w:pPr>
        <w:tabs>
          <w:tab w:val="left" w:pos="3316"/>
        </w:tabs>
        <w:bidi w:val="0"/>
        <w:adjustRightInd w:val="0"/>
        <w:snapToGrid w:val="0"/>
        <w:spacing w:after="0" w:line="240" w:lineRule="auto"/>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S</w:t>
      </w:r>
      <w:r w:rsidR="00025710" w:rsidRPr="0032790C">
        <w:rPr>
          <w:rFonts w:ascii="Times New Roman" w:hAnsi="Times New Roman" w:cs="Times New Roman"/>
          <w:b/>
          <w:bCs/>
          <w:sz w:val="20"/>
          <w:szCs w:val="20"/>
          <w:lang w:bidi="ar-EG"/>
        </w:rPr>
        <w:t>ub-acute treatments with dose of (50mg/kg) of propolis</w:t>
      </w:r>
      <w:r w:rsidRPr="0032790C">
        <w:rPr>
          <w:rFonts w:ascii="Times New Roman" w:hAnsi="Times New Roman" w:cs="Times New Roman"/>
          <w:b/>
          <w:bCs/>
          <w:sz w:val="20"/>
          <w:szCs w:val="20"/>
          <w:lang w:bidi="ar-EG"/>
        </w:rPr>
        <w:t>, Sub-acute treatment with medicinal dose of Dacarbazine drug (3.5mg/kg)</w:t>
      </w:r>
      <w:r w:rsid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 both propolis and Dacarbazine</w:t>
      </w:r>
      <w:r w:rsidR="00ED5F7D" w:rsidRPr="0032790C">
        <w:rPr>
          <w:rFonts w:ascii="Times New Roman" w:hAnsi="Times New Roman" w:cs="Times New Roman"/>
          <w:b/>
          <w:bCs/>
          <w:sz w:val="20"/>
          <w:szCs w:val="20"/>
          <w:lang w:bidi="ar-EG"/>
        </w:rPr>
        <w:t xml:space="preserve"> e</w:t>
      </w:r>
      <w:r w:rsidRPr="0032790C">
        <w:rPr>
          <w:rFonts w:ascii="Times New Roman" w:hAnsi="Times New Roman" w:cs="Times New Roman"/>
          <w:b/>
          <w:bCs/>
          <w:sz w:val="20"/>
          <w:szCs w:val="20"/>
          <w:lang w:bidi="ar-EG"/>
        </w:rPr>
        <w:t xml:space="preserve">ffect </w:t>
      </w:r>
      <w:r w:rsidR="00ED5F7D" w:rsidRPr="0032790C">
        <w:rPr>
          <w:rFonts w:ascii="Times New Roman" w:hAnsi="Times New Roman" w:cs="Times New Roman"/>
          <w:b/>
          <w:bCs/>
          <w:sz w:val="20"/>
          <w:szCs w:val="20"/>
          <w:lang w:bidi="ar-EG"/>
        </w:rPr>
        <w:t xml:space="preserve">on </w:t>
      </w:r>
      <w:r w:rsidRPr="0032790C">
        <w:rPr>
          <w:rFonts w:ascii="Times New Roman" w:hAnsi="Times New Roman" w:cs="Times New Roman"/>
          <w:b/>
          <w:bCs/>
          <w:sz w:val="20"/>
          <w:szCs w:val="20"/>
          <w:lang w:bidi="ar-EG"/>
        </w:rPr>
        <w:t>the value of (IC</w:t>
      </w:r>
      <w:r w:rsidRPr="0032790C">
        <w:rPr>
          <w:rFonts w:ascii="Times New Roman" w:hAnsi="Times New Roman" w:cs="Times New Roman"/>
          <w:b/>
          <w:bCs/>
          <w:sz w:val="20"/>
          <w:szCs w:val="20"/>
          <w:vertAlign w:val="subscript"/>
          <w:lang w:bidi="ar-EG"/>
        </w:rPr>
        <w:t>50</w:t>
      </w:r>
      <w:r w:rsidRPr="0032790C">
        <w:rPr>
          <w:rFonts w:ascii="Times New Roman" w:hAnsi="Times New Roman" w:cs="Times New Roman"/>
          <w:b/>
          <w:bCs/>
          <w:sz w:val="20"/>
          <w:szCs w:val="20"/>
          <w:lang w:bidi="ar-EG"/>
        </w:rPr>
        <w:t>) and (IC90) after 48 hours.</w:t>
      </w:r>
    </w:p>
    <w:p w:rsidR="00DB68B2" w:rsidRPr="0032790C" w:rsidRDefault="00DB68B2" w:rsidP="00294C32">
      <w:pPr>
        <w:tabs>
          <w:tab w:val="left" w:pos="3316"/>
        </w:tabs>
        <w:bidi w:val="0"/>
        <w:adjustRightInd w:val="0"/>
        <w:snapToGrid w:val="0"/>
        <w:spacing w:after="0" w:line="240" w:lineRule="auto"/>
        <w:ind w:firstLine="425"/>
        <w:jc w:val="both"/>
        <w:rPr>
          <w:rFonts w:ascii="Times New Roman" w:hAnsi="Times New Roman" w:cs="Times New Roman"/>
          <w:sz w:val="20"/>
          <w:szCs w:val="20"/>
          <w:lang w:eastAsia="zh-CN" w:bidi="ar-EG"/>
        </w:rPr>
      </w:pPr>
      <w:r w:rsidRPr="0032790C">
        <w:rPr>
          <w:rFonts w:ascii="Times New Roman" w:hAnsi="Times New Roman" w:cs="Times New Roman"/>
          <w:sz w:val="20"/>
          <w:szCs w:val="20"/>
          <w:lang w:bidi="ar-EG"/>
        </w:rPr>
        <w:t xml:space="preserve">With microscopic examination </w:t>
      </w:r>
      <w:r w:rsidRPr="0032790C">
        <w:rPr>
          <w:rFonts w:ascii="Times New Roman" w:hAnsi="Times New Roman" w:cs="Times New Roman"/>
          <w:i/>
          <w:iCs/>
          <w:sz w:val="20"/>
          <w:szCs w:val="20"/>
          <w:lang w:bidi="ar-EG"/>
        </w:rPr>
        <w:t>in vitro</w:t>
      </w:r>
      <w:r w:rsidRPr="0032790C">
        <w:rPr>
          <w:rFonts w:ascii="Times New Roman" w:hAnsi="Times New Roman" w:cs="Times New Roman"/>
          <w:sz w:val="20"/>
          <w:szCs w:val="20"/>
          <w:lang w:bidi="ar-EG"/>
        </w:rPr>
        <w:t xml:space="preserve"> </w:t>
      </w:r>
      <w:r w:rsidR="002B31F0" w:rsidRPr="0032790C">
        <w:rPr>
          <w:rFonts w:ascii="Times New Roman" w:hAnsi="Times New Roman" w:cs="Times New Roman"/>
          <w:sz w:val="20"/>
          <w:szCs w:val="20"/>
          <w:lang w:bidi="ar-EG"/>
        </w:rPr>
        <w:t xml:space="preserve">for Hepatocellular cell lines (HepG2) after incubation for 48 hours it became possible to identify the morphological effects and stimulate apoptosis </w:t>
      </w:r>
      <w:r w:rsidR="002B31F0" w:rsidRPr="0032790C">
        <w:rPr>
          <w:rFonts w:ascii="Times New Roman" w:hAnsi="Times New Roman" w:cs="Times New Roman"/>
          <w:sz w:val="20"/>
          <w:szCs w:val="20"/>
          <w:lang w:bidi="ar-EG"/>
        </w:rPr>
        <w:lastRenderedPageBreak/>
        <w:t>represented in: increasing the size of cells and rupture of their membranes, cytoplasm enlargement</w:t>
      </w:r>
      <w:r w:rsidR="00B36893" w:rsidRPr="0032790C">
        <w:rPr>
          <w:rFonts w:ascii="Times New Roman" w:hAnsi="Times New Roman" w:cs="Times New Roman"/>
          <w:sz w:val="20"/>
          <w:szCs w:val="20"/>
          <w:lang w:bidi="ar-EG"/>
        </w:rPr>
        <w:t>, and nucleus fragmentation due to multiple treatments compared with control sample (</w:t>
      </w:r>
      <w:r w:rsidR="002525D7" w:rsidRPr="0032790C">
        <w:rPr>
          <w:rFonts w:ascii="Times New Roman" w:hAnsi="Times New Roman" w:cs="Times New Roman"/>
          <w:sz w:val="20"/>
          <w:szCs w:val="20"/>
          <w:lang w:bidi="ar-EG"/>
        </w:rPr>
        <w:t>F</w:t>
      </w:r>
      <w:r w:rsidR="00B36893" w:rsidRPr="0032790C">
        <w:rPr>
          <w:rFonts w:ascii="Times New Roman" w:hAnsi="Times New Roman" w:cs="Times New Roman"/>
          <w:sz w:val="20"/>
          <w:szCs w:val="20"/>
          <w:lang w:bidi="ar-EG"/>
        </w:rPr>
        <w:t>ig:1), the inhibitory effect that kills the half of cells (IC</w:t>
      </w:r>
      <w:r w:rsidR="00B36893" w:rsidRPr="0032790C">
        <w:rPr>
          <w:rFonts w:ascii="Times New Roman" w:hAnsi="Times New Roman" w:cs="Times New Roman"/>
          <w:sz w:val="20"/>
          <w:szCs w:val="20"/>
          <w:vertAlign w:val="subscript"/>
          <w:lang w:bidi="ar-EG"/>
        </w:rPr>
        <w:t>50</w:t>
      </w:r>
      <w:r w:rsidR="00B36893" w:rsidRPr="0032790C">
        <w:rPr>
          <w:rFonts w:ascii="Times New Roman" w:hAnsi="Times New Roman" w:cs="Times New Roman"/>
          <w:sz w:val="20"/>
          <w:szCs w:val="20"/>
          <w:lang w:bidi="ar-EG"/>
        </w:rPr>
        <w:t>) was calculated for each treatment with 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00B36893" w:rsidRPr="0032790C">
        <w:rPr>
          <w:rFonts w:ascii="Times New Roman" w:hAnsi="Times New Roman" w:cs="Times New Roman"/>
          <w:sz w:val="20"/>
          <w:szCs w:val="20"/>
          <w:lang w:bidi="ar-EG"/>
        </w:rPr>
        <w:t>Dacarbazine drug and double treatment with both propolis and Dacarbazine and it was equal to</w:t>
      </w:r>
      <w:r w:rsidR="0032790C">
        <w:rPr>
          <w:rFonts w:ascii="Times New Roman" w:hAnsi="Times New Roman" w:cs="Times New Roman"/>
          <w:sz w:val="20"/>
          <w:szCs w:val="20"/>
          <w:lang w:bidi="ar-EG"/>
        </w:rPr>
        <w:t xml:space="preserve"> </w:t>
      </w:r>
      <w:r w:rsidR="00152AC0" w:rsidRPr="0032790C">
        <w:rPr>
          <w:rFonts w:ascii="Times New Roman" w:hAnsi="Times New Roman" w:cs="Times New Roman"/>
          <w:sz w:val="20"/>
          <w:szCs w:val="20"/>
          <w:lang w:bidi="ar-EG"/>
        </w:rPr>
        <w:t>33</w:t>
      </w:r>
      <w:r w:rsidR="006F7038" w:rsidRPr="0032790C">
        <w:rPr>
          <w:rFonts w:ascii="Times New Roman" w:hAnsi="Times New Roman" w:cs="Times New Roman"/>
          <w:sz w:val="20"/>
          <w:szCs w:val="20"/>
          <w:lang w:bidi="ar-EG"/>
        </w:rPr>
        <w:t>5, 159,330</w:t>
      </w:r>
      <w:r w:rsidR="006F7038" w:rsidRPr="0032790C">
        <w:rPr>
          <w:rFonts w:ascii="Times New Roman" w:hAnsi="Times New Roman" w:cs="Times New Roman" w:hint="eastAsia"/>
          <w:sz w:val="20"/>
          <w:szCs w:val="20"/>
          <w:lang w:eastAsia="zh-CN" w:bidi="ar-EG"/>
        </w:rPr>
        <w:t xml:space="preserve"> </w:t>
      </w:r>
      <w:r w:rsidR="00B36893" w:rsidRPr="0032790C">
        <w:rPr>
          <w:rFonts w:ascii="Times New Roman" w:hAnsi="Times New Roman" w:cs="Times New Roman"/>
          <w:sz w:val="20"/>
          <w:szCs w:val="20"/>
          <w:lang w:bidi="ar-EG"/>
        </w:rPr>
        <w:t>µg/ml</w:t>
      </w:r>
      <w:r w:rsidR="00152AC0" w:rsidRPr="0032790C">
        <w:rPr>
          <w:rFonts w:ascii="Times New Roman" w:hAnsi="Times New Roman" w:cs="Times New Roman"/>
          <w:sz w:val="20"/>
          <w:szCs w:val="20"/>
          <w:lang w:bidi="ar-EG"/>
        </w:rPr>
        <w:t xml:space="preserve"> respectively, while the value of killing concentration for 90% of (IC</w:t>
      </w:r>
      <w:r w:rsidR="00152AC0" w:rsidRPr="0032790C">
        <w:rPr>
          <w:rFonts w:ascii="Times New Roman" w:hAnsi="Times New Roman" w:cs="Times New Roman"/>
          <w:sz w:val="20"/>
          <w:szCs w:val="20"/>
          <w:vertAlign w:val="subscript"/>
          <w:lang w:bidi="ar-EG"/>
        </w:rPr>
        <w:t>90</w:t>
      </w:r>
      <w:r w:rsidR="00152AC0" w:rsidRPr="0032790C">
        <w:rPr>
          <w:rFonts w:ascii="Times New Roman" w:hAnsi="Times New Roman" w:cs="Times New Roman"/>
          <w:sz w:val="20"/>
          <w:szCs w:val="20"/>
          <w:lang w:bidi="ar-EG"/>
        </w:rPr>
        <w:t xml:space="preserve">) cells for multiple treatments </w:t>
      </w:r>
      <w:r w:rsidR="00F90A34" w:rsidRPr="0032790C">
        <w:rPr>
          <w:rFonts w:ascii="Times New Roman" w:hAnsi="Times New Roman" w:cs="Times New Roman"/>
          <w:sz w:val="20"/>
          <w:szCs w:val="20"/>
          <w:lang w:bidi="ar-EG"/>
        </w:rPr>
        <w:t>was 735</w:t>
      </w:r>
      <w:r w:rsidR="003317BB" w:rsidRPr="0032790C">
        <w:rPr>
          <w:rFonts w:ascii="Times New Roman" w:hAnsi="Times New Roman" w:cs="Times New Roman"/>
          <w:sz w:val="20"/>
          <w:szCs w:val="20"/>
          <w:lang w:bidi="ar-EG"/>
        </w:rPr>
        <w:t>,</w:t>
      </w:r>
      <w:r w:rsidR="00294C32">
        <w:rPr>
          <w:rFonts w:ascii="Times New Roman" w:hAnsi="Times New Roman" w:cs="Times New Roman" w:hint="eastAsia"/>
          <w:sz w:val="20"/>
          <w:szCs w:val="20"/>
          <w:lang w:eastAsia="zh-CN" w:bidi="ar-EG"/>
        </w:rPr>
        <w:t xml:space="preserve"> </w:t>
      </w:r>
      <w:r w:rsidR="003317BB" w:rsidRPr="0032790C">
        <w:rPr>
          <w:rFonts w:ascii="Times New Roman" w:hAnsi="Times New Roman" w:cs="Times New Roman"/>
          <w:sz w:val="20"/>
          <w:szCs w:val="20"/>
          <w:lang w:bidi="ar-EG"/>
        </w:rPr>
        <w:t>359,</w:t>
      </w:r>
      <w:r w:rsidR="00294C32">
        <w:rPr>
          <w:rFonts w:ascii="Times New Roman" w:hAnsi="Times New Roman" w:cs="Times New Roman" w:hint="eastAsia"/>
          <w:sz w:val="20"/>
          <w:szCs w:val="20"/>
          <w:lang w:eastAsia="zh-CN" w:bidi="ar-EG"/>
        </w:rPr>
        <w:t xml:space="preserve"> </w:t>
      </w:r>
      <w:r w:rsidR="00F90A34" w:rsidRPr="0032790C">
        <w:rPr>
          <w:rFonts w:ascii="Times New Roman" w:hAnsi="Times New Roman" w:cs="Times New Roman"/>
          <w:sz w:val="20"/>
          <w:szCs w:val="20"/>
          <w:lang w:bidi="ar-EG"/>
        </w:rPr>
        <w:t>730</w:t>
      </w:r>
      <w:r w:rsidR="006F7038" w:rsidRPr="0032790C">
        <w:rPr>
          <w:rFonts w:ascii="Times New Roman" w:hAnsi="Times New Roman" w:cs="Times New Roman" w:hint="eastAsia"/>
          <w:sz w:val="20"/>
          <w:szCs w:val="20"/>
          <w:lang w:eastAsia="zh-CN" w:bidi="ar-EG"/>
        </w:rPr>
        <w:t xml:space="preserve"> </w:t>
      </w:r>
      <w:r w:rsidR="00F90A34" w:rsidRPr="0032790C">
        <w:rPr>
          <w:rFonts w:ascii="Times New Roman" w:hAnsi="Times New Roman" w:cs="Times New Roman"/>
          <w:sz w:val="20"/>
          <w:szCs w:val="20"/>
          <w:lang w:bidi="ar-EG"/>
        </w:rPr>
        <w:t>µg/ml respectively (</w:t>
      </w:r>
      <w:r w:rsidR="002525D7" w:rsidRPr="0032790C">
        <w:rPr>
          <w:rFonts w:ascii="Times New Roman" w:hAnsi="Times New Roman" w:cs="Times New Roman"/>
          <w:sz w:val="20"/>
          <w:szCs w:val="20"/>
          <w:lang w:bidi="ar-EG"/>
        </w:rPr>
        <w:t>F</w:t>
      </w:r>
      <w:r w:rsidR="00F90A34" w:rsidRPr="0032790C">
        <w:rPr>
          <w:rFonts w:ascii="Times New Roman" w:hAnsi="Times New Roman" w:cs="Times New Roman"/>
          <w:sz w:val="20"/>
          <w:szCs w:val="20"/>
          <w:lang w:bidi="ar-EG"/>
        </w:rPr>
        <w:t>ig:9).</w:t>
      </w:r>
    </w:p>
    <w:p w:rsidR="00B41FFC" w:rsidRPr="0032790C" w:rsidRDefault="00B41FFC" w:rsidP="00294C32">
      <w:pPr>
        <w:tabs>
          <w:tab w:val="left" w:pos="3316"/>
        </w:tabs>
        <w:bidi w:val="0"/>
        <w:adjustRightInd w:val="0"/>
        <w:snapToGrid w:val="0"/>
        <w:spacing w:after="0" w:line="240" w:lineRule="auto"/>
        <w:ind w:firstLine="425"/>
        <w:jc w:val="both"/>
        <w:rPr>
          <w:rFonts w:ascii="Times New Roman" w:hAnsi="Times New Roman" w:cs="Times New Roman"/>
          <w:sz w:val="20"/>
          <w:szCs w:val="20"/>
          <w:lang w:eastAsia="zh-CN" w:bidi="ar-EG"/>
        </w:rPr>
      </w:pPr>
    </w:p>
    <w:p w:rsidR="00692080" w:rsidRPr="0032790C" w:rsidRDefault="002E66DC" w:rsidP="00294C32">
      <w:pPr>
        <w:bidi w:val="0"/>
        <w:adjustRightInd w:val="0"/>
        <w:snapToGrid w:val="0"/>
        <w:spacing w:after="0" w:line="240" w:lineRule="auto"/>
        <w:jc w:val="center"/>
        <w:rPr>
          <w:rFonts w:ascii="Times New Roman" w:hAnsi="Times New Roman" w:cs="Times New Roman"/>
          <w:b/>
          <w:bCs/>
          <w:sz w:val="20"/>
          <w:szCs w:val="20"/>
          <w:lang w:bidi="ar-EG"/>
        </w:rPr>
      </w:pPr>
      <w:r w:rsidRPr="0032790C">
        <w:rPr>
          <w:rFonts w:ascii="Times New Roman" w:hAnsi="Times New Roman" w:cs="Times New Roman"/>
          <w:b/>
          <w:bCs/>
          <w:noProof/>
          <w:sz w:val="20"/>
          <w:szCs w:val="20"/>
          <w:lang w:eastAsia="zh-CN"/>
        </w:rPr>
        <w:drawing>
          <wp:inline distT="0" distB="0" distL="0" distR="0">
            <wp:extent cx="2876550" cy="3695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76550" cy="3695700"/>
                    </a:xfrm>
                    <a:prstGeom prst="rect">
                      <a:avLst/>
                    </a:prstGeom>
                    <a:noFill/>
                    <a:ln w="9525">
                      <a:noFill/>
                      <a:miter lim="800000"/>
                      <a:headEnd/>
                      <a:tailEnd/>
                    </a:ln>
                  </pic:spPr>
                </pic:pic>
              </a:graphicData>
            </a:graphic>
          </wp:inline>
        </w:drawing>
      </w:r>
    </w:p>
    <w:p w:rsidR="00692080" w:rsidRPr="0032790C" w:rsidRDefault="00692080" w:rsidP="00294C32">
      <w:pPr>
        <w:bidi w:val="0"/>
        <w:adjustRightInd w:val="0"/>
        <w:snapToGrid w:val="0"/>
        <w:spacing w:after="0" w:line="240" w:lineRule="auto"/>
        <w:jc w:val="both"/>
        <w:rPr>
          <w:rFonts w:ascii="Times New Roman" w:hAnsi="Times New Roman" w:cs="Times New Roman"/>
          <w:sz w:val="20"/>
          <w:szCs w:val="20"/>
        </w:rPr>
      </w:pPr>
      <w:r w:rsidRPr="0032790C">
        <w:rPr>
          <w:rFonts w:ascii="Times New Roman" w:hAnsi="Times New Roman" w:cs="Times New Roman"/>
          <w:sz w:val="20"/>
          <w:szCs w:val="20"/>
        </w:rPr>
        <w:t>C:</w:t>
      </w:r>
      <w:r w:rsidR="006F7038" w:rsidRPr="0032790C">
        <w:rPr>
          <w:rFonts w:ascii="Times New Roman" w:hAnsi="Times New Roman" w:cs="Times New Roman" w:hint="eastAsia"/>
          <w:sz w:val="20"/>
          <w:szCs w:val="20"/>
          <w:lang w:eastAsia="zh-CN"/>
        </w:rPr>
        <w:t xml:space="preserve"> </w:t>
      </w:r>
      <w:r w:rsidRPr="0032790C">
        <w:rPr>
          <w:rStyle w:val="hps"/>
          <w:rFonts w:ascii="Times New Roman" w:hAnsi="Times New Roman" w:cs="Times New Roman"/>
          <w:sz w:val="20"/>
          <w:szCs w:val="20"/>
        </w:rPr>
        <w:t>Control</w:t>
      </w:r>
      <w:r w:rsidR="0032790C" w:rsidRPr="0032790C">
        <w:rPr>
          <w:rFonts w:ascii="Times New Roman" w:hAnsi="Times New Roman" w:cs="Times New Roman"/>
          <w:sz w:val="20"/>
          <w:szCs w:val="20"/>
        </w:rPr>
        <w:t>,</w:t>
      </w:r>
      <w:r w:rsidRPr="0032790C">
        <w:rPr>
          <w:rFonts w:ascii="Times New Roman" w:hAnsi="Times New Roman" w:cs="Times New Roman"/>
          <w:sz w:val="20"/>
          <w:szCs w:val="20"/>
        </w:rPr>
        <w:t xml:space="preserve"> P: Propolis</w:t>
      </w:r>
      <w:r w:rsidR="0032790C" w:rsidRPr="0032790C">
        <w:rPr>
          <w:rFonts w:ascii="Times New Roman" w:eastAsia="宋体" w:hAnsi="Times New Roman" w:cs="Times New Roman"/>
          <w:sz w:val="20"/>
          <w:szCs w:val="20"/>
          <w:rtl/>
          <w:lang w:eastAsia="zh-CN" w:bidi="hi-IN"/>
        </w:rPr>
        <w:t>,</w:t>
      </w:r>
      <w:r w:rsidR="006F7038" w:rsidRPr="0032790C">
        <w:rPr>
          <w:rFonts w:ascii="Times New Roman" w:eastAsia="宋体" w:hAnsi="Times New Roman" w:cs="Times New Roman" w:hint="eastAsia"/>
          <w:sz w:val="20"/>
          <w:szCs w:val="20"/>
          <w:lang w:eastAsia="zh-CN" w:bidi="hi-IN"/>
        </w:rPr>
        <w:t xml:space="preserve"> </w:t>
      </w:r>
      <w:r w:rsidRPr="0032790C">
        <w:rPr>
          <w:rFonts w:ascii="Times New Roman" w:eastAsia="宋体" w:hAnsi="Times New Roman" w:cs="Times New Roman"/>
          <w:sz w:val="20"/>
          <w:szCs w:val="20"/>
          <w:lang w:eastAsia="zh-CN" w:bidi="hi-IN"/>
        </w:rPr>
        <w:t>D</w:t>
      </w:r>
      <w:r w:rsidRPr="0032790C">
        <w:rPr>
          <w:rFonts w:ascii="Times New Roman" w:hAnsi="Times New Roman" w:cs="Times New Roman"/>
          <w:sz w:val="20"/>
          <w:szCs w:val="20"/>
        </w:rPr>
        <w:t>: Dacarbazine</w:t>
      </w:r>
      <w:r w:rsidRPr="0032790C">
        <w:rPr>
          <w:rFonts w:ascii="Times New Roman" w:eastAsia="宋体" w:hAnsi="Times New Roman" w:cs="Times New Roman"/>
          <w:sz w:val="20"/>
          <w:szCs w:val="20"/>
          <w:lang w:eastAsia="zh-CN" w:bidi="hi-IN"/>
        </w:rPr>
        <w:t>, P+D:</w:t>
      </w:r>
      <w:r w:rsidRPr="0032790C">
        <w:rPr>
          <w:rFonts w:ascii="Times New Roman" w:hAnsi="Times New Roman" w:cs="Times New Roman"/>
          <w:sz w:val="20"/>
          <w:szCs w:val="20"/>
        </w:rPr>
        <w:t>: Propolis</w:t>
      </w:r>
      <w:r w:rsidRPr="0032790C">
        <w:rPr>
          <w:rFonts w:ascii="Times New Roman" w:eastAsia="宋体" w:hAnsi="Times New Roman" w:cs="Times New Roman"/>
          <w:sz w:val="20"/>
          <w:szCs w:val="20"/>
          <w:lang w:eastAsia="zh-CN" w:bidi="hi-IN"/>
        </w:rPr>
        <w:t xml:space="preserve"> </w:t>
      </w:r>
      <w:r w:rsidRPr="0032790C">
        <w:rPr>
          <w:rFonts w:ascii="Times New Roman" w:hAnsi="Times New Roman" w:cs="Times New Roman"/>
          <w:sz w:val="20"/>
          <w:szCs w:val="20"/>
        </w:rPr>
        <w:t>+ Dacarbazine</w:t>
      </w:r>
    </w:p>
    <w:p w:rsidR="00692080" w:rsidRPr="0032790C" w:rsidRDefault="00692080" w:rsidP="00294C32">
      <w:pPr>
        <w:bidi w:val="0"/>
        <w:adjustRightInd w:val="0"/>
        <w:snapToGrid w:val="0"/>
        <w:spacing w:after="0" w:line="240" w:lineRule="auto"/>
        <w:jc w:val="both"/>
        <w:rPr>
          <w:rFonts w:ascii="Times New Roman" w:hAnsi="Times New Roman" w:cs="Times New Roman"/>
          <w:sz w:val="20"/>
          <w:szCs w:val="20"/>
          <w:rtl/>
        </w:rPr>
      </w:pPr>
      <w:r w:rsidRPr="0032790C">
        <w:rPr>
          <w:rFonts w:ascii="Times New Roman" w:hAnsi="Times New Roman" w:cs="Times New Roman"/>
          <w:sz w:val="20"/>
          <w:szCs w:val="20"/>
        </w:rPr>
        <w:t>1: concentration of 50(µg/ml), 2: concentration of 100(µg/ml), 3: concentration of 2000(µg/ml)</w:t>
      </w:r>
    </w:p>
    <w:p w:rsidR="00692080" w:rsidRPr="0032790C" w:rsidRDefault="00692080" w:rsidP="00294C32">
      <w:pPr>
        <w:bidi w:val="0"/>
        <w:adjustRightInd w:val="0"/>
        <w:snapToGrid w:val="0"/>
        <w:spacing w:after="0" w:line="240" w:lineRule="auto"/>
        <w:jc w:val="both"/>
        <w:rPr>
          <w:rFonts w:ascii="Times New Roman" w:hAnsi="Times New Roman" w:cs="Times New Roman"/>
          <w:sz w:val="20"/>
          <w:szCs w:val="20"/>
        </w:rPr>
      </w:pPr>
      <w:r w:rsidRPr="0032790C">
        <w:rPr>
          <w:rFonts w:ascii="Times New Roman" w:hAnsi="Times New Roman" w:cs="Times New Roman"/>
          <w:b/>
          <w:bCs/>
          <w:sz w:val="20"/>
          <w:szCs w:val="20"/>
        </w:rPr>
        <w:t xml:space="preserve">Fig </w:t>
      </w:r>
      <w:r w:rsidR="0032790C">
        <w:rPr>
          <w:rFonts w:ascii="Times New Roman" w:hAnsi="Times New Roman" w:cs="Times New Roman"/>
          <w:b/>
          <w:bCs/>
          <w:sz w:val="20"/>
          <w:szCs w:val="20"/>
        </w:rPr>
        <w:t>(</w:t>
      </w:r>
      <w:r w:rsidRPr="0032790C">
        <w:rPr>
          <w:rFonts w:ascii="Times New Roman" w:hAnsi="Times New Roman" w:cs="Times New Roman"/>
          <w:b/>
          <w:bCs/>
          <w:sz w:val="20"/>
          <w:szCs w:val="20"/>
        </w:rPr>
        <w:t>1)</w:t>
      </w:r>
      <w:r w:rsidR="0032790C">
        <w:rPr>
          <w:rFonts w:ascii="Times New Roman" w:hAnsi="Times New Roman" w:cs="Times New Roman"/>
          <w:b/>
          <w:bCs/>
          <w:sz w:val="20"/>
          <w:szCs w:val="20"/>
        </w:rPr>
        <w:t>:</w:t>
      </w:r>
      <w:r w:rsidRPr="0032790C">
        <w:rPr>
          <w:rFonts w:ascii="Times New Roman" w:hAnsi="Times New Roman" w:cs="Times New Roman"/>
          <w:sz w:val="20"/>
          <w:szCs w:val="20"/>
        </w:rPr>
        <w:t xml:space="preserve"> Morphological and cytological features of liver cancer cells of the lines HepG 2 Treatment with Different concentrations of Propolis</w:t>
      </w:r>
      <w:r w:rsidR="0032790C" w:rsidRPr="0032790C">
        <w:rPr>
          <w:rFonts w:ascii="Times New Roman" w:hAnsi="Times New Roman" w:cs="Times New Roman"/>
          <w:sz w:val="20"/>
          <w:szCs w:val="20"/>
        </w:rPr>
        <w:t>,</w:t>
      </w:r>
      <w:r w:rsidR="0032790C" w:rsidRPr="0032790C">
        <w:rPr>
          <w:rFonts w:ascii="Times New Roman" w:hAnsi="Times New Roman" w:cs="Times New Roman" w:hint="eastAsia"/>
          <w:sz w:val="20"/>
          <w:szCs w:val="20"/>
          <w:lang w:eastAsia="zh-CN"/>
        </w:rPr>
        <w:t xml:space="preserve"> </w:t>
      </w:r>
      <w:r w:rsidRPr="0032790C">
        <w:rPr>
          <w:rFonts w:ascii="Times New Roman" w:hAnsi="Times New Roman" w:cs="Times New Roman"/>
          <w:sz w:val="20"/>
          <w:szCs w:val="20"/>
        </w:rPr>
        <w:t>Dacarbazine, and The Dual Treatment with</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Propolis and Dacarbazine after 48 h (X1000)</w:t>
      </w:r>
    </w:p>
    <w:p w:rsidR="00692080" w:rsidRPr="0032790C" w:rsidRDefault="00692080" w:rsidP="00294C32">
      <w:pPr>
        <w:tabs>
          <w:tab w:val="left" w:pos="3316"/>
        </w:tabs>
        <w:bidi w:val="0"/>
        <w:adjustRightInd w:val="0"/>
        <w:snapToGrid w:val="0"/>
        <w:spacing w:after="0" w:line="240" w:lineRule="auto"/>
        <w:jc w:val="both"/>
        <w:rPr>
          <w:rFonts w:ascii="Times New Roman" w:hAnsi="Times New Roman" w:cs="Times New Roman"/>
          <w:sz w:val="20"/>
          <w:szCs w:val="20"/>
          <w:lang w:bidi="ar-EG"/>
        </w:rPr>
      </w:pPr>
    </w:p>
    <w:p w:rsidR="000001B5" w:rsidRPr="0032790C" w:rsidRDefault="005D21B4" w:rsidP="00294C32">
      <w:pPr>
        <w:tabs>
          <w:tab w:val="left" w:pos="3316"/>
        </w:tabs>
        <w:bidi w:val="0"/>
        <w:adjustRightInd w:val="0"/>
        <w:snapToGrid w:val="0"/>
        <w:spacing w:after="0" w:line="240" w:lineRule="auto"/>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Sub-acute treatments</w:t>
      </w:r>
      <w:r w:rsidR="00F90A34" w:rsidRPr="0032790C">
        <w:rPr>
          <w:rFonts w:ascii="Times New Roman" w:hAnsi="Times New Roman" w:cs="Times New Roman"/>
          <w:b/>
          <w:bCs/>
          <w:sz w:val="20"/>
          <w:szCs w:val="20"/>
          <w:lang w:bidi="ar-EG"/>
        </w:rPr>
        <w:t xml:space="preserve">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00F90A34" w:rsidRPr="0032790C">
        <w:rPr>
          <w:rFonts w:ascii="Times New Roman" w:hAnsi="Times New Roman" w:cs="Times New Roman"/>
          <w:b/>
          <w:bCs/>
          <w:sz w:val="20"/>
          <w:szCs w:val="20"/>
          <w:lang w:bidi="ar-EG"/>
        </w:rPr>
        <w:t>and the sub-acute double treatment with</w:t>
      </w:r>
      <w:r w:rsidR="00ED5F7D" w:rsidRPr="0032790C">
        <w:rPr>
          <w:rFonts w:ascii="Times New Roman" w:hAnsi="Times New Roman" w:cs="Times New Roman"/>
          <w:b/>
          <w:bCs/>
          <w:sz w:val="20"/>
          <w:szCs w:val="20"/>
          <w:lang w:bidi="ar-EG"/>
        </w:rPr>
        <w:t xml:space="preserve"> both propolis and Dacarbazine effect on</w:t>
      </w:r>
      <w:r w:rsidR="00393F56" w:rsidRPr="0032790C">
        <w:rPr>
          <w:rFonts w:ascii="Times New Roman" w:hAnsi="Times New Roman" w:cs="Times New Roman"/>
          <w:b/>
          <w:bCs/>
          <w:sz w:val="20"/>
          <w:szCs w:val="20"/>
          <w:lang w:bidi="ar-EG"/>
        </w:rPr>
        <w:t xml:space="preserve"> </w:t>
      </w:r>
      <w:r w:rsidR="009D7FCE" w:rsidRPr="0032790C">
        <w:rPr>
          <w:rFonts w:ascii="Times New Roman" w:hAnsi="Times New Roman" w:cs="Times New Roman"/>
          <w:b/>
          <w:bCs/>
          <w:sz w:val="20"/>
          <w:szCs w:val="20"/>
          <w:lang w:bidi="ar-EG"/>
        </w:rPr>
        <w:t>the appearance mean for Hepatocellular carcinoma cell lines (HepG2) after 48 hours on concentration of (50µg/ml):</w:t>
      </w:r>
    </w:p>
    <w:p w:rsidR="00F90A34" w:rsidRPr="0032790C" w:rsidRDefault="00D9107B" w:rsidP="00294C32">
      <w:pPr>
        <w:tabs>
          <w:tab w:val="left" w:pos="3316"/>
        </w:tabs>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results obtained from (</w:t>
      </w:r>
      <w:r w:rsidR="00E04B30"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 xml:space="preserve">:1) shows that the treatment with propolis, Dacarbazine drug and the </w:t>
      </w:r>
      <w:r w:rsidRPr="0032790C">
        <w:rPr>
          <w:rFonts w:ascii="Times New Roman" w:hAnsi="Times New Roman" w:cs="Times New Roman"/>
          <w:sz w:val="20"/>
          <w:szCs w:val="20"/>
          <w:lang w:bidi="ar-EG"/>
        </w:rPr>
        <w:lastRenderedPageBreak/>
        <w:t xml:space="preserve">double treatment with propolis and Dacarbazine caused a significant decrease in the appearance mean for Hepatocellular carcinoma cell lines (HepG2) so their values </w:t>
      </w:r>
      <w:r w:rsidR="006F7038" w:rsidRPr="0032790C">
        <w:rPr>
          <w:rFonts w:ascii="Times New Roman" w:hAnsi="Times New Roman" w:cs="Times New Roman"/>
          <w:sz w:val="20"/>
          <w:szCs w:val="20"/>
          <w:lang w:bidi="ar-EG"/>
        </w:rPr>
        <w:t>were (0.209±0.217</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sz w:val="20"/>
          <w:szCs w:val="20"/>
          <w:lang w:bidi="ar-EG"/>
        </w:rPr>
        <w:t xml:space="preserve"> 0.186±0.163</w:t>
      </w:r>
      <w:r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0.201±0.007)</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 xml:space="preserve">respectively compared with control sample mean (0.355±0.009), as the mean treatment with drug and the mean double treatment were </w:t>
      </w:r>
      <w:r w:rsidR="00F96A48" w:rsidRPr="0032790C">
        <w:rPr>
          <w:rFonts w:ascii="Times New Roman" w:hAnsi="Times New Roman" w:cs="Times New Roman"/>
          <w:sz w:val="20"/>
          <w:szCs w:val="20"/>
          <w:lang w:bidi="ar-EG"/>
        </w:rPr>
        <w:t>close,</w:t>
      </w:r>
      <w:r w:rsidR="006F7038" w:rsidRPr="0032790C">
        <w:rPr>
          <w:rFonts w:ascii="Times New Roman" w:hAnsi="Times New Roman" w:cs="Times New Roman" w:hint="eastAsia"/>
          <w:sz w:val="20"/>
          <w:szCs w:val="20"/>
          <w:lang w:eastAsia="zh-CN" w:bidi="ar-EG"/>
        </w:rPr>
        <w:t xml:space="preserve"> </w:t>
      </w:r>
      <w:r w:rsidR="00F96A48" w:rsidRPr="0032790C">
        <w:rPr>
          <w:rFonts w:ascii="Times New Roman" w:hAnsi="Times New Roman" w:cs="Times New Roman"/>
          <w:sz w:val="20"/>
          <w:szCs w:val="20"/>
          <w:lang w:bidi="ar-EG"/>
        </w:rPr>
        <w:t>while it was slightly increased when treated with propolis (</w:t>
      </w:r>
      <w:r w:rsidR="00393F56" w:rsidRPr="0032790C">
        <w:rPr>
          <w:rFonts w:ascii="Times New Roman" w:hAnsi="Times New Roman" w:cs="Times New Roman"/>
          <w:sz w:val="20"/>
          <w:szCs w:val="20"/>
          <w:lang w:bidi="ar-EG"/>
        </w:rPr>
        <w:t>F</w:t>
      </w:r>
      <w:r w:rsidR="00F96A48" w:rsidRPr="0032790C">
        <w:rPr>
          <w:rFonts w:ascii="Times New Roman" w:hAnsi="Times New Roman" w:cs="Times New Roman"/>
          <w:sz w:val="20"/>
          <w:szCs w:val="20"/>
          <w:lang w:bidi="ar-EG"/>
        </w:rPr>
        <w:t xml:space="preserve">ig: 7), when calculating the inhibition ratio of cancer cells (HepG2) as a result of multiple treatments it was </w:t>
      </w:r>
      <w:r w:rsidR="003317BB" w:rsidRPr="0032790C">
        <w:rPr>
          <w:rFonts w:ascii="Times New Roman" w:hAnsi="Times New Roman" w:cs="Times New Roman"/>
          <w:sz w:val="20"/>
          <w:szCs w:val="20"/>
          <w:lang w:bidi="ar-EG"/>
        </w:rPr>
        <w:t>41.25%</w:t>
      </w:r>
      <w:r w:rsidR="0032790C" w:rsidRPr="0032790C">
        <w:rPr>
          <w:rFonts w:ascii="Times New Roman" w:hAnsi="Times New Roman" w:cs="Times New Roman"/>
          <w:sz w:val="20"/>
          <w:szCs w:val="20"/>
          <w:lang w:bidi="ar-EG"/>
        </w:rPr>
        <w:t>,</w:t>
      </w:r>
      <w:r w:rsidR="00F96A48" w:rsidRPr="0032790C">
        <w:rPr>
          <w:rFonts w:ascii="Times New Roman" w:hAnsi="Times New Roman" w:cs="Times New Roman"/>
          <w:sz w:val="20"/>
          <w:szCs w:val="20"/>
          <w:lang w:bidi="ar-EG"/>
        </w:rPr>
        <w:t xml:space="preserve"> 43.50</w:t>
      </w:r>
      <w:r w:rsidR="003317BB" w:rsidRPr="0032790C">
        <w:rPr>
          <w:rFonts w:ascii="Times New Roman" w:hAnsi="Times New Roman" w:cs="Times New Roman"/>
          <w:sz w:val="20"/>
          <w:szCs w:val="20"/>
          <w:lang w:bidi="ar-EG"/>
        </w:rPr>
        <w:t>%</w:t>
      </w:r>
      <w:r w:rsidR="0032790C" w:rsidRPr="0032790C">
        <w:rPr>
          <w:rFonts w:ascii="Times New Roman" w:hAnsi="Times New Roman" w:cs="Times New Roman"/>
          <w:sz w:val="20"/>
          <w:szCs w:val="20"/>
          <w:lang w:bidi="ar-EG"/>
        </w:rPr>
        <w:t>,</w:t>
      </w:r>
      <w:r w:rsidR="00F96A48" w:rsidRPr="0032790C">
        <w:rPr>
          <w:rFonts w:ascii="Times New Roman" w:hAnsi="Times New Roman" w:cs="Times New Roman"/>
          <w:sz w:val="20"/>
          <w:szCs w:val="20"/>
          <w:lang w:bidi="ar-EG"/>
        </w:rPr>
        <w:t xml:space="preserve"> 47.74</w:t>
      </w:r>
      <w:r w:rsidR="003317BB" w:rsidRPr="0032790C">
        <w:rPr>
          <w:rFonts w:ascii="Times New Roman" w:hAnsi="Times New Roman" w:cs="Times New Roman"/>
          <w:sz w:val="20"/>
          <w:szCs w:val="20"/>
          <w:lang w:bidi="ar-EG"/>
        </w:rPr>
        <w:t>%</w:t>
      </w:r>
      <w:r w:rsidR="0032790C">
        <w:rPr>
          <w:rFonts w:ascii="Times New Roman" w:hAnsi="Times New Roman" w:cs="Times New Roman"/>
          <w:sz w:val="20"/>
          <w:szCs w:val="20"/>
          <w:lang w:bidi="ar-EG"/>
        </w:rPr>
        <w:t xml:space="preserve"> </w:t>
      </w:r>
      <w:r w:rsidR="00F96A48" w:rsidRPr="0032790C">
        <w:rPr>
          <w:rFonts w:ascii="Times New Roman" w:hAnsi="Times New Roman" w:cs="Times New Roman"/>
          <w:sz w:val="20"/>
          <w:szCs w:val="20"/>
          <w:lang w:bidi="ar-EG"/>
        </w:rPr>
        <w:t xml:space="preserve">respectively. Pointing out that the highest value recorded was for </w:t>
      </w:r>
      <w:r w:rsidR="006F284F" w:rsidRPr="0032790C">
        <w:rPr>
          <w:rFonts w:ascii="Times New Roman" w:hAnsi="Times New Roman" w:cs="Times New Roman"/>
          <w:sz w:val="20"/>
          <w:szCs w:val="20"/>
          <w:lang w:bidi="ar-EG"/>
        </w:rPr>
        <w:t xml:space="preserve">drug </w:t>
      </w:r>
      <w:r w:rsidR="00F96A48" w:rsidRPr="0032790C">
        <w:rPr>
          <w:rFonts w:ascii="Times New Roman" w:hAnsi="Times New Roman" w:cs="Times New Roman"/>
          <w:sz w:val="20"/>
          <w:szCs w:val="20"/>
          <w:lang w:bidi="ar-EG"/>
        </w:rPr>
        <w:t>treatment</w:t>
      </w:r>
      <w:r w:rsidR="006F284F" w:rsidRPr="0032790C">
        <w:rPr>
          <w:rFonts w:ascii="Times New Roman" w:hAnsi="Times New Roman" w:cs="Times New Roman"/>
          <w:sz w:val="20"/>
          <w:szCs w:val="20"/>
          <w:lang w:bidi="ar-EG"/>
        </w:rPr>
        <w:t xml:space="preserve"> then double</w:t>
      </w:r>
      <w:r w:rsidR="00F96A48" w:rsidRPr="0032790C">
        <w:rPr>
          <w:rFonts w:ascii="Times New Roman" w:hAnsi="Times New Roman" w:cs="Times New Roman"/>
          <w:sz w:val="20"/>
          <w:szCs w:val="20"/>
          <w:lang w:bidi="ar-EG"/>
        </w:rPr>
        <w:t xml:space="preserve"> treatment and then</w:t>
      </w:r>
      <w:r w:rsidR="006F284F" w:rsidRPr="0032790C">
        <w:rPr>
          <w:rFonts w:ascii="Times New Roman" w:hAnsi="Times New Roman" w:cs="Times New Roman"/>
          <w:sz w:val="20"/>
          <w:szCs w:val="20"/>
          <w:lang w:bidi="ar-EG"/>
        </w:rPr>
        <w:t xml:space="preserve"> treatment with propolis (Fig</w:t>
      </w:r>
      <w:r w:rsidR="00F96A48" w:rsidRPr="0032790C">
        <w:rPr>
          <w:rFonts w:ascii="Times New Roman" w:hAnsi="Times New Roman" w:cs="Times New Roman"/>
          <w:sz w:val="20"/>
          <w:szCs w:val="20"/>
          <w:lang w:bidi="ar-EG"/>
        </w:rPr>
        <w:t>: 11)</w:t>
      </w:r>
      <w:r w:rsidR="006F284F" w:rsidRPr="0032790C">
        <w:rPr>
          <w:rFonts w:ascii="Times New Roman" w:hAnsi="Times New Roman" w:cs="Times New Roman"/>
          <w:sz w:val="20"/>
          <w:szCs w:val="20"/>
          <w:lang w:bidi="ar-EG"/>
        </w:rPr>
        <w:t>. And the inhibition ratio was inversely proportional to the rate of absorbance and vitality, as the rate of absorbance and vitality increased the rate of inhibition decreased. (Fig</w:t>
      </w:r>
      <w:r w:rsidR="00E40711" w:rsidRPr="0032790C">
        <w:rPr>
          <w:rFonts w:ascii="Times New Roman" w:hAnsi="Times New Roman" w:cs="Times New Roman"/>
          <w:sz w:val="20"/>
          <w:szCs w:val="20"/>
          <w:lang w:bidi="ar-EG"/>
        </w:rPr>
        <w:t>s</w:t>
      </w:r>
      <w:r w:rsidR="006F284F" w:rsidRPr="0032790C">
        <w:rPr>
          <w:rFonts w:ascii="Times New Roman" w:hAnsi="Times New Roman" w:cs="Times New Roman"/>
          <w:sz w:val="20"/>
          <w:szCs w:val="20"/>
          <w:lang w:bidi="ar-EG"/>
        </w:rPr>
        <w:t>: 3</w:t>
      </w:r>
      <w:r w:rsidR="0032790C">
        <w:rPr>
          <w:rFonts w:ascii="Times New Roman" w:hAnsi="Times New Roman" w:cs="Times New Roman" w:hint="eastAsia"/>
          <w:sz w:val="20"/>
          <w:szCs w:val="20"/>
          <w:lang w:eastAsia="zh-CN" w:bidi="ar-EG"/>
        </w:rPr>
        <w:t xml:space="preserve"> </w:t>
      </w:r>
      <w:r w:rsidR="003E1B4B" w:rsidRPr="0032790C">
        <w:rPr>
          <w:rFonts w:ascii="Times New Roman" w:hAnsi="Times New Roman" w:cs="Times New Roman"/>
          <w:sz w:val="20"/>
          <w:szCs w:val="20"/>
          <w:lang w:bidi="ar-EG"/>
        </w:rPr>
        <w:t>&amp;</w:t>
      </w:r>
      <w:r w:rsidR="006F284F" w:rsidRPr="0032790C">
        <w:rPr>
          <w:rFonts w:ascii="Times New Roman" w:hAnsi="Times New Roman" w:cs="Times New Roman"/>
          <w:sz w:val="20"/>
          <w:szCs w:val="20"/>
          <w:lang w:bidi="ar-EG"/>
        </w:rPr>
        <w:t xml:space="preserve"> 5).</w:t>
      </w:r>
    </w:p>
    <w:p w:rsidR="005D21B4" w:rsidRPr="0032790C" w:rsidRDefault="005D21B4" w:rsidP="00294C32">
      <w:pPr>
        <w:tabs>
          <w:tab w:val="left" w:pos="3316"/>
        </w:tabs>
        <w:bidi w:val="0"/>
        <w:adjustRightInd w:val="0"/>
        <w:snapToGrid w:val="0"/>
        <w:spacing w:after="0" w:line="240" w:lineRule="auto"/>
        <w:jc w:val="both"/>
        <w:rPr>
          <w:rFonts w:ascii="Times New Roman" w:hAnsi="Times New Roman" w:cs="Times New Roman"/>
          <w:sz w:val="20"/>
          <w:szCs w:val="20"/>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w:t>
      </w:r>
      <w:r w:rsidR="00ED5F7D" w:rsidRPr="0032790C">
        <w:rPr>
          <w:rFonts w:ascii="Times New Roman" w:hAnsi="Times New Roman" w:cs="Times New Roman"/>
          <w:b/>
          <w:bCs/>
          <w:sz w:val="20"/>
          <w:szCs w:val="20"/>
          <w:lang w:bidi="ar-EG"/>
        </w:rPr>
        <w:t xml:space="preserve"> both propolis and Dacarbazine e</w:t>
      </w:r>
      <w:r w:rsidRPr="0032790C">
        <w:rPr>
          <w:rFonts w:ascii="Times New Roman" w:hAnsi="Times New Roman" w:cs="Times New Roman"/>
          <w:b/>
          <w:bCs/>
          <w:sz w:val="20"/>
          <w:szCs w:val="20"/>
          <w:lang w:bidi="ar-EG"/>
        </w:rPr>
        <w:t>ffect</w:t>
      </w:r>
      <w:r w:rsidR="00ED5F7D" w:rsidRPr="0032790C">
        <w:rPr>
          <w:rFonts w:ascii="Times New Roman" w:hAnsi="Times New Roman" w:cs="Times New Roman"/>
          <w:b/>
          <w:bCs/>
          <w:sz w:val="20"/>
          <w:szCs w:val="20"/>
          <w:lang w:bidi="ar-EG"/>
        </w:rPr>
        <w:t xml:space="preserve"> on</w:t>
      </w:r>
      <w:r w:rsidRPr="0032790C">
        <w:rPr>
          <w:rFonts w:ascii="Times New Roman" w:hAnsi="Times New Roman" w:cs="Times New Roman"/>
          <w:b/>
          <w:bCs/>
          <w:sz w:val="20"/>
          <w:szCs w:val="20"/>
          <w:lang w:bidi="ar-EG"/>
        </w:rPr>
        <w:t xml:space="preserve"> the appearance mean for Hepatocellular carcinoma cell lines (HepG2) after 48 hours on concentration of (100 µg/ml)</w:t>
      </w:r>
      <w:r w:rsidRPr="0032790C">
        <w:rPr>
          <w:rFonts w:ascii="Times New Roman" w:hAnsi="Times New Roman" w:cs="Times New Roman"/>
          <w:sz w:val="20"/>
          <w:szCs w:val="20"/>
          <w:lang w:bidi="ar-EG"/>
        </w:rPr>
        <w:t>:</w:t>
      </w:r>
    </w:p>
    <w:p w:rsidR="007552F2" w:rsidRPr="0032790C" w:rsidRDefault="005D21B4"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The results obtained from (</w:t>
      </w:r>
      <w:r w:rsidR="003E1B4B"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:1) shows that the treatment with propolis, Dacarbazine drug and the double treatment with propolis and Dacarbazine caused a significant decrease in the appearance mean for Hepatocellular carcinoma cell lines (HepG2) so their values were (0.217±0.005</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0.193±0.006</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0.190±0.106) respectively compared with control sample mean (0.355±0.009), as the best treatment </w:t>
      </w:r>
      <w:r w:rsidR="004A73A5" w:rsidRPr="0032790C">
        <w:rPr>
          <w:rFonts w:ascii="Times New Roman" w:hAnsi="Times New Roman" w:cs="Times New Roman"/>
          <w:sz w:val="20"/>
          <w:szCs w:val="20"/>
          <w:lang w:bidi="ar-EG"/>
        </w:rPr>
        <w:t>due to its impact in reducing the appearance mean of HepG2 was double treatment then Dacarbazine treatment and then propolis</w:t>
      </w:r>
      <w:r w:rsidR="00393F56" w:rsidRPr="0032790C">
        <w:rPr>
          <w:rFonts w:ascii="Times New Roman" w:hAnsi="Times New Roman" w:cs="Times New Roman"/>
          <w:sz w:val="20"/>
          <w:szCs w:val="20"/>
          <w:lang w:bidi="ar-EG"/>
        </w:rPr>
        <w:t xml:space="preserve"> </w:t>
      </w:r>
      <w:r w:rsidR="00E40711" w:rsidRPr="0032790C">
        <w:rPr>
          <w:rFonts w:ascii="Times New Roman" w:hAnsi="Times New Roman" w:cs="Times New Roman"/>
          <w:sz w:val="20"/>
          <w:szCs w:val="20"/>
          <w:lang w:bidi="ar-EG"/>
        </w:rPr>
        <w:t>treatment</w:t>
      </w:r>
      <w:r w:rsidR="00393F56"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w:t>
      </w:r>
      <w:r w:rsidR="00393F56"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 xml:space="preserve">ig: 7), </w:t>
      </w:r>
      <w:r w:rsidR="004A73A5" w:rsidRPr="0032790C">
        <w:rPr>
          <w:rFonts w:ascii="Times New Roman" w:hAnsi="Times New Roman" w:cs="Times New Roman"/>
          <w:sz w:val="20"/>
          <w:szCs w:val="20"/>
          <w:lang w:bidi="ar-EG"/>
        </w:rPr>
        <w:t xml:space="preserve">when calculating the inhibition ratio of cancer cells (HepG2) as a result of multiple treatments it was </w:t>
      </w:r>
      <w:r w:rsidR="003E1B4B" w:rsidRPr="0032790C">
        <w:rPr>
          <w:rFonts w:ascii="Times New Roman" w:hAnsi="Times New Roman" w:cs="Times New Roman"/>
          <w:sz w:val="20"/>
          <w:szCs w:val="20"/>
          <w:lang w:bidi="ar-EG"/>
        </w:rPr>
        <w:t>45.48%</w:t>
      </w:r>
      <w:r w:rsidR="004A73A5" w:rsidRPr="0032790C">
        <w:rPr>
          <w:rFonts w:ascii="Times New Roman" w:hAnsi="Times New Roman" w:cs="Times New Roman"/>
          <w:sz w:val="20"/>
          <w:szCs w:val="20"/>
          <w:lang w:bidi="ar-EG"/>
        </w:rPr>
        <w:t>, 46.33</w:t>
      </w:r>
      <w:r w:rsidR="003E1B4B" w:rsidRPr="0032790C">
        <w:rPr>
          <w:rFonts w:ascii="Times New Roman" w:hAnsi="Times New Roman" w:cs="Times New Roman"/>
          <w:sz w:val="20"/>
          <w:szCs w:val="20"/>
          <w:lang w:bidi="ar-EG"/>
        </w:rPr>
        <w:t>%</w:t>
      </w:r>
      <w:r w:rsidR="0032790C" w:rsidRPr="0032790C">
        <w:rPr>
          <w:rFonts w:ascii="Times New Roman" w:hAnsi="Times New Roman" w:cs="Times New Roman"/>
          <w:sz w:val="20"/>
          <w:szCs w:val="20"/>
          <w:lang w:bidi="ar-EG"/>
        </w:rPr>
        <w:t>,</w:t>
      </w:r>
      <w:r w:rsidR="0032790C">
        <w:rPr>
          <w:rFonts w:ascii="Times New Roman" w:hAnsi="Times New Roman" w:cs="Times New Roman"/>
          <w:sz w:val="20"/>
          <w:szCs w:val="20"/>
          <w:lang w:bidi="ar-EG"/>
        </w:rPr>
        <w:t xml:space="preserve"> </w:t>
      </w:r>
      <w:r w:rsidR="003E1B4B" w:rsidRPr="0032790C">
        <w:rPr>
          <w:rFonts w:ascii="Times New Roman" w:hAnsi="Times New Roman" w:cs="Times New Roman"/>
          <w:sz w:val="20"/>
          <w:szCs w:val="20"/>
          <w:lang w:bidi="ar-EG"/>
        </w:rPr>
        <w:t>38.70%</w:t>
      </w:r>
      <w:r w:rsidR="004A73A5" w:rsidRPr="0032790C">
        <w:rPr>
          <w:rFonts w:ascii="Times New Roman" w:hAnsi="Times New Roman" w:cs="Times New Roman"/>
          <w:sz w:val="20"/>
          <w:szCs w:val="20"/>
          <w:lang w:bidi="ar-EG"/>
        </w:rPr>
        <w:t xml:space="preserve"> respectively. The highest value was for the double treatment then Dacarbazine treatment and th</w:t>
      </w:r>
      <w:r w:rsidR="009B7F5A" w:rsidRPr="0032790C">
        <w:rPr>
          <w:rFonts w:ascii="Times New Roman" w:hAnsi="Times New Roman" w:cs="Times New Roman"/>
          <w:sz w:val="20"/>
          <w:szCs w:val="20"/>
          <w:lang w:bidi="ar-EG"/>
        </w:rPr>
        <w:t>en propolis treatment (Fig: 11)</w:t>
      </w:r>
      <w:r w:rsidR="007552F2" w:rsidRPr="0032790C">
        <w:rPr>
          <w:rFonts w:ascii="Times New Roman" w:hAnsi="Times New Roman" w:cs="Times New Roman"/>
          <w:sz w:val="20"/>
          <w:szCs w:val="20"/>
          <w:lang w:bidi="ar-EG"/>
        </w:rPr>
        <w:t>. And the inhibition ratio was inversely proportional to the rate of absorbance and vitality (Fig</w:t>
      </w:r>
      <w:r w:rsidR="00E40711" w:rsidRPr="0032790C">
        <w:rPr>
          <w:rFonts w:ascii="Times New Roman" w:hAnsi="Times New Roman" w:cs="Times New Roman"/>
          <w:sz w:val="20"/>
          <w:szCs w:val="20"/>
          <w:lang w:bidi="ar-EG"/>
        </w:rPr>
        <w:t>s</w:t>
      </w:r>
      <w:r w:rsidR="007552F2" w:rsidRPr="0032790C">
        <w:rPr>
          <w:rFonts w:ascii="Times New Roman" w:hAnsi="Times New Roman" w:cs="Times New Roman"/>
          <w:sz w:val="20"/>
          <w:szCs w:val="20"/>
          <w:lang w:bidi="ar-EG"/>
        </w:rPr>
        <w:t>: 3</w:t>
      </w:r>
      <w:r w:rsidR="003E1B4B" w:rsidRPr="0032790C">
        <w:rPr>
          <w:rFonts w:ascii="Times New Roman" w:hAnsi="Times New Roman" w:cs="Times New Roman"/>
          <w:sz w:val="20"/>
          <w:szCs w:val="20"/>
          <w:lang w:bidi="ar-EG"/>
        </w:rPr>
        <w:t>&amp;</w:t>
      </w:r>
      <w:r w:rsidR="007552F2" w:rsidRPr="0032790C">
        <w:rPr>
          <w:rFonts w:ascii="Times New Roman" w:hAnsi="Times New Roman" w:cs="Times New Roman"/>
          <w:sz w:val="20"/>
          <w:szCs w:val="20"/>
          <w:lang w:bidi="ar-EG"/>
        </w:rPr>
        <w:t xml:space="preserve"> 5).</w:t>
      </w:r>
    </w:p>
    <w:p w:rsidR="007552F2" w:rsidRPr="0032790C" w:rsidRDefault="007552F2"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Sub-acute treatments with dose of (50mg/kg) of propolis, Sub-acute treatment with medicinal dose of Dacarbazine drug (3.5mg/kg)</w:t>
      </w:r>
      <w:r w:rsid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and the sub-acute double treatment with b</w:t>
      </w:r>
      <w:r w:rsidR="00ED5F7D" w:rsidRPr="0032790C">
        <w:rPr>
          <w:rFonts w:ascii="Times New Roman" w:hAnsi="Times New Roman" w:cs="Times New Roman"/>
          <w:sz w:val="20"/>
          <w:szCs w:val="20"/>
          <w:lang w:bidi="ar-EG"/>
        </w:rPr>
        <w:t>oth propolis and Dacarbazine e</w:t>
      </w:r>
      <w:r w:rsidRPr="0032790C">
        <w:rPr>
          <w:rFonts w:ascii="Times New Roman" w:hAnsi="Times New Roman" w:cs="Times New Roman"/>
          <w:sz w:val="20"/>
          <w:szCs w:val="20"/>
          <w:lang w:bidi="ar-EG"/>
        </w:rPr>
        <w:t>ffect</w:t>
      </w:r>
      <w:r w:rsidR="00ED5F7D" w:rsidRPr="0032790C">
        <w:rPr>
          <w:rFonts w:ascii="Times New Roman" w:hAnsi="Times New Roman" w:cs="Times New Roman"/>
          <w:sz w:val="20"/>
          <w:szCs w:val="20"/>
          <w:lang w:bidi="ar-EG"/>
        </w:rPr>
        <w:t xml:space="preserve"> on</w:t>
      </w:r>
      <w:r w:rsidRPr="0032790C">
        <w:rPr>
          <w:rFonts w:ascii="Times New Roman" w:hAnsi="Times New Roman" w:cs="Times New Roman"/>
          <w:sz w:val="20"/>
          <w:szCs w:val="20"/>
          <w:lang w:bidi="ar-EG"/>
        </w:rPr>
        <w:t xml:space="preserve"> the appearance mean for Hepatocellular carcinoma cell lines (HepG2) after 48 hours on concentration of (200 µg/ml):</w:t>
      </w:r>
    </w:p>
    <w:p w:rsidR="007552F2" w:rsidRPr="0032790C" w:rsidRDefault="007552F2"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results obtained from (</w:t>
      </w:r>
      <w:r w:rsidR="003E1B4B"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:1) shows that the treatment with propolis, Dacarbazine caused a significant decrease in the appearance mean for Hepatocellular carcinoma cell lines (HepG2) so their values were (0.217±0.006</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0.178±0.003</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0.182±</w:t>
      </w:r>
      <w:r w:rsidR="00393F56"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 xml:space="preserve">0.006) respectively compared with control sample </w:t>
      </w:r>
      <w:r w:rsidRPr="0032790C">
        <w:rPr>
          <w:rFonts w:ascii="Times New Roman" w:hAnsi="Times New Roman" w:cs="Times New Roman"/>
          <w:sz w:val="20"/>
          <w:szCs w:val="20"/>
          <w:lang w:bidi="ar-EG"/>
        </w:rPr>
        <w:lastRenderedPageBreak/>
        <w:t xml:space="preserve">mean (0.355±0.009), as the best treatment due to its impact in reducing the appearance mean of HepG2 was Dacarbazine treatment then double treatment and then </w:t>
      </w:r>
      <w:r w:rsidR="009B7F5A" w:rsidRPr="0032790C">
        <w:rPr>
          <w:rFonts w:ascii="Times New Roman" w:hAnsi="Times New Roman" w:cs="Times New Roman"/>
          <w:sz w:val="20"/>
          <w:szCs w:val="20"/>
          <w:lang w:bidi="ar-EG"/>
        </w:rPr>
        <w:t>propolistreartment (</w:t>
      </w:r>
      <w:r w:rsidR="00393F56" w:rsidRPr="0032790C">
        <w:rPr>
          <w:rFonts w:ascii="Times New Roman" w:hAnsi="Times New Roman" w:cs="Times New Roman"/>
          <w:sz w:val="20"/>
          <w:szCs w:val="20"/>
          <w:lang w:bidi="ar-EG"/>
        </w:rPr>
        <w:t>F</w:t>
      </w:r>
      <w:r w:rsidR="009B7F5A" w:rsidRPr="0032790C">
        <w:rPr>
          <w:rFonts w:ascii="Times New Roman" w:hAnsi="Times New Roman" w:cs="Times New Roman"/>
          <w:sz w:val="20"/>
          <w:szCs w:val="20"/>
          <w:lang w:bidi="ar-EG"/>
        </w:rPr>
        <w:t>ig: 7), when calculating the inhibition ratio of cancer cells (HepG2) as a result of multiple treatments it was</w:t>
      </w:r>
      <w:r w:rsidR="0032790C">
        <w:rPr>
          <w:rFonts w:ascii="Times New Roman" w:hAnsi="Times New Roman" w:cs="Times New Roman"/>
          <w:sz w:val="20"/>
          <w:szCs w:val="20"/>
          <w:lang w:bidi="ar-EG"/>
        </w:rPr>
        <w:t xml:space="preserve"> </w:t>
      </w:r>
      <w:r w:rsidR="003E1B4B" w:rsidRPr="0032790C">
        <w:rPr>
          <w:rFonts w:ascii="Times New Roman" w:hAnsi="Times New Roman" w:cs="Times New Roman"/>
          <w:sz w:val="20"/>
          <w:szCs w:val="20"/>
          <w:lang w:bidi="ar-EG"/>
        </w:rPr>
        <w:t>38.70%</w:t>
      </w:r>
      <w:r w:rsidR="0032790C" w:rsidRPr="0032790C">
        <w:rPr>
          <w:rFonts w:ascii="Times New Roman" w:hAnsi="Times New Roman" w:cs="Times New Roman"/>
          <w:sz w:val="20"/>
          <w:szCs w:val="20"/>
          <w:lang w:bidi="ar-EG"/>
        </w:rPr>
        <w:t>,</w:t>
      </w:r>
      <w:r w:rsidR="003E1B4B" w:rsidRPr="0032790C">
        <w:rPr>
          <w:rFonts w:ascii="Times New Roman" w:hAnsi="Times New Roman" w:cs="Times New Roman"/>
          <w:sz w:val="20"/>
          <w:szCs w:val="20"/>
          <w:lang w:bidi="ar-EG"/>
        </w:rPr>
        <w:t xml:space="preserve"> 50.00%</w:t>
      </w:r>
      <w:r w:rsidR="0032790C" w:rsidRPr="0032790C">
        <w:rPr>
          <w:rFonts w:ascii="Times New Roman" w:hAnsi="Times New Roman" w:cs="Times New Roman"/>
          <w:sz w:val="20"/>
          <w:szCs w:val="20"/>
          <w:lang w:bidi="ar-EG"/>
        </w:rPr>
        <w:t>,</w:t>
      </w:r>
      <w:r w:rsidR="003E1B4B" w:rsidRPr="0032790C">
        <w:rPr>
          <w:rFonts w:ascii="Times New Roman" w:hAnsi="Times New Roman" w:cs="Times New Roman"/>
          <w:sz w:val="20"/>
          <w:szCs w:val="20"/>
          <w:lang w:bidi="ar-EG"/>
        </w:rPr>
        <w:t xml:space="preserve"> </w:t>
      </w:r>
      <w:r w:rsidR="009B7F5A" w:rsidRPr="0032790C">
        <w:rPr>
          <w:rFonts w:ascii="Times New Roman" w:hAnsi="Times New Roman" w:cs="Times New Roman"/>
          <w:sz w:val="20"/>
          <w:szCs w:val="20"/>
          <w:lang w:bidi="ar-EG"/>
        </w:rPr>
        <w:t>48.59</w:t>
      </w:r>
      <w:r w:rsidR="003E1B4B" w:rsidRPr="0032790C">
        <w:rPr>
          <w:rFonts w:ascii="Times New Roman" w:hAnsi="Times New Roman" w:cs="Times New Roman"/>
          <w:sz w:val="20"/>
          <w:szCs w:val="20"/>
          <w:lang w:bidi="ar-EG"/>
        </w:rPr>
        <w:t>%</w:t>
      </w:r>
      <w:r w:rsidR="0032790C">
        <w:rPr>
          <w:rFonts w:ascii="Times New Roman" w:hAnsi="Times New Roman" w:cs="Times New Roman"/>
          <w:sz w:val="20"/>
          <w:szCs w:val="20"/>
          <w:lang w:bidi="ar-EG"/>
        </w:rPr>
        <w:t xml:space="preserve"> </w:t>
      </w:r>
      <w:r w:rsidR="009B7F5A" w:rsidRPr="0032790C">
        <w:rPr>
          <w:rFonts w:ascii="Times New Roman" w:hAnsi="Times New Roman" w:cs="Times New Roman"/>
          <w:sz w:val="20"/>
          <w:szCs w:val="20"/>
          <w:lang w:bidi="ar-EG"/>
        </w:rPr>
        <w:t>respectively. The highest value was for the Dacarbazine treatment then propolis treatment and then double treatment (Fig: 11</w:t>
      </w:r>
      <w:r w:rsidR="0032790C">
        <w:rPr>
          <w:rFonts w:ascii="Times New Roman" w:hAnsi="Times New Roman" w:cs="Times New Roman"/>
          <w:sz w:val="20"/>
          <w:szCs w:val="20"/>
          <w:lang w:bidi="ar-EG"/>
        </w:rPr>
        <w:t>)</w:t>
      </w:r>
      <w:r w:rsidR="009B7F5A" w:rsidRPr="0032790C">
        <w:rPr>
          <w:rFonts w:ascii="Times New Roman" w:hAnsi="Times New Roman" w:cs="Times New Roman"/>
          <w:sz w:val="20"/>
          <w:szCs w:val="20"/>
          <w:lang w:bidi="ar-EG"/>
        </w:rPr>
        <w:t>. And the inhibition ratio was inversely proportional to the rate of absorbance and vitality (Fig</w:t>
      </w:r>
      <w:r w:rsidR="00E40711" w:rsidRPr="0032790C">
        <w:rPr>
          <w:rFonts w:ascii="Times New Roman" w:hAnsi="Times New Roman" w:cs="Times New Roman"/>
          <w:sz w:val="20"/>
          <w:szCs w:val="20"/>
          <w:lang w:bidi="ar-EG"/>
        </w:rPr>
        <w:t>s</w:t>
      </w:r>
      <w:r w:rsidR="009B7F5A" w:rsidRPr="0032790C">
        <w:rPr>
          <w:rFonts w:ascii="Times New Roman" w:hAnsi="Times New Roman" w:cs="Times New Roman"/>
          <w:sz w:val="20"/>
          <w:szCs w:val="20"/>
          <w:lang w:bidi="ar-EG"/>
        </w:rPr>
        <w:t>: 3</w:t>
      </w:r>
      <w:r w:rsidR="0032790C" w:rsidRPr="0032790C">
        <w:rPr>
          <w:rFonts w:ascii="Times New Roman" w:hAnsi="Times New Roman" w:cs="Times New Roman" w:hint="eastAsia"/>
          <w:sz w:val="20"/>
          <w:szCs w:val="20"/>
          <w:lang w:eastAsia="zh-CN" w:bidi="ar-EG"/>
        </w:rPr>
        <w:t xml:space="preserve"> </w:t>
      </w:r>
      <w:r w:rsidR="003E1B4B" w:rsidRPr="0032790C">
        <w:rPr>
          <w:rFonts w:ascii="Times New Roman" w:hAnsi="Times New Roman" w:cs="Times New Roman"/>
          <w:sz w:val="20"/>
          <w:szCs w:val="20"/>
          <w:lang w:bidi="ar-EG"/>
        </w:rPr>
        <w:t>&amp;</w:t>
      </w:r>
      <w:r w:rsidR="009B7F5A" w:rsidRPr="0032790C">
        <w:rPr>
          <w:rFonts w:ascii="Times New Roman" w:hAnsi="Times New Roman" w:cs="Times New Roman"/>
          <w:sz w:val="20"/>
          <w:szCs w:val="20"/>
          <w:lang w:bidi="ar-EG"/>
        </w:rPr>
        <w:t xml:space="preserve"> 5).</w:t>
      </w:r>
    </w:p>
    <w:p w:rsidR="00ED5F7D" w:rsidRPr="0032790C" w:rsidRDefault="00ED5F7D" w:rsidP="00294C32">
      <w:pPr>
        <w:pStyle w:val="ListParagraph"/>
        <w:bidi w:val="0"/>
        <w:adjustRightInd w:val="0"/>
        <w:snapToGrid w:val="0"/>
        <w:spacing w:after="0" w:line="240" w:lineRule="auto"/>
        <w:ind w:left="0"/>
        <w:contextualSpacing w:val="0"/>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 both propolis and Dacarbazine effect on the appearance mean for Hepatocellular carcinoma cell lines (HepG2) after 48 hours on concentration</w:t>
      </w:r>
      <w:r w:rsidR="00796389" w:rsidRPr="0032790C">
        <w:rPr>
          <w:rFonts w:ascii="Times New Roman" w:hAnsi="Times New Roman" w:cs="Times New Roman"/>
          <w:b/>
          <w:bCs/>
          <w:sz w:val="20"/>
          <w:szCs w:val="20"/>
          <w:lang w:bidi="ar-EG"/>
        </w:rPr>
        <w:t>s</w:t>
      </w:r>
      <w:r w:rsidRPr="0032790C">
        <w:rPr>
          <w:rFonts w:ascii="Times New Roman" w:hAnsi="Times New Roman" w:cs="Times New Roman"/>
          <w:b/>
          <w:bCs/>
          <w:sz w:val="20"/>
          <w:szCs w:val="20"/>
          <w:lang w:bidi="ar-EG"/>
        </w:rPr>
        <w:t xml:space="preserve"> of (</w:t>
      </w:r>
      <w:r w:rsidR="00796389" w:rsidRPr="0032790C">
        <w:rPr>
          <w:rFonts w:ascii="Times New Roman" w:hAnsi="Times New Roman" w:cs="Times New Roman"/>
          <w:b/>
          <w:bCs/>
          <w:sz w:val="20"/>
          <w:szCs w:val="20"/>
          <w:lang w:bidi="ar-EG"/>
        </w:rPr>
        <w:t>50,100,</w:t>
      </w:r>
      <w:r w:rsidRPr="0032790C">
        <w:rPr>
          <w:rFonts w:ascii="Times New Roman" w:hAnsi="Times New Roman" w:cs="Times New Roman"/>
          <w:b/>
          <w:bCs/>
          <w:sz w:val="20"/>
          <w:szCs w:val="20"/>
          <w:lang w:bidi="ar-EG"/>
        </w:rPr>
        <w:t>200 µg/ml)</w:t>
      </w:r>
      <w:r w:rsidR="00796389" w:rsidRPr="0032790C">
        <w:rPr>
          <w:rFonts w:ascii="Times New Roman" w:hAnsi="Times New Roman" w:cs="Times New Roman"/>
          <w:b/>
          <w:bCs/>
          <w:sz w:val="20"/>
          <w:szCs w:val="20"/>
          <w:lang w:bidi="ar-EG"/>
        </w:rPr>
        <w:t xml:space="preserve"> using variance analysis and the least significant difference (LSD): </w:t>
      </w:r>
    </w:p>
    <w:p w:rsidR="000D2F61" w:rsidRPr="0032790C" w:rsidRDefault="00217249"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results obtained from (</w:t>
      </w:r>
      <w:r w:rsidR="003E1B4B"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:3) shows significant difference (</w:t>
      </w:r>
      <w:r w:rsidR="003E1B4B" w:rsidRPr="0032790C">
        <w:rPr>
          <w:rFonts w:ascii="Times New Roman" w:hAnsi="Times New Roman" w:cs="Times New Roman"/>
          <w:i/>
          <w:iCs/>
          <w:sz w:val="20"/>
          <w:szCs w:val="20"/>
          <w:lang w:bidi="ar-EG"/>
        </w:rPr>
        <w:t>P</w:t>
      </w:r>
      <w:r w:rsidR="003E1B4B" w:rsidRPr="0032790C">
        <w:rPr>
          <w:rFonts w:ascii="Times New Roman" w:hAnsi="Times New Roman" w:cs="Times New Roman"/>
          <w:sz w:val="20"/>
          <w:szCs w:val="20"/>
          <w:lang w:bidi="ar-EG"/>
        </w:rPr>
        <w:t>≤0.001</w:t>
      </w:r>
      <w:r w:rsidRPr="0032790C">
        <w:rPr>
          <w:rFonts w:ascii="Times New Roman" w:hAnsi="Times New Roman" w:cs="Times New Roman"/>
          <w:sz w:val="20"/>
          <w:szCs w:val="20"/>
          <w:lang w:bidi="ar-EG"/>
        </w:rPr>
        <w:t>) in appearance mean for Hepatocellular carcinoma cell lines (HepG2) on different concentrations between sub-acute treatment with dose of (50mg/kg) of propolis or s</w:t>
      </w:r>
      <w:r w:rsidR="008C7EAF" w:rsidRPr="0032790C">
        <w:rPr>
          <w:rFonts w:ascii="Times New Roman" w:hAnsi="Times New Roman" w:cs="Times New Roman"/>
          <w:sz w:val="20"/>
          <w:szCs w:val="20"/>
          <w:lang w:bidi="ar-EG"/>
        </w:rPr>
        <w:t>u</w:t>
      </w:r>
      <w:r w:rsidRPr="0032790C">
        <w:rPr>
          <w:rFonts w:ascii="Times New Roman" w:hAnsi="Times New Roman" w:cs="Times New Roman"/>
          <w:sz w:val="20"/>
          <w:szCs w:val="20"/>
          <w:lang w:bidi="ar-EG"/>
        </w:rPr>
        <w:t>b-acute treatment with medicinal dose of Dacarbazine drug (3.5mg/kg</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and sub-acute double treatment with both propolis and Dacarbazine which was equal to (</w:t>
      </w:r>
      <w:r w:rsidR="003E1B4B"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 xml:space="preserve"> 28</w:t>
      </w:r>
      <w:r w:rsidR="003E1B4B" w:rsidRPr="0032790C">
        <w:rPr>
          <w:rFonts w:ascii="Times New Roman" w:hAnsi="Times New Roman" w:cs="Times New Roman"/>
          <w:sz w:val="20"/>
          <w:szCs w:val="20"/>
          <w:lang w:bidi="ar-EG"/>
        </w:rPr>
        <w:t>.48</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on concentration of</w:t>
      </w:r>
      <w:r w:rsidR="000D2F61" w:rsidRPr="0032790C">
        <w:rPr>
          <w:rFonts w:ascii="Times New Roman" w:hAnsi="Times New Roman" w:cs="Times New Roman"/>
          <w:sz w:val="20"/>
          <w:szCs w:val="20"/>
          <w:lang w:bidi="ar-EG"/>
        </w:rPr>
        <w:t xml:space="preserve"> 50µg/ml, (F</w:t>
      </w:r>
      <w:r w:rsidR="003E1B4B" w:rsidRPr="0032790C">
        <w:rPr>
          <w:rFonts w:ascii="Times New Roman" w:hAnsi="Times New Roman" w:cs="Times New Roman"/>
          <w:sz w:val="20"/>
          <w:szCs w:val="20"/>
          <w:lang w:bidi="ar-EG"/>
        </w:rPr>
        <w:t>= 96.10</w:t>
      </w:r>
      <w:r w:rsidR="0032790C">
        <w:rPr>
          <w:rFonts w:ascii="Times New Roman" w:hAnsi="Times New Roman" w:cs="Times New Roman"/>
          <w:sz w:val="20"/>
          <w:szCs w:val="20"/>
          <w:lang w:bidi="ar-EG"/>
        </w:rPr>
        <w:t>)</w:t>
      </w:r>
      <w:r w:rsidR="000D2F61" w:rsidRPr="0032790C">
        <w:rPr>
          <w:rFonts w:ascii="Times New Roman" w:hAnsi="Times New Roman" w:cs="Times New Roman"/>
          <w:sz w:val="20"/>
          <w:szCs w:val="20"/>
          <w:lang w:bidi="ar-EG"/>
        </w:rPr>
        <w:t xml:space="preserve"> on concentration of 100µg/ml, and (</w:t>
      </w:r>
      <w:r w:rsidR="003E1B4B" w:rsidRPr="0032790C">
        <w:rPr>
          <w:rFonts w:ascii="Times New Roman" w:hAnsi="Times New Roman" w:cs="Times New Roman"/>
          <w:sz w:val="20"/>
          <w:szCs w:val="20"/>
          <w:lang w:bidi="ar-EG"/>
        </w:rPr>
        <w:t>F=</w:t>
      </w:r>
      <w:r w:rsidR="000D2F61" w:rsidRPr="0032790C">
        <w:rPr>
          <w:rFonts w:ascii="Times New Roman" w:hAnsi="Times New Roman" w:cs="Times New Roman"/>
          <w:sz w:val="20"/>
          <w:szCs w:val="20"/>
          <w:lang w:bidi="ar-EG"/>
        </w:rPr>
        <w:t>175</w:t>
      </w:r>
      <w:r w:rsidR="003E1B4B" w:rsidRPr="0032790C">
        <w:rPr>
          <w:rFonts w:ascii="Times New Roman" w:hAnsi="Times New Roman" w:cs="Times New Roman"/>
          <w:sz w:val="20"/>
          <w:szCs w:val="20"/>
          <w:lang w:bidi="ar-EG"/>
        </w:rPr>
        <w:t>.11</w:t>
      </w:r>
      <w:r w:rsidR="0032790C">
        <w:rPr>
          <w:rFonts w:ascii="Times New Roman" w:hAnsi="Times New Roman" w:cs="Times New Roman"/>
          <w:sz w:val="20"/>
          <w:szCs w:val="20"/>
          <w:lang w:bidi="ar-EG"/>
        </w:rPr>
        <w:t>)</w:t>
      </w:r>
      <w:r w:rsidR="000D2F61" w:rsidRPr="0032790C">
        <w:rPr>
          <w:rFonts w:ascii="Times New Roman" w:hAnsi="Times New Roman" w:cs="Times New Roman"/>
          <w:sz w:val="20"/>
          <w:szCs w:val="20"/>
          <w:lang w:bidi="ar-EG"/>
        </w:rPr>
        <w:t xml:space="preserve"> on concentration of 200µg/m compared </w:t>
      </w:r>
      <w:r w:rsidR="00FD1E08" w:rsidRPr="0032790C">
        <w:rPr>
          <w:rFonts w:ascii="Times New Roman" w:hAnsi="Times New Roman" w:cs="Times New Roman"/>
          <w:sz w:val="20"/>
          <w:szCs w:val="20"/>
          <w:lang w:bidi="ar-EG"/>
        </w:rPr>
        <w:t>with control sample.</w:t>
      </w:r>
    </w:p>
    <w:p w:rsidR="000E109E" w:rsidRPr="0032790C" w:rsidRDefault="000E109E"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And by comparison test through using the least significant difference (LSD) the significant difference </w:t>
      </w:r>
      <w:r w:rsidR="003E1B4B" w:rsidRPr="0032790C">
        <w:rPr>
          <w:rFonts w:ascii="Times New Roman" w:hAnsi="Times New Roman" w:cs="Times New Roman"/>
          <w:sz w:val="20"/>
          <w:szCs w:val="20"/>
          <w:lang w:bidi="ar-EG"/>
        </w:rPr>
        <w:t>(</w:t>
      </w:r>
      <w:r w:rsidR="003E1B4B" w:rsidRPr="0032790C">
        <w:rPr>
          <w:rFonts w:ascii="Times New Roman" w:hAnsi="Times New Roman" w:cs="Times New Roman"/>
          <w:i/>
          <w:iCs/>
          <w:sz w:val="20"/>
          <w:szCs w:val="20"/>
          <w:lang w:bidi="ar-EG"/>
        </w:rPr>
        <w:t>P</w:t>
      </w:r>
      <w:r w:rsidR="003E1B4B" w:rsidRPr="0032790C">
        <w:rPr>
          <w:rFonts w:ascii="Times New Roman" w:hAnsi="Times New Roman" w:cs="Times New Roman"/>
          <w:sz w:val="20"/>
          <w:szCs w:val="20"/>
          <w:lang w:bidi="ar-EG"/>
        </w:rPr>
        <w:t>≤0.001)</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appeared in </w:t>
      </w:r>
      <w:r w:rsidR="00A312E4" w:rsidRPr="0032790C">
        <w:rPr>
          <w:rFonts w:ascii="Times New Roman" w:hAnsi="Times New Roman" w:cs="Times New Roman"/>
          <w:sz w:val="20"/>
          <w:szCs w:val="20"/>
          <w:lang w:bidi="ar-EG"/>
        </w:rPr>
        <w:t>the appearance mean for Hepatocellular carcinoma cell lines (HepG2) due to sub-acute treatment with propolis or with t</w:t>
      </w:r>
      <w:r w:rsidR="008C7EAF" w:rsidRPr="0032790C">
        <w:rPr>
          <w:rFonts w:ascii="Times New Roman" w:hAnsi="Times New Roman" w:cs="Times New Roman"/>
          <w:sz w:val="20"/>
          <w:szCs w:val="20"/>
          <w:lang w:bidi="ar-EG"/>
        </w:rPr>
        <w:t>h</w:t>
      </w:r>
      <w:r w:rsidR="00A312E4" w:rsidRPr="0032790C">
        <w:rPr>
          <w:rFonts w:ascii="Times New Roman" w:hAnsi="Times New Roman" w:cs="Times New Roman"/>
          <w:sz w:val="20"/>
          <w:szCs w:val="20"/>
          <w:lang w:bidi="ar-EG"/>
        </w:rPr>
        <w:t>e medicinal dose of drug and double treatment with propolis and drug on concentrations of 50,</w:t>
      </w:r>
      <w:r w:rsidR="006F7038" w:rsidRPr="0032790C">
        <w:rPr>
          <w:rFonts w:ascii="Times New Roman" w:hAnsi="Times New Roman" w:cs="Times New Roman" w:hint="eastAsia"/>
          <w:sz w:val="20"/>
          <w:szCs w:val="20"/>
          <w:lang w:eastAsia="zh-CN" w:bidi="ar-EG"/>
        </w:rPr>
        <w:t xml:space="preserve"> </w:t>
      </w:r>
      <w:r w:rsidR="00A312E4" w:rsidRPr="0032790C">
        <w:rPr>
          <w:rFonts w:ascii="Times New Roman" w:hAnsi="Times New Roman" w:cs="Times New Roman"/>
          <w:sz w:val="20"/>
          <w:szCs w:val="20"/>
          <w:lang w:bidi="ar-EG"/>
        </w:rPr>
        <w:t>100,</w:t>
      </w:r>
      <w:r w:rsidR="006F7038" w:rsidRPr="0032790C">
        <w:rPr>
          <w:rFonts w:ascii="Times New Roman" w:hAnsi="Times New Roman" w:cs="Times New Roman" w:hint="eastAsia"/>
          <w:sz w:val="20"/>
          <w:szCs w:val="20"/>
          <w:lang w:eastAsia="zh-CN" w:bidi="ar-EG"/>
        </w:rPr>
        <w:t xml:space="preserve"> </w:t>
      </w:r>
      <w:r w:rsidR="00A312E4" w:rsidRPr="0032790C">
        <w:rPr>
          <w:rFonts w:ascii="Times New Roman" w:hAnsi="Times New Roman" w:cs="Times New Roman"/>
          <w:sz w:val="20"/>
          <w:szCs w:val="20"/>
          <w:lang w:bidi="ar-EG"/>
        </w:rPr>
        <w:t>200</w:t>
      </w:r>
      <w:r w:rsidR="006F7038" w:rsidRPr="0032790C">
        <w:rPr>
          <w:rFonts w:ascii="Times New Roman" w:hAnsi="Times New Roman" w:cs="Times New Roman" w:hint="eastAsia"/>
          <w:sz w:val="20"/>
          <w:szCs w:val="20"/>
          <w:lang w:eastAsia="zh-CN" w:bidi="ar-EG"/>
        </w:rPr>
        <w:t xml:space="preserve"> </w:t>
      </w:r>
      <w:r w:rsidR="00A312E4" w:rsidRPr="0032790C">
        <w:rPr>
          <w:rFonts w:ascii="Times New Roman" w:hAnsi="Times New Roman" w:cs="Times New Roman"/>
          <w:sz w:val="20"/>
          <w:szCs w:val="20"/>
          <w:lang w:bidi="ar-EG"/>
        </w:rPr>
        <w:t>µg/ml.</w:t>
      </w:r>
      <w:r w:rsidR="006F7038" w:rsidRPr="0032790C">
        <w:rPr>
          <w:rFonts w:ascii="Times New Roman" w:hAnsi="Times New Roman" w:cs="Times New Roman" w:hint="eastAsia"/>
          <w:sz w:val="20"/>
          <w:szCs w:val="20"/>
          <w:lang w:eastAsia="zh-CN" w:bidi="ar-EG"/>
        </w:rPr>
        <w:t xml:space="preserve"> </w:t>
      </w:r>
      <w:r w:rsidR="00A312E4" w:rsidRPr="0032790C">
        <w:rPr>
          <w:rFonts w:ascii="Times New Roman" w:hAnsi="Times New Roman" w:cs="Times New Roman"/>
          <w:sz w:val="20"/>
          <w:szCs w:val="20"/>
          <w:lang w:bidi="ar-EG"/>
        </w:rPr>
        <w:t>(Fig:13).</w:t>
      </w:r>
    </w:p>
    <w:p w:rsidR="00A312E4" w:rsidRPr="0032790C" w:rsidRDefault="00A312E4" w:rsidP="00294C32">
      <w:pPr>
        <w:pStyle w:val="ListParagraph"/>
        <w:bidi w:val="0"/>
        <w:adjustRightInd w:val="0"/>
        <w:snapToGrid w:val="0"/>
        <w:spacing w:after="0" w:line="240" w:lineRule="auto"/>
        <w:ind w:left="0" w:firstLine="425"/>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Hence, the order of treatments in terms of its</w:t>
      </w:r>
      <w:r w:rsidR="00F06A73" w:rsidRPr="0032790C">
        <w:rPr>
          <w:rFonts w:ascii="Times New Roman" w:hAnsi="Times New Roman" w:cs="Times New Roman"/>
          <w:sz w:val="20"/>
          <w:szCs w:val="20"/>
          <w:lang w:bidi="ar-EG"/>
        </w:rPr>
        <w:t xml:space="preserve"> high</w:t>
      </w:r>
      <w:r w:rsidRPr="0032790C">
        <w:rPr>
          <w:rFonts w:ascii="Times New Roman" w:hAnsi="Times New Roman" w:cs="Times New Roman"/>
          <w:sz w:val="20"/>
          <w:szCs w:val="20"/>
          <w:lang w:bidi="ar-EG"/>
        </w:rPr>
        <w:t xml:space="preserve"> impaction in lowering</w:t>
      </w:r>
      <w:r w:rsidR="00F06A73" w:rsidRPr="0032790C">
        <w:rPr>
          <w:rFonts w:ascii="Times New Roman" w:hAnsi="Times New Roman" w:cs="Times New Roman"/>
          <w:sz w:val="20"/>
          <w:szCs w:val="20"/>
          <w:lang w:bidi="ar-EG"/>
        </w:rPr>
        <w:t>the appearance mean for Hepatocellular carcinoma cell lines (HepG</w:t>
      </w:r>
      <w:r w:rsidR="003E1B4B" w:rsidRPr="0032790C">
        <w:rPr>
          <w:rFonts w:ascii="Times New Roman" w:hAnsi="Times New Roman" w:cs="Times New Roman"/>
          <w:sz w:val="20"/>
          <w:szCs w:val="20"/>
          <w:lang w:bidi="ar-EG"/>
        </w:rPr>
        <w:t>2) on</w:t>
      </w:r>
      <w:r w:rsidR="0032790C">
        <w:rPr>
          <w:rFonts w:ascii="Times New Roman" w:hAnsi="Times New Roman" w:cs="Times New Roman"/>
          <w:sz w:val="20"/>
          <w:szCs w:val="20"/>
          <w:lang w:bidi="ar-EG"/>
        </w:rPr>
        <w:t xml:space="preserve"> </w:t>
      </w:r>
      <w:r w:rsidR="003E1B4B" w:rsidRPr="0032790C">
        <w:rPr>
          <w:rFonts w:ascii="Times New Roman" w:hAnsi="Times New Roman" w:cs="Times New Roman"/>
          <w:sz w:val="20"/>
          <w:szCs w:val="20"/>
          <w:lang w:bidi="ar-EG"/>
        </w:rPr>
        <w:t>concentrations of 50,</w:t>
      </w:r>
      <w:r w:rsidR="006F7038" w:rsidRPr="0032790C">
        <w:rPr>
          <w:rFonts w:ascii="Times New Roman" w:hAnsi="Times New Roman" w:cs="Times New Roman" w:hint="eastAsia"/>
          <w:sz w:val="20"/>
          <w:szCs w:val="20"/>
          <w:lang w:eastAsia="zh-CN" w:bidi="ar-EG"/>
        </w:rPr>
        <w:t xml:space="preserve"> </w:t>
      </w:r>
      <w:r w:rsidR="00F06A73" w:rsidRPr="0032790C">
        <w:rPr>
          <w:rFonts w:ascii="Times New Roman" w:hAnsi="Times New Roman" w:cs="Times New Roman"/>
          <w:sz w:val="20"/>
          <w:szCs w:val="20"/>
          <w:lang w:bidi="ar-EG"/>
        </w:rPr>
        <w:t>200 µg/ml</w:t>
      </w:r>
      <w:r w:rsidR="008C7EAF" w:rsidRPr="0032790C">
        <w:rPr>
          <w:rFonts w:ascii="Times New Roman" w:hAnsi="Times New Roman" w:cs="Times New Roman"/>
          <w:sz w:val="20"/>
          <w:szCs w:val="20"/>
          <w:lang w:bidi="ar-EG"/>
        </w:rPr>
        <w:t xml:space="preserve"> is</w:t>
      </w:r>
      <w:r w:rsidR="00F06A73" w:rsidRPr="0032790C">
        <w:rPr>
          <w:rFonts w:ascii="Times New Roman" w:hAnsi="Times New Roman" w:cs="Times New Roman"/>
          <w:sz w:val="20"/>
          <w:szCs w:val="20"/>
          <w:lang w:bidi="ar-EG"/>
        </w:rPr>
        <w:t xml:space="preserve"> as follows:</w:t>
      </w:r>
    </w:p>
    <w:p w:rsidR="00F06A73" w:rsidRPr="0032790C" w:rsidRDefault="003E1B4B" w:rsidP="00294C32">
      <w:pPr>
        <w:bidi w:val="0"/>
        <w:adjustRightInd w:val="0"/>
        <w:snapToGrid w:val="0"/>
        <w:spacing w:after="0" w:line="240" w:lineRule="auto"/>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Dacarbazine t</w:t>
      </w:r>
      <w:r w:rsidR="00F06A73" w:rsidRPr="0032790C">
        <w:rPr>
          <w:rFonts w:ascii="Times New Roman" w:hAnsi="Times New Roman" w:cs="Times New Roman"/>
          <w:b/>
          <w:bCs/>
          <w:sz w:val="20"/>
          <w:szCs w:val="20"/>
          <w:lang w:bidi="ar-EG"/>
        </w:rPr>
        <w:t xml:space="preserve">reatment </w:t>
      </w:r>
      <w:r w:rsidR="00F06A73" w:rsidRPr="0032790C">
        <w:rPr>
          <w:rFonts w:ascii="Times New Roman" w:hAnsi="Times New Roman" w:cs="Times New Roman"/>
          <w:b/>
          <w:bCs/>
          <w:sz w:val="20"/>
          <w:szCs w:val="20"/>
          <w:rtl/>
          <w:lang w:bidi="ar-EG"/>
        </w:rPr>
        <w:t>&lt;</w:t>
      </w:r>
      <w:r w:rsidR="00F06A73" w:rsidRPr="0032790C">
        <w:rPr>
          <w:rFonts w:ascii="Times New Roman" w:hAnsi="Times New Roman" w:cs="Times New Roman"/>
          <w:b/>
          <w:bCs/>
          <w:sz w:val="20"/>
          <w:szCs w:val="20"/>
          <w:lang w:bidi="ar-EG"/>
        </w:rPr>
        <w:t>double treatment</w:t>
      </w:r>
      <w:r w:rsidR="00F06A73" w:rsidRPr="0032790C">
        <w:rPr>
          <w:rFonts w:ascii="Times New Roman" w:hAnsi="Times New Roman" w:cs="Times New Roman"/>
          <w:b/>
          <w:bCs/>
          <w:sz w:val="20"/>
          <w:szCs w:val="20"/>
          <w:rtl/>
          <w:lang w:bidi="ar-EG"/>
        </w:rPr>
        <w:t>&lt;</w:t>
      </w:r>
      <w:r w:rsidR="00F06A73" w:rsidRPr="0032790C">
        <w:rPr>
          <w:rFonts w:ascii="Times New Roman" w:hAnsi="Times New Roman" w:cs="Times New Roman"/>
          <w:b/>
          <w:bCs/>
          <w:sz w:val="20"/>
          <w:szCs w:val="20"/>
          <w:lang w:bidi="ar-EG"/>
        </w:rPr>
        <w:t xml:space="preserve"> propolis</w:t>
      </w:r>
      <w:r w:rsidRPr="0032790C">
        <w:rPr>
          <w:rFonts w:ascii="Times New Roman" w:hAnsi="Times New Roman" w:cs="Times New Roman"/>
          <w:b/>
          <w:bCs/>
          <w:sz w:val="20"/>
          <w:szCs w:val="20"/>
          <w:lang w:bidi="ar-EG"/>
        </w:rPr>
        <w:t xml:space="preserve"> treatment</w:t>
      </w:r>
    </w:p>
    <w:p w:rsidR="00F06A73" w:rsidRPr="0032790C" w:rsidRDefault="00F06A73"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While, the order of treatments in terms of its high impaction in lowering the appearance mean for Hepatocellular carcinoma cell lines (HepG2) on</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concentration of 100 µg/ml as follows:</w:t>
      </w:r>
    </w:p>
    <w:p w:rsidR="00F06A73" w:rsidRPr="0032790C" w:rsidRDefault="00F06A73" w:rsidP="00294C32">
      <w:pPr>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Double treatment</w:t>
      </w:r>
      <w:r w:rsidRPr="0032790C">
        <w:rPr>
          <w:rFonts w:ascii="Times New Roman" w:hAnsi="Times New Roman" w:cs="Times New Roman"/>
          <w:sz w:val="20"/>
          <w:szCs w:val="20"/>
          <w:rtl/>
          <w:lang w:bidi="ar-EG"/>
        </w:rPr>
        <w:t>&lt;</w:t>
      </w:r>
      <w:r w:rsidR="003E1B4B" w:rsidRPr="0032790C">
        <w:rPr>
          <w:rFonts w:ascii="Times New Roman" w:hAnsi="Times New Roman" w:cs="Times New Roman"/>
          <w:sz w:val="20"/>
          <w:szCs w:val="20"/>
          <w:lang w:bidi="ar-EG"/>
        </w:rPr>
        <w:t xml:space="preserve"> Dacarbazine </w:t>
      </w:r>
      <w:r w:rsidRPr="0032790C">
        <w:rPr>
          <w:rFonts w:ascii="Times New Roman" w:hAnsi="Times New Roman" w:cs="Times New Roman"/>
          <w:sz w:val="20"/>
          <w:szCs w:val="20"/>
          <w:lang w:bidi="ar-EG"/>
        </w:rPr>
        <w:t xml:space="preserve">treatment </w:t>
      </w:r>
      <w:r w:rsidRPr="0032790C">
        <w:rPr>
          <w:rFonts w:ascii="Times New Roman" w:hAnsi="Times New Roman" w:cs="Times New Roman"/>
          <w:sz w:val="20"/>
          <w:szCs w:val="20"/>
          <w:rtl/>
          <w:lang w:bidi="ar-EG"/>
        </w:rPr>
        <w:t>&lt;</w:t>
      </w:r>
      <w:r w:rsidR="003E1B4B" w:rsidRPr="0032790C">
        <w:rPr>
          <w:rFonts w:ascii="Times New Roman" w:hAnsi="Times New Roman" w:cs="Times New Roman"/>
          <w:sz w:val="20"/>
          <w:szCs w:val="20"/>
          <w:lang w:bidi="ar-EG"/>
        </w:rPr>
        <w:t xml:space="preserve"> propolis treatment</w:t>
      </w:r>
    </w:p>
    <w:p w:rsidR="00F06A73" w:rsidRPr="0032790C" w:rsidRDefault="00F06A73" w:rsidP="00294C32">
      <w:pPr>
        <w:bidi w:val="0"/>
        <w:adjustRightInd w:val="0"/>
        <w:snapToGrid w:val="0"/>
        <w:spacing w:after="0" w:line="240" w:lineRule="auto"/>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 xml:space="preserve">and the sub-acute double treatment with both propolis and </w:t>
      </w:r>
      <w:r w:rsidRPr="0032790C">
        <w:rPr>
          <w:rFonts w:ascii="Times New Roman" w:hAnsi="Times New Roman" w:cs="Times New Roman"/>
          <w:b/>
          <w:bCs/>
          <w:sz w:val="20"/>
          <w:szCs w:val="20"/>
          <w:lang w:bidi="ar-EG"/>
        </w:rPr>
        <w:lastRenderedPageBreak/>
        <w:t xml:space="preserve">Dacarbazine effect on the </w:t>
      </w:r>
      <w:r w:rsidR="009F3692" w:rsidRPr="0032790C">
        <w:rPr>
          <w:rFonts w:ascii="Times New Roman" w:hAnsi="Times New Roman" w:cs="Times New Roman"/>
          <w:b/>
          <w:bCs/>
          <w:sz w:val="20"/>
          <w:szCs w:val="20"/>
          <w:lang w:bidi="ar-EG"/>
        </w:rPr>
        <w:t>value of (IC</w:t>
      </w:r>
      <w:r w:rsidR="009F3692" w:rsidRPr="0032790C">
        <w:rPr>
          <w:rFonts w:ascii="Times New Roman" w:hAnsi="Times New Roman" w:cs="Times New Roman"/>
          <w:b/>
          <w:bCs/>
          <w:sz w:val="20"/>
          <w:szCs w:val="20"/>
          <w:vertAlign w:val="subscript"/>
          <w:lang w:bidi="ar-EG"/>
        </w:rPr>
        <w:t>50</w:t>
      </w:r>
      <w:r w:rsidR="009F3692" w:rsidRPr="0032790C">
        <w:rPr>
          <w:rFonts w:ascii="Times New Roman" w:hAnsi="Times New Roman" w:cs="Times New Roman"/>
          <w:b/>
          <w:bCs/>
          <w:sz w:val="20"/>
          <w:szCs w:val="20"/>
          <w:lang w:bidi="ar-EG"/>
        </w:rPr>
        <w:t>) and (IC</w:t>
      </w:r>
      <w:r w:rsidR="009F3692" w:rsidRPr="0032790C">
        <w:rPr>
          <w:rFonts w:ascii="Times New Roman" w:hAnsi="Times New Roman" w:cs="Times New Roman"/>
          <w:b/>
          <w:bCs/>
          <w:sz w:val="20"/>
          <w:szCs w:val="20"/>
          <w:vertAlign w:val="subscript"/>
          <w:lang w:bidi="ar-EG"/>
        </w:rPr>
        <w:t>90</w:t>
      </w:r>
      <w:r w:rsidR="009F3692" w:rsidRPr="0032790C">
        <w:rPr>
          <w:rFonts w:ascii="Times New Roman" w:hAnsi="Times New Roman" w:cs="Times New Roman"/>
          <w:b/>
          <w:bCs/>
          <w:sz w:val="20"/>
          <w:szCs w:val="20"/>
          <w:lang w:bidi="ar-EG"/>
        </w:rPr>
        <w:t>) after 72 hours.</w:t>
      </w:r>
    </w:p>
    <w:p w:rsidR="00D708DB" w:rsidRPr="0032790C" w:rsidRDefault="00D708DB" w:rsidP="00294C32">
      <w:pPr>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 xml:space="preserve">With microscopic examination </w:t>
      </w:r>
      <w:r w:rsidRPr="0032790C">
        <w:rPr>
          <w:rFonts w:ascii="Times New Roman" w:hAnsi="Times New Roman" w:cs="Times New Roman"/>
          <w:i/>
          <w:iCs/>
          <w:sz w:val="20"/>
          <w:szCs w:val="20"/>
          <w:lang w:bidi="ar-EG"/>
        </w:rPr>
        <w:t>in vitro</w:t>
      </w:r>
      <w:r w:rsidRPr="0032790C">
        <w:rPr>
          <w:rFonts w:ascii="Times New Roman" w:hAnsi="Times New Roman" w:cs="Times New Roman"/>
          <w:sz w:val="20"/>
          <w:szCs w:val="20"/>
          <w:lang w:bidi="ar-EG"/>
        </w:rPr>
        <w:t xml:space="preserve"> for Hepatocellular cell lines (HepG2) after incubation for 72 hours it became possible to identify the morphological effects (Fig:2). As the indicators of apoptosis raised by increasing the morphological changes </w:t>
      </w:r>
      <w:r w:rsidR="00FE3FDC" w:rsidRPr="0032790C">
        <w:rPr>
          <w:rFonts w:ascii="Times New Roman" w:hAnsi="Times New Roman" w:cs="Times New Roman"/>
          <w:sz w:val="20"/>
          <w:szCs w:val="20"/>
          <w:lang w:bidi="ar-EG"/>
        </w:rPr>
        <w:t>in terms of size increasing</w:t>
      </w:r>
      <w:r w:rsidR="0032790C" w:rsidRPr="0032790C">
        <w:rPr>
          <w:rFonts w:ascii="Times New Roman" w:hAnsi="Times New Roman" w:cs="Times New Roman"/>
          <w:sz w:val="20"/>
          <w:szCs w:val="20"/>
          <w:lang w:bidi="ar-EG"/>
        </w:rPr>
        <w:t>,</w:t>
      </w:r>
      <w:r w:rsidR="00FE3FDC" w:rsidRPr="0032790C">
        <w:rPr>
          <w:rFonts w:ascii="Times New Roman" w:hAnsi="Times New Roman" w:cs="Times New Roman"/>
          <w:sz w:val="20"/>
          <w:szCs w:val="20"/>
          <w:lang w:bidi="ar-EG"/>
        </w:rPr>
        <w:t xml:space="preserve"> contents egress due to rupture of their membranes, nuclear condensation and cytoplasm shrinkage</w:t>
      </w:r>
      <w:r w:rsidR="0032790C">
        <w:rPr>
          <w:rFonts w:ascii="Times New Roman" w:hAnsi="Times New Roman" w:cs="Times New Roman"/>
          <w:sz w:val="20"/>
          <w:szCs w:val="20"/>
          <w:lang w:bidi="ar-EG"/>
        </w:rPr>
        <w:t xml:space="preserve"> </w:t>
      </w:r>
      <w:r w:rsidR="00FE3FDC" w:rsidRPr="0032790C">
        <w:rPr>
          <w:rFonts w:ascii="Times New Roman" w:hAnsi="Times New Roman" w:cs="Times New Roman"/>
          <w:sz w:val="20"/>
          <w:szCs w:val="20"/>
          <w:lang w:bidi="ar-EG"/>
        </w:rPr>
        <w:t xml:space="preserve">also the count and vitality of cancerous cells decreased compared to </w:t>
      </w:r>
      <w:r w:rsidR="001A4976" w:rsidRPr="0032790C">
        <w:rPr>
          <w:rFonts w:ascii="Times New Roman" w:hAnsi="Times New Roman" w:cs="Times New Roman"/>
          <w:sz w:val="20"/>
          <w:szCs w:val="20"/>
          <w:lang w:bidi="ar-EG"/>
        </w:rPr>
        <w:t>cells morphology when incubated for 48 hours and also compared to control sample,</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inhibitory effect that kills the half of cells (IC</w:t>
      </w:r>
      <w:r w:rsidRPr="0032790C">
        <w:rPr>
          <w:rFonts w:ascii="Times New Roman" w:hAnsi="Times New Roman" w:cs="Times New Roman"/>
          <w:sz w:val="20"/>
          <w:szCs w:val="20"/>
          <w:vertAlign w:val="subscript"/>
          <w:lang w:bidi="ar-EG"/>
        </w:rPr>
        <w:t>50</w:t>
      </w:r>
      <w:r w:rsidRPr="0032790C">
        <w:rPr>
          <w:rFonts w:ascii="Times New Roman" w:hAnsi="Times New Roman" w:cs="Times New Roman"/>
          <w:sz w:val="20"/>
          <w:szCs w:val="20"/>
          <w:lang w:bidi="ar-EG"/>
        </w:rPr>
        <w:t>) was calculated for each treatment with 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drug and double treatment with both propolis and Dacarbazine and it was equal to</w:t>
      </w:r>
      <w:r w:rsidR="001A4976" w:rsidRPr="0032790C">
        <w:rPr>
          <w:rFonts w:ascii="Times New Roman" w:hAnsi="Times New Roman" w:cs="Times New Roman"/>
          <w:sz w:val="20"/>
          <w:szCs w:val="20"/>
          <w:lang w:bidi="ar-EG"/>
        </w:rPr>
        <w:t xml:space="preserve"> </w:t>
      </w:r>
      <w:r w:rsidR="00EF699A" w:rsidRPr="0032790C">
        <w:rPr>
          <w:rFonts w:ascii="Times New Roman" w:hAnsi="Times New Roman" w:cs="Times New Roman"/>
          <w:sz w:val="20"/>
          <w:szCs w:val="20"/>
          <w:lang w:bidi="ar-EG"/>
        </w:rPr>
        <w:t xml:space="preserve">246,213, </w:t>
      </w:r>
      <w:r w:rsidR="001A4976" w:rsidRPr="0032790C">
        <w:rPr>
          <w:rFonts w:ascii="Times New Roman" w:hAnsi="Times New Roman" w:cs="Times New Roman"/>
          <w:sz w:val="20"/>
          <w:szCs w:val="20"/>
          <w:lang w:bidi="ar-EG"/>
        </w:rPr>
        <w:t xml:space="preserve">239µg/ml </w:t>
      </w:r>
      <w:r w:rsidRPr="0032790C">
        <w:rPr>
          <w:rFonts w:ascii="Times New Roman" w:hAnsi="Times New Roman" w:cs="Times New Roman"/>
          <w:sz w:val="20"/>
          <w:szCs w:val="20"/>
          <w:lang w:bidi="ar-EG"/>
        </w:rPr>
        <w:t>respectively, while the value of killing concentration for 90% of (IC</w:t>
      </w:r>
      <w:r w:rsidRPr="0032790C">
        <w:rPr>
          <w:rFonts w:ascii="Times New Roman" w:hAnsi="Times New Roman" w:cs="Times New Roman"/>
          <w:sz w:val="20"/>
          <w:szCs w:val="20"/>
          <w:vertAlign w:val="subscript"/>
          <w:lang w:bidi="ar-EG"/>
        </w:rPr>
        <w:t>90</w:t>
      </w:r>
      <w:r w:rsidRPr="0032790C">
        <w:rPr>
          <w:rFonts w:ascii="Times New Roman" w:hAnsi="Times New Roman" w:cs="Times New Roman"/>
          <w:sz w:val="20"/>
          <w:szCs w:val="20"/>
          <w:lang w:bidi="ar-EG"/>
        </w:rPr>
        <w:t xml:space="preserve">) cells for multiple treatments was </w:t>
      </w:r>
      <w:r w:rsidR="001A4976" w:rsidRPr="0032790C">
        <w:rPr>
          <w:rFonts w:ascii="Times New Roman" w:hAnsi="Times New Roman" w:cs="Times New Roman"/>
          <w:sz w:val="20"/>
          <w:szCs w:val="20"/>
          <w:lang w:bidi="ar-EG"/>
        </w:rPr>
        <w:t>646,</w:t>
      </w:r>
      <w:r w:rsidR="006F7038" w:rsidRPr="0032790C">
        <w:rPr>
          <w:rFonts w:ascii="Times New Roman" w:hAnsi="Times New Roman" w:cs="Times New Roman" w:hint="eastAsia"/>
          <w:sz w:val="20"/>
          <w:szCs w:val="20"/>
          <w:lang w:eastAsia="zh-CN" w:bidi="ar-EG"/>
        </w:rPr>
        <w:t xml:space="preserve"> </w:t>
      </w:r>
      <w:r w:rsidR="001A4976" w:rsidRPr="0032790C">
        <w:rPr>
          <w:rFonts w:ascii="Times New Roman" w:hAnsi="Times New Roman" w:cs="Times New Roman"/>
          <w:sz w:val="20"/>
          <w:szCs w:val="20"/>
          <w:lang w:bidi="ar-EG"/>
        </w:rPr>
        <w:t>613,</w:t>
      </w:r>
      <w:r w:rsidR="006F7038" w:rsidRPr="0032790C">
        <w:rPr>
          <w:rFonts w:ascii="Times New Roman" w:hAnsi="Times New Roman" w:cs="Times New Roman" w:hint="eastAsia"/>
          <w:sz w:val="20"/>
          <w:szCs w:val="20"/>
          <w:lang w:eastAsia="zh-CN" w:bidi="ar-EG"/>
        </w:rPr>
        <w:t xml:space="preserve"> </w:t>
      </w:r>
      <w:r w:rsidR="001A4976" w:rsidRPr="0032790C">
        <w:rPr>
          <w:rFonts w:ascii="Times New Roman" w:hAnsi="Times New Roman" w:cs="Times New Roman"/>
          <w:sz w:val="20"/>
          <w:szCs w:val="20"/>
          <w:lang w:bidi="ar-EG"/>
        </w:rPr>
        <w:t xml:space="preserve">639 </w:t>
      </w:r>
      <w:r w:rsidRPr="0032790C">
        <w:rPr>
          <w:rFonts w:ascii="Times New Roman" w:hAnsi="Times New Roman" w:cs="Times New Roman"/>
          <w:sz w:val="20"/>
          <w:szCs w:val="20"/>
          <w:lang w:bidi="ar-EG"/>
        </w:rPr>
        <w:t xml:space="preserve">µg/ml respectively </w:t>
      </w:r>
      <w:r w:rsidR="001A4976" w:rsidRPr="0032790C">
        <w:rPr>
          <w:rFonts w:ascii="Times New Roman" w:hAnsi="Times New Roman" w:cs="Times New Roman"/>
          <w:sz w:val="20"/>
          <w:szCs w:val="20"/>
          <w:lang w:bidi="ar-EG"/>
        </w:rPr>
        <w:t>(Fig: 10).</w:t>
      </w:r>
    </w:p>
    <w:p w:rsidR="001A4976" w:rsidRPr="0032790C" w:rsidRDefault="001A4976" w:rsidP="00294C32">
      <w:pPr>
        <w:bidi w:val="0"/>
        <w:adjustRightInd w:val="0"/>
        <w:snapToGrid w:val="0"/>
        <w:spacing w:after="0" w:line="240" w:lineRule="auto"/>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 both propolis and Dacarbazine effect on the appearance mean for Hepatocellular carcinoma cell lines (HepG2) after 72 hours on concentration of (50 µg/ml):</w:t>
      </w:r>
    </w:p>
    <w:p w:rsidR="00FD412F" w:rsidRPr="0032790C" w:rsidRDefault="001A4976" w:rsidP="00294C32">
      <w:pPr>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The results obtained from (</w:t>
      </w:r>
      <w:r w:rsidR="00EF699A"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 xml:space="preserve">:2) shows that the treatment with propolis, Dacarbazine drug and the double treatment with propolis and Dacarbazine caused a significant decrease in the appearance mean for Hepatocellular carcinoma cell lines (HepG2) so their values were </w:t>
      </w:r>
      <w:r w:rsidR="00FD412F" w:rsidRPr="0032790C">
        <w:rPr>
          <w:rFonts w:ascii="Times New Roman" w:hAnsi="Times New Roman" w:cs="Times New Roman"/>
          <w:sz w:val="20"/>
          <w:szCs w:val="20"/>
          <w:lang w:bidi="ar-EG"/>
        </w:rPr>
        <w:t>(0.224±0.007</w:t>
      </w:r>
      <w:r w:rsidR="0032790C" w:rsidRPr="0032790C">
        <w:rPr>
          <w:rFonts w:ascii="Times New Roman" w:hAnsi="Times New Roman" w:cs="Times New Roman"/>
          <w:sz w:val="20"/>
          <w:szCs w:val="20"/>
          <w:lang w:bidi="ar-EG"/>
        </w:rPr>
        <w:t>,</w:t>
      </w:r>
      <w:r w:rsidR="00FD412F" w:rsidRPr="0032790C">
        <w:rPr>
          <w:rFonts w:ascii="Times New Roman" w:hAnsi="Times New Roman" w:cs="Times New Roman"/>
          <w:sz w:val="20"/>
          <w:szCs w:val="20"/>
          <w:lang w:bidi="ar-EG"/>
        </w:rPr>
        <w:t xml:space="preserve"> 0.191±0.006</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00FD412F" w:rsidRPr="0032790C">
        <w:rPr>
          <w:rFonts w:ascii="Times New Roman" w:hAnsi="Times New Roman" w:cs="Times New Roman"/>
          <w:sz w:val="20"/>
          <w:szCs w:val="20"/>
          <w:lang w:bidi="ar-EG"/>
        </w:rPr>
        <w:t xml:space="preserve">0.199±0.010) </w:t>
      </w:r>
      <w:r w:rsidRPr="0032790C">
        <w:rPr>
          <w:rFonts w:ascii="Times New Roman" w:hAnsi="Times New Roman" w:cs="Times New Roman"/>
          <w:sz w:val="20"/>
          <w:szCs w:val="20"/>
          <w:lang w:bidi="ar-EG"/>
        </w:rPr>
        <w:t xml:space="preserve">respectively compared with control sample mean </w:t>
      </w:r>
      <w:r w:rsidR="00FD412F" w:rsidRPr="0032790C">
        <w:rPr>
          <w:rFonts w:ascii="Times New Roman" w:hAnsi="Times New Roman" w:cs="Times New Roman"/>
          <w:sz w:val="20"/>
          <w:szCs w:val="20"/>
          <w:lang w:bidi="ar-EG"/>
        </w:rPr>
        <w:t>(0.551±0.009</w:t>
      </w:r>
      <w:r w:rsidRPr="0032790C">
        <w:rPr>
          <w:rFonts w:ascii="Times New Roman" w:hAnsi="Times New Roman" w:cs="Times New Roman"/>
          <w:sz w:val="20"/>
          <w:szCs w:val="20"/>
          <w:lang w:bidi="ar-EG"/>
        </w:rPr>
        <w:t>), as the mean treatment with drug and the mean double treatment were close, while it was slightly increased wh</w:t>
      </w:r>
      <w:r w:rsidR="00FD412F" w:rsidRPr="0032790C">
        <w:rPr>
          <w:rFonts w:ascii="Times New Roman" w:hAnsi="Times New Roman" w:cs="Times New Roman"/>
          <w:sz w:val="20"/>
          <w:szCs w:val="20"/>
          <w:lang w:bidi="ar-EG"/>
        </w:rPr>
        <w:t>en treated with propolis (</w:t>
      </w:r>
      <w:r w:rsidR="00292E7A" w:rsidRPr="0032790C">
        <w:rPr>
          <w:rFonts w:ascii="Times New Roman" w:hAnsi="Times New Roman" w:cs="Times New Roman"/>
          <w:sz w:val="20"/>
          <w:szCs w:val="20"/>
          <w:lang w:bidi="ar-EG"/>
        </w:rPr>
        <w:t>F</w:t>
      </w:r>
      <w:r w:rsidR="00FD412F" w:rsidRPr="0032790C">
        <w:rPr>
          <w:rFonts w:ascii="Times New Roman" w:hAnsi="Times New Roman" w:cs="Times New Roman"/>
          <w:sz w:val="20"/>
          <w:szCs w:val="20"/>
          <w:lang w:bidi="ar-EG"/>
        </w:rPr>
        <w:t>ig: 8</w:t>
      </w:r>
      <w:r w:rsidRPr="0032790C">
        <w:rPr>
          <w:rFonts w:ascii="Times New Roman" w:hAnsi="Times New Roman" w:cs="Times New Roman"/>
          <w:sz w:val="20"/>
          <w:szCs w:val="20"/>
          <w:lang w:bidi="ar-EG"/>
        </w:rPr>
        <w:t>), when calculating the inhibition ratio of cancer cells (HepG2) as a result of multiple treatments it was</w:t>
      </w:r>
      <w:r w:rsidR="00EF699A" w:rsidRPr="0032790C">
        <w:rPr>
          <w:rFonts w:ascii="Times New Roman" w:hAnsi="Times New Roman" w:cs="Times New Roman"/>
          <w:sz w:val="20"/>
          <w:szCs w:val="20"/>
          <w:lang w:bidi="ar-EG"/>
        </w:rPr>
        <w:t xml:space="preserve"> 59.27%</w:t>
      </w:r>
      <w:r w:rsidR="0032790C" w:rsidRPr="0032790C">
        <w:rPr>
          <w:rFonts w:ascii="Times New Roman" w:hAnsi="Times New Roman" w:cs="Times New Roman"/>
          <w:sz w:val="20"/>
          <w:szCs w:val="20"/>
          <w:lang w:bidi="ar-EG"/>
        </w:rPr>
        <w:t>,</w:t>
      </w:r>
      <w:r w:rsidR="00EF699A" w:rsidRPr="0032790C">
        <w:rPr>
          <w:rFonts w:ascii="Times New Roman" w:hAnsi="Times New Roman" w:cs="Times New Roman"/>
          <w:sz w:val="20"/>
          <w:szCs w:val="20"/>
          <w:lang w:bidi="ar-EG"/>
        </w:rPr>
        <w:t xml:space="preserve"> 65.46%</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00FD412F" w:rsidRPr="0032790C">
        <w:rPr>
          <w:rFonts w:ascii="Times New Roman" w:hAnsi="Times New Roman" w:cs="Times New Roman"/>
          <w:sz w:val="20"/>
          <w:szCs w:val="20"/>
          <w:lang w:bidi="ar-EG"/>
        </w:rPr>
        <w:t>64.00</w:t>
      </w:r>
      <w:r w:rsidR="00EF699A"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respectively.</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 xml:space="preserve">Pointing out that the highest value recorded was for drug treatment then double treatment and then </w:t>
      </w:r>
      <w:r w:rsidR="00FD412F" w:rsidRPr="0032790C">
        <w:rPr>
          <w:rFonts w:ascii="Times New Roman" w:hAnsi="Times New Roman" w:cs="Times New Roman"/>
          <w:sz w:val="20"/>
          <w:szCs w:val="20"/>
          <w:lang w:bidi="ar-EG"/>
        </w:rPr>
        <w:t>treatment with propolis (Fig: 12</w:t>
      </w:r>
      <w:r w:rsidRPr="0032790C">
        <w:rPr>
          <w:rFonts w:ascii="Times New Roman" w:hAnsi="Times New Roman" w:cs="Times New Roman"/>
          <w:sz w:val="20"/>
          <w:szCs w:val="20"/>
          <w:lang w:bidi="ar-EG"/>
        </w:rPr>
        <w:t>). And the inhibition ratio was inversely proportional to the rate of absorbance and vitality, as the rate of absorbance and vitality increased the rate</w:t>
      </w:r>
      <w:r w:rsidR="00FD412F" w:rsidRPr="0032790C">
        <w:rPr>
          <w:rFonts w:ascii="Times New Roman" w:hAnsi="Times New Roman" w:cs="Times New Roman"/>
          <w:sz w:val="20"/>
          <w:szCs w:val="20"/>
          <w:lang w:bidi="ar-EG"/>
        </w:rPr>
        <w:t xml:space="preserve"> of inhibition decreased. (Fig</w:t>
      </w:r>
      <w:r w:rsidR="00E40711" w:rsidRPr="0032790C">
        <w:rPr>
          <w:rFonts w:ascii="Times New Roman" w:hAnsi="Times New Roman" w:cs="Times New Roman"/>
          <w:sz w:val="20"/>
          <w:szCs w:val="20"/>
          <w:lang w:bidi="ar-EG"/>
        </w:rPr>
        <w:t>s</w:t>
      </w:r>
      <w:r w:rsidR="00FD412F" w:rsidRPr="0032790C">
        <w:rPr>
          <w:rFonts w:ascii="Times New Roman" w:hAnsi="Times New Roman" w:cs="Times New Roman"/>
          <w:sz w:val="20"/>
          <w:szCs w:val="20"/>
          <w:lang w:bidi="ar-EG"/>
        </w:rPr>
        <w:t>: 4</w:t>
      </w:r>
      <w:r w:rsidR="00EF699A" w:rsidRPr="0032790C">
        <w:rPr>
          <w:rFonts w:ascii="Times New Roman" w:hAnsi="Times New Roman" w:cs="Times New Roman"/>
          <w:sz w:val="20"/>
          <w:szCs w:val="20"/>
          <w:lang w:bidi="ar-EG"/>
        </w:rPr>
        <w:t>&amp;</w:t>
      </w:r>
      <w:r w:rsidR="00FD412F" w:rsidRPr="0032790C">
        <w:rPr>
          <w:rFonts w:ascii="Times New Roman" w:hAnsi="Times New Roman" w:cs="Times New Roman"/>
          <w:sz w:val="20"/>
          <w:szCs w:val="20"/>
          <w:lang w:bidi="ar-EG"/>
        </w:rPr>
        <w:t xml:space="preserve"> 6).</w:t>
      </w:r>
    </w:p>
    <w:p w:rsidR="00FD412F" w:rsidRPr="0032790C" w:rsidRDefault="00FD412F" w:rsidP="00294C32">
      <w:pPr>
        <w:bidi w:val="0"/>
        <w:adjustRightInd w:val="0"/>
        <w:snapToGrid w:val="0"/>
        <w:spacing w:after="0" w:line="240" w:lineRule="auto"/>
        <w:jc w:val="both"/>
        <w:rPr>
          <w:rFonts w:ascii="Times New Roman" w:hAnsi="Times New Roman" w:cs="Times New Roman"/>
          <w:b/>
          <w:bCs/>
          <w:sz w:val="20"/>
          <w:szCs w:val="20"/>
          <w:rtl/>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 both propolis and Dacarbazine effect on the appearance mean for Hepatocellular carcinoma cell lines (HepG2) after 72 hours on concentration of (100 µg/ml):</w:t>
      </w:r>
    </w:p>
    <w:p w:rsidR="00FD412F" w:rsidRPr="0032790C" w:rsidRDefault="00FD412F" w:rsidP="00294C32">
      <w:pPr>
        <w:bidi w:val="0"/>
        <w:adjustRightInd w:val="0"/>
        <w:snapToGrid w:val="0"/>
        <w:spacing w:after="0" w:line="240" w:lineRule="auto"/>
        <w:ind w:firstLine="425"/>
        <w:jc w:val="both"/>
        <w:rPr>
          <w:rFonts w:ascii="Times New Roman" w:hAnsi="Times New Roman" w:cs="Times New Roman"/>
          <w:sz w:val="20"/>
          <w:szCs w:val="20"/>
          <w:rtl/>
          <w:lang w:eastAsia="zh-CN" w:bidi="ar-EG"/>
        </w:rPr>
      </w:pPr>
      <w:r w:rsidRPr="0032790C">
        <w:rPr>
          <w:rFonts w:ascii="Times New Roman" w:hAnsi="Times New Roman" w:cs="Times New Roman"/>
          <w:sz w:val="20"/>
          <w:szCs w:val="20"/>
          <w:lang w:bidi="ar-EG"/>
        </w:rPr>
        <w:t>The results obtained from (</w:t>
      </w:r>
      <w:r w:rsidR="00EF699A"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 xml:space="preserve">:2) shows that the treatment with propolis, Dacarbazine drug and the </w:t>
      </w:r>
      <w:r w:rsidRPr="0032790C">
        <w:rPr>
          <w:rFonts w:ascii="Times New Roman" w:hAnsi="Times New Roman" w:cs="Times New Roman"/>
          <w:sz w:val="20"/>
          <w:szCs w:val="20"/>
          <w:lang w:bidi="ar-EG"/>
        </w:rPr>
        <w:lastRenderedPageBreak/>
        <w:t>double treatment with propolis and Dacarbazine caused a significant decrease in the appearance mean for Hepatocellular carcinoma cell lines (HepG2) so their values were (0.254±0.152</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0.196±0.152</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0.230±0.142) respectively compared with control sample mean (0.551±0.009), as the best treatment due to its impact in reducing the appearance mean of HepG2 was Dacarbazine treatment the double treatment and then propolistreartment (</w:t>
      </w:r>
      <w:r w:rsidR="008C058E"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ig: 8), when calculating the inhibition ratio of cancer cells (HepG2) as a result of multiple treatments it</w:t>
      </w:r>
      <w:r w:rsidR="0032790C" w:rsidRPr="0032790C">
        <w:rPr>
          <w:rFonts w:ascii="Times New Roman" w:hAnsi="Times New Roman" w:cs="Times New Roman"/>
          <w:sz w:val="20"/>
          <w:szCs w:val="20"/>
          <w:lang w:bidi="ar-EG"/>
        </w:rPr>
        <w:t>,</w:t>
      </w:r>
      <w:r w:rsidR="0032790C">
        <w:rPr>
          <w:rFonts w:ascii="Times New Roman" w:hAnsi="Times New Roman" w:cs="Times New Roman" w:hint="eastAsia"/>
          <w:sz w:val="20"/>
          <w:szCs w:val="20"/>
          <w:lang w:eastAsia="zh-CN" w:bidi="ar-EG"/>
        </w:rPr>
        <w:t xml:space="preserve"> </w:t>
      </w:r>
      <w:r w:rsidR="00C329E8" w:rsidRPr="0032790C">
        <w:rPr>
          <w:rFonts w:ascii="Times New Roman" w:hAnsi="Times New Roman" w:cs="Times New Roman"/>
          <w:sz w:val="20"/>
          <w:szCs w:val="20"/>
          <w:lang w:bidi="ar-EG"/>
        </w:rPr>
        <w:t>was</w:t>
      </w:r>
      <w:r w:rsidR="0032790C">
        <w:rPr>
          <w:rFonts w:ascii="Times New Roman" w:hAnsi="Times New Roman" w:cs="Times New Roman"/>
          <w:sz w:val="20"/>
          <w:szCs w:val="20"/>
          <w:lang w:bidi="ar-EG"/>
        </w:rPr>
        <w:t xml:space="preserve"> </w:t>
      </w:r>
      <w:r w:rsidR="00C329E8" w:rsidRPr="0032790C">
        <w:rPr>
          <w:rFonts w:ascii="Times New Roman" w:hAnsi="Times New Roman" w:cs="Times New Roman"/>
          <w:sz w:val="20"/>
          <w:szCs w:val="20"/>
          <w:lang w:bidi="ar-EG"/>
        </w:rPr>
        <w:t>54.00</w:t>
      </w:r>
      <w:r w:rsidR="00EF699A" w:rsidRPr="0032790C">
        <w:rPr>
          <w:rFonts w:ascii="Times New Roman" w:hAnsi="Times New Roman" w:cs="Times New Roman"/>
          <w:sz w:val="20"/>
          <w:szCs w:val="20"/>
          <w:lang w:bidi="ar-EG"/>
        </w:rPr>
        <w:t>%</w:t>
      </w:r>
      <w:r w:rsidR="00C329E8" w:rsidRPr="0032790C">
        <w:rPr>
          <w:rFonts w:ascii="Times New Roman" w:hAnsi="Times New Roman" w:cs="Times New Roman"/>
          <w:sz w:val="20"/>
          <w:szCs w:val="20"/>
          <w:lang w:bidi="ar-EG"/>
        </w:rPr>
        <w:t xml:space="preserve">, </w:t>
      </w:r>
      <w:r w:rsidR="00EF699A" w:rsidRPr="0032790C">
        <w:rPr>
          <w:rFonts w:ascii="Times New Roman" w:hAnsi="Times New Roman" w:cs="Times New Roman"/>
          <w:sz w:val="20"/>
          <w:szCs w:val="20"/>
          <w:lang w:bidi="ar-EG"/>
        </w:rPr>
        <w:t>64.55 %,</w:t>
      </w:r>
      <w:r w:rsidR="00C329E8" w:rsidRPr="0032790C">
        <w:rPr>
          <w:rFonts w:ascii="Times New Roman" w:hAnsi="Times New Roman" w:cs="Times New Roman"/>
          <w:sz w:val="20"/>
          <w:szCs w:val="20"/>
          <w:lang w:bidi="ar-EG"/>
        </w:rPr>
        <w:t xml:space="preserve"> 58.36</w:t>
      </w:r>
      <w:r w:rsidR="00EF699A"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respectively. The highe</w:t>
      </w:r>
      <w:r w:rsidR="00C329E8" w:rsidRPr="0032790C">
        <w:rPr>
          <w:rFonts w:ascii="Times New Roman" w:hAnsi="Times New Roman" w:cs="Times New Roman"/>
          <w:sz w:val="20"/>
          <w:szCs w:val="20"/>
          <w:lang w:bidi="ar-EG"/>
        </w:rPr>
        <w:t>st value was for</w:t>
      </w:r>
      <w:r w:rsidR="008C058E"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 xml:space="preserve">Dacarbazine treatment </w:t>
      </w:r>
      <w:r w:rsidR="00C329E8" w:rsidRPr="0032790C">
        <w:rPr>
          <w:rFonts w:ascii="Times New Roman" w:hAnsi="Times New Roman" w:cs="Times New Roman"/>
          <w:sz w:val="20"/>
          <w:szCs w:val="20"/>
          <w:lang w:bidi="ar-EG"/>
        </w:rPr>
        <w:t xml:space="preserve">then double treatment </w:t>
      </w:r>
      <w:r w:rsidRPr="0032790C">
        <w:rPr>
          <w:rFonts w:ascii="Times New Roman" w:hAnsi="Times New Roman" w:cs="Times New Roman"/>
          <w:sz w:val="20"/>
          <w:szCs w:val="20"/>
          <w:lang w:bidi="ar-EG"/>
        </w:rPr>
        <w:t xml:space="preserve">and </w:t>
      </w:r>
      <w:r w:rsidR="00C329E8" w:rsidRPr="0032790C">
        <w:rPr>
          <w:rFonts w:ascii="Times New Roman" w:hAnsi="Times New Roman" w:cs="Times New Roman"/>
          <w:sz w:val="20"/>
          <w:szCs w:val="20"/>
          <w:lang w:bidi="ar-EG"/>
        </w:rPr>
        <w:t>then propolis treatment (Fig: 12</w:t>
      </w:r>
      <w:r w:rsidRPr="0032790C">
        <w:rPr>
          <w:rFonts w:ascii="Times New Roman" w:hAnsi="Times New Roman" w:cs="Times New Roman"/>
          <w:sz w:val="20"/>
          <w:szCs w:val="20"/>
          <w:lang w:bidi="ar-EG"/>
        </w:rPr>
        <w:t>). And the inhibition ratio was inversely proportional to the rate of</w:t>
      </w:r>
      <w:r w:rsidR="00C329E8" w:rsidRPr="0032790C">
        <w:rPr>
          <w:rFonts w:ascii="Times New Roman" w:hAnsi="Times New Roman" w:cs="Times New Roman"/>
          <w:sz w:val="20"/>
          <w:szCs w:val="20"/>
          <w:lang w:bidi="ar-EG"/>
        </w:rPr>
        <w:t xml:space="preserve"> absorbance and vitality (Fig</w:t>
      </w:r>
      <w:r w:rsidR="00E40711" w:rsidRPr="0032790C">
        <w:rPr>
          <w:rFonts w:ascii="Times New Roman" w:hAnsi="Times New Roman" w:cs="Times New Roman"/>
          <w:sz w:val="20"/>
          <w:szCs w:val="20"/>
          <w:lang w:bidi="ar-EG"/>
        </w:rPr>
        <w:t>s</w:t>
      </w:r>
      <w:r w:rsidR="00C329E8" w:rsidRPr="0032790C">
        <w:rPr>
          <w:rFonts w:ascii="Times New Roman" w:hAnsi="Times New Roman" w:cs="Times New Roman"/>
          <w:sz w:val="20"/>
          <w:szCs w:val="20"/>
          <w:lang w:bidi="ar-EG"/>
        </w:rPr>
        <w:t>: 4</w:t>
      </w:r>
      <w:r w:rsidR="006F7038" w:rsidRPr="0032790C">
        <w:rPr>
          <w:rFonts w:ascii="Times New Roman" w:hAnsi="Times New Roman" w:cs="Times New Roman" w:hint="eastAsia"/>
          <w:sz w:val="20"/>
          <w:szCs w:val="20"/>
          <w:lang w:eastAsia="zh-CN" w:bidi="ar-EG"/>
        </w:rPr>
        <w:t xml:space="preserve"> </w:t>
      </w:r>
      <w:r w:rsidR="00EF699A" w:rsidRPr="0032790C">
        <w:rPr>
          <w:rFonts w:ascii="Times New Roman" w:hAnsi="Times New Roman" w:cs="Times New Roman"/>
          <w:sz w:val="20"/>
          <w:szCs w:val="20"/>
          <w:lang w:bidi="ar-EG"/>
        </w:rPr>
        <w:t>&amp;</w:t>
      </w:r>
      <w:r w:rsidR="00C329E8" w:rsidRPr="0032790C">
        <w:rPr>
          <w:rFonts w:ascii="Times New Roman" w:hAnsi="Times New Roman" w:cs="Times New Roman"/>
          <w:sz w:val="20"/>
          <w:szCs w:val="20"/>
          <w:lang w:bidi="ar-EG"/>
        </w:rPr>
        <w:t xml:space="preserve"> 6)</w:t>
      </w:r>
      <w:r w:rsidR="0032790C" w:rsidRPr="0032790C">
        <w:rPr>
          <w:rFonts w:ascii="Times New Roman" w:hAnsi="Times New Roman" w:cs="Times New Roman" w:hint="eastAsia"/>
          <w:sz w:val="20"/>
          <w:szCs w:val="20"/>
          <w:lang w:eastAsia="zh-CN" w:bidi="ar-EG"/>
        </w:rPr>
        <w:t>.</w:t>
      </w:r>
    </w:p>
    <w:p w:rsidR="00D62B0F" w:rsidRPr="0032790C" w:rsidRDefault="00D62B0F"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Sub-acute treatments with dose of (50mg/kg) of propolis, Sub-acute treatment with medicinal dose of Dacarbazine drug (3.5mg/kg)</w:t>
      </w:r>
      <w:r w:rsid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and the sub-acute double treatment with both propolis and Dacarbazine effect on the appearance mean for Hepatocellular carcinoma cell lines (HepG2) after 72 hours on concentration of (200 µg/ml):</w:t>
      </w:r>
    </w:p>
    <w:p w:rsidR="001A4976" w:rsidRPr="0032790C" w:rsidRDefault="00D62B0F"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results obtained from (</w:t>
      </w:r>
      <w:r w:rsidR="00EF699A"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:2) shows that the treatment with propolis, Dacarbazine caused a significant decrease in the appearance mean for Hepatocellular carcinoma cell lines (HepG2) so their values were</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(0.299±0.023</w:t>
      </w:r>
      <w:r w:rsidR="0032790C" w:rsidRPr="0032790C">
        <w:rPr>
          <w:rFonts w:ascii="Times New Roman" w:hAnsi="Times New Roman" w:cs="Times New Roman"/>
          <w:sz w:val="20"/>
          <w:szCs w:val="20"/>
          <w:lang w:bidi="ar-EG"/>
        </w:rPr>
        <w:t>,</w:t>
      </w:r>
      <w:r w:rsidR="00EF699A" w:rsidRPr="0032790C">
        <w:rPr>
          <w:rFonts w:ascii="Times New Roman" w:hAnsi="Times New Roman" w:cs="Times New Roman"/>
          <w:sz w:val="20"/>
          <w:szCs w:val="20"/>
          <w:lang w:bidi="ar-EG"/>
        </w:rPr>
        <w:t xml:space="preserve"> 0.264±0.006,</w:t>
      </w:r>
      <w:r w:rsidR="0032790C">
        <w:rPr>
          <w:rFonts w:ascii="Times New Roman" w:hAnsi="Times New Roman" w:cs="Times New Roman"/>
          <w:sz w:val="20"/>
          <w:szCs w:val="20"/>
          <w:lang w:bidi="ar-EG"/>
        </w:rPr>
        <w:t xml:space="preserve"> </w:t>
      </w:r>
      <w:r w:rsidR="00EF699A" w:rsidRPr="0032790C">
        <w:rPr>
          <w:rFonts w:ascii="Times New Roman" w:hAnsi="Times New Roman" w:cs="Times New Roman"/>
          <w:sz w:val="20"/>
          <w:szCs w:val="20"/>
          <w:lang w:bidi="ar-EG"/>
        </w:rPr>
        <w:t xml:space="preserve">0.242±0.017) </w:t>
      </w:r>
      <w:r w:rsidRPr="0032790C">
        <w:rPr>
          <w:rFonts w:ascii="Times New Roman" w:hAnsi="Times New Roman" w:cs="Times New Roman"/>
          <w:sz w:val="20"/>
          <w:szCs w:val="20"/>
          <w:lang w:bidi="ar-EG"/>
        </w:rPr>
        <w:t>respectively compared with control sample mean (</w:t>
      </w:r>
      <w:r w:rsidR="00EF699A" w:rsidRPr="0032790C">
        <w:rPr>
          <w:rFonts w:ascii="Times New Roman" w:hAnsi="Times New Roman" w:cs="Times New Roman"/>
          <w:sz w:val="20"/>
          <w:szCs w:val="20"/>
          <w:lang w:bidi="ar-EG"/>
        </w:rPr>
        <w:t>0.551±</w:t>
      </w:r>
      <w:r w:rsidRPr="0032790C">
        <w:rPr>
          <w:rFonts w:ascii="Times New Roman" w:hAnsi="Times New Roman" w:cs="Times New Roman"/>
          <w:sz w:val="20"/>
          <w:szCs w:val="20"/>
          <w:lang w:bidi="ar-EG"/>
        </w:rPr>
        <w:t>0.009), as the best treatment due to its impact in reducing the appearance mean of HepG2 was double treatment</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then Dacarbazine treatment and then propolis</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treartment (</w:t>
      </w:r>
      <w:r w:rsidR="008C058E"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ig: 8</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when calculating the inhibition ratio of cancer cells (HepG2) as a result of multiple treatments it was</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45.65</w:t>
      </w:r>
      <w:r w:rsidR="00EF699A" w:rsidRPr="0032790C">
        <w:rPr>
          <w:rFonts w:ascii="Times New Roman" w:hAnsi="Times New Roman" w:cs="Times New Roman"/>
          <w:sz w:val="20"/>
          <w:szCs w:val="20"/>
          <w:lang w:bidi="ar-EG"/>
        </w:rPr>
        <w:t>%</w:t>
      </w:r>
      <w:r w:rsidR="0032790C" w:rsidRPr="0032790C">
        <w:rPr>
          <w:rFonts w:ascii="Times New Roman" w:hAnsi="Times New Roman" w:cs="Times New Roman"/>
          <w:sz w:val="20"/>
          <w:szCs w:val="20"/>
          <w:lang w:bidi="ar-EG"/>
        </w:rPr>
        <w:t>,</w:t>
      </w:r>
      <w:r w:rsidR="0032790C">
        <w:rPr>
          <w:rFonts w:ascii="Times New Roman" w:hAnsi="Times New Roman" w:cs="Times New Roman"/>
          <w:sz w:val="20"/>
          <w:szCs w:val="20"/>
          <w:lang w:bidi="ar-EG"/>
        </w:rPr>
        <w:t xml:space="preserve"> </w:t>
      </w:r>
      <w:r w:rsidR="00EF699A" w:rsidRPr="0032790C">
        <w:rPr>
          <w:rFonts w:ascii="Times New Roman" w:hAnsi="Times New Roman" w:cs="Times New Roman"/>
          <w:sz w:val="20"/>
          <w:szCs w:val="20"/>
          <w:lang w:bidi="ar-EG"/>
        </w:rPr>
        <w:t>52.00%</w:t>
      </w:r>
      <w:r w:rsidR="0032790C" w:rsidRPr="0032790C">
        <w:rPr>
          <w:rFonts w:ascii="Times New Roman" w:hAnsi="Times New Roman" w:cs="Times New Roman"/>
          <w:sz w:val="20"/>
          <w:szCs w:val="20"/>
          <w:lang w:bidi="ar-EG"/>
        </w:rPr>
        <w:t>,</w:t>
      </w:r>
      <w:r w:rsidR="0032790C"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56.00</w:t>
      </w:r>
      <w:r w:rsidR="00EF699A"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respectively. The highest value was for double treatment then</w:t>
      </w:r>
      <w:r w:rsidR="008C058E" w:rsidRPr="0032790C">
        <w:rPr>
          <w:rFonts w:ascii="Times New Roman" w:hAnsi="Times New Roman" w:cs="Times New Roman"/>
          <w:sz w:val="20"/>
          <w:szCs w:val="20"/>
          <w:lang w:bidi="ar-EG"/>
        </w:rPr>
        <w:t xml:space="preserve"> </w:t>
      </w:r>
      <w:r w:rsidR="006E2860" w:rsidRPr="0032790C">
        <w:rPr>
          <w:rFonts w:ascii="Times New Roman" w:hAnsi="Times New Roman" w:cs="Times New Roman"/>
          <w:sz w:val="20"/>
          <w:szCs w:val="20"/>
          <w:lang w:bidi="ar-EG"/>
        </w:rPr>
        <w:t xml:space="preserve">Dacarbazine treatment </w:t>
      </w:r>
      <w:r w:rsidR="00E40711" w:rsidRPr="0032790C">
        <w:rPr>
          <w:rFonts w:ascii="Times New Roman" w:hAnsi="Times New Roman" w:cs="Times New Roman"/>
          <w:sz w:val="20"/>
          <w:szCs w:val="20"/>
          <w:lang w:bidi="ar-EG"/>
        </w:rPr>
        <w:t>and</w:t>
      </w:r>
      <w:r w:rsidR="006E2860" w:rsidRPr="0032790C">
        <w:rPr>
          <w:rFonts w:ascii="Times New Roman" w:hAnsi="Times New Roman" w:cs="Times New Roman"/>
          <w:sz w:val="20"/>
          <w:szCs w:val="20"/>
          <w:lang w:bidi="ar-EG"/>
        </w:rPr>
        <w:t xml:space="preserve"> then</w:t>
      </w:r>
      <w:r w:rsidR="008C058E"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tre</w:t>
      </w:r>
      <w:r w:rsidR="006E2860" w:rsidRPr="0032790C">
        <w:rPr>
          <w:rFonts w:ascii="Times New Roman" w:hAnsi="Times New Roman" w:cs="Times New Roman"/>
          <w:sz w:val="20"/>
          <w:szCs w:val="20"/>
          <w:lang w:bidi="ar-EG"/>
        </w:rPr>
        <w:t>atment (Fig: 12</w:t>
      </w:r>
      <w:r w:rsidRPr="0032790C">
        <w:rPr>
          <w:rFonts w:ascii="Times New Roman" w:hAnsi="Times New Roman" w:cs="Times New Roman"/>
          <w:sz w:val="20"/>
          <w:szCs w:val="20"/>
          <w:lang w:bidi="ar-EG"/>
        </w:rPr>
        <w:t>). And the inhibition ratio was inversely proportional to the rate of ab</w:t>
      </w:r>
      <w:r w:rsidR="006E2860" w:rsidRPr="0032790C">
        <w:rPr>
          <w:rFonts w:ascii="Times New Roman" w:hAnsi="Times New Roman" w:cs="Times New Roman"/>
          <w:sz w:val="20"/>
          <w:szCs w:val="20"/>
          <w:lang w:bidi="ar-EG"/>
        </w:rPr>
        <w:t>sorbance and vitality (Fig</w:t>
      </w:r>
      <w:r w:rsidR="00E40711" w:rsidRPr="0032790C">
        <w:rPr>
          <w:rFonts w:ascii="Times New Roman" w:hAnsi="Times New Roman" w:cs="Times New Roman"/>
          <w:sz w:val="20"/>
          <w:szCs w:val="20"/>
          <w:lang w:bidi="ar-EG"/>
        </w:rPr>
        <w:t>s</w:t>
      </w:r>
      <w:r w:rsidR="006E2860" w:rsidRPr="0032790C">
        <w:rPr>
          <w:rFonts w:ascii="Times New Roman" w:hAnsi="Times New Roman" w:cs="Times New Roman"/>
          <w:sz w:val="20"/>
          <w:szCs w:val="20"/>
          <w:lang w:bidi="ar-EG"/>
        </w:rPr>
        <w:t>: 4</w:t>
      </w:r>
      <w:r w:rsidR="00EF699A" w:rsidRPr="0032790C">
        <w:rPr>
          <w:rFonts w:ascii="Times New Roman" w:hAnsi="Times New Roman" w:cs="Times New Roman"/>
          <w:sz w:val="20"/>
          <w:szCs w:val="20"/>
          <w:lang w:bidi="ar-EG"/>
        </w:rPr>
        <w:t>&amp;</w:t>
      </w:r>
      <w:r w:rsidR="006E2860" w:rsidRPr="0032790C">
        <w:rPr>
          <w:rFonts w:ascii="Times New Roman" w:hAnsi="Times New Roman" w:cs="Times New Roman"/>
          <w:sz w:val="20"/>
          <w:szCs w:val="20"/>
          <w:lang w:bidi="ar-EG"/>
        </w:rPr>
        <w:t xml:space="preserve"> 6</w:t>
      </w:r>
      <w:r w:rsidR="00BD40B0" w:rsidRPr="0032790C">
        <w:rPr>
          <w:rFonts w:ascii="Times New Roman" w:hAnsi="Times New Roman" w:cs="Times New Roman"/>
          <w:sz w:val="20"/>
          <w:szCs w:val="20"/>
          <w:lang w:bidi="ar-EG"/>
        </w:rPr>
        <w:t>).</w:t>
      </w:r>
    </w:p>
    <w:p w:rsidR="00BD40B0" w:rsidRPr="0032790C" w:rsidRDefault="00BD40B0" w:rsidP="00294C32">
      <w:pPr>
        <w:bidi w:val="0"/>
        <w:adjustRightInd w:val="0"/>
        <w:snapToGrid w:val="0"/>
        <w:spacing w:after="0" w:line="240" w:lineRule="auto"/>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t>Sub-acute treatments with dose of (50mg/kg) of propolis, Sub-acute treatment with medicinal dose of Dacarbazine drug (3.5mg/kg)</w:t>
      </w:r>
      <w:r w:rsidR="006F7038" w:rsidRPr="0032790C">
        <w:rPr>
          <w:rFonts w:ascii="Times New Roman" w:hAnsi="Times New Roman" w:cs="Times New Roman" w:hint="eastAsia"/>
          <w:b/>
          <w:bCs/>
          <w:sz w:val="20"/>
          <w:szCs w:val="20"/>
          <w:lang w:eastAsia="zh-CN" w:bidi="ar-EG"/>
        </w:rPr>
        <w:t xml:space="preserve"> </w:t>
      </w:r>
      <w:r w:rsidRPr="0032790C">
        <w:rPr>
          <w:rFonts w:ascii="Times New Roman" w:hAnsi="Times New Roman" w:cs="Times New Roman"/>
          <w:b/>
          <w:bCs/>
          <w:sz w:val="20"/>
          <w:szCs w:val="20"/>
          <w:lang w:bidi="ar-EG"/>
        </w:rPr>
        <w:t>and the sub-acute double treatment with both propolis and Dacarbazine effect on the appearance mean for Hepatocellular carcinoma cell lines (HepG2) after 72 hours on concentrations of (50,100,200 µg/ml) using variance analysis and the least significant difference (LSD):</w:t>
      </w:r>
    </w:p>
    <w:p w:rsidR="00BD40B0" w:rsidRPr="0032790C" w:rsidRDefault="00BD40B0"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results obtained from (</w:t>
      </w:r>
      <w:r w:rsidR="00EF699A" w:rsidRPr="0032790C">
        <w:rPr>
          <w:rFonts w:ascii="Times New Roman" w:eastAsia="Times New Roman" w:hAnsi="Times New Roman" w:cs="Times New Roman"/>
          <w:sz w:val="20"/>
          <w:szCs w:val="20"/>
        </w:rPr>
        <w:t>Table</w:t>
      </w:r>
      <w:r w:rsidRPr="0032790C">
        <w:rPr>
          <w:rFonts w:ascii="Times New Roman" w:hAnsi="Times New Roman" w:cs="Times New Roman"/>
          <w:sz w:val="20"/>
          <w:szCs w:val="20"/>
          <w:lang w:bidi="ar-EG"/>
        </w:rPr>
        <w:t>:4) shows significant difference (</w:t>
      </w:r>
      <w:r w:rsidR="00EF699A" w:rsidRPr="0032790C">
        <w:rPr>
          <w:rFonts w:ascii="Times New Roman" w:hAnsi="Times New Roman" w:cs="Times New Roman"/>
          <w:i/>
          <w:iCs/>
          <w:sz w:val="20"/>
          <w:szCs w:val="20"/>
          <w:lang w:bidi="ar-EG"/>
        </w:rPr>
        <w:t>P</w:t>
      </w:r>
      <w:r w:rsidR="00EF699A" w:rsidRPr="0032790C">
        <w:rPr>
          <w:rFonts w:ascii="Times New Roman" w:hAnsi="Times New Roman" w:cs="Times New Roman"/>
          <w:sz w:val="20"/>
          <w:szCs w:val="20"/>
          <w:lang w:bidi="ar-EG"/>
        </w:rPr>
        <w:t>≤0.001</w:t>
      </w:r>
      <w:r w:rsidRPr="0032790C">
        <w:rPr>
          <w:rFonts w:ascii="Times New Roman" w:hAnsi="Times New Roman" w:cs="Times New Roman"/>
          <w:sz w:val="20"/>
          <w:szCs w:val="20"/>
          <w:lang w:bidi="ar-EG"/>
        </w:rPr>
        <w:t>) in appearance mean for Hepatocellular carcinoma cell lines (HepG2) on different concentrations between sub-acute treatment with dose of (50mg/kg) of propolis or sub-acute treatment with medicinal dose of Dacarbazine drug (3.5mg/kg</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and sub-acute double treatment with both </w:t>
      </w:r>
      <w:r w:rsidRPr="0032790C">
        <w:rPr>
          <w:rFonts w:ascii="Times New Roman" w:hAnsi="Times New Roman" w:cs="Times New Roman"/>
          <w:sz w:val="20"/>
          <w:szCs w:val="20"/>
          <w:lang w:bidi="ar-EG"/>
        </w:rPr>
        <w:lastRenderedPageBreak/>
        <w:t>propolis and Dacarbazine which was equal to (</w:t>
      </w:r>
      <w:r w:rsidR="00EF699A"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494</w:t>
      </w:r>
      <w:r w:rsidR="00EF699A" w:rsidRPr="0032790C">
        <w:rPr>
          <w:rFonts w:ascii="Times New Roman" w:hAnsi="Times New Roman" w:cs="Times New Roman"/>
          <w:sz w:val="20"/>
          <w:szCs w:val="20"/>
          <w:lang w:bidi="ar-EG"/>
        </w:rPr>
        <w:t>.79</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on concentration of</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50µg/ml (F</w:t>
      </w:r>
      <w:r w:rsidR="00EF699A" w:rsidRPr="0032790C">
        <w:rPr>
          <w:rFonts w:ascii="Times New Roman" w:hAnsi="Times New Roman" w:cs="Times New Roman"/>
          <w:sz w:val="20"/>
          <w:szCs w:val="20"/>
          <w:lang w:bidi="ar-EG"/>
        </w:rPr>
        <w:t>=144.41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on concentration of 100µg/ml, and (</w:t>
      </w:r>
      <w:r w:rsidR="00EF699A" w:rsidRPr="0032790C">
        <w:rPr>
          <w:rFonts w:ascii="Times New Roman" w:hAnsi="Times New Roman" w:cs="Times New Roman"/>
          <w:sz w:val="20"/>
          <w:szCs w:val="20"/>
          <w:lang w:bidi="ar-EG"/>
        </w:rPr>
        <w:t>F=</w:t>
      </w:r>
      <w:r w:rsidRPr="0032790C">
        <w:rPr>
          <w:rFonts w:ascii="Times New Roman" w:hAnsi="Times New Roman" w:cs="Times New Roman"/>
          <w:sz w:val="20"/>
          <w:szCs w:val="20"/>
          <w:lang w:bidi="ar-EG"/>
        </w:rPr>
        <w:t>88</w:t>
      </w:r>
      <w:r w:rsidR="00EF699A" w:rsidRPr="0032790C">
        <w:rPr>
          <w:rFonts w:ascii="Times New Roman" w:hAnsi="Times New Roman" w:cs="Times New Roman"/>
          <w:sz w:val="20"/>
          <w:szCs w:val="20"/>
          <w:lang w:bidi="ar-EG"/>
        </w:rPr>
        <w:t>.82</w:t>
      </w:r>
      <w:r w:rsidRPr="0032790C">
        <w:rPr>
          <w:rFonts w:ascii="Times New Roman" w:hAnsi="Times New Roman" w:cs="Times New Roman"/>
          <w:sz w:val="20"/>
          <w:szCs w:val="20"/>
          <w:lang w:bidi="ar-EG"/>
        </w:rPr>
        <w:t>) on concentration of 200 µg/m compared with control sample</w:t>
      </w:r>
      <w:r w:rsidRPr="0032790C">
        <w:rPr>
          <w:rFonts w:ascii="Times New Roman" w:hAnsi="Times New Roman" w:cs="Times New Roman"/>
          <w:sz w:val="20"/>
          <w:szCs w:val="20"/>
          <w:rtl/>
          <w:lang w:bidi="ar-EG"/>
        </w:rPr>
        <w:t>.</w:t>
      </w:r>
    </w:p>
    <w:p w:rsidR="00BD40B0" w:rsidRPr="0032790C" w:rsidRDefault="00BD40B0"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And by comparison test through using the least significant difference (LSD) the significant difference (</w:t>
      </w:r>
      <w:r w:rsidR="00EF699A" w:rsidRPr="0032790C">
        <w:rPr>
          <w:rFonts w:ascii="Times New Roman" w:hAnsi="Times New Roman" w:cs="Times New Roman"/>
          <w:i/>
          <w:iCs/>
          <w:sz w:val="20"/>
          <w:szCs w:val="20"/>
          <w:lang w:bidi="ar-EG"/>
        </w:rPr>
        <w:t>P</w:t>
      </w:r>
      <w:r w:rsidR="00EF699A" w:rsidRPr="0032790C">
        <w:rPr>
          <w:rFonts w:ascii="Times New Roman" w:hAnsi="Times New Roman" w:cs="Times New Roman"/>
          <w:sz w:val="20"/>
          <w:szCs w:val="20"/>
          <w:lang w:bidi="ar-EG"/>
        </w:rPr>
        <w:t>≤0.001</w:t>
      </w:r>
      <w:r w:rsidRPr="0032790C">
        <w:rPr>
          <w:rFonts w:ascii="Times New Roman" w:hAnsi="Times New Roman" w:cs="Times New Roman"/>
          <w:sz w:val="20"/>
          <w:szCs w:val="20"/>
          <w:lang w:bidi="ar-EG"/>
        </w:rPr>
        <w:t>) appeared in the appearance mean for Hepatocellular carcinoma cell lines (HepG2) due to sub-acute treatment with propolis or with t</w:t>
      </w:r>
      <w:r w:rsidR="008C7EAF" w:rsidRPr="0032790C">
        <w:rPr>
          <w:rFonts w:ascii="Times New Roman" w:hAnsi="Times New Roman" w:cs="Times New Roman"/>
          <w:sz w:val="20"/>
          <w:szCs w:val="20"/>
          <w:lang w:bidi="ar-EG"/>
        </w:rPr>
        <w:t>h</w:t>
      </w:r>
      <w:r w:rsidRPr="0032790C">
        <w:rPr>
          <w:rFonts w:ascii="Times New Roman" w:hAnsi="Times New Roman" w:cs="Times New Roman"/>
          <w:sz w:val="20"/>
          <w:szCs w:val="20"/>
          <w:lang w:bidi="ar-EG"/>
        </w:rPr>
        <w:t>e medicinal dose of drug and double treatment with propolis and drug on concentrat</w:t>
      </w:r>
      <w:r w:rsidR="008C7EAF" w:rsidRPr="0032790C">
        <w:rPr>
          <w:rFonts w:ascii="Times New Roman" w:hAnsi="Times New Roman" w:cs="Times New Roman"/>
          <w:sz w:val="20"/>
          <w:szCs w:val="20"/>
          <w:lang w:bidi="ar-EG"/>
        </w:rPr>
        <w:t>ions of 50,100,200 µg/ml.(Fig:14).</w:t>
      </w:r>
    </w:p>
    <w:p w:rsidR="00BD40B0" w:rsidRPr="0032790C" w:rsidRDefault="00BD40B0"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Hence, the order of treatments in terms of its high impaction in lowering the appearance mean for Hepatocellular carcinoma cell lines (HepG2) on</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concentrations of 50,</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10</w:t>
      </w:r>
      <w:r w:rsidR="003E1B4B" w:rsidRPr="0032790C">
        <w:rPr>
          <w:rFonts w:ascii="Times New Roman" w:hAnsi="Times New Roman" w:cs="Times New Roman"/>
          <w:sz w:val="20"/>
          <w:szCs w:val="20"/>
          <w:lang w:bidi="ar-EG"/>
        </w:rPr>
        <w:t>0</w:t>
      </w:r>
      <w:r w:rsidRPr="0032790C">
        <w:rPr>
          <w:rFonts w:ascii="Times New Roman" w:hAnsi="Times New Roman" w:cs="Times New Roman"/>
          <w:sz w:val="20"/>
          <w:szCs w:val="20"/>
          <w:lang w:bidi="ar-EG"/>
        </w:rPr>
        <w:t xml:space="preserve"> µg/ml </w:t>
      </w:r>
      <w:r w:rsidR="008C7EAF" w:rsidRPr="0032790C">
        <w:rPr>
          <w:rFonts w:ascii="Times New Roman" w:hAnsi="Times New Roman" w:cs="Times New Roman"/>
          <w:sz w:val="20"/>
          <w:szCs w:val="20"/>
          <w:lang w:bidi="ar-EG"/>
        </w:rPr>
        <w:t xml:space="preserve">is </w:t>
      </w:r>
      <w:r w:rsidRPr="0032790C">
        <w:rPr>
          <w:rFonts w:ascii="Times New Roman" w:hAnsi="Times New Roman" w:cs="Times New Roman"/>
          <w:sz w:val="20"/>
          <w:szCs w:val="20"/>
          <w:lang w:bidi="ar-EG"/>
        </w:rPr>
        <w:t>as follows</w:t>
      </w:r>
      <w:r w:rsidRPr="0032790C">
        <w:rPr>
          <w:rFonts w:ascii="Times New Roman" w:hAnsi="Times New Roman" w:cs="Times New Roman"/>
          <w:sz w:val="20"/>
          <w:szCs w:val="20"/>
          <w:rtl/>
          <w:lang w:bidi="ar-EG"/>
        </w:rPr>
        <w:t>:</w:t>
      </w:r>
    </w:p>
    <w:p w:rsidR="00364D8A" w:rsidRPr="0032790C" w:rsidRDefault="00B8616C"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Dacarbazine treatment</w:t>
      </w:r>
      <w:r w:rsidRPr="0032790C">
        <w:rPr>
          <w:rFonts w:ascii="Times New Roman" w:hAnsi="Times New Roman" w:cs="Times New Roman"/>
          <w:sz w:val="20"/>
          <w:szCs w:val="20"/>
          <w:rtl/>
          <w:lang w:bidi="ar-EG"/>
        </w:rPr>
        <w:t>&lt;</w:t>
      </w:r>
      <w:r w:rsidRPr="0032790C">
        <w:rPr>
          <w:rFonts w:ascii="Times New Roman" w:hAnsi="Times New Roman" w:cs="Times New Roman"/>
          <w:sz w:val="20"/>
          <w:szCs w:val="20"/>
          <w:lang w:bidi="ar-EG"/>
        </w:rPr>
        <w:t>Double treatment</w:t>
      </w:r>
      <w:r w:rsidRPr="0032790C">
        <w:rPr>
          <w:rFonts w:ascii="Times New Roman" w:hAnsi="Times New Roman" w:cs="Times New Roman"/>
          <w:sz w:val="20"/>
          <w:szCs w:val="20"/>
          <w:rtl/>
          <w:lang w:bidi="ar-EG"/>
        </w:rPr>
        <w:t>&lt;</w:t>
      </w:r>
      <w:r w:rsidR="008C058E"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treatment</w:t>
      </w:r>
    </w:p>
    <w:p w:rsidR="00364D8A" w:rsidRPr="0032790C" w:rsidRDefault="00364D8A" w:rsidP="00294C32">
      <w:pPr>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 xml:space="preserve">While, the order of treatments in terms of its high impaction in lowering the appearance mean for Hepatocellular carcinoma cell lines (HepG2) on concentration of </w:t>
      </w:r>
      <w:r w:rsidR="003E1B4B" w:rsidRPr="0032790C">
        <w:rPr>
          <w:rFonts w:ascii="Times New Roman" w:hAnsi="Times New Roman" w:cs="Times New Roman"/>
          <w:sz w:val="20"/>
          <w:szCs w:val="20"/>
          <w:lang w:bidi="ar-EG"/>
        </w:rPr>
        <w:t>2</w:t>
      </w:r>
      <w:r w:rsidRPr="0032790C">
        <w:rPr>
          <w:rFonts w:ascii="Times New Roman" w:hAnsi="Times New Roman" w:cs="Times New Roman"/>
          <w:sz w:val="20"/>
          <w:szCs w:val="20"/>
          <w:lang w:bidi="ar-EG"/>
        </w:rPr>
        <w:t>00 µg/ml is as follows:</w:t>
      </w:r>
    </w:p>
    <w:p w:rsidR="00364D8A" w:rsidRPr="0032790C" w:rsidRDefault="00364D8A" w:rsidP="00294C32">
      <w:pPr>
        <w:bidi w:val="0"/>
        <w:adjustRightInd w:val="0"/>
        <w:snapToGrid w:val="0"/>
        <w:spacing w:after="0" w:line="240" w:lineRule="auto"/>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Double treatment</w:t>
      </w:r>
      <w:r w:rsidR="003E1B4B" w:rsidRPr="0032790C">
        <w:rPr>
          <w:rFonts w:ascii="Times New Roman" w:hAnsi="Times New Roman" w:cs="Times New Roman"/>
          <w:sz w:val="20"/>
          <w:szCs w:val="20"/>
          <w:rtl/>
          <w:lang w:bidi="ar-EG"/>
        </w:rPr>
        <w:t>&lt;</w:t>
      </w:r>
      <w:r w:rsidRPr="0032790C">
        <w:rPr>
          <w:rFonts w:ascii="Times New Roman" w:hAnsi="Times New Roman" w:cs="Times New Roman"/>
          <w:sz w:val="20"/>
          <w:szCs w:val="20"/>
          <w:lang w:bidi="ar-EG"/>
        </w:rPr>
        <w:t xml:space="preserve"> Dacarbazine</w:t>
      </w:r>
      <w:r w:rsidR="003E1B4B" w:rsidRPr="0032790C">
        <w:rPr>
          <w:rFonts w:ascii="Times New Roman" w:hAnsi="Times New Roman" w:cs="Times New Roman"/>
          <w:sz w:val="20"/>
          <w:szCs w:val="20"/>
          <w:lang w:bidi="ar-EG"/>
        </w:rPr>
        <w:t xml:space="preserve"> treatment </w:t>
      </w:r>
      <w:r w:rsidR="003E1B4B" w:rsidRPr="0032790C">
        <w:rPr>
          <w:rFonts w:ascii="Times New Roman" w:hAnsi="Times New Roman" w:cs="Times New Roman"/>
          <w:sz w:val="20"/>
          <w:szCs w:val="20"/>
          <w:rtl/>
          <w:lang w:bidi="ar-EG"/>
        </w:rPr>
        <w:t>&lt;</w:t>
      </w:r>
      <w:r w:rsidRPr="0032790C">
        <w:rPr>
          <w:rFonts w:ascii="Times New Roman" w:hAnsi="Times New Roman" w:cs="Times New Roman"/>
          <w:sz w:val="20"/>
          <w:szCs w:val="20"/>
          <w:lang w:bidi="ar-EG"/>
        </w:rPr>
        <w:t xml:space="preserve"> propolis</w:t>
      </w:r>
      <w:r w:rsidR="003E1B4B" w:rsidRPr="0032790C">
        <w:rPr>
          <w:rFonts w:ascii="Times New Roman" w:hAnsi="Times New Roman" w:cs="Times New Roman"/>
          <w:sz w:val="20"/>
          <w:szCs w:val="20"/>
          <w:lang w:bidi="ar-EG"/>
        </w:rPr>
        <w:t xml:space="preserve"> treatment</w:t>
      </w:r>
    </w:p>
    <w:p w:rsidR="00B41FFC" w:rsidRPr="0032790C" w:rsidRDefault="00B41FFC" w:rsidP="00294C32">
      <w:pPr>
        <w:bidi w:val="0"/>
        <w:adjustRightInd w:val="0"/>
        <w:snapToGrid w:val="0"/>
        <w:spacing w:after="0" w:line="240" w:lineRule="auto"/>
        <w:jc w:val="both"/>
        <w:rPr>
          <w:rFonts w:ascii="Times New Roman" w:hAnsi="Times New Roman" w:cs="Times New Roman"/>
          <w:sz w:val="20"/>
          <w:szCs w:val="20"/>
          <w:lang w:bidi="ar-EG"/>
        </w:rPr>
        <w:sectPr w:rsidR="00B41FFC" w:rsidRPr="0032790C" w:rsidSect="00B41FFC">
          <w:type w:val="continuous"/>
          <w:pgSz w:w="12242" w:h="15842" w:code="1"/>
          <w:pgMar w:top="1440" w:right="1440" w:bottom="1440" w:left="1440" w:header="720" w:footer="720" w:gutter="0"/>
          <w:cols w:num="2" w:space="550"/>
          <w:docGrid w:linePitch="360"/>
        </w:sectPr>
      </w:pPr>
    </w:p>
    <w:p w:rsidR="00B8616C" w:rsidRPr="0032790C" w:rsidRDefault="00B8616C" w:rsidP="00294C32">
      <w:pPr>
        <w:bidi w:val="0"/>
        <w:adjustRightInd w:val="0"/>
        <w:snapToGrid w:val="0"/>
        <w:spacing w:after="0" w:line="240" w:lineRule="auto"/>
        <w:jc w:val="both"/>
        <w:rPr>
          <w:rFonts w:ascii="Times New Roman" w:hAnsi="Times New Roman" w:cs="Times New Roman"/>
          <w:sz w:val="20"/>
          <w:szCs w:val="20"/>
          <w:lang w:bidi="ar-EG"/>
        </w:rPr>
      </w:pPr>
    </w:p>
    <w:p w:rsidR="00F739E0" w:rsidRPr="0032790C" w:rsidRDefault="002E66DC" w:rsidP="00294C32">
      <w:pPr>
        <w:bidi w:val="0"/>
        <w:adjustRightInd w:val="0"/>
        <w:snapToGrid w:val="0"/>
        <w:spacing w:after="0" w:line="240" w:lineRule="auto"/>
        <w:jc w:val="center"/>
        <w:rPr>
          <w:rFonts w:ascii="Times New Roman" w:hAnsi="Times New Roman" w:cs="Times New Roman"/>
          <w:b/>
          <w:bCs/>
          <w:sz w:val="20"/>
          <w:szCs w:val="20"/>
          <w:lang w:bidi="ar-EG"/>
        </w:rPr>
      </w:pPr>
      <w:r w:rsidRPr="0032790C">
        <w:rPr>
          <w:rFonts w:ascii="Times New Roman" w:hAnsi="Times New Roman" w:cs="Times New Roman"/>
          <w:b/>
          <w:bCs/>
          <w:noProof/>
          <w:sz w:val="20"/>
          <w:szCs w:val="20"/>
          <w:lang w:eastAsia="zh-CN"/>
        </w:rPr>
        <w:drawing>
          <wp:inline distT="0" distB="0" distL="0" distR="0">
            <wp:extent cx="4648200" cy="5543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48200" cy="5543550"/>
                    </a:xfrm>
                    <a:prstGeom prst="rect">
                      <a:avLst/>
                    </a:prstGeom>
                    <a:noFill/>
                    <a:ln w="9525">
                      <a:noFill/>
                      <a:miter lim="800000"/>
                      <a:headEnd/>
                      <a:tailEnd/>
                    </a:ln>
                  </pic:spPr>
                </pic:pic>
              </a:graphicData>
            </a:graphic>
          </wp:inline>
        </w:drawing>
      </w:r>
    </w:p>
    <w:p w:rsidR="00DC2018" w:rsidRPr="0032790C" w:rsidRDefault="00DC2018" w:rsidP="00294C32">
      <w:pPr>
        <w:bidi w:val="0"/>
        <w:adjustRightInd w:val="0"/>
        <w:snapToGrid w:val="0"/>
        <w:spacing w:after="0" w:line="240" w:lineRule="auto"/>
        <w:jc w:val="both"/>
        <w:rPr>
          <w:rFonts w:ascii="Times New Roman" w:hAnsi="Times New Roman" w:cs="Times New Roman"/>
          <w:sz w:val="20"/>
          <w:szCs w:val="20"/>
        </w:rPr>
      </w:pPr>
      <w:r w:rsidRPr="0032790C">
        <w:rPr>
          <w:rFonts w:ascii="Times New Roman" w:hAnsi="Times New Roman" w:cs="Times New Roman"/>
          <w:b/>
          <w:bCs/>
          <w:sz w:val="20"/>
          <w:szCs w:val="20"/>
        </w:rPr>
        <w:t xml:space="preserve">Fig </w:t>
      </w:r>
      <w:r w:rsidR="0032790C">
        <w:rPr>
          <w:rFonts w:ascii="Times New Roman" w:hAnsi="Times New Roman" w:cs="Times New Roman"/>
          <w:b/>
          <w:bCs/>
          <w:sz w:val="20"/>
          <w:szCs w:val="20"/>
        </w:rPr>
        <w:t>(</w:t>
      </w:r>
      <w:r w:rsidRPr="0032790C">
        <w:rPr>
          <w:rFonts w:ascii="Times New Roman" w:hAnsi="Times New Roman" w:cs="Times New Roman"/>
          <w:b/>
          <w:bCs/>
          <w:sz w:val="20"/>
          <w:szCs w:val="20"/>
        </w:rPr>
        <w:t>2)</w:t>
      </w:r>
      <w:r w:rsidR="0032790C">
        <w:rPr>
          <w:rFonts w:ascii="Times New Roman" w:hAnsi="Times New Roman" w:cs="Times New Roman"/>
          <w:b/>
          <w:bCs/>
          <w:sz w:val="20"/>
          <w:szCs w:val="20"/>
        </w:rPr>
        <w:t>:</w:t>
      </w:r>
      <w:r w:rsidRPr="0032790C">
        <w:rPr>
          <w:rFonts w:ascii="Times New Roman" w:hAnsi="Times New Roman" w:cs="Times New Roman"/>
          <w:sz w:val="20"/>
          <w:szCs w:val="20"/>
        </w:rPr>
        <w:t xml:space="preserve"> Morphological and cytological features of liver cancer cells of the lines HepG 2 Treatment with Different concentrations of Propolis</w:t>
      </w:r>
      <w:r w:rsidR="0032790C" w:rsidRPr="0032790C">
        <w:rPr>
          <w:rFonts w:ascii="Times New Roman" w:hAnsi="Times New Roman" w:cs="Times New Roman"/>
          <w:sz w:val="20"/>
          <w:szCs w:val="20"/>
        </w:rPr>
        <w:t>,</w:t>
      </w:r>
      <w:r w:rsidR="0032790C" w:rsidRPr="0032790C">
        <w:rPr>
          <w:rFonts w:ascii="Times New Roman" w:hAnsi="Times New Roman" w:cs="Times New Roman" w:hint="eastAsia"/>
          <w:sz w:val="20"/>
          <w:szCs w:val="20"/>
          <w:lang w:eastAsia="zh-CN"/>
        </w:rPr>
        <w:t xml:space="preserve"> </w:t>
      </w:r>
      <w:r w:rsidRPr="0032790C">
        <w:rPr>
          <w:rFonts w:ascii="Times New Roman" w:hAnsi="Times New Roman" w:cs="Times New Roman"/>
          <w:sz w:val="20"/>
          <w:szCs w:val="20"/>
        </w:rPr>
        <w:t>Dacarbazine, and The Dual Treatment with</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Propolis and Dacarbazine after 72</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 xml:space="preserve">(X1000) </w:t>
      </w:r>
    </w:p>
    <w:p w:rsidR="00397591" w:rsidRPr="0032790C" w:rsidRDefault="00397591" w:rsidP="00294C32">
      <w:pPr>
        <w:bidi w:val="0"/>
        <w:adjustRightInd w:val="0"/>
        <w:snapToGrid w:val="0"/>
        <w:spacing w:after="0" w:line="240" w:lineRule="auto"/>
        <w:ind w:right="-284"/>
        <w:rPr>
          <w:rFonts w:cs="Times New Roman"/>
          <w:sz w:val="20"/>
          <w:szCs w:val="20"/>
        </w:rPr>
      </w:pPr>
    </w:p>
    <w:p w:rsidR="00DC2018" w:rsidRPr="0032790C" w:rsidRDefault="00DC2018" w:rsidP="00294C32">
      <w:pPr>
        <w:bidi w:val="0"/>
        <w:adjustRightInd w:val="0"/>
        <w:snapToGrid w:val="0"/>
        <w:spacing w:after="0" w:line="240" w:lineRule="auto"/>
        <w:ind w:right="-284"/>
        <w:rPr>
          <w:rFonts w:ascii="Times New Roman" w:hAnsi="Times New Roman" w:cs="Times New Roman"/>
          <w:sz w:val="20"/>
          <w:szCs w:val="20"/>
        </w:rPr>
      </w:pPr>
      <w:r w:rsidRPr="0032790C">
        <w:rPr>
          <w:rFonts w:ascii="Times New Roman" w:hAnsi="Times New Roman" w:cs="Times New Roman"/>
          <w:b/>
          <w:bCs/>
          <w:sz w:val="20"/>
          <w:szCs w:val="20"/>
        </w:rPr>
        <w:lastRenderedPageBreak/>
        <w:t>Table (1)</w:t>
      </w:r>
      <w:r w:rsidR="0032790C">
        <w:rPr>
          <w:rFonts w:ascii="Times New Roman" w:hAnsi="Times New Roman" w:cs="Times New Roman"/>
          <w:b/>
          <w:bCs/>
          <w:sz w:val="20"/>
          <w:szCs w:val="20"/>
        </w:rPr>
        <w:t>:</w:t>
      </w:r>
      <w:r w:rsidRPr="0032790C">
        <w:rPr>
          <w:rFonts w:ascii="Times New Roman" w:hAnsi="Times New Roman" w:cs="Times New Roman"/>
          <w:b/>
          <w:bCs/>
          <w:sz w:val="20"/>
          <w:szCs w:val="20"/>
        </w:rPr>
        <w:t xml:space="preserve"> </w:t>
      </w:r>
      <w:r w:rsidRPr="0032790C">
        <w:rPr>
          <w:rFonts w:ascii="Times New Roman" w:hAnsi="Times New Roman" w:cs="Times New Roman"/>
          <w:sz w:val="20"/>
          <w:szCs w:val="20"/>
        </w:rPr>
        <w:t>The Effects of Different concentrations of Treatment by</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Propolis</w:t>
      </w:r>
      <w:r w:rsidR="0032790C" w:rsidRPr="0032790C">
        <w:rPr>
          <w:rFonts w:ascii="Times New Roman" w:hAnsi="Times New Roman" w:cs="Times New Roman"/>
          <w:sz w:val="20"/>
          <w:szCs w:val="20"/>
        </w:rPr>
        <w:t>,</w:t>
      </w:r>
      <w:r w:rsidR="006F7038" w:rsidRPr="0032790C">
        <w:rPr>
          <w:rFonts w:ascii="Times New Roman" w:hAnsi="Times New Roman" w:cs="Times New Roman" w:hint="eastAsia"/>
          <w:sz w:val="20"/>
          <w:szCs w:val="20"/>
          <w:lang w:eastAsia="zh-CN"/>
        </w:rPr>
        <w:t xml:space="preserve"> </w:t>
      </w:r>
      <w:r w:rsidRPr="0032790C">
        <w:rPr>
          <w:rFonts w:ascii="Times New Roman" w:hAnsi="Times New Roman" w:cs="Times New Roman"/>
          <w:sz w:val="20"/>
          <w:szCs w:val="20"/>
        </w:rPr>
        <w:t>Dacarbazine, and The Dual Treatment with</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Propolis and Dacarbazine on the mean of liver cancer</w:t>
      </w:r>
      <w:r w:rsidR="0032790C">
        <w:rPr>
          <w:rFonts w:ascii="Times New Roman" w:hAnsi="Times New Roman" w:cs="Times New Roman"/>
          <w:sz w:val="20"/>
          <w:szCs w:val="20"/>
        </w:rPr>
        <w:t xml:space="preserve"> </w:t>
      </w:r>
      <w:r w:rsidRPr="0032790C">
        <w:rPr>
          <w:rFonts w:ascii="Times New Roman" w:hAnsi="Times New Roman" w:cs="Times New Roman"/>
          <w:sz w:val="20"/>
          <w:szCs w:val="20"/>
        </w:rPr>
        <w:t>cells of the lines HepG 2 after 48 h</w:t>
      </w:r>
    </w:p>
    <w:tbl>
      <w:tblPr>
        <w:bidiVisual/>
        <w:tblW w:w="5000" w:type="pct"/>
        <w:jc w:val="center"/>
        <w:tblLook w:val="04A0"/>
      </w:tblPr>
      <w:tblGrid>
        <w:gridCol w:w="1087"/>
        <w:gridCol w:w="1754"/>
        <w:gridCol w:w="1034"/>
        <w:gridCol w:w="1446"/>
        <w:gridCol w:w="1754"/>
        <w:gridCol w:w="1464"/>
        <w:gridCol w:w="1039"/>
      </w:tblGrid>
      <w:tr w:rsidR="00294C32" w:rsidRPr="00294C32" w:rsidTr="00294C32">
        <w:trPr>
          <w:cantSplit/>
          <w:jc w:val="center"/>
        </w:trPr>
        <w:tc>
          <w:tcPr>
            <w:tcW w:w="568" w:type="pct"/>
            <w:tcBorders>
              <w:top w:val="single" w:sz="12" w:space="0" w:color="auto"/>
              <w:left w:val="single" w:sz="12" w:space="0" w:color="auto"/>
              <w:bottom w:val="single" w:sz="4" w:space="0" w:color="auto"/>
              <w:right w:val="double" w:sz="4"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tl/>
              </w:rPr>
              <w:t>%</w:t>
            </w:r>
            <w:r w:rsidR="00294C32" w:rsidRPr="00294C32">
              <w:rPr>
                <w:rFonts w:ascii="Times New Roman" w:hAnsi="Times New Roman" w:cs="Times New Roman" w:hint="eastAsia"/>
                <w:b/>
                <w:bCs/>
                <w:sz w:val="16"/>
                <w:szCs w:val="16"/>
                <w:lang w:eastAsia="zh-CN"/>
              </w:rPr>
              <w:t xml:space="preserve"> </w:t>
            </w:r>
            <w:r w:rsidRPr="00294C32">
              <w:rPr>
                <w:rFonts w:ascii="Times New Roman" w:hAnsi="Times New Roman" w:cs="Times New Roman"/>
                <w:b/>
                <w:bCs/>
                <w:sz w:val="16"/>
                <w:szCs w:val="16"/>
              </w:rPr>
              <w:t xml:space="preserve">Inhibition </w:t>
            </w:r>
          </w:p>
        </w:tc>
        <w:tc>
          <w:tcPr>
            <w:tcW w:w="916" w:type="pct"/>
            <w:tcBorders>
              <w:top w:val="single" w:sz="12" w:space="0" w:color="auto"/>
              <w:left w:val="double" w:sz="4" w:space="0" w:color="auto"/>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Survival Fraction (SF)</w:t>
            </w:r>
          </w:p>
        </w:tc>
        <w:tc>
          <w:tcPr>
            <w:tcW w:w="540"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Absorbance</w:t>
            </w:r>
          </w:p>
        </w:tc>
        <w:tc>
          <w:tcPr>
            <w:tcW w:w="755"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Mean</w:t>
            </w:r>
            <w:r w:rsidR="0032790C" w:rsidRPr="00294C32">
              <w:rPr>
                <w:rFonts w:ascii="Times New Roman" w:hAnsi="Times New Roman" w:cs="Times New Roman"/>
                <w:b/>
                <w:bCs/>
                <w:sz w:val="16"/>
                <w:szCs w:val="16"/>
              </w:rPr>
              <w:t xml:space="preserve"> </w:t>
            </w:r>
            <w:r w:rsidRPr="00294C32">
              <w:rPr>
                <w:rFonts w:ascii="Times New Roman" w:hAnsi="Times New Roman" w:cs="Times New Roman"/>
                <w:b/>
                <w:bCs/>
                <w:sz w:val="16"/>
                <w:szCs w:val="16"/>
              </w:rPr>
              <w:t>± Std.Error</w:t>
            </w:r>
          </w:p>
        </w:tc>
        <w:tc>
          <w:tcPr>
            <w:tcW w:w="916"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No. cell line</w:t>
            </w:r>
          </w:p>
        </w:tc>
        <w:tc>
          <w:tcPr>
            <w:tcW w:w="764" w:type="pct"/>
            <w:tcBorders>
              <w:top w:val="single" w:sz="12" w:space="0" w:color="auto"/>
              <w:left w:val="nil"/>
              <w:bottom w:val="single" w:sz="4" w:space="0" w:color="auto"/>
              <w:right w:val="double" w:sz="4"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Pr>
            </w:pPr>
            <w:r w:rsidRPr="00294C32">
              <w:rPr>
                <w:rStyle w:val="hps"/>
                <w:rFonts w:ascii="Times New Roman" w:hAnsi="Times New Roman" w:cs="Times New Roman"/>
                <w:b/>
                <w:bCs/>
                <w:sz w:val="16"/>
                <w:szCs w:val="16"/>
              </w:rPr>
              <w:t>Groups</w:t>
            </w:r>
            <w:r w:rsidRPr="00294C32">
              <w:rPr>
                <w:rFonts w:ascii="Times New Roman" w:hAnsi="Times New Roman" w:cs="Times New Roman"/>
                <w:sz w:val="16"/>
                <w:szCs w:val="16"/>
              </w:rPr>
              <w:t xml:space="preserve"> </w:t>
            </w:r>
            <w:r w:rsidRPr="00294C32">
              <w:rPr>
                <w:rStyle w:val="hps"/>
                <w:rFonts w:ascii="Times New Roman" w:hAnsi="Times New Roman" w:cs="Times New Roman"/>
                <w:b/>
                <w:bCs/>
                <w:sz w:val="16"/>
                <w:szCs w:val="16"/>
              </w:rPr>
              <w:t>Treatment</w:t>
            </w:r>
          </w:p>
        </w:tc>
        <w:tc>
          <w:tcPr>
            <w:tcW w:w="542" w:type="pct"/>
            <w:tcBorders>
              <w:top w:val="single" w:sz="12" w:space="0" w:color="auto"/>
              <w:left w:val="double" w:sz="4" w:space="0" w:color="auto"/>
              <w:bottom w:val="single" w:sz="4" w:space="0" w:color="auto"/>
              <w:right w:val="single" w:sz="12"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Pr>
            </w:pPr>
            <w:r w:rsidRPr="00294C32">
              <w:rPr>
                <w:rStyle w:val="hps"/>
                <w:rFonts w:ascii="Times New Roman" w:hAnsi="Times New Roman" w:cs="Times New Roman"/>
                <w:b/>
                <w:bCs/>
                <w:sz w:val="16"/>
                <w:szCs w:val="16"/>
              </w:rPr>
              <w:t>Con.(ug/ml)</w:t>
            </w:r>
          </w:p>
        </w:tc>
      </w:tr>
      <w:tr w:rsidR="00294C32" w:rsidRPr="00294C32" w:rsidTr="00294C32">
        <w:trPr>
          <w:cantSplit/>
          <w:jc w:val="center"/>
        </w:trPr>
        <w:tc>
          <w:tcPr>
            <w:tcW w:w="568" w:type="pct"/>
            <w:tcBorders>
              <w:top w:val="nil"/>
              <w:left w:val="single" w:sz="12" w:space="0" w:color="auto"/>
              <w:bottom w:val="single" w:sz="4"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nil"/>
              <w:left w:val="double" w:sz="4" w:space="0" w:color="auto"/>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nil"/>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0.354</w:t>
            </w:r>
          </w:p>
        </w:tc>
        <w:tc>
          <w:tcPr>
            <w:tcW w:w="755" w:type="pct"/>
            <w:tcBorders>
              <w:top w:val="nil"/>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w:t>
            </w:r>
            <w:r w:rsidRPr="00294C32">
              <w:rPr>
                <w:rFonts w:ascii="Times New Roman" w:hAnsi="Times New Roman" w:cs="Times New Roman"/>
                <w:b/>
                <w:bCs/>
                <w:sz w:val="19"/>
                <w:szCs w:val="19"/>
              </w:rPr>
              <w:t>.355 ± 0.009</w:t>
            </w:r>
          </w:p>
        </w:tc>
        <w:tc>
          <w:tcPr>
            <w:tcW w:w="916" w:type="pct"/>
            <w:tcBorders>
              <w:top w:val="single" w:sz="4" w:space="0" w:color="auto"/>
              <w:left w:val="nil"/>
              <w:bottom w:val="single" w:sz="4"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nil"/>
              <w:bottom w:val="nil"/>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2" w:type="pct"/>
            <w:vMerge w:val="restart"/>
            <w:tcBorders>
              <w:top w:val="single" w:sz="4"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50</w:t>
            </w:r>
          </w:p>
        </w:tc>
      </w:tr>
      <w:tr w:rsidR="00294C32" w:rsidRPr="00294C32" w:rsidTr="00294C32">
        <w:trPr>
          <w:cantSplit/>
          <w:jc w:val="center"/>
        </w:trPr>
        <w:tc>
          <w:tcPr>
            <w:tcW w:w="568" w:type="pct"/>
            <w:tcBorders>
              <w:top w:val="nil"/>
              <w:left w:val="single" w:sz="12" w:space="0" w:color="auto"/>
              <w:bottom w:val="single" w:sz="4" w:space="0" w:color="auto"/>
              <w:right w:val="double" w:sz="4" w:space="0" w:color="auto"/>
            </w:tcBorders>
            <w:shd w:val="pct50" w:color="FF99CC" w:fill="auto"/>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41.249</w:t>
            </w:r>
          </w:p>
        </w:tc>
        <w:tc>
          <w:tcPr>
            <w:tcW w:w="916" w:type="pct"/>
            <w:tcBorders>
              <w:top w:val="nil"/>
              <w:left w:val="double" w:sz="4" w:space="0" w:color="auto"/>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0.588</w:t>
            </w:r>
          </w:p>
        </w:tc>
        <w:tc>
          <w:tcPr>
            <w:tcW w:w="540" w:type="pct"/>
            <w:tcBorders>
              <w:top w:val="nil"/>
              <w:left w:val="nil"/>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0.208</w:t>
            </w:r>
          </w:p>
        </w:tc>
        <w:tc>
          <w:tcPr>
            <w:tcW w:w="755" w:type="pct"/>
            <w:tcBorders>
              <w:top w:val="nil"/>
              <w:left w:val="nil"/>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0.217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0.209</w:t>
            </w:r>
          </w:p>
        </w:tc>
        <w:tc>
          <w:tcPr>
            <w:tcW w:w="916" w:type="pct"/>
            <w:tcBorders>
              <w:top w:val="nil"/>
              <w:left w:val="nil"/>
              <w:bottom w:val="single" w:sz="4" w:space="0" w:color="auto"/>
              <w:right w:val="double" w:sz="6" w:space="0" w:color="auto"/>
            </w:tcBorders>
            <w:shd w:val="pct50" w:color="FF99CC" w:fill="auto"/>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double" w:sz="6" w:space="0" w:color="auto"/>
              <w:bottom w:val="single" w:sz="4" w:space="0" w:color="auto"/>
              <w:right w:val="double" w:sz="4" w:space="0" w:color="auto"/>
            </w:tcBorders>
            <w:shd w:val="pct50" w:color="FF99CC"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2"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nil"/>
              <w:left w:val="single" w:sz="12" w:space="0" w:color="auto"/>
              <w:bottom w:val="single" w:sz="4"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47.740</w:t>
            </w:r>
          </w:p>
        </w:tc>
        <w:tc>
          <w:tcPr>
            <w:tcW w:w="916" w:type="pct"/>
            <w:tcBorders>
              <w:top w:val="nil"/>
              <w:left w:val="double" w:sz="4" w:space="0" w:color="auto"/>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0.523</w:t>
            </w:r>
          </w:p>
        </w:tc>
        <w:tc>
          <w:tcPr>
            <w:tcW w:w="540" w:type="pct"/>
            <w:tcBorders>
              <w:top w:val="nil"/>
              <w:left w:val="nil"/>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0.185</w:t>
            </w:r>
          </w:p>
        </w:tc>
        <w:tc>
          <w:tcPr>
            <w:tcW w:w="755" w:type="pct"/>
            <w:tcBorders>
              <w:top w:val="nil"/>
              <w:left w:val="single" w:sz="8" w:space="0" w:color="auto"/>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32790C"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DC2018" w:rsidRPr="00294C32">
              <w:rPr>
                <w:rFonts w:ascii="Times New Roman" w:hAnsi="Times New Roman" w:cs="Times New Roman"/>
                <w:b/>
                <w:bCs/>
                <w:sz w:val="19"/>
                <w:szCs w:val="19"/>
                <w:rtl/>
              </w:rPr>
              <w:t>0.163 ± 0.186</w:t>
            </w:r>
            <w:r w:rsidRPr="00294C32">
              <w:rPr>
                <w:rFonts w:ascii="Times New Roman" w:hAnsi="Times New Roman" w:cs="Times New Roman"/>
                <w:b/>
                <w:bCs/>
                <w:sz w:val="19"/>
                <w:szCs w:val="19"/>
                <w:rtl/>
              </w:rPr>
              <w:t xml:space="preserve"> </w:t>
            </w:r>
          </w:p>
        </w:tc>
        <w:tc>
          <w:tcPr>
            <w:tcW w:w="916" w:type="pct"/>
            <w:tcBorders>
              <w:top w:val="nil"/>
              <w:left w:val="nil"/>
              <w:bottom w:val="single" w:sz="4"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nil"/>
              <w:left w:val="nil"/>
              <w:bottom w:val="single" w:sz="4"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2"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nil"/>
              <w:left w:val="single" w:sz="12" w:space="0" w:color="auto"/>
              <w:bottom w:val="double" w:sz="4"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43.503</w:t>
            </w:r>
          </w:p>
        </w:tc>
        <w:tc>
          <w:tcPr>
            <w:tcW w:w="916" w:type="pct"/>
            <w:tcBorders>
              <w:top w:val="nil"/>
              <w:left w:val="double" w:sz="4" w:space="0" w:color="auto"/>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0.565</w:t>
            </w:r>
          </w:p>
        </w:tc>
        <w:tc>
          <w:tcPr>
            <w:tcW w:w="540" w:type="pct"/>
            <w:tcBorders>
              <w:top w:val="nil"/>
              <w:left w:val="nil"/>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0.200</w:t>
            </w:r>
          </w:p>
        </w:tc>
        <w:tc>
          <w:tcPr>
            <w:tcW w:w="755" w:type="pct"/>
            <w:tcBorders>
              <w:top w:val="nil"/>
              <w:left w:val="single" w:sz="8" w:space="0" w:color="auto"/>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0.007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0.201</w:t>
            </w:r>
          </w:p>
        </w:tc>
        <w:tc>
          <w:tcPr>
            <w:tcW w:w="916" w:type="pct"/>
            <w:tcBorders>
              <w:top w:val="nil"/>
              <w:left w:val="nil"/>
              <w:bottom w:val="double" w:sz="4"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nil"/>
              <w:left w:val="double" w:sz="6" w:space="0" w:color="auto"/>
              <w:bottom w:val="double" w:sz="4"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2" w:type="pct"/>
            <w:vMerge/>
            <w:tcBorders>
              <w:left w:val="double" w:sz="4" w:space="0" w:color="auto"/>
              <w:bottom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double" w:sz="4" w:space="0" w:color="auto"/>
              <w:left w:val="single" w:sz="12" w:space="0" w:color="auto"/>
              <w:bottom w:val="single" w:sz="4"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double" w:sz="4" w:space="0" w:color="auto"/>
              <w:left w:val="double" w:sz="4" w:space="0" w:color="auto"/>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double" w:sz="4" w:space="0" w:color="auto"/>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0.354</w:t>
            </w:r>
          </w:p>
        </w:tc>
        <w:tc>
          <w:tcPr>
            <w:tcW w:w="755" w:type="pct"/>
            <w:tcBorders>
              <w:top w:val="double" w:sz="4" w:space="0" w:color="auto"/>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0.009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0.355</w:t>
            </w:r>
          </w:p>
        </w:tc>
        <w:tc>
          <w:tcPr>
            <w:tcW w:w="916" w:type="pct"/>
            <w:tcBorders>
              <w:top w:val="double" w:sz="4" w:space="0" w:color="auto"/>
              <w:left w:val="nil"/>
              <w:bottom w:val="single" w:sz="4"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double" w:sz="4" w:space="0" w:color="auto"/>
              <w:left w:val="nil"/>
              <w:bottom w:val="single" w:sz="4" w:space="0" w:color="auto"/>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2" w:type="pct"/>
            <w:vMerge w:val="restart"/>
            <w:tcBorders>
              <w:top w:val="double" w:sz="4"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100</w:t>
            </w:r>
          </w:p>
        </w:tc>
      </w:tr>
      <w:tr w:rsidR="00294C32" w:rsidRPr="00294C32" w:rsidTr="00294C32">
        <w:trPr>
          <w:cantSplit/>
          <w:jc w:val="center"/>
        </w:trPr>
        <w:tc>
          <w:tcPr>
            <w:tcW w:w="568" w:type="pct"/>
            <w:tcBorders>
              <w:top w:val="nil"/>
              <w:left w:val="single" w:sz="12" w:space="0" w:color="auto"/>
              <w:bottom w:val="single" w:sz="2" w:space="0" w:color="auto"/>
              <w:right w:val="double" w:sz="4" w:space="0" w:color="auto"/>
            </w:tcBorders>
            <w:shd w:val="clear" w:color="auto" w:fill="FFD1E8"/>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38.701</w:t>
            </w:r>
          </w:p>
        </w:tc>
        <w:tc>
          <w:tcPr>
            <w:tcW w:w="916" w:type="pct"/>
            <w:tcBorders>
              <w:top w:val="nil"/>
              <w:left w:val="doub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0.613</w:t>
            </w:r>
          </w:p>
        </w:tc>
        <w:tc>
          <w:tcPr>
            <w:tcW w:w="540" w:type="pct"/>
            <w:tcBorders>
              <w:top w:val="nil"/>
              <w:left w:val="nil"/>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0.217</w:t>
            </w:r>
          </w:p>
        </w:tc>
        <w:tc>
          <w:tcPr>
            <w:tcW w:w="755" w:type="pct"/>
            <w:tcBorders>
              <w:top w:val="nil"/>
              <w:left w:val="sing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0.005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0.217</w:t>
            </w:r>
          </w:p>
        </w:tc>
        <w:tc>
          <w:tcPr>
            <w:tcW w:w="916" w:type="pct"/>
            <w:tcBorders>
              <w:top w:val="nil"/>
              <w:left w:val="nil"/>
              <w:bottom w:val="single" w:sz="2" w:space="0" w:color="auto"/>
              <w:right w:val="double" w:sz="6" w:space="0" w:color="auto"/>
            </w:tcBorders>
            <w:shd w:val="clear" w:color="auto" w:fill="FFD1E8"/>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nil"/>
              <w:bottom w:val="single" w:sz="4" w:space="0" w:color="auto"/>
              <w:right w:val="double" w:sz="4" w:space="0" w:color="auto"/>
            </w:tcBorders>
            <w:shd w:val="clear" w:color="auto" w:fill="FFD1E8"/>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2"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single" w:sz="2" w:space="0" w:color="auto"/>
              <w:left w:val="single" w:sz="12" w:space="0" w:color="auto"/>
              <w:bottom w:val="single" w:sz="2"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45.480</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0.545</w:t>
            </w:r>
          </w:p>
        </w:tc>
        <w:tc>
          <w:tcPr>
            <w:tcW w:w="540" w:type="pct"/>
            <w:tcBorders>
              <w:top w:val="single" w:sz="2" w:space="0" w:color="auto"/>
              <w:left w:val="nil"/>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0.193</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0.193</w:t>
            </w:r>
          </w:p>
        </w:tc>
        <w:tc>
          <w:tcPr>
            <w:tcW w:w="916" w:type="pct"/>
            <w:tcBorders>
              <w:top w:val="single" w:sz="2" w:space="0" w:color="auto"/>
              <w:left w:val="nil"/>
              <w:bottom w:val="single" w:sz="2"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nil"/>
              <w:bottom w:val="single" w:sz="4"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2"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single" w:sz="2" w:space="0" w:color="auto"/>
              <w:left w:val="single" w:sz="12" w:space="0" w:color="auto"/>
              <w:bottom w:val="double" w:sz="2"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lastRenderedPageBreak/>
              <w:t>46.328</w:t>
            </w:r>
          </w:p>
        </w:tc>
        <w:tc>
          <w:tcPr>
            <w:tcW w:w="916" w:type="pct"/>
            <w:tcBorders>
              <w:top w:val="single" w:sz="2" w:space="0" w:color="auto"/>
              <w:left w:val="double" w:sz="4" w:space="0" w:color="auto"/>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0.537</w:t>
            </w:r>
          </w:p>
        </w:tc>
        <w:tc>
          <w:tcPr>
            <w:tcW w:w="540" w:type="pct"/>
            <w:tcBorders>
              <w:top w:val="single" w:sz="2" w:space="0" w:color="auto"/>
              <w:left w:val="nil"/>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0.190</w:t>
            </w:r>
          </w:p>
        </w:tc>
        <w:tc>
          <w:tcPr>
            <w:tcW w:w="755" w:type="pct"/>
            <w:tcBorders>
              <w:top w:val="single" w:sz="2" w:space="0" w:color="auto"/>
              <w:left w:val="single" w:sz="4" w:space="0" w:color="auto"/>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0.106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0.190</w:t>
            </w:r>
          </w:p>
        </w:tc>
        <w:tc>
          <w:tcPr>
            <w:tcW w:w="916" w:type="pct"/>
            <w:tcBorders>
              <w:top w:val="single" w:sz="2" w:space="0" w:color="auto"/>
              <w:left w:val="nil"/>
              <w:bottom w:val="double" w:sz="2"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nil"/>
              <w:bottom w:val="double" w:sz="2"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2" w:type="pct"/>
            <w:vMerge/>
            <w:tcBorders>
              <w:left w:val="double" w:sz="4" w:space="0" w:color="auto"/>
              <w:bottom w:val="double" w:sz="2"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double" w:sz="2" w:space="0" w:color="auto"/>
              <w:left w:val="single" w:sz="12" w:space="0" w:color="auto"/>
              <w:bottom w:val="single" w:sz="2"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double" w:sz="2" w:space="0" w:color="auto"/>
              <w:left w:val="double" w:sz="4" w:space="0" w:color="auto"/>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double" w:sz="2" w:space="0" w:color="auto"/>
              <w:left w:val="nil"/>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0.354</w:t>
            </w:r>
          </w:p>
        </w:tc>
        <w:tc>
          <w:tcPr>
            <w:tcW w:w="755" w:type="pct"/>
            <w:tcBorders>
              <w:top w:val="double" w:sz="2" w:space="0" w:color="auto"/>
              <w:left w:val="single" w:sz="4" w:space="0" w:color="auto"/>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0.009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0.355</w:t>
            </w:r>
          </w:p>
        </w:tc>
        <w:tc>
          <w:tcPr>
            <w:tcW w:w="916" w:type="pct"/>
            <w:tcBorders>
              <w:top w:val="double" w:sz="2" w:space="0" w:color="auto"/>
              <w:left w:val="nil"/>
              <w:bottom w:val="single" w:sz="2"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double" w:sz="2" w:space="0" w:color="auto"/>
              <w:left w:val="nil"/>
              <w:bottom w:val="single" w:sz="2" w:space="0" w:color="auto"/>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2" w:type="pct"/>
            <w:vMerge w:val="restart"/>
            <w:tcBorders>
              <w:top w:val="double" w:sz="2"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200</w:t>
            </w:r>
          </w:p>
        </w:tc>
      </w:tr>
      <w:tr w:rsidR="00294C32" w:rsidRPr="00294C32" w:rsidTr="00294C32">
        <w:trPr>
          <w:cantSplit/>
          <w:jc w:val="center"/>
        </w:trPr>
        <w:tc>
          <w:tcPr>
            <w:tcW w:w="568" w:type="pct"/>
            <w:tcBorders>
              <w:top w:val="single" w:sz="2" w:space="0" w:color="auto"/>
              <w:left w:val="single" w:sz="12" w:space="0" w:color="auto"/>
              <w:bottom w:val="single" w:sz="2" w:space="0" w:color="auto"/>
              <w:right w:val="double" w:sz="4" w:space="0" w:color="auto"/>
            </w:tcBorders>
            <w:shd w:val="clear" w:color="auto" w:fill="FFD1E8"/>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38.701</w:t>
            </w:r>
          </w:p>
        </w:tc>
        <w:tc>
          <w:tcPr>
            <w:tcW w:w="916" w:type="pct"/>
            <w:tcBorders>
              <w:top w:val="single" w:sz="2" w:space="0" w:color="auto"/>
              <w:left w:val="doub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0.613</w:t>
            </w:r>
          </w:p>
        </w:tc>
        <w:tc>
          <w:tcPr>
            <w:tcW w:w="540" w:type="pct"/>
            <w:tcBorders>
              <w:top w:val="single" w:sz="2" w:space="0" w:color="auto"/>
              <w:left w:val="nil"/>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0.217</w:t>
            </w:r>
          </w:p>
        </w:tc>
        <w:tc>
          <w:tcPr>
            <w:tcW w:w="755" w:type="pct"/>
            <w:tcBorders>
              <w:top w:val="single" w:sz="2" w:space="0" w:color="auto"/>
              <w:left w:val="sing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0.217</w:t>
            </w:r>
          </w:p>
        </w:tc>
        <w:tc>
          <w:tcPr>
            <w:tcW w:w="916" w:type="pct"/>
            <w:tcBorders>
              <w:top w:val="single" w:sz="2" w:space="0" w:color="auto"/>
              <w:left w:val="nil"/>
              <w:bottom w:val="single" w:sz="2" w:space="0" w:color="auto"/>
              <w:right w:val="double" w:sz="6" w:space="0" w:color="auto"/>
            </w:tcBorders>
            <w:shd w:val="clear" w:color="auto" w:fill="FFD1E8"/>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2" w:space="0" w:color="auto"/>
              <w:left w:val="nil"/>
              <w:bottom w:val="single" w:sz="4" w:space="0" w:color="auto"/>
              <w:right w:val="double" w:sz="4" w:space="0" w:color="auto"/>
            </w:tcBorders>
            <w:shd w:val="clear" w:color="auto" w:fill="FFD1E8"/>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2" w:type="pct"/>
            <w:vMerge/>
            <w:tcBorders>
              <w:left w:val="double" w:sz="4"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single" w:sz="2" w:space="0" w:color="auto"/>
              <w:left w:val="single" w:sz="12" w:space="0" w:color="auto"/>
              <w:bottom w:val="single" w:sz="2"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50.000</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0.500</w:t>
            </w:r>
          </w:p>
        </w:tc>
        <w:tc>
          <w:tcPr>
            <w:tcW w:w="540" w:type="pct"/>
            <w:tcBorders>
              <w:top w:val="single" w:sz="2" w:space="0" w:color="auto"/>
              <w:left w:val="nil"/>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0.177</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0.003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0.178</w:t>
            </w:r>
          </w:p>
        </w:tc>
        <w:tc>
          <w:tcPr>
            <w:tcW w:w="916" w:type="pct"/>
            <w:tcBorders>
              <w:top w:val="single" w:sz="2" w:space="0" w:color="auto"/>
              <w:left w:val="nil"/>
              <w:bottom w:val="single" w:sz="2"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4" w:space="0" w:color="auto"/>
              <w:left w:val="nil"/>
              <w:bottom w:val="single" w:sz="2"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2" w:type="pct"/>
            <w:vMerge/>
            <w:tcBorders>
              <w:left w:val="double" w:sz="4"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294C32" w:rsidRPr="00294C32" w:rsidTr="00294C32">
        <w:trPr>
          <w:cantSplit/>
          <w:jc w:val="center"/>
        </w:trPr>
        <w:tc>
          <w:tcPr>
            <w:tcW w:w="568" w:type="pct"/>
            <w:tcBorders>
              <w:top w:val="single" w:sz="2" w:space="0" w:color="auto"/>
              <w:left w:val="single" w:sz="12" w:space="0" w:color="auto"/>
              <w:bottom w:val="single" w:sz="12"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48.588</w:t>
            </w:r>
          </w:p>
        </w:tc>
        <w:tc>
          <w:tcPr>
            <w:tcW w:w="916" w:type="pct"/>
            <w:tcBorders>
              <w:top w:val="single" w:sz="2" w:space="0" w:color="auto"/>
              <w:left w:val="double" w:sz="4" w:space="0" w:color="auto"/>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0.514</w:t>
            </w:r>
          </w:p>
        </w:tc>
        <w:tc>
          <w:tcPr>
            <w:tcW w:w="540" w:type="pct"/>
            <w:tcBorders>
              <w:top w:val="single" w:sz="2" w:space="0" w:color="auto"/>
              <w:left w:val="nil"/>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0.182</w:t>
            </w:r>
          </w:p>
        </w:tc>
        <w:tc>
          <w:tcPr>
            <w:tcW w:w="755" w:type="pct"/>
            <w:tcBorders>
              <w:top w:val="single" w:sz="2" w:space="0" w:color="auto"/>
              <w:left w:val="single" w:sz="4" w:space="0" w:color="auto"/>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0.182</w:t>
            </w:r>
          </w:p>
        </w:tc>
        <w:tc>
          <w:tcPr>
            <w:tcW w:w="916" w:type="pct"/>
            <w:tcBorders>
              <w:top w:val="single" w:sz="2" w:space="0" w:color="auto"/>
              <w:left w:val="nil"/>
              <w:bottom w:val="single" w:sz="12"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4" w:type="pct"/>
            <w:tcBorders>
              <w:top w:val="single" w:sz="2" w:space="0" w:color="auto"/>
              <w:left w:val="nil"/>
              <w:bottom w:val="single" w:sz="12"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2" w:type="pct"/>
            <w:vMerge/>
            <w:tcBorders>
              <w:left w:val="double" w:sz="4" w:space="0" w:color="auto"/>
              <w:bottom w:val="single" w:sz="12"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bl>
    <w:p w:rsidR="00DC2018" w:rsidRPr="00294C32" w:rsidRDefault="00DC2018" w:rsidP="00294C32">
      <w:pPr>
        <w:bidi w:val="0"/>
        <w:adjustRightInd w:val="0"/>
        <w:snapToGrid w:val="0"/>
        <w:spacing w:after="0" w:line="240" w:lineRule="auto"/>
        <w:rPr>
          <w:rFonts w:ascii="Times New Roman" w:hAnsi="Times New Roman" w:cs="Times New Roman"/>
          <w:b/>
          <w:bCs/>
          <w:sz w:val="19"/>
          <w:szCs w:val="19"/>
        </w:rPr>
      </w:pPr>
      <w:r w:rsidRPr="00294C32">
        <w:rPr>
          <w:rFonts w:ascii="Times New Roman" w:hAnsi="Times New Roman" w:cs="Times New Roman"/>
          <w:b/>
          <w:bCs/>
          <w:sz w:val="19"/>
          <w:szCs w:val="19"/>
        </w:rPr>
        <w:t>C:</w:t>
      </w:r>
      <w:r w:rsidR="006F7038" w:rsidRPr="00294C32">
        <w:rPr>
          <w:rFonts w:ascii="Times New Roman" w:hAnsi="Times New Roman" w:cs="Times New Roman" w:hint="eastAsia"/>
          <w:b/>
          <w:bCs/>
          <w:sz w:val="19"/>
          <w:szCs w:val="19"/>
          <w:lang w:eastAsia="zh-CN"/>
        </w:rPr>
        <w:t xml:space="preserve"> </w:t>
      </w:r>
      <w:r w:rsidRPr="00294C32">
        <w:rPr>
          <w:rStyle w:val="hps"/>
          <w:rFonts w:ascii="Times New Roman" w:hAnsi="Times New Roman" w:cs="Times New Roman"/>
          <w:b/>
          <w:bCs/>
          <w:sz w:val="19"/>
          <w:szCs w:val="19"/>
        </w:rPr>
        <w:t>Control</w:t>
      </w:r>
      <w:r w:rsidR="0032790C" w:rsidRPr="00294C32">
        <w:rPr>
          <w:rFonts w:ascii="Times New Roman" w:hAnsi="Times New Roman" w:cs="Times New Roman"/>
          <w:b/>
          <w:bCs/>
          <w:sz w:val="19"/>
          <w:szCs w:val="19"/>
        </w:rPr>
        <w:t>,</w:t>
      </w:r>
      <w:r w:rsidRPr="00294C32">
        <w:rPr>
          <w:rFonts w:ascii="Times New Roman" w:hAnsi="Times New Roman" w:cs="Times New Roman"/>
          <w:b/>
          <w:bCs/>
          <w:sz w:val="19"/>
          <w:szCs w:val="19"/>
        </w:rPr>
        <w:t xml:space="preserve"> P: Propolis</w:t>
      </w:r>
      <w:r w:rsidR="0032790C" w:rsidRPr="00294C32">
        <w:rPr>
          <w:rFonts w:ascii="Times New Roman" w:eastAsia="宋体" w:hAnsi="Times New Roman" w:cs="Times New Roman"/>
          <w:b/>
          <w:bCs/>
          <w:sz w:val="19"/>
          <w:szCs w:val="19"/>
          <w:rtl/>
          <w:lang w:eastAsia="zh-CN" w:bidi="hi-IN"/>
        </w:rPr>
        <w:t>,</w:t>
      </w:r>
      <w:r w:rsidRPr="00294C32">
        <w:rPr>
          <w:rFonts w:ascii="Times New Roman" w:eastAsia="宋体" w:hAnsi="Times New Roman" w:cs="Times New Roman"/>
          <w:b/>
          <w:bCs/>
          <w:sz w:val="19"/>
          <w:szCs w:val="19"/>
          <w:lang w:eastAsia="zh-CN" w:bidi="hi-IN"/>
        </w:rPr>
        <w:t xml:space="preserve"> D</w:t>
      </w:r>
      <w:r w:rsidRPr="00294C32">
        <w:rPr>
          <w:rFonts w:ascii="Times New Roman" w:hAnsi="Times New Roman" w:cs="Times New Roman"/>
          <w:b/>
          <w:bCs/>
          <w:sz w:val="19"/>
          <w:szCs w:val="19"/>
        </w:rPr>
        <w:t>: Dacarbazine</w:t>
      </w:r>
      <w:r w:rsidRPr="00294C32">
        <w:rPr>
          <w:rFonts w:ascii="Times New Roman" w:eastAsia="宋体" w:hAnsi="Times New Roman" w:cs="Times New Roman"/>
          <w:b/>
          <w:bCs/>
          <w:sz w:val="19"/>
          <w:szCs w:val="19"/>
          <w:lang w:eastAsia="zh-CN" w:bidi="hi-IN"/>
        </w:rPr>
        <w:t>, P+D</w:t>
      </w:r>
      <w:r w:rsidR="0032790C" w:rsidRPr="00294C32">
        <w:rPr>
          <w:rFonts w:ascii="Times New Roman" w:eastAsia="宋体" w:hAnsi="Times New Roman" w:cs="Times New Roman"/>
          <w:b/>
          <w:bCs/>
          <w:sz w:val="19"/>
          <w:szCs w:val="19"/>
          <w:lang w:eastAsia="zh-CN" w:bidi="hi-IN"/>
        </w:rPr>
        <w:t>:</w:t>
      </w:r>
      <w:r w:rsidRPr="00294C32">
        <w:rPr>
          <w:rFonts w:ascii="Times New Roman" w:hAnsi="Times New Roman" w:cs="Times New Roman"/>
          <w:b/>
          <w:bCs/>
          <w:sz w:val="19"/>
          <w:szCs w:val="19"/>
        </w:rPr>
        <w:t xml:space="preserve"> Propolis</w:t>
      </w:r>
      <w:r w:rsidRPr="00294C32">
        <w:rPr>
          <w:rFonts w:ascii="Times New Roman" w:eastAsia="宋体" w:hAnsi="Times New Roman" w:cs="Times New Roman"/>
          <w:b/>
          <w:bCs/>
          <w:sz w:val="19"/>
          <w:szCs w:val="19"/>
          <w:lang w:eastAsia="zh-CN" w:bidi="hi-IN"/>
        </w:rPr>
        <w:t xml:space="preserve"> </w:t>
      </w:r>
      <w:r w:rsidRPr="00294C32">
        <w:rPr>
          <w:rFonts w:ascii="Times New Roman" w:hAnsi="Times New Roman" w:cs="Times New Roman"/>
          <w:b/>
          <w:bCs/>
          <w:sz w:val="19"/>
          <w:szCs w:val="19"/>
        </w:rPr>
        <w:t>+Dacarbazine</w:t>
      </w:r>
      <w:r w:rsidR="006F7038" w:rsidRPr="00294C32">
        <w:rPr>
          <w:rFonts w:ascii="Times New Roman" w:hAnsi="Times New Roman" w:cs="Times New Roman" w:hint="eastAsia"/>
          <w:b/>
          <w:bCs/>
          <w:sz w:val="19"/>
          <w:szCs w:val="19"/>
          <w:lang w:eastAsia="zh-CN"/>
        </w:rPr>
        <w:t>;</w:t>
      </w:r>
      <w:r w:rsidRPr="00294C32">
        <w:rPr>
          <w:rFonts w:ascii="Times New Roman" w:hAnsi="Times New Roman" w:cs="Times New Roman"/>
          <w:b/>
          <w:bCs/>
          <w:sz w:val="19"/>
          <w:szCs w:val="19"/>
        </w:rPr>
        <w:t xml:space="preserve"> a: Comparison with C</w:t>
      </w:r>
      <w:r w:rsidR="0032790C" w:rsidRPr="00294C32">
        <w:rPr>
          <w:rFonts w:ascii="Times New Roman" w:hAnsi="Times New Roman" w:cs="Times New Roman"/>
          <w:b/>
          <w:bCs/>
          <w:sz w:val="19"/>
          <w:szCs w:val="19"/>
        </w:rPr>
        <w:t>,</w:t>
      </w:r>
      <w:r w:rsidRPr="00294C32">
        <w:rPr>
          <w:rFonts w:ascii="Times New Roman" w:hAnsi="Times New Roman" w:cs="Times New Roman"/>
          <w:b/>
          <w:bCs/>
          <w:sz w:val="19"/>
          <w:szCs w:val="19"/>
        </w:rPr>
        <w:t xml:space="preserve"> b: Comparison with </w:t>
      </w:r>
      <w:r w:rsidRPr="00294C32">
        <w:rPr>
          <w:rFonts w:ascii="Times New Roman" w:eastAsia="宋体" w:hAnsi="Times New Roman" w:cs="Times New Roman"/>
          <w:b/>
          <w:bCs/>
          <w:sz w:val="19"/>
          <w:szCs w:val="19"/>
          <w:lang w:eastAsia="zh-CN" w:bidi="hi-IN"/>
        </w:rPr>
        <w:t>D</w:t>
      </w:r>
      <w:r w:rsidRPr="00294C32">
        <w:rPr>
          <w:rFonts w:ascii="Times New Roman" w:hAnsi="Times New Roman" w:cs="Times New Roman"/>
          <w:b/>
          <w:bCs/>
          <w:sz w:val="19"/>
          <w:szCs w:val="19"/>
        </w:rPr>
        <w:t xml:space="preserve"> </w:t>
      </w:r>
    </w:p>
    <w:p w:rsidR="00DC2018" w:rsidRPr="00294C32" w:rsidRDefault="00DC2018" w:rsidP="00294C32">
      <w:pPr>
        <w:bidi w:val="0"/>
        <w:adjustRightInd w:val="0"/>
        <w:snapToGrid w:val="0"/>
        <w:spacing w:after="0" w:line="240" w:lineRule="auto"/>
        <w:rPr>
          <w:rFonts w:ascii="Times New Roman" w:hAnsi="Times New Roman" w:cs="Times New Roman"/>
          <w:sz w:val="19"/>
          <w:szCs w:val="19"/>
        </w:rPr>
      </w:pPr>
      <w:r w:rsidRPr="00294C32">
        <w:rPr>
          <w:rFonts w:ascii="Times New Roman" w:hAnsi="Times New Roman" w:cs="Times New Roman"/>
          <w:b/>
          <w:bCs/>
          <w:sz w:val="19"/>
          <w:szCs w:val="19"/>
        </w:rPr>
        <w:t>p*</w:t>
      </w:r>
      <w:r w:rsidRPr="00294C32">
        <w:rPr>
          <w:rFonts w:ascii="Times New Roman" w:hAnsi="Times New Roman" w:cs="Times New Roman"/>
          <w:sz w:val="19"/>
          <w:szCs w:val="19"/>
        </w:rPr>
        <w:t xml:space="preserve"> significant&lt;0.05</w:t>
      </w:r>
      <w:r w:rsidR="006F7038" w:rsidRPr="00294C32">
        <w:rPr>
          <w:rFonts w:ascii="Times New Roman" w:hAnsi="Times New Roman" w:cs="Times New Roman" w:hint="eastAsia"/>
          <w:sz w:val="19"/>
          <w:szCs w:val="19"/>
          <w:lang w:eastAsia="zh-CN"/>
        </w:rPr>
        <w:t>;</w:t>
      </w:r>
      <w:r w:rsidR="0032790C" w:rsidRPr="00294C32">
        <w:rPr>
          <w:rFonts w:ascii="Times New Roman" w:hAnsi="Times New Roman" w:cs="Times New Roman"/>
          <w:sz w:val="19"/>
          <w:szCs w:val="19"/>
        </w:rPr>
        <w:t xml:space="preserve"> </w:t>
      </w:r>
      <w:r w:rsidRPr="00294C32">
        <w:rPr>
          <w:rFonts w:ascii="Times New Roman" w:hAnsi="Times New Roman" w:cs="Times New Roman"/>
          <w:b/>
          <w:bCs/>
          <w:sz w:val="19"/>
          <w:szCs w:val="19"/>
        </w:rPr>
        <w:t xml:space="preserve">p** </w:t>
      </w:r>
      <w:r w:rsidRPr="00294C32">
        <w:rPr>
          <w:rFonts w:ascii="Times New Roman" w:hAnsi="Times New Roman" w:cs="Times New Roman"/>
          <w:sz w:val="19"/>
          <w:szCs w:val="19"/>
        </w:rPr>
        <w:t>highly significant&lt;0.01</w:t>
      </w:r>
      <w:r w:rsidR="006F7038" w:rsidRPr="00294C32">
        <w:rPr>
          <w:rFonts w:ascii="Times New Roman" w:hAnsi="Times New Roman" w:cs="Times New Roman" w:hint="eastAsia"/>
          <w:sz w:val="19"/>
          <w:szCs w:val="19"/>
          <w:lang w:eastAsia="zh-CN"/>
        </w:rPr>
        <w:t>;</w:t>
      </w:r>
      <w:r w:rsidR="0032790C" w:rsidRPr="00294C32">
        <w:rPr>
          <w:rFonts w:ascii="Times New Roman" w:hAnsi="Times New Roman" w:cs="Times New Roman"/>
          <w:sz w:val="19"/>
          <w:szCs w:val="19"/>
        </w:rPr>
        <w:t xml:space="preserve"> </w:t>
      </w:r>
      <w:r w:rsidRPr="00294C32">
        <w:rPr>
          <w:rFonts w:ascii="Times New Roman" w:hAnsi="Times New Roman" w:cs="Times New Roman"/>
          <w:b/>
          <w:bCs/>
          <w:sz w:val="19"/>
          <w:szCs w:val="19"/>
        </w:rPr>
        <w:t>p***</w:t>
      </w:r>
      <w:r w:rsidRPr="00294C32">
        <w:rPr>
          <w:rFonts w:ascii="Times New Roman" w:hAnsi="Times New Roman" w:cs="Times New Roman"/>
          <w:sz w:val="19"/>
          <w:szCs w:val="19"/>
        </w:rPr>
        <w:t xml:space="preserve"> extremly significant&lt;0.001</w:t>
      </w:r>
    </w:p>
    <w:p w:rsidR="004E53DD" w:rsidRPr="0032790C" w:rsidRDefault="004E53DD" w:rsidP="00294C32">
      <w:pPr>
        <w:pStyle w:val="BodyText"/>
        <w:bidi w:val="0"/>
        <w:adjustRightInd w:val="0"/>
        <w:snapToGrid w:val="0"/>
        <w:rPr>
          <w:b/>
          <w:bCs/>
          <w:i/>
          <w:iCs/>
          <w:sz w:val="20"/>
          <w:szCs w:val="20"/>
        </w:rPr>
      </w:pPr>
    </w:p>
    <w:p w:rsidR="00DC2018" w:rsidRPr="0032790C" w:rsidRDefault="00DC2018" w:rsidP="00294C32">
      <w:pPr>
        <w:pStyle w:val="BodyText"/>
        <w:bidi w:val="0"/>
        <w:adjustRightInd w:val="0"/>
        <w:snapToGrid w:val="0"/>
        <w:rPr>
          <w:sz w:val="20"/>
          <w:szCs w:val="20"/>
        </w:rPr>
      </w:pPr>
      <w:r w:rsidRPr="0032790C">
        <w:rPr>
          <w:b/>
          <w:bCs/>
          <w:i/>
          <w:iCs/>
          <w:sz w:val="20"/>
          <w:szCs w:val="20"/>
        </w:rPr>
        <w:t>Table (2)</w:t>
      </w:r>
      <w:r w:rsidR="0032790C">
        <w:rPr>
          <w:b/>
          <w:bCs/>
          <w:i/>
          <w:iCs/>
          <w:sz w:val="20"/>
          <w:szCs w:val="20"/>
        </w:rPr>
        <w:t>:</w:t>
      </w:r>
      <w:r w:rsidRPr="0032790C">
        <w:rPr>
          <w:b/>
          <w:bCs/>
          <w:sz w:val="20"/>
          <w:szCs w:val="20"/>
        </w:rPr>
        <w:t xml:space="preserve"> </w:t>
      </w:r>
      <w:r w:rsidRPr="0032790C">
        <w:rPr>
          <w:i/>
          <w:iCs/>
          <w:sz w:val="20"/>
          <w:szCs w:val="20"/>
        </w:rPr>
        <w:t>The Effects of Different concentrations of Treatment by</w:t>
      </w:r>
      <w:r w:rsidR="0032790C">
        <w:rPr>
          <w:i/>
          <w:iCs/>
          <w:sz w:val="20"/>
          <w:szCs w:val="20"/>
        </w:rPr>
        <w:t xml:space="preserve"> </w:t>
      </w:r>
      <w:r w:rsidRPr="0032790C">
        <w:rPr>
          <w:i/>
          <w:iCs/>
          <w:sz w:val="20"/>
          <w:szCs w:val="20"/>
        </w:rPr>
        <w:t>Propolis</w:t>
      </w:r>
      <w:r w:rsidR="0032790C" w:rsidRPr="0032790C">
        <w:rPr>
          <w:i/>
          <w:iCs/>
          <w:sz w:val="20"/>
          <w:szCs w:val="20"/>
        </w:rPr>
        <w:t>,</w:t>
      </w:r>
      <w:r w:rsidR="006F7038" w:rsidRPr="0032790C">
        <w:rPr>
          <w:rFonts w:eastAsiaTheme="minorEastAsia" w:hint="eastAsia"/>
          <w:i/>
          <w:iCs/>
          <w:sz w:val="20"/>
          <w:szCs w:val="20"/>
          <w:lang w:eastAsia="zh-CN"/>
        </w:rPr>
        <w:t xml:space="preserve"> </w:t>
      </w:r>
      <w:r w:rsidRPr="0032790C">
        <w:rPr>
          <w:i/>
          <w:iCs/>
          <w:sz w:val="20"/>
          <w:szCs w:val="20"/>
        </w:rPr>
        <w:t>Dacarbazine, and</w:t>
      </w:r>
      <w:r w:rsidR="0032790C">
        <w:rPr>
          <w:i/>
          <w:iCs/>
          <w:sz w:val="20"/>
          <w:szCs w:val="20"/>
        </w:rPr>
        <w:t xml:space="preserve"> </w:t>
      </w:r>
      <w:r w:rsidRPr="0032790C">
        <w:rPr>
          <w:i/>
          <w:iCs/>
          <w:sz w:val="20"/>
          <w:szCs w:val="20"/>
        </w:rPr>
        <w:t>The Dual Treatment with</w:t>
      </w:r>
      <w:r w:rsidR="0032790C">
        <w:rPr>
          <w:i/>
          <w:iCs/>
          <w:sz w:val="20"/>
          <w:szCs w:val="20"/>
        </w:rPr>
        <w:t xml:space="preserve"> </w:t>
      </w:r>
      <w:r w:rsidRPr="0032790C">
        <w:rPr>
          <w:i/>
          <w:iCs/>
          <w:sz w:val="20"/>
          <w:szCs w:val="20"/>
        </w:rPr>
        <w:t>Propolis and Dacarbazine on the mean of liver cancer</w:t>
      </w:r>
      <w:r w:rsidR="0032790C">
        <w:rPr>
          <w:i/>
          <w:iCs/>
          <w:sz w:val="20"/>
          <w:szCs w:val="20"/>
        </w:rPr>
        <w:t xml:space="preserve"> </w:t>
      </w:r>
      <w:r w:rsidRPr="0032790C">
        <w:rPr>
          <w:i/>
          <w:iCs/>
          <w:sz w:val="20"/>
          <w:szCs w:val="20"/>
        </w:rPr>
        <w:t>cells of the lines HepG 2 after 72 h</w:t>
      </w:r>
    </w:p>
    <w:tbl>
      <w:tblPr>
        <w:bidiVisual/>
        <w:tblW w:w="5000" w:type="pct"/>
        <w:jc w:val="center"/>
        <w:tblLook w:val="04A0"/>
      </w:tblPr>
      <w:tblGrid>
        <w:gridCol w:w="1084"/>
        <w:gridCol w:w="1755"/>
        <w:gridCol w:w="1034"/>
        <w:gridCol w:w="1446"/>
        <w:gridCol w:w="1755"/>
        <w:gridCol w:w="1456"/>
        <w:gridCol w:w="1048"/>
      </w:tblGrid>
      <w:tr w:rsidR="00DC2018" w:rsidRPr="00294C32" w:rsidTr="00294C32">
        <w:trPr>
          <w:cantSplit/>
          <w:jc w:val="center"/>
        </w:trPr>
        <w:tc>
          <w:tcPr>
            <w:tcW w:w="566" w:type="pct"/>
            <w:tcBorders>
              <w:top w:val="single" w:sz="12" w:space="0" w:color="auto"/>
              <w:left w:val="single" w:sz="12" w:space="0" w:color="auto"/>
              <w:bottom w:val="single" w:sz="4" w:space="0" w:color="auto"/>
              <w:right w:val="double" w:sz="4"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tl/>
              </w:rPr>
              <w:t>%</w:t>
            </w:r>
            <w:r w:rsidR="00294C32" w:rsidRPr="00294C32">
              <w:rPr>
                <w:rFonts w:ascii="Times New Roman" w:hAnsi="Times New Roman" w:cs="Times New Roman" w:hint="eastAsia"/>
                <w:b/>
                <w:bCs/>
                <w:sz w:val="16"/>
                <w:szCs w:val="16"/>
                <w:lang w:eastAsia="zh-CN"/>
              </w:rPr>
              <w:t xml:space="preserve"> </w:t>
            </w:r>
            <w:r w:rsidRPr="00294C32">
              <w:rPr>
                <w:rFonts w:ascii="Times New Roman" w:hAnsi="Times New Roman" w:cs="Times New Roman"/>
                <w:b/>
                <w:bCs/>
                <w:sz w:val="16"/>
                <w:szCs w:val="16"/>
              </w:rPr>
              <w:t xml:space="preserve">Inhibition </w:t>
            </w:r>
          </w:p>
        </w:tc>
        <w:tc>
          <w:tcPr>
            <w:tcW w:w="916" w:type="pct"/>
            <w:tcBorders>
              <w:top w:val="single" w:sz="12" w:space="0" w:color="auto"/>
              <w:left w:val="double" w:sz="4" w:space="0" w:color="auto"/>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Survival Fraction (SF)</w:t>
            </w:r>
          </w:p>
        </w:tc>
        <w:tc>
          <w:tcPr>
            <w:tcW w:w="540"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Absorbance</w:t>
            </w:r>
          </w:p>
        </w:tc>
        <w:tc>
          <w:tcPr>
            <w:tcW w:w="755"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Mean</w:t>
            </w:r>
            <w:r w:rsidR="0032790C" w:rsidRPr="00294C32">
              <w:rPr>
                <w:rFonts w:ascii="Times New Roman" w:hAnsi="Times New Roman" w:cs="Times New Roman"/>
                <w:b/>
                <w:bCs/>
                <w:sz w:val="16"/>
                <w:szCs w:val="16"/>
              </w:rPr>
              <w:t xml:space="preserve"> </w:t>
            </w:r>
            <w:r w:rsidRPr="00294C32">
              <w:rPr>
                <w:rFonts w:ascii="Times New Roman" w:hAnsi="Times New Roman" w:cs="Times New Roman"/>
                <w:b/>
                <w:bCs/>
                <w:sz w:val="16"/>
                <w:szCs w:val="16"/>
              </w:rPr>
              <w:t>± Std.Error</w:t>
            </w:r>
          </w:p>
        </w:tc>
        <w:tc>
          <w:tcPr>
            <w:tcW w:w="916" w:type="pct"/>
            <w:tcBorders>
              <w:top w:val="single" w:sz="12" w:space="0" w:color="auto"/>
              <w:left w:val="nil"/>
              <w:bottom w:val="single" w:sz="4" w:space="0" w:color="auto"/>
              <w:right w:val="double" w:sz="6" w:space="0" w:color="auto"/>
            </w:tcBorders>
            <w:shd w:val="clear" w:color="auto" w:fill="auto"/>
            <w:noWrap/>
            <w:vAlign w:val="center"/>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tl/>
              </w:rPr>
            </w:pPr>
            <w:r w:rsidRPr="00294C32">
              <w:rPr>
                <w:rFonts w:ascii="Times New Roman" w:hAnsi="Times New Roman" w:cs="Times New Roman"/>
                <w:b/>
                <w:bCs/>
                <w:sz w:val="16"/>
                <w:szCs w:val="16"/>
              </w:rPr>
              <w:t>No. cell line</w:t>
            </w:r>
          </w:p>
        </w:tc>
        <w:tc>
          <w:tcPr>
            <w:tcW w:w="760" w:type="pct"/>
            <w:tcBorders>
              <w:top w:val="single" w:sz="12" w:space="0" w:color="auto"/>
              <w:left w:val="nil"/>
              <w:bottom w:val="single" w:sz="4" w:space="0" w:color="auto"/>
              <w:right w:val="double" w:sz="4"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Pr>
            </w:pPr>
            <w:r w:rsidRPr="00294C32">
              <w:rPr>
                <w:rStyle w:val="hps"/>
                <w:rFonts w:ascii="Times New Roman" w:hAnsi="Times New Roman" w:cs="Times New Roman"/>
                <w:b/>
                <w:bCs/>
                <w:sz w:val="16"/>
                <w:szCs w:val="16"/>
              </w:rPr>
              <w:t>Groups</w:t>
            </w:r>
            <w:r w:rsidRPr="00294C32">
              <w:rPr>
                <w:rFonts w:ascii="Times New Roman" w:hAnsi="Times New Roman" w:cs="Times New Roman"/>
                <w:sz w:val="16"/>
                <w:szCs w:val="16"/>
              </w:rPr>
              <w:t xml:space="preserve"> </w:t>
            </w:r>
            <w:r w:rsidRPr="00294C32">
              <w:rPr>
                <w:rStyle w:val="hps"/>
                <w:rFonts w:ascii="Times New Roman" w:hAnsi="Times New Roman" w:cs="Times New Roman"/>
                <w:b/>
                <w:bCs/>
                <w:sz w:val="16"/>
                <w:szCs w:val="16"/>
              </w:rPr>
              <w:t>Treatment</w:t>
            </w:r>
          </w:p>
        </w:tc>
        <w:tc>
          <w:tcPr>
            <w:tcW w:w="548" w:type="pct"/>
            <w:tcBorders>
              <w:top w:val="single" w:sz="12" w:space="0" w:color="auto"/>
              <w:left w:val="double" w:sz="4" w:space="0" w:color="auto"/>
              <w:bottom w:val="single" w:sz="4" w:space="0" w:color="auto"/>
              <w:right w:val="single" w:sz="12" w:space="0" w:color="auto"/>
            </w:tcBorders>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6"/>
                <w:szCs w:val="16"/>
              </w:rPr>
            </w:pPr>
            <w:r w:rsidRPr="00294C32">
              <w:rPr>
                <w:rStyle w:val="hps"/>
                <w:rFonts w:ascii="Times New Roman" w:hAnsi="Times New Roman" w:cs="Times New Roman"/>
                <w:b/>
                <w:bCs/>
                <w:sz w:val="16"/>
                <w:szCs w:val="16"/>
              </w:rPr>
              <w:t>Con.</w:t>
            </w:r>
            <w:r w:rsidR="00294C32" w:rsidRPr="00294C32">
              <w:rPr>
                <w:rStyle w:val="hps"/>
                <w:rFonts w:ascii="Times New Roman" w:hAnsi="Times New Roman" w:cs="Times New Roman" w:hint="eastAsia"/>
                <w:b/>
                <w:bCs/>
                <w:sz w:val="16"/>
                <w:szCs w:val="16"/>
                <w:lang w:eastAsia="zh-CN"/>
              </w:rPr>
              <w:t xml:space="preserve"> </w:t>
            </w:r>
            <w:r w:rsidRPr="00294C32">
              <w:rPr>
                <w:rStyle w:val="hps"/>
                <w:rFonts w:ascii="Times New Roman" w:hAnsi="Times New Roman" w:cs="Times New Roman"/>
                <w:b/>
                <w:bCs/>
                <w:sz w:val="16"/>
                <w:szCs w:val="16"/>
              </w:rPr>
              <w:t>(ug/ml)</w:t>
            </w:r>
          </w:p>
        </w:tc>
      </w:tr>
      <w:tr w:rsidR="00DC2018" w:rsidRPr="00294C32" w:rsidTr="00294C32">
        <w:trPr>
          <w:cantSplit/>
          <w:jc w:val="center"/>
        </w:trPr>
        <w:tc>
          <w:tcPr>
            <w:tcW w:w="566" w:type="pct"/>
            <w:tcBorders>
              <w:top w:val="nil"/>
              <w:left w:val="single" w:sz="12" w:space="0" w:color="auto"/>
              <w:bottom w:val="single" w:sz="4"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nil"/>
              <w:left w:val="double" w:sz="4" w:space="0" w:color="auto"/>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nil"/>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0.550</w:t>
            </w:r>
          </w:p>
        </w:tc>
        <w:tc>
          <w:tcPr>
            <w:tcW w:w="755" w:type="pct"/>
            <w:tcBorders>
              <w:top w:val="nil"/>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0.009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0.551</w:t>
            </w:r>
          </w:p>
        </w:tc>
        <w:tc>
          <w:tcPr>
            <w:tcW w:w="916" w:type="pct"/>
            <w:tcBorders>
              <w:top w:val="single" w:sz="4" w:space="0" w:color="auto"/>
              <w:left w:val="nil"/>
              <w:bottom w:val="single" w:sz="4"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nil"/>
              <w:bottom w:val="nil"/>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8" w:type="pct"/>
            <w:vMerge w:val="restart"/>
            <w:tcBorders>
              <w:top w:val="single" w:sz="4"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50</w:t>
            </w:r>
          </w:p>
        </w:tc>
      </w:tr>
      <w:tr w:rsidR="00DC2018" w:rsidRPr="00294C32" w:rsidTr="00294C32">
        <w:trPr>
          <w:cantSplit/>
          <w:jc w:val="center"/>
        </w:trPr>
        <w:tc>
          <w:tcPr>
            <w:tcW w:w="566" w:type="pct"/>
            <w:tcBorders>
              <w:top w:val="nil"/>
              <w:left w:val="single" w:sz="12" w:space="0" w:color="auto"/>
              <w:bottom w:val="single" w:sz="4" w:space="0" w:color="auto"/>
              <w:right w:val="double" w:sz="4" w:space="0" w:color="auto"/>
            </w:tcBorders>
            <w:shd w:val="pct50" w:color="FF99CC" w:fill="auto"/>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59.273</w:t>
            </w:r>
          </w:p>
        </w:tc>
        <w:tc>
          <w:tcPr>
            <w:tcW w:w="916" w:type="pct"/>
            <w:tcBorders>
              <w:top w:val="nil"/>
              <w:left w:val="double" w:sz="4" w:space="0" w:color="auto"/>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0.407</w:t>
            </w:r>
          </w:p>
        </w:tc>
        <w:tc>
          <w:tcPr>
            <w:tcW w:w="540" w:type="pct"/>
            <w:tcBorders>
              <w:top w:val="nil"/>
              <w:left w:val="nil"/>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0.224</w:t>
            </w:r>
          </w:p>
        </w:tc>
        <w:tc>
          <w:tcPr>
            <w:tcW w:w="755" w:type="pct"/>
            <w:tcBorders>
              <w:top w:val="nil"/>
              <w:left w:val="nil"/>
              <w:bottom w:val="single" w:sz="4" w:space="0" w:color="auto"/>
              <w:right w:val="double" w:sz="6" w:space="0" w:color="auto"/>
            </w:tcBorders>
            <w:shd w:val="pct50" w:color="FF99CC" w:fill="auto"/>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0.007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0.224</w:t>
            </w:r>
          </w:p>
        </w:tc>
        <w:tc>
          <w:tcPr>
            <w:tcW w:w="916" w:type="pct"/>
            <w:tcBorders>
              <w:top w:val="nil"/>
              <w:left w:val="nil"/>
              <w:bottom w:val="single" w:sz="4" w:space="0" w:color="auto"/>
              <w:right w:val="double" w:sz="6" w:space="0" w:color="auto"/>
            </w:tcBorders>
            <w:shd w:val="pct50" w:color="FF99CC" w:fill="auto"/>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double" w:sz="6" w:space="0" w:color="auto"/>
              <w:bottom w:val="single" w:sz="4" w:space="0" w:color="auto"/>
              <w:right w:val="double" w:sz="4" w:space="0" w:color="auto"/>
            </w:tcBorders>
            <w:shd w:val="pct50" w:color="FF99CC"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8"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nil"/>
              <w:left w:val="single" w:sz="12" w:space="0" w:color="auto"/>
              <w:bottom w:val="single" w:sz="4"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lastRenderedPageBreak/>
              <w:t>65.455</w:t>
            </w:r>
          </w:p>
        </w:tc>
        <w:tc>
          <w:tcPr>
            <w:tcW w:w="916" w:type="pct"/>
            <w:tcBorders>
              <w:top w:val="nil"/>
              <w:left w:val="double" w:sz="4" w:space="0" w:color="auto"/>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0.345</w:t>
            </w:r>
          </w:p>
        </w:tc>
        <w:tc>
          <w:tcPr>
            <w:tcW w:w="540" w:type="pct"/>
            <w:tcBorders>
              <w:top w:val="nil"/>
              <w:left w:val="nil"/>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0.190</w:t>
            </w:r>
          </w:p>
        </w:tc>
        <w:tc>
          <w:tcPr>
            <w:tcW w:w="755" w:type="pct"/>
            <w:tcBorders>
              <w:top w:val="nil"/>
              <w:left w:val="single" w:sz="8" w:space="0" w:color="auto"/>
              <w:bottom w:val="single" w:sz="4"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0.191</w:t>
            </w:r>
          </w:p>
        </w:tc>
        <w:tc>
          <w:tcPr>
            <w:tcW w:w="916" w:type="pct"/>
            <w:tcBorders>
              <w:top w:val="nil"/>
              <w:left w:val="nil"/>
              <w:bottom w:val="single" w:sz="4"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nil"/>
              <w:left w:val="nil"/>
              <w:bottom w:val="single" w:sz="4"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8"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nil"/>
              <w:left w:val="single" w:sz="12" w:space="0" w:color="auto"/>
              <w:bottom w:val="double" w:sz="4"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64.000</w:t>
            </w:r>
          </w:p>
        </w:tc>
        <w:tc>
          <w:tcPr>
            <w:tcW w:w="916" w:type="pct"/>
            <w:tcBorders>
              <w:top w:val="nil"/>
              <w:left w:val="double" w:sz="4" w:space="0" w:color="auto"/>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0.360</w:t>
            </w:r>
          </w:p>
        </w:tc>
        <w:tc>
          <w:tcPr>
            <w:tcW w:w="540" w:type="pct"/>
            <w:tcBorders>
              <w:top w:val="nil"/>
              <w:left w:val="nil"/>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0.198</w:t>
            </w:r>
          </w:p>
        </w:tc>
        <w:tc>
          <w:tcPr>
            <w:tcW w:w="755" w:type="pct"/>
            <w:tcBorders>
              <w:top w:val="nil"/>
              <w:left w:val="single" w:sz="8" w:space="0" w:color="auto"/>
              <w:bottom w:val="double" w:sz="4"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0.010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0.199</w:t>
            </w:r>
          </w:p>
        </w:tc>
        <w:tc>
          <w:tcPr>
            <w:tcW w:w="916" w:type="pct"/>
            <w:tcBorders>
              <w:top w:val="nil"/>
              <w:left w:val="nil"/>
              <w:bottom w:val="double" w:sz="4"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nil"/>
              <w:left w:val="double" w:sz="6" w:space="0" w:color="auto"/>
              <w:bottom w:val="double" w:sz="4"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8" w:type="pct"/>
            <w:vMerge/>
            <w:tcBorders>
              <w:left w:val="double" w:sz="4" w:space="0" w:color="auto"/>
              <w:bottom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double" w:sz="4" w:space="0" w:color="auto"/>
              <w:left w:val="single" w:sz="12" w:space="0" w:color="auto"/>
              <w:bottom w:val="single" w:sz="4"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double" w:sz="4" w:space="0" w:color="auto"/>
              <w:left w:val="double" w:sz="4" w:space="0" w:color="auto"/>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double" w:sz="4" w:space="0" w:color="auto"/>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0.550</w:t>
            </w:r>
          </w:p>
        </w:tc>
        <w:tc>
          <w:tcPr>
            <w:tcW w:w="755" w:type="pct"/>
            <w:tcBorders>
              <w:top w:val="double" w:sz="4" w:space="0" w:color="auto"/>
              <w:left w:val="nil"/>
              <w:bottom w:val="single" w:sz="4"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0.009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0.551</w:t>
            </w:r>
          </w:p>
        </w:tc>
        <w:tc>
          <w:tcPr>
            <w:tcW w:w="916" w:type="pct"/>
            <w:tcBorders>
              <w:top w:val="double" w:sz="4" w:space="0" w:color="auto"/>
              <w:left w:val="nil"/>
              <w:bottom w:val="single" w:sz="4"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double" w:sz="4" w:space="0" w:color="auto"/>
              <w:left w:val="nil"/>
              <w:bottom w:val="single" w:sz="4" w:space="0" w:color="auto"/>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8" w:type="pct"/>
            <w:vMerge w:val="restart"/>
            <w:tcBorders>
              <w:top w:val="double" w:sz="4"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100</w:t>
            </w:r>
          </w:p>
        </w:tc>
      </w:tr>
      <w:tr w:rsidR="00DC2018" w:rsidRPr="00294C32" w:rsidTr="00294C32">
        <w:trPr>
          <w:cantSplit/>
          <w:jc w:val="center"/>
        </w:trPr>
        <w:tc>
          <w:tcPr>
            <w:tcW w:w="566" w:type="pct"/>
            <w:tcBorders>
              <w:top w:val="nil"/>
              <w:left w:val="single" w:sz="12" w:space="0" w:color="auto"/>
              <w:bottom w:val="single" w:sz="2" w:space="0" w:color="auto"/>
              <w:right w:val="double" w:sz="4" w:space="0" w:color="auto"/>
            </w:tcBorders>
            <w:shd w:val="clear" w:color="auto" w:fill="FFD1E8"/>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54.000</w:t>
            </w:r>
          </w:p>
        </w:tc>
        <w:tc>
          <w:tcPr>
            <w:tcW w:w="916" w:type="pct"/>
            <w:tcBorders>
              <w:top w:val="nil"/>
              <w:left w:val="doub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0.460</w:t>
            </w:r>
          </w:p>
        </w:tc>
        <w:tc>
          <w:tcPr>
            <w:tcW w:w="540" w:type="pct"/>
            <w:tcBorders>
              <w:top w:val="nil"/>
              <w:left w:val="nil"/>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0.253</w:t>
            </w:r>
          </w:p>
        </w:tc>
        <w:tc>
          <w:tcPr>
            <w:tcW w:w="755" w:type="pct"/>
            <w:tcBorders>
              <w:top w:val="nil"/>
              <w:left w:val="sing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0.152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0.254</w:t>
            </w:r>
          </w:p>
        </w:tc>
        <w:tc>
          <w:tcPr>
            <w:tcW w:w="916" w:type="pct"/>
            <w:tcBorders>
              <w:top w:val="nil"/>
              <w:left w:val="nil"/>
              <w:bottom w:val="single" w:sz="2" w:space="0" w:color="auto"/>
              <w:right w:val="double" w:sz="6" w:space="0" w:color="auto"/>
            </w:tcBorders>
            <w:shd w:val="clear" w:color="auto" w:fill="FFD1E8"/>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nil"/>
              <w:bottom w:val="single" w:sz="4" w:space="0" w:color="auto"/>
              <w:right w:val="double" w:sz="4" w:space="0" w:color="auto"/>
            </w:tcBorders>
            <w:shd w:val="clear" w:color="auto" w:fill="FFD1E8"/>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8"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single" w:sz="2" w:space="0" w:color="auto"/>
              <w:left w:val="single" w:sz="12" w:space="0" w:color="auto"/>
              <w:bottom w:val="single" w:sz="2"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64.546</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0.355</w:t>
            </w:r>
          </w:p>
        </w:tc>
        <w:tc>
          <w:tcPr>
            <w:tcW w:w="540" w:type="pct"/>
            <w:tcBorders>
              <w:top w:val="single" w:sz="2" w:space="0" w:color="auto"/>
              <w:left w:val="nil"/>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0.195</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0.152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0.196</w:t>
            </w:r>
          </w:p>
        </w:tc>
        <w:tc>
          <w:tcPr>
            <w:tcW w:w="916" w:type="pct"/>
            <w:tcBorders>
              <w:top w:val="single" w:sz="2" w:space="0" w:color="auto"/>
              <w:left w:val="nil"/>
              <w:bottom w:val="single" w:sz="2"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nil"/>
              <w:bottom w:val="single" w:sz="4"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8" w:type="pct"/>
            <w:vMerge/>
            <w:tcBorders>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single" w:sz="2" w:space="0" w:color="auto"/>
              <w:left w:val="single" w:sz="12" w:space="0" w:color="auto"/>
              <w:bottom w:val="double" w:sz="2"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58.364</w:t>
            </w:r>
          </w:p>
        </w:tc>
        <w:tc>
          <w:tcPr>
            <w:tcW w:w="916" w:type="pct"/>
            <w:tcBorders>
              <w:top w:val="single" w:sz="2" w:space="0" w:color="auto"/>
              <w:left w:val="double" w:sz="4" w:space="0" w:color="auto"/>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0.416</w:t>
            </w:r>
          </w:p>
        </w:tc>
        <w:tc>
          <w:tcPr>
            <w:tcW w:w="540" w:type="pct"/>
            <w:tcBorders>
              <w:top w:val="single" w:sz="2" w:space="0" w:color="auto"/>
              <w:left w:val="nil"/>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0.229</w:t>
            </w:r>
          </w:p>
        </w:tc>
        <w:tc>
          <w:tcPr>
            <w:tcW w:w="755" w:type="pct"/>
            <w:tcBorders>
              <w:top w:val="single" w:sz="2" w:space="0" w:color="auto"/>
              <w:left w:val="single" w:sz="4" w:space="0" w:color="auto"/>
              <w:bottom w:val="double" w:sz="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0.142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0.230</w:t>
            </w:r>
          </w:p>
        </w:tc>
        <w:tc>
          <w:tcPr>
            <w:tcW w:w="916" w:type="pct"/>
            <w:tcBorders>
              <w:top w:val="single" w:sz="2" w:space="0" w:color="auto"/>
              <w:left w:val="nil"/>
              <w:bottom w:val="double" w:sz="2"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nil"/>
              <w:bottom w:val="double" w:sz="2"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8" w:type="pct"/>
            <w:vMerge/>
            <w:tcBorders>
              <w:left w:val="double" w:sz="4" w:space="0" w:color="auto"/>
              <w:bottom w:val="double" w:sz="2"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double" w:sz="2" w:space="0" w:color="auto"/>
              <w:left w:val="single" w:sz="12" w:space="0" w:color="auto"/>
              <w:bottom w:val="single" w:sz="2" w:space="0" w:color="auto"/>
              <w:right w:val="double" w:sz="4" w:space="0" w:color="auto"/>
            </w:tcBorders>
            <w:shd w:val="clear" w:color="auto" w:fill="FDE9D9"/>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___</w:t>
            </w:r>
          </w:p>
        </w:tc>
        <w:tc>
          <w:tcPr>
            <w:tcW w:w="916" w:type="pct"/>
            <w:tcBorders>
              <w:top w:val="double" w:sz="2" w:space="0" w:color="auto"/>
              <w:left w:val="double" w:sz="4" w:space="0" w:color="auto"/>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1</w:t>
            </w:r>
          </w:p>
        </w:tc>
        <w:tc>
          <w:tcPr>
            <w:tcW w:w="540" w:type="pct"/>
            <w:tcBorders>
              <w:top w:val="double" w:sz="2" w:space="0" w:color="auto"/>
              <w:left w:val="nil"/>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0.550</w:t>
            </w:r>
          </w:p>
        </w:tc>
        <w:tc>
          <w:tcPr>
            <w:tcW w:w="755" w:type="pct"/>
            <w:tcBorders>
              <w:top w:val="double" w:sz="2" w:space="0" w:color="auto"/>
              <w:left w:val="single" w:sz="4" w:space="0" w:color="auto"/>
              <w:bottom w:val="single" w:sz="2" w:space="0" w:color="auto"/>
              <w:right w:val="double" w:sz="6" w:space="0" w:color="auto"/>
            </w:tcBorders>
            <w:shd w:val="clear" w:color="auto" w:fill="FDE9D9"/>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0.009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0.551</w:t>
            </w:r>
          </w:p>
        </w:tc>
        <w:tc>
          <w:tcPr>
            <w:tcW w:w="916" w:type="pct"/>
            <w:tcBorders>
              <w:top w:val="double" w:sz="2" w:space="0" w:color="auto"/>
              <w:left w:val="nil"/>
              <w:bottom w:val="single" w:sz="2" w:space="0" w:color="auto"/>
              <w:right w:val="double" w:sz="6" w:space="0" w:color="auto"/>
            </w:tcBorders>
            <w:shd w:val="clear" w:color="auto" w:fill="FDE9D9"/>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double" w:sz="2" w:space="0" w:color="auto"/>
              <w:left w:val="nil"/>
              <w:bottom w:val="single" w:sz="2" w:space="0" w:color="auto"/>
              <w:right w:val="double" w:sz="4" w:space="0" w:color="auto"/>
            </w:tcBorders>
            <w:shd w:val="clear" w:color="auto" w:fill="FDE9D9"/>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C</w:t>
            </w:r>
          </w:p>
        </w:tc>
        <w:tc>
          <w:tcPr>
            <w:tcW w:w="548" w:type="pct"/>
            <w:vMerge w:val="restart"/>
            <w:tcBorders>
              <w:top w:val="double" w:sz="2" w:space="0" w:color="auto"/>
              <w:left w:val="double" w:sz="4" w:space="0" w:color="auto"/>
              <w:right w:val="single" w:sz="12" w:space="0" w:color="auto"/>
            </w:tcBorders>
            <w:shd w:val="clear" w:color="auto" w:fill="auto"/>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200</w:t>
            </w:r>
          </w:p>
        </w:tc>
      </w:tr>
      <w:tr w:rsidR="00DC2018" w:rsidRPr="00294C32" w:rsidTr="00294C32">
        <w:trPr>
          <w:cantSplit/>
          <w:jc w:val="center"/>
        </w:trPr>
        <w:tc>
          <w:tcPr>
            <w:tcW w:w="566" w:type="pct"/>
            <w:tcBorders>
              <w:top w:val="single" w:sz="2" w:space="0" w:color="auto"/>
              <w:left w:val="single" w:sz="12" w:space="0" w:color="auto"/>
              <w:bottom w:val="single" w:sz="2" w:space="0" w:color="auto"/>
              <w:right w:val="double" w:sz="4" w:space="0" w:color="auto"/>
            </w:tcBorders>
            <w:shd w:val="clear" w:color="auto" w:fill="FFD1E8"/>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45.636</w:t>
            </w:r>
          </w:p>
        </w:tc>
        <w:tc>
          <w:tcPr>
            <w:tcW w:w="916" w:type="pct"/>
            <w:tcBorders>
              <w:top w:val="single" w:sz="2" w:space="0" w:color="auto"/>
              <w:left w:val="doub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0.544</w:t>
            </w:r>
          </w:p>
        </w:tc>
        <w:tc>
          <w:tcPr>
            <w:tcW w:w="540" w:type="pct"/>
            <w:tcBorders>
              <w:top w:val="single" w:sz="2" w:space="0" w:color="auto"/>
              <w:left w:val="nil"/>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0.299</w:t>
            </w:r>
          </w:p>
        </w:tc>
        <w:tc>
          <w:tcPr>
            <w:tcW w:w="755" w:type="pct"/>
            <w:tcBorders>
              <w:top w:val="single" w:sz="2" w:space="0" w:color="auto"/>
              <w:left w:val="single" w:sz="4" w:space="0" w:color="auto"/>
              <w:bottom w:val="single" w:sz="2" w:space="0" w:color="auto"/>
              <w:right w:val="double" w:sz="6" w:space="0" w:color="auto"/>
            </w:tcBorders>
            <w:shd w:val="clear" w:color="auto" w:fill="FFD1E8"/>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0.023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0.299</w:t>
            </w:r>
          </w:p>
        </w:tc>
        <w:tc>
          <w:tcPr>
            <w:tcW w:w="916" w:type="pct"/>
            <w:tcBorders>
              <w:top w:val="single" w:sz="2" w:space="0" w:color="auto"/>
              <w:left w:val="nil"/>
              <w:bottom w:val="single" w:sz="2" w:space="0" w:color="auto"/>
              <w:right w:val="double" w:sz="6" w:space="0" w:color="auto"/>
            </w:tcBorders>
            <w:shd w:val="clear" w:color="auto" w:fill="FFD1E8"/>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2" w:space="0" w:color="auto"/>
              <w:left w:val="nil"/>
              <w:bottom w:val="single" w:sz="4" w:space="0" w:color="auto"/>
              <w:right w:val="double" w:sz="4" w:space="0" w:color="auto"/>
            </w:tcBorders>
            <w:shd w:val="clear" w:color="auto" w:fill="FFD1E8"/>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P</w:t>
            </w:r>
          </w:p>
        </w:tc>
        <w:tc>
          <w:tcPr>
            <w:tcW w:w="548" w:type="pct"/>
            <w:vMerge/>
            <w:tcBorders>
              <w:left w:val="double" w:sz="4"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single" w:sz="2" w:space="0" w:color="auto"/>
              <w:left w:val="single" w:sz="12" w:space="0" w:color="auto"/>
              <w:bottom w:val="single" w:sz="2" w:space="0" w:color="auto"/>
              <w:right w:val="double" w:sz="4" w:space="0" w:color="auto"/>
            </w:tcBorders>
            <w:shd w:val="clear" w:color="auto" w:fill="E4C9FF"/>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lastRenderedPageBreak/>
              <w:t>52.000</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0.480</w:t>
            </w:r>
          </w:p>
        </w:tc>
        <w:tc>
          <w:tcPr>
            <w:tcW w:w="540" w:type="pct"/>
            <w:tcBorders>
              <w:top w:val="single" w:sz="2" w:space="0" w:color="auto"/>
              <w:left w:val="nil"/>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0.264</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0.006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0.264</w:t>
            </w:r>
          </w:p>
        </w:tc>
        <w:tc>
          <w:tcPr>
            <w:tcW w:w="916" w:type="pct"/>
            <w:tcBorders>
              <w:top w:val="single" w:sz="2" w:space="0" w:color="auto"/>
              <w:left w:val="nil"/>
              <w:bottom w:val="single" w:sz="2" w:space="0" w:color="auto"/>
              <w:right w:val="double" w:sz="6" w:space="0" w:color="auto"/>
            </w:tcBorders>
            <w:shd w:val="clear" w:color="auto" w:fill="E4C9FF"/>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4" w:space="0" w:color="auto"/>
              <w:left w:val="nil"/>
              <w:bottom w:val="single" w:sz="2" w:space="0" w:color="auto"/>
              <w:right w:val="double" w:sz="4" w:space="0" w:color="auto"/>
            </w:tcBorders>
            <w:shd w:val="clear" w:color="auto" w:fill="E4C9FF"/>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D</w:t>
            </w:r>
          </w:p>
        </w:tc>
        <w:tc>
          <w:tcPr>
            <w:tcW w:w="548" w:type="pct"/>
            <w:vMerge/>
            <w:tcBorders>
              <w:left w:val="double" w:sz="4"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r w:rsidR="00DC2018" w:rsidRPr="00294C32" w:rsidTr="00294C32">
        <w:trPr>
          <w:cantSplit/>
          <w:jc w:val="center"/>
        </w:trPr>
        <w:tc>
          <w:tcPr>
            <w:tcW w:w="566" w:type="pct"/>
            <w:tcBorders>
              <w:top w:val="single" w:sz="2" w:space="0" w:color="auto"/>
              <w:left w:val="single" w:sz="12" w:space="0" w:color="auto"/>
              <w:bottom w:val="single" w:sz="12" w:space="0" w:color="auto"/>
              <w:right w:val="double" w:sz="4" w:space="0" w:color="auto"/>
            </w:tcBorders>
            <w:shd w:val="clear" w:color="auto" w:fill="CCFFCC"/>
            <w:vAlign w:val="bottom"/>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56.000</w:t>
            </w:r>
          </w:p>
        </w:tc>
        <w:tc>
          <w:tcPr>
            <w:tcW w:w="916" w:type="pct"/>
            <w:tcBorders>
              <w:top w:val="single" w:sz="2" w:space="0" w:color="auto"/>
              <w:left w:val="double" w:sz="4" w:space="0" w:color="auto"/>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0.440</w:t>
            </w:r>
          </w:p>
        </w:tc>
        <w:tc>
          <w:tcPr>
            <w:tcW w:w="540" w:type="pct"/>
            <w:tcBorders>
              <w:top w:val="single" w:sz="2" w:space="0" w:color="auto"/>
              <w:left w:val="nil"/>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Pr>
              <w:t>0.242</w:t>
            </w:r>
          </w:p>
        </w:tc>
        <w:tc>
          <w:tcPr>
            <w:tcW w:w="755" w:type="pct"/>
            <w:tcBorders>
              <w:top w:val="single" w:sz="2" w:space="0" w:color="auto"/>
              <w:left w:val="single" w:sz="4" w:space="0" w:color="auto"/>
              <w:bottom w:val="single" w:sz="12" w:space="0" w:color="auto"/>
              <w:right w:val="double" w:sz="6" w:space="0" w:color="auto"/>
            </w:tcBorders>
            <w:shd w:val="clear" w:color="auto" w:fill="CCFFCC"/>
            <w:noWrap/>
            <w:vAlign w:val="bottom"/>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 xml:space="preserve">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vertAlign w:val="superscript"/>
              </w:rPr>
              <w:t>a</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r w:rsidRPr="00294C32">
              <w:rPr>
                <w:rFonts w:ascii="Times New Roman" w:hAnsi="Times New Roman" w:cs="Times New Roman"/>
                <w:b/>
                <w:bCs/>
                <w:sz w:val="19"/>
                <w:szCs w:val="19"/>
                <w:rtl/>
              </w:rPr>
              <w:t>0.017 ±</w:t>
            </w:r>
            <w:r w:rsidR="0032790C"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tl/>
              </w:rPr>
              <w:t>0.242</w:t>
            </w:r>
          </w:p>
        </w:tc>
        <w:tc>
          <w:tcPr>
            <w:tcW w:w="916" w:type="pct"/>
            <w:tcBorders>
              <w:top w:val="single" w:sz="2" w:space="0" w:color="auto"/>
              <w:left w:val="nil"/>
              <w:bottom w:val="single" w:sz="12" w:space="0" w:color="auto"/>
              <w:right w:val="double" w:sz="6" w:space="0" w:color="auto"/>
            </w:tcBorders>
            <w:shd w:val="clear" w:color="auto" w:fill="CCFFCC"/>
            <w:noWrap/>
            <w:hideMark/>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1</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2</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3</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4</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5</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tl/>
              </w:rPr>
              <w:t>6</w:t>
            </w:r>
          </w:p>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tl/>
              </w:rPr>
            </w:pPr>
            <w:r w:rsidRPr="00294C32">
              <w:rPr>
                <w:rFonts w:ascii="Times New Roman" w:hAnsi="Times New Roman" w:cs="Times New Roman"/>
                <w:b/>
                <w:bCs/>
                <w:sz w:val="19"/>
                <w:szCs w:val="19"/>
              </w:rPr>
              <w:t>Mean</w:t>
            </w:r>
            <w:r w:rsidR="0032790C" w:rsidRPr="00294C32">
              <w:rPr>
                <w:rFonts w:ascii="Times New Roman" w:hAnsi="Times New Roman" w:cs="Times New Roman"/>
                <w:b/>
                <w:bCs/>
                <w:sz w:val="19"/>
                <w:szCs w:val="19"/>
              </w:rPr>
              <w:t xml:space="preserve"> </w:t>
            </w:r>
            <w:r w:rsidRPr="00294C32">
              <w:rPr>
                <w:rFonts w:ascii="Times New Roman" w:hAnsi="Times New Roman" w:cs="Times New Roman"/>
                <w:b/>
                <w:bCs/>
                <w:sz w:val="19"/>
                <w:szCs w:val="19"/>
                <w:rtl/>
              </w:rPr>
              <w:t xml:space="preserve">± </w:t>
            </w:r>
            <w:r w:rsidRPr="00294C32">
              <w:rPr>
                <w:rFonts w:ascii="Times New Roman" w:hAnsi="Times New Roman" w:cs="Times New Roman"/>
                <w:b/>
                <w:bCs/>
                <w:sz w:val="19"/>
                <w:szCs w:val="19"/>
              </w:rPr>
              <w:t>Std.Error</w:t>
            </w:r>
          </w:p>
        </w:tc>
        <w:tc>
          <w:tcPr>
            <w:tcW w:w="760" w:type="pct"/>
            <w:tcBorders>
              <w:top w:val="single" w:sz="2" w:space="0" w:color="auto"/>
              <w:left w:val="nil"/>
              <w:bottom w:val="single" w:sz="12" w:space="0" w:color="auto"/>
              <w:right w:val="double" w:sz="4" w:space="0" w:color="auto"/>
            </w:tcBorders>
            <w:shd w:val="clear" w:color="auto" w:fill="CCFFCC"/>
            <w:vAlign w:val="center"/>
          </w:tcPr>
          <w:p w:rsidR="00DC2018" w:rsidRPr="00294C32" w:rsidRDefault="00DC2018" w:rsidP="00294C32">
            <w:pPr>
              <w:bidi w:val="0"/>
              <w:adjustRightInd w:val="0"/>
              <w:snapToGrid w:val="0"/>
              <w:spacing w:after="0" w:line="240" w:lineRule="auto"/>
              <w:jc w:val="center"/>
              <w:rPr>
                <w:rFonts w:ascii="Times New Roman" w:hAnsi="Times New Roman" w:cs="Times New Roman"/>
                <w:sz w:val="19"/>
                <w:szCs w:val="19"/>
              </w:rPr>
            </w:pPr>
            <w:r w:rsidRPr="00294C32">
              <w:rPr>
                <w:rFonts w:ascii="Times New Roman" w:hAnsi="Times New Roman" w:cs="Times New Roman"/>
                <w:b/>
                <w:bCs/>
                <w:sz w:val="19"/>
                <w:szCs w:val="19"/>
              </w:rPr>
              <w:t>P+D</w:t>
            </w:r>
          </w:p>
        </w:tc>
        <w:tc>
          <w:tcPr>
            <w:tcW w:w="548" w:type="pct"/>
            <w:vMerge/>
            <w:tcBorders>
              <w:left w:val="double" w:sz="4" w:space="0" w:color="auto"/>
              <w:bottom w:val="single" w:sz="12" w:space="0" w:color="auto"/>
              <w:right w:val="single" w:sz="12" w:space="0" w:color="auto"/>
            </w:tcBorders>
            <w:shd w:val="clear" w:color="auto" w:fill="auto"/>
          </w:tcPr>
          <w:p w:rsidR="00DC2018" w:rsidRPr="00294C32" w:rsidRDefault="00DC2018" w:rsidP="00294C32">
            <w:pPr>
              <w:bidi w:val="0"/>
              <w:adjustRightInd w:val="0"/>
              <w:snapToGrid w:val="0"/>
              <w:spacing w:after="0" w:line="240" w:lineRule="auto"/>
              <w:jc w:val="center"/>
              <w:rPr>
                <w:rFonts w:ascii="Times New Roman" w:hAnsi="Times New Roman" w:cs="Times New Roman"/>
                <w:b/>
                <w:bCs/>
                <w:sz w:val="19"/>
                <w:szCs w:val="19"/>
              </w:rPr>
            </w:pPr>
          </w:p>
        </w:tc>
      </w:tr>
    </w:tbl>
    <w:p w:rsidR="00DC2018" w:rsidRPr="00294C32" w:rsidRDefault="00DC2018" w:rsidP="00294C32">
      <w:pPr>
        <w:bidi w:val="0"/>
        <w:adjustRightInd w:val="0"/>
        <w:snapToGrid w:val="0"/>
        <w:spacing w:after="0" w:line="240" w:lineRule="auto"/>
        <w:rPr>
          <w:rFonts w:ascii="Times New Roman" w:hAnsi="Times New Roman" w:cs="Times New Roman"/>
          <w:b/>
          <w:bCs/>
          <w:sz w:val="19"/>
          <w:szCs w:val="19"/>
        </w:rPr>
      </w:pPr>
      <w:r w:rsidRPr="00294C32">
        <w:rPr>
          <w:rFonts w:ascii="Times New Roman" w:hAnsi="Times New Roman" w:cs="Times New Roman"/>
          <w:b/>
          <w:bCs/>
          <w:sz w:val="19"/>
          <w:szCs w:val="19"/>
        </w:rPr>
        <w:t>C:</w:t>
      </w:r>
      <w:r w:rsidR="0032790C" w:rsidRPr="00294C32">
        <w:rPr>
          <w:rFonts w:ascii="Times New Roman" w:hAnsi="Times New Roman" w:cs="Times New Roman" w:hint="eastAsia"/>
          <w:b/>
          <w:bCs/>
          <w:sz w:val="19"/>
          <w:szCs w:val="19"/>
          <w:lang w:eastAsia="zh-CN"/>
        </w:rPr>
        <w:t xml:space="preserve"> </w:t>
      </w:r>
      <w:r w:rsidRPr="00294C32">
        <w:rPr>
          <w:rStyle w:val="hps"/>
          <w:rFonts w:ascii="Times New Roman" w:hAnsi="Times New Roman" w:cs="Times New Roman"/>
          <w:b/>
          <w:bCs/>
          <w:sz w:val="19"/>
          <w:szCs w:val="19"/>
        </w:rPr>
        <w:t>Control</w:t>
      </w:r>
      <w:r w:rsidR="0032790C" w:rsidRPr="00294C32">
        <w:rPr>
          <w:rFonts w:ascii="Times New Roman" w:hAnsi="Times New Roman" w:cs="Times New Roman"/>
          <w:b/>
          <w:bCs/>
          <w:sz w:val="19"/>
          <w:szCs w:val="19"/>
        </w:rPr>
        <w:t>,</w:t>
      </w:r>
      <w:r w:rsidRPr="00294C32">
        <w:rPr>
          <w:rFonts w:ascii="Times New Roman" w:hAnsi="Times New Roman" w:cs="Times New Roman"/>
          <w:b/>
          <w:bCs/>
          <w:sz w:val="19"/>
          <w:szCs w:val="19"/>
        </w:rPr>
        <w:t xml:space="preserve"> P: Propolis</w:t>
      </w:r>
      <w:r w:rsidR="0032790C" w:rsidRPr="00294C32">
        <w:rPr>
          <w:rFonts w:ascii="Times New Roman" w:eastAsia="宋体" w:hAnsi="Times New Roman" w:cs="Times New Roman"/>
          <w:b/>
          <w:bCs/>
          <w:sz w:val="19"/>
          <w:szCs w:val="19"/>
          <w:rtl/>
          <w:lang w:eastAsia="zh-CN" w:bidi="hi-IN"/>
        </w:rPr>
        <w:t>,</w:t>
      </w:r>
      <w:r w:rsidRPr="00294C32">
        <w:rPr>
          <w:rFonts w:ascii="Times New Roman" w:eastAsia="宋体" w:hAnsi="Times New Roman" w:cs="Times New Roman"/>
          <w:b/>
          <w:bCs/>
          <w:sz w:val="19"/>
          <w:szCs w:val="19"/>
          <w:lang w:eastAsia="zh-CN" w:bidi="hi-IN"/>
        </w:rPr>
        <w:t xml:space="preserve"> D</w:t>
      </w:r>
      <w:r w:rsidRPr="00294C32">
        <w:rPr>
          <w:rFonts w:ascii="Times New Roman" w:hAnsi="Times New Roman" w:cs="Times New Roman"/>
          <w:b/>
          <w:bCs/>
          <w:sz w:val="19"/>
          <w:szCs w:val="19"/>
        </w:rPr>
        <w:t>: Dacarbazine</w:t>
      </w:r>
      <w:r w:rsidRPr="00294C32">
        <w:rPr>
          <w:rFonts w:ascii="Times New Roman" w:eastAsia="宋体" w:hAnsi="Times New Roman" w:cs="Times New Roman"/>
          <w:b/>
          <w:bCs/>
          <w:sz w:val="19"/>
          <w:szCs w:val="19"/>
          <w:lang w:eastAsia="zh-CN" w:bidi="hi-IN"/>
        </w:rPr>
        <w:t>, P+D</w:t>
      </w:r>
      <w:r w:rsidR="0032790C" w:rsidRPr="00294C32">
        <w:rPr>
          <w:rFonts w:ascii="Times New Roman" w:eastAsia="宋体" w:hAnsi="Times New Roman" w:cs="Times New Roman"/>
          <w:b/>
          <w:bCs/>
          <w:sz w:val="19"/>
          <w:szCs w:val="19"/>
          <w:lang w:eastAsia="zh-CN" w:bidi="hi-IN"/>
        </w:rPr>
        <w:t>:</w:t>
      </w:r>
      <w:r w:rsidRPr="00294C32">
        <w:rPr>
          <w:rFonts w:ascii="Times New Roman" w:hAnsi="Times New Roman" w:cs="Times New Roman"/>
          <w:b/>
          <w:bCs/>
          <w:sz w:val="19"/>
          <w:szCs w:val="19"/>
        </w:rPr>
        <w:t xml:space="preserve"> Propolis</w:t>
      </w:r>
      <w:r w:rsidRPr="00294C32">
        <w:rPr>
          <w:rFonts w:ascii="Times New Roman" w:eastAsia="宋体" w:hAnsi="Times New Roman" w:cs="Times New Roman"/>
          <w:b/>
          <w:bCs/>
          <w:sz w:val="19"/>
          <w:szCs w:val="19"/>
          <w:lang w:eastAsia="zh-CN" w:bidi="hi-IN"/>
        </w:rPr>
        <w:t xml:space="preserve"> </w:t>
      </w:r>
      <w:r w:rsidRPr="00294C32">
        <w:rPr>
          <w:rFonts w:ascii="Times New Roman" w:hAnsi="Times New Roman" w:cs="Times New Roman"/>
          <w:b/>
          <w:bCs/>
          <w:sz w:val="19"/>
          <w:szCs w:val="19"/>
        </w:rPr>
        <w:t>+Dacarbazine</w:t>
      </w:r>
      <w:r w:rsidR="006F7038" w:rsidRPr="00294C32">
        <w:rPr>
          <w:rFonts w:ascii="Times New Roman" w:hAnsi="Times New Roman" w:cs="Times New Roman" w:hint="eastAsia"/>
          <w:b/>
          <w:bCs/>
          <w:sz w:val="19"/>
          <w:szCs w:val="19"/>
          <w:lang w:eastAsia="zh-CN"/>
        </w:rPr>
        <w:t>;</w:t>
      </w:r>
      <w:r w:rsidRPr="00294C32">
        <w:rPr>
          <w:rFonts w:ascii="Times New Roman" w:hAnsi="Times New Roman" w:cs="Times New Roman"/>
          <w:b/>
          <w:bCs/>
          <w:sz w:val="19"/>
          <w:szCs w:val="19"/>
        </w:rPr>
        <w:t xml:space="preserve"> a: Comparison with C</w:t>
      </w:r>
      <w:r w:rsidR="0032790C" w:rsidRPr="00294C32">
        <w:rPr>
          <w:rFonts w:ascii="Times New Roman" w:hAnsi="Times New Roman" w:cs="Times New Roman"/>
          <w:b/>
          <w:bCs/>
          <w:sz w:val="19"/>
          <w:szCs w:val="19"/>
        </w:rPr>
        <w:t>,</w:t>
      </w:r>
      <w:r w:rsidRPr="00294C32">
        <w:rPr>
          <w:rFonts w:ascii="Times New Roman" w:hAnsi="Times New Roman" w:cs="Times New Roman"/>
          <w:b/>
          <w:bCs/>
          <w:sz w:val="19"/>
          <w:szCs w:val="19"/>
        </w:rPr>
        <w:t xml:space="preserve"> b: Comparison with </w:t>
      </w:r>
      <w:r w:rsidRPr="00294C32">
        <w:rPr>
          <w:rFonts w:ascii="Times New Roman" w:eastAsia="宋体" w:hAnsi="Times New Roman" w:cs="Times New Roman"/>
          <w:b/>
          <w:bCs/>
          <w:sz w:val="19"/>
          <w:szCs w:val="19"/>
          <w:lang w:eastAsia="zh-CN" w:bidi="hi-IN"/>
        </w:rPr>
        <w:t>D</w:t>
      </w:r>
      <w:r w:rsidRPr="00294C32">
        <w:rPr>
          <w:rFonts w:ascii="Times New Roman" w:hAnsi="Times New Roman" w:cs="Times New Roman"/>
          <w:b/>
          <w:bCs/>
          <w:sz w:val="19"/>
          <w:szCs w:val="19"/>
        </w:rPr>
        <w:t xml:space="preserve"> </w:t>
      </w:r>
    </w:p>
    <w:p w:rsidR="00DC2018" w:rsidRPr="00294C32" w:rsidRDefault="00DC2018" w:rsidP="00294C32">
      <w:pPr>
        <w:bidi w:val="0"/>
        <w:adjustRightInd w:val="0"/>
        <w:snapToGrid w:val="0"/>
        <w:spacing w:after="0" w:line="240" w:lineRule="auto"/>
        <w:rPr>
          <w:rFonts w:ascii="Times New Roman" w:hAnsi="Times New Roman" w:cs="Times New Roman"/>
          <w:sz w:val="19"/>
          <w:szCs w:val="19"/>
        </w:rPr>
      </w:pPr>
      <w:r w:rsidRPr="00294C32">
        <w:rPr>
          <w:rFonts w:ascii="Times New Roman" w:hAnsi="Times New Roman" w:cs="Times New Roman"/>
          <w:b/>
          <w:bCs/>
          <w:sz w:val="19"/>
          <w:szCs w:val="19"/>
        </w:rPr>
        <w:t>p*</w:t>
      </w:r>
      <w:r w:rsidRPr="00294C32">
        <w:rPr>
          <w:rFonts w:ascii="Times New Roman" w:hAnsi="Times New Roman" w:cs="Times New Roman"/>
          <w:sz w:val="19"/>
          <w:szCs w:val="19"/>
        </w:rPr>
        <w:t xml:space="preserve"> significant&lt;0.05</w:t>
      </w:r>
      <w:r w:rsidR="006F7038" w:rsidRPr="00294C32">
        <w:rPr>
          <w:rFonts w:ascii="Times New Roman" w:hAnsi="Times New Roman" w:cs="Times New Roman" w:hint="eastAsia"/>
          <w:sz w:val="19"/>
          <w:szCs w:val="19"/>
          <w:lang w:eastAsia="zh-CN"/>
        </w:rPr>
        <w:t>;</w:t>
      </w:r>
      <w:r w:rsidR="0032790C" w:rsidRPr="00294C32">
        <w:rPr>
          <w:rFonts w:ascii="Times New Roman" w:hAnsi="Times New Roman" w:cs="Times New Roman"/>
          <w:sz w:val="19"/>
          <w:szCs w:val="19"/>
        </w:rPr>
        <w:t xml:space="preserve"> </w:t>
      </w:r>
      <w:r w:rsidRPr="00294C32">
        <w:rPr>
          <w:rFonts w:ascii="Times New Roman" w:hAnsi="Times New Roman" w:cs="Times New Roman"/>
          <w:b/>
          <w:bCs/>
          <w:sz w:val="19"/>
          <w:szCs w:val="19"/>
        </w:rPr>
        <w:t xml:space="preserve">p** </w:t>
      </w:r>
      <w:r w:rsidRPr="00294C32">
        <w:rPr>
          <w:rFonts w:ascii="Times New Roman" w:hAnsi="Times New Roman" w:cs="Times New Roman"/>
          <w:sz w:val="19"/>
          <w:szCs w:val="19"/>
        </w:rPr>
        <w:t>highly significant&lt;0.01</w:t>
      </w:r>
      <w:r w:rsidR="006F7038" w:rsidRPr="00294C32">
        <w:rPr>
          <w:rFonts w:ascii="Times New Roman" w:hAnsi="Times New Roman" w:cs="Times New Roman" w:hint="eastAsia"/>
          <w:sz w:val="19"/>
          <w:szCs w:val="19"/>
          <w:lang w:eastAsia="zh-CN"/>
        </w:rPr>
        <w:t>;</w:t>
      </w:r>
      <w:r w:rsidR="0032790C" w:rsidRPr="00294C32">
        <w:rPr>
          <w:rFonts w:ascii="Times New Roman" w:hAnsi="Times New Roman" w:cs="Times New Roman"/>
          <w:sz w:val="19"/>
          <w:szCs w:val="19"/>
        </w:rPr>
        <w:t xml:space="preserve"> </w:t>
      </w:r>
      <w:r w:rsidRPr="00294C32">
        <w:rPr>
          <w:rFonts w:ascii="Times New Roman" w:hAnsi="Times New Roman" w:cs="Times New Roman"/>
          <w:b/>
          <w:bCs/>
          <w:sz w:val="19"/>
          <w:szCs w:val="19"/>
        </w:rPr>
        <w:t>p***</w:t>
      </w:r>
      <w:r w:rsidRPr="00294C32">
        <w:rPr>
          <w:rFonts w:ascii="Times New Roman" w:hAnsi="Times New Roman" w:cs="Times New Roman"/>
          <w:sz w:val="19"/>
          <w:szCs w:val="19"/>
        </w:rPr>
        <w:t xml:space="preserve"> extremly significant&lt;0.001</w:t>
      </w:r>
    </w:p>
    <w:p w:rsidR="00294C32" w:rsidRPr="00294C32" w:rsidRDefault="00294C32" w:rsidP="00294C32">
      <w:pPr>
        <w:pStyle w:val="BodyText"/>
        <w:bidi w:val="0"/>
        <w:adjustRightInd w:val="0"/>
        <w:snapToGrid w:val="0"/>
        <w:rPr>
          <w:rFonts w:eastAsiaTheme="minorEastAsia"/>
          <w:position w:val="8"/>
          <w:sz w:val="19"/>
          <w:szCs w:val="19"/>
          <w:lang w:eastAsia="zh-CN"/>
        </w:rPr>
      </w:pPr>
    </w:p>
    <w:p w:rsidR="00DC2018" w:rsidRPr="0032790C" w:rsidRDefault="00DC2018" w:rsidP="00294C32">
      <w:pPr>
        <w:pStyle w:val="BodyText"/>
        <w:bidi w:val="0"/>
        <w:adjustRightInd w:val="0"/>
        <w:snapToGrid w:val="0"/>
        <w:rPr>
          <w:sz w:val="20"/>
          <w:szCs w:val="20"/>
        </w:rPr>
      </w:pPr>
      <w:r w:rsidRPr="0032790C">
        <w:rPr>
          <w:b/>
          <w:bCs/>
          <w:sz w:val="20"/>
          <w:szCs w:val="20"/>
        </w:rPr>
        <w:t>Table (3)</w:t>
      </w:r>
      <w:r w:rsidR="0032790C">
        <w:rPr>
          <w:b/>
          <w:bCs/>
          <w:sz w:val="20"/>
          <w:szCs w:val="20"/>
        </w:rPr>
        <w:t xml:space="preserve">: </w:t>
      </w:r>
      <w:r w:rsidRPr="0032790C">
        <w:rPr>
          <w:sz w:val="20"/>
          <w:szCs w:val="20"/>
        </w:rPr>
        <w:t>ANOVA and LSD between The Effects of Different concentrations of Treatment</w:t>
      </w:r>
      <w:r w:rsidR="0032790C">
        <w:rPr>
          <w:sz w:val="20"/>
          <w:szCs w:val="20"/>
        </w:rPr>
        <w:t xml:space="preserve"> </w:t>
      </w:r>
      <w:r w:rsidRPr="0032790C">
        <w:rPr>
          <w:sz w:val="20"/>
          <w:szCs w:val="20"/>
        </w:rPr>
        <w:t>by</w:t>
      </w:r>
      <w:r w:rsidR="0032790C">
        <w:rPr>
          <w:sz w:val="20"/>
          <w:szCs w:val="20"/>
        </w:rPr>
        <w:t xml:space="preserve"> </w:t>
      </w:r>
      <w:r w:rsidRPr="0032790C">
        <w:rPr>
          <w:sz w:val="20"/>
          <w:szCs w:val="20"/>
        </w:rPr>
        <w:t>Propolis</w:t>
      </w:r>
      <w:r w:rsidR="0032790C" w:rsidRPr="0032790C">
        <w:rPr>
          <w:sz w:val="20"/>
          <w:szCs w:val="20"/>
        </w:rPr>
        <w:t>,</w:t>
      </w:r>
      <w:r w:rsidR="0032790C" w:rsidRPr="0032790C">
        <w:rPr>
          <w:rFonts w:eastAsiaTheme="minorEastAsia" w:hint="eastAsia"/>
          <w:sz w:val="20"/>
          <w:szCs w:val="20"/>
          <w:lang w:eastAsia="zh-CN"/>
        </w:rPr>
        <w:t xml:space="preserve"> </w:t>
      </w:r>
      <w:r w:rsidRPr="0032790C">
        <w:rPr>
          <w:sz w:val="20"/>
          <w:szCs w:val="20"/>
        </w:rPr>
        <w:t>Dacarbazine,</w:t>
      </w:r>
      <w:r w:rsidR="0032790C">
        <w:rPr>
          <w:rFonts w:eastAsiaTheme="minorEastAsia" w:hint="eastAsia"/>
          <w:sz w:val="20"/>
          <w:szCs w:val="20"/>
          <w:lang w:eastAsia="zh-CN"/>
        </w:rPr>
        <w:t xml:space="preserve"> </w:t>
      </w:r>
      <w:r w:rsidRPr="0032790C">
        <w:rPr>
          <w:sz w:val="20"/>
          <w:szCs w:val="20"/>
        </w:rPr>
        <w:t>and</w:t>
      </w:r>
      <w:r w:rsidR="0032790C">
        <w:rPr>
          <w:sz w:val="20"/>
          <w:szCs w:val="20"/>
        </w:rPr>
        <w:t xml:space="preserve"> </w:t>
      </w:r>
      <w:r w:rsidRPr="0032790C">
        <w:rPr>
          <w:sz w:val="20"/>
          <w:szCs w:val="20"/>
        </w:rPr>
        <w:t>The Dual Treatment with</w:t>
      </w:r>
      <w:r w:rsidR="0032790C">
        <w:rPr>
          <w:sz w:val="20"/>
          <w:szCs w:val="20"/>
        </w:rPr>
        <w:t xml:space="preserve"> </w:t>
      </w:r>
      <w:r w:rsidRPr="0032790C">
        <w:rPr>
          <w:sz w:val="20"/>
          <w:szCs w:val="20"/>
        </w:rPr>
        <w:t>Propolis and</w:t>
      </w:r>
      <w:r w:rsidR="0032790C">
        <w:rPr>
          <w:sz w:val="20"/>
          <w:szCs w:val="20"/>
        </w:rPr>
        <w:t xml:space="preserve"> </w:t>
      </w:r>
      <w:r w:rsidRPr="0032790C">
        <w:rPr>
          <w:sz w:val="20"/>
          <w:szCs w:val="20"/>
        </w:rPr>
        <w:t>Dacarbazine on the mean of liver cancer cells of the lines HepG 2 after 48 h</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2191"/>
        <w:gridCol w:w="2429"/>
        <w:gridCol w:w="1002"/>
        <w:gridCol w:w="1088"/>
        <w:gridCol w:w="1178"/>
        <w:gridCol w:w="688"/>
      </w:tblGrid>
      <w:tr w:rsidR="00DC2018" w:rsidRPr="0032790C" w:rsidTr="00294C32">
        <w:trPr>
          <w:gridAfter w:val="1"/>
          <w:wAfter w:w="359" w:type="pct"/>
          <w:cantSplit/>
          <w:jc w:val="center"/>
        </w:trPr>
        <w:tc>
          <w:tcPr>
            <w:tcW w:w="2935" w:type="pct"/>
            <w:gridSpan w:val="3"/>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r w:rsidRPr="0032790C">
              <w:rPr>
                <w:rFonts w:ascii="Times New Roman" w:eastAsia="宋体" w:hAnsi="Times New Roman" w:cs="Times New Roman" w:hint="cs"/>
                <w:b/>
                <w:bCs/>
                <w:shadow/>
                <w:sz w:val="20"/>
                <w:szCs w:val="20"/>
                <w:rtl/>
                <w:lang w:eastAsia="zh-CN"/>
              </w:rPr>
              <w:t>)</w:t>
            </w:r>
            <w:r w:rsidRPr="0032790C">
              <w:rPr>
                <w:rFonts w:ascii="Times New Roman" w:eastAsia="宋体" w:hAnsi="Times New Roman" w:cs="Times New Roman"/>
                <w:b/>
                <w:bCs/>
                <w:shadow/>
                <w:sz w:val="20"/>
                <w:szCs w:val="20"/>
                <w:lang w:eastAsia="zh-CN"/>
              </w:rPr>
              <w:t>LSD</w:t>
            </w:r>
            <w:r w:rsidRPr="0032790C">
              <w:rPr>
                <w:rFonts w:ascii="Times New Roman" w:eastAsia="宋体" w:hAnsi="Times New Roman" w:cs="Times New Roman"/>
                <w:b/>
                <w:bCs/>
                <w:shadow/>
                <w:sz w:val="20"/>
                <w:szCs w:val="20"/>
                <w:rtl/>
                <w:lang w:eastAsia="zh-CN"/>
              </w:rPr>
              <w:t xml:space="preserve"> </w:t>
            </w:r>
            <w:r w:rsidRPr="0032790C">
              <w:rPr>
                <w:rFonts w:ascii="Times New Roman" w:eastAsia="宋体" w:hAnsi="Times New Roman" w:cs="Times New Roman" w:hint="cs"/>
                <w:b/>
                <w:bCs/>
                <w:shadow/>
                <w:sz w:val="20"/>
                <w:szCs w:val="20"/>
                <w:rtl/>
                <w:lang w:eastAsia="zh-CN"/>
              </w:rPr>
              <w:t>(</w:t>
            </w:r>
          </w:p>
        </w:tc>
        <w:tc>
          <w:tcPr>
            <w:tcW w:w="1091" w:type="pct"/>
            <w:gridSpan w:val="2"/>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r w:rsidRPr="0032790C">
              <w:rPr>
                <w:rFonts w:ascii="Times New Roman" w:eastAsia="宋体" w:hAnsi="Times New Roman" w:cs="Times New Roman"/>
                <w:b/>
                <w:bCs/>
                <w:shadow/>
                <w:sz w:val="20"/>
                <w:szCs w:val="20"/>
                <w:lang w:eastAsia="zh-CN"/>
              </w:rPr>
              <w:t>(ANOVA)</w:t>
            </w:r>
          </w:p>
        </w:tc>
        <w:tc>
          <w:tcPr>
            <w:tcW w:w="615" w:type="pct"/>
            <w:vMerge w:val="restart"/>
            <w:tcBorders>
              <w:top w:val="nil"/>
              <w:left w:val="thinThickSmallGap" w:sz="24" w:space="0" w:color="auto"/>
              <w:right w:val="nil"/>
            </w:tcBorders>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p>
        </w:tc>
      </w:tr>
      <w:tr w:rsidR="00DC2018" w:rsidRPr="0032790C" w:rsidTr="00294C32">
        <w:trPr>
          <w:gridAfter w:val="1"/>
          <w:wAfter w:w="359" w:type="pct"/>
          <w:cantSplit/>
          <w:jc w:val="center"/>
        </w:trPr>
        <w:tc>
          <w:tcPr>
            <w:tcW w:w="523"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DC2018" w:rsidRPr="0032790C" w:rsidRDefault="00294C32" w:rsidP="00294C32">
            <w:pPr>
              <w:bidi w:val="0"/>
              <w:adjustRightInd w:val="0"/>
              <w:snapToGrid w:val="0"/>
              <w:spacing w:after="0" w:line="240" w:lineRule="auto"/>
              <w:jc w:val="center"/>
              <w:rPr>
                <w:rFonts w:ascii="Times New Roman" w:eastAsia="宋体" w:hAnsi="Times New Roman" w:cs="Times New Roman"/>
                <w:b/>
                <w:bCs/>
                <w:sz w:val="20"/>
                <w:szCs w:val="20"/>
                <w:lang w:eastAsia="zh-CN"/>
              </w:rPr>
            </w:pPr>
            <w:r>
              <w:rPr>
                <w:rFonts w:ascii="Times New Roman" w:eastAsia="宋体" w:hAnsi="Times New Roman" w:cs="Times New Roman" w:hint="eastAsia"/>
                <w:b/>
                <w:bCs/>
                <w:sz w:val="20"/>
                <w:szCs w:val="20"/>
                <w:lang w:eastAsia="zh-CN"/>
              </w:rPr>
              <w:t>(</w:t>
            </w:r>
            <w:r w:rsidR="00DC2018" w:rsidRPr="0032790C">
              <w:rPr>
                <w:rFonts w:ascii="Times New Roman" w:eastAsia="宋体" w:hAnsi="Times New Roman" w:cs="Times New Roman"/>
                <w:b/>
                <w:bCs/>
                <w:sz w:val="20"/>
                <w:szCs w:val="20"/>
                <w:lang w:eastAsia="zh-CN"/>
              </w:rPr>
              <w:t>Sig)</w:t>
            </w:r>
          </w:p>
        </w:tc>
        <w:tc>
          <w:tcPr>
            <w:tcW w:w="1144" w:type="pct"/>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Pr>
              <w:t>Mean Difference</w:t>
            </w:r>
          </w:p>
        </w:tc>
        <w:tc>
          <w:tcPr>
            <w:tcW w:w="1268"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Style w:val="hps"/>
                <w:rFonts w:ascii="Times New Roman" w:hAnsi="Times New Roman" w:cs="Times New Roman"/>
                <w:b/>
                <w:bCs/>
                <w:sz w:val="20"/>
                <w:szCs w:val="20"/>
              </w:rPr>
              <w:t>Groups</w:t>
            </w:r>
            <w:r w:rsidR="0032790C">
              <w:rPr>
                <w:rStyle w:val="hps"/>
                <w:rFonts w:ascii="Times New Roman" w:hAnsi="Times New Roman" w:cs="Times New Roman" w:hint="eastAsia"/>
                <w:b/>
                <w:bCs/>
                <w:sz w:val="20"/>
                <w:szCs w:val="20"/>
                <w:lang w:eastAsia="zh-CN"/>
              </w:rPr>
              <w:t xml:space="preserve"> </w:t>
            </w:r>
            <w:r w:rsidRPr="0032790C">
              <w:rPr>
                <w:rStyle w:val="hps"/>
                <w:rFonts w:ascii="Times New Roman" w:hAnsi="Times New Roman" w:cs="Times New Roman"/>
                <w:b/>
                <w:bCs/>
                <w:sz w:val="20"/>
                <w:szCs w:val="20"/>
              </w:rPr>
              <w:t>Treatment</w:t>
            </w:r>
          </w:p>
        </w:tc>
        <w:tc>
          <w:tcPr>
            <w:tcW w:w="523"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z w:val="20"/>
                <w:szCs w:val="20"/>
                <w:lang w:eastAsia="zh-CN"/>
              </w:rPr>
            </w:pPr>
            <w:r w:rsidRPr="0032790C">
              <w:rPr>
                <w:rFonts w:ascii="Times New Roman" w:eastAsia="宋体" w:hAnsi="Times New Roman" w:cs="Times New Roman"/>
                <w:b/>
                <w:bCs/>
                <w:sz w:val="20"/>
                <w:szCs w:val="20"/>
                <w:lang w:eastAsia="zh-CN"/>
              </w:rPr>
              <w:t xml:space="preserve"> (Sig)</w:t>
            </w:r>
          </w:p>
        </w:tc>
        <w:tc>
          <w:tcPr>
            <w:tcW w:w="568"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z w:val="20"/>
                <w:szCs w:val="20"/>
                <w:lang w:eastAsia="zh-CN" w:bidi="ar-EG"/>
              </w:rPr>
            </w:pPr>
            <w:r w:rsidRPr="0032790C">
              <w:rPr>
                <w:rFonts w:ascii="Times New Roman" w:eastAsia="宋体" w:hAnsi="Times New Roman" w:cs="Times New Roman"/>
                <w:b/>
                <w:bCs/>
                <w:sz w:val="20"/>
                <w:szCs w:val="20"/>
                <w:rtl/>
                <w:lang w:eastAsia="zh-CN"/>
              </w:rPr>
              <w:t xml:space="preserve"> </w:t>
            </w:r>
            <w:r w:rsidRPr="0032790C">
              <w:rPr>
                <w:rFonts w:ascii="Times New Roman" w:eastAsia="宋体" w:hAnsi="Times New Roman" w:cs="Times New Roman"/>
                <w:b/>
                <w:bCs/>
                <w:sz w:val="20"/>
                <w:szCs w:val="20"/>
                <w:lang w:eastAsia="zh-CN"/>
              </w:rPr>
              <w:t>(F)</w:t>
            </w:r>
            <w:r w:rsidRPr="0032790C">
              <w:rPr>
                <w:rFonts w:ascii="Times New Roman" w:eastAsia="宋体" w:hAnsi="Times New Roman" w:cs="Times New Roman"/>
                <w:b/>
                <w:bCs/>
                <w:sz w:val="20"/>
                <w:szCs w:val="20"/>
                <w:rtl/>
                <w:lang w:eastAsia="zh-CN"/>
              </w:rPr>
              <w:t xml:space="preserve"> </w:t>
            </w:r>
          </w:p>
        </w:tc>
        <w:tc>
          <w:tcPr>
            <w:tcW w:w="615" w:type="pct"/>
            <w:vMerge/>
            <w:tcBorders>
              <w:left w:val="thinThickSmallGap" w:sz="24" w:space="0" w:color="auto"/>
              <w:bottom w:val="thinThickSmallGap" w:sz="24" w:space="0" w:color="auto"/>
              <w:right w:val="nil"/>
            </w:tcBorders>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z w:val="20"/>
                <w:szCs w:val="20"/>
                <w:rtl/>
                <w:lang w:eastAsia="zh-CN"/>
              </w:rPr>
            </w:pPr>
          </w:p>
        </w:tc>
      </w:tr>
      <w:tr w:rsidR="00DC2018" w:rsidRPr="0032790C" w:rsidTr="00294C32">
        <w:trPr>
          <w:cantSplit/>
          <w:jc w:val="center"/>
        </w:trPr>
        <w:tc>
          <w:tcPr>
            <w:tcW w:w="523" w:type="pct"/>
            <w:tcBorders>
              <w:top w:val="thinThickSmallGap" w:sz="24" w:space="0" w:color="auto"/>
              <w:left w:val="thinThickSmallGap" w:sz="24"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top w:val="thinThickSmallGap" w:sz="24"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w:t>
            </w:r>
            <w:r w:rsidRPr="0032790C">
              <w:rPr>
                <w:rFonts w:ascii="Times New Roman" w:hAnsi="Times New Roman" w:cs="Times New Roman"/>
                <w:b/>
                <w:bCs/>
                <w:sz w:val="20"/>
                <w:szCs w:val="20"/>
              </w:rPr>
              <w:t>146</w:t>
            </w:r>
          </w:p>
        </w:tc>
        <w:tc>
          <w:tcPr>
            <w:tcW w:w="1268" w:type="pct"/>
            <w:tcBorders>
              <w:top w:val="thinThickSmallGap" w:sz="24" w:space="0" w:color="auto"/>
              <w:bottom w:val="single" w:sz="4" w:space="0" w:color="auto"/>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23" w:type="pct"/>
            <w:vMerge w:val="restart"/>
            <w:tcBorders>
              <w:top w:val="thinThickSmallGap" w:sz="24" w:space="0" w:color="auto"/>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568" w:type="pct"/>
            <w:vMerge w:val="restart"/>
            <w:tcBorders>
              <w:top w:val="thinThickSmallGap" w:sz="24"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28.842</w:t>
            </w:r>
          </w:p>
        </w:tc>
        <w:tc>
          <w:tcPr>
            <w:tcW w:w="615" w:type="pct"/>
            <w:vMerge w:val="restart"/>
            <w:tcBorders>
              <w:top w:val="thinThickSmallGap" w:sz="24"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Control</w:t>
            </w:r>
          </w:p>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hint="cs"/>
                <w:b/>
                <w:bCs/>
                <w:sz w:val="20"/>
                <w:szCs w:val="20"/>
                <w:rtl/>
              </w:rPr>
              <w:t>)</w:t>
            </w:r>
            <w:r w:rsidRPr="0032790C">
              <w:rPr>
                <w:rFonts w:ascii="Times New Roman" w:hAnsi="Times New Roman" w:cs="Times New Roman"/>
                <w:b/>
                <w:bCs/>
                <w:sz w:val="20"/>
                <w:szCs w:val="20"/>
              </w:rPr>
              <w:t>C</w:t>
            </w:r>
            <w:r w:rsidRPr="0032790C">
              <w:rPr>
                <w:rFonts w:ascii="Times New Roman" w:hAnsi="Times New Roman" w:cs="Times New Roman" w:hint="cs"/>
                <w:b/>
                <w:bCs/>
                <w:sz w:val="20"/>
                <w:szCs w:val="20"/>
                <w:rtl/>
              </w:rPr>
              <w:t>(</w:t>
            </w:r>
          </w:p>
        </w:tc>
        <w:tc>
          <w:tcPr>
            <w:tcW w:w="359" w:type="pct"/>
            <w:vMerge w:val="restart"/>
            <w:tcBorders>
              <w:top w:val="thinThickSmallGap" w:sz="24" w:space="0" w:color="auto"/>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tl/>
              </w:rPr>
              <w:t>50</w:t>
            </w:r>
          </w:p>
        </w:tc>
      </w:tr>
      <w:tr w:rsidR="00DC2018" w:rsidRPr="0032790C" w:rsidTr="00294C32">
        <w:trPr>
          <w:cantSplit/>
          <w:jc w:val="center"/>
        </w:trPr>
        <w:tc>
          <w:tcPr>
            <w:tcW w:w="523" w:type="pct"/>
            <w:tcBorders>
              <w:left w:val="thinThickSmallGap" w:sz="24" w:space="0" w:color="auto"/>
              <w:bottom w:val="single" w:sz="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bottom w:val="single" w:sz="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w:t>
            </w:r>
            <w:r w:rsidRPr="0032790C">
              <w:rPr>
                <w:rFonts w:ascii="Times New Roman" w:hAnsi="Times New Roman" w:cs="Times New Roman"/>
                <w:b/>
                <w:bCs/>
                <w:sz w:val="20"/>
                <w:szCs w:val="20"/>
              </w:rPr>
              <w:t>169</w:t>
            </w:r>
          </w:p>
        </w:tc>
        <w:tc>
          <w:tcPr>
            <w:tcW w:w="1268" w:type="pct"/>
            <w:tcBorders>
              <w:bottom w:val="single" w:sz="4" w:space="0" w:color="auto"/>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23"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23" w:type="pct"/>
            <w:tcBorders>
              <w:left w:val="thinThickSmallGap" w:sz="24" w:space="0" w:color="auto"/>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w:t>
            </w:r>
            <w:r w:rsidRPr="0032790C">
              <w:rPr>
                <w:rFonts w:ascii="Times New Roman" w:hAnsi="Times New Roman" w:cs="Times New Roman"/>
                <w:b/>
                <w:bCs/>
                <w:sz w:val="20"/>
                <w:szCs w:val="20"/>
              </w:rPr>
              <w:t>154</w:t>
            </w:r>
          </w:p>
        </w:tc>
        <w:tc>
          <w:tcPr>
            <w:tcW w:w="1268" w:type="pct"/>
            <w:tcBorders>
              <w:bottom w:val="double" w:sz="2"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23" w:type="pct"/>
            <w:vMerge/>
            <w:tcBorders>
              <w:left w:val="thinThickSmallGap" w:sz="24" w:space="0" w:color="auto"/>
              <w:bottom w:val="double" w:sz="2"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bottom w:val="double" w:sz="2"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bottom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bottom w:val="double" w:sz="2"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23" w:type="pct"/>
            <w:tcBorders>
              <w:top w:val="double" w:sz="2" w:space="0" w:color="auto"/>
              <w:left w:val="thinThickSmallGap" w:sz="24" w:space="0" w:color="auto"/>
              <w:bottom w:val="single" w:sz="2"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top w:val="double" w:sz="2"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138</w:t>
            </w:r>
          </w:p>
        </w:tc>
        <w:tc>
          <w:tcPr>
            <w:tcW w:w="1268" w:type="pct"/>
            <w:tcBorders>
              <w:top w:val="double" w:sz="2" w:space="0" w:color="auto"/>
              <w:bottom w:val="single" w:sz="4" w:space="0" w:color="auto"/>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23" w:type="pct"/>
            <w:vMerge w:val="restart"/>
            <w:tcBorders>
              <w:top w:val="double" w:sz="2" w:space="0" w:color="auto"/>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568" w:type="pct"/>
            <w:vMerge w:val="restart"/>
            <w:tcBorders>
              <w:top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10296</w:t>
            </w:r>
          </w:p>
        </w:tc>
        <w:tc>
          <w:tcPr>
            <w:tcW w:w="615" w:type="pct"/>
            <w:vMerge w:val="restart"/>
            <w:tcBorders>
              <w:top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Pr>
              <w:t>Control</w:t>
            </w:r>
          </w:p>
          <w:p w:rsidR="00DC2018" w:rsidRPr="0032790C" w:rsidRDefault="00397591"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hint="cs"/>
                <w:b/>
                <w:bCs/>
                <w:sz w:val="20"/>
                <w:szCs w:val="20"/>
                <w:rtl/>
                <w:lang w:bidi="ar-EG"/>
              </w:rPr>
              <w:t>)</w:t>
            </w:r>
            <w:r w:rsidRPr="0032790C">
              <w:rPr>
                <w:rFonts w:ascii="Times New Roman" w:hAnsi="Times New Roman" w:cs="Times New Roman"/>
                <w:b/>
                <w:bCs/>
                <w:sz w:val="20"/>
                <w:szCs w:val="20"/>
              </w:rPr>
              <w:t xml:space="preserve"> </w:t>
            </w:r>
            <w:r w:rsidR="00DC2018" w:rsidRPr="0032790C">
              <w:rPr>
                <w:rFonts w:ascii="Times New Roman" w:hAnsi="Times New Roman" w:cs="Times New Roman"/>
                <w:b/>
                <w:bCs/>
                <w:sz w:val="20"/>
                <w:szCs w:val="20"/>
              </w:rPr>
              <w:t>C</w:t>
            </w:r>
            <w:r w:rsidRPr="0032790C">
              <w:rPr>
                <w:rFonts w:ascii="Times New Roman" w:hAnsi="Times New Roman" w:cs="Times New Roman"/>
                <w:b/>
                <w:bCs/>
                <w:sz w:val="20"/>
                <w:szCs w:val="20"/>
              </w:rPr>
              <w:t>)</w:t>
            </w:r>
          </w:p>
        </w:tc>
        <w:tc>
          <w:tcPr>
            <w:tcW w:w="359" w:type="pct"/>
            <w:vMerge w:val="restart"/>
            <w:tcBorders>
              <w:top w:val="double" w:sz="2" w:space="0" w:color="auto"/>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100</w:t>
            </w:r>
          </w:p>
        </w:tc>
      </w:tr>
      <w:tr w:rsidR="00DC2018" w:rsidRPr="0032790C" w:rsidTr="00294C32">
        <w:trPr>
          <w:cantSplit/>
          <w:jc w:val="center"/>
        </w:trPr>
        <w:tc>
          <w:tcPr>
            <w:tcW w:w="523" w:type="pct"/>
            <w:tcBorders>
              <w:top w:val="single" w:sz="2" w:space="0" w:color="auto"/>
              <w:lef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161</w:t>
            </w:r>
          </w:p>
        </w:tc>
        <w:tc>
          <w:tcPr>
            <w:tcW w:w="1268" w:type="pct"/>
            <w:tcBorders>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23"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23" w:type="pct"/>
            <w:tcBorders>
              <w:left w:val="thinThickSmallGap" w:sz="24" w:space="0" w:color="auto"/>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164</w:t>
            </w:r>
          </w:p>
        </w:tc>
        <w:tc>
          <w:tcPr>
            <w:tcW w:w="1268" w:type="pct"/>
            <w:tcBorders>
              <w:bottom w:val="double" w:sz="2"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23" w:type="pct"/>
            <w:vMerge/>
            <w:tcBorders>
              <w:left w:val="thinThickSmallGap" w:sz="24" w:space="0" w:color="auto"/>
              <w:bottom w:val="double" w:sz="2"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bottom w:val="double" w:sz="2"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bottom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bottom w:val="double" w:sz="2"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23" w:type="pct"/>
            <w:tcBorders>
              <w:lef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w:t>
            </w:r>
            <w:r w:rsidRPr="0032790C">
              <w:rPr>
                <w:rFonts w:ascii="Times New Roman" w:hAnsi="Times New Roman" w:cs="Times New Roman"/>
                <w:b/>
                <w:bCs/>
                <w:sz w:val="20"/>
                <w:szCs w:val="20"/>
              </w:rPr>
              <w:t>38</w:t>
            </w:r>
          </w:p>
        </w:tc>
        <w:tc>
          <w:tcPr>
            <w:tcW w:w="1268" w:type="pct"/>
            <w:tcBorders>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23" w:type="pct"/>
            <w:vMerge w:val="restart"/>
            <w:tcBorders>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568" w:type="pct"/>
            <w:vMerge w:val="restart"/>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112175</w:t>
            </w:r>
          </w:p>
        </w:tc>
        <w:tc>
          <w:tcPr>
            <w:tcW w:w="615" w:type="pct"/>
            <w:vMerge w:val="restart"/>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Control</w:t>
            </w:r>
          </w:p>
          <w:p w:rsidR="00DC2018" w:rsidRPr="0032790C" w:rsidRDefault="00397591"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w:t>
            </w:r>
            <w:r w:rsidR="00DC2018" w:rsidRPr="0032790C">
              <w:rPr>
                <w:rFonts w:ascii="Times New Roman" w:hAnsi="Times New Roman" w:cs="Times New Roman"/>
                <w:b/>
                <w:bCs/>
                <w:sz w:val="20"/>
                <w:szCs w:val="20"/>
              </w:rPr>
              <w:t>C</w:t>
            </w:r>
            <w:r w:rsidRPr="0032790C">
              <w:rPr>
                <w:rFonts w:ascii="Times New Roman" w:hAnsi="Times New Roman" w:cs="Times New Roman"/>
                <w:b/>
                <w:bCs/>
                <w:sz w:val="20"/>
                <w:szCs w:val="20"/>
              </w:rPr>
              <w:t>)</w:t>
            </w:r>
          </w:p>
        </w:tc>
        <w:tc>
          <w:tcPr>
            <w:tcW w:w="359" w:type="pct"/>
            <w:vMerge w:val="restart"/>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200</w:t>
            </w:r>
          </w:p>
        </w:tc>
      </w:tr>
      <w:tr w:rsidR="00DC2018" w:rsidRPr="0032790C" w:rsidTr="00294C32">
        <w:trPr>
          <w:cantSplit/>
          <w:jc w:val="center"/>
        </w:trPr>
        <w:tc>
          <w:tcPr>
            <w:tcW w:w="523" w:type="pct"/>
            <w:tcBorders>
              <w:lef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w:t>
            </w:r>
            <w:r w:rsidRPr="0032790C">
              <w:rPr>
                <w:rFonts w:ascii="Times New Roman" w:hAnsi="Times New Roman" w:cs="Times New Roman"/>
                <w:b/>
                <w:bCs/>
                <w:sz w:val="20"/>
                <w:szCs w:val="20"/>
              </w:rPr>
              <w:t>77</w:t>
            </w:r>
          </w:p>
        </w:tc>
        <w:tc>
          <w:tcPr>
            <w:tcW w:w="1268" w:type="pct"/>
            <w:tcBorders>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23"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right w:val="thinThickSmallGap" w:sz="24" w:space="0" w:color="auto"/>
            </w:tcBorders>
            <w:shd w:val="clear" w:color="auto" w:fill="auto"/>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23" w:type="pct"/>
            <w:tcBorders>
              <w:left w:val="thinThickSmallGap" w:sz="24" w:space="0" w:color="auto"/>
              <w:bottom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44" w:type="pct"/>
            <w:tcBorders>
              <w:bottom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172</w:t>
            </w:r>
          </w:p>
        </w:tc>
        <w:tc>
          <w:tcPr>
            <w:tcW w:w="1268" w:type="pct"/>
            <w:tcBorders>
              <w:bottom w:val="thinThickSmallGap" w:sz="24"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23" w:type="pct"/>
            <w:vMerge/>
            <w:tcBorders>
              <w:left w:val="thinThickSmallGap" w:sz="24" w:space="0" w:color="auto"/>
              <w:bottom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568" w:type="pct"/>
            <w:vMerge/>
            <w:tcBorders>
              <w:bottom w:val="thinThickSmallGap" w:sz="24"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15" w:type="pct"/>
            <w:vMerge/>
            <w:tcBorders>
              <w:bottom w:val="thinThickSmallGap" w:sz="24"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9" w:type="pct"/>
            <w:vMerge/>
            <w:tcBorders>
              <w:left w:val="thinThickSmallGap" w:sz="24" w:space="0" w:color="auto"/>
              <w:bottom w:val="thinThickSmallGap" w:sz="24" w:space="0" w:color="auto"/>
              <w:right w:val="thinThickSmallGap" w:sz="24" w:space="0" w:color="auto"/>
            </w:tcBorders>
            <w:shd w:val="clear" w:color="auto" w:fill="auto"/>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bl>
    <w:p w:rsidR="00DC2018" w:rsidRPr="0032790C" w:rsidRDefault="00DC2018" w:rsidP="00294C32">
      <w:pPr>
        <w:bidi w:val="0"/>
        <w:adjustRightInd w:val="0"/>
        <w:snapToGrid w:val="0"/>
        <w:spacing w:after="0" w:line="240" w:lineRule="auto"/>
        <w:rPr>
          <w:rFonts w:ascii="Times New Roman" w:hAnsi="Times New Roman" w:cs="Times New Roman"/>
          <w:b/>
          <w:bCs/>
          <w:sz w:val="20"/>
          <w:szCs w:val="20"/>
        </w:rPr>
      </w:pPr>
      <w:r w:rsidRPr="0032790C">
        <w:rPr>
          <w:rFonts w:ascii="Times New Roman" w:hAnsi="Times New Roman" w:cs="Times New Roman"/>
          <w:b/>
          <w:bCs/>
          <w:sz w:val="20"/>
          <w:szCs w:val="20"/>
        </w:rPr>
        <w:t>C:</w:t>
      </w:r>
      <w:r w:rsidR="0032790C">
        <w:rPr>
          <w:rFonts w:ascii="Times New Roman" w:hAnsi="Times New Roman" w:cs="Times New Roman" w:hint="eastAsia"/>
          <w:b/>
          <w:bCs/>
          <w:sz w:val="20"/>
          <w:szCs w:val="20"/>
          <w:lang w:eastAsia="zh-CN"/>
        </w:rPr>
        <w:t xml:space="preserve"> </w:t>
      </w:r>
      <w:r w:rsidRPr="0032790C">
        <w:rPr>
          <w:rStyle w:val="hps"/>
          <w:rFonts w:ascii="Times New Roman" w:hAnsi="Times New Roman" w:cs="Times New Roman"/>
          <w:b/>
          <w:bCs/>
          <w:sz w:val="20"/>
          <w:szCs w:val="20"/>
        </w:rPr>
        <w:t>Control</w:t>
      </w:r>
      <w:r w:rsidR="0032790C" w:rsidRPr="0032790C">
        <w:rPr>
          <w:rFonts w:ascii="Times New Roman" w:hAnsi="Times New Roman" w:cs="Times New Roman"/>
          <w:b/>
          <w:bCs/>
          <w:sz w:val="20"/>
          <w:szCs w:val="20"/>
        </w:rPr>
        <w:t>,</w:t>
      </w:r>
      <w:r w:rsidRPr="0032790C">
        <w:rPr>
          <w:rFonts w:ascii="Times New Roman" w:hAnsi="Times New Roman" w:cs="Times New Roman"/>
          <w:b/>
          <w:bCs/>
          <w:sz w:val="20"/>
          <w:szCs w:val="20"/>
        </w:rPr>
        <w:t xml:space="preserve"> P: Propolis</w:t>
      </w:r>
      <w:r w:rsidR="0032790C" w:rsidRPr="0032790C">
        <w:rPr>
          <w:rFonts w:ascii="Times New Roman" w:eastAsia="宋体" w:hAnsi="Times New Roman" w:cs="Times New Roman"/>
          <w:b/>
          <w:bCs/>
          <w:sz w:val="20"/>
          <w:szCs w:val="20"/>
          <w:rtl/>
          <w:lang w:eastAsia="zh-CN" w:bidi="hi-IN"/>
        </w:rPr>
        <w:t>,</w:t>
      </w:r>
      <w:r w:rsidR="0032790C" w:rsidRPr="0032790C">
        <w:rPr>
          <w:rFonts w:ascii="Times New Roman" w:eastAsia="宋体" w:hAnsi="Times New Roman" w:cs="Times New Roman" w:hint="eastAsia"/>
          <w:b/>
          <w:bCs/>
          <w:sz w:val="20"/>
          <w:szCs w:val="20"/>
          <w:lang w:eastAsia="zh-CN" w:bidi="hi-IN"/>
        </w:rPr>
        <w:t xml:space="preserve"> </w:t>
      </w:r>
      <w:r w:rsidRPr="0032790C">
        <w:rPr>
          <w:rFonts w:ascii="Times New Roman" w:eastAsia="宋体" w:hAnsi="Times New Roman" w:cs="Times New Roman"/>
          <w:b/>
          <w:bCs/>
          <w:sz w:val="20"/>
          <w:szCs w:val="20"/>
          <w:lang w:eastAsia="zh-CN" w:bidi="hi-IN"/>
        </w:rPr>
        <w:t>D</w:t>
      </w:r>
      <w:r w:rsidRPr="0032790C">
        <w:rPr>
          <w:rFonts w:ascii="Times New Roman" w:hAnsi="Times New Roman" w:cs="Times New Roman"/>
          <w:b/>
          <w:bCs/>
          <w:sz w:val="20"/>
          <w:szCs w:val="20"/>
        </w:rPr>
        <w:t>: Dacarbazine</w:t>
      </w:r>
      <w:r w:rsidRPr="0032790C">
        <w:rPr>
          <w:rFonts w:ascii="Times New Roman" w:eastAsia="宋体" w:hAnsi="Times New Roman" w:cs="Times New Roman"/>
          <w:b/>
          <w:bCs/>
          <w:sz w:val="20"/>
          <w:szCs w:val="20"/>
          <w:lang w:eastAsia="zh-CN" w:bidi="hi-IN"/>
        </w:rPr>
        <w:t>, P+D:</w:t>
      </w:r>
      <w:r w:rsidRPr="0032790C">
        <w:rPr>
          <w:rFonts w:ascii="Times New Roman" w:hAnsi="Times New Roman" w:cs="Times New Roman"/>
          <w:b/>
          <w:bCs/>
          <w:sz w:val="20"/>
          <w:szCs w:val="20"/>
        </w:rPr>
        <w:t xml:space="preserve"> Propolis</w:t>
      </w:r>
      <w:r w:rsidRPr="0032790C">
        <w:rPr>
          <w:rFonts w:ascii="Times New Roman" w:eastAsia="宋体" w:hAnsi="Times New Roman" w:cs="Times New Roman"/>
          <w:b/>
          <w:bCs/>
          <w:sz w:val="20"/>
          <w:szCs w:val="20"/>
          <w:lang w:eastAsia="zh-CN" w:bidi="hi-IN"/>
        </w:rPr>
        <w:t xml:space="preserve"> </w:t>
      </w:r>
      <w:r w:rsidRPr="0032790C">
        <w:rPr>
          <w:rFonts w:ascii="Times New Roman" w:hAnsi="Times New Roman" w:cs="Times New Roman"/>
          <w:b/>
          <w:bCs/>
          <w:sz w:val="20"/>
          <w:szCs w:val="20"/>
        </w:rPr>
        <w:t>+ Dacarbazine</w:t>
      </w:r>
      <w:r w:rsidR="006F7038" w:rsidRPr="0032790C">
        <w:rPr>
          <w:rFonts w:ascii="Times New Roman" w:hAnsi="Times New Roman" w:cs="Times New Roman" w:hint="eastAsia"/>
          <w:b/>
          <w:bCs/>
          <w:sz w:val="20"/>
          <w:szCs w:val="20"/>
          <w:lang w:eastAsia="zh-CN"/>
        </w:rPr>
        <w:t>;</w:t>
      </w:r>
      <w:r w:rsidRPr="0032790C">
        <w:rPr>
          <w:rFonts w:ascii="Times New Roman" w:hAnsi="Times New Roman" w:cs="Times New Roman"/>
          <w:b/>
          <w:bCs/>
          <w:sz w:val="20"/>
          <w:szCs w:val="20"/>
        </w:rPr>
        <w:t xml:space="preserve"> p*</w:t>
      </w:r>
      <w:r w:rsidRPr="0032790C">
        <w:rPr>
          <w:rFonts w:ascii="Times New Roman" w:hAnsi="Times New Roman" w:cs="Times New Roman"/>
          <w:sz w:val="20"/>
          <w:szCs w:val="20"/>
        </w:rPr>
        <w:t xml:space="preserve"> significant&lt;0.05</w:t>
      </w:r>
      <w:r w:rsidR="006F7038" w:rsidRPr="0032790C">
        <w:rPr>
          <w:rFonts w:ascii="Times New Roman" w:hAnsi="Times New Roman" w:cs="Times New Roman" w:hint="eastAsia"/>
          <w:sz w:val="20"/>
          <w:szCs w:val="20"/>
          <w:lang w:eastAsia="zh-CN"/>
        </w:rPr>
        <w:t>;</w:t>
      </w:r>
      <w:r w:rsidR="0032790C">
        <w:rPr>
          <w:rFonts w:ascii="Times New Roman" w:hAnsi="Times New Roman" w:cs="Times New Roman"/>
          <w:sz w:val="20"/>
          <w:szCs w:val="20"/>
        </w:rPr>
        <w:t xml:space="preserve"> </w:t>
      </w:r>
      <w:r w:rsidRPr="0032790C">
        <w:rPr>
          <w:rFonts w:ascii="Times New Roman" w:hAnsi="Times New Roman" w:cs="Times New Roman"/>
          <w:b/>
          <w:bCs/>
          <w:sz w:val="20"/>
          <w:szCs w:val="20"/>
        </w:rPr>
        <w:t xml:space="preserve">p** </w:t>
      </w:r>
      <w:r w:rsidRPr="0032790C">
        <w:rPr>
          <w:rFonts w:ascii="Times New Roman" w:hAnsi="Times New Roman" w:cs="Times New Roman"/>
          <w:sz w:val="20"/>
          <w:szCs w:val="20"/>
        </w:rPr>
        <w:t>highly significant&lt;0.01</w:t>
      </w:r>
      <w:r w:rsidR="006F7038" w:rsidRPr="0032790C">
        <w:rPr>
          <w:rFonts w:ascii="Times New Roman" w:hAnsi="Times New Roman" w:cs="Times New Roman" w:hint="eastAsia"/>
          <w:sz w:val="20"/>
          <w:szCs w:val="20"/>
          <w:lang w:eastAsia="zh-CN"/>
        </w:rPr>
        <w:t>;</w:t>
      </w:r>
      <w:r w:rsidR="0032790C">
        <w:rPr>
          <w:rFonts w:ascii="Times New Roman" w:hAnsi="Times New Roman" w:cs="Times New Roman"/>
          <w:sz w:val="20"/>
          <w:szCs w:val="20"/>
        </w:rPr>
        <w:t xml:space="preserve"> </w:t>
      </w:r>
      <w:r w:rsidRPr="0032790C">
        <w:rPr>
          <w:rFonts w:ascii="Times New Roman" w:hAnsi="Times New Roman" w:cs="Times New Roman"/>
          <w:b/>
          <w:bCs/>
          <w:sz w:val="20"/>
          <w:szCs w:val="20"/>
        </w:rPr>
        <w:t>p***</w:t>
      </w:r>
      <w:r w:rsidRPr="0032790C">
        <w:rPr>
          <w:rFonts w:ascii="Times New Roman" w:hAnsi="Times New Roman" w:cs="Times New Roman"/>
          <w:sz w:val="20"/>
          <w:szCs w:val="20"/>
        </w:rPr>
        <w:t xml:space="preserve"> extremly significant&lt;0.001</w:t>
      </w:r>
    </w:p>
    <w:p w:rsidR="00462B60" w:rsidRPr="0032790C" w:rsidRDefault="00462B60" w:rsidP="00294C32">
      <w:pPr>
        <w:pStyle w:val="BodyText"/>
        <w:bidi w:val="0"/>
        <w:adjustRightInd w:val="0"/>
        <w:snapToGrid w:val="0"/>
        <w:rPr>
          <w:b/>
          <w:bCs/>
          <w:sz w:val="20"/>
          <w:szCs w:val="20"/>
        </w:rPr>
      </w:pPr>
    </w:p>
    <w:p w:rsidR="00DC2018" w:rsidRPr="0032790C" w:rsidRDefault="00397591" w:rsidP="00294C32">
      <w:pPr>
        <w:pStyle w:val="BodyText"/>
        <w:bidi w:val="0"/>
        <w:adjustRightInd w:val="0"/>
        <w:snapToGrid w:val="0"/>
        <w:rPr>
          <w:sz w:val="20"/>
          <w:szCs w:val="20"/>
        </w:rPr>
      </w:pPr>
      <w:r w:rsidRPr="0032790C">
        <w:rPr>
          <w:b/>
          <w:bCs/>
          <w:sz w:val="20"/>
          <w:szCs w:val="20"/>
        </w:rPr>
        <w:t>Table (</w:t>
      </w:r>
      <w:r w:rsidR="00DC2018" w:rsidRPr="0032790C">
        <w:rPr>
          <w:b/>
          <w:bCs/>
          <w:sz w:val="20"/>
          <w:szCs w:val="20"/>
        </w:rPr>
        <w:t>4)</w:t>
      </w:r>
      <w:r w:rsidR="0032790C">
        <w:rPr>
          <w:b/>
          <w:bCs/>
          <w:sz w:val="20"/>
          <w:szCs w:val="20"/>
        </w:rPr>
        <w:t xml:space="preserve">: </w:t>
      </w:r>
      <w:r w:rsidR="00DC2018" w:rsidRPr="0032790C">
        <w:rPr>
          <w:sz w:val="20"/>
          <w:szCs w:val="20"/>
        </w:rPr>
        <w:t>ANOVA and LSD between The Effects of Different concentrations of Treatment</w:t>
      </w:r>
      <w:r w:rsidR="00DC2018" w:rsidRPr="0032790C">
        <w:rPr>
          <w:b/>
          <w:bCs/>
          <w:sz w:val="20"/>
          <w:szCs w:val="20"/>
        </w:rPr>
        <w:t xml:space="preserve"> </w:t>
      </w:r>
      <w:r w:rsidR="00DC2018" w:rsidRPr="0032790C">
        <w:rPr>
          <w:sz w:val="20"/>
          <w:szCs w:val="20"/>
        </w:rPr>
        <w:t>by</w:t>
      </w:r>
      <w:r w:rsidR="0032790C">
        <w:rPr>
          <w:sz w:val="20"/>
          <w:szCs w:val="20"/>
        </w:rPr>
        <w:t xml:space="preserve"> </w:t>
      </w:r>
      <w:r w:rsidR="00DC2018" w:rsidRPr="0032790C">
        <w:rPr>
          <w:sz w:val="20"/>
          <w:szCs w:val="20"/>
        </w:rPr>
        <w:t>Propolis</w:t>
      </w:r>
      <w:r w:rsidR="0032790C" w:rsidRPr="0032790C">
        <w:rPr>
          <w:sz w:val="20"/>
          <w:szCs w:val="20"/>
        </w:rPr>
        <w:t>,</w:t>
      </w:r>
      <w:r w:rsidR="0032790C" w:rsidRPr="0032790C">
        <w:rPr>
          <w:rFonts w:eastAsiaTheme="minorEastAsia" w:hint="eastAsia"/>
          <w:sz w:val="20"/>
          <w:szCs w:val="20"/>
          <w:lang w:eastAsia="zh-CN"/>
        </w:rPr>
        <w:t xml:space="preserve"> </w:t>
      </w:r>
      <w:r w:rsidR="00DC2018" w:rsidRPr="0032790C">
        <w:rPr>
          <w:sz w:val="20"/>
          <w:szCs w:val="20"/>
        </w:rPr>
        <w:t>Dacarbazine,</w:t>
      </w:r>
      <w:r w:rsidR="0032790C">
        <w:rPr>
          <w:rFonts w:eastAsiaTheme="minorEastAsia" w:hint="eastAsia"/>
          <w:sz w:val="20"/>
          <w:szCs w:val="20"/>
          <w:lang w:eastAsia="zh-CN"/>
        </w:rPr>
        <w:t xml:space="preserve"> </w:t>
      </w:r>
      <w:r w:rsidR="00DC2018" w:rsidRPr="0032790C">
        <w:rPr>
          <w:sz w:val="20"/>
          <w:szCs w:val="20"/>
        </w:rPr>
        <w:t>and</w:t>
      </w:r>
      <w:r w:rsidR="0032790C">
        <w:rPr>
          <w:sz w:val="20"/>
          <w:szCs w:val="20"/>
        </w:rPr>
        <w:t xml:space="preserve"> </w:t>
      </w:r>
      <w:r w:rsidR="00DC2018" w:rsidRPr="0032790C">
        <w:rPr>
          <w:sz w:val="20"/>
          <w:szCs w:val="20"/>
        </w:rPr>
        <w:t>The Dual Treatment with</w:t>
      </w:r>
      <w:r w:rsidR="0032790C">
        <w:rPr>
          <w:sz w:val="20"/>
          <w:szCs w:val="20"/>
        </w:rPr>
        <w:t xml:space="preserve"> </w:t>
      </w:r>
      <w:r w:rsidR="00DC2018" w:rsidRPr="0032790C">
        <w:rPr>
          <w:sz w:val="20"/>
          <w:szCs w:val="20"/>
        </w:rPr>
        <w:t>Propolis and</w:t>
      </w:r>
      <w:r w:rsidR="0032790C">
        <w:rPr>
          <w:sz w:val="20"/>
          <w:szCs w:val="20"/>
        </w:rPr>
        <w:t xml:space="preserve"> </w:t>
      </w:r>
      <w:r w:rsidR="00DC2018" w:rsidRPr="0032790C">
        <w:rPr>
          <w:sz w:val="20"/>
          <w:szCs w:val="20"/>
        </w:rPr>
        <w:t>Dacarbazine on the mean of liver cancer cells of the lines HepG 2 after 72 h</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2163"/>
        <w:gridCol w:w="2396"/>
        <w:gridCol w:w="988"/>
        <w:gridCol w:w="1205"/>
        <w:gridCol w:w="1161"/>
        <w:gridCol w:w="676"/>
      </w:tblGrid>
      <w:tr w:rsidR="00DC2018" w:rsidRPr="0032790C" w:rsidTr="00294C32">
        <w:trPr>
          <w:gridAfter w:val="1"/>
          <w:wAfter w:w="354" w:type="pct"/>
          <w:cantSplit/>
          <w:jc w:val="center"/>
        </w:trPr>
        <w:tc>
          <w:tcPr>
            <w:tcW w:w="2895" w:type="pct"/>
            <w:gridSpan w:val="3"/>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r w:rsidRPr="0032790C">
              <w:rPr>
                <w:rFonts w:ascii="Times New Roman" w:eastAsia="宋体" w:hAnsi="Times New Roman" w:cs="Times New Roman"/>
                <w:b/>
                <w:bCs/>
                <w:shadow/>
                <w:sz w:val="20"/>
                <w:szCs w:val="20"/>
                <w:rtl/>
                <w:lang w:eastAsia="zh-CN"/>
              </w:rPr>
              <w:t xml:space="preserve"> </w:t>
            </w:r>
            <w:r w:rsidR="00397591" w:rsidRPr="0032790C">
              <w:rPr>
                <w:rFonts w:ascii="Times New Roman" w:eastAsia="宋体" w:hAnsi="Times New Roman" w:cs="Times New Roman"/>
                <w:b/>
                <w:bCs/>
                <w:shadow/>
                <w:sz w:val="20"/>
                <w:szCs w:val="20"/>
                <w:lang w:eastAsia="zh-CN"/>
              </w:rPr>
              <w:t>(</w:t>
            </w:r>
            <w:r w:rsidRPr="0032790C">
              <w:rPr>
                <w:rFonts w:ascii="Times New Roman" w:eastAsia="宋体" w:hAnsi="Times New Roman" w:cs="Times New Roman"/>
                <w:b/>
                <w:bCs/>
                <w:shadow/>
                <w:sz w:val="20"/>
                <w:szCs w:val="20"/>
                <w:lang w:eastAsia="zh-CN"/>
              </w:rPr>
              <w:t>LSD</w:t>
            </w:r>
            <w:r w:rsidR="00397591" w:rsidRPr="0032790C">
              <w:rPr>
                <w:rFonts w:ascii="Times New Roman" w:eastAsia="宋体" w:hAnsi="Times New Roman" w:cs="Times New Roman"/>
                <w:b/>
                <w:bCs/>
                <w:shadow/>
                <w:sz w:val="20"/>
                <w:szCs w:val="20"/>
                <w:lang w:eastAsia="zh-CN"/>
              </w:rPr>
              <w:t>)</w:t>
            </w:r>
          </w:p>
        </w:tc>
        <w:tc>
          <w:tcPr>
            <w:tcW w:w="1144" w:type="pct"/>
            <w:gridSpan w:val="2"/>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DC2018" w:rsidRPr="0032790C" w:rsidRDefault="00397591"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r w:rsidRPr="0032790C">
              <w:rPr>
                <w:rFonts w:ascii="Times New Roman" w:eastAsia="宋体" w:hAnsi="Times New Roman" w:cs="Times New Roman"/>
                <w:b/>
                <w:bCs/>
                <w:shadow/>
                <w:sz w:val="20"/>
                <w:szCs w:val="20"/>
                <w:lang w:eastAsia="zh-CN"/>
              </w:rPr>
              <w:t>(</w:t>
            </w:r>
            <w:r w:rsidR="00DC2018" w:rsidRPr="0032790C">
              <w:rPr>
                <w:rFonts w:ascii="Times New Roman" w:eastAsia="宋体" w:hAnsi="Times New Roman" w:cs="Times New Roman"/>
                <w:b/>
                <w:bCs/>
                <w:shadow/>
                <w:sz w:val="20"/>
                <w:szCs w:val="20"/>
                <w:lang w:eastAsia="zh-CN"/>
              </w:rPr>
              <w:t>ANOVA)</w:t>
            </w:r>
          </w:p>
        </w:tc>
        <w:tc>
          <w:tcPr>
            <w:tcW w:w="606" w:type="pct"/>
            <w:vMerge w:val="restart"/>
            <w:tcBorders>
              <w:top w:val="nil"/>
              <w:left w:val="thinThickSmallGap" w:sz="24" w:space="0" w:color="auto"/>
              <w:right w:val="nil"/>
            </w:tcBorders>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hadow/>
                <w:sz w:val="20"/>
                <w:szCs w:val="20"/>
                <w:lang w:eastAsia="zh-CN"/>
              </w:rPr>
            </w:pPr>
          </w:p>
        </w:tc>
      </w:tr>
      <w:tr w:rsidR="00DC2018" w:rsidRPr="0032790C" w:rsidTr="00294C32">
        <w:trPr>
          <w:gridAfter w:val="1"/>
          <w:wAfter w:w="354" w:type="pct"/>
          <w:cantSplit/>
          <w:jc w:val="center"/>
        </w:trPr>
        <w:tc>
          <w:tcPr>
            <w:tcW w:w="516"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DC2018" w:rsidRPr="0032790C" w:rsidRDefault="0032790C" w:rsidP="00294C32">
            <w:pPr>
              <w:bidi w:val="0"/>
              <w:adjustRightInd w:val="0"/>
              <w:snapToGrid w:val="0"/>
              <w:spacing w:after="0" w:line="240" w:lineRule="auto"/>
              <w:jc w:val="center"/>
              <w:rPr>
                <w:rFonts w:ascii="Times New Roman" w:eastAsia="宋体" w:hAnsi="Times New Roman" w:cs="Times New Roman"/>
                <w:b/>
                <w:bCs/>
                <w:sz w:val="20"/>
                <w:szCs w:val="20"/>
                <w:lang w:eastAsia="zh-CN"/>
              </w:rPr>
            </w:pPr>
            <w:r>
              <w:rPr>
                <w:rFonts w:ascii="Times New Roman" w:eastAsia="宋体" w:hAnsi="Times New Roman" w:cs="Times New Roman" w:hint="eastAsia"/>
                <w:b/>
                <w:bCs/>
                <w:sz w:val="20"/>
                <w:szCs w:val="20"/>
                <w:lang w:eastAsia="zh-CN"/>
              </w:rPr>
              <w:t>(</w:t>
            </w:r>
            <w:r w:rsidR="00DC2018" w:rsidRPr="0032790C">
              <w:rPr>
                <w:rFonts w:ascii="Times New Roman" w:eastAsia="宋体" w:hAnsi="Times New Roman" w:cs="Times New Roman"/>
                <w:b/>
                <w:bCs/>
                <w:sz w:val="20"/>
                <w:szCs w:val="20"/>
                <w:lang w:eastAsia="zh-CN"/>
              </w:rPr>
              <w:t>Sig)</w:t>
            </w:r>
          </w:p>
        </w:tc>
        <w:tc>
          <w:tcPr>
            <w:tcW w:w="1129" w:type="pct"/>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Pr>
              <w:t>Mean Difference</w:t>
            </w:r>
          </w:p>
        </w:tc>
        <w:tc>
          <w:tcPr>
            <w:tcW w:w="1251"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Style w:val="hps"/>
                <w:rFonts w:ascii="Times New Roman" w:hAnsi="Times New Roman" w:cs="Times New Roman"/>
                <w:b/>
                <w:bCs/>
                <w:sz w:val="20"/>
                <w:szCs w:val="20"/>
              </w:rPr>
              <w:t>Groups</w:t>
            </w:r>
            <w:r w:rsidR="006F7038" w:rsidRPr="0032790C">
              <w:rPr>
                <w:rStyle w:val="hps"/>
                <w:rFonts w:ascii="Times New Roman" w:hAnsi="Times New Roman" w:cs="Times New Roman" w:hint="eastAsia"/>
                <w:b/>
                <w:bCs/>
                <w:sz w:val="20"/>
                <w:szCs w:val="20"/>
                <w:lang w:eastAsia="zh-CN"/>
              </w:rPr>
              <w:t xml:space="preserve"> </w:t>
            </w:r>
            <w:r w:rsidRPr="0032790C">
              <w:rPr>
                <w:rStyle w:val="hps"/>
                <w:rFonts w:ascii="Times New Roman" w:hAnsi="Times New Roman" w:cs="Times New Roman"/>
                <w:b/>
                <w:bCs/>
                <w:sz w:val="20"/>
                <w:szCs w:val="20"/>
              </w:rPr>
              <w:t>Treatment</w:t>
            </w:r>
          </w:p>
        </w:tc>
        <w:tc>
          <w:tcPr>
            <w:tcW w:w="516"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z w:val="20"/>
                <w:szCs w:val="20"/>
                <w:lang w:eastAsia="zh-CN"/>
              </w:rPr>
            </w:pPr>
            <w:r w:rsidRPr="0032790C">
              <w:rPr>
                <w:rFonts w:ascii="Times New Roman" w:eastAsia="宋体" w:hAnsi="Times New Roman" w:cs="Times New Roman"/>
                <w:b/>
                <w:bCs/>
                <w:sz w:val="20"/>
                <w:szCs w:val="20"/>
                <w:lang w:eastAsia="zh-CN"/>
              </w:rPr>
              <w:t xml:space="preserve"> (Sig)</w:t>
            </w:r>
          </w:p>
        </w:tc>
        <w:tc>
          <w:tcPr>
            <w:tcW w:w="629"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DC2018" w:rsidRPr="0032790C" w:rsidRDefault="00397591" w:rsidP="00294C32">
            <w:pPr>
              <w:bidi w:val="0"/>
              <w:adjustRightInd w:val="0"/>
              <w:snapToGrid w:val="0"/>
              <w:spacing w:after="0" w:line="240" w:lineRule="auto"/>
              <w:jc w:val="center"/>
              <w:rPr>
                <w:rFonts w:ascii="Times New Roman" w:eastAsia="宋体" w:hAnsi="Times New Roman" w:cs="Times New Roman"/>
                <w:b/>
                <w:bCs/>
                <w:sz w:val="20"/>
                <w:szCs w:val="20"/>
                <w:lang w:eastAsia="zh-CN"/>
              </w:rPr>
            </w:pPr>
            <w:r w:rsidRPr="0032790C">
              <w:rPr>
                <w:rFonts w:ascii="Times New Roman" w:eastAsia="宋体" w:hAnsi="Times New Roman" w:cs="Times New Roman"/>
                <w:b/>
                <w:bCs/>
                <w:sz w:val="20"/>
                <w:szCs w:val="20"/>
                <w:lang w:eastAsia="zh-CN"/>
              </w:rPr>
              <w:t>(</w:t>
            </w:r>
            <w:r w:rsidR="00DC2018" w:rsidRPr="0032790C">
              <w:rPr>
                <w:rFonts w:ascii="Times New Roman" w:eastAsia="宋体" w:hAnsi="Times New Roman" w:cs="Times New Roman"/>
                <w:b/>
                <w:bCs/>
                <w:sz w:val="20"/>
                <w:szCs w:val="20"/>
                <w:lang w:eastAsia="zh-CN"/>
              </w:rPr>
              <w:t>F</w:t>
            </w:r>
            <w:r w:rsidRPr="0032790C">
              <w:rPr>
                <w:rFonts w:ascii="Times New Roman" w:eastAsia="宋体" w:hAnsi="Times New Roman" w:cs="Times New Roman"/>
                <w:b/>
                <w:bCs/>
                <w:sz w:val="20"/>
                <w:szCs w:val="20"/>
                <w:lang w:eastAsia="zh-CN"/>
              </w:rPr>
              <w:t>)</w:t>
            </w:r>
          </w:p>
        </w:tc>
        <w:tc>
          <w:tcPr>
            <w:tcW w:w="606" w:type="pct"/>
            <w:vMerge/>
            <w:tcBorders>
              <w:left w:val="thinThickSmallGap" w:sz="24" w:space="0" w:color="auto"/>
              <w:bottom w:val="thinThickSmallGap" w:sz="24" w:space="0" w:color="auto"/>
              <w:right w:val="nil"/>
            </w:tcBorders>
          </w:tcPr>
          <w:p w:rsidR="00DC2018" w:rsidRPr="0032790C" w:rsidRDefault="00DC2018" w:rsidP="00294C32">
            <w:pPr>
              <w:bidi w:val="0"/>
              <w:adjustRightInd w:val="0"/>
              <w:snapToGrid w:val="0"/>
              <w:spacing w:after="0" w:line="240" w:lineRule="auto"/>
              <w:jc w:val="center"/>
              <w:rPr>
                <w:rFonts w:ascii="Times New Roman" w:eastAsia="宋体" w:hAnsi="Times New Roman" w:cs="Times New Roman"/>
                <w:b/>
                <w:bCs/>
                <w:sz w:val="20"/>
                <w:szCs w:val="20"/>
                <w:rtl/>
                <w:lang w:eastAsia="zh-CN"/>
              </w:rPr>
            </w:pPr>
          </w:p>
        </w:tc>
      </w:tr>
      <w:tr w:rsidR="00DC2018" w:rsidRPr="0032790C" w:rsidTr="00294C32">
        <w:trPr>
          <w:cantSplit/>
          <w:jc w:val="center"/>
        </w:trPr>
        <w:tc>
          <w:tcPr>
            <w:tcW w:w="516" w:type="pct"/>
            <w:tcBorders>
              <w:top w:val="thinThickSmallGap" w:sz="24" w:space="0" w:color="auto"/>
              <w:left w:val="thinThickSmallGap" w:sz="24"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top w:val="thinThickSmallGap" w:sz="24"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327</w:t>
            </w:r>
          </w:p>
        </w:tc>
        <w:tc>
          <w:tcPr>
            <w:tcW w:w="1251" w:type="pct"/>
            <w:tcBorders>
              <w:top w:val="thinThickSmallGap" w:sz="24" w:space="0" w:color="auto"/>
              <w:bottom w:val="single" w:sz="4" w:space="0" w:color="auto"/>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16" w:type="pct"/>
            <w:vMerge w:val="restart"/>
            <w:tcBorders>
              <w:top w:val="thinThickSmallGap" w:sz="24" w:space="0" w:color="auto"/>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629" w:type="pct"/>
            <w:vMerge w:val="restart"/>
            <w:tcBorders>
              <w:top w:val="thinThickSmallGap" w:sz="24"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 xml:space="preserve">790 </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494</w:t>
            </w:r>
          </w:p>
        </w:tc>
        <w:tc>
          <w:tcPr>
            <w:tcW w:w="606" w:type="pct"/>
            <w:vMerge w:val="restart"/>
            <w:tcBorders>
              <w:top w:val="thinThickSmallGap" w:sz="24"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Control</w:t>
            </w:r>
          </w:p>
          <w:p w:rsidR="00DC2018" w:rsidRPr="0032790C" w:rsidRDefault="00397591"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hint="cs"/>
                <w:b/>
                <w:bCs/>
                <w:sz w:val="20"/>
                <w:szCs w:val="20"/>
                <w:rtl/>
              </w:rPr>
              <w:t>)</w:t>
            </w:r>
            <w:r w:rsidR="00DC2018" w:rsidRPr="0032790C">
              <w:rPr>
                <w:rFonts w:ascii="Times New Roman" w:hAnsi="Times New Roman" w:cs="Times New Roman"/>
                <w:b/>
                <w:bCs/>
                <w:sz w:val="20"/>
                <w:szCs w:val="20"/>
              </w:rPr>
              <w:t>C</w:t>
            </w:r>
            <w:r w:rsidRPr="0032790C">
              <w:rPr>
                <w:rFonts w:ascii="Times New Roman" w:hAnsi="Times New Roman" w:cs="Times New Roman" w:hint="cs"/>
                <w:b/>
                <w:bCs/>
                <w:sz w:val="20"/>
                <w:szCs w:val="20"/>
                <w:rtl/>
              </w:rPr>
              <w:t>(</w:t>
            </w:r>
          </w:p>
        </w:tc>
        <w:tc>
          <w:tcPr>
            <w:tcW w:w="354" w:type="pct"/>
            <w:vMerge w:val="restart"/>
            <w:tcBorders>
              <w:top w:val="thinThickSmallGap" w:sz="24" w:space="0" w:color="auto"/>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tl/>
              </w:rPr>
              <w:t>50</w:t>
            </w:r>
          </w:p>
        </w:tc>
      </w:tr>
      <w:tr w:rsidR="00DC2018" w:rsidRPr="0032790C" w:rsidTr="00294C32">
        <w:trPr>
          <w:cantSplit/>
          <w:jc w:val="center"/>
        </w:trPr>
        <w:tc>
          <w:tcPr>
            <w:tcW w:w="516" w:type="pct"/>
            <w:tcBorders>
              <w:left w:val="thinThickSmallGap" w:sz="24" w:space="0" w:color="auto"/>
              <w:bottom w:val="single" w:sz="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bottom w:val="single" w:sz="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360</w:t>
            </w:r>
          </w:p>
        </w:tc>
        <w:tc>
          <w:tcPr>
            <w:tcW w:w="1251" w:type="pct"/>
            <w:tcBorders>
              <w:bottom w:val="single" w:sz="4" w:space="0" w:color="auto"/>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16"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16" w:type="pct"/>
            <w:tcBorders>
              <w:left w:val="thinThickSmallGap" w:sz="24" w:space="0" w:color="auto"/>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352</w:t>
            </w:r>
          </w:p>
        </w:tc>
        <w:tc>
          <w:tcPr>
            <w:tcW w:w="1251" w:type="pct"/>
            <w:tcBorders>
              <w:bottom w:val="double" w:sz="2"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16" w:type="pct"/>
            <w:vMerge/>
            <w:tcBorders>
              <w:left w:val="thinThickSmallGap" w:sz="24" w:space="0" w:color="auto"/>
              <w:bottom w:val="double" w:sz="2"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bottom w:val="double" w:sz="2"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bottom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bottom w:val="double" w:sz="2"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16" w:type="pct"/>
            <w:tcBorders>
              <w:top w:val="double" w:sz="2" w:space="0" w:color="auto"/>
              <w:left w:val="thinThickSmallGap" w:sz="24" w:space="0" w:color="auto"/>
              <w:bottom w:val="single" w:sz="2"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top w:val="double" w:sz="2" w:space="0" w:color="auto"/>
              <w:bottom w:val="single" w:sz="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297</w:t>
            </w:r>
          </w:p>
        </w:tc>
        <w:tc>
          <w:tcPr>
            <w:tcW w:w="1251" w:type="pct"/>
            <w:tcBorders>
              <w:top w:val="double" w:sz="2" w:space="0" w:color="auto"/>
              <w:bottom w:val="single" w:sz="4" w:space="0" w:color="auto"/>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16" w:type="pct"/>
            <w:vMerge w:val="restart"/>
            <w:tcBorders>
              <w:top w:val="double" w:sz="2" w:space="0" w:color="auto"/>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629" w:type="pct"/>
            <w:vMerge w:val="restart"/>
            <w:tcBorders>
              <w:top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 xml:space="preserve">409 </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144</w:t>
            </w:r>
          </w:p>
        </w:tc>
        <w:tc>
          <w:tcPr>
            <w:tcW w:w="606" w:type="pct"/>
            <w:vMerge w:val="restart"/>
            <w:tcBorders>
              <w:top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b/>
                <w:bCs/>
                <w:sz w:val="20"/>
                <w:szCs w:val="20"/>
              </w:rPr>
              <w:t>Control</w:t>
            </w:r>
          </w:p>
          <w:p w:rsidR="00DC2018" w:rsidRPr="0032790C" w:rsidRDefault="00397591"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hint="cs"/>
                <w:b/>
                <w:bCs/>
                <w:sz w:val="20"/>
                <w:szCs w:val="20"/>
                <w:rtl/>
              </w:rPr>
              <w:t>)</w:t>
            </w:r>
            <w:r w:rsidR="00DC2018" w:rsidRPr="0032790C">
              <w:rPr>
                <w:rFonts w:ascii="Times New Roman" w:hAnsi="Times New Roman" w:cs="Times New Roman"/>
                <w:b/>
                <w:bCs/>
                <w:sz w:val="20"/>
                <w:szCs w:val="20"/>
              </w:rPr>
              <w:t>C</w:t>
            </w:r>
            <w:r w:rsidRPr="0032790C">
              <w:rPr>
                <w:rFonts w:ascii="Times New Roman" w:hAnsi="Times New Roman" w:cs="Times New Roman" w:hint="cs"/>
                <w:b/>
                <w:bCs/>
                <w:sz w:val="20"/>
                <w:szCs w:val="20"/>
                <w:rtl/>
              </w:rPr>
              <w:t>(</w:t>
            </w:r>
          </w:p>
        </w:tc>
        <w:tc>
          <w:tcPr>
            <w:tcW w:w="354" w:type="pct"/>
            <w:vMerge w:val="restart"/>
            <w:tcBorders>
              <w:top w:val="double" w:sz="2" w:space="0" w:color="auto"/>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100</w:t>
            </w:r>
          </w:p>
        </w:tc>
      </w:tr>
      <w:tr w:rsidR="00DC2018" w:rsidRPr="0032790C" w:rsidTr="00294C32">
        <w:trPr>
          <w:cantSplit/>
          <w:jc w:val="center"/>
        </w:trPr>
        <w:tc>
          <w:tcPr>
            <w:tcW w:w="516" w:type="pct"/>
            <w:tcBorders>
              <w:top w:val="single" w:sz="2" w:space="0" w:color="auto"/>
              <w:lef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355</w:t>
            </w:r>
          </w:p>
        </w:tc>
        <w:tc>
          <w:tcPr>
            <w:tcW w:w="1251" w:type="pct"/>
            <w:tcBorders>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16"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16" w:type="pct"/>
            <w:tcBorders>
              <w:left w:val="thinThickSmallGap" w:sz="24" w:space="0" w:color="auto"/>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bottom w:val="double" w:sz="2"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321</w:t>
            </w:r>
          </w:p>
        </w:tc>
        <w:tc>
          <w:tcPr>
            <w:tcW w:w="1251" w:type="pct"/>
            <w:tcBorders>
              <w:bottom w:val="double" w:sz="2"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16" w:type="pct"/>
            <w:vMerge/>
            <w:tcBorders>
              <w:left w:val="thinThickSmallGap" w:sz="24" w:space="0" w:color="auto"/>
              <w:bottom w:val="double" w:sz="2"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bottom w:val="double" w:sz="2"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bottom w:val="double" w:sz="2" w:space="0" w:color="auto"/>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bottom w:val="double" w:sz="2"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16" w:type="pct"/>
            <w:tcBorders>
              <w:lef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252</w:t>
            </w:r>
          </w:p>
        </w:tc>
        <w:tc>
          <w:tcPr>
            <w:tcW w:w="1251" w:type="pct"/>
            <w:tcBorders>
              <w:right w:val="thinThickSmallGap" w:sz="24" w:space="0" w:color="auto"/>
            </w:tcBorders>
            <w:shd w:val="clear" w:color="auto" w:fill="FFD1E8"/>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P</w:t>
            </w:r>
          </w:p>
        </w:tc>
        <w:tc>
          <w:tcPr>
            <w:tcW w:w="516" w:type="pct"/>
            <w:vMerge w:val="restart"/>
            <w:tcBorders>
              <w:lef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629" w:type="pct"/>
            <w:vMerge w:val="restart"/>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tl/>
              </w:rPr>
              <w:t xml:space="preserve">819 </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88</w:t>
            </w:r>
          </w:p>
        </w:tc>
        <w:tc>
          <w:tcPr>
            <w:tcW w:w="606" w:type="pct"/>
            <w:vMerge w:val="restart"/>
            <w:tcBorders>
              <w:right w:val="thinThickSmallGap" w:sz="24" w:space="0" w:color="auto"/>
            </w:tcBorders>
            <w:shd w:val="clear" w:color="auto" w:fill="FFEBD7"/>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Control</w:t>
            </w:r>
          </w:p>
          <w:p w:rsidR="00DC2018" w:rsidRPr="0032790C" w:rsidRDefault="00397591"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hint="cs"/>
                <w:b/>
                <w:bCs/>
                <w:sz w:val="20"/>
                <w:szCs w:val="20"/>
                <w:rtl/>
              </w:rPr>
              <w:t>)</w:t>
            </w:r>
            <w:r w:rsidR="00DC2018" w:rsidRPr="0032790C">
              <w:rPr>
                <w:rFonts w:ascii="Times New Roman" w:hAnsi="Times New Roman" w:cs="Times New Roman"/>
                <w:b/>
                <w:bCs/>
                <w:sz w:val="20"/>
                <w:szCs w:val="20"/>
              </w:rPr>
              <w:t>C</w:t>
            </w:r>
            <w:r w:rsidRPr="0032790C">
              <w:rPr>
                <w:rFonts w:ascii="Times New Roman" w:hAnsi="Times New Roman" w:cs="Times New Roman" w:hint="cs"/>
                <w:b/>
                <w:bCs/>
                <w:sz w:val="20"/>
                <w:szCs w:val="20"/>
                <w:rtl/>
              </w:rPr>
              <w:t>(</w:t>
            </w:r>
          </w:p>
        </w:tc>
        <w:tc>
          <w:tcPr>
            <w:tcW w:w="354" w:type="pct"/>
            <w:vMerge w:val="restart"/>
            <w:tcBorders>
              <w:left w:val="thinThickSmallGap" w:sz="24" w:space="0" w:color="auto"/>
              <w:right w:val="thinThickSmallGap" w:sz="24" w:space="0" w:color="auto"/>
            </w:tcBorders>
            <w:shd w:val="clear" w:color="auto" w:fill="auto"/>
            <w:vAlign w:val="bottom"/>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200</w:t>
            </w:r>
          </w:p>
        </w:tc>
      </w:tr>
      <w:tr w:rsidR="00DC2018" w:rsidRPr="0032790C" w:rsidTr="00294C32">
        <w:trPr>
          <w:cantSplit/>
          <w:jc w:val="center"/>
        </w:trPr>
        <w:tc>
          <w:tcPr>
            <w:tcW w:w="516" w:type="pct"/>
            <w:tcBorders>
              <w:lef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287</w:t>
            </w:r>
          </w:p>
        </w:tc>
        <w:tc>
          <w:tcPr>
            <w:tcW w:w="1251" w:type="pct"/>
            <w:tcBorders>
              <w:right w:val="thinThickSmallGap" w:sz="24" w:space="0" w:color="auto"/>
            </w:tcBorders>
            <w:shd w:val="clear" w:color="auto" w:fill="E4C9FF"/>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Pr>
              <w:t>D</w:t>
            </w:r>
          </w:p>
        </w:tc>
        <w:tc>
          <w:tcPr>
            <w:tcW w:w="516" w:type="pct"/>
            <w:vMerge/>
            <w:tcBorders>
              <w:lef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right w:val="thinThickSmallGap" w:sz="24" w:space="0" w:color="auto"/>
            </w:tcBorders>
            <w:shd w:val="clear" w:color="auto" w:fill="auto"/>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r w:rsidR="00DC2018" w:rsidRPr="0032790C" w:rsidTr="00294C32">
        <w:trPr>
          <w:cantSplit/>
          <w:jc w:val="center"/>
        </w:trPr>
        <w:tc>
          <w:tcPr>
            <w:tcW w:w="516" w:type="pct"/>
            <w:tcBorders>
              <w:left w:val="thinThickSmallGap" w:sz="24" w:space="0" w:color="auto"/>
              <w:bottom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r w:rsidRPr="0032790C">
              <w:rPr>
                <w:rFonts w:ascii="Times New Roman" w:hAnsi="Times New Roman" w:cs="Times New Roman"/>
                <w:sz w:val="20"/>
                <w:szCs w:val="20"/>
              </w:rPr>
              <w:sym w:font="Wingdings 2" w:char="F0E1"/>
            </w:r>
          </w:p>
        </w:tc>
        <w:tc>
          <w:tcPr>
            <w:tcW w:w="1129" w:type="pct"/>
            <w:tcBorders>
              <w:bottom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Pr>
            </w:pPr>
            <w:r w:rsidRPr="0032790C">
              <w:rPr>
                <w:rFonts w:ascii="Times New Roman" w:hAnsi="Times New Roman" w:cs="Times New Roman"/>
                <w:b/>
                <w:bCs/>
                <w:sz w:val="20"/>
                <w:szCs w:val="20"/>
                <w:rtl/>
              </w:rPr>
              <w:t>0</w:t>
            </w:r>
            <w:r w:rsidRPr="0032790C">
              <w:rPr>
                <w:rFonts w:ascii="Times New Roman" w:hAnsi="Times New Roman" w:cs="Times New Roman"/>
                <w:b/>
                <w:bCs/>
                <w:sz w:val="20"/>
                <w:szCs w:val="20"/>
              </w:rPr>
              <w:t>.</w:t>
            </w:r>
            <w:r w:rsidRPr="0032790C">
              <w:rPr>
                <w:rFonts w:ascii="Times New Roman" w:hAnsi="Times New Roman" w:cs="Times New Roman"/>
                <w:b/>
                <w:bCs/>
                <w:sz w:val="20"/>
                <w:szCs w:val="20"/>
                <w:rtl/>
              </w:rPr>
              <w:t xml:space="preserve"> 309</w:t>
            </w:r>
          </w:p>
        </w:tc>
        <w:tc>
          <w:tcPr>
            <w:tcW w:w="1251" w:type="pct"/>
            <w:tcBorders>
              <w:bottom w:val="thinThickSmallGap" w:sz="24" w:space="0" w:color="auto"/>
              <w:right w:val="thinThickSmallGap" w:sz="24" w:space="0" w:color="auto"/>
            </w:tcBorders>
            <w:shd w:val="clear" w:color="auto" w:fill="CCFFCC"/>
            <w:vAlign w:val="center"/>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r w:rsidRPr="0032790C">
              <w:rPr>
                <w:rFonts w:ascii="Times New Roman" w:hAnsi="Times New Roman" w:cs="Times New Roman"/>
                <w:b/>
                <w:bCs/>
                <w:sz w:val="20"/>
                <w:szCs w:val="20"/>
              </w:rPr>
              <w:t>P+D</w:t>
            </w:r>
          </w:p>
        </w:tc>
        <w:tc>
          <w:tcPr>
            <w:tcW w:w="516" w:type="pct"/>
            <w:vMerge/>
            <w:tcBorders>
              <w:left w:val="thinThickSmallGap" w:sz="24" w:space="0" w:color="auto"/>
              <w:bottom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29" w:type="pct"/>
            <w:vMerge/>
            <w:tcBorders>
              <w:bottom w:val="thinThickSmallGap" w:sz="24"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sz w:val="20"/>
                <w:szCs w:val="20"/>
                <w:rtl/>
              </w:rPr>
            </w:pPr>
          </w:p>
        </w:tc>
        <w:tc>
          <w:tcPr>
            <w:tcW w:w="606" w:type="pct"/>
            <w:vMerge/>
            <w:tcBorders>
              <w:bottom w:val="thinThickSmallGap" w:sz="24" w:space="0" w:color="auto"/>
              <w:right w:val="thinThickSmallGap" w:sz="24" w:space="0" w:color="auto"/>
            </w:tcBorders>
            <w:shd w:val="clear" w:color="auto" w:fill="FFEBD7"/>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c>
          <w:tcPr>
            <w:tcW w:w="354" w:type="pct"/>
            <w:vMerge/>
            <w:tcBorders>
              <w:left w:val="thinThickSmallGap" w:sz="24" w:space="0" w:color="auto"/>
              <w:bottom w:val="thinThickSmallGap" w:sz="24" w:space="0" w:color="auto"/>
              <w:right w:val="thinThickSmallGap" w:sz="24" w:space="0" w:color="auto"/>
            </w:tcBorders>
            <w:shd w:val="clear" w:color="auto" w:fill="auto"/>
          </w:tcPr>
          <w:p w:rsidR="00DC2018" w:rsidRPr="0032790C" w:rsidRDefault="00DC2018" w:rsidP="00294C32">
            <w:pPr>
              <w:bidi w:val="0"/>
              <w:adjustRightInd w:val="0"/>
              <w:snapToGrid w:val="0"/>
              <w:spacing w:after="0" w:line="240" w:lineRule="auto"/>
              <w:jc w:val="center"/>
              <w:rPr>
                <w:rFonts w:ascii="Times New Roman" w:hAnsi="Times New Roman" w:cs="Times New Roman"/>
                <w:b/>
                <w:bCs/>
                <w:sz w:val="20"/>
                <w:szCs w:val="20"/>
                <w:rtl/>
              </w:rPr>
            </w:pPr>
          </w:p>
        </w:tc>
      </w:tr>
    </w:tbl>
    <w:p w:rsidR="00DC2018" w:rsidRPr="0032790C" w:rsidRDefault="00DC2018" w:rsidP="00294C32">
      <w:pPr>
        <w:bidi w:val="0"/>
        <w:adjustRightInd w:val="0"/>
        <w:snapToGrid w:val="0"/>
        <w:spacing w:after="0" w:line="240" w:lineRule="auto"/>
        <w:rPr>
          <w:rFonts w:ascii="Times New Roman" w:hAnsi="Times New Roman" w:cs="Times New Roman"/>
          <w:b/>
          <w:bCs/>
          <w:sz w:val="20"/>
          <w:szCs w:val="20"/>
        </w:rPr>
      </w:pPr>
      <w:r w:rsidRPr="0032790C">
        <w:rPr>
          <w:rFonts w:ascii="Times New Roman" w:hAnsi="Times New Roman" w:cs="Times New Roman"/>
          <w:b/>
          <w:bCs/>
          <w:sz w:val="20"/>
          <w:szCs w:val="20"/>
        </w:rPr>
        <w:t>C:</w:t>
      </w:r>
      <w:r w:rsidR="006F7038" w:rsidRPr="0032790C">
        <w:rPr>
          <w:rFonts w:ascii="Times New Roman" w:hAnsi="Times New Roman" w:cs="Times New Roman" w:hint="eastAsia"/>
          <w:b/>
          <w:bCs/>
          <w:sz w:val="20"/>
          <w:szCs w:val="20"/>
          <w:lang w:eastAsia="zh-CN"/>
        </w:rPr>
        <w:t xml:space="preserve"> </w:t>
      </w:r>
      <w:r w:rsidRPr="0032790C">
        <w:rPr>
          <w:rStyle w:val="hps"/>
          <w:rFonts w:ascii="Times New Roman" w:hAnsi="Times New Roman" w:cs="Times New Roman"/>
          <w:b/>
          <w:bCs/>
          <w:sz w:val="20"/>
          <w:szCs w:val="20"/>
        </w:rPr>
        <w:t>Control</w:t>
      </w:r>
      <w:r w:rsidR="0032790C" w:rsidRPr="0032790C">
        <w:rPr>
          <w:rFonts w:ascii="Times New Roman" w:hAnsi="Times New Roman" w:cs="Times New Roman"/>
          <w:b/>
          <w:bCs/>
          <w:sz w:val="20"/>
          <w:szCs w:val="20"/>
        </w:rPr>
        <w:t>,</w:t>
      </w:r>
      <w:r w:rsidRPr="0032790C">
        <w:rPr>
          <w:rFonts w:ascii="Times New Roman" w:hAnsi="Times New Roman" w:cs="Times New Roman"/>
          <w:b/>
          <w:bCs/>
          <w:sz w:val="20"/>
          <w:szCs w:val="20"/>
        </w:rPr>
        <w:t xml:space="preserve"> P: Propolis</w:t>
      </w:r>
      <w:r w:rsidR="0032790C" w:rsidRPr="0032790C">
        <w:rPr>
          <w:rFonts w:ascii="Times New Roman" w:eastAsia="宋体" w:hAnsi="Times New Roman" w:cs="Times New Roman"/>
          <w:b/>
          <w:bCs/>
          <w:sz w:val="20"/>
          <w:szCs w:val="20"/>
          <w:rtl/>
          <w:lang w:eastAsia="zh-CN" w:bidi="hi-IN"/>
        </w:rPr>
        <w:t>,</w:t>
      </w:r>
      <w:r w:rsidR="0032790C" w:rsidRPr="0032790C">
        <w:rPr>
          <w:rFonts w:ascii="Times New Roman" w:eastAsia="宋体" w:hAnsi="Times New Roman" w:cs="Times New Roman" w:hint="eastAsia"/>
          <w:b/>
          <w:bCs/>
          <w:sz w:val="20"/>
          <w:szCs w:val="20"/>
          <w:lang w:eastAsia="zh-CN" w:bidi="hi-IN"/>
        </w:rPr>
        <w:t xml:space="preserve"> </w:t>
      </w:r>
      <w:r w:rsidRPr="0032790C">
        <w:rPr>
          <w:rFonts w:ascii="Times New Roman" w:eastAsia="宋体" w:hAnsi="Times New Roman" w:cs="Times New Roman"/>
          <w:b/>
          <w:bCs/>
          <w:sz w:val="20"/>
          <w:szCs w:val="20"/>
          <w:lang w:eastAsia="zh-CN" w:bidi="hi-IN"/>
        </w:rPr>
        <w:t>D</w:t>
      </w:r>
      <w:r w:rsidRPr="0032790C">
        <w:rPr>
          <w:rFonts w:ascii="Times New Roman" w:hAnsi="Times New Roman" w:cs="Times New Roman"/>
          <w:b/>
          <w:bCs/>
          <w:sz w:val="20"/>
          <w:szCs w:val="20"/>
        </w:rPr>
        <w:t>: Dacarbazine</w:t>
      </w:r>
      <w:r w:rsidRPr="0032790C">
        <w:rPr>
          <w:rFonts w:ascii="Times New Roman" w:eastAsia="宋体" w:hAnsi="Times New Roman" w:cs="Times New Roman"/>
          <w:b/>
          <w:bCs/>
          <w:sz w:val="20"/>
          <w:szCs w:val="20"/>
          <w:lang w:eastAsia="zh-CN" w:bidi="hi-IN"/>
        </w:rPr>
        <w:t>, P+D</w:t>
      </w:r>
      <w:r w:rsidRPr="0032790C">
        <w:rPr>
          <w:rFonts w:ascii="Times New Roman" w:hAnsi="Times New Roman" w:cs="Times New Roman"/>
          <w:b/>
          <w:bCs/>
          <w:sz w:val="20"/>
          <w:szCs w:val="20"/>
        </w:rPr>
        <w:t>: Propolis</w:t>
      </w:r>
      <w:r w:rsidRPr="0032790C">
        <w:rPr>
          <w:rFonts w:ascii="Times New Roman" w:eastAsia="宋体" w:hAnsi="Times New Roman" w:cs="Times New Roman"/>
          <w:b/>
          <w:bCs/>
          <w:sz w:val="20"/>
          <w:szCs w:val="20"/>
          <w:lang w:eastAsia="zh-CN" w:bidi="hi-IN"/>
        </w:rPr>
        <w:t xml:space="preserve"> </w:t>
      </w:r>
      <w:r w:rsidRPr="0032790C">
        <w:rPr>
          <w:rFonts w:ascii="Times New Roman" w:hAnsi="Times New Roman" w:cs="Times New Roman"/>
          <w:b/>
          <w:bCs/>
          <w:sz w:val="20"/>
          <w:szCs w:val="20"/>
        </w:rPr>
        <w:t>+ Dacarbazine</w:t>
      </w:r>
      <w:r w:rsidR="006F7038" w:rsidRPr="0032790C">
        <w:rPr>
          <w:rFonts w:ascii="Times New Roman" w:hAnsi="Times New Roman" w:cs="Times New Roman" w:hint="eastAsia"/>
          <w:b/>
          <w:bCs/>
          <w:sz w:val="20"/>
          <w:szCs w:val="20"/>
          <w:lang w:eastAsia="zh-CN"/>
        </w:rPr>
        <w:t>;</w:t>
      </w:r>
      <w:r w:rsidRPr="0032790C">
        <w:rPr>
          <w:rFonts w:ascii="Times New Roman" w:hAnsi="Times New Roman" w:cs="Times New Roman"/>
          <w:b/>
          <w:bCs/>
          <w:sz w:val="20"/>
          <w:szCs w:val="20"/>
        </w:rPr>
        <w:t xml:space="preserve"> p*</w:t>
      </w:r>
      <w:r w:rsidRPr="0032790C">
        <w:rPr>
          <w:rFonts w:ascii="Times New Roman" w:hAnsi="Times New Roman" w:cs="Times New Roman"/>
          <w:sz w:val="20"/>
          <w:szCs w:val="20"/>
        </w:rPr>
        <w:t xml:space="preserve"> significant&lt;0.05</w:t>
      </w:r>
      <w:r w:rsidR="006F7038" w:rsidRPr="0032790C">
        <w:rPr>
          <w:rFonts w:ascii="Times New Roman" w:hAnsi="Times New Roman" w:cs="Times New Roman" w:hint="eastAsia"/>
          <w:sz w:val="20"/>
          <w:szCs w:val="20"/>
          <w:lang w:eastAsia="zh-CN"/>
        </w:rPr>
        <w:t>;</w:t>
      </w:r>
      <w:r w:rsidR="0032790C">
        <w:rPr>
          <w:rFonts w:ascii="Times New Roman" w:hAnsi="Times New Roman" w:cs="Times New Roman"/>
          <w:sz w:val="20"/>
          <w:szCs w:val="20"/>
        </w:rPr>
        <w:t xml:space="preserve"> </w:t>
      </w:r>
      <w:r w:rsidRPr="0032790C">
        <w:rPr>
          <w:rFonts w:ascii="Times New Roman" w:hAnsi="Times New Roman" w:cs="Times New Roman"/>
          <w:b/>
          <w:bCs/>
          <w:sz w:val="20"/>
          <w:szCs w:val="20"/>
        </w:rPr>
        <w:t xml:space="preserve">p** </w:t>
      </w:r>
      <w:r w:rsidRPr="0032790C">
        <w:rPr>
          <w:rFonts w:ascii="Times New Roman" w:hAnsi="Times New Roman" w:cs="Times New Roman"/>
          <w:sz w:val="20"/>
          <w:szCs w:val="20"/>
        </w:rPr>
        <w:t>highly significant&lt;0.01</w:t>
      </w:r>
      <w:r w:rsidR="006F7038" w:rsidRPr="0032790C">
        <w:rPr>
          <w:rFonts w:ascii="Times New Roman" w:hAnsi="Times New Roman" w:cs="Times New Roman" w:hint="eastAsia"/>
          <w:sz w:val="20"/>
          <w:szCs w:val="20"/>
          <w:lang w:eastAsia="zh-CN"/>
        </w:rPr>
        <w:t>;</w:t>
      </w:r>
      <w:r w:rsidR="0032790C">
        <w:rPr>
          <w:rFonts w:ascii="Times New Roman" w:hAnsi="Times New Roman" w:cs="Times New Roman"/>
          <w:sz w:val="20"/>
          <w:szCs w:val="20"/>
        </w:rPr>
        <w:t xml:space="preserve"> </w:t>
      </w:r>
      <w:r w:rsidRPr="0032790C">
        <w:rPr>
          <w:rFonts w:ascii="Times New Roman" w:hAnsi="Times New Roman" w:cs="Times New Roman"/>
          <w:b/>
          <w:bCs/>
          <w:sz w:val="20"/>
          <w:szCs w:val="20"/>
        </w:rPr>
        <w:t>p***</w:t>
      </w:r>
      <w:r w:rsidRPr="0032790C">
        <w:rPr>
          <w:rFonts w:ascii="Times New Roman" w:hAnsi="Times New Roman" w:cs="Times New Roman"/>
          <w:sz w:val="20"/>
          <w:szCs w:val="20"/>
        </w:rPr>
        <w:t xml:space="preserve"> extremly significant&lt;0.001</w:t>
      </w:r>
    </w:p>
    <w:p w:rsidR="00294C32" w:rsidRDefault="00294C32" w:rsidP="00294C32">
      <w:pPr>
        <w:bidi w:val="0"/>
        <w:adjustRightInd w:val="0"/>
        <w:snapToGrid w:val="0"/>
        <w:spacing w:after="0" w:line="240" w:lineRule="auto"/>
        <w:rPr>
          <w:rFonts w:cs="Times New Roman"/>
          <w:sz w:val="20"/>
          <w:szCs w:val="20"/>
          <w:lang w:eastAsia="zh-CN"/>
        </w:rPr>
      </w:pPr>
    </w:p>
    <w:p w:rsidR="00397591" w:rsidRPr="0032790C" w:rsidRDefault="0032790C" w:rsidP="00294C32">
      <w:pPr>
        <w:bidi w:val="0"/>
        <w:adjustRightInd w:val="0"/>
        <w:snapToGrid w:val="0"/>
        <w:spacing w:after="0" w:line="240" w:lineRule="auto"/>
        <w:rPr>
          <w:rFonts w:cs="Times New Roman"/>
          <w:sz w:val="20"/>
          <w:szCs w:val="20"/>
        </w:rPr>
      </w:pPr>
      <w:r>
        <w:rPr>
          <w:rFonts w:cs="Times New Roman"/>
          <w:sz w:val="20"/>
          <w:szCs w:val="20"/>
        </w:rPr>
        <w:lastRenderedPageBreak/>
        <w:t xml:space="preserve"> </w:t>
      </w:r>
    </w:p>
    <w:tbl>
      <w:tblPr>
        <w:tblW w:w="10031" w:type="dxa"/>
        <w:jc w:val="center"/>
        <w:tblLayout w:type="fixed"/>
        <w:tblLook w:val="04A0"/>
      </w:tblPr>
      <w:tblGrid>
        <w:gridCol w:w="6771"/>
        <w:gridCol w:w="3260"/>
      </w:tblGrid>
      <w:tr w:rsidR="00397591" w:rsidRPr="0032790C" w:rsidTr="00462B60">
        <w:trPr>
          <w:jc w:val="center"/>
        </w:trPr>
        <w:tc>
          <w:tcPr>
            <w:tcW w:w="6771" w:type="dxa"/>
          </w:tcPr>
          <w:p w:rsidR="00397591"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drawing>
                <wp:inline distT="0" distB="0" distL="0" distR="0">
                  <wp:extent cx="4324350" cy="2800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r="5118"/>
                          <a:stretch>
                            <a:fillRect/>
                          </a:stretch>
                        </pic:blipFill>
                        <pic:spPr bwMode="auto">
                          <a:xfrm>
                            <a:off x="0" y="0"/>
                            <a:ext cx="4324350" cy="2800350"/>
                          </a:xfrm>
                          <a:prstGeom prst="rect">
                            <a:avLst/>
                          </a:prstGeom>
                          <a:noFill/>
                          <a:ln w="9525">
                            <a:noFill/>
                            <a:miter lim="800000"/>
                            <a:headEnd/>
                            <a:tailEnd/>
                          </a:ln>
                        </pic:spPr>
                      </pic:pic>
                    </a:graphicData>
                  </a:graphic>
                </wp:inline>
              </w:drawing>
            </w:r>
          </w:p>
        </w:tc>
        <w:tc>
          <w:tcPr>
            <w:tcW w:w="3260" w:type="dxa"/>
          </w:tcPr>
          <w:p w:rsidR="00397591"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drawing>
                <wp:inline distT="0" distB="0" distL="0" distR="0">
                  <wp:extent cx="1819275" cy="838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819275" cy="838200"/>
                          </a:xfrm>
                          <a:prstGeom prst="rect">
                            <a:avLst/>
                          </a:prstGeom>
                          <a:noFill/>
                          <a:ln w="9525">
                            <a:noFill/>
                            <a:miter lim="800000"/>
                            <a:headEnd/>
                            <a:tailEnd/>
                          </a:ln>
                        </pic:spPr>
                      </pic:pic>
                    </a:graphicData>
                  </a:graphic>
                </wp:inline>
              </w:drawing>
            </w:r>
          </w:p>
        </w:tc>
      </w:tr>
    </w:tbl>
    <w:p w:rsidR="00397591" w:rsidRPr="0032790C" w:rsidRDefault="00397591" w:rsidP="00294C32">
      <w:pPr>
        <w:bidi w:val="0"/>
        <w:adjustRightInd w:val="0"/>
        <w:snapToGrid w:val="0"/>
        <w:spacing w:after="0" w:line="240" w:lineRule="auto"/>
        <w:ind w:left="-142" w:right="-284"/>
        <w:rPr>
          <w:rFonts w:ascii="Times New Roman" w:hAnsi="Times New Roman" w:cs="Times New Roman"/>
          <w:sz w:val="20"/>
          <w:szCs w:val="20"/>
          <w:lang w:eastAsia="zh-CN"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3)</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 Propolis</w:t>
      </w:r>
      <w:r w:rsidR="0032790C" w:rsidRPr="0032790C">
        <w:rPr>
          <w:rFonts w:ascii="Times New Roman" w:hAnsi="Times New Roman" w:cs="Times New Roman"/>
          <w:sz w:val="20"/>
          <w:szCs w:val="20"/>
          <w:lang w:bidi="ar-EG"/>
        </w:rPr>
        <w:t>,</w:t>
      </w:r>
      <w:r w:rsidR="0032790C"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Absorbance values of</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liver</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cancer cells of the lines HepG 2 after 48 h</w:t>
      </w:r>
    </w:p>
    <w:p w:rsidR="00B41FFC" w:rsidRPr="0032790C" w:rsidRDefault="00B41FFC" w:rsidP="00294C32">
      <w:pPr>
        <w:bidi w:val="0"/>
        <w:adjustRightInd w:val="0"/>
        <w:snapToGrid w:val="0"/>
        <w:spacing w:after="0" w:line="240" w:lineRule="auto"/>
        <w:ind w:left="-142" w:right="-284"/>
        <w:rPr>
          <w:rFonts w:ascii="Times New Roman" w:hAnsi="Times New Roman" w:cs="Times New Roman"/>
          <w:sz w:val="20"/>
          <w:szCs w:val="20"/>
          <w:lang w:eastAsia="zh-CN" w:bidi="ar-EG"/>
        </w:rPr>
      </w:pPr>
    </w:p>
    <w:p w:rsidR="00B41FFC" w:rsidRPr="0032790C" w:rsidRDefault="00B41FFC" w:rsidP="00294C32">
      <w:pPr>
        <w:bidi w:val="0"/>
        <w:adjustRightInd w:val="0"/>
        <w:snapToGrid w:val="0"/>
        <w:spacing w:after="0" w:line="240" w:lineRule="auto"/>
        <w:ind w:left="-142" w:right="-284"/>
        <w:rPr>
          <w:rFonts w:ascii="Times New Roman" w:hAnsi="Times New Roman" w:cs="Times New Roman"/>
          <w:sz w:val="20"/>
          <w:szCs w:val="20"/>
          <w:lang w:eastAsia="zh-CN" w:bidi="ar-EG"/>
        </w:rPr>
      </w:pPr>
    </w:p>
    <w:tbl>
      <w:tblPr>
        <w:tblW w:w="0" w:type="auto"/>
        <w:jc w:val="center"/>
        <w:tblLayout w:type="fixed"/>
        <w:tblLook w:val="04A0"/>
      </w:tblPr>
      <w:tblGrid>
        <w:gridCol w:w="6771"/>
        <w:gridCol w:w="2807"/>
      </w:tblGrid>
      <w:tr w:rsidR="00397591" w:rsidRPr="0032790C" w:rsidTr="00462B60">
        <w:trPr>
          <w:jc w:val="center"/>
        </w:trPr>
        <w:tc>
          <w:tcPr>
            <w:tcW w:w="6771" w:type="dxa"/>
          </w:tcPr>
          <w:p w:rsidR="00397591"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drawing>
                <wp:inline distT="0" distB="0" distL="0" distR="0">
                  <wp:extent cx="4095750" cy="2933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095750" cy="2933700"/>
                          </a:xfrm>
                          <a:prstGeom prst="rect">
                            <a:avLst/>
                          </a:prstGeom>
                          <a:noFill/>
                          <a:ln w="9525">
                            <a:noFill/>
                            <a:miter lim="800000"/>
                            <a:headEnd/>
                            <a:tailEnd/>
                          </a:ln>
                        </pic:spPr>
                      </pic:pic>
                    </a:graphicData>
                  </a:graphic>
                </wp:inline>
              </w:drawing>
            </w:r>
          </w:p>
        </w:tc>
        <w:tc>
          <w:tcPr>
            <w:tcW w:w="2807" w:type="dxa"/>
          </w:tcPr>
          <w:p w:rsidR="00397591"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drawing>
                <wp:inline distT="0" distB="0" distL="0" distR="0">
                  <wp:extent cx="1609725" cy="8477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609725" cy="847725"/>
                          </a:xfrm>
                          <a:prstGeom prst="rect">
                            <a:avLst/>
                          </a:prstGeom>
                          <a:noFill/>
                          <a:ln w="9525">
                            <a:noFill/>
                            <a:miter lim="800000"/>
                            <a:headEnd/>
                            <a:tailEnd/>
                          </a:ln>
                        </pic:spPr>
                      </pic:pic>
                    </a:graphicData>
                  </a:graphic>
                </wp:inline>
              </w:drawing>
            </w:r>
          </w:p>
        </w:tc>
      </w:tr>
    </w:tbl>
    <w:p w:rsidR="00397591" w:rsidRPr="0032790C" w:rsidRDefault="00397591"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4)</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 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Absorbance values of</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liver</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cancer cells of the lines HepG 2 after 72 h</w:t>
      </w:r>
    </w:p>
    <w:p w:rsidR="00C60AA4" w:rsidRPr="0032790C" w:rsidRDefault="00DC2018" w:rsidP="00294C32">
      <w:pPr>
        <w:bidi w:val="0"/>
        <w:adjustRightInd w:val="0"/>
        <w:snapToGrid w:val="0"/>
        <w:spacing w:after="0" w:line="240" w:lineRule="auto"/>
        <w:rPr>
          <w:rFonts w:cs="Times New Roman"/>
          <w:sz w:val="20"/>
          <w:szCs w:val="20"/>
          <w:lang w:eastAsia="zh-CN"/>
        </w:rPr>
      </w:pPr>
      <w:r w:rsidRPr="0032790C">
        <w:rPr>
          <w:rFonts w:cs="Times New Roman"/>
          <w:sz w:val="20"/>
          <w:szCs w:val="20"/>
        </w:rPr>
        <w:t xml:space="preserve"> </w:t>
      </w:r>
    </w:p>
    <w:p w:rsidR="00B41FFC" w:rsidRPr="0032790C" w:rsidRDefault="00B41FFC" w:rsidP="00294C32">
      <w:pPr>
        <w:bidi w:val="0"/>
        <w:adjustRightInd w:val="0"/>
        <w:snapToGrid w:val="0"/>
        <w:spacing w:after="0" w:line="240" w:lineRule="auto"/>
        <w:rPr>
          <w:rFonts w:cs="Times New Roman"/>
          <w:sz w:val="20"/>
          <w:szCs w:val="20"/>
          <w:lang w:eastAsia="zh-CN"/>
        </w:rPr>
      </w:pPr>
    </w:p>
    <w:p w:rsidR="00B41FFC" w:rsidRPr="0032790C" w:rsidRDefault="00B41FFC" w:rsidP="00294C32">
      <w:pPr>
        <w:bidi w:val="0"/>
        <w:adjustRightInd w:val="0"/>
        <w:snapToGrid w:val="0"/>
        <w:spacing w:after="0" w:line="240" w:lineRule="auto"/>
        <w:rPr>
          <w:rFonts w:cs="Times New Roman"/>
          <w:sz w:val="20"/>
          <w:szCs w:val="20"/>
          <w:lang w:eastAsia="zh-CN"/>
        </w:rPr>
      </w:pPr>
    </w:p>
    <w:tbl>
      <w:tblPr>
        <w:tblW w:w="0" w:type="auto"/>
        <w:jc w:val="center"/>
        <w:tblLook w:val="04A0"/>
      </w:tblPr>
      <w:tblGrid>
        <w:gridCol w:w="6621"/>
        <w:gridCol w:w="2957"/>
      </w:tblGrid>
      <w:tr w:rsidR="00C60AA4" w:rsidRPr="0032790C" w:rsidTr="00462B60">
        <w:trPr>
          <w:jc w:val="center"/>
        </w:trPr>
        <w:tc>
          <w:tcPr>
            <w:tcW w:w="4789"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lastRenderedPageBreak/>
              <w:drawing>
                <wp:inline distT="0" distB="0" distL="0" distR="0">
                  <wp:extent cx="4210050" cy="3009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210050" cy="3009900"/>
                          </a:xfrm>
                          <a:prstGeom prst="rect">
                            <a:avLst/>
                          </a:prstGeom>
                          <a:noFill/>
                          <a:ln w="9525">
                            <a:noFill/>
                            <a:miter lim="800000"/>
                            <a:headEnd/>
                            <a:tailEnd/>
                          </a:ln>
                        </pic:spPr>
                      </pic:pic>
                    </a:graphicData>
                  </a:graphic>
                </wp:inline>
              </w:drawing>
            </w:r>
          </w:p>
        </w:tc>
        <w:tc>
          <w:tcPr>
            <w:tcW w:w="4789"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rPr>
            </w:pPr>
            <w:r w:rsidRPr="0032790C">
              <w:rPr>
                <w:rFonts w:ascii="Times New Roman" w:eastAsia="Times New Roman" w:hAnsi="Times New Roman" w:cs="Times New Roman"/>
                <w:noProof/>
                <w:sz w:val="20"/>
                <w:szCs w:val="20"/>
                <w:lang w:eastAsia="zh-CN"/>
              </w:rPr>
              <w:drawing>
                <wp:inline distT="0" distB="0" distL="0" distR="0">
                  <wp:extent cx="1781175" cy="7905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781175" cy="790575"/>
                          </a:xfrm>
                          <a:prstGeom prst="rect">
                            <a:avLst/>
                          </a:prstGeom>
                          <a:noFill/>
                          <a:ln w="9525">
                            <a:noFill/>
                            <a:miter lim="800000"/>
                            <a:headEnd/>
                            <a:tailEnd/>
                          </a:ln>
                        </pic:spPr>
                      </pic:pic>
                    </a:graphicData>
                  </a:graphic>
                </wp:inline>
              </w:drawing>
            </w:r>
          </w:p>
        </w:tc>
      </w:tr>
    </w:tbl>
    <w:p w:rsidR="00C60AA4" w:rsidRPr="0032790C" w:rsidRDefault="00DC2018" w:rsidP="00294C32">
      <w:pPr>
        <w:bidi w:val="0"/>
        <w:adjustRightInd w:val="0"/>
        <w:snapToGrid w:val="0"/>
        <w:spacing w:after="0" w:line="240" w:lineRule="auto"/>
        <w:rPr>
          <w:rFonts w:ascii="Times New Roman" w:hAnsi="Times New Roman" w:cs="Times New Roman"/>
          <w:sz w:val="20"/>
          <w:szCs w:val="20"/>
          <w:lang w:eastAsia="zh-CN" w:bidi="ar-EG"/>
        </w:rPr>
      </w:pPr>
      <w:r w:rsidRPr="0032790C">
        <w:rPr>
          <w:rFonts w:cs="Times New Roman"/>
          <w:sz w:val="20"/>
          <w:szCs w:val="20"/>
        </w:rPr>
        <w:t xml:space="preserve"> </w:t>
      </w:r>
      <w:r w:rsidR="00C60AA4"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00C60AA4" w:rsidRPr="0032790C">
        <w:rPr>
          <w:rFonts w:ascii="Times New Roman" w:hAnsi="Times New Roman" w:cs="Times New Roman"/>
          <w:sz w:val="20"/>
          <w:szCs w:val="20"/>
          <w:lang w:bidi="ar-EG"/>
        </w:rPr>
        <w:t>5)</w:t>
      </w:r>
      <w:r w:rsidR="0032790C">
        <w:rPr>
          <w:rFonts w:ascii="Times New Roman" w:hAnsi="Times New Roman" w:cs="Times New Roman"/>
          <w:sz w:val="20"/>
          <w:szCs w:val="20"/>
          <w:lang w:bidi="ar-EG"/>
        </w:rPr>
        <w:t>:</w:t>
      </w:r>
      <w:r w:rsidR="00C60AA4"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00C60AA4"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00C60AA4"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00C60AA4"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00C60AA4" w:rsidRPr="0032790C">
        <w:rPr>
          <w:rFonts w:ascii="Times New Roman" w:hAnsi="Times New Roman" w:cs="Times New Roman"/>
          <w:sz w:val="20"/>
          <w:szCs w:val="20"/>
          <w:lang w:bidi="ar-EG"/>
        </w:rPr>
        <w:t>Propolis and Dacarbazine on the Survival Fraction (SF) values of liver</w:t>
      </w:r>
      <w:r w:rsidR="0032790C">
        <w:rPr>
          <w:rFonts w:ascii="Times New Roman" w:hAnsi="Times New Roman" w:cs="Times New Roman"/>
          <w:sz w:val="20"/>
          <w:szCs w:val="20"/>
          <w:lang w:bidi="ar-EG"/>
        </w:rPr>
        <w:t xml:space="preserve"> </w:t>
      </w:r>
      <w:r w:rsidR="00C60AA4" w:rsidRPr="0032790C">
        <w:rPr>
          <w:rFonts w:ascii="Times New Roman" w:hAnsi="Times New Roman" w:cs="Times New Roman"/>
          <w:sz w:val="20"/>
          <w:szCs w:val="20"/>
          <w:lang w:bidi="ar-EG"/>
        </w:rPr>
        <w:t>cancer cells of the lines HepG 2 after 48 h</w:t>
      </w: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tbl>
      <w:tblPr>
        <w:tblW w:w="0" w:type="auto"/>
        <w:jc w:val="center"/>
        <w:tblLook w:val="04A0"/>
      </w:tblPr>
      <w:tblGrid>
        <w:gridCol w:w="6880"/>
        <w:gridCol w:w="2698"/>
      </w:tblGrid>
      <w:tr w:rsidR="00C60AA4" w:rsidRPr="0032790C" w:rsidTr="00B41FFC">
        <w:trPr>
          <w:jc w:val="center"/>
        </w:trPr>
        <w:tc>
          <w:tcPr>
            <w:tcW w:w="6880"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4524375" cy="3381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524375" cy="3381375"/>
                          </a:xfrm>
                          <a:prstGeom prst="rect">
                            <a:avLst/>
                          </a:prstGeom>
                          <a:noFill/>
                          <a:ln w="9525">
                            <a:noFill/>
                            <a:miter lim="800000"/>
                            <a:headEnd/>
                            <a:tailEnd/>
                          </a:ln>
                        </pic:spPr>
                      </pic:pic>
                    </a:graphicData>
                  </a:graphic>
                </wp:inline>
              </w:drawing>
            </w:r>
          </w:p>
        </w:tc>
        <w:tc>
          <w:tcPr>
            <w:tcW w:w="2698"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666875" cy="7429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66875" cy="742950"/>
                          </a:xfrm>
                          <a:prstGeom prst="rect">
                            <a:avLst/>
                          </a:prstGeom>
                          <a:noFill/>
                          <a:ln w="9525">
                            <a:noFill/>
                            <a:miter lim="800000"/>
                            <a:headEnd/>
                            <a:tailEnd/>
                          </a:ln>
                        </pic:spPr>
                      </pic:pic>
                    </a:graphicData>
                  </a:graphic>
                </wp:inline>
              </w:drawing>
            </w:r>
          </w:p>
        </w:tc>
      </w:tr>
    </w:tbl>
    <w:p w:rsidR="00C60AA4" w:rsidRPr="0032790C" w:rsidRDefault="00C60AA4" w:rsidP="00294C32">
      <w:pPr>
        <w:bidi w:val="0"/>
        <w:adjustRightInd w:val="0"/>
        <w:snapToGrid w:val="0"/>
        <w:spacing w:after="0" w:line="240" w:lineRule="auto"/>
        <w:rPr>
          <w:rFonts w:ascii="Times New Roman" w:hAnsi="Times New Roman" w:cs="Times New Roman"/>
          <w:sz w:val="20"/>
          <w:szCs w:val="20"/>
          <w:lang w:eastAsia="zh-CN"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6)</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Survival Fraction (SF) values of liver</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cancer cells of the lines HepG 2 after 72 h</w:t>
      </w: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p w:rsidR="00C60AA4" w:rsidRPr="0032790C" w:rsidRDefault="00C60AA4" w:rsidP="00294C32">
      <w:pPr>
        <w:bidi w:val="0"/>
        <w:adjustRightInd w:val="0"/>
        <w:snapToGrid w:val="0"/>
        <w:spacing w:after="0" w:line="240" w:lineRule="auto"/>
        <w:jc w:val="both"/>
        <w:rPr>
          <w:rFonts w:ascii="Times New Roman" w:hAnsi="Times New Roman" w:cs="Times New Roman"/>
          <w:sz w:val="20"/>
          <w:szCs w:val="20"/>
          <w:lang w:eastAsia="zh-CN" w:bidi="ar-EG"/>
        </w:rPr>
      </w:pPr>
    </w:p>
    <w:tbl>
      <w:tblPr>
        <w:tblW w:w="0" w:type="auto"/>
        <w:jc w:val="center"/>
        <w:tblLayout w:type="fixed"/>
        <w:tblLook w:val="04A0"/>
      </w:tblPr>
      <w:tblGrid>
        <w:gridCol w:w="7479"/>
        <w:gridCol w:w="2099"/>
      </w:tblGrid>
      <w:tr w:rsidR="00C60AA4" w:rsidRPr="0032790C" w:rsidTr="00462B60">
        <w:trPr>
          <w:jc w:val="center"/>
        </w:trPr>
        <w:tc>
          <w:tcPr>
            <w:tcW w:w="7479"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lastRenderedPageBreak/>
              <w:drawing>
                <wp:inline distT="0" distB="0" distL="0" distR="0">
                  <wp:extent cx="4543425" cy="3505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543425" cy="3505200"/>
                          </a:xfrm>
                          <a:prstGeom prst="rect">
                            <a:avLst/>
                          </a:prstGeom>
                          <a:noFill/>
                          <a:ln w="9525">
                            <a:noFill/>
                            <a:miter lim="800000"/>
                            <a:headEnd/>
                            <a:tailEnd/>
                          </a:ln>
                        </pic:spPr>
                      </pic:pic>
                    </a:graphicData>
                  </a:graphic>
                </wp:inline>
              </w:drawing>
            </w:r>
          </w:p>
        </w:tc>
        <w:tc>
          <w:tcPr>
            <w:tcW w:w="2099"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200150" cy="6572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200150" cy="657225"/>
                          </a:xfrm>
                          <a:prstGeom prst="rect">
                            <a:avLst/>
                          </a:prstGeom>
                          <a:noFill/>
                          <a:ln w="9525">
                            <a:noFill/>
                            <a:miter lim="800000"/>
                            <a:headEnd/>
                            <a:tailEnd/>
                          </a:ln>
                        </pic:spPr>
                      </pic:pic>
                    </a:graphicData>
                  </a:graphic>
                </wp:inline>
              </w:drawing>
            </w:r>
          </w:p>
        </w:tc>
      </w:tr>
    </w:tbl>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7)</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Means of liver</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cancer cells of the lines HepG 2 after 48 h</w:t>
      </w:r>
    </w:p>
    <w:p w:rsidR="00C60AA4" w:rsidRPr="0032790C" w:rsidRDefault="00C60AA4" w:rsidP="00294C32">
      <w:pPr>
        <w:bidi w:val="0"/>
        <w:adjustRightInd w:val="0"/>
        <w:snapToGrid w:val="0"/>
        <w:spacing w:after="0" w:line="240" w:lineRule="auto"/>
        <w:jc w:val="both"/>
        <w:rPr>
          <w:rFonts w:ascii="Times New Roman" w:hAnsi="Times New Roman" w:cs="Times New Roman"/>
          <w:sz w:val="20"/>
          <w:szCs w:val="20"/>
          <w:lang w:bidi="ar-EG"/>
        </w:rPr>
      </w:pPr>
    </w:p>
    <w:tbl>
      <w:tblPr>
        <w:tblW w:w="0" w:type="auto"/>
        <w:jc w:val="center"/>
        <w:tblLayout w:type="fixed"/>
        <w:tblLook w:val="04A0"/>
      </w:tblPr>
      <w:tblGrid>
        <w:gridCol w:w="7479"/>
        <w:gridCol w:w="2099"/>
      </w:tblGrid>
      <w:tr w:rsidR="00C60AA4" w:rsidRPr="0032790C" w:rsidTr="00462B60">
        <w:trPr>
          <w:jc w:val="center"/>
        </w:trPr>
        <w:tc>
          <w:tcPr>
            <w:tcW w:w="7479"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4610100" cy="3609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610100" cy="3609975"/>
                          </a:xfrm>
                          <a:prstGeom prst="rect">
                            <a:avLst/>
                          </a:prstGeom>
                          <a:noFill/>
                          <a:ln w="9525">
                            <a:noFill/>
                            <a:miter lim="800000"/>
                            <a:headEnd/>
                            <a:tailEnd/>
                          </a:ln>
                        </pic:spPr>
                      </pic:pic>
                    </a:graphicData>
                  </a:graphic>
                </wp:inline>
              </w:drawing>
            </w:r>
          </w:p>
        </w:tc>
        <w:tc>
          <w:tcPr>
            <w:tcW w:w="2099"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190625" cy="6667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190625" cy="666750"/>
                          </a:xfrm>
                          <a:prstGeom prst="rect">
                            <a:avLst/>
                          </a:prstGeom>
                          <a:noFill/>
                          <a:ln w="9525">
                            <a:noFill/>
                            <a:miter lim="800000"/>
                            <a:headEnd/>
                            <a:tailEnd/>
                          </a:ln>
                        </pic:spPr>
                      </pic:pic>
                    </a:graphicData>
                  </a:graphic>
                </wp:inline>
              </w:drawing>
            </w:r>
          </w:p>
        </w:tc>
      </w:tr>
    </w:tbl>
    <w:p w:rsidR="00C60AA4" w:rsidRPr="0032790C" w:rsidRDefault="00C60AA4" w:rsidP="00294C32">
      <w:pPr>
        <w:bidi w:val="0"/>
        <w:adjustRightInd w:val="0"/>
        <w:snapToGrid w:val="0"/>
        <w:spacing w:after="0" w:line="240" w:lineRule="auto"/>
        <w:jc w:val="both"/>
        <w:rPr>
          <w:rFonts w:ascii="Times New Roman" w:hAnsi="Times New Roman" w:cs="Times New Roman"/>
          <w:sz w:val="20"/>
          <w:szCs w:val="20"/>
          <w:lang w:bidi="ar-EG"/>
        </w:rPr>
        <w:sectPr w:rsidR="00C60AA4" w:rsidRPr="0032790C" w:rsidSect="00651031">
          <w:type w:val="continuous"/>
          <w:pgSz w:w="12242" w:h="15842" w:code="1"/>
          <w:pgMar w:top="1440" w:right="1440" w:bottom="1440" w:left="1440" w:header="720" w:footer="720" w:gutter="0"/>
          <w:cols w:space="709"/>
          <w:bidi/>
          <w:docGrid w:linePitch="360"/>
        </w:sectPr>
      </w:pPr>
    </w:p>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8)</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Means of liver cancer</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cells of the lines HepG 2</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after 72 h</w:t>
      </w:r>
    </w:p>
    <w:p w:rsidR="00C60AA4" w:rsidRDefault="00C60AA4" w:rsidP="00294C32">
      <w:pPr>
        <w:bidi w:val="0"/>
        <w:adjustRightInd w:val="0"/>
        <w:snapToGrid w:val="0"/>
        <w:spacing w:after="0" w:line="240" w:lineRule="auto"/>
        <w:jc w:val="both"/>
        <w:rPr>
          <w:rFonts w:ascii="Times New Roman" w:hAnsi="Times New Roman" w:cs="Times New Roman"/>
          <w:b/>
          <w:bCs/>
          <w:sz w:val="20"/>
          <w:szCs w:val="20"/>
          <w:lang w:eastAsia="zh-CN" w:bidi="ar-EG"/>
        </w:rPr>
      </w:pPr>
    </w:p>
    <w:p w:rsidR="00294C32" w:rsidRPr="0032790C" w:rsidRDefault="00294C32" w:rsidP="00294C32">
      <w:pPr>
        <w:bidi w:val="0"/>
        <w:adjustRightInd w:val="0"/>
        <w:snapToGrid w:val="0"/>
        <w:spacing w:after="0" w:line="240" w:lineRule="auto"/>
        <w:jc w:val="both"/>
        <w:rPr>
          <w:rFonts w:ascii="Times New Roman" w:hAnsi="Times New Roman" w:cs="Times New Roman"/>
          <w:b/>
          <w:bCs/>
          <w:sz w:val="20"/>
          <w:szCs w:val="20"/>
          <w:lang w:eastAsia="zh-CN" w:bidi="ar-EG"/>
        </w:rPr>
      </w:pPr>
    </w:p>
    <w:tbl>
      <w:tblPr>
        <w:tblW w:w="0" w:type="auto"/>
        <w:jc w:val="center"/>
        <w:tblLook w:val="04A0"/>
      </w:tblPr>
      <w:tblGrid>
        <w:gridCol w:w="6692"/>
        <w:gridCol w:w="2886"/>
      </w:tblGrid>
      <w:tr w:rsidR="00C60AA4" w:rsidRPr="0032790C" w:rsidTr="00462B60">
        <w:trPr>
          <w:jc w:val="center"/>
        </w:trPr>
        <w:tc>
          <w:tcPr>
            <w:tcW w:w="7054"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lastRenderedPageBreak/>
              <w:drawing>
                <wp:inline distT="0" distB="0" distL="0" distR="0">
                  <wp:extent cx="3665552" cy="351819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665552" cy="3518193"/>
                          </a:xfrm>
                          <a:prstGeom prst="rect">
                            <a:avLst/>
                          </a:prstGeom>
                          <a:noFill/>
                          <a:ln w="9525">
                            <a:noFill/>
                            <a:miter lim="800000"/>
                            <a:headEnd/>
                            <a:tailEnd/>
                          </a:ln>
                        </pic:spPr>
                      </pic:pic>
                    </a:graphicData>
                  </a:graphic>
                </wp:inline>
              </w:drawing>
            </w:r>
          </w:p>
        </w:tc>
        <w:tc>
          <w:tcPr>
            <w:tcW w:w="2524" w:type="dxa"/>
          </w:tcPr>
          <w:p w:rsidR="00C60AA4"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drawing>
                <wp:inline distT="0" distB="0" distL="0" distR="0">
                  <wp:extent cx="1666875" cy="752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666875" cy="752475"/>
                          </a:xfrm>
                          <a:prstGeom prst="rect">
                            <a:avLst/>
                          </a:prstGeom>
                          <a:noFill/>
                          <a:ln w="9525">
                            <a:noFill/>
                            <a:miter lim="800000"/>
                            <a:headEnd/>
                            <a:tailEnd/>
                          </a:ln>
                        </pic:spPr>
                      </pic:pic>
                    </a:graphicData>
                  </a:graphic>
                </wp:inline>
              </w:drawing>
            </w:r>
          </w:p>
        </w:tc>
      </w:tr>
    </w:tbl>
    <w:p w:rsidR="00C60AA4" w:rsidRPr="0032790C" w:rsidRDefault="00C60AA4" w:rsidP="00294C32">
      <w:pPr>
        <w:bidi w:val="0"/>
        <w:adjustRightInd w:val="0"/>
        <w:snapToGrid w:val="0"/>
        <w:spacing w:after="0" w:line="240" w:lineRule="auto"/>
        <w:jc w:val="both"/>
        <w:rPr>
          <w:rFonts w:ascii="Times New Roman" w:hAnsi="Times New Roman" w:cs="Times New Roman"/>
          <w:b/>
          <w:bCs/>
          <w:sz w:val="20"/>
          <w:szCs w:val="20"/>
          <w:lang w:bidi="ar-EG"/>
        </w:rPr>
        <w:sectPr w:rsidR="00C60AA4" w:rsidRPr="0032790C" w:rsidSect="00651031">
          <w:type w:val="continuous"/>
          <w:pgSz w:w="12242" w:h="15842" w:code="1"/>
          <w:pgMar w:top="1440" w:right="1440" w:bottom="1440" w:left="1440" w:header="720" w:footer="720" w:gutter="0"/>
          <w:cols w:space="709"/>
          <w:bidi/>
          <w:docGrid w:linePitch="360"/>
        </w:sectPr>
      </w:pPr>
    </w:p>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9)</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IC50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IC90 values</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of</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liver cancer cells of the lines HepG 2 after 48 h</w:t>
      </w:r>
    </w:p>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p>
    <w:tbl>
      <w:tblPr>
        <w:tblW w:w="0" w:type="auto"/>
        <w:jc w:val="center"/>
        <w:tblLook w:val="04A0"/>
      </w:tblPr>
      <w:tblGrid>
        <w:gridCol w:w="6771"/>
        <w:gridCol w:w="2807"/>
      </w:tblGrid>
      <w:tr w:rsidR="00C60AA4" w:rsidRPr="0032790C" w:rsidTr="00462B60">
        <w:trPr>
          <w:jc w:val="center"/>
        </w:trPr>
        <w:tc>
          <w:tcPr>
            <w:tcW w:w="6771"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3662404" cy="359023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662404" cy="3590238"/>
                          </a:xfrm>
                          <a:prstGeom prst="rect">
                            <a:avLst/>
                          </a:prstGeom>
                          <a:noFill/>
                          <a:ln w="9525">
                            <a:noFill/>
                            <a:miter lim="800000"/>
                            <a:headEnd/>
                            <a:tailEnd/>
                          </a:ln>
                        </pic:spPr>
                      </pic:pic>
                    </a:graphicData>
                  </a:graphic>
                </wp:inline>
              </w:drawing>
            </w:r>
          </w:p>
        </w:tc>
        <w:tc>
          <w:tcPr>
            <w:tcW w:w="2807"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590675" cy="8191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1590675" cy="819150"/>
                          </a:xfrm>
                          <a:prstGeom prst="rect">
                            <a:avLst/>
                          </a:prstGeom>
                          <a:noFill/>
                          <a:ln w="9525">
                            <a:noFill/>
                            <a:miter lim="800000"/>
                            <a:headEnd/>
                            <a:tailEnd/>
                          </a:ln>
                        </pic:spPr>
                      </pic:pic>
                    </a:graphicData>
                  </a:graphic>
                </wp:inline>
              </w:drawing>
            </w:r>
          </w:p>
        </w:tc>
      </w:tr>
    </w:tbl>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10)</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IC50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IC90 values</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of</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liver cancer cells of the lines HepG 2 after 72 h</w:t>
      </w:r>
    </w:p>
    <w:p w:rsidR="00C60AA4" w:rsidRPr="0032790C" w:rsidRDefault="00C60AA4" w:rsidP="00294C32">
      <w:pPr>
        <w:bidi w:val="0"/>
        <w:adjustRightInd w:val="0"/>
        <w:snapToGrid w:val="0"/>
        <w:spacing w:after="0" w:line="240" w:lineRule="auto"/>
        <w:rPr>
          <w:rFonts w:ascii="Times New Roman" w:hAnsi="Times New Roman" w:cs="Times New Roman"/>
          <w:sz w:val="20"/>
          <w:szCs w:val="20"/>
          <w:lang w:eastAsia="zh-CN" w:bidi="ar-EG"/>
        </w:rPr>
      </w:pP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tbl>
      <w:tblPr>
        <w:tblW w:w="0" w:type="auto"/>
        <w:jc w:val="center"/>
        <w:tblLook w:val="04A0"/>
      </w:tblPr>
      <w:tblGrid>
        <w:gridCol w:w="6487"/>
        <w:gridCol w:w="3091"/>
      </w:tblGrid>
      <w:tr w:rsidR="00C60AA4" w:rsidRPr="0032790C" w:rsidTr="00462B60">
        <w:trPr>
          <w:jc w:val="center"/>
        </w:trPr>
        <w:tc>
          <w:tcPr>
            <w:tcW w:w="6487"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lastRenderedPageBreak/>
              <w:drawing>
                <wp:inline distT="0" distB="0" distL="0" distR="0">
                  <wp:extent cx="3409950" cy="3124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tc>
        <w:tc>
          <w:tcPr>
            <w:tcW w:w="3091" w:type="dxa"/>
          </w:tcPr>
          <w:p w:rsidR="00C60AA4"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628775" cy="7429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628775" cy="742950"/>
                          </a:xfrm>
                          <a:prstGeom prst="rect">
                            <a:avLst/>
                          </a:prstGeom>
                          <a:noFill/>
                          <a:ln w="9525">
                            <a:noFill/>
                            <a:miter lim="800000"/>
                            <a:headEnd/>
                            <a:tailEnd/>
                          </a:ln>
                        </pic:spPr>
                      </pic:pic>
                    </a:graphicData>
                  </a:graphic>
                </wp:inline>
              </w:drawing>
            </w:r>
          </w:p>
        </w:tc>
      </w:tr>
    </w:tbl>
    <w:p w:rsidR="00902FCD" w:rsidRPr="0032790C" w:rsidRDefault="00902FCD"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11)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 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Inhibition rate of liver cancer cells of the lines HepG 2</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after 48 h</w:t>
      </w:r>
    </w:p>
    <w:p w:rsidR="00C60AA4" w:rsidRPr="0032790C" w:rsidRDefault="00C60AA4" w:rsidP="00294C32">
      <w:pPr>
        <w:bidi w:val="0"/>
        <w:adjustRightInd w:val="0"/>
        <w:snapToGrid w:val="0"/>
        <w:spacing w:after="0" w:line="240" w:lineRule="auto"/>
        <w:rPr>
          <w:rFonts w:ascii="Times New Roman" w:hAnsi="Times New Roman" w:cs="Times New Roman"/>
          <w:sz w:val="20"/>
          <w:szCs w:val="20"/>
          <w:lang w:bidi="ar-EG"/>
        </w:rPr>
      </w:pPr>
    </w:p>
    <w:p w:rsidR="00902FCD" w:rsidRPr="0032790C" w:rsidRDefault="00902FCD" w:rsidP="00294C32">
      <w:pPr>
        <w:bidi w:val="0"/>
        <w:adjustRightInd w:val="0"/>
        <w:snapToGrid w:val="0"/>
        <w:spacing w:after="0" w:line="240" w:lineRule="auto"/>
        <w:rPr>
          <w:rFonts w:ascii="Times New Roman" w:hAnsi="Times New Roman" w:cs="Times New Roman"/>
          <w:sz w:val="20"/>
          <w:szCs w:val="20"/>
          <w:lang w:bidi="ar-EG"/>
        </w:rPr>
      </w:pPr>
    </w:p>
    <w:tbl>
      <w:tblPr>
        <w:tblW w:w="0" w:type="auto"/>
        <w:jc w:val="center"/>
        <w:tblLook w:val="04A0"/>
      </w:tblPr>
      <w:tblGrid>
        <w:gridCol w:w="6692"/>
        <w:gridCol w:w="2886"/>
      </w:tblGrid>
      <w:tr w:rsidR="00902FCD" w:rsidRPr="0032790C" w:rsidTr="00462B60">
        <w:trPr>
          <w:jc w:val="center"/>
        </w:trPr>
        <w:tc>
          <w:tcPr>
            <w:tcW w:w="6737" w:type="dxa"/>
          </w:tcPr>
          <w:p w:rsidR="00902FCD"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3705225" cy="3467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705225" cy="3467100"/>
                          </a:xfrm>
                          <a:prstGeom prst="rect">
                            <a:avLst/>
                          </a:prstGeom>
                          <a:noFill/>
                          <a:ln w="9525">
                            <a:noFill/>
                            <a:miter lim="800000"/>
                            <a:headEnd/>
                            <a:tailEnd/>
                          </a:ln>
                        </pic:spPr>
                      </pic:pic>
                    </a:graphicData>
                  </a:graphic>
                </wp:inline>
              </w:drawing>
            </w:r>
          </w:p>
        </w:tc>
        <w:tc>
          <w:tcPr>
            <w:tcW w:w="2841" w:type="dxa"/>
          </w:tcPr>
          <w:p w:rsidR="00902FCD" w:rsidRPr="0032790C" w:rsidRDefault="002E66DC" w:rsidP="00294C32">
            <w:pPr>
              <w:bidi w:val="0"/>
              <w:adjustRightInd w:val="0"/>
              <w:snapToGrid w:val="0"/>
              <w:spacing w:after="0" w:line="240" w:lineRule="auto"/>
              <w:rPr>
                <w:rFonts w:ascii="Times New Roman" w:eastAsia="Times New Roman" w:hAnsi="Times New Roman" w:cs="Times New Roman"/>
                <w:sz w:val="20"/>
                <w:szCs w:val="20"/>
                <w:lang w:bidi="ar-EG"/>
              </w:rPr>
            </w:pPr>
            <w:r w:rsidRPr="0032790C">
              <w:rPr>
                <w:rFonts w:ascii="Times New Roman" w:eastAsia="Times New Roman" w:hAnsi="Times New Roman" w:cs="Times New Roman"/>
                <w:noProof/>
                <w:sz w:val="20"/>
                <w:szCs w:val="20"/>
                <w:lang w:eastAsia="zh-CN"/>
              </w:rPr>
              <w:drawing>
                <wp:inline distT="0" distB="0" distL="0" distR="0">
                  <wp:extent cx="1666875" cy="8096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1666875" cy="809625"/>
                          </a:xfrm>
                          <a:prstGeom prst="rect">
                            <a:avLst/>
                          </a:prstGeom>
                          <a:noFill/>
                          <a:ln w="9525">
                            <a:noFill/>
                            <a:miter lim="800000"/>
                            <a:headEnd/>
                            <a:tailEnd/>
                          </a:ln>
                        </pic:spPr>
                      </pic:pic>
                    </a:graphicData>
                  </a:graphic>
                </wp:inline>
              </w:drawing>
            </w:r>
          </w:p>
        </w:tc>
      </w:tr>
    </w:tbl>
    <w:p w:rsidR="00902FCD" w:rsidRPr="0032790C" w:rsidRDefault="00902FCD" w:rsidP="00294C32">
      <w:pPr>
        <w:bidi w:val="0"/>
        <w:adjustRightInd w:val="0"/>
        <w:snapToGrid w:val="0"/>
        <w:spacing w:after="0" w:line="240" w:lineRule="auto"/>
        <w:rPr>
          <w:rFonts w:ascii="Times New Roman" w:hAnsi="Times New Roman" w:cs="Times New Roman"/>
          <w:sz w:val="20"/>
          <w:szCs w:val="20"/>
          <w:lang w:bidi="ar-EG"/>
        </w:rPr>
        <w:sectPr w:rsidR="00902FCD" w:rsidRPr="0032790C" w:rsidSect="00651031">
          <w:type w:val="continuous"/>
          <w:pgSz w:w="12242" w:h="15842" w:code="1"/>
          <w:pgMar w:top="1440" w:right="1440" w:bottom="1440" w:left="1440" w:header="720" w:footer="720" w:gutter="0"/>
          <w:cols w:space="709"/>
          <w:bidi/>
          <w:docGrid w:linePitch="360"/>
        </w:sectPr>
      </w:pPr>
    </w:p>
    <w:p w:rsidR="00902FCD" w:rsidRPr="0032790C" w:rsidRDefault="00902FCD" w:rsidP="00294C32">
      <w:pPr>
        <w:bidi w:val="0"/>
        <w:adjustRightInd w:val="0"/>
        <w:snapToGrid w:val="0"/>
        <w:spacing w:after="0" w:line="240" w:lineRule="auto"/>
        <w:rPr>
          <w:rFonts w:ascii="Times New Roman" w:hAnsi="Times New Roman" w:cs="Times New Roman"/>
          <w:sz w:val="20"/>
          <w:szCs w:val="20"/>
          <w:lang w:eastAsia="zh-CN" w:bidi="ar-EG"/>
        </w:rPr>
      </w:pPr>
      <w:r w:rsidRPr="0032790C">
        <w:rPr>
          <w:rFonts w:ascii="Times New Roman" w:hAnsi="Times New Roman" w:cs="Times New Roman"/>
          <w:sz w:val="20"/>
          <w:szCs w:val="20"/>
          <w:lang w:bidi="ar-EG"/>
        </w:rPr>
        <w:lastRenderedPageBreak/>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12)</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Effects of Different concentrations of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w:t>
      </w:r>
      <w:r w:rsidR="0032790C" w:rsidRPr="0032790C">
        <w:rPr>
          <w:rFonts w:ascii="Times New Roman" w:hAnsi="Times New Roman" w:cs="Times New Roman"/>
          <w:sz w:val="20"/>
          <w:szCs w:val="20"/>
          <w:lang w:bidi="ar-EG"/>
        </w:rPr>
        <w:t>,</w:t>
      </w:r>
      <w:r w:rsidR="006F7038" w:rsidRP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Dacarbazine,</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and</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Inhibition rate of liver cancer cells of the lines HepG 2 after 72 h</w:t>
      </w:r>
    </w:p>
    <w:p w:rsidR="00B41FFC" w:rsidRPr="0032790C" w:rsidRDefault="00B41FFC" w:rsidP="00294C32">
      <w:pPr>
        <w:bidi w:val="0"/>
        <w:adjustRightInd w:val="0"/>
        <w:snapToGrid w:val="0"/>
        <w:spacing w:after="0" w:line="240" w:lineRule="auto"/>
        <w:rPr>
          <w:rFonts w:ascii="Times New Roman" w:hAnsi="Times New Roman" w:cs="Times New Roman"/>
          <w:sz w:val="20"/>
          <w:szCs w:val="20"/>
          <w:lang w:eastAsia="zh-CN" w:bidi="ar-EG"/>
        </w:rPr>
      </w:pPr>
    </w:p>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bidi="ar-EG"/>
        </w:rPr>
      </w:pPr>
    </w:p>
    <w:tbl>
      <w:tblPr>
        <w:tblW w:w="0" w:type="auto"/>
        <w:jc w:val="center"/>
        <w:tblLook w:val="04A0"/>
      </w:tblPr>
      <w:tblGrid>
        <w:gridCol w:w="6629"/>
        <w:gridCol w:w="2949"/>
      </w:tblGrid>
      <w:tr w:rsidR="00902FCD" w:rsidRPr="0032790C" w:rsidTr="00462B60">
        <w:trPr>
          <w:jc w:val="center"/>
        </w:trPr>
        <w:tc>
          <w:tcPr>
            <w:tcW w:w="6629" w:type="dxa"/>
          </w:tcPr>
          <w:p w:rsidR="00902FCD"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lastRenderedPageBreak/>
              <w:drawing>
                <wp:inline distT="0" distB="0" distL="0" distR="0">
                  <wp:extent cx="3800475" cy="3457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800475" cy="3457575"/>
                          </a:xfrm>
                          <a:prstGeom prst="rect">
                            <a:avLst/>
                          </a:prstGeom>
                          <a:noFill/>
                          <a:ln w="9525">
                            <a:noFill/>
                            <a:miter lim="800000"/>
                            <a:headEnd/>
                            <a:tailEnd/>
                          </a:ln>
                        </pic:spPr>
                      </pic:pic>
                    </a:graphicData>
                  </a:graphic>
                </wp:inline>
              </w:drawing>
            </w:r>
          </w:p>
        </w:tc>
        <w:tc>
          <w:tcPr>
            <w:tcW w:w="2949" w:type="dxa"/>
          </w:tcPr>
          <w:p w:rsidR="00902FCD"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drawing>
                <wp:inline distT="0" distB="0" distL="0" distR="0">
                  <wp:extent cx="1628775" cy="7715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628775" cy="771525"/>
                          </a:xfrm>
                          <a:prstGeom prst="rect">
                            <a:avLst/>
                          </a:prstGeom>
                          <a:noFill/>
                          <a:ln w="9525">
                            <a:noFill/>
                            <a:miter lim="800000"/>
                            <a:headEnd/>
                            <a:tailEnd/>
                          </a:ln>
                        </pic:spPr>
                      </pic:pic>
                    </a:graphicData>
                  </a:graphic>
                </wp:inline>
              </w:drawing>
            </w:r>
          </w:p>
        </w:tc>
      </w:tr>
    </w:tbl>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bidi="ar-EG"/>
        </w:rPr>
        <w:sectPr w:rsidR="00902FCD" w:rsidRPr="0032790C" w:rsidSect="00651031">
          <w:type w:val="continuous"/>
          <w:pgSz w:w="12242" w:h="15842" w:code="1"/>
          <w:pgMar w:top="1440" w:right="1440" w:bottom="1440" w:left="1440" w:header="720" w:footer="720" w:gutter="0"/>
          <w:cols w:space="709"/>
          <w:bidi/>
          <w:docGrid w:linePitch="360"/>
        </w:sectPr>
      </w:pPr>
    </w:p>
    <w:p w:rsidR="00902FCD" w:rsidRPr="0032790C" w:rsidRDefault="00902FCD"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13)</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Comparison between The Effect of Treatment of Propolis, Dacarbazine and 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mean of liver cancer cellsof the lines HepG 2 after 48 h</w:t>
      </w:r>
    </w:p>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bidi="ar-EG"/>
        </w:rPr>
      </w:pPr>
    </w:p>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bidi="ar-EG"/>
        </w:rPr>
      </w:pPr>
    </w:p>
    <w:tbl>
      <w:tblPr>
        <w:tblW w:w="0" w:type="auto"/>
        <w:jc w:val="center"/>
        <w:tblLook w:val="04A0"/>
      </w:tblPr>
      <w:tblGrid>
        <w:gridCol w:w="6886"/>
        <w:gridCol w:w="2692"/>
      </w:tblGrid>
      <w:tr w:rsidR="00902FCD" w:rsidRPr="0032790C" w:rsidTr="00462B60">
        <w:trPr>
          <w:jc w:val="center"/>
        </w:trPr>
        <w:tc>
          <w:tcPr>
            <w:tcW w:w="7054" w:type="dxa"/>
          </w:tcPr>
          <w:p w:rsidR="00902FCD"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drawing>
                <wp:inline distT="0" distB="0" distL="0" distR="0">
                  <wp:extent cx="4333875" cy="37147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333875" cy="3714750"/>
                          </a:xfrm>
                          <a:prstGeom prst="rect">
                            <a:avLst/>
                          </a:prstGeom>
                          <a:noFill/>
                          <a:ln w="9525">
                            <a:noFill/>
                            <a:miter lim="800000"/>
                            <a:headEnd/>
                            <a:tailEnd/>
                          </a:ln>
                        </pic:spPr>
                      </pic:pic>
                    </a:graphicData>
                  </a:graphic>
                </wp:inline>
              </w:drawing>
            </w:r>
          </w:p>
        </w:tc>
        <w:tc>
          <w:tcPr>
            <w:tcW w:w="2524" w:type="dxa"/>
          </w:tcPr>
          <w:p w:rsidR="00902FCD" w:rsidRPr="0032790C" w:rsidRDefault="002E66DC" w:rsidP="00294C32">
            <w:pPr>
              <w:bidi w:val="0"/>
              <w:adjustRightInd w:val="0"/>
              <w:snapToGrid w:val="0"/>
              <w:spacing w:after="0" w:line="240" w:lineRule="auto"/>
              <w:jc w:val="both"/>
              <w:rPr>
                <w:rFonts w:ascii="Times New Roman" w:eastAsia="Times New Roman" w:hAnsi="Times New Roman" w:cs="Times New Roman"/>
                <w:b/>
                <w:bCs/>
                <w:sz w:val="20"/>
                <w:szCs w:val="20"/>
                <w:lang w:bidi="ar-EG"/>
              </w:rPr>
            </w:pPr>
            <w:r w:rsidRPr="0032790C">
              <w:rPr>
                <w:rFonts w:ascii="Times New Roman" w:eastAsia="Times New Roman" w:hAnsi="Times New Roman" w:cs="Times New Roman"/>
                <w:b/>
                <w:bCs/>
                <w:noProof/>
                <w:sz w:val="20"/>
                <w:szCs w:val="20"/>
                <w:lang w:eastAsia="zh-CN"/>
              </w:rPr>
              <w:drawing>
                <wp:inline distT="0" distB="0" distL="0" distR="0">
                  <wp:extent cx="1590675" cy="7620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1590675" cy="762000"/>
                          </a:xfrm>
                          <a:prstGeom prst="rect">
                            <a:avLst/>
                          </a:prstGeom>
                          <a:noFill/>
                          <a:ln w="9525">
                            <a:noFill/>
                            <a:miter lim="800000"/>
                            <a:headEnd/>
                            <a:tailEnd/>
                          </a:ln>
                        </pic:spPr>
                      </pic:pic>
                    </a:graphicData>
                  </a:graphic>
                </wp:inline>
              </w:drawing>
            </w:r>
          </w:p>
        </w:tc>
      </w:tr>
    </w:tbl>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bidi="ar-EG"/>
        </w:rPr>
        <w:sectPr w:rsidR="00902FCD" w:rsidRPr="0032790C" w:rsidSect="00651031">
          <w:type w:val="continuous"/>
          <w:pgSz w:w="12242" w:h="15842" w:code="1"/>
          <w:pgMar w:top="1440" w:right="1440" w:bottom="1440" w:left="1440" w:header="720" w:footer="720" w:gutter="0"/>
          <w:cols w:space="709"/>
          <w:bidi/>
          <w:docGrid w:linePitch="360"/>
        </w:sectPr>
      </w:pPr>
    </w:p>
    <w:p w:rsidR="00902FCD" w:rsidRPr="0032790C" w:rsidRDefault="00902FCD" w:rsidP="00294C32">
      <w:pPr>
        <w:bidi w:val="0"/>
        <w:adjustRightInd w:val="0"/>
        <w:snapToGrid w:val="0"/>
        <w:spacing w:after="0" w:line="240" w:lineRule="auto"/>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 xml:space="preserve">Fig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1</w:t>
      </w:r>
      <w:r w:rsidRPr="0032790C">
        <w:rPr>
          <w:rFonts w:ascii="Times New Roman" w:hAnsi="Times New Roman" w:cs="Times New Roman" w:hint="cs"/>
          <w:sz w:val="20"/>
          <w:szCs w:val="20"/>
          <w:rtl/>
          <w:lang w:bidi="ar-EG"/>
        </w:rPr>
        <w:t>4</w:t>
      </w:r>
      <w:r w:rsidRPr="0032790C">
        <w:rPr>
          <w:rFonts w:ascii="Times New Roman" w:hAnsi="Times New Roman" w:cs="Times New Roman"/>
          <w:sz w:val="20"/>
          <w:szCs w:val="20"/>
          <w:lang w:bidi="ar-EG"/>
        </w:rPr>
        <w:t>)</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Comparison between The Effect of Treatment of Propolis, Dacarbazine and The Dual Treatment with</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Propolis and Dacarbazine on the mean of liver cancer cells of the lines HepG 2 after 72 h</w:t>
      </w:r>
    </w:p>
    <w:p w:rsidR="00902FCD" w:rsidRPr="0032790C" w:rsidRDefault="00902FCD" w:rsidP="00294C32">
      <w:pPr>
        <w:bidi w:val="0"/>
        <w:adjustRightInd w:val="0"/>
        <w:snapToGrid w:val="0"/>
        <w:spacing w:after="0" w:line="240" w:lineRule="auto"/>
        <w:jc w:val="both"/>
        <w:rPr>
          <w:rFonts w:ascii="Times New Roman" w:hAnsi="Times New Roman" w:cs="Times New Roman"/>
          <w:b/>
          <w:bCs/>
          <w:sz w:val="20"/>
          <w:szCs w:val="20"/>
          <w:lang w:eastAsia="zh-CN" w:bidi="ar-EG"/>
        </w:rPr>
      </w:pPr>
    </w:p>
    <w:p w:rsidR="00B41FFC" w:rsidRPr="0032790C" w:rsidRDefault="00B41FFC" w:rsidP="00294C32">
      <w:pPr>
        <w:bidi w:val="0"/>
        <w:adjustRightInd w:val="0"/>
        <w:snapToGrid w:val="0"/>
        <w:spacing w:after="0" w:line="240" w:lineRule="auto"/>
        <w:jc w:val="both"/>
        <w:rPr>
          <w:rFonts w:ascii="Times New Roman" w:hAnsi="Times New Roman" w:cs="Times New Roman"/>
          <w:b/>
          <w:bCs/>
          <w:sz w:val="20"/>
          <w:szCs w:val="20"/>
          <w:lang w:bidi="ar-EG"/>
        </w:rPr>
        <w:sectPr w:rsidR="00B41FFC" w:rsidRPr="0032790C" w:rsidSect="00651031">
          <w:type w:val="continuous"/>
          <w:pgSz w:w="12242" w:h="15842" w:code="1"/>
          <w:pgMar w:top="1440" w:right="1440" w:bottom="1440" w:left="1440" w:header="720" w:footer="720" w:gutter="0"/>
          <w:cols w:space="708"/>
          <w:bidi/>
          <w:docGrid w:linePitch="360"/>
        </w:sectPr>
      </w:pPr>
    </w:p>
    <w:p w:rsidR="00364D8A" w:rsidRPr="0032790C" w:rsidRDefault="00F739E0" w:rsidP="00294C32">
      <w:pPr>
        <w:bidi w:val="0"/>
        <w:adjustRightInd w:val="0"/>
        <w:snapToGrid w:val="0"/>
        <w:spacing w:after="0" w:line="240" w:lineRule="auto"/>
        <w:jc w:val="both"/>
        <w:rPr>
          <w:rFonts w:ascii="Times New Roman" w:hAnsi="Times New Roman" w:cs="Times New Roman"/>
          <w:b/>
          <w:bCs/>
          <w:sz w:val="20"/>
          <w:szCs w:val="20"/>
          <w:lang w:bidi="ar-EG"/>
        </w:rPr>
      </w:pPr>
      <w:r w:rsidRPr="0032790C">
        <w:rPr>
          <w:rFonts w:ascii="Times New Roman" w:hAnsi="Times New Roman" w:cs="Times New Roman"/>
          <w:b/>
          <w:bCs/>
          <w:sz w:val="20"/>
          <w:szCs w:val="20"/>
          <w:lang w:bidi="ar-EG"/>
        </w:rPr>
        <w:lastRenderedPageBreak/>
        <w:t xml:space="preserve">4. </w:t>
      </w:r>
      <w:r w:rsidR="00364D8A" w:rsidRPr="0032790C">
        <w:rPr>
          <w:rFonts w:ascii="Times New Roman" w:hAnsi="Times New Roman" w:cs="Times New Roman"/>
          <w:b/>
          <w:bCs/>
          <w:sz w:val="20"/>
          <w:szCs w:val="20"/>
          <w:lang w:bidi="ar-EG"/>
        </w:rPr>
        <w:t>Discussion:</w:t>
      </w:r>
    </w:p>
    <w:p w:rsidR="000C6D04" w:rsidRPr="0032790C" w:rsidRDefault="00364D8A"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This study aimed to evaluate the potential</w:t>
      </w:r>
      <w:r w:rsidR="00644B66" w:rsidRPr="0032790C">
        <w:rPr>
          <w:rFonts w:ascii="Times New Roman" w:hAnsi="Times New Roman" w:cs="Times New Roman"/>
          <w:sz w:val="20"/>
          <w:szCs w:val="20"/>
          <w:lang w:bidi="ar-EG"/>
        </w:rPr>
        <w:t xml:space="preserve"> therapeutic cellular effects for treatment with propolis as </w:t>
      </w:r>
      <w:r w:rsidR="00A369D5" w:rsidRPr="0032790C">
        <w:rPr>
          <w:rFonts w:ascii="Times New Roman" w:hAnsi="Times New Roman" w:cs="Times New Roman"/>
          <w:sz w:val="20"/>
          <w:szCs w:val="20"/>
          <w:lang w:bidi="ar-EG"/>
        </w:rPr>
        <w:t xml:space="preserve">one of bee products which has therapeutic properties and </w:t>
      </w:r>
      <w:r w:rsidR="00B80F56" w:rsidRPr="0032790C">
        <w:rPr>
          <w:rFonts w:ascii="Times New Roman" w:hAnsi="Times New Roman" w:cs="Times New Roman"/>
          <w:sz w:val="20"/>
          <w:szCs w:val="20"/>
          <w:lang w:bidi="ar-EG"/>
        </w:rPr>
        <w:t>treatment with double usage of propolis with Dacarbazine drug in comparison with using Dacarbazine treatment which is as a drug used in chemotherapy for treatment of cancer tumors in one of cancerous cells lines which known as Hepatocellular carcinoma cell lines (HepG2),</w:t>
      </w:r>
      <w:r w:rsidR="00457519" w:rsidRPr="0032790C">
        <w:rPr>
          <w:rFonts w:ascii="Times New Roman" w:hAnsi="Times New Roman" w:cs="Times New Roman"/>
          <w:sz w:val="20"/>
          <w:szCs w:val="20"/>
          <w:lang w:bidi="ar-EG"/>
        </w:rPr>
        <w:t xml:space="preserve">the effect of multiple treatments on the inhibition </w:t>
      </w:r>
      <w:r w:rsidR="00B80F56" w:rsidRPr="0032790C">
        <w:rPr>
          <w:rFonts w:ascii="Times New Roman" w:hAnsi="Times New Roman" w:cs="Times New Roman"/>
          <w:sz w:val="20"/>
          <w:szCs w:val="20"/>
          <w:lang w:bidi="ar-EG"/>
        </w:rPr>
        <w:t>o</w:t>
      </w:r>
      <w:r w:rsidR="00457519" w:rsidRPr="0032790C">
        <w:rPr>
          <w:rFonts w:ascii="Times New Roman" w:hAnsi="Times New Roman" w:cs="Times New Roman"/>
          <w:sz w:val="20"/>
          <w:szCs w:val="20"/>
          <w:lang w:bidi="ar-EG"/>
        </w:rPr>
        <w:t>f Hepatocellular carcinoma cell lines</w:t>
      </w:r>
      <w:r w:rsidR="00B80F56" w:rsidRPr="0032790C">
        <w:rPr>
          <w:rFonts w:ascii="Times New Roman" w:hAnsi="Times New Roman" w:cs="Times New Roman"/>
          <w:sz w:val="20"/>
          <w:szCs w:val="20"/>
          <w:lang w:bidi="ar-EG"/>
        </w:rPr>
        <w:t xml:space="preserve"> (HepG2) </w:t>
      </w:r>
      <w:r w:rsidR="00457519" w:rsidRPr="0032790C">
        <w:rPr>
          <w:rFonts w:ascii="Times New Roman" w:hAnsi="Times New Roman" w:cs="Times New Roman"/>
          <w:sz w:val="20"/>
          <w:szCs w:val="20"/>
          <w:lang w:bidi="ar-EG"/>
        </w:rPr>
        <w:t>was recorded in terms of the existing decline in the developed cellular density and by measuring the absorbance by (ELISA) device, with wavelength (490 nanometer), as the treatment was done by three concentrations 50,100,200µg/ml for all treatments and with incubation periods of</w:t>
      </w:r>
      <w:r w:rsidR="0032790C">
        <w:rPr>
          <w:rFonts w:ascii="Times New Roman" w:hAnsi="Times New Roman" w:cs="Times New Roman"/>
          <w:sz w:val="20"/>
          <w:szCs w:val="20"/>
          <w:lang w:bidi="ar-EG"/>
        </w:rPr>
        <w:t xml:space="preserve"> </w:t>
      </w:r>
      <w:r w:rsidR="00457519" w:rsidRPr="0032790C">
        <w:rPr>
          <w:rFonts w:ascii="Times New Roman" w:hAnsi="Times New Roman" w:cs="Times New Roman"/>
          <w:sz w:val="20"/>
          <w:szCs w:val="20"/>
          <w:lang w:bidi="ar-EG"/>
        </w:rPr>
        <w:t>(48,72 h) compared to control sample.</w:t>
      </w:r>
    </w:p>
    <w:p w:rsidR="00364D8A" w:rsidRPr="0032790C" w:rsidRDefault="000C6D04"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It becomes clear through this study, by morphological examination the treatment by three concentrations</w:t>
      </w:r>
      <w:r w:rsidR="006F7038" w:rsidRPr="0032790C">
        <w:rPr>
          <w:rFonts w:ascii="Times New Roman" w:hAnsi="Times New Roman" w:cs="Times New Roman" w:hint="eastAsia"/>
          <w:sz w:val="20"/>
          <w:szCs w:val="20"/>
          <w:lang w:eastAsia="zh-CN" w:bidi="ar-EG"/>
        </w:rPr>
        <w:t xml:space="preserve"> </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50,100,200µg/ml) of propolis, Dacarbazine drug and double treatment with drug and propolis can influence on the inhibition of Hepatocellular carcinoma cell lines (HepG2) after incubation for (48,72 h), as the indicators of apoptosis appeared clearly with all treatment at all concentrations, compared with control sample</w:t>
      </w:r>
      <w:r w:rsidR="0032790C" w:rsidRPr="0032790C">
        <w:rPr>
          <w:rFonts w:ascii="Times New Roman" w:hAnsi="Times New Roman" w:cs="Times New Roman"/>
          <w:sz w:val="20"/>
          <w:szCs w:val="20"/>
          <w:lang w:bidi="ar-EG"/>
        </w:rPr>
        <w:t>,</w:t>
      </w:r>
      <w:r w:rsidR="00AA0F13" w:rsidRPr="0032790C">
        <w:rPr>
          <w:rFonts w:ascii="Times New Roman" w:hAnsi="Times New Roman" w:cs="Times New Roman"/>
          <w:sz w:val="20"/>
          <w:szCs w:val="20"/>
          <w:lang w:bidi="ar-EG"/>
        </w:rPr>
        <w:t xml:space="preserve"> also morphological effects onHepatocellular carcinoma cell lines (HepG2) for double treatment with drug and propolis and results of using drug only treatment were so close.</w:t>
      </w:r>
      <w:r w:rsidR="006F7038" w:rsidRPr="0032790C">
        <w:rPr>
          <w:rFonts w:ascii="Times New Roman" w:hAnsi="Times New Roman" w:cs="Times New Roman" w:hint="eastAsia"/>
          <w:sz w:val="20"/>
          <w:szCs w:val="20"/>
          <w:lang w:eastAsia="zh-CN" w:bidi="ar-EG"/>
        </w:rPr>
        <w:t xml:space="preserve"> </w:t>
      </w:r>
      <w:r w:rsidR="00AA0F13" w:rsidRPr="0032790C">
        <w:rPr>
          <w:rFonts w:ascii="Times New Roman" w:hAnsi="Times New Roman" w:cs="Times New Roman"/>
          <w:sz w:val="20"/>
          <w:szCs w:val="20"/>
          <w:lang w:bidi="ar-EG"/>
        </w:rPr>
        <w:t>There was a linear relationship between dose and effect with time.</w:t>
      </w:r>
    </w:p>
    <w:p w:rsidR="00AA0F13" w:rsidRPr="0032790C" w:rsidRDefault="00AA0F13"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Also these treatments showed significant impact on inhibition of Hepatocellular carcinoma cell lines (HepG2) </w:t>
      </w:r>
      <w:r w:rsidRPr="0032790C">
        <w:rPr>
          <w:rFonts w:ascii="Times New Roman" w:hAnsi="Times New Roman" w:cs="Times New Roman"/>
          <w:i/>
          <w:iCs/>
          <w:sz w:val="20"/>
          <w:szCs w:val="20"/>
          <w:lang w:bidi="ar-EG"/>
        </w:rPr>
        <w:t>in vitro</w:t>
      </w:r>
      <w:r w:rsidRPr="0032790C">
        <w:rPr>
          <w:rFonts w:ascii="Times New Roman" w:hAnsi="Times New Roman" w:cs="Times New Roman"/>
          <w:sz w:val="20"/>
          <w:szCs w:val="20"/>
          <w:lang w:bidi="ar-EG"/>
        </w:rPr>
        <w:t xml:space="preserve"> after incubation for (48,72h). Also obtained results clarify that the inhibition of Hepatocellular carcinoma cell lines (HepG2) with these treatments has recorded a significant </w:t>
      </w:r>
      <w:r w:rsidR="007F0B41" w:rsidRPr="0032790C">
        <w:rPr>
          <w:rFonts w:ascii="Times New Roman" w:hAnsi="Times New Roman" w:cs="Times New Roman"/>
          <w:sz w:val="20"/>
          <w:szCs w:val="20"/>
          <w:lang w:bidi="ar-EG"/>
        </w:rPr>
        <w:t>improvement and elevated</w:t>
      </w:r>
      <w:r w:rsidRPr="0032790C">
        <w:rPr>
          <w:rFonts w:ascii="Times New Roman" w:hAnsi="Times New Roman" w:cs="Times New Roman"/>
          <w:sz w:val="20"/>
          <w:szCs w:val="20"/>
          <w:lang w:bidi="ar-EG"/>
        </w:rPr>
        <w:t xml:space="preserve"> by </w:t>
      </w:r>
      <w:r w:rsidR="007F0B41" w:rsidRPr="0032790C">
        <w:rPr>
          <w:rFonts w:ascii="Times New Roman" w:hAnsi="Times New Roman" w:cs="Times New Roman"/>
          <w:sz w:val="20"/>
          <w:szCs w:val="20"/>
          <w:lang w:bidi="ar-EG"/>
        </w:rPr>
        <w:t>increasing the concentrations, also inhibition ratio was inversely proportional to the rate of absorbance and vitality.</w:t>
      </w:r>
    </w:p>
    <w:p w:rsidR="00CD3AF5" w:rsidRPr="0032790C" w:rsidRDefault="007F0B41"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By comparing the means of appearance for Hepatocellular carcinoma cell lines HepG2, all treatments recorded significant decrease (</w:t>
      </w:r>
      <w:r w:rsidR="008C058E" w:rsidRPr="0032790C">
        <w:rPr>
          <w:rFonts w:ascii="Times New Roman" w:hAnsi="Times New Roman" w:cs="Times New Roman"/>
          <w:i/>
          <w:iCs/>
          <w:sz w:val="20"/>
          <w:szCs w:val="20"/>
          <w:lang w:bidi="ar-EG"/>
        </w:rPr>
        <w:t>P</w:t>
      </w:r>
      <w:r w:rsidR="008C058E" w:rsidRPr="0032790C">
        <w:rPr>
          <w:rFonts w:ascii="Times New Roman" w:hAnsi="Times New Roman" w:cs="Times New Roman"/>
          <w:sz w:val="20"/>
          <w:szCs w:val="20"/>
          <w:lang w:bidi="ar-EG"/>
        </w:rPr>
        <w:t xml:space="preserve">&gt; </w:t>
      </w:r>
      <w:r w:rsidRPr="0032790C">
        <w:rPr>
          <w:rFonts w:ascii="Times New Roman" w:hAnsi="Times New Roman" w:cs="Times New Roman"/>
          <w:sz w:val="20"/>
          <w:szCs w:val="20"/>
          <w:lang w:bidi="ar-EG"/>
        </w:rPr>
        <w:t>0.001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compared to control sample and at all concentrations. And to show the effective concentration for treatments and comparing it with control </w:t>
      </w:r>
      <w:r w:rsidR="00CD3AF5" w:rsidRPr="0032790C">
        <w:rPr>
          <w:rFonts w:ascii="Times New Roman" w:hAnsi="Times New Roman" w:cs="Times New Roman"/>
          <w:sz w:val="20"/>
          <w:szCs w:val="20"/>
          <w:lang w:bidi="ar-EG"/>
        </w:rPr>
        <w:t>it depended on calculating (IC50) and (IC</w:t>
      </w:r>
      <w:r w:rsidR="00CD3AF5" w:rsidRPr="0032790C">
        <w:rPr>
          <w:rFonts w:ascii="Times New Roman" w:hAnsi="Times New Roman" w:cs="Times New Roman"/>
          <w:sz w:val="20"/>
          <w:szCs w:val="20"/>
          <w:vertAlign w:val="subscript"/>
          <w:lang w:bidi="ar-EG"/>
        </w:rPr>
        <w:t>90</w:t>
      </w:r>
      <w:r w:rsidR="00CD3AF5" w:rsidRPr="0032790C">
        <w:rPr>
          <w:rFonts w:ascii="Times New Roman" w:hAnsi="Times New Roman" w:cs="Times New Roman"/>
          <w:sz w:val="20"/>
          <w:szCs w:val="20"/>
          <w:lang w:bidi="ar-EG"/>
        </w:rPr>
        <w:t xml:space="preserve">) so the best value was recorded by Drug treatment then double treatment and then propolis treatment respectively. And that was after incubation period equal (48,72h). </w:t>
      </w:r>
    </w:p>
    <w:p w:rsidR="00CD3AF5" w:rsidRPr="0032790C" w:rsidRDefault="00CD3AF5"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These results are compatible with the results obtained by Ex-researchers who treat the Hepatocellular carcinoma cell lines HepG2 with any of the active components of propolis.</w:t>
      </w:r>
    </w:p>
    <w:p w:rsidR="00457519" w:rsidRPr="0032790C" w:rsidRDefault="00CE2751"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lastRenderedPageBreak/>
        <w:t>When Hepatocellular carcinoma cell lines treated by any flavonoid compound existing</w:t>
      </w:r>
      <w:r w:rsidR="00371837" w:rsidRPr="0032790C">
        <w:rPr>
          <w:rFonts w:ascii="Times New Roman" w:hAnsi="Times New Roman" w:cs="Times New Roman"/>
          <w:sz w:val="20"/>
          <w:szCs w:val="20"/>
          <w:lang w:bidi="ar-EG"/>
        </w:rPr>
        <w:t xml:space="preserve"> in propolis (Quercetin), it led to decreasing cellular growth and apoptosis according to dose and time.</w:t>
      </w:r>
      <w:r w:rsidR="00F739E0" w:rsidRPr="0032790C">
        <w:rPr>
          <w:rFonts w:ascii="Times New Roman" w:hAnsi="Times New Roman" w:cs="Times New Roman"/>
          <w:sz w:val="20"/>
          <w:szCs w:val="20"/>
          <w:lang w:bidi="ar-EG"/>
        </w:rPr>
        <w:t xml:space="preserve"> </w:t>
      </w:r>
      <w:r w:rsidR="00371837" w:rsidRPr="0032790C">
        <w:rPr>
          <w:rFonts w:ascii="Times New Roman" w:hAnsi="Times New Roman" w:cs="Times New Roman"/>
          <w:sz w:val="20"/>
          <w:szCs w:val="20"/>
          <w:lang w:bidi="ar-EG"/>
        </w:rPr>
        <w:t>as it stops the cell cycle in the stage of DNA replication (S-Phase), in addition to its powerful ability to inhibit topoisomeraseǁ enzyme in DNA,</w:t>
      </w:r>
      <w:r w:rsidR="0032790C">
        <w:rPr>
          <w:rFonts w:ascii="Times New Roman" w:hAnsi="Times New Roman" w:cs="Times New Roman"/>
          <w:sz w:val="20"/>
          <w:szCs w:val="20"/>
          <w:lang w:bidi="ar-EG"/>
        </w:rPr>
        <w:t xml:space="preserve"> </w:t>
      </w:r>
      <w:r w:rsidR="00371837" w:rsidRPr="0032790C">
        <w:rPr>
          <w:rFonts w:ascii="Times New Roman" w:hAnsi="Times New Roman" w:cs="Times New Roman"/>
          <w:sz w:val="20"/>
          <w:szCs w:val="20"/>
          <w:lang w:bidi="ar-EG"/>
        </w:rPr>
        <w:t>data showed that Quercetin stimulate apoptosis through direct</w:t>
      </w:r>
      <w:r w:rsidR="0022517C" w:rsidRPr="0032790C">
        <w:rPr>
          <w:rFonts w:ascii="Times New Roman" w:hAnsi="Times New Roman" w:cs="Times New Roman"/>
          <w:sz w:val="20"/>
          <w:szCs w:val="20"/>
          <w:lang w:bidi="ar-EG"/>
        </w:rPr>
        <w:t xml:space="preserve"> activation of cas</w:t>
      </w:r>
      <w:r w:rsidR="00371837" w:rsidRPr="0032790C">
        <w:rPr>
          <w:rFonts w:ascii="Times New Roman" w:hAnsi="Times New Roman" w:cs="Times New Roman"/>
          <w:sz w:val="20"/>
          <w:szCs w:val="20"/>
          <w:lang w:bidi="ar-EG"/>
        </w:rPr>
        <w:t>asps chain (Mitochondria</w:t>
      </w:r>
      <w:r w:rsidR="0022517C" w:rsidRPr="0032790C">
        <w:rPr>
          <w:rFonts w:ascii="Times New Roman" w:hAnsi="Times New Roman" w:cs="Times New Roman"/>
          <w:sz w:val="20"/>
          <w:szCs w:val="20"/>
          <w:lang w:bidi="ar-EG"/>
        </w:rPr>
        <w:t>l</w:t>
      </w:r>
      <w:r w:rsidR="00371837" w:rsidRPr="0032790C">
        <w:rPr>
          <w:rFonts w:ascii="Times New Roman" w:hAnsi="Times New Roman" w:cs="Times New Roman"/>
          <w:sz w:val="20"/>
          <w:szCs w:val="20"/>
          <w:lang w:bidi="ar-EG"/>
        </w:rPr>
        <w:t xml:space="preserve"> path)</w:t>
      </w:r>
      <w:r w:rsidR="00E40711" w:rsidRPr="0032790C">
        <w:rPr>
          <w:rFonts w:ascii="Times New Roman" w:hAnsi="Times New Roman" w:cs="Times New Roman"/>
          <w:sz w:val="20"/>
          <w:szCs w:val="20"/>
          <w:lang w:bidi="ar-EG"/>
        </w:rPr>
        <w:t>which</w:t>
      </w:r>
      <w:r w:rsidR="00480B45" w:rsidRPr="0032790C">
        <w:rPr>
          <w:rFonts w:ascii="Times New Roman" w:hAnsi="Times New Roman" w:cs="Times New Roman"/>
          <w:sz w:val="20"/>
          <w:szCs w:val="20"/>
          <w:lang w:bidi="ar-EG"/>
        </w:rPr>
        <w:t xml:space="preserve"> inhibit the vital signs of the cells of hepatocellular carcinoma, and by regulating the Specificity </w:t>
      </w:r>
      <w:r w:rsidR="00E40711" w:rsidRPr="0032790C">
        <w:rPr>
          <w:rFonts w:ascii="Times New Roman" w:hAnsi="Times New Roman" w:cs="Times New Roman"/>
          <w:sz w:val="20"/>
          <w:szCs w:val="20"/>
          <w:lang w:bidi="ar-EG"/>
        </w:rPr>
        <w:t>protein</w:t>
      </w:r>
      <w:r w:rsidR="00480B45" w:rsidRPr="0032790C">
        <w:rPr>
          <w:rFonts w:ascii="Times New Roman" w:hAnsi="Times New Roman" w:cs="Times New Roman"/>
          <w:sz w:val="20"/>
          <w:szCs w:val="20"/>
          <w:lang w:bidi="ar-EG"/>
        </w:rPr>
        <w:t xml:space="preserve"> 1 (SP1) which play an important role in physiological processes such as a regulator for cell cycle, apoptosis and blood vessels. By suppressing apoptosis related proteins, transfer signals linked to cell growth and apoptosis, tumor suppressing genes, </w:t>
      </w:r>
      <w:r w:rsidR="00962481" w:rsidRPr="0032790C">
        <w:rPr>
          <w:rFonts w:ascii="Times New Roman" w:hAnsi="Times New Roman" w:cs="Times New Roman"/>
          <w:sz w:val="20"/>
          <w:szCs w:val="20"/>
          <w:lang w:bidi="ar-EG"/>
        </w:rPr>
        <w:t>cell cycle regulating molecules, carcinogenic genes and blood vessels related factors without causing any negative impact on normal cells.</w:t>
      </w:r>
    </w:p>
    <w:p w:rsidR="00457519" w:rsidRPr="0032790C" w:rsidRDefault="00962481" w:rsidP="00294C32">
      <w:pPr>
        <w:bidi w:val="0"/>
        <w:adjustRightInd w:val="0"/>
        <w:snapToGrid w:val="0"/>
        <w:spacing w:after="0" w:line="240" w:lineRule="auto"/>
        <w:ind w:firstLine="425"/>
        <w:jc w:val="both"/>
        <w:rPr>
          <w:rFonts w:ascii="Times New Roman" w:hAnsi="Times New Roman" w:cs="Times New Roman"/>
          <w:sz w:val="20"/>
          <w:szCs w:val="20"/>
          <w:lang w:val="fr-FR" w:bidi="ar-EG"/>
        </w:rPr>
      </w:pPr>
      <w:r w:rsidRPr="0032790C">
        <w:rPr>
          <w:rFonts w:ascii="Times New Roman" w:hAnsi="Times New Roman" w:cs="Times New Roman"/>
          <w:sz w:val="20"/>
          <w:szCs w:val="20"/>
          <w:lang w:bidi="ar-EG"/>
        </w:rPr>
        <w:t>Also it was found that Quercetin activates the anti- tumor effect resulting from treating with Doxorubicin (DOX) on Hepatocellular carcinoma cell lines with protecting normal hepatic cells, so it was decided that Quercetin is useful with (DOX) treatment to increase the effectiveness of Hepatocellular carcinoma treatment.</w:t>
      </w:r>
      <w:r w:rsidR="00562094" w:rsidRPr="0032790C">
        <w:rPr>
          <w:rFonts w:ascii="Times New Roman" w:hAnsi="Times New Roman" w:cs="Times New Roman"/>
          <w:sz w:val="20"/>
          <w:szCs w:val="20"/>
          <w:lang w:bidi="ar-EG"/>
        </w:rPr>
        <w:t>Suggesting that Quercetin is an antagonist for Hepatocellular carcinoma by stopping the cell cycle and apoptosis. And has a protective role in the early stages of Hepatocellular carcinoma in addition to pro-apoptotic properties and regulate the proteins expression necessary for cell cycle.</w:t>
      </w:r>
      <w:r w:rsidR="0032790C">
        <w:rPr>
          <w:rFonts w:ascii="Times New Roman" w:hAnsi="Times New Roman" w:cs="Times New Roman"/>
          <w:sz w:val="20"/>
          <w:szCs w:val="20"/>
          <w:lang w:bidi="ar-EG"/>
        </w:rPr>
        <w:t xml:space="preserve"> </w:t>
      </w:r>
      <w:r w:rsidR="00562094" w:rsidRPr="0032790C">
        <w:rPr>
          <w:rFonts w:ascii="Times New Roman" w:hAnsi="Times New Roman" w:cs="Times New Roman"/>
          <w:sz w:val="20"/>
          <w:szCs w:val="20"/>
          <w:lang w:val="fr-FR" w:bidi="ar-EG"/>
        </w:rPr>
        <w:t xml:space="preserve">(Granado </w:t>
      </w:r>
      <w:r w:rsidR="00562094" w:rsidRPr="0032790C">
        <w:rPr>
          <w:rFonts w:ascii="Times New Roman" w:hAnsi="Times New Roman" w:cs="Times New Roman"/>
          <w:i/>
          <w:iCs/>
          <w:sz w:val="20"/>
          <w:szCs w:val="20"/>
          <w:lang w:val="fr-FR" w:bidi="ar-EG"/>
        </w:rPr>
        <w:t>et al,</w:t>
      </w:r>
      <w:r w:rsidR="00562094" w:rsidRPr="0032790C">
        <w:rPr>
          <w:rFonts w:ascii="Times New Roman" w:hAnsi="Times New Roman" w:cs="Times New Roman"/>
          <w:sz w:val="20"/>
          <w:szCs w:val="20"/>
          <w:lang w:val="fr-FR" w:bidi="ar-EG"/>
        </w:rPr>
        <w:t xml:space="preserve"> 2006; Wang </w:t>
      </w:r>
      <w:r w:rsidR="008C058E" w:rsidRPr="0032790C">
        <w:rPr>
          <w:rFonts w:ascii="Times New Roman" w:hAnsi="Times New Roman" w:cs="Times New Roman"/>
          <w:i/>
          <w:iCs/>
          <w:sz w:val="20"/>
          <w:szCs w:val="20"/>
          <w:lang w:val="fr-FR" w:bidi="ar-EG"/>
        </w:rPr>
        <w:t>et al,</w:t>
      </w:r>
      <w:r w:rsidR="0032790C">
        <w:rPr>
          <w:rFonts w:ascii="Times New Roman" w:hAnsi="Times New Roman" w:cs="Times New Roman" w:hint="eastAsia"/>
          <w:i/>
          <w:iCs/>
          <w:sz w:val="20"/>
          <w:szCs w:val="20"/>
          <w:lang w:val="fr-FR" w:eastAsia="zh-CN" w:bidi="ar-EG"/>
        </w:rPr>
        <w:t xml:space="preserve"> </w:t>
      </w:r>
      <w:r w:rsidR="00562094" w:rsidRPr="0032790C">
        <w:rPr>
          <w:rFonts w:ascii="Times New Roman" w:hAnsi="Times New Roman" w:cs="Times New Roman"/>
          <w:sz w:val="20"/>
          <w:szCs w:val="20"/>
          <w:lang w:val="fr-FR" w:bidi="ar-EG"/>
        </w:rPr>
        <w:t xml:space="preserve">2012; Casella </w:t>
      </w:r>
      <w:r w:rsidR="008C058E" w:rsidRPr="0032790C">
        <w:rPr>
          <w:rFonts w:ascii="Times New Roman" w:hAnsi="Times New Roman" w:cs="Times New Roman"/>
          <w:i/>
          <w:iCs/>
          <w:sz w:val="20"/>
          <w:szCs w:val="20"/>
          <w:lang w:val="fr-FR" w:bidi="ar-EG"/>
        </w:rPr>
        <w:t>et al,</w:t>
      </w:r>
      <w:r w:rsidR="0032790C">
        <w:rPr>
          <w:rFonts w:ascii="Times New Roman" w:hAnsi="Times New Roman" w:cs="Times New Roman" w:hint="eastAsia"/>
          <w:i/>
          <w:iCs/>
          <w:sz w:val="20"/>
          <w:szCs w:val="20"/>
          <w:lang w:val="fr-FR" w:eastAsia="zh-CN" w:bidi="ar-EG"/>
        </w:rPr>
        <w:t xml:space="preserve"> </w:t>
      </w:r>
      <w:r w:rsidR="0032790C">
        <w:rPr>
          <w:rFonts w:ascii="Times New Roman" w:hAnsi="Times New Roman" w:cs="Times New Roman"/>
          <w:sz w:val="20"/>
          <w:szCs w:val="20"/>
          <w:lang w:val="fr-FR" w:bidi="ar-EG"/>
        </w:rPr>
        <w:t>2014; Sudan and Rupasinghe</w:t>
      </w:r>
      <w:r w:rsidR="00562094" w:rsidRPr="0032790C">
        <w:rPr>
          <w:rFonts w:ascii="Times New Roman" w:hAnsi="Times New Roman" w:cs="Times New Roman"/>
          <w:sz w:val="20"/>
          <w:szCs w:val="20"/>
          <w:lang w:val="fr-FR" w:bidi="ar-EG"/>
        </w:rPr>
        <w:t>, 2014</w:t>
      </w:r>
      <w:r w:rsidR="0032790C">
        <w:rPr>
          <w:rFonts w:ascii="Times New Roman" w:hAnsi="Times New Roman" w:cs="Times New Roman"/>
          <w:sz w:val="20"/>
          <w:szCs w:val="20"/>
          <w:lang w:val="fr-FR" w:bidi="ar-EG"/>
        </w:rPr>
        <w:t>;</w:t>
      </w:r>
      <w:r w:rsidR="008C058E" w:rsidRPr="0032790C">
        <w:rPr>
          <w:rFonts w:ascii="Times New Roman" w:hAnsi="Times New Roman" w:cs="Times New Roman"/>
          <w:sz w:val="20"/>
          <w:szCs w:val="20"/>
          <w:lang w:val="fr-FR" w:bidi="ar-EG"/>
        </w:rPr>
        <w:t xml:space="preserve"> </w:t>
      </w:r>
      <w:r w:rsidR="00562094" w:rsidRPr="0032790C">
        <w:rPr>
          <w:rFonts w:ascii="Times New Roman" w:hAnsi="Times New Roman" w:cs="Times New Roman"/>
          <w:sz w:val="20"/>
          <w:szCs w:val="20"/>
          <w:lang w:val="fr-FR" w:bidi="ar-EG"/>
        </w:rPr>
        <w:t xml:space="preserve">Lee </w:t>
      </w:r>
      <w:r w:rsidR="008C058E" w:rsidRPr="0032790C">
        <w:rPr>
          <w:rFonts w:ascii="Times New Roman" w:hAnsi="Times New Roman" w:cs="Times New Roman"/>
          <w:i/>
          <w:iCs/>
          <w:sz w:val="20"/>
          <w:szCs w:val="20"/>
          <w:lang w:val="fr-FR" w:bidi="ar-EG"/>
        </w:rPr>
        <w:t>et al,</w:t>
      </w:r>
      <w:r w:rsidR="0032790C">
        <w:rPr>
          <w:rFonts w:ascii="Times New Roman" w:hAnsi="Times New Roman" w:cs="Times New Roman" w:hint="eastAsia"/>
          <w:i/>
          <w:iCs/>
          <w:sz w:val="20"/>
          <w:szCs w:val="20"/>
          <w:lang w:val="fr-FR" w:eastAsia="zh-CN" w:bidi="ar-EG"/>
        </w:rPr>
        <w:t xml:space="preserve"> </w:t>
      </w:r>
      <w:r w:rsidR="00562094" w:rsidRPr="0032790C">
        <w:rPr>
          <w:rFonts w:ascii="Times New Roman" w:hAnsi="Times New Roman" w:cs="Times New Roman"/>
          <w:sz w:val="20"/>
          <w:szCs w:val="20"/>
          <w:lang w:val="fr-FR" w:bidi="ar-EG"/>
        </w:rPr>
        <w:t>2015).</w:t>
      </w:r>
    </w:p>
    <w:p w:rsidR="00D743A8" w:rsidRPr="0032790C" w:rsidRDefault="0022517C"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It was found that glangin caused apoptosis in a large scale in Hepatocellular carcinoma cell lines through activation of caspase-8 (Mitochondrial path) in hepatocellular carcinoma cell lines. As it decrease the mitochondrial membrane permeability proportional to dose and time, activates Bax protein in mitochondria which stimulates cytochrome factor C in cytosol, also it prevents the growth of Hepatocellular carcinoma (HCC) by autophagy which reflex</w:t>
      </w:r>
      <w:r w:rsidR="00B9461C" w:rsidRPr="0032790C">
        <w:rPr>
          <w:rFonts w:ascii="Times New Roman" w:hAnsi="Times New Roman" w:cs="Times New Roman"/>
          <w:sz w:val="20"/>
          <w:szCs w:val="20"/>
          <w:lang w:bidi="ar-EG"/>
        </w:rPr>
        <w:t xml:space="preserve"> its anti-proliferation effect</w:t>
      </w:r>
      <w:r w:rsidR="00D41B8F" w:rsidRPr="0032790C">
        <w:rPr>
          <w:rFonts w:ascii="Times New Roman" w:hAnsi="Times New Roman" w:cs="Times New Roman"/>
          <w:sz w:val="20"/>
          <w:szCs w:val="20"/>
          <w:lang w:bidi="ar-EG"/>
        </w:rPr>
        <w:t xml:space="preserve"> on Hepatocellular carcinoma</w:t>
      </w:r>
      <w:r w:rsidR="00D743A8" w:rsidRPr="0032790C">
        <w:rPr>
          <w:rFonts w:ascii="Times New Roman" w:hAnsi="Times New Roman" w:cs="Times New Roman"/>
          <w:sz w:val="20"/>
          <w:szCs w:val="20"/>
          <w:lang w:bidi="ar-EG"/>
        </w:rPr>
        <w:t>.</w:t>
      </w:r>
      <w:r w:rsidR="008C058E" w:rsidRPr="0032790C">
        <w:rPr>
          <w:rFonts w:ascii="Times New Roman" w:hAnsi="Times New Roman" w:cs="Times New Roman"/>
          <w:sz w:val="20"/>
          <w:szCs w:val="20"/>
          <w:lang w:bidi="ar-EG"/>
        </w:rPr>
        <w:t xml:space="preserve"> When</w:t>
      </w:r>
      <w:r w:rsidR="00D743A8" w:rsidRPr="0032790C">
        <w:rPr>
          <w:rFonts w:ascii="Times New Roman" w:hAnsi="Times New Roman" w:cs="Times New Roman"/>
          <w:sz w:val="20"/>
          <w:szCs w:val="20"/>
          <w:lang w:bidi="ar-EG"/>
        </w:rPr>
        <w:t xml:space="preserve"> hepatocellular carcinoma cell lines treated with that compound it was found to cause the following:</w:t>
      </w:r>
    </w:p>
    <w:p w:rsidR="00D743A8" w:rsidRPr="0032790C" w:rsidRDefault="00D743A8" w:rsidP="00294C32">
      <w:pPr>
        <w:pStyle w:val="ListParagraph"/>
        <w:numPr>
          <w:ilvl w:val="0"/>
          <w:numId w:val="8"/>
        </w:numPr>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increase the rate of autophagy</w:t>
      </w:r>
      <w:r w:rsidR="0032790C">
        <w:rPr>
          <w:rFonts w:ascii="Times New Roman" w:hAnsi="Times New Roman" w:cs="Times New Roman" w:hint="eastAsia"/>
          <w:sz w:val="20"/>
          <w:szCs w:val="20"/>
          <w:lang w:eastAsia="zh-CN" w:bidi="ar-EG"/>
        </w:rPr>
        <w:t>.</w:t>
      </w:r>
    </w:p>
    <w:p w:rsidR="00D743A8" w:rsidRPr="0032790C" w:rsidRDefault="00D743A8" w:rsidP="00294C32">
      <w:pPr>
        <w:pStyle w:val="ListParagraph"/>
        <w:numPr>
          <w:ilvl w:val="0"/>
          <w:numId w:val="8"/>
        </w:numPr>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increase in the level of protein linked to light chain 3</w:t>
      </w:r>
      <w:r w:rsidR="0032790C">
        <w:rPr>
          <w:rFonts w:ascii="Times New Roman" w:hAnsi="Times New Roman" w:cs="Times New Roman" w:hint="eastAsia"/>
          <w:sz w:val="20"/>
          <w:szCs w:val="20"/>
          <w:lang w:eastAsia="zh-CN" w:bidi="ar-EG"/>
        </w:rPr>
        <w:t>.</w:t>
      </w:r>
    </w:p>
    <w:p w:rsidR="00457519" w:rsidRPr="0032790C" w:rsidRDefault="00D743A8" w:rsidP="00294C32">
      <w:pPr>
        <w:pStyle w:val="ListParagraph"/>
        <w:numPr>
          <w:ilvl w:val="0"/>
          <w:numId w:val="8"/>
        </w:numPr>
        <w:bidi w:val="0"/>
        <w:adjustRightInd w:val="0"/>
        <w:snapToGrid w:val="0"/>
        <w:spacing w:after="0" w:line="240" w:lineRule="auto"/>
        <w:ind w:left="426"/>
        <w:contextualSpacing w:val="0"/>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increase the vesicles rate in cells and high protein expression rate P53.</w:t>
      </w:r>
      <w:r w:rsidR="008C058E"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Zhang </w:t>
      </w:r>
      <w:r w:rsidR="008C058E"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w:t>
      </w:r>
      <w:r w:rsidR="006440D5" w:rsidRPr="0032790C">
        <w:rPr>
          <w:rFonts w:ascii="Times New Roman" w:hAnsi="Times New Roman" w:cs="Times New Roman"/>
          <w:sz w:val="20"/>
          <w:szCs w:val="20"/>
          <w:lang w:bidi="ar-EG"/>
        </w:rPr>
        <w:t>2</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201</w:t>
      </w:r>
      <w:r w:rsidR="00560525" w:rsidRPr="0032790C">
        <w:rPr>
          <w:rFonts w:ascii="Times New Roman" w:hAnsi="Times New Roman" w:cs="Times New Roman"/>
          <w:sz w:val="20"/>
          <w:szCs w:val="20"/>
          <w:lang w:bidi="ar-EG"/>
        </w:rPr>
        <w:t>3</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Wen </w:t>
      </w:r>
      <w:r w:rsidR="008C058E" w:rsidRPr="0032790C">
        <w:rPr>
          <w:rFonts w:ascii="Times New Roman" w:hAnsi="Times New Roman" w:cs="Times New Roman"/>
          <w:i/>
          <w:iCs/>
          <w:sz w:val="20"/>
          <w:szCs w:val="20"/>
          <w:lang w:bidi="ar-EG"/>
        </w:rPr>
        <w:t>et al,</w:t>
      </w:r>
      <w:r w:rsid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2012</w:t>
      </w:r>
      <w:r w:rsidR="0032790C">
        <w:rPr>
          <w:rFonts w:ascii="Times New Roman" w:hAnsi="Times New Roman" w:cs="Times New Roman"/>
          <w:sz w:val="20"/>
          <w:szCs w:val="20"/>
          <w:lang w:bidi="ar-EG"/>
        </w:rPr>
        <w:t>;</w:t>
      </w:r>
      <w:r w:rsidR="0032790C">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Wang </w:t>
      </w:r>
      <w:r w:rsidR="008C058E"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2014</w:t>
      </w:r>
      <w:r w:rsidR="008C058E" w:rsidRPr="0032790C">
        <w:rPr>
          <w:rFonts w:ascii="Times New Roman" w:hAnsi="Times New Roman" w:cs="Times New Roman"/>
          <w:sz w:val="20"/>
          <w:szCs w:val="20"/>
          <w:lang w:bidi="ar-EG"/>
        </w:rPr>
        <w:t>).</w:t>
      </w:r>
      <w:r w:rsidR="0032790C">
        <w:rPr>
          <w:rFonts w:ascii="Times New Roman" w:hAnsi="Times New Roman" w:cs="Times New Roman"/>
          <w:sz w:val="20"/>
          <w:szCs w:val="20"/>
          <w:rtl/>
          <w:lang w:bidi="ar-EG"/>
        </w:rPr>
        <w:t xml:space="preserve"> </w:t>
      </w:r>
    </w:p>
    <w:p w:rsidR="009275B8" w:rsidRPr="0032790C" w:rsidRDefault="009275B8" w:rsidP="00294C32">
      <w:pPr>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Also it was found that apigenin has a protective properties and therapeutic ability against cancer diseases, after treating hepatocellular carcinoma cell lines a decrease in cell vitality was observed, and some morphological changes. Also it significantly </w:t>
      </w:r>
      <w:r w:rsidRPr="0032790C">
        <w:rPr>
          <w:rFonts w:ascii="Times New Roman" w:hAnsi="Times New Roman" w:cs="Times New Roman"/>
          <w:sz w:val="20"/>
          <w:szCs w:val="20"/>
          <w:lang w:bidi="ar-EG"/>
        </w:rPr>
        <w:lastRenderedPageBreak/>
        <w:t>inhibits hepatocellular carcinoma cell lines and increases accumulation of protein P53 which is responsible of apoptosis and stopping of cell cycle at stage G2/M, depending on dose and time. Apoptosis by apigenin has been linked to Vimentin protein which has role in cells physiology and regulates expression levels in type one of collagen (Collagen 1) which participate with Vimentin protein in decreasing ions transfer between cancerous cells. So apigenin was considered as a main regulator in blood vessels and ions migration.In addition it causes a significant decrease in mRNA level, catalase activity and glutathione levels inside cancerous cells.</w:t>
      </w:r>
      <w:r w:rsidR="006F7038" w:rsidRPr="0032790C">
        <w:rPr>
          <w:rFonts w:ascii="Times New Roman" w:hAnsi="Times New Roman" w:cs="Times New Roman" w:hint="eastAsia"/>
          <w:sz w:val="20"/>
          <w:szCs w:val="20"/>
          <w:lang w:eastAsia="zh-CN" w:bidi="ar-EG"/>
        </w:rPr>
        <w:t xml:space="preserve"> I</w:t>
      </w:r>
      <w:r w:rsidRPr="0032790C">
        <w:rPr>
          <w:rFonts w:ascii="Times New Roman" w:hAnsi="Times New Roman" w:cs="Times New Roman"/>
          <w:sz w:val="20"/>
          <w:szCs w:val="20"/>
          <w:lang w:bidi="ar-EG"/>
        </w:rPr>
        <w:t>t can participate with Doxorubicin in treatment of hepatocellular carcinoma by preventing cell growth and development of cancerous cells by apoptosis. So it can be used as effective adjuvant to prevent chemical resistance</w:t>
      </w:r>
      <w:r w:rsidR="00294C32">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(Chiang </w:t>
      </w:r>
      <w:r w:rsidR="008C058E"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2006;</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 xml:space="preserve">Kim </w:t>
      </w:r>
      <w:r w:rsidR="008C058E"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Valdameri </w:t>
      </w:r>
      <w:r w:rsidR="008C058E" w:rsidRPr="0032790C">
        <w:rPr>
          <w:rFonts w:ascii="Times New Roman" w:hAnsi="Times New Roman" w:cs="Times New Roman"/>
          <w:i/>
          <w:iCs/>
          <w:sz w:val="20"/>
          <w:szCs w:val="20"/>
          <w:lang w:bidi="ar-EG"/>
        </w:rPr>
        <w:t>et al,</w:t>
      </w:r>
      <w:r w:rsid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Gao </w:t>
      </w:r>
      <w:r w:rsidR="008C058E" w:rsidRPr="0032790C">
        <w:rPr>
          <w:rFonts w:ascii="Times New Roman" w:hAnsi="Times New Roman" w:cs="Times New Roman"/>
          <w:i/>
          <w:iCs/>
          <w:sz w:val="20"/>
          <w:szCs w:val="20"/>
          <w:lang w:bidi="ar-EG"/>
        </w:rPr>
        <w:t xml:space="preserve">et al, </w:t>
      </w:r>
      <w:r w:rsidRPr="0032790C">
        <w:rPr>
          <w:rFonts w:ascii="Times New Roman" w:hAnsi="Times New Roman" w:cs="Times New Roman"/>
          <w:sz w:val="20"/>
          <w:szCs w:val="20"/>
          <w:lang w:bidi="ar-EG"/>
        </w:rPr>
        <w:t>2013).</w:t>
      </w:r>
    </w:p>
    <w:p w:rsidR="00107C24" w:rsidRPr="0032790C" w:rsidRDefault="009275B8" w:rsidP="00294C32">
      <w:pPr>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Studies showed that Naringenin has toxic effect f</w:t>
      </w:r>
      <w:r w:rsidR="004072F8" w:rsidRPr="0032790C">
        <w:rPr>
          <w:rFonts w:ascii="Times New Roman" w:hAnsi="Times New Roman" w:cs="Times New Roman"/>
          <w:sz w:val="20"/>
          <w:szCs w:val="20"/>
          <w:lang w:bidi="ar-EG"/>
        </w:rPr>
        <w:t>or</w:t>
      </w:r>
      <w:r w:rsidRPr="0032790C">
        <w:rPr>
          <w:rFonts w:ascii="Times New Roman" w:hAnsi="Times New Roman" w:cs="Times New Roman"/>
          <w:sz w:val="20"/>
          <w:szCs w:val="20"/>
          <w:lang w:bidi="ar-EG"/>
        </w:rPr>
        <w:t xml:space="preserve"> multiple types of cancerous cells, it works by </w:t>
      </w:r>
      <w:r w:rsidR="004072F8" w:rsidRPr="0032790C">
        <w:rPr>
          <w:rFonts w:ascii="Times New Roman" w:hAnsi="Times New Roman" w:cs="Times New Roman"/>
          <w:sz w:val="20"/>
          <w:szCs w:val="20"/>
          <w:lang w:bidi="ar-EG"/>
        </w:rPr>
        <w:t>inhibiting</w:t>
      </w:r>
      <w:r w:rsidRPr="0032790C">
        <w:rPr>
          <w:rFonts w:ascii="Times New Roman" w:hAnsi="Times New Roman" w:cs="Times New Roman"/>
          <w:sz w:val="20"/>
          <w:szCs w:val="20"/>
          <w:lang w:bidi="ar-EG"/>
        </w:rPr>
        <w:t xml:space="preserve"> hepatocellular carcinoma metastasis in stages G1,G2,G0 and M from cell cycle as </w:t>
      </w:r>
      <w:r w:rsidR="004072F8" w:rsidRPr="0032790C">
        <w:rPr>
          <w:rFonts w:ascii="Times New Roman" w:hAnsi="Times New Roman" w:cs="Times New Roman"/>
          <w:sz w:val="20"/>
          <w:szCs w:val="20"/>
          <w:lang w:bidi="ar-EG"/>
        </w:rPr>
        <w:t>a result</w:t>
      </w:r>
      <w:r w:rsidRPr="0032790C">
        <w:rPr>
          <w:rFonts w:ascii="Times New Roman" w:hAnsi="Times New Roman" w:cs="Times New Roman"/>
          <w:sz w:val="20"/>
          <w:szCs w:val="20"/>
          <w:lang w:bidi="ar-EG"/>
        </w:rPr>
        <w:t xml:space="preserve"> of fast accumulation of </w:t>
      </w:r>
      <w:r w:rsidR="004072F8" w:rsidRPr="0032790C">
        <w:rPr>
          <w:rFonts w:ascii="Times New Roman" w:hAnsi="Times New Roman" w:cs="Times New Roman"/>
          <w:sz w:val="20"/>
          <w:szCs w:val="20"/>
          <w:lang w:bidi="ar-EG"/>
        </w:rPr>
        <w:t>protein</w:t>
      </w:r>
      <w:r w:rsidRPr="0032790C">
        <w:rPr>
          <w:rFonts w:ascii="Times New Roman" w:hAnsi="Times New Roman" w:cs="Times New Roman"/>
          <w:sz w:val="20"/>
          <w:szCs w:val="20"/>
          <w:lang w:bidi="ar-EG"/>
        </w:rPr>
        <w:t xml:space="preserve"> P53, in addition it stimulates apoptosis in hepatocellular carcinoma and inhibits cell growth as it </w:t>
      </w:r>
      <w:r w:rsidR="004072F8" w:rsidRPr="0032790C">
        <w:rPr>
          <w:rFonts w:ascii="Times New Roman" w:hAnsi="Times New Roman" w:cs="Times New Roman"/>
          <w:sz w:val="20"/>
          <w:szCs w:val="20"/>
          <w:lang w:bidi="ar-EG"/>
        </w:rPr>
        <w:t>invades</w:t>
      </w:r>
      <w:r w:rsidRPr="0032790C">
        <w:rPr>
          <w:rFonts w:ascii="Times New Roman" w:hAnsi="Times New Roman" w:cs="Times New Roman"/>
          <w:sz w:val="20"/>
          <w:szCs w:val="20"/>
          <w:lang w:bidi="ar-EG"/>
        </w:rPr>
        <w:t xml:space="preserve"> the cancerous cells and inhibits cytosol production in hepatocellular carcinoma in human and mice, prevents DNA replication by </w:t>
      </w:r>
      <w:r w:rsidR="004072F8" w:rsidRPr="0032790C">
        <w:rPr>
          <w:rFonts w:ascii="Times New Roman" w:hAnsi="Times New Roman" w:cs="Times New Roman"/>
          <w:sz w:val="20"/>
          <w:szCs w:val="20"/>
          <w:lang w:bidi="ar-EG"/>
        </w:rPr>
        <w:t>inhibiting activ</w:t>
      </w:r>
      <w:r w:rsidRPr="0032790C">
        <w:rPr>
          <w:rFonts w:ascii="Times New Roman" w:hAnsi="Times New Roman" w:cs="Times New Roman"/>
          <w:sz w:val="20"/>
          <w:szCs w:val="20"/>
          <w:lang w:bidi="ar-EG"/>
        </w:rPr>
        <w:t xml:space="preserve">e </w:t>
      </w:r>
      <w:r w:rsidR="004072F8" w:rsidRPr="0032790C">
        <w:rPr>
          <w:rFonts w:ascii="Times New Roman" w:hAnsi="Times New Roman" w:cs="Times New Roman"/>
          <w:sz w:val="20"/>
          <w:szCs w:val="20"/>
          <w:lang w:bidi="ar-EG"/>
        </w:rPr>
        <w:t>proteins</w:t>
      </w:r>
      <w:r w:rsidRPr="0032790C">
        <w:rPr>
          <w:rFonts w:ascii="Times New Roman" w:hAnsi="Times New Roman" w:cs="Times New Roman"/>
          <w:sz w:val="20"/>
          <w:szCs w:val="20"/>
          <w:lang w:bidi="ar-EG"/>
        </w:rPr>
        <w:t xml:space="preserve"> and active nuclear factor</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inhibits phosphorylation process outside the cancerous cell, inhibits nuclear transition</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prevents hepatocellular carcinoma by multiple </w:t>
      </w:r>
      <w:r w:rsidR="00107C24" w:rsidRPr="0032790C">
        <w:rPr>
          <w:rFonts w:ascii="Times New Roman" w:hAnsi="Times New Roman" w:cs="Times New Roman"/>
          <w:sz w:val="20"/>
          <w:szCs w:val="20"/>
          <w:lang w:bidi="ar-EG"/>
        </w:rPr>
        <w:t>inhibition</w:t>
      </w:r>
      <w:r w:rsidRPr="0032790C">
        <w:rPr>
          <w:rFonts w:ascii="Times New Roman" w:hAnsi="Times New Roman" w:cs="Times New Roman"/>
          <w:sz w:val="20"/>
          <w:szCs w:val="20"/>
          <w:lang w:bidi="ar-EG"/>
        </w:rPr>
        <w:t xml:space="preserve"> of transport signal tracks, also decoding of </w:t>
      </w:r>
      <w:r w:rsidR="00107C24" w:rsidRPr="0032790C">
        <w:rPr>
          <w:rFonts w:ascii="Times New Roman" w:hAnsi="Times New Roman" w:cs="Times New Roman"/>
          <w:sz w:val="20"/>
          <w:szCs w:val="20"/>
          <w:lang w:bidi="ar-EG"/>
        </w:rPr>
        <w:t>estrogen receptors</w:t>
      </w:r>
      <w:r w:rsidRPr="0032790C">
        <w:rPr>
          <w:rFonts w:ascii="Times New Roman" w:hAnsi="Times New Roman" w:cs="Times New Roman"/>
          <w:sz w:val="20"/>
          <w:szCs w:val="20"/>
          <w:lang w:bidi="ar-EG"/>
        </w:rPr>
        <w:t xml:space="preserve"> link which leads to apoptosis</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decreasing the effect of hormones that </w:t>
      </w:r>
      <w:r w:rsidR="00107C24" w:rsidRPr="0032790C">
        <w:rPr>
          <w:rFonts w:ascii="Times New Roman" w:hAnsi="Times New Roman" w:cs="Times New Roman"/>
          <w:sz w:val="20"/>
          <w:szCs w:val="20"/>
          <w:lang w:bidi="ar-EG"/>
        </w:rPr>
        <w:t>increases</w:t>
      </w:r>
      <w:r w:rsidR="00D84F96" w:rsidRPr="0032790C">
        <w:rPr>
          <w:rFonts w:ascii="Times New Roman" w:hAnsi="Times New Roman" w:cs="Times New Roman"/>
          <w:sz w:val="20"/>
          <w:szCs w:val="20"/>
          <w:lang w:bidi="ar-EG"/>
        </w:rPr>
        <w:t xml:space="preserve"> </w:t>
      </w:r>
      <w:r w:rsidR="00107C24" w:rsidRPr="0032790C">
        <w:rPr>
          <w:rFonts w:ascii="Times New Roman" w:hAnsi="Times New Roman" w:cs="Times New Roman"/>
          <w:sz w:val="20"/>
          <w:szCs w:val="20"/>
          <w:lang w:bidi="ar-EG"/>
        </w:rPr>
        <w:t xml:space="preserve">metastasis of </w:t>
      </w:r>
      <w:r w:rsidRPr="0032790C">
        <w:rPr>
          <w:rFonts w:ascii="Times New Roman" w:hAnsi="Times New Roman" w:cs="Times New Roman"/>
          <w:sz w:val="20"/>
          <w:szCs w:val="20"/>
          <w:lang w:bidi="ar-EG"/>
        </w:rPr>
        <w:t>Hepatocellular carcinoma cell lines, so it is excellent protective chemical factor for hepatocellular carcinoma</w:t>
      </w:r>
      <w:r w:rsidR="00D84F96" w:rsidRPr="0032790C">
        <w:rPr>
          <w:rFonts w:ascii="Times New Roman" w:hAnsi="Times New Roman" w:cs="Times New Roman"/>
          <w:sz w:val="20"/>
          <w:szCs w:val="20"/>
          <w:lang w:bidi="ar-EG"/>
        </w:rPr>
        <w:t xml:space="preserve"> </w:t>
      </w:r>
      <w:r w:rsidR="00107C24" w:rsidRPr="0032790C">
        <w:rPr>
          <w:rFonts w:ascii="Times New Roman" w:hAnsi="Times New Roman" w:cs="Times New Roman"/>
          <w:sz w:val="20"/>
          <w:szCs w:val="20"/>
          <w:lang w:bidi="ar-EG"/>
        </w:rPr>
        <w:t xml:space="preserve">(Bulozomi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00107C24" w:rsidRPr="0032790C">
        <w:rPr>
          <w:rFonts w:ascii="Times New Roman" w:hAnsi="Times New Roman" w:cs="Times New Roman"/>
          <w:sz w:val="20"/>
          <w:szCs w:val="20"/>
          <w:lang w:bidi="ar-EG"/>
        </w:rPr>
        <w:t xml:space="preserve">2010; Arul and Subramanian., 2013; Yen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00107C24" w:rsidRPr="0032790C">
        <w:rPr>
          <w:rFonts w:ascii="Times New Roman" w:hAnsi="Times New Roman" w:cs="Times New Roman"/>
          <w:sz w:val="20"/>
          <w:szCs w:val="20"/>
          <w:lang w:bidi="ar-EG"/>
        </w:rPr>
        <w:t>2015).</w:t>
      </w:r>
    </w:p>
    <w:p w:rsidR="00292D46" w:rsidRPr="0032790C" w:rsidRDefault="00107C24"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By studying the antagonist effect of Tricetin</w:t>
      </w:r>
      <w:r w:rsidR="00D84F96" w:rsidRP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(TCN) in hepatocellular carcinoma, which is a type of flavonoid, they found that it kills cancerous cells by influencing mitochondria</w:t>
      </w:r>
      <w:r w:rsidR="0032790C" w:rsidRP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death receptors 5 (DR5)</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which cause apoptosis. When it was injected in the intrapertoneal cavity of mice they foun</w:t>
      </w:r>
      <w:r w:rsidR="00292D46" w:rsidRPr="0032790C">
        <w:rPr>
          <w:rFonts w:ascii="Times New Roman" w:hAnsi="Times New Roman" w:cs="Times New Roman"/>
          <w:sz w:val="20"/>
          <w:szCs w:val="20"/>
          <w:lang w:bidi="ar-EG"/>
        </w:rPr>
        <w:t>d that TCN cause the decrease in</w:t>
      </w:r>
      <w:r w:rsidRPr="0032790C">
        <w:rPr>
          <w:rFonts w:ascii="Times New Roman" w:hAnsi="Times New Roman" w:cs="Times New Roman"/>
          <w:sz w:val="20"/>
          <w:szCs w:val="20"/>
          <w:lang w:bidi="ar-EG"/>
        </w:rPr>
        <w:t xml:space="preserve"> size of hepatocellular tumor by 60%.</w:t>
      </w:r>
    </w:p>
    <w:p w:rsidR="00292D46" w:rsidRPr="0032790C" w:rsidRDefault="00107C24"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Results of this studying shows that TCN stimulates apoptosis in hepatocellular carcinoma so it is a promising protective factor against cancer</w:t>
      </w:r>
      <w:r w:rsidR="0032790C">
        <w:rPr>
          <w:rFonts w:ascii="Times New Roman" w:hAnsi="Times New Roman" w:cs="Times New Roman"/>
          <w:sz w:val="20"/>
          <w:szCs w:val="20"/>
        </w:rPr>
        <w:t>(</w:t>
      </w:r>
      <w:r w:rsidR="004D17CF" w:rsidRPr="0032790C">
        <w:rPr>
          <w:rFonts w:ascii="Times New Roman" w:hAnsi="Times New Roman" w:cs="Times New Roman"/>
          <w:sz w:val="20"/>
          <w:szCs w:val="20"/>
          <w:lang w:bidi="ar-EG"/>
        </w:rPr>
        <w:t>Hsu</w:t>
      </w:r>
      <w:r w:rsidR="00292D46" w:rsidRPr="0032790C">
        <w:rPr>
          <w:rFonts w:ascii="Times New Roman" w:hAnsi="Times New Roman" w:cs="Times New Roman"/>
          <w:sz w:val="20"/>
          <w:szCs w:val="20"/>
          <w:lang w:bidi="ar-EG"/>
        </w:rPr>
        <w:t xml:space="preserve"> </w:t>
      </w:r>
      <w:r w:rsidR="00D84F96" w:rsidRPr="0032790C">
        <w:rPr>
          <w:rFonts w:ascii="Times New Roman" w:hAnsi="Times New Roman" w:cs="Times New Roman"/>
          <w:i/>
          <w:iCs/>
          <w:sz w:val="20"/>
          <w:szCs w:val="20"/>
          <w:lang w:bidi="ar-EG"/>
        </w:rPr>
        <w:t>et al,</w:t>
      </w:r>
      <w:r w:rsidR="00292D46" w:rsidRPr="0032790C">
        <w:rPr>
          <w:rFonts w:ascii="Times New Roman" w:hAnsi="Times New Roman" w:cs="Times New Roman"/>
          <w:sz w:val="20"/>
          <w:szCs w:val="20"/>
          <w:lang w:bidi="ar-EG"/>
        </w:rPr>
        <w:t>2010).</w:t>
      </w:r>
    </w:p>
    <w:p w:rsidR="00107C24" w:rsidRPr="0032790C" w:rsidRDefault="00107C24"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Also the effect of (CAPE) -derived from propolis- </w:t>
      </w:r>
      <w:r w:rsidR="00292D46" w:rsidRPr="0032790C">
        <w:rPr>
          <w:rFonts w:ascii="Times New Roman" w:hAnsi="Times New Roman" w:cs="Times New Roman"/>
          <w:sz w:val="20"/>
          <w:szCs w:val="20"/>
          <w:lang w:bidi="ar-EG"/>
        </w:rPr>
        <w:t>appeared</w:t>
      </w:r>
      <w:r w:rsidRPr="0032790C">
        <w:rPr>
          <w:rFonts w:ascii="Times New Roman" w:hAnsi="Times New Roman" w:cs="Times New Roman"/>
          <w:sz w:val="20"/>
          <w:szCs w:val="20"/>
          <w:lang w:bidi="ar-EG"/>
        </w:rPr>
        <w:t xml:space="preserve"> effectively in hepatocellular carcinoma in</w:t>
      </w:r>
      <w:r w:rsidR="0032790C">
        <w:rPr>
          <w:rFonts w:ascii="Times New Roman" w:hAnsi="Times New Roman" w:cs="Times New Roman"/>
          <w:sz w:val="20"/>
          <w:szCs w:val="20"/>
          <w:lang w:bidi="ar-EG"/>
        </w:rPr>
        <w:t xml:space="preserve"> </w:t>
      </w:r>
      <w:r w:rsidRPr="0032790C">
        <w:rPr>
          <w:rFonts w:ascii="Times New Roman" w:hAnsi="Times New Roman" w:cs="Times New Roman"/>
          <w:sz w:val="20"/>
          <w:szCs w:val="20"/>
          <w:lang w:bidi="ar-EG"/>
        </w:rPr>
        <w:t>a way that depends in dose,</w:t>
      </w:r>
      <w:r w:rsidR="000A6E15">
        <w:rPr>
          <w:rFonts w:ascii="Times New Roman" w:hAnsi="Times New Roman" w:cs="Times New Roman" w:hint="eastAsia"/>
          <w:sz w:val="20"/>
          <w:szCs w:val="20"/>
          <w:lang w:eastAsia="zh-CN" w:bidi="ar-EG"/>
        </w:rPr>
        <w:t xml:space="preserve"> </w:t>
      </w:r>
      <w:r w:rsidRPr="0032790C">
        <w:rPr>
          <w:rFonts w:ascii="Times New Roman" w:hAnsi="Times New Roman" w:cs="Times New Roman"/>
          <w:sz w:val="20"/>
          <w:szCs w:val="20"/>
          <w:lang w:bidi="ar-EG"/>
        </w:rPr>
        <w:t xml:space="preserve">and stopping </w:t>
      </w:r>
      <w:r w:rsidR="00292D46" w:rsidRPr="0032790C">
        <w:rPr>
          <w:rFonts w:ascii="Times New Roman" w:hAnsi="Times New Roman" w:cs="Times New Roman"/>
          <w:sz w:val="20"/>
          <w:szCs w:val="20"/>
          <w:lang w:bidi="ar-EG"/>
        </w:rPr>
        <w:t>protein</w:t>
      </w:r>
      <w:r w:rsidRPr="0032790C">
        <w:rPr>
          <w:rFonts w:ascii="Times New Roman" w:hAnsi="Times New Roman" w:cs="Times New Roman"/>
          <w:sz w:val="20"/>
          <w:szCs w:val="20"/>
          <w:lang w:bidi="ar-EG"/>
        </w:rPr>
        <w:t xml:space="preserve"> expression for MMP-9 and MMP-2 related to cancerous cells, and significantly inhibits nuclear </w:t>
      </w:r>
      <w:r w:rsidRPr="0032790C">
        <w:rPr>
          <w:rFonts w:ascii="Times New Roman" w:hAnsi="Times New Roman" w:cs="Times New Roman"/>
          <w:sz w:val="20"/>
          <w:szCs w:val="20"/>
          <w:lang w:bidi="ar-EG"/>
        </w:rPr>
        <w:lastRenderedPageBreak/>
        <w:t>factor kappa B (NF-JB</w:t>
      </w:r>
      <w:r w:rsidR="00292D46" w:rsidRPr="0032790C">
        <w:rPr>
          <w:rFonts w:ascii="Times New Roman" w:hAnsi="Times New Roman" w:cs="Times New Roman"/>
          <w:sz w:val="20"/>
          <w:szCs w:val="20"/>
          <w:lang w:bidi="ar-EG"/>
        </w:rPr>
        <w:t>) which stimulate DNA</w:t>
      </w:r>
      <w:r w:rsidR="00D84F96" w:rsidRPr="0032790C">
        <w:rPr>
          <w:rFonts w:ascii="Times New Roman" w:hAnsi="Times New Roman" w:cs="Times New Roman"/>
          <w:sz w:val="20"/>
          <w:szCs w:val="20"/>
          <w:lang w:bidi="ar-EG"/>
        </w:rPr>
        <w:t xml:space="preserve"> </w:t>
      </w:r>
      <w:r w:rsidR="00292D46" w:rsidRPr="0032790C">
        <w:rPr>
          <w:rFonts w:ascii="Times New Roman" w:hAnsi="Times New Roman" w:cs="Times New Roman"/>
          <w:sz w:val="20"/>
          <w:szCs w:val="20"/>
          <w:lang w:bidi="ar-EG"/>
        </w:rPr>
        <w:t xml:space="preserve">replication in Hepatoceelular carcinoma (Lee </w:t>
      </w:r>
      <w:r w:rsidR="00D84F96" w:rsidRPr="0032790C">
        <w:rPr>
          <w:rFonts w:ascii="Times New Roman" w:hAnsi="Times New Roman" w:cs="Times New Roman"/>
          <w:i/>
          <w:iCs/>
          <w:sz w:val="20"/>
          <w:szCs w:val="20"/>
          <w:lang w:bidi="ar-EG"/>
        </w:rPr>
        <w:t xml:space="preserve">et al, </w:t>
      </w:r>
      <w:r w:rsidR="00292D46" w:rsidRPr="0032790C">
        <w:rPr>
          <w:rFonts w:ascii="Times New Roman" w:hAnsi="Times New Roman" w:cs="Times New Roman"/>
          <w:sz w:val="20"/>
          <w:szCs w:val="20"/>
          <w:lang w:bidi="ar-EG"/>
        </w:rPr>
        <w:t>2008).</w:t>
      </w:r>
    </w:p>
    <w:p w:rsidR="00292D46" w:rsidRPr="0032790C" w:rsidRDefault="00292D46"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Accordingly, this studying suggests that the ability of propolis- in decreasing the toxic cellular effects for Dacarbazine drug is due to propolis and its action as a strong anti- cancerous agent.(Orsolic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 xml:space="preserve">2005; Ozkul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 xml:space="preserve">2005; Xuan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2014)</w:t>
      </w:r>
    </w:p>
    <w:p w:rsidR="00497BA0" w:rsidRPr="0032790C" w:rsidRDefault="00292D46"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rtl/>
          <w:lang w:bidi="ar-EG"/>
        </w:rPr>
      </w:pPr>
      <w:r w:rsidRPr="0032790C">
        <w:rPr>
          <w:rFonts w:ascii="Times New Roman" w:hAnsi="Times New Roman" w:cs="Times New Roman"/>
          <w:sz w:val="20"/>
          <w:szCs w:val="20"/>
          <w:lang w:bidi="ar-EG"/>
        </w:rPr>
        <w:t>And the activity of anti-cancerous propolis can possibly compatible with its active constituents related to anti- cancerous activity</w:t>
      </w:r>
      <w:r w:rsidR="006F7038" w:rsidRPr="0032790C">
        <w:rPr>
          <w:rFonts w:ascii="Times New Roman" w:hAnsi="Times New Roman" w:cs="Times New Roman" w:hint="eastAsia"/>
          <w:sz w:val="20"/>
          <w:szCs w:val="20"/>
          <w:lang w:eastAsia="zh-CN" w:bidi="ar-EG"/>
        </w:rPr>
        <w:t xml:space="preserve"> </w:t>
      </w:r>
      <w:r w:rsidR="0032790C">
        <w:rPr>
          <w:rFonts w:ascii="Times New Roman" w:hAnsi="Times New Roman" w:cs="Times New Roman"/>
          <w:sz w:val="20"/>
          <w:szCs w:val="20"/>
        </w:rPr>
        <w:t>(</w:t>
      </w:r>
      <w:r w:rsidRPr="0032790C">
        <w:rPr>
          <w:rFonts w:ascii="Times New Roman" w:hAnsi="Times New Roman" w:cs="Times New Roman"/>
          <w:sz w:val="20"/>
          <w:szCs w:val="20"/>
          <w:lang w:bidi="ar-EG"/>
        </w:rPr>
        <w:t xml:space="preserve">Banskota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2002</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xml:space="preserve"> Stan </w:t>
      </w:r>
      <w:r w:rsidR="00D84F96" w:rsidRPr="0032790C">
        <w:rPr>
          <w:rFonts w:ascii="Times New Roman" w:hAnsi="Times New Roman" w:cs="Times New Roman"/>
          <w:i/>
          <w:iCs/>
          <w:sz w:val="20"/>
          <w:szCs w:val="20"/>
          <w:lang w:bidi="ar-EG"/>
        </w:rPr>
        <w:t>et al,</w:t>
      </w:r>
      <w:r w:rsidR="006F7038" w:rsidRPr="0032790C">
        <w:rPr>
          <w:rFonts w:ascii="Times New Roman" w:hAnsi="Times New Roman" w:cs="Times New Roman" w:hint="eastAsia"/>
          <w:i/>
          <w:iCs/>
          <w:sz w:val="20"/>
          <w:szCs w:val="20"/>
          <w:lang w:eastAsia="zh-CN" w:bidi="ar-EG"/>
        </w:rPr>
        <w:t xml:space="preserve"> </w:t>
      </w:r>
      <w:r w:rsidRPr="0032790C">
        <w:rPr>
          <w:rFonts w:ascii="Times New Roman" w:hAnsi="Times New Roman" w:cs="Times New Roman"/>
          <w:sz w:val="20"/>
          <w:szCs w:val="20"/>
          <w:lang w:bidi="ar-EG"/>
        </w:rPr>
        <w:t>2011</w:t>
      </w:r>
      <w:r w:rsidR="0032790C">
        <w:rPr>
          <w:rFonts w:ascii="Times New Roman" w:hAnsi="Times New Roman" w:cs="Times New Roman"/>
          <w:sz w:val="20"/>
          <w:szCs w:val="20"/>
          <w:lang w:bidi="ar-EG"/>
        </w:rPr>
        <w:t>)</w:t>
      </w:r>
      <w:r w:rsidRPr="0032790C">
        <w:rPr>
          <w:rFonts w:ascii="Times New Roman" w:hAnsi="Times New Roman" w:cs="Times New Roman"/>
          <w:sz w:val="20"/>
          <w:szCs w:val="20"/>
          <w:lang w:bidi="ar-EG"/>
        </w:rPr>
        <w:t>, the most important of which is</w:t>
      </w:r>
      <w:r w:rsidR="0032790C">
        <w:rPr>
          <w:rFonts w:ascii="Times New Roman" w:hAnsi="Times New Roman" w:cs="Times New Roman"/>
          <w:sz w:val="20"/>
          <w:szCs w:val="20"/>
          <w:rtl/>
          <w:lang w:bidi="ar-EG"/>
        </w:rPr>
        <w:t>:</w:t>
      </w:r>
      <w:r w:rsidR="006F7038" w:rsidRPr="0032790C">
        <w:rPr>
          <w:rFonts w:ascii="Times New Roman" w:hAnsi="Times New Roman" w:cs="Times New Roman" w:hint="eastAsia"/>
          <w:sz w:val="20"/>
          <w:szCs w:val="20"/>
          <w:lang w:eastAsia="zh-CN" w:bidi="ar-EG"/>
        </w:rPr>
        <w:t xml:space="preserve"> </w:t>
      </w:r>
      <w:r w:rsidR="00497BA0" w:rsidRPr="0032790C">
        <w:rPr>
          <w:rFonts w:ascii="Times New Roman" w:hAnsi="Times New Roman" w:cs="Times New Roman"/>
          <w:sz w:val="20"/>
          <w:szCs w:val="20"/>
          <w:lang w:bidi="ar-EG"/>
        </w:rPr>
        <w:t>Flavonoid, it is a group of compounds naturally exist, have low molecular weight</w:t>
      </w:r>
      <w:r w:rsidR="0032790C" w:rsidRPr="0032790C">
        <w:rPr>
          <w:rFonts w:ascii="Times New Roman" w:hAnsi="Times New Roman" w:cs="Times New Roman"/>
          <w:sz w:val="20"/>
          <w:szCs w:val="20"/>
          <w:lang w:bidi="ar-EG"/>
        </w:rPr>
        <w:t>,</w:t>
      </w:r>
      <w:r w:rsidR="00497BA0" w:rsidRPr="0032790C">
        <w:rPr>
          <w:rFonts w:ascii="Times New Roman" w:hAnsi="Times New Roman" w:cs="Times New Roman"/>
          <w:sz w:val="20"/>
          <w:szCs w:val="20"/>
          <w:lang w:bidi="ar-EG"/>
        </w:rPr>
        <w:t xml:space="preserve"> have multiple biological effects like; anti- inflammatory, anti-allergic, antiviral</w:t>
      </w:r>
      <w:r w:rsidR="0032790C" w:rsidRPr="0032790C">
        <w:rPr>
          <w:rFonts w:ascii="Times New Roman" w:hAnsi="Times New Roman" w:cs="Times New Roman"/>
          <w:sz w:val="20"/>
          <w:szCs w:val="20"/>
          <w:lang w:bidi="ar-EG"/>
        </w:rPr>
        <w:t>,</w:t>
      </w:r>
      <w:r w:rsidR="00294C32">
        <w:rPr>
          <w:rFonts w:ascii="Times New Roman" w:hAnsi="Times New Roman" w:cs="Times New Roman" w:hint="eastAsia"/>
          <w:sz w:val="20"/>
          <w:szCs w:val="20"/>
          <w:lang w:eastAsia="zh-CN" w:bidi="ar-EG"/>
        </w:rPr>
        <w:t xml:space="preserve"> </w:t>
      </w:r>
      <w:r w:rsidR="00497BA0" w:rsidRPr="0032790C">
        <w:rPr>
          <w:rFonts w:ascii="Times New Roman" w:hAnsi="Times New Roman" w:cs="Times New Roman"/>
          <w:sz w:val="20"/>
          <w:szCs w:val="20"/>
          <w:lang w:bidi="ar-EG"/>
        </w:rPr>
        <w:t xml:space="preserve">anti-cancerous, antioxidant, and have protective biological effects </w:t>
      </w:r>
      <w:r w:rsidR="00497BA0" w:rsidRPr="0032790C">
        <w:rPr>
          <w:rFonts w:ascii="Times New Roman" w:hAnsi="Times New Roman" w:cs="Times New Roman"/>
          <w:i/>
          <w:iCs/>
          <w:sz w:val="20"/>
          <w:szCs w:val="20"/>
          <w:lang w:bidi="ar-EG"/>
        </w:rPr>
        <w:t>in vivo</w:t>
      </w:r>
      <w:r w:rsidR="00497BA0" w:rsidRPr="0032790C">
        <w:rPr>
          <w:rFonts w:ascii="Times New Roman" w:hAnsi="Times New Roman" w:cs="Times New Roman"/>
          <w:sz w:val="20"/>
          <w:szCs w:val="20"/>
          <w:lang w:bidi="ar-EG"/>
        </w:rPr>
        <w:t xml:space="preserve"> and </w:t>
      </w:r>
      <w:r w:rsidR="00497BA0" w:rsidRPr="0032790C">
        <w:rPr>
          <w:rFonts w:ascii="Times New Roman" w:hAnsi="Times New Roman" w:cs="Times New Roman"/>
          <w:i/>
          <w:iCs/>
          <w:sz w:val="20"/>
          <w:szCs w:val="20"/>
          <w:lang w:bidi="ar-EG"/>
        </w:rPr>
        <w:t>in vitro</w:t>
      </w:r>
      <w:r w:rsidR="00497BA0" w:rsidRPr="0032790C">
        <w:rPr>
          <w:rFonts w:ascii="Times New Roman" w:hAnsi="Times New Roman" w:cs="Times New Roman"/>
          <w:sz w:val="20"/>
          <w:szCs w:val="20"/>
          <w:lang w:bidi="ar-EG"/>
        </w:rPr>
        <w:t xml:space="preserve"> and the most important of it are:</w:t>
      </w:r>
      <w:r w:rsidR="00D84F96" w:rsidRPr="0032790C">
        <w:rPr>
          <w:rFonts w:ascii="Times New Roman" w:hAnsi="Times New Roman" w:cs="Times New Roman"/>
          <w:sz w:val="20"/>
          <w:szCs w:val="20"/>
          <w:lang w:bidi="ar-EG"/>
        </w:rPr>
        <w:t xml:space="preserve"> </w:t>
      </w:r>
      <w:r w:rsidR="00497BA0" w:rsidRPr="0032790C">
        <w:rPr>
          <w:rFonts w:ascii="Times New Roman" w:hAnsi="Times New Roman" w:cs="Times New Roman"/>
          <w:sz w:val="20"/>
          <w:szCs w:val="20"/>
          <w:lang w:bidi="ar-EG"/>
        </w:rPr>
        <w:t>quercetin</w:t>
      </w:r>
      <w:r w:rsidR="0032790C" w:rsidRPr="0032790C">
        <w:rPr>
          <w:rFonts w:ascii="Times New Roman" w:hAnsi="Times New Roman" w:cs="Times New Roman"/>
          <w:sz w:val="20"/>
          <w:szCs w:val="20"/>
          <w:lang w:bidi="ar-EG"/>
        </w:rPr>
        <w:t>,</w:t>
      </w:r>
      <w:r w:rsidR="0032790C" w:rsidRPr="0032790C">
        <w:rPr>
          <w:rFonts w:ascii="Times New Roman" w:hAnsi="Times New Roman" w:cs="Times New Roman" w:hint="eastAsia"/>
          <w:sz w:val="20"/>
          <w:szCs w:val="20"/>
          <w:lang w:eastAsia="zh-CN" w:bidi="ar-EG"/>
        </w:rPr>
        <w:t xml:space="preserve"> </w:t>
      </w:r>
      <w:r w:rsidR="00497BA0" w:rsidRPr="0032790C">
        <w:rPr>
          <w:rFonts w:ascii="Times New Roman" w:hAnsi="Times New Roman" w:cs="Times New Roman"/>
          <w:sz w:val="20"/>
          <w:szCs w:val="20"/>
          <w:lang w:bidi="ar-EG"/>
        </w:rPr>
        <w:t>chrysin</w:t>
      </w:r>
      <w:r w:rsidR="0032790C" w:rsidRPr="0032790C">
        <w:rPr>
          <w:rFonts w:ascii="Times New Roman" w:hAnsi="Times New Roman" w:cs="Times New Roman"/>
          <w:sz w:val="20"/>
          <w:szCs w:val="20"/>
          <w:lang w:bidi="ar-EG"/>
        </w:rPr>
        <w:t>,</w:t>
      </w:r>
      <w:r w:rsidR="00497BA0" w:rsidRPr="0032790C">
        <w:rPr>
          <w:rFonts w:ascii="Times New Roman" w:hAnsi="Times New Roman" w:cs="Times New Roman"/>
          <w:sz w:val="20"/>
          <w:szCs w:val="20"/>
          <w:lang w:bidi="ar-EG"/>
        </w:rPr>
        <w:t xml:space="preserve"> caffeic acid phenethyl ester (CAPE), naringenin</w:t>
      </w:r>
      <w:r w:rsidR="0032790C" w:rsidRPr="0032790C">
        <w:rPr>
          <w:rFonts w:ascii="Times New Roman" w:hAnsi="Times New Roman" w:cs="Times New Roman"/>
          <w:sz w:val="20"/>
          <w:szCs w:val="20"/>
          <w:lang w:bidi="ar-EG"/>
        </w:rPr>
        <w:t>,</w:t>
      </w:r>
      <w:r w:rsidR="00497BA0" w:rsidRPr="0032790C">
        <w:rPr>
          <w:rFonts w:ascii="Times New Roman" w:hAnsi="Times New Roman" w:cs="Times New Roman"/>
          <w:sz w:val="20"/>
          <w:szCs w:val="20"/>
          <w:lang w:bidi="ar-EG"/>
        </w:rPr>
        <w:t xml:space="preserve"> glangin, acaacetin</w:t>
      </w:r>
      <w:r w:rsidR="0032790C" w:rsidRPr="0032790C">
        <w:rPr>
          <w:rFonts w:ascii="Times New Roman" w:hAnsi="Times New Roman" w:cs="Times New Roman"/>
          <w:sz w:val="20"/>
          <w:szCs w:val="20"/>
          <w:lang w:bidi="ar-EG"/>
        </w:rPr>
        <w:t>,</w:t>
      </w:r>
      <w:r w:rsidR="00497BA0" w:rsidRPr="0032790C">
        <w:rPr>
          <w:rFonts w:ascii="Times New Roman" w:hAnsi="Times New Roman" w:cs="Times New Roman"/>
          <w:sz w:val="20"/>
          <w:szCs w:val="20"/>
          <w:lang w:bidi="ar-EG"/>
        </w:rPr>
        <w:t xml:space="preserve"> apigenin,</w:t>
      </w:r>
      <w:r w:rsidR="00D84F96" w:rsidRPr="0032790C">
        <w:rPr>
          <w:rFonts w:ascii="Times New Roman" w:hAnsi="Times New Roman" w:cs="Times New Roman"/>
          <w:sz w:val="20"/>
          <w:szCs w:val="20"/>
          <w:lang w:bidi="ar-EG"/>
        </w:rPr>
        <w:t xml:space="preserve"> </w:t>
      </w:r>
      <w:r w:rsidR="00497BA0" w:rsidRPr="0032790C">
        <w:rPr>
          <w:rFonts w:ascii="Times New Roman" w:hAnsi="Times New Roman" w:cs="Times New Roman"/>
          <w:sz w:val="20"/>
          <w:szCs w:val="20"/>
          <w:lang w:bidi="ar-EG"/>
        </w:rPr>
        <w:t>artepilin C,</w:t>
      </w:r>
      <w:r w:rsidR="006F7038" w:rsidRPr="0032790C">
        <w:rPr>
          <w:rFonts w:ascii="Times New Roman" w:hAnsi="Times New Roman" w:cs="Times New Roman" w:hint="eastAsia"/>
          <w:sz w:val="20"/>
          <w:szCs w:val="20"/>
          <w:lang w:eastAsia="zh-CN" w:bidi="ar-EG"/>
        </w:rPr>
        <w:t xml:space="preserve"> a</w:t>
      </w:r>
      <w:r w:rsidR="00497BA0" w:rsidRPr="0032790C">
        <w:rPr>
          <w:rFonts w:ascii="Times New Roman" w:hAnsi="Times New Roman" w:cs="Times New Roman"/>
          <w:sz w:val="20"/>
          <w:szCs w:val="20"/>
          <w:lang w:bidi="ar-EG"/>
        </w:rPr>
        <w:t>nd its mechanism of work can be summarized as following:</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direct scavenging of reactive oxygen species</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activation of antioxidant enzymes</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Chelating metal activity</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Reducing roots of a-tocopheryl</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Oxidases inhibition</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Reducing of oxidative stress resulting from treating with mutagens</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Increase in antioxidant properties of antioxidant agents with low molecular weight</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Decrease in regulation of protein mutagens P35</w:t>
      </w:r>
    </w:p>
    <w:p w:rsidR="00A122D8"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Stopping the cell cycle in cancerous cells</w:t>
      </w:r>
    </w:p>
    <w:p w:rsidR="00497BA0" w:rsidRPr="0032790C" w:rsidRDefault="00497BA0" w:rsidP="00294C32">
      <w:pPr>
        <w:pStyle w:val="ListParagraph"/>
        <w:numPr>
          <w:ilvl w:val="0"/>
          <w:numId w:val="9"/>
        </w:numPr>
        <w:tabs>
          <w:tab w:val="left" w:pos="0"/>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Tyrosine kinase inhibition</w:t>
      </w:r>
    </w:p>
    <w:p w:rsidR="00497BA0"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The ability to link estrogen receptors</w:t>
      </w:r>
    </w:p>
    <w:p w:rsidR="00A122D8" w:rsidRPr="0032790C" w:rsidRDefault="00497BA0" w:rsidP="00294C32">
      <w:pPr>
        <w:pStyle w:val="ListParagraph"/>
        <w:numPr>
          <w:ilvl w:val="0"/>
          <w:numId w:val="9"/>
        </w:numPr>
        <w:tabs>
          <w:tab w:val="left" w:pos="426"/>
        </w:tabs>
        <w:bidi w:val="0"/>
        <w:adjustRightInd w:val="0"/>
        <w:snapToGrid w:val="0"/>
        <w:spacing w:after="0" w:line="240" w:lineRule="auto"/>
        <w:ind w:left="426"/>
        <w:contextualSpacing w:val="0"/>
        <w:jc w:val="both"/>
        <w:rPr>
          <w:rFonts w:ascii="Times New Roman" w:hAnsi="Times New Roman" w:cs="Times New Roman"/>
          <w:sz w:val="20"/>
          <w:szCs w:val="20"/>
          <w:rtl/>
        </w:rPr>
      </w:pPr>
      <w:r w:rsidRPr="0032790C">
        <w:rPr>
          <w:rFonts w:ascii="Times New Roman" w:hAnsi="Times New Roman" w:cs="Times New Roman"/>
          <w:sz w:val="20"/>
          <w:szCs w:val="20"/>
          <w:lang w:bidi="ar-EG"/>
        </w:rPr>
        <w:t>Inhibit the expression of ROS proteins</w:t>
      </w:r>
      <w:r w:rsidR="00A122D8" w:rsidRPr="0032790C">
        <w:rPr>
          <w:rFonts w:ascii="Times New Roman" w:hAnsi="Times New Roman" w:cs="Times New Roman"/>
          <w:sz w:val="20"/>
          <w:szCs w:val="20"/>
        </w:rPr>
        <w:t xml:space="preserve"> (Prochazkova </w:t>
      </w:r>
      <w:r w:rsidR="00A122D8" w:rsidRPr="0032790C">
        <w:rPr>
          <w:rFonts w:ascii="Times New Roman" w:hAnsi="Times New Roman" w:cs="Times New Roman"/>
          <w:i/>
          <w:iCs/>
          <w:sz w:val="20"/>
          <w:szCs w:val="20"/>
        </w:rPr>
        <w:t>et al</w:t>
      </w:r>
      <w:r w:rsidR="00A122D8" w:rsidRPr="0032790C">
        <w:rPr>
          <w:rFonts w:ascii="Times New Roman" w:hAnsi="Times New Roman" w:cs="Times New Roman"/>
          <w:sz w:val="20"/>
          <w:szCs w:val="20"/>
        </w:rPr>
        <w:t>, 2011</w:t>
      </w:r>
      <w:r w:rsidR="0032790C">
        <w:rPr>
          <w:rFonts w:ascii="Times New Roman" w:hAnsi="Times New Roman" w:cs="Times New Roman"/>
          <w:sz w:val="20"/>
          <w:szCs w:val="20"/>
        </w:rPr>
        <w:t>;</w:t>
      </w:r>
      <w:r w:rsidR="00A122D8" w:rsidRPr="0032790C">
        <w:rPr>
          <w:rFonts w:ascii="Times New Roman" w:hAnsi="Times New Roman" w:cs="Times New Roman"/>
          <w:sz w:val="20"/>
          <w:szCs w:val="20"/>
        </w:rPr>
        <w:t xml:space="preserve"> kumar and Pandey, 2013) </w:t>
      </w:r>
    </w:p>
    <w:p w:rsidR="00497BA0" w:rsidRPr="0032790C" w:rsidRDefault="00497BA0" w:rsidP="00294C32">
      <w:pPr>
        <w:tabs>
          <w:tab w:val="left" w:pos="4656"/>
        </w:tabs>
        <w:bidi w:val="0"/>
        <w:adjustRightInd w:val="0"/>
        <w:snapToGrid w:val="0"/>
        <w:spacing w:after="0" w:line="240" w:lineRule="auto"/>
        <w:ind w:firstLine="425"/>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 xml:space="preserve">Therefore, this study recommends using of propolis in chemotherapy for cancer patients as an alternative </w:t>
      </w:r>
      <w:r w:rsidR="00DC3335" w:rsidRPr="0032790C">
        <w:rPr>
          <w:rFonts w:ascii="Times New Roman" w:hAnsi="Times New Roman" w:cs="Times New Roman"/>
          <w:sz w:val="20"/>
          <w:szCs w:val="20"/>
          <w:lang w:bidi="ar-EG"/>
        </w:rPr>
        <w:t xml:space="preserve">treatment, adjuvant </w:t>
      </w:r>
      <w:r w:rsidRPr="0032790C">
        <w:rPr>
          <w:rFonts w:ascii="Times New Roman" w:hAnsi="Times New Roman" w:cs="Times New Roman"/>
          <w:sz w:val="20"/>
          <w:szCs w:val="20"/>
          <w:lang w:bidi="ar-EG"/>
        </w:rPr>
        <w:t xml:space="preserve">or a complementary </w:t>
      </w:r>
      <w:r w:rsidR="00DC3335" w:rsidRPr="0032790C">
        <w:rPr>
          <w:rFonts w:ascii="Times New Roman" w:hAnsi="Times New Roman" w:cs="Times New Roman"/>
          <w:sz w:val="20"/>
          <w:szCs w:val="20"/>
          <w:lang w:bidi="ar-EG"/>
        </w:rPr>
        <w:t>treatment</w:t>
      </w:r>
      <w:r w:rsidRPr="0032790C">
        <w:rPr>
          <w:rFonts w:ascii="Times New Roman" w:hAnsi="Times New Roman" w:cs="Times New Roman"/>
          <w:sz w:val="20"/>
          <w:szCs w:val="20"/>
          <w:lang w:bidi="ar-EG"/>
        </w:rPr>
        <w:t xml:space="preserve"> with other anti- cancerous treatments</w:t>
      </w:r>
      <w:r w:rsidR="00DC3335" w:rsidRPr="0032790C">
        <w:rPr>
          <w:rFonts w:ascii="Times New Roman" w:hAnsi="Times New Roman" w:cs="Times New Roman"/>
          <w:sz w:val="20"/>
          <w:szCs w:val="20"/>
          <w:lang w:bidi="ar-EG"/>
        </w:rPr>
        <w:t>.</w:t>
      </w:r>
    </w:p>
    <w:p w:rsidR="00F739E0" w:rsidRPr="0032790C" w:rsidRDefault="00F739E0" w:rsidP="00294C32">
      <w:pPr>
        <w:bidi w:val="0"/>
        <w:adjustRightInd w:val="0"/>
        <w:snapToGrid w:val="0"/>
        <w:spacing w:after="0" w:line="240" w:lineRule="auto"/>
        <w:jc w:val="both"/>
        <w:rPr>
          <w:rFonts w:ascii="Times New Roman" w:hAnsi="Times New Roman" w:cs="Times New Roman"/>
          <w:b/>
          <w:bCs/>
          <w:sz w:val="20"/>
          <w:szCs w:val="20"/>
        </w:rPr>
      </w:pPr>
    </w:p>
    <w:p w:rsidR="00F739E0" w:rsidRPr="0032790C" w:rsidRDefault="00F739E0" w:rsidP="00294C32">
      <w:pPr>
        <w:bidi w:val="0"/>
        <w:adjustRightInd w:val="0"/>
        <w:snapToGrid w:val="0"/>
        <w:spacing w:after="0" w:line="240" w:lineRule="auto"/>
        <w:jc w:val="both"/>
        <w:rPr>
          <w:rFonts w:ascii="Times New Roman" w:hAnsi="Times New Roman" w:cs="Times New Roman"/>
          <w:b/>
          <w:bCs/>
          <w:sz w:val="20"/>
          <w:szCs w:val="20"/>
          <w:rtl/>
        </w:rPr>
      </w:pPr>
      <w:r w:rsidRPr="0032790C">
        <w:rPr>
          <w:rFonts w:ascii="Times New Roman" w:hAnsi="Times New Roman" w:cs="Times New Roman"/>
          <w:b/>
          <w:bCs/>
          <w:sz w:val="20"/>
          <w:szCs w:val="20"/>
        </w:rPr>
        <w:t>References</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Arul, D., &amp; Subramanian, P. (2013). Naringenin (citrus flavonone) induces growth inhibition, cell cycle arrest and apoptosis in human hepatocellular carcinoma cells. Pathology &amp; Oncology Research, 19(4), 763-770.</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Banskota, A. H., Nagaoka, T., Sumioka, L. Y., Tezuka,</w:t>
      </w:r>
      <w:r w:rsidR="0032790C" w:rsidRPr="00E71EE5">
        <w:rPr>
          <w:rFonts w:ascii="Times New Roman" w:hAnsi="Times New Roman" w:cs="Times New Roman"/>
          <w:sz w:val="16"/>
          <w:szCs w:val="16"/>
        </w:rPr>
        <w:t xml:space="preserve"> Y., Awale, S., Midorikawa, K.,</w:t>
      </w:r>
      <w:r w:rsidRPr="00E71EE5">
        <w:rPr>
          <w:rFonts w:ascii="Times New Roman" w:hAnsi="Times New Roman" w:cs="Times New Roman"/>
          <w:sz w:val="16"/>
          <w:szCs w:val="16"/>
        </w:rPr>
        <w:t xml:space="preserve"> &amp; Kadota, S. (2002): Antiproliferative activity of the Netherlands propolis and its active principles in cancer cell lines. Journal of ethnopharmacology, 80(1), 67-73</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Bulzomi, P., Bolli, A., Galluzzo, P., Leone, S., Acconcia, F., &amp; Marino, M. (2010). Naringenin and 17β</w:t>
      </w:r>
      <w:r w:rsidRPr="00E71EE5">
        <w:rPr>
          <w:rFonts w:ascii="Cambria Math" w:hAnsi="Cambria Math" w:cs="Cambria Math"/>
          <w:sz w:val="16"/>
          <w:szCs w:val="16"/>
        </w:rPr>
        <w:t>‐</w:t>
      </w:r>
      <w:r w:rsidRPr="00E71EE5">
        <w:rPr>
          <w:rFonts w:ascii="Times New Roman" w:hAnsi="Times New Roman" w:cs="Times New Roman"/>
          <w:sz w:val="16"/>
          <w:szCs w:val="16"/>
        </w:rPr>
        <w:t>estradiol coadministration prevents hormone</w:t>
      </w:r>
      <w:r w:rsidRPr="00E71EE5">
        <w:rPr>
          <w:rFonts w:ascii="Cambria Math" w:hAnsi="Cambria Math" w:cs="Cambria Math"/>
          <w:sz w:val="16"/>
          <w:szCs w:val="16"/>
        </w:rPr>
        <w:t>‐</w:t>
      </w:r>
      <w:r w:rsidRPr="00E71EE5">
        <w:rPr>
          <w:rFonts w:ascii="Times New Roman" w:hAnsi="Times New Roman" w:cs="Times New Roman"/>
          <w:sz w:val="16"/>
          <w:szCs w:val="16"/>
        </w:rPr>
        <w:t>induced human cancer cell growth. IUBMB life, 62(1), 51-60.</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Casella, M. L., Parody, J. P., Ceballos, M. P., Quiroga, A. D., Ronco, M. T., Francés, D. E., &amp;</w:t>
      </w:r>
      <w:r w:rsidR="0032790C"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 xml:space="preserve">Luján Alvarez, M. (2014). </w:t>
      </w:r>
      <w:r w:rsidRPr="00E71EE5">
        <w:rPr>
          <w:rFonts w:ascii="Times New Roman" w:hAnsi="Times New Roman" w:cs="Times New Roman"/>
          <w:sz w:val="16"/>
          <w:szCs w:val="16"/>
        </w:rPr>
        <w:lastRenderedPageBreak/>
        <w:t>Quercetin prevents liver carcinogenesis by inducing cell cycle arrest, decreasing cell proliferation and enhancing apoptosis. Molecular nutrition &amp; food research, 58(2), 289-300.</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Chiang, L. C., Ng, L. T., Lin, I. C., Kuo, P. L., &amp; Lin, C. C. (2006). Anti-proliferative effect of apigenin and its apoptotic induction in human Hep G2 cells. Cancer letters, 237(2), 207-214.</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Gao, A. M., Ke, Z. P., Wang, J. N., Yang, J. Y., Chen, S. Y., &amp; Chen, H. (2013). Apigenin sensitizes doxorubicin-resistant hepatocellular carcinoma BEL-7402/ADM cells to doxorubicin via inhibiting PI3K/Akt/Nrf2 pathway. Carcinogenesis, 34(8), 1806-1814.</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Granado-Serrano, A. B., Martín, M. A., Bravo, L., Goya, L., &amp; Ramos, S. (2006). Quercetin induces apoptosis via caspase activation, regulation of Bcl-2, and inhibition of PI-3-kinase/Akt and ERK pathways in a human hepatoma cell line (HepG2). The Journal of nutrition, 136(11), 2715-2721.</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Hardman</w:t>
      </w:r>
      <w:r w:rsidR="0032790C" w:rsidRPr="00E71EE5">
        <w:rPr>
          <w:rFonts w:ascii="Times New Roman" w:hAnsi="Times New Roman" w:cs="Times New Roman"/>
          <w:sz w:val="16"/>
          <w:szCs w:val="16"/>
        </w:rPr>
        <w:t>,</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J.G., Limbird, L.E, Gilman, A.G. (2006):</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Goodman and Gilman's the pharmacological basis of therapeutics,</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10Ed.</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Houghton, P., Fang, R., Techatanawat, I., Steventon, G., Hylands, P. J., &amp; Lee, C. C. (2007): The sulphorhodamine</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(SRB) assay and other approaches to testing plant extracts and derived compounds for activities related to reputed anticancer activity. Methods, 42(4), 377-387.</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Hsu, Y. L., Hou, M. F., Tsai, E. M., &amp;</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Kuo, P. L. (2010). Tricetin, a dietary flavonoid, induces apoptosis through the reactive oxygen species/c-Jun NH2-terminal kinase pathway in human liver cancer cells. Journal of agricultural and food chemistry, 58(23), 12547-12556.</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Kim, B. R., Jeon, Y. K., &amp; Nam, M. J. (2011). A mechanism of apigenin-induced apoptosis is potentially related to anti-angiogenesis and anti-migration in human hepatocellular carcinoma cells. Food and chemical toxicology, 49(7), 1626-1632.</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Kumar, S., &amp; Pandey, A. K. (2013). Chemistry and biological activities of flavonoids: an overview. The Scientific World Journal, 2013.</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Lee, K. W., Kang, N. J., Kim, J. H., Lee, K. M., Lee, D. E., Hur, H. J., &amp; Lee, H. J. (2008). Caffeic acid phenethyl ester inhibits invasion and expression of matrix metalloproteinase in SK-Hep1 human hepatocellular carcinoma cells by targeting nuclear factor kappa B. Genes &amp; nutrition, 2(4), 319-322.</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Lee, R. H., Cho, J. H., Jeon, Y. J., Bang, W., Cho, J. J., Choi, N. J., &amp;</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Chae, J. I. (2015). Quercetin induces antiproliferative activity against human hepatocellular carcinoma (HepG2) cells by suppressing specificity protein 1 (Sp1). Drug development research, 76(1), 9-16.</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Oršolić, N., Terzić, S., Mihaljević, Ž., Šver, L., &amp; Bašić, I. (2005): Effects of local administration of propolis and its polyphenolic compounds on tumor formation and growth. Biological and Pharmaceutical Bulletin, 28(10), 1928-1933.</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Ozkul, Y., Silici, S., &amp; Eroğlu, E. (2005): The anticarcinogenic effect of propolis in human lymphocytes culture. Phytomedicine, 12(10), 742-747.</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Pietta, P.G., Gardana, C., Pietta, A.M.</w:t>
      </w:r>
      <w:r w:rsidR="0032790C" w:rsidRPr="00E71EE5">
        <w:rPr>
          <w:rFonts w:ascii="Times New Roman" w:hAnsi="Times New Roman" w:cs="Times New Roman"/>
          <w:sz w:val="16"/>
          <w:szCs w:val="16"/>
        </w:rPr>
        <w:t>(</w:t>
      </w:r>
      <w:r w:rsidRPr="00E71EE5">
        <w:rPr>
          <w:rFonts w:ascii="Times New Roman" w:hAnsi="Times New Roman" w:cs="Times New Roman"/>
          <w:sz w:val="16"/>
          <w:szCs w:val="16"/>
        </w:rPr>
        <w:t xml:space="preserve">2002) </w:t>
      </w:r>
      <w:hyperlink r:id="rId39" w:history="1">
        <w:r w:rsidRPr="00E71EE5">
          <w:rPr>
            <w:rStyle w:val="Hyperlink"/>
            <w:rFonts w:ascii="Times New Roman" w:hAnsi="Times New Roman" w:cs="Times New Roman"/>
            <w:color w:val="auto"/>
            <w:sz w:val="16"/>
            <w:szCs w:val="16"/>
            <w:u w:val="none"/>
          </w:rPr>
          <w:t>Analytical methods for quality control of</w:t>
        </w:r>
        <w:r w:rsidR="00E71EE5" w:rsidRPr="00E71EE5">
          <w:rPr>
            <w:rStyle w:val="Hyperlink"/>
            <w:rFonts w:ascii="Times New Roman" w:hAnsi="Times New Roman" w:cs="Times New Roman" w:hint="eastAsia"/>
            <w:color w:val="auto"/>
            <w:sz w:val="16"/>
            <w:szCs w:val="16"/>
            <w:u w:val="none"/>
            <w:lang w:eastAsia="zh-CN"/>
          </w:rPr>
          <w:t xml:space="preserve"> </w:t>
        </w:r>
        <w:r w:rsidRPr="00E71EE5">
          <w:rPr>
            <w:rStyle w:val="Hyperlink"/>
            <w:rFonts w:ascii="Times New Roman" w:hAnsi="Times New Roman" w:cs="Times New Roman"/>
            <w:color w:val="auto"/>
            <w:sz w:val="16"/>
            <w:szCs w:val="16"/>
            <w:u w:val="none"/>
          </w:rPr>
          <w:t>propolis.</w:t>
        </w:r>
      </w:hyperlink>
      <w:r w:rsidRPr="00E71EE5">
        <w:rPr>
          <w:rFonts w:ascii="Times New Roman" w:hAnsi="Times New Roman" w:cs="Times New Roman"/>
          <w:sz w:val="16"/>
          <w:szCs w:val="16"/>
        </w:rPr>
        <w:t xml:space="preserve"> Fitoterapia. 73 Suppl 1:S7-20.</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lastRenderedPageBreak/>
        <w:t>Procházková, D., Boušová, I., &amp; Wilhelmová, N. (2011). Antioxidant and prooxidant properties of flavonoids. Fitoterapia, 82(4), 513-523.</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Stagos, D., Amoutzias, G. D., Matakos, A., Spyrou, A., Tsatsakis, A. M., &amp; Kouretas, D. (2012). Chemoprevention of liver cancer by plant polyphenols. Food and Chemical Toxicology, 50(6), 2155-2170.</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Stan, L., Mărghitaş, L. A., &amp; Dezmirean, D. (2011):</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Quality criteria for propolis standardization. Scientific Papers Animal Science and Biotechnologies, 44(2), 137-140.</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Sudan,</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S., Rupasinghe, H.P.</w:t>
      </w:r>
      <w:r w:rsidR="0032790C" w:rsidRPr="00E71EE5">
        <w:rPr>
          <w:rFonts w:ascii="Times New Roman" w:hAnsi="Times New Roman" w:cs="Times New Roman" w:hint="eastAsia"/>
          <w:sz w:val="16"/>
          <w:szCs w:val="16"/>
          <w:lang w:eastAsia="zh-CN"/>
        </w:rPr>
        <w:t xml:space="preserve"> </w:t>
      </w:r>
      <w:r w:rsidR="0032790C" w:rsidRPr="00E71EE5">
        <w:rPr>
          <w:rFonts w:ascii="Times New Roman" w:hAnsi="Times New Roman" w:cs="Times New Roman"/>
          <w:sz w:val="16"/>
          <w:szCs w:val="16"/>
        </w:rPr>
        <w:t>(</w:t>
      </w:r>
      <w:r w:rsidRPr="00E71EE5">
        <w:rPr>
          <w:rFonts w:ascii="Times New Roman" w:hAnsi="Times New Roman" w:cs="Times New Roman"/>
          <w:sz w:val="16"/>
          <w:szCs w:val="16"/>
        </w:rPr>
        <w:t>2014).</w:t>
      </w:r>
      <w:r w:rsidR="006F7038" w:rsidRPr="00E71EE5">
        <w:rPr>
          <w:rFonts w:ascii="Times New Roman" w:hAnsi="Times New Roman" w:cs="Times New Roman" w:hint="eastAsia"/>
          <w:sz w:val="16"/>
          <w:szCs w:val="16"/>
          <w:lang w:eastAsia="zh-CN"/>
        </w:rPr>
        <w:t xml:space="preserve"> </w:t>
      </w:r>
      <w:hyperlink r:id="rId40" w:history="1">
        <w:r w:rsidRPr="00E71EE5">
          <w:rPr>
            <w:rStyle w:val="Hyperlink"/>
            <w:rFonts w:ascii="Times New Roman" w:hAnsi="Times New Roman" w:cs="Times New Roman"/>
            <w:color w:val="auto"/>
            <w:sz w:val="16"/>
            <w:szCs w:val="16"/>
            <w:u w:val="none"/>
          </w:rPr>
          <w:t>Quercetin-3-O-glucoside induces human DNA topoisomerase II inhibition, cell cycle arrest and apoptosis in hepatocellular carcinoma cells.</w:t>
        </w:r>
      </w:hyperlink>
      <w:r w:rsidRPr="00E71EE5">
        <w:rPr>
          <w:rFonts w:ascii="Times New Roman" w:hAnsi="Times New Roman" w:cs="Times New Roman"/>
          <w:sz w:val="16"/>
          <w:szCs w:val="16"/>
        </w:rPr>
        <w:t>Anticancer</w:t>
      </w:r>
      <w:r w:rsidR="0032790C"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Res.</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34(4):1691-9.</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Turan, I., Demir, S., Misir, S., Kilinc, K., Mentese, A., Aliyazicioglu, Y., &amp; Deger, O. (2015): Cytotoxic effect of Turkish propolis on liver, colon, breast, cervix and prostate cancer cell lines. Tropical Journal of Pharmaceutical Research, 14(5), 777-782.</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Valdameri, G., Trombetta-Lima, M., Worfel, P. R., Pires, A. R., Martinez, G. R., Noleto, G. R., &amp; Rocha, M. E. (2011). Involvement of catalase in the apoptotic mechanism induced by apigenin in HepG2 human hepatoma cells. Chemico-biological interactions, 193(2), 180-189.</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Wang</w:t>
      </w:r>
      <w:r w:rsidR="0032790C" w:rsidRPr="00E71EE5">
        <w:rPr>
          <w:rFonts w:ascii="Times New Roman" w:hAnsi="Times New Roman" w:cs="Times New Roman"/>
          <w:sz w:val="16"/>
          <w:szCs w:val="16"/>
        </w:rPr>
        <w:t>,</w:t>
      </w:r>
      <w:r w:rsidR="006F7038" w:rsidRPr="00E71EE5">
        <w:rPr>
          <w:rFonts w:ascii="Times New Roman" w:hAnsi="Times New Roman" w:cs="Times New Roman" w:hint="eastAsia"/>
          <w:sz w:val="16"/>
          <w:szCs w:val="16"/>
          <w:lang w:eastAsia="zh-CN"/>
        </w:rPr>
        <w:t xml:space="preserve"> </w:t>
      </w:r>
      <w:r w:rsidRPr="00E71EE5">
        <w:rPr>
          <w:rFonts w:ascii="Times New Roman" w:hAnsi="Times New Roman" w:cs="Times New Roman"/>
          <w:sz w:val="16"/>
          <w:szCs w:val="16"/>
        </w:rPr>
        <w:t>Y., Wu, J., Lin, B., Li, X., Zhang, H., Ding, H., Chen, X., Lan, L., Luo, H.</w:t>
      </w:r>
      <w:r w:rsidR="006F7038" w:rsidRPr="00E71EE5">
        <w:rPr>
          <w:rFonts w:ascii="Times New Roman" w:hAnsi="Times New Roman" w:cs="Times New Roman" w:hint="eastAsia"/>
          <w:sz w:val="16"/>
          <w:szCs w:val="16"/>
          <w:lang w:eastAsia="zh-CN"/>
        </w:rPr>
        <w:t xml:space="preserve"> </w:t>
      </w:r>
      <w:r w:rsidR="0032790C" w:rsidRPr="00E71EE5">
        <w:rPr>
          <w:rFonts w:ascii="Times New Roman" w:hAnsi="Times New Roman" w:cs="Times New Roman"/>
          <w:sz w:val="16"/>
          <w:szCs w:val="16"/>
        </w:rPr>
        <w:t>(</w:t>
      </w:r>
      <w:r w:rsidRPr="00E71EE5">
        <w:rPr>
          <w:rFonts w:ascii="Times New Roman" w:hAnsi="Times New Roman" w:cs="Times New Roman"/>
          <w:sz w:val="16"/>
          <w:szCs w:val="16"/>
        </w:rPr>
        <w:t xml:space="preserve">2014). </w:t>
      </w:r>
      <w:hyperlink r:id="rId41" w:history="1">
        <w:r w:rsidRPr="00E71EE5">
          <w:rPr>
            <w:rStyle w:val="Hyperlink"/>
            <w:rFonts w:ascii="Times New Roman" w:hAnsi="Times New Roman" w:cs="Times New Roman"/>
            <w:color w:val="auto"/>
            <w:sz w:val="16"/>
            <w:szCs w:val="16"/>
            <w:u w:val="none"/>
          </w:rPr>
          <w:t>Galangin</w:t>
        </w:r>
        <w:r w:rsidR="006F7038" w:rsidRPr="00E71EE5">
          <w:rPr>
            <w:rStyle w:val="Hyperlink"/>
            <w:rFonts w:ascii="Times New Roman" w:hAnsi="Times New Roman" w:cs="Times New Roman" w:hint="eastAsia"/>
            <w:color w:val="auto"/>
            <w:sz w:val="16"/>
            <w:szCs w:val="16"/>
            <w:u w:val="none"/>
            <w:lang w:eastAsia="zh-CN"/>
          </w:rPr>
          <w:t xml:space="preserve"> </w:t>
        </w:r>
        <w:r w:rsidRPr="00E71EE5">
          <w:rPr>
            <w:rStyle w:val="Hyperlink"/>
            <w:rFonts w:ascii="Times New Roman" w:hAnsi="Times New Roman" w:cs="Times New Roman"/>
            <w:color w:val="auto"/>
            <w:sz w:val="16"/>
            <w:szCs w:val="16"/>
            <w:u w:val="none"/>
          </w:rPr>
          <w:t>suppresses HepG2 cell</w:t>
        </w:r>
        <w:r w:rsidR="006F7038" w:rsidRPr="00E71EE5">
          <w:rPr>
            <w:rStyle w:val="Hyperlink"/>
            <w:rFonts w:ascii="Times New Roman" w:hAnsi="Times New Roman" w:cs="Times New Roman" w:hint="eastAsia"/>
            <w:color w:val="auto"/>
            <w:sz w:val="16"/>
            <w:szCs w:val="16"/>
            <w:u w:val="none"/>
            <w:lang w:eastAsia="zh-CN"/>
          </w:rPr>
          <w:t xml:space="preserve"> </w:t>
        </w:r>
        <w:r w:rsidRPr="00E71EE5">
          <w:rPr>
            <w:rStyle w:val="Hyperlink"/>
            <w:rFonts w:ascii="Times New Roman" w:hAnsi="Times New Roman" w:cs="Times New Roman"/>
            <w:color w:val="auto"/>
            <w:sz w:val="16"/>
            <w:szCs w:val="16"/>
            <w:u w:val="none"/>
          </w:rPr>
          <w:t>proliferation</w:t>
        </w:r>
        <w:r w:rsidR="006F7038" w:rsidRPr="00E71EE5">
          <w:rPr>
            <w:rStyle w:val="Hyperlink"/>
            <w:rFonts w:ascii="Times New Roman" w:hAnsi="Times New Roman" w:cs="Times New Roman" w:hint="eastAsia"/>
            <w:color w:val="auto"/>
            <w:sz w:val="16"/>
            <w:szCs w:val="16"/>
            <w:u w:val="none"/>
            <w:lang w:eastAsia="zh-CN"/>
          </w:rPr>
          <w:t xml:space="preserve"> </w:t>
        </w:r>
        <w:r w:rsidRPr="00E71EE5">
          <w:rPr>
            <w:rStyle w:val="Hyperlink"/>
            <w:rFonts w:ascii="Times New Roman" w:hAnsi="Times New Roman" w:cs="Times New Roman"/>
            <w:color w:val="auto"/>
            <w:sz w:val="16"/>
            <w:szCs w:val="16"/>
            <w:u w:val="none"/>
          </w:rPr>
          <w:t>by activating the TGF-β receptor/Smad pathway.</w:t>
        </w:r>
      </w:hyperlink>
      <w:r w:rsidR="006F7038" w:rsidRPr="00E71EE5">
        <w:rPr>
          <w:rFonts w:hint="eastAsia"/>
          <w:sz w:val="16"/>
          <w:szCs w:val="16"/>
          <w:lang w:eastAsia="zh-CN"/>
        </w:rPr>
        <w:t xml:space="preserve"> </w:t>
      </w:r>
      <w:r w:rsidRPr="00E71EE5">
        <w:rPr>
          <w:rFonts w:ascii="Times New Roman" w:hAnsi="Times New Roman" w:cs="Times New Roman"/>
          <w:sz w:val="16"/>
          <w:szCs w:val="16"/>
        </w:rPr>
        <w:t xml:space="preserve">Toxicology. 4;326:9-17. </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Wang, G., Zhang, J., Liu, L., Sharma, S., &amp; Dong, Q. (2012). Quercetin potentiates doxorubicin mediated antitumor effects against liver cancer through p53/Bcl-xl. Plos one, 7(12), e51764.</w:t>
      </w:r>
      <w:r w:rsidRPr="00E71EE5">
        <w:rPr>
          <w:rFonts w:ascii="Times New Roman" w:hAnsi="Times New Roman" w:cs="Times New Roman"/>
          <w:sz w:val="16"/>
          <w:szCs w:val="16"/>
          <w:rtl/>
        </w:rPr>
        <w:t>‏</w:t>
      </w:r>
    </w:p>
    <w:p w:rsidR="00F739E0" w:rsidRPr="00E71EE5" w:rsidRDefault="00E75442"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hyperlink r:id="rId42" w:history="1">
        <w:r w:rsidR="00F739E0" w:rsidRPr="00E71EE5">
          <w:rPr>
            <w:rStyle w:val="Hyperlink"/>
            <w:rFonts w:ascii="Times New Roman" w:hAnsi="Times New Roman" w:cs="Times New Roman"/>
            <w:color w:val="auto"/>
            <w:sz w:val="16"/>
            <w:szCs w:val="16"/>
            <w:u w:val="none"/>
          </w:rPr>
          <w:t>Watanabe, M.A</w:t>
        </w:r>
      </w:hyperlink>
      <w:r w:rsidR="00F739E0" w:rsidRPr="00E71EE5">
        <w:rPr>
          <w:rFonts w:ascii="Times New Roman" w:hAnsi="Times New Roman" w:cs="Times New Roman"/>
          <w:sz w:val="16"/>
          <w:szCs w:val="16"/>
        </w:rPr>
        <w:t>.,</w:t>
      </w:r>
      <w:r w:rsidR="006F7038" w:rsidRPr="00E71EE5">
        <w:rPr>
          <w:rFonts w:ascii="Times New Roman" w:hAnsi="Times New Roman" w:cs="Times New Roman" w:hint="eastAsia"/>
          <w:sz w:val="16"/>
          <w:szCs w:val="16"/>
          <w:lang w:eastAsia="zh-CN"/>
        </w:rPr>
        <w:t xml:space="preserve"> </w:t>
      </w:r>
      <w:hyperlink r:id="rId43" w:history="1">
        <w:r w:rsidR="00F739E0" w:rsidRPr="00E71EE5">
          <w:rPr>
            <w:rStyle w:val="Hyperlink"/>
            <w:rFonts w:ascii="Times New Roman" w:hAnsi="Times New Roman" w:cs="Times New Roman"/>
            <w:color w:val="auto"/>
            <w:sz w:val="16"/>
            <w:szCs w:val="16"/>
            <w:u w:val="none"/>
          </w:rPr>
          <w:t>Amarante, M.K</w:t>
        </w:r>
      </w:hyperlink>
      <w:r w:rsidR="00F739E0" w:rsidRPr="00E71EE5">
        <w:rPr>
          <w:rFonts w:ascii="Times New Roman" w:hAnsi="Times New Roman" w:cs="Times New Roman"/>
          <w:sz w:val="16"/>
          <w:szCs w:val="16"/>
        </w:rPr>
        <w:t>., </w:t>
      </w:r>
      <w:hyperlink r:id="rId44" w:history="1">
        <w:r w:rsidR="00F739E0" w:rsidRPr="00E71EE5">
          <w:rPr>
            <w:rStyle w:val="Hyperlink"/>
            <w:rFonts w:ascii="Times New Roman" w:hAnsi="Times New Roman" w:cs="Times New Roman"/>
            <w:color w:val="auto"/>
            <w:sz w:val="16"/>
            <w:szCs w:val="16"/>
            <w:u w:val="none"/>
          </w:rPr>
          <w:t>Conti, B.J</w:t>
        </w:r>
      </w:hyperlink>
      <w:r w:rsidR="00F739E0" w:rsidRPr="00E71EE5">
        <w:rPr>
          <w:rFonts w:ascii="Times New Roman" w:hAnsi="Times New Roman" w:cs="Times New Roman"/>
          <w:sz w:val="16"/>
          <w:szCs w:val="16"/>
        </w:rPr>
        <w:t>.,</w:t>
      </w:r>
      <w:r w:rsidR="006F7038" w:rsidRPr="00E71EE5">
        <w:rPr>
          <w:rFonts w:ascii="Times New Roman" w:hAnsi="Times New Roman" w:cs="Times New Roman" w:hint="eastAsia"/>
          <w:sz w:val="16"/>
          <w:szCs w:val="16"/>
          <w:lang w:eastAsia="zh-CN"/>
        </w:rPr>
        <w:t xml:space="preserve"> </w:t>
      </w:r>
      <w:hyperlink r:id="rId45" w:history="1">
        <w:r w:rsidR="00F739E0" w:rsidRPr="00E71EE5">
          <w:rPr>
            <w:rStyle w:val="Hyperlink"/>
            <w:rFonts w:ascii="Times New Roman" w:hAnsi="Times New Roman" w:cs="Times New Roman"/>
            <w:color w:val="auto"/>
            <w:sz w:val="16"/>
            <w:szCs w:val="16"/>
            <w:u w:val="none"/>
          </w:rPr>
          <w:t>Sforcin, J.M</w:t>
        </w:r>
      </w:hyperlink>
      <w:r w:rsidR="00F739E0" w:rsidRPr="00E71EE5">
        <w:rPr>
          <w:rFonts w:ascii="Times New Roman" w:hAnsi="Times New Roman" w:cs="Times New Roman"/>
          <w:sz w:val="16"/>
          <w:szCs w:val="16"/>
        </w:rPr>
        <w:t>.</w:t>
      </w:r>
      <w:r w:rsidR="006F7038" w:rsidRPr="00E71EE5">
        <w:rPr>
          <w:rFonts w:ascii="Times New Roman" w:hAnsi="Times New Roman" w:cs="Times New Roman" w:hint="eastAsia"/>
          <w:sz w:val="16"/>
          <w:szCs w:val="16"/>
          <w:lang w:eastAsia="zh-CN"/>
        </w:rPr>
        <w:t xml:space="preserve"> </w:t>
      </w:r>
      <w:r w:rsidR="00F739E0" w:rsidRPr="00E71EE5">
        <w:rPr>
          <w:rFonts w:ascii="Times New Roman" w:hAnsi="Times New Roman" w:cs="Times New Roman"/>
          <w:sz w:val="16"/>
          <w:szCs w:val="16"/>
        </w:rPr>
        <w:t>(2011). Cytotoxic constituents of</w:t>
      </w:r>
      <w:r w:rsidR="006F7038" w:rsidRPr="00E71EE5">
        <w:rPr>
          <w:rFonts w:ascii="Times New Roman" w:hAnsi="Times New Roman" w:cs="Times New Roman" w:hint="eastAsia"/>
          <w:sz w:val="16"/>
          <w:szCs w:val="16"/>
          <w:lang w:eastAsia="zh-CN"/>
        </w:rPr>
        <w:t xml:space="preserve"> </w:t>
      </w:r>
      <w:r w:rsidR="00F739E0" w:rsidRPr="00E71EE5">
        <w:rPr>
          <w:rFonts w:ascii="Times New Roman" w:hAnsi="Times New Roman" w:cs="Times New Roman"/>
          <w:sz w:val="16"/>
          <w:szCs w:val="16"/>
        </w:rPr>
        <w:t>propolis</w:t>
      </w:r>
      <w:r w:rsidR="006F7038" w:rsidRPr="00E71EE5">
        <w:rPr>
          <w:rFonts w:ascii="Times New Roman" w:hAnsi="Times New Roman" w:cs="Times New Roman" w:hint="eastAsia"/>
          <w:sz w:val="16"/>
          <w:szCs w:val="16"/>
          <w:lang w:eastAsia="zh-CN"/>
        </w:rPr>
        <w:t xml:space="preserve"> </w:t>
      </w:r>
      <w:r w:rsidR="00F739E0" w:rsidRPr="00E71EE5">
        <w:rPr>
          <w:rFonts w:ascii="Times New Roman" w:hAnsi="Times New Roman" w:cs="Times New Roman"/>
          <w:sz w:val="16"/>
          <w:szCs w:val="16"/>
        </w:rPr>
        <w:t xml:space="preserve">inducing anticancer effects. </w:t>
      </w:r>
      <w:hyperlink r:id="rId46" w:tooltip="The Journal of pharmacy and pharmacology." w:history="1">
        <w:r w:rsidR="00F739E0" w:rsidRPr="00E71EE5">
          <w:rPr>
            <w:rStyle w:val="Hyperlink"/>
            <w:rFonts w:ascii="Times New Roman" w:hAnsi="Times New Roman" w:cs="Times New Roman"/>
            <w:color w:val="auto"/>
            <w:sz w:val="16"/>
            <w:szCs w:val="16"/>
            <w:u w:val="none"/>
          </w:rPr>
          <w:t>J</w:t>
        </w:r>
        <w:r w:rsidR="0032790C" w:rsidRPr="00E71EE5">
          <w:rPr>
            <w:rStyle w:val="Hyperlink"/>
            <w:rFonts w:ascii="Times New Roman" w:hAnsi="Times New Roman" w:cs="Times New Roman" w:hint="eastAsia"/>
            <w:color w:val="auto"/>
            <w:sz w:val="16"/>
            <w:szCs w:val="16"/>
            <w:u w:val="none"/>
            <w:lang w:eastAsia="zh-CN"/>
          </w:rPr>
          <w:t xml:space="preserve"> </w:t>
        </w:r>
        <w:r w:rsidR="00F739E0" w:rsidRPr="00E71EE5">
          <w:rPr>
            <w:rStyle w:val="Hyperlink"/>
            <w:rFonts w:ascii="Times New Roman" w:hAnsi="Times New Roman" w:cs="Times New Roman"/>
            <w:color w:val="auto"/>
            <w:sz w:val="16"/>
            <w:szCs w:val="16"/>
            <w:u w:val="none"/>
          </w:rPr>
          <w:t>Pharm</w:t>
        </w:r>
        <w:r w:rsidR="00E71EE5" w:rsidRPr="00E71EE5">
          <w:rPr>
            <w:rStyle w:val="Hyperlink"/>
            <w:rFonts w:ascii="Times New Roman" w:hAnsi="Times New Roman" w:cs="Times New Roman" w:hint="eastAsia"/>
            <w:color w:val="auto"/>
            <w:sz w:val="16"/>
            <w:szCs w:val="16"/>
            <w:u w:val="none"/>
            <w:lang w:eastAsia="zh-CN"/>
          </w:rPr>
          <w:t xml:space="preserve"> </w:t>
        </w:r>
        <w:r w:rsidR="00F739E0" w:rsidRPr="00E71EE5">
          <w:rPr>
            <w:rStyle w:val="Hyperlink"/>
            <w:rFonts w:ascii="Times New Roman" w:hAnsi="Times New Roman" w:cs="Times New Roman"/>
            <w:color w:val="auto"/>
            <w:sz w:val="16"/>
            <w:szCs w:val="16"/>
            <w:u w:val="none"/>
          </w:rPr>
          <w:t>Pharmacol.</w:t>
        </w:r>
      </w:hyperlink>
      <w:r w:rsidR="00F739E0" w:rsidRPr="00E71EE5">
        <w:rPr>
          <w:rFonts w:ascii="Times New Roman" w:hAnsi="Times New Roman" w:cs="Times New Roman"/>
          <w:sz w:val="16"/>
          <w:szCs w:val="16"/>
        </w:rPr>
        <w:t>63(11):1378-86.</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Wen, M., Wu, J., Luo, H., &amp; Zhang, H. (2012). Galangin induces autophagy through upregulation of p53 in HepG2 cells. Pharmacology, 89(5-6), 247-255.</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Xuan, H., Li, Z., Yan, H., Sang, Q., Wang, K., He, Q., &amp; Hu, F. (2014): Antitumor activity of Chinese propolis in human breast cancer MCF-7 and MDA-MB-231 cells. Evidence-Based Complementary and Alternative Medicine, 2014.</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Yen, H. R., Liu, C. J., &amp;Yeh, C. C. (2015). Naringenin suppresses TPA-induced tumor invasion by suppressing multiple signal transduction pathways in human hepatocellular carcinoma cells. Chemico-biological interactions, 235, 1-9.</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6015"/>
        </w:tabs>
        <w:bidi w:val="0"/>
        <w:adjustRightInd w:val="0"/>
        <w:snapToGrid w:val="0"/>
        <w:spacing w:after="0" w:line="240" w:lineRule="auto"/>
        <w:contextualSpacing w:val="0"/>
        <w:jc w:val="both"/>
        <w:rPr>
          <w:rFonts w:ascii="Times New Roman" w:hAnsi="Times New Roman" w:cs="Times New Roman"/>
          <w:sz w:val="16"/>
          <w:szCs w:val="16"/>
        </w:rPr>
      </w:pPr>
      <w:r w:rsidRPr="00E71EE5">
        <w:rPr>
          <w:rFonts w:ascii="Times New Roman" w:hAnsi="Times New Roman" w:cs="Times New Roman"/>
          <w:sz w:val="16"/>
          <w:szCs w:val="16"/>
        </w:rPr>
        <w:t>Zhang, H., Zhang, M., Yu, L., Zhao, Y., He, N., &amp; Yang, X. (2012): Antitumor activities of quercetin and quercetin-5′, 8-disulfonate in human colon and breast cancer cell lines. Food and Chemical Toxicology, 50(5), 1589-1599.</w:t>
      </w:r>
      <w:r w:rsidRPr="00E71EE5">
        <w:rPr>
          <w:rFonts w:ascii="Times New Roman" w:hAnsi="Times New Roman" w:cs="Times New Roman"/>
          <w:sz w:val="16"/>
          <w:szCs w:val="16"/>
          <w:rtl/>
        </w:rPr>
        <w:t>‏</w:t>
      </w:r>
    </w:p>
    <w:p w:rsidR="00F739E0" w:rsidRPr="00E71EE5" w:rsidRDefault="00F739E0" w:rsidP="00294C32">
      <w:pPr>
        <w:pStyle w:val="ListParagraph"/>
        <w:numPr>
          <w:ilvl w:val="0"/>
          <w:numId w:val="14"/>
        </w:numPr>
        <w:tabs>
          <w:tab w:val="left" w:pos="4656"/>
        </w:tabs>
        <w:bidi w:val="0"/>
        <w:adjustRightInd w:val="0"/>
        <w:snapToGrid w:val="0"/>
        <w:spacing w:after="0" w:line="240" w:lineRule="auto"/>
        <w:contextualSpacing w:val="0"/>
        <w:jc w:val="both"/>
        <w:rPr>
          <w:rFonts w:ascii="Times New Roman" w:hAnsi="Times New Roman" w:cs="Times New Roman"/>
          <w:sz w:val="16"/>
          <w:szCs w:val="16"/>
          <w:rtl/>
          <w:lang w:bidi="ar-EG"/>
        </w:rPr>
      </w:pPr>
      <w:r w:rsidRPr="00E71EE5">
        <w:rPr>
          <w:rFonts w:ascii="Times New Roman" w:hAnsi="Times New Roman" w:cs="Times New Roman"/>
          <w:sz w:val="16"/>
          <w:szCs w:val="16"/>
        </w:rPr>
        <w:t>Zhang, S., Lu, B., Han, X., Xu, L., Qi, Y., Yin, L., &amp; Peng, J. (2013): Protection of the flavonoid fraction from Rosa laevigata Michx fruit against carbon tetrachloride-induced acute liver injury in mice. Food and chemical toxicology, 55, 60-69.</w:t>
      </w:r>
      <w:r w:rsidRPr="00E71EE5">
        <w:rPr>
          <w:rFonts w:ascii="Times New Roman" w:hAnsi="Times New Roman" w:cs="Times New Roman"/>
          <w:sz w:val="16"/>
          <w:szCs w:val="16"/>
          <w:rtl/>
        </w:rPr>
        <w:t>‏</w:t>
      </w:r>
      <w:r w:rsidR="006F7038" w:rsidRPr="00E71EE5">
        <w:rPr>
          <w:rFonts w:ascii="Times New Roman" w:hAnsi="Times New Roman" w:cs="Times New Roman" w:hint="eastAsia"/>
          <w:sz w:val="16"/>
          <w:szCs w:val="16"/>
          <w:lang w:eastAsia="zh-CN"/>
        </w:rPr>
        <w:t xml:space="preserve"> </w:t>
      </w:r>
    </w:p>
    <w:p w:rsidR="00B41FFC" w:rsidRPr="0032790C" w:rsidRDefault="00B41FFC" w:rsidP="00294C32">
      <w:pPr>
        <w:tabs>
          <w:tab w:val="left" w:pos="4656"/>
        </w:tabs>
        <w:bidi w:val="0"/>
        <w:adjustRightInd w:val="0"/>
        <w:snapToGrid w:val="0"/>
        <w:spacing w:after="0" w:line="240" w:lineRule="auto"/>
        <w:jc w:val="both"/>
        <w:rPr>
          <w:rFonts w:ascii="Times New Roman" w:hAnsi="Times New Roman" w:cs="Times New Roman"/>
          <w:sz w:val="20"/>
          <w:szCs w:val="20"/>
          <w:lang w:eastAsia="zh-CN" w:bidi="ar-EG"/>
        </w:rPr>
        <w:sectPr w:rsidR="00B41FFC" w:rsidRPr="0032790C" w:rsidSect="00B41FFC">
          <w:type w:val="continuous"/>
          <w:pgSz w:w="12242" w:h="15842" w:code="1"/>
          <w:pgMar w:top="1440" w:right="1440" w:bottom="1440" w:left="1440" w:header="720" w:footer="720" w:gutter="0"/>
          <w:cols w:num="2" w:space="550"/>
          <w:docGrid w:linePitch="360"/>
        </w:sectPr>
      </w:pPr>
    </w:p>
    <w:p w:rsidR="00B41FFC" w:rsidRPr="0032790C" w:rsidRDefault="00B41FFC" w:rsidP="00294C32">
      <w:pPr>
        <w:tabs>
          <w:tab w:val="left" w:pos="4656"/>
        </w:tabs>
        <w:bidi w:val="0"/>
        <w:adjustRightInd w:val="0"/>
        <w:snapToGrid w:val="0"/>
        <w:spacing w:after="0" w:line="240" w:lineRule="auto"/>
        <w:jc w:val="both"/>
        <w:rPr>
          <w:rFonts w:ascii="Times New Roman" w:hAnsi="Times New Roman" w:cs="Times New Roman"/>
          <w:sz w:val="20"/>
          <w:szCs w:val="20"/>
          <w:lang w:eastAsia="zh-CN" w:bidi="ar-EG"/>
        </w:rPr>
      </w:pPr>
    </w:p>
    <w:p w:rsidR="00B41FFC" w:rsidRPr="0032790C" w:rsidRDefault="00B41FFC" w:rsidP="00294C32">
      <w:pPr>
        <w:tabs>
          <w:tab w:val="left" w:pos="4656"/>
        </w:tabs>
        <w:bidi w:val="0"/>
        <w:adjustRightInd w:val="0"/>
        <w:snapToGrid w:val="0"/>
        <w:spacing w:after="0" w:line="240" w:lineRule="auto"/>
        <w:jc w:val="both"/>
        <w:rPr>
          <w:rFonts w:ascii="Times New Roman" w:hAnsi="Times New Roman" w:cs="Times New Roman"/>
          <w:sz w:val="20"/>
          <w:szCs w:val="20"/>
          <w:lang w:eastAsia="zh-CN" w:bidi="ar-EG"/>
        </w:rPr>
      </w:pPr>
    </w:p>
    <w:p w:rsidR="00DC2018" w:rsidRPr="0032790C" w:rsidRDefault="00B41FFC" w:rsidP="00294C32">
      <w:pPr>
        <w:tabs>
          <w:tab w:val="left" w:pos="4656"/>
        </w:tabs>
        <w:bidi w:val="0"/>
        <w:adjustRightInd w:val="0"/>
        <w:snapToGrid w:val="0"/>
        <w:spacing w:after="0" w:line="240" w:lineRule="auto"/>
        <w:jc w:val="both"/>
        <w:rPr>
          <w:rFonts w:ascii="Times New Roman" w:hAnsi="Times New Roman" w:cs="Times New Roman"/>
          <w:sz w:val="20"/>
          <w:szCs w:val="20"/>
          <w:lang w:bidi="ar-EG"/>
        </w:rPr>
      </w:pPr>
      <w:r w:rsidRPr="0032790C">
        <w:rPr>
          <w:rFonts w:ascii="Times New Roman" w:hAnsi="Times New Roman" w:cs="Times New Roman"/>
          <w:sz w:val="20"/>
          <w:szCs w:val="20"/>
          <w:lang w:bidi="ar-EG"/>
        </w:rPr>
        <w:t>8/1/2016</w:t>
      </w:r>
    </w:p>
    <w:sectPr w:rsidR="00DC2018" w:rsidRPr="0032790C" w:rsidSect="00651031">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038" w:rsidRDefault="006F7038" w:rsidP="004F046A">
      <w:pPr>
        <w:spacing w:after="0" w:line="240" w:lineRule="auto"/>
      </w:pPr>
      <w:r>
        <w:separator/>
      </w:r>
    </w:p>
  </w:endnote>
  <w:endnote w:type="continuationSeparator" w:id="0">
    <w:p w:rsidR="006F7038" w:rsidRDefault="006F7038" w:rsidP="004F0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宋">
    <w:altName w:val="Arial Unicode MS"/>
    <w:panose1 w:val="00000000000000000000"/>
    <w:charset w:val="86"/>
    <w:family w:val="roman"/>
    <w:notTrueType/>
    <w:pitch w:val="default"/>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038" w:rsidRPr="00B41FFC" w:rsidRDefault="00E75442" w:rsidP="00B41FFC">
    <w:pPr>
      <w:bidi w:val="0"/>
      <w:spacing w:after="0" w:line="240" w:lineRule="auto"/>
      <w:jc w:val="center"/>
      <w:rPr>
        <w:rFonts w:ascii="Times New Roman" w:hAnsi="Times New Roman" w:cs="Times New Roman"/>
        <w:sz w:val="20"/>
      </w:rPr>
    </w:pPr>
    <w:r w:rsidRPr="00B41FFC">
      <w:rPr>
        <w:rFonts w:ascii="Times New Roman" w:hAnsi="Times New Roman" w:cs="Times New Roman"/>
        <w:sz w:val="20"/>
      </w:rPr>
      <w:fldChar w:fldCharType="begin"/>
    </w:r>
    <w:r w:rsidR="006F7038" w:rsidRPr="00B41FFC">
      <w:rPr>
        <w:rFonts w:ascii="Times New Roman" w:hAnsi="Times New Roman" w:cs="Times New Roman"/>
        <w:sz w:val="20"/>
      </w:rPr>
      <w:instrText xml:space="preserve"> page </w:instrText>
    </w:r>
    <w:r w:rsidRPr="00B41FFC">
      <w:rPr>
        <w:rFonts w:ascii="Times New Roman" w:hAnsi="Times New Roman" w:cs="Times New Roman"/>
        <w:sz w:val="20"/>
      </w:rPr>
      <w:fldChar w:fldCharType="separate"/>
    </w:r>
    <w:r w:rsidR="00FA1E04">
      <w:rPr>
        <w:rFonts w:ascii="Times New Roman" w:hAnsi="Times New Roman" w:cs="Times New Roman"/>
        <w:noProof/>
        <w:sz w:val="20"/>
      </w:rPr>
      <w:t>50</w:t>
    </w:r>
    <w:r w:rsidRPr="00B41FF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038" w:rsidRDefault="006F7038" w:rsidP="004F046A">
      <w:pPr>
        <w:spacing w:after="0" w:line="240" w:lineRule="auto"/>
      </w:pPr>
      <w:r>
        <w:separator/>
      </w:r>
    </w:p>
  </w:footnote>
  <w:footnote w:type="continuationSeparator" w:id="0">
    <w:p w:rsidR="006F7038" w:rsidRDefault="006F7038" w:rsidP="004F04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038" w:rsidRPr="00B41FFC" w:rsidRDefault="006F7038" w:rsidP="00B41FF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B41FFC">
      <w:rPr>
        <w:rFonts w:ascii="Times New Roman" w:hAnsi="Times New Roman" w:cs="Times New Roman" w:hint="eastAsia"/>
        <w:iCs/>
        <w:color w:val="000000"/>
        <w:sz w:val="20"/>
      </w:rPr>
      <w:tab/>
    </w:r>
    <w:r w:rsidRPr="00B41FFC">
      <w:rPr>
        <w:rFonts w:ascii="Times New Roman" w:hAnsi="Times New Roman" w:cs="Times New Roman"/>
        <w:iCs/>
        <w:color w:val="000000"/>
        <w:sz w:val="20"/>
      </w:rPr>
      <w:t xml:space="preserve">Cancer Biology </w:t>
    </w:r>
    <w:r w:rsidRPr="00B41FFC">
      <w:rPr>
        <w:rFonts w:ascii="Times New Roman" w:hAnsi="Times New Roman" w:cs="Times New Roman"/>
        <w:iCs/>
        <w:sz w:val="20"/>
      </w:rPr>
      <w:t>201</w:t>
    </w:r>
    <w:r w:rsidRPr="00B41FFC">
      <w:rPr>
        <w:rFonts w:ascii="Times New Roman" w:hAnsi="Times New Roman" w:cs="Times New Roman" w:hint="eastAsia"/>
        <w:iCs/>
        <w:sz w:val="20"/>
      </w:rPr>
      <w:t>6</w:t>
    </w:r>
    <w:r w:rsidRPr="00B41FFC">
      <w:rPr>
        <w:rFonts w:ascii="Times New Roman" w:hAnsi="Times New Roman" w:cs="Times New Roman"/>
        <w:iCs/>
        <w:sz w:val="20"/>
      </w:rPr>
      <w:t>;</w:t>
    </w:r>
    <w:r w:rsidRPr="00B41FFC">
      <w:rPr>
        <w:rFonts w:ascii="Times New Roman" w:hAnsi="Times New Roman" w:cs="Times New Roman" w:hint="eastAsia"/>
        <w:iCs/>
        <w:sz w:val="20"/>
      </w:rPr>
      <w:t>6</w:t>
    </w:r>
    <w:r w:rsidRPr="00B41FFC">
      <w:rPr>
        <w:rFonts w:ascii="Times New Roman" w:hAnsi="Times New Roman" w:cs="Times New Roman"/>
        <w:iCs/>
        <w:sz w:val="20"/>
      </w:rPr>
      <w:t>(</w:t>
    </w:r>
    <w:r w:rsidRPr="00B41FFC">
      <w:rPr>
        <w:rFonts w:ascii="Times New Roman" w:hAnsi="Times New Roman" w:cs="Times New Roman" w:hint="eastAsia"/>
        <w:iCs/>
        <w:sz w:val="20"/>
      </w:rPr>
      <w:t>3</w:t>
    </w:r>
    <w:r w:rsidRPr="00B41FFC">
      <w:rPr>
        <w:rFonts w:ascii="Times New Roman" w:hAnsi="Times New Roman" w:cs="Times New Roman"/>
        <w:iCs/>
        <w:sz w:val="20"/>
      </w:rPr>
      <w:t>)</w:t>
    </w:r>
    <w:r w:rsidR="0032790C">
      <w:rPr>
        <w:rFonts w:ascii="Times New Roman" w:hAnsi="Times New Roman" w:cs="Times New Roman"/>
        <w:iCs/>
        <w:sz w:val="20"/>
      </w:rPr>
      <w:t xml:space="preserve"> </w:t>
    </w:r>
    <w:r w:rsidRPr="00B41FFC">
      <w:rPr>
        <w:rFonts w:ascii="Times New Roman" w:hAnsi="Times New Roman" w:cs="Times New Roman" w:hint="eastAsia"/>
        <w:iCs/>
        <w:sz w:val="20"/>
      </w:rPr>
      <w:t xml:space="preserve">   </w:t>
    </w:r>
    <w:r w:rsidRPr="00B41FFC">
      <w:rPr>
        <w:rFonts w:ascii="Times New Roman" w:hAnsi="Times New Roman" w:cs="Times New Roman" w:hint="eastAsia"/>
        <w:iCs/>
        <w:sz w:val="20"/>
      </w:rPr>
      <w:tab/>
      <w:t xml:space="preserve">     </w:t>
    </w:r>
    <w:r w:rsidRPr="00B41FFC">
      <w:rPr>
        <w:rFonts w:ascii="Times New Roman" w:hAnsi="Times New Roman" w:cs="Times New Roman"/>
        <w:iCs/>
        <w:sz w:val="20"/>
      </w:rPr>
      <w:t xml:space="preserve"> </w:t>
    </w:r>
    <w:r w:rsidRPr="00B41FFC">
      <w:rPr>
        <w:rFonts w:ascii="Times New Roman" w:hAnsi="Times New Roman" w:cs="Times New Roman"/>
        <w:sz w:val="20"/>
      </w:rPr>
      <w:t xml:space="preserve">  </w:t>
    </w:r>
    <w:hyperlink r:id="rId1" w:history="1">
      <w:r w:rsidRPr="00B41FFC">
        <w:rPr>
          <w:rStyle w:val="Hyperlink"/>
          <w:rFonts w:ascii="Times New Roman" w:hAnsi="Times New Roman" w:cs="Times New Roman"/>
          <w:sz w:val="20"/>
        </w:rPr>
        <w:t>http://www.cancerbio.net</w:t>
      </w:r>
    </w:hyperlink>
  </w:p>
  <w:p w:rsidR="006F7038" w:rsidRPr="00B41FFC" w:rsidRDefault="006F7038" w:rsidP="00B41FFC">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52B"/>
    <w:multiLevelType w:val="hybridMultilevel"/>
    <w:tmpl w:val="D80019B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
    <w:nsid w:val="18E52F4B"/>
    <w:multiLevelType w:val="hybridMultilevel"/>
    <w:tmpl w:val="2C4A89C0"/>
    <w:lvl w:ilvl="0" w:tplc="0409000F">
      <w:start w:val="1"/>
      <w:numFmt w:val="decimal"/>
      <w:lvlText w:val="%1."/>
      <w:lvlJc w:val="left"/>
      <w:pPr>
        <w:ind w:left="9025" w:hanging="360"/>
      </w:pPr>
    </w:lvl>
    <w:lvl w:ilvl="1" w:tplc="04090019" w:tentative="1">
      <w:start w:val="1"/>
      <w:numFmt w:val="lowerLetter"/>
      <w:lvlText w:val="%2."/>
      <w:lvlJc w:val="left"/>
      <w:pPr>
        <w:ind w:left="9745" w:hanging="360"/>
      </w:pPr>
    </w:lvl>
    <w:lvl w:ilvl="2" w:tplc="0409001B" w:tentative="1">
      <w:start w:val="1"/>
      <w:numFmt w:val="lowerRoman"/>
      <w:lvlText w:val="%3."/>
      <w:lvlJc w:val="right"/>
      <w:pPr>
        <w:ind w:left="10465" w:hanging="180"/>
      </w:pPr>
    </w:lvl>
    <w:lvl w:ilvl="3" w:tplc="0409000F" w:tentative="1">
      <w:start w:val="1"/>
      <w:numFmt w:val="decimal"/>
      <w:lvlText w:val="%4."/>
      <w:lvlJc w:val="left"/>
      <w:pPr>
        <w:ind w:left="11185" w:hanging="360"/>
      </w:pPr>
    </w:lvl>
    <w:lvl w:ilvl="4" w:tplc="04090019" w:tentative="1">
      <w:start w:val="1"/>
      <w:numFmt w:val="lowerLetter"/>
      <w:lvlText w:val="%5."/>
      <w:lvlJc w:val="left"/>
      <w:pPr>
        <w:ind w:left="11905" w:hanging="360"/>
      </w:pPr>
    </w:lvl>
    <w:lvl w:ilvl="5" w:tplc="0409001B" w:tentative="1">
      <w:start w:val="1"/>
      <w:numFmt w:val="lowerRoman"/>
      <w:lvlText w:val="%6."/>
      <w:lvlJc w:val="right"/>
      <w:pPr>
        <w:ind w:left="12625" w:hanging="180"/>
      </w:pPr>
    </w:lvl>
    <w:lvl w:ilvl="6" w:tplc="0409000F" w:tentative="1">
      <w:start w:val="1"/>
      <w:numFmt w:val="decimal"/>
      <w:lvlText w:val="%7."/>
      <w:lvlJc w:val="left"/>
      <w:pPr>
        <w:ind w:left="13345" w:hanging="360"/>
      </w:pPr>
    </w:lvl>
    <w:lvl w:ilvl="7" w:tplc="04090019" w:tentative="1">
      <w:start w:val="1"/>
      <w:numFmt w:val="lowerLetter"/>
      <w:lvlText w:val="%8."/>
      <w:lvlJc w:val="left"/>
      <w:pPr>
        <w:ind w:left="14065" w:hanging="360"/>
      </w:pPr>
    </w:lvl>
    <w:lvl w:ilvl="8" w:tplc="0409001B" w:tentative="1">
      <w:start w:val="1"/>
      <w:numFmt w:val="lowerRoman"/>
      <w:lvlText w:val="%9."/>
      <w:lvlJc w:val="right"/>
      <w:pPr>
        <w:ind w:left="14785" w:hanging="180"/>
      </w:pPr>
    </w:lvl>
  </w:abstractNum>
  <w:abstractNum w:abstractNumId="2">
    <w:nsid w:val="197258F2"/>
    <w:multiLevelType w:val="hybridMultilevel"/>
    <w:tmpl w:val="1D0256EA"/>
    <w:lvl w:ilvl="0" w:tplc="7DCEE3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C167B"/>
    <w:multiLevelType w:val="hybridMultilevel"/>
    <w:tmpl w:val="C51C6708"/>
    <w:lvl w:ilvl="0" w:tplc="3B72095C">
      <w:start w:val="1"/>
      <w:numFmt w:val="decimal"/>
      <w:lvlText w:val="%1."/>
      <w:lvlJc w:val="left"/>
      <w:pPr>
        <w:ind w:left="720" w:hanging="360"/>
      </w:pPr>
      <w:rPr>
        <w:rFonts w:ascii="Times New Roman" w:hAnsi="Times New Roman" w:cs="Times New Roman"/>
        <w:spacing w:val="0"/>
        <w:w w:val="100"/>
        <w:kern w:val="0"/>
        <w:position w:val="0"/>
        <w:sz w:val="20"/>
        <w:rtl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BD0507"/>
    <w:multiLevelType w:val="hybridMultilevel"/>
    <w:tmpl w:val="409C0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804592"/>
    <w:multiLevelType w:val="hybridMultilevel"/>
    <w:tmpl w:val="332A2822"/>
    <w:lvl w:ilvl="0" w:tplc="049C39B4">
      <w:start w:val="2"/>
      <w:numFmt w:val="arabicAlpha"/>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nsid w:val="36D4223A"/>
    <w:multiLevelType w:val="hybridMultilevel"/>
    <w:tmpl w:val="439C149A"/>
    <w:lvl w:ilvl="0" w:tplc="96E8D5BA">
      <w:start w:val="1"/>
      <w:numFmt w:val="decimal"/>
      <w:lvlText w:val="%1."/>
      <w:lvlJc w:val="left"/>
      <w:pPr>
        <w:ind w:left="420" w:hanging="420"/>
      </w:pPr>
      <w:rPr>
        <w:rFonts w:ascii="Times New Roman" w:hAnsi="Times New Roman" w:cs="Times New Roman"/>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5AA4890"/>
    <w:multiLevelType w:val="hybridMultilevel"/>
    <w:tmpl w:val="67689AA0"/>
    <w:lvl w:ilvl="0" w:tplc="DA9AFDD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B464E45"/>
    <w:multiLevelType w:val="hybridMultilevel"/>
    <w:tmpl w:val="C69872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B9A4448"/>
    <w:multiLevelType w:val="hybridMultilevel"/>
    <w:tmpl w:val="7946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895188"/>
    <w:multiLevelType w:val="hybridMultilevel"/>
    <w:tmpl w:val="2140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955C7A"/>
    <w:multiLevelType w:val="hybridMultilevel"/>
    <w:tmpl w:val="0178C54A"/>
    <w:lvl w:ilvl="0" w:tplc="70FCD5F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D876E93"/>
    <w:multiLevelType w:val="hybridMultilevel"/>
    <w:tmpl w:val="A83EEE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FB4789C"/>
    <w:multiLevelType w:val="hybridMultilevel"/>
    <w:tmpl w:val="B900E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8"/>
  </w:num>
  <w:num w:numId="3">
    <w:abstractNumId w:val="12"/>
  </w:num>
  <w:num w:numId="4">
    <w:abstractNumId w:val="10"/>
  </w:num>
  <w:num w:numId="5">
    <w:abstractNumId w:val="0"/>
  </w:num>
  <w:num w:numId="6">
    <w:abstractNumId w:val="4"/>
  </w:num>
  <w:num w:numId="7">
    <w:abstractNumId w:val="13"/>
  </w:num>
  <w:num w:numId="8">
    <w:abstractNumId w:val="9"/>
  </w:num>
  <w:num w:numId="9">
    <w:abstractNumId w:val="3"/>
  </w:num>
  <w:num w:numId="10">
    <w:abstractNumId w:val="11"/>
  </w:num>
  <w:num w:numId="11">
    <w:abstractNumId w:val="7"/>
  </w:num>
  <w:num w:numId="12">
    <w:abstractNumId w:val="2"/>
  </w:num>
  <w:num w:numId="13">
    <w:abstractNumId w:val="5"/>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1E5E62"/>
    <w:rsid w:val="000001B5"/>
    <w:rsid w:val="00025710"/>
    <w:rsid w:val="000A6E15"/>
    <w:rsid w:val="000C6D04"/>
    <w:rsid w:val="000D2F61"/>
    <w:rsid w:val="000E0498"/>
    <w:rsid w:val="000E109E"/>
    <w:rsid w:val="00107C24"/>
    <w:rsid w:val="00136E34"/>
    <w:rsid w:val="00152AC0"/>
    <w:rsid w:val="00161979"/>
    <w:rsid w:val="001A2A3C"/>
    <w:rsid w:val="001A4976"/>
    <w:rsid w:val="001A7814"/>
    <w:rsid w:val="001D7B19"/>
    <w:rsid w:val="001E5E62"/>
    <w:rsid w:val="00217249"/>
    <w:rsid w:val="0022517C"/>
    <w:rsid w:val="00247557"/>
    <w:rsid w:val="002525D7"/>
    <w:rsid w:val="00257875"/>
    <w:rsid w:val="00292D46"/>
    <w:rsid w:val="00292E7A"/>
    <w:rsid w:val="00294C32"/>
    <w:rsid w:val="002B31F0"/>
    <w:rsid w:val="002C56EE"/>
    <w:rsid w:val="002D34F7"/>
    <w:rsid w:val="002E66DC"/>
    <w:rsid w:val="002F7F0D"/>
    <w:rsid w:val="0032790C"/>
    <w:rsid w:val="003317BB"/>
    <w:rsid w:val="00341BE7"/>
    <w:rsid w:val="00353597"/>
    <w:rsid w:val="00364D8A"/>
    <w:rsid w:val="00371837"/>
    <w:rsid w:val="00393F56"/>
    <w:rsid w:val="00397591"/>
    <w:rsid w:val="003B1A8B"/>
    <w:rsid w:val="003C6369"/>
    <w:rsid w:val="003D43B6"/>
    <w:rsid w:val="003E1B4B"/>
    <w:rsid w:val="003E1C1F"/>
    <w:rsid w:val="004072F8"/>
    <w:rsid w:val="00421E07"/>
    <w:rsid w:val="0045188C"/>
    <w:rsid w:val="00457519"/>
    <w:rsid w:val="00462B60"/>
    <w:rsid w:val="00480B45"/>
    <w:rsid w:val="00494E26"/>
    <w:rsid w:val="00497BA0"/>
    <w:rsid w:val="004A73A5"/>
    <w:rsid w:val="004B050B"/>
    <w:rsid w:val="004D17CF"/>
    <w:rsid w:val="004E53DD"/>
    <w:rsid w:val="004F046A"/>
    <w:rsid w:val="00516044"/>
    <w:rsid w:val="00534ADD"/>
    <w:rsid w:val="00536553"/>
    <w:rsid w:val="00560525"/>
    <w:rsid w:val="00562094"/>
    <w:rsid w:val="005C0239"/>
    <w:rsid w:val="005D21B4"/>
    <w:rsid w:val="006069F3"/>
    <w:rsid w:val="00606E1D"/>
    <w:rsid w:val="006107FF"/>
    <w:rsid w:val="00613D7C"/>
    <w:rsid w:val="00632F6A"/>
    <w:rsid w:val="006440D5"/>
    <w:rsid w:val="00644B66"/>
    <w:rsid w:val="00651031"/>
    <w:rsid w:val="00682DD4"/>
    <w:rsid w:val="00692080"/>
    <w:rsid w:val="006B52EF"/>
    <w:rsid w:val="006E2860"/>
    <w:rsid w:val="006F284F"/>
    <w:rsid w:val="006F7038"/>
    <w:rsid w:val="007552F2"/>
    <w:rsid w:val="00780E5E"/>
    <w:rsid w:val="00792E80"/>
    <w:rsid w:val="00796389"/>
    <w:rsid w:val="007D7A37"/>
    <w:rsid w:val="007F0B41"/>
    <w:rsid w:val="008253EC"/>
    <w:rsid w:val="00847695"/>
    <w:rsid w:val="00860665"/>
    <w:rsid w:val="008C058E"/>
    <w:rsid w:val="008C7EAF"/>
    <w:rsid w:val="008F5CDD"/>
    <w:rsid w:val="00902FCD"/>
    <w:rsid w:val="0092104A"/>
    <w:rsid w:val="009275B8"/>
    <w:rsid w:val="00950CB3"/>
    <w:rsid w:val="009623DC"/>
    <w:rsid w:val="00962481"/>
    <w:rsid w:val="009B7F5A"/>
    <w:rsid w:val="009C798D"/>
    <w:rsid w:val="009D7FCE"/>
    <w:rsid w:val="009F3692"/>
    <w:rsid w:val="00A122D8"/>
    <w:rsid w:val="00A312E4"/>
    <w:rsid w:val="00A369D5"/>
    <w:rsid w:val="00A809FA"/>
    <w:rsid w:val="00AA0F13"/>
    <w:rsid w:val="00AB41B0"/>
    <w:rsid w:val="00AE13CB"/>
    <w:rsid w:val="00AE2357"/>
    <w:rsid w:val="00B13258"/>
    <w:rsid w:val="00B36893"/>
    <w:rsid w:val="00B41FFC"/>
    <w:rsid w:val="00B80F56"/>
    <w:rsid w:val="00B8616C"/>
    <w:rsid w:val="00B9461C"/>
    <w:rsid w:val="00BA676B"/>
    <w:rsid w:val="00BD40B0"/>
    <w:rsid w:val="00C20857"/>
    <w:rsid w:val="00C329E8"/>
    <w:rsid w:val="00C56787"/>
    <w:rsid w:val="00C60AA4"/>
    <w:rsid w:val="00C70B69"/>
    <w:rsid w:val="00C8197B"/>
    <w:rsid w:val="00C87885"/>
    <w:rsid w:val="00CB30E5"/>
    <w:rsid w:val="00CC23FA"/>
    <w:rsid w:val="00CD3AF5"/>
    <w:rsid w:val="00CE2751"/>
    <w:rsid w:val="00D41B8F"/>
    <w:rsid w:val="00D62B0F"/>
    <w:rsid w:val="00D708DB"/>
    <w:rsid w:val="00D743A8"/>
    <w:rsid w:val="00D84F96"/>
    <w:rsid w:val="00D9107B"/>
    <w:rsid w:val="00D9189C"/>
    <w:rsid w:val="00DB68B2"/>
    <w:rsid w:val="00DC2018"/>
    <w:rsid w:val="00DC3335"/>
    <w:rsid w:val="00DE2FA6"/>
    <w:rsid w:val="00DE7B8D"/>
    <w:rsid w:val="00E04B30"/>
    <w:rsid w:val="00E360F4"/>
    <w:rsid w:val="00E3629C"/>
    <w:rsid w:val="00E40711"/>
    <w:rsid w:val="00E71EE5"/>
    <w:rsid w:val="00E75442"/>
    <w:rsid w:val="00E86429"/>
    <w:rsid w:val="00E9164D"/>
    <w:rsid w:val="00E92D15"/>
    <w:rsid w:val="00EC7F26"/>
    <w:rsid w:val="00ED5F7D"/>
    <w:rsid w:val="00EE6E60"/>
    <w:rsid w:val="00EF5928"/>
    <w:rsid w:val="00EF699A"/>
    <w:rsid w:val="00F06A73"/>
    <w:rsid w:val="00F115E3"/>
    <w:rsid w:val="00F35034"/>
    <w:rsid w:val="00F739E0"/>
    <w:rsid w:val="00F90A34"/>
    <w:rsid w:val="00F96A48"/>
    <w:rsid w:val="00F97C71"/>
    <w:rsid w:val="00FA1E04"/>
    <w:rsid w:val="00FD1E08"/>
    <w:rsid w:val="00FD412F"/>
    <w:rsid w:val="00FE3F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A3C"/>
    <w:pPr>
      <w:bidi/>
      <w:spacing w:after="200" w:line="276" w:lineRule="auto"/>
    </w:pPr>
    <w:rPr>
      <w:sz w:val="22"/>
      <w:szCs w:val="22"/>
      <w:lang w:eastAsia="en-US"/>
    </w:rPr>
  </w:style>
  <w:style w:type="paragraph" w:styleId="Heading1">
    <w:name w:val="heading 1"/>
    <w:basedOn w:val="Normal"/>
    <w:next w:val="Normal"/>
    <w:link w:val="Heading1Char"/>
    <w:qFormat/>
    <w:rsid w:val="00DC2018"/>
    <w:pPr>
      <w:keepNext/>
      <w:spacing w:after="0" w:line="240" w:lineRule="auto"/>
      <w:jc w:val="right"/>
      <w:outlineLvl w:val="0"/>
    </w:pPr>
    <w:rPr>
      <w:rFonts w:ascii="Times New Roman" w:eastAsia="Times New Roman" w:hAnsi="Times New Roman" w:cs="Times New Roman"/>
      <w:b/>
      <w:bCs/>
      <w:sz w:val="32"/>
      <w:szCs w:val="32"/>
    </w:rPr>
  </w:style>
  <w:style w:type="paragraph" w:styleId="Heading2">
    <w:name w:val="heading 2"/>
    <w:basedOn w:val="Normal"/>
    <w:next w:val="Normal"/>
    <w:link w:val="Heading2Char"/>
    <w:qFormat/>
    <w:rsid w:val="00DC2018"/>
    <w:pPr>
      <w:keepNext/>
      <w:bidi w:val="0"/>
      <w:spacing w:after="0" w:line="240" w:lineRule="auto"/>
      <w:outlineLvl w:val="1"/>
    </w:pPr>
    <w:rPr>
      <w:rFonts w:ascii="Times New Roman" w:eastAsia="Times New Roman" w:hAnsi="Times New Roman" w:cs="Times New Roman"/>
      <w:b/>
      <w:bCs/>
      <w:sz w:val="30"/>
      <w:szCs w:val="20"/>
    </w:rPr>
  </w:style>
  <w:style w:type="paragraph" w:styleId="Heading3">
    <w:name w:val="heading 3"/>
    <w:basedOn w:val="Normal"/>
    <w:next w:val="Normal"/>
    <w:link w:val="Heading3Char"/>
    <w:qFormat/>
    <w:rsid w:val="00DC2018"/>
    <w:pPr>
      <w:keepNext/>
      <w:spacing w:after="0" w:line="240" w:lineRule="auto"/>
      <w:ind w:left="720"/>
      <w:jc w:val="center"/>
      <w:outlineLvl w:val="2"/>
    </w:pPr>
    <w:rPr>
      <w:rFonts w:ascii="Times New Roman" w:eastAsia="Times New Roman" w:hAnsi="Times New Roman" w:cs="Times New Roman"/>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1A2A3C"/>
    <w:pPr>
      <w:spacing w:after="0" w:line="240" w:lineRule="auto"/>
      <w:jc w:val="lowKashida"/>
    </w:pPr>
    <w:rPr>
      <w:rFonts w:ascii="Times New Roman" w:eastAsia="Times New Roman" w:hAnsi="Times New Roman" w:cs="Times New Roman"/>
      <w:sz w:val="36"/>
      <w:szCs w:val="36"/>
    </w:rPr>
  </w:style>
  <w:style w:type="character" w:customStyle="1" w:styleId="BodyTextChar">
    <w:name w:val="Body Text Char"/>
    <w:link w:val="BodyText"/>
    <w:rsid w:val="001A2A3C"/>
    <w:rPr>
      <w:rFonts w:ascii="Times New Roman" w:eastAsia="Times New Roman" w:hAnsi="Times New Roman" w:cs="Simplified Arabic"/>
      <w:sz w:val="36"/>
      <w:szCs w:val="36"/>
    </w:rPr>
  </w:style>
  <w:style w:type="paragraph" w:styleId="ListParagraph">
    <w:name w:val="List Paragraph"/>
    <w:basedOn w:val="Normal"/>
    <w:uiPriority w:val="34"/>
    <w:qFormat/>
    <w:rsid w:val="001A2A3C"/>
    <w:pPr>
      <w:ind w:left="720"/>
      <w:contextualSpacing/>
    </w:pPr>
  </w:style>
  <w:style w:type="paragraph" w:styleId="Header">
    <w:name w:val="header"/>
    <w:basedOn w:val="Normal"/>
    <w:link w:val="HeaderChar"/>
    <w:uiPriority w:val="99"/>
    <w:unhideWhenUsed/>
    <w:rsid w:val="004F046A"/>
    <w:pPr>
      <w:tabs>
        <w:tab w:val="center" w:pos="4153"/>
        <w:tab w:val="right" w:pos="8306"/>
      </w:tabs>
      <w:spacing w:after="0" w:line="240" w:lineRule="auto"/>
    </w:pPr>
    <w:rPr>
      <w:rFonts w:cs="Times New Roman"/>
      <w:sz w:val="20"/>
      <w:szCs w:val="20"/>
    </w:rPr>
  </w:style>
  <w:style w:type="character" w:customStyle="1" w:styleId="HeaderChar">
    <w:name w:val="Header Char"/>
    <w:link w:val="Header"/>
    <w:uiPriority w:val="99"/>
    <w:rsid w:val="004F046A"/>
    <w:rPr>
      <w:rFonts w:ascii="Calibri" w:eastAsia="Calibri" w:hAnsi="Calibri" w:cs="Arial"/>
    </w:rPr>
  </w:style>
  <w:style w:type="paragraph" w:styleId="Footer">
    <w:name w:val="footer"/>
    <w:basedOn w:val="Normal"/>
    <w:link w:val="FooterChar"/>
    <w:uiPriority w:val="99"/>
    <w:unhideWhenUsed/>
    <w:rsid w:val="004F046A"/>
    <w:pPr>
      <w:tabs>
        <w:tab w:val="center" w:pos="4153"/>
        <w:tab w:val="right" w:pos="8306"/>
      </w:tabs>
      <w:spacing w:after="0" w:line="240" w:lineRule="auto"/>
    </w:pPr>
    <w:rPr>
      <w:rFonts w:cs="Times New Roman"/>
      <w:sz w:val="20"/>
      <w:szCs w:val="20"/>
    </w:rPr>
  </w:style>
  <w:style w:type="character" w:customStyle="1" w:styleId="FooterChar">
    <w:name w:val="Footer Char"/>
    <w:link w:val="Footer"/>
    <w:uiPriority w:val="99"/>
    <w:rsid w:val="004F046A"/>
    <w:rPr>
      <w:rFonts w:ascii="Calibri" w:eastAsia="Calibri" w:hAnsi="Calibri" w:cs="Arial"/>
    </w:rPr>
  </w:style>
  <w:style w:type="character" w:styleId="Hyperlink">
    <w:name w:val="Hyperlink"/>
    <w:unhideWhenUsed/>
    <w:rsid w:val="00F739E0"/>
    <w:rPr>
      <w:color w:val="0000FF"/>
      <w:u w:val="single"/>
    </w:rPr>
  </w:style>
  <w:style w:type="character" w:customStyle="1" w:styleId="msonormal0">
    <w:name w:val="msonormal0"/>
    <w:rsid w:val="00F739E0"/>
  </w:style>
  <w:style w:type="character" w:customStyle="1" w:styleId="Absatz-Standardschriftart">
    <w:name w:val="Absatz-Standardschriftart"/>
    <w:rsid w:val="00F739E0"/>
  </w:style>
  <w:style w:type="character" w:styleId="CommentReference">
    <w:name w:val="annotation reference"/>
    <w:uiPriority w:val="99"/>
    <w:semiHidden/>
    <w:unhideWhenUsed/>
    <w:rsid w:val="005C0239"/>
    <w:rPr>
      <w:sz w:val="16"/>
      <w:szCs w:val="16"/>
    </w:rPr>
  </w:style>
  <w:style w:type="paragraph" w:styleId="CommentText">
    <w:name w:val="annotation text"/>
    <w:basedOn w:val="Normal"/>
    <w:link w:val="CommentTextChar"/>
    <w:uiPriority w:val="99"/>
    <w:semiHidden/>
    <w:unhideWhenUsed/>
    <w:rsid w:val="005C0239"/>
    <w:rPr>
      <w:rFonts w:cs="Times New Roman"/>
      <w:sz w:val="20"/>
      <w:szCs w:val="20"/>
    </w:rPr>
  </w:style>
  <w:style w:type="character" w:customStyle="1" w:styleId="CommentTextChar">
    <w:name w:val="Comment Text Char"/>
    <w:link w:val="CommentText"/>
    <w:uiPriority w:val="99"/>
    <w:semiHidden/>
    <w:rsid w:val="005C0239"/>
    <w:rPr>
      <w:lang w:val="en-US" w:eastAsia="en-US"/>
    </w:rPr>
  </w:style>
  <w:style w:type="paragraph" w:styleId="CommentSubject">
    <w:name w:val="annotation subject"/>
    <w:basedOn w:val="CommentText"/>
    <w:next w:val="CommentText"/>
    <w:link w:val="CommentSubjectChar"/>
    <w:uiPriority w:val="99"/>
    <w:semiHidden/>
    <w:unhideWhenUsed/>
    <w:rsid w:val="005C0239"/>
    <w:rPr>
      <w:b/>
      <w:bCs/>
    </w:rPr>
  </w:style>
  <w:style w:type="character" w:customStyle="1" w:styleId="CommentSubjectChar">
    <w:name w:val="Comment Subject Char"/>
    <w:link w:val="CommentSubject"/>
    <w:uiPriority w:val="99"/>
    <w:semiHidden/>
    <w:rsid w:val="005C0239"/>
    <w:rPr>
      <w:b/>
      <w:bCs/>
      <w:lang w:val="en-US" w:eastAsia="en-US"/>
    </w:rPr>
  </w:style>
  <w:style w:type="paragraph" w:styleId="BalloonText">
    <w:name w:val="Balloon Text"/>
    <w:basedOn w:val="Normal"/>
    <w:link w:val="BalloonTextChar"/>
    <w:uiPriority w:val="99"/>
    <w:semiHidden/>
    <w:unhideWhenUsed/>
    <w:rsid w:val="005C0239"/>
    <w:pPr>
      <w:spacing w:after="0" w:line="240" w:lineRule="auto"/>
    </w:pPr>
    <w:rPr>
      <w:rFonts w:ascii="Segoe UI" w:hAnsi="Segoe UI" w:cs="Times New Roman"/>
      <w:sz w:val="18"/>
      <w:szCs w:val="18"/>
    </w:rPr>
  </w:style>
  <w:style w:type="character" w:customStyle="1" w:styleId="BalloonTextChar">
    <w:name w:val="Balloon Text Char"/>
    <w:link w:val="BalloonText"/>
    <w:uiPriority w:val="99"/>
    <w:semiHidden/>
    <w:rsid w:val="005C0239"/>
    <w:rPr>
      <w:rFonts w:ascii="Segoe UI" w:hAnsi="Segoe UI" w:cs="Segoe UI"/>
      <w:sz w:val="18"/>
      <w:szCs w:val="18"/>
      <w:lang w:val="en-US" w:eastAsia="en-US"/>
    </w:rPr>
  </w:style>
  <w:style w:type="character" w:customStyle="1" w:styleId="hps">
    <w:name w:val="hps"/>
    <w:basedOn w:val="DefaultParagraphFont"/>
    <w:rsid w:val="00692080"/>
  </w:style>
  <w:style w:type="character" w:customStyle="1" w:styleId="Heading1Char">
    <w:name w:val="Heading 1 Char"/>
    <w:link w:val="Heading1"/>
    <w:rsid w:val="00DC2018"/>
    <w:rPr>
      <w:rFonts w:ascii="Times New Roman" w:eastAsia="Times New Roman" w:hAnsi="Times New Roman" w:cs="Simplified Arabic"/>
      <w:b/>
      <w:bCs/>
      <w:sz w:val="32"/>
      <w:szCs w:val="32"/>
    </w:rPr>
  </w:style>
  <w:style w:type="character" w:customStyle="1" w:styleId="Heading2Char">
    <w:name w:val="Heading 2 Char"/>
    <w:link w:val="Heading2"/>
    <w:rsid w:val="00DC2018"/>
    <w:rPr>
      <w:rFonts w:ascii="Times New Roman" w:eastAsia="Times New Roman" w:hAnsi="Times New Roman" w:cs="Traditional Arabic"/>
      <w:b/>
      <w:bCs/>
      <w:sz w:val="30"/>
    </w:rPr>
  </w:style>
  <w:style w:type="character" w:customStyle="1" w:styleId="Heading3Char">
    <w:name w:val="Heading 3 Char"/>
    <w:link w:val="Heading3"/>
    <w:rsid w:val="00DC2018"/>
    <w:rPr>
      <w:rFonts w:ascii="Times New Roman" w:eastAsia="Times New Roman" w:hAnsi="Times New Roman" w:cs="Simplified Arabic"/>
      <w:sz w:val="30"/>
      <w:szCs w:val="28"/>
    </w:rPr>
  </w:style>
  <w:style w:type="paragraph" w:styleId="Title">
    <w:name w:val="Title"/>
    <w:basedOn w:val="Normal"/>
    <w:link w:val="TitleChar"/>
    <w:qFormat/>
    <w:rsid w:val="00DC2018"/>
    <w:pPr>
      <w:spacing w:after="0" w:line="240" w:lineRule="auto"/>
      <w:jc w:val="center"/>
    </w:pPr>
    <w:rPr>
      <w:rFonts w:ascii="Times New Roman" w:eastAsia="Times New Roman" w:hAnsi="Times New Roman" w:cs="Times New Roman"/>
      <w:sz w:val="20"/>
      <w:szCs w:val="36"/>
    </w:rPr>
  </w:style>
  <w:style w:type="character" w:customStyle="1" w:styleId="TitleChar">
    <w:name w:val="Title Char"/>
    <w:link w:val="Title"/>
    <w:rsid w:val="00DC2018"/>
    <w:rPr>
      <w:rFonts w:ascii="Times New Roman" w:eastAsia="Times New Roman" w:hAnsi="Times New Roman" w:cs="Simplified Arabic"/>
      <w:szCs w:val="36"/>
    </w:rPr>
  </w:style>
  <w:style w:type="paragraph" w:styleId="Subtitle">
    <w:name w:val="Subtitle"/>
    <w:basedOn w:val="Normal"/>
    <w:link w:val="SubtitleChar"/>
    <w:qFormat/>
    <w:rsid w:val="00DC2018"/>
    <w:pPr>
      <w:bidi w:val="0"/>
      <w:spacing w:after="0" w:line="240" w:lineRule="auto"/>
      <w:jc w:val="center"/>
    </w:pPr>
    <w:rPr>
      <w:rFonts w:ascii="Times New Roman" w:eastAsia="Times New Roman" w:hAnsi="Times New Roman" w:cs="Times New Roman"/>
      <w:sz w:val="36"/>
      <w:szCs w:val="36"/>
    </w:rPr>
  </w:style>
  <w:style w:type="character" w:customStyle="1" w:styleId="SubtitleChar">
    <w:name w:val="Subtitle Char"/>
    <w:link w:val="Subtitle"/>
    <w:rsid w:val="00DC2018"/>
    <w:rPr>
      <w:rFonts w:ascii="Times New Roman" w:eastAsia="Times New Roman" w:hAnsi="Times New Roman" w:cs="Simplified Arabic"/>
      <w:sz w:val="36"/>
      <w:szCs w:val="36"/>
    </w:rPr>
  </w:style>
  <w:style w:type="character" w:styleId="PageNumber">
    <w:name w:val="page number"/>
    <w:basedOn w:val="DefaultParagraphFont"/>
    <w:rsid w:val="00DC2018"/>
  </w:style>
  <w:style w:type="paragraph" w:styleId="BlockText">
    <w:name w:val="Block Text"/>
    <w:basedOn w:val="Normal"/>
    <w:rsid w:val="00DC2018"/>
    <w:pPr>
      <w:spacing w:after="0" w:line="240" w:lineRule="auto"/>
      <w:ind w:left="-29" w:firstLine="749"/>
      <w:jc w:val="lowKashida"/>
    </w:pPr>
    <w:rPr>
      <w:rFonts w:ascii="Times New Roman" w:eastAsia="Times New Roman" w:hAnsi="Times New Roman" w:cs="Simplified Arabic"/>
      <w:sz w:val="30"/>
      <w:szCs w:val="30"/>
    </w:rPr>
  </w:style>
  <w:style w:type="paragraph" w:styleId="BodyText2">
    <w:name w:val="Body Text 2"/>
    <w:basedOn w:val="Normal"/>
    <w:link w:val="BodyText2Char"/>
    <w:rsid w:val="00DC2018"/>
    <w:pPr>
      <w:spacing w:after="0" w:line="240" w:lineRule="auto"/>
      <w:jc w:val="lowKashida"/>
    </w:pPr>
    <w:rPr>
      <w:rFonts w:ascii="Times New Roman" w:eastAsia="Times New Roman" w:hAnsi="Times New Roman" w:cs="Times New Roman"/>
      <w:sz w:val="30"/>
      <w:szCs w:val="30"/>
    </w:rPr>
  </w:style>
  <w:style w:type="character" w:customStyle="1" w:styleId="BodyText2Char">
    <w:name w:val="Body Text 2 Char"/>
    <w:link w:val="BodyText2"/>
    <w:rsid w:val="00DC2018"/>
    <w:rPr>
      <w:rFonts w:ascii="Times New Roman" w:eastAsia="Times New Roman" w:hAnsi="Times New Roman" w:cs="Simplified Arabic"/>
      <w:sz w:val="30"/>
      <w:szCs w:val="30"/>
    </w:rPr>
  </w:style>
  <w:style w:type="paragraph" w:styleId="BodyTextIndent">
    <w:name w:val="Body Text Indent"/>
    <w:basedOn w:val="Normal"/>
    <w:link w:val="BodyTextIndentChar"/>
    <w:rsid w:val="00DC2018"/>
    <w:pPr>
      <w:spacing w:after="0" w:line="240" w:lineRule="auto"/>
      <w:ind w:firstLine="720"/>
      <w:jc w:val="lowKashida"/>
    </w:pPr>
    <w:rPr>
      <w:rFonts w:ascii="Times New Roman" w:eastAsia="Times New Roman" w:hAnsi="Times New Roman" w:cs="Times New Roman"/>
      <w:sz w:val="30"/>
      <w:szCs w:val="30"/>
    </w:rPr>
  </w:style>
  <w:style w:type="character" w:customStyle="1" w:styleId="BodyTextIndentChar">
    <w:name w:val="Body Text Indent Char"/>
    <w:link w:val="BodyTextIndent"/>
    <w:rsid w:val="00DC2018"/>
    <w:rPr>
      <w:rFonts w:ascii="Times New Roman" w:eastAsia="Times New Roman" w:hAnsi="Times New Roman" w:cs="Simplified Arabic"/>
      <w:sz w:val="30"/>
      <w:szCs w:val="30"/>
    </w:rPr>
  </w:style>
  <w:style w:type="paragraph" w:styleId="BodyText3">
    <w:name w:val="Body Text 3"/>
    <w:basedOn w:val="Normal"/>
    <w:link w:val="BodyText3Char"/>
    <w:uiPriority w:val="99"/>
    <w:unhideWhenUsed/>
    <w:rsid w:val="00DC2018"/>
    <w:pPr>
      <w:spacing w:after="120" w:line="240" w:lineRule="auto"/>
    </w:pPr>
    <w:rPr>
      <w:rFonts w:ascii="Times New Roman" w:eastAsia="Times New Roman" w:hAnsi="Times New Roman" w:cs="Times New Roman"/>
      <w:sz w:val="16"/>
      <w:szCs w:val="16"/>
    </w:rPr>
  </w:style>
  <w:style w:type="character" w:customStyle="1" w:styleId="BodyText3Char">
    <w:name w:val="Body Text 3 Char"/>
    <w:link w:val="BodyText3"/>
    <w:uiPriority w:val="99"/>
    <w:rsid w:val="00DC2018"/>
    <w:rPr>
      <w:rFonts w:ascii="Times New Roman" w:eastAsia="Times New Roman" w:hAnsi="Times New Roman" w:cs="Traditional Arabic"/>
      <w:sz w:val="16"/>
      <w:szCs w:val="16"/>
    </w:rPr>
  </w:style>
  <w:style w:type="table" w:styleId="TableGrid">
    <w:name w:val="Table Grid"/>
    <w:basedOn w:val="TableNormal"/>
    <w:uiPriority w:val="59"/>
    <w:rsid w:val="00DC2018"/>
    <w:rPr>
      <w:rFonts w:ascii="Times New Roman" w:eastAsia="Times New Roman" w:hAnsi="Times New Roman" w:cs="Traditional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qFormat/>
    <w:rsid w:val="00B41FFC"/>
    <w:pPr>
      <w:bidi w:val="0"/>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B41FFC"/>
    <w:rPr>
      <w:rFonts w:ascii="Times New Roman" w:eastAsia="宋体"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37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lina_kurdi@hotmail.com"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ncbi.nlm.nih.gov/pubmed/12495705"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yperlink" Target="http://www.ncbi.nlm.nih.gov/pubmed/?term=Watanabe%20MA%5BAuthor%5D&amp;cauthor=true&amp;cauthor_uid=21988419"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www.ncbi.nlm.nih.gov/pubmed/21988419"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ncbi.nlm.nih.gov/pubmed/252680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www.ncbi.nlm.nih.gov/pubmed/24692698" TargetMode="External"/><Relationship Id="rId45" Type="http://schemas.openxmlformats.org/officeDocument/2006/relationships/hyperlink" Target="http://www.ncbi.nlm.nih.gov/pubmed/?term=Sforcin%20JM%5BAuthor%5D&amp;cauthor=true&amp;cauthor_uid=21988419"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http://www.dx.doi.org/10.7537/marscbj060316.07"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http://www.ncbi.nlm.nih.gov/pubmed/?term=Conti%20BJ%5BAuthor%5D&amp;cauthor=true&amp;cauthor_uid=21988419" TargetMode="Externa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www.ncbi.nlm.nih.gov/pubmed/?term=Amarante%20MK%5BAuthor%5D&amp;cauthor=true&amp;cauthor_uid=21988419"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B30BA-C195-4EDF-95DD-68BF0B2F8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Pages>
  <Words>6624</Words>
  <Characters>37763</Characters>
  <Application>Microsoft Office Word</Application>
  <DocSecurity>0</DocSecurity>
  <Lines>314</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44299</CharactersWithSpaces>
  <SharedDoc>false</SharedDoc>
  <HLinks>
    <vt:vector size="66" baseType="variant">
      <vt:variant>
        <vt:i4>3276843</vt:i4>
      </vt:variant>
      <vt:variant>
        <vt:i4>27</vt:i4>
      </vt:variant>
      <vt:variant>
        <vt:i4>0</vt:i4>
      </vt:variant>
      <vt:variant>
        <vt:i4>5</vt:i4>
      </vt:variant>
      <vt:variant>
        <vt:lpwstr>http://www.ncbi.nlm.nih.gov/pubmed/21988419</vt:lpwstr>
      </vt:variant>
      <vt:variant>
        <vt:lpwstr/>
      </vt:variant>
      <vt:variant>
        <vt:i4>3801153</vt:i4>
      </vt:variant>
      <vt:variant>
        <vt:i4>24</vt:i4>
      </vt:variant>
      <vt:variant>
        <vt:i4>0</vt:i4>
      </vt:variant>
      <vt:variant>
        <vt:i4>5</vt:i4>
      </vt:variant>
      <vt:variant>
        <vt:lpwstr>http://www.ncbi.nlm.nih.gov/pubmed/?term=Sforcin%20JM%5BAuthor%5D&amp;cauthor=true&amp;cauthor_uid=21988419</vt:lpwstr>
      </vt:variant>
      <vt:variant>
        <vt:lpwstr/>
      </vt:variant>
      <vt:variant>
        <vt:i4>4653088</vt:i4>
      </vt:variant>
      <vt:variant>
        <vt:i4>21</vt:i4>
      </vt:variant>
      <vt:variant>
        <vt:i4>0</vt:i4>
      </vt:variant>
      <vt:variant>
        <vt:i4>5</vt:i4>
      </vt:variant>
      <vt:variant>
        <vt:lpwstr>http://www.ncbi.nlm.nih.gov/pubmed/?term=Conti%20BJ%5BAuthor%5D&amp;cauthor=true&amp;cauthor_uid=21988419</vt:lpwstr>
      </vt:variant>
      <vt:variant>
        <vt:lpwstr/>
      </vt:variant>
      <vt:variant>
        <vt:i4>3932178</vt:i4>
      </vt:variant>
      <vt:variant>
        <vt:i4>18</vt:i4>
      </vt:variant>
      <vt:variant>
        <vt:i4>0</vt:i4>
      </vt:variant>
      <vt:variant>
        <vt:i4>5</vt:i4>
      </vt:variant>
      <vt:variant>
        <vt:lpwstr>http://www.ncbi.nlm.nih.gov/pubmed/?term=Amarante%20MK%5BAuthor%5D&amp;cauthor=true&amp;cauthor_uid=21988419</vt:lpwstr>
      </vt:variant>
      <vt:variant>
        <vt:lpwstr/>
      </vt:variant>
      <vt:variant>
        <vt:i4>2883586</vt:i4>
      </vt:variant>
      <vt:variant>
        <vt:i4>15</vt:i4>
      </vt:variant>
      <vt:variant>
        <vt:i4>0</vt:i4>
      </vt:variant>
      <vt:variant>
        <vt:i4>5</vt:i4>
      </vt:variant>
      <vt:variant>
        <vt:lpwstr>http://www.ncbi.nlm.nih.gov/pubmed/?term=Watanabe%20MA%5BAuthor%5D&amp;cauthor=true&amp;cauthor_uid=21988419</vt:lpwstr>
      </vt:variant>
      <vt:variant>
        <vt:lpwstr/>
      </vt:variant>
      <vt:variant>
        <vt:i4>3932197</vt:i4>
      </vt:variant>
      <vt:variant>
        <vt:i4>12</vt:i4>
      </vt:variant>
      <vt:variant>
        <vt:i4>0</vt:i4>
      </vt:variant>
      <vt:variant>
        <vt:i4>5</vt:i4>
      </vt:variant>
      <vt:variant>
        <vt:lpwstr>http://www.ncbi.nlm.nih.gov/pubmed/25268046</vt:lpwstr>
      </vt:variant>
      <vt:variant>
        <vt:lpwstr/>
      </vt:variant>
      <vt:variant>
        <vt:i4>4128813</vt:i4>
      </vt:variant>
      <vt:variant>
        <vt:i4>9</vt:i4>
      </vt:variant>
      <vt:variant>
        <vt:i4>0</vt:i4>
      </vt:variant>
      <vt:variant>
        <vt:i4>5</vt:i4>
      </vt:variant>
      <vt:variant>
        <vt:lpwstr>http://www.ncbi.nlm.nih.gov/pubmed/24692698</vt:lpwstr>
      </vt:variant>
      <vt:variant>
        <vt:lpwstr/>
      </vt:variant>
      <vt:variant>
        <vt:i4>3145770</vt:i4>
      </vt:variant>
      <vt:variant>
        <vt:i4>6</vt:i4>
      </vt:variant>
      <vt:variant>
        <vt:i4>0</vt:i4>
      </vt:variant>
      <vt:variant>
        <vt:i4>5</vt:i4>
      </vt:variant>
      <vt:variant>
        <vt:lpwstr>http://www.ncbi.nlm.nih.gov/pubmed/12495705</vt:lpwstr>
      </vt:variant>
      <vt:variant>
        <vt:lpwstr/>
      </vt:variant>
      <vt:variant>
        <vt:i4>5505026</vt:i4>
      </vt:variant>
      <vt:variant>
        <vt:i4>3</vt:i4>
      </vt:variant>
      <vt:variant>
        <vt:i4>0</vt:i4>
      </vt:variant>
      <vt:variant>
        <vt:i4>5</vt:i4>
      </vt:variant>
      <vt:variant>
        <vt:lpwstr>http://www.cancerbio.net/</vt:lpwstr>
      </vt:variant>
      <vt:variant>
        <vt:lpwstr/>
      </vt:variant>
      <vt:variant>
        <vt:i4>5177374</vt:i4>
      </vt:variant>
      <vt:variant>
        <vt:i4>0</vt:i4>
      </vt:variant>
      <vt:variant>
        <vt:i4>0</vt:i4>
      </vt:variant>
      <vt:variant>
        <vt:i4>5</vt:i4>
      </vt:variant>
      <vt:variant>
        <vt:lpwstr>mailto:dr.lina_kurdi@hotmail.com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Freecomp</dc:creator>
  <cp:lastModifiedBy>Administrator</cp:lastModifiedBy>
  <cp:revision>7</cp:revision>
  <cp:lastPrinted>2016-08-03T02:16:00Z</cp:lastPrinted>
  <dcterms:created xsi:type="dcterms:W3CDTF">2016-08-03T12:08:00Z</dcterms:created>
  <dcterms:modified xsi:type="dcterms:W3CDTF">2016-08-04T00:06:00Z</dcterms:modified>
</cp:coreProperties>
</file>