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B74" w:rsidRPr="00713625" w:rsidRDefault="004A2B74" w:rsidP="00B20211">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 xml:space="preserve">IL-33/ST2 </w:t>
      </w:r>
      <w:r w:rsidR="008A1C6B" w:rsidRPr="00713625">
        <w:rPr>
          <w:b/>
          <w:bCs/>
          <w:color w:val="000000"/>
          <w:sz w:val="20"/>
          <w:szCs w:val="20"/>
          <w:lang w:val="en-US"/>
        </w:rPr>
        <w:t>A</w:t>
      </w:r>
      <w:r w:rsidRPr="00713625">
        <w:rPr>
          <w:b/>
          <w:bCs/>
          <w:color w:val="000000"/>
          <w:sz w:val="20"/>
          <w:szCs w:val="20"/>
          <w:lang w:val="en-US"/>
        </w:rPr>
        <w:t xml:space="preserve">xis and </w:t>
      </w:r>
      <w:r w:rsidR="008A1C6B" w:rsidRPr="00713625">
        <w:rPr>
          <w:b/>
          <w:bCs/>
          <w:color w:val="000000"/>
          <w:sz w:val="20"/>
          <w:szCs w:val="20"/>
          <w:lang w:val="en-US"/>
        </w:rPr>
        <w:t>P</w:t>
      </w:r>
      <w:r w:rsidRPr="00713625">
        <w:rPr>
          <w:b/>
          <w:bCs/>
          <w:color w:val="000000"/>
          <w:sz w:val="20"/>
          <w:szCs w:val="20"/>
          <w:lang w:val="en-US"/>
        </w:rPr>
        <w:t xml:space="preserve">rohibitin in </w:t>
      </w:r>
      <w:r w:rsidR="008A1C6B" w:rsidRPr="00713625">
        <w:rPr>
          <w:b/>
          <w:bCs/>
          <w:color w:val="000000"/>
          <w:sz w:val="20"/>
          <w:szCs w:val="20"/>
          <w:lang w:val="en-US"/>
        </w:rPr>
        <w:t>B</w:t>
      </w:r>
      <w:r w:rsidRPr="00713625">
        <w:rPr>
          <w:b/>
          <w:bCs/>
          <w:color w:val="000000"/>
          <w:sz w:val="20"/>
          <w:szCs w:val="20"/>
          <w:lang w:val="en-US"/>
        </w:rPr>
        <w:t xml:space="preserve">reast </w:t>
      </w:r>
      <w:r w:rsidR="008A1C6B" w:rsidRPr="00713625">
        <w:rPr>
          <w:b/>
          <w:bCs/>
          <w:color w:val="000000"/>
          <w:sz w:val="20"/>
          <w:szCs w:val="20"/>
          <w:lang w:val="en-US"/>
        </w:rPr>
        <w:t>C</w:t>
      </w:r>
      <w:r w:rsidRPr="00713625">
        <w:rPr>
          <w:b/>
          <w:bCs/>
          <w:color w:val="000000"/>
          <w:sz w:val="20"/>
          <w:szCs w:val="20"/>
          <w:lang w:val="en-US"/>
        </w:rPr>
        <w:t xml:space="preserve">ancer: </w:t>
      </w:r>
      <w:r w:rsidR="008A1C6B" w:rsidRPr="00713625">
        <w:rPr>
          <w:b/>
          <w:bCs/>
          <w:color w:val="000000"/>
          <w:sz w:val="20"/>
          <w:szCs w:val="20"/>
          <w:lang w:val="en-US"/>
        </w:rPr>
        <w:t>C</w:t>
      </w:r>
      <w:r w:rsidRPr="00713625">
        <w:rPr>
          <w:b/>
          <w:bCs/>
          <w:color w:val="000000"/>
          <w:sz w:val="20"/>
          <w:szCs w:val="20"/>
          <w:lang w:val="en-US"/>
        </w:rPr>
        <w:t>linic</w:t>
      </w:r>
      <w:r w:rsidR="00F47107" w:rsidRPr="00713625">
        <w:rPr>
          <w:b/>
          <w:bCs/>
          <w:color w:val="000000"/>
          <w:sz w:val="20"/>
          <w:szCs w:val="20"/>
          <w:lang w:val="en-US"/>
        </w:rPr>
        <w:t>o</w:t>
      </w:r>
      <w:r w:rsidRPr="00713625">
        <w:rPr>
          <w:b/>
          <w:bCs/>
          <w:color w:val="000000"/>
          <w:sz w:val="20"/>
          <w:szCs w:val="20"/>
          <w:lang w:val="en-US"/>
        </w:rPr>
        <w:t xml:space="preserve">pathological and </w:t>
      </w:r>
      <w:r w:rsidR="008A1C6B" w:rsidRPr="00713625">
        <w:rPr>
          <w:b/>
          <w:bCs/>
          <w:color w:val="000000"/>
          <w:sz w:val="20"/>
          <w:szCs w:val="20"/>
          <w:lang w:val="en-US"/>
        </w:rPr>
        <w:t>P</w:t>
      </w:r>
      <w:r w:rsidRPr="00713625">
        <w:rPr>
          <w:b/>
          <w:bCs/>
          <w:color w:val="000000"/>
          <w:sz w:val="20"/>
          <w:szCs w:val="20"/>
          <w:lang w:val="en-US"/>
        </w:rPr>
        <w:t xml:space="preserve">rognostic </w:t>
      </w:r>
      <w:r w:rsidR="008A1C6B" w:rsidRPr="00713625">
        <w:rPr>
          <w:b/>
          <w:bCs/>
          <w:color w:val="000000"/>
          <w:sz w:val="20"/>
          <w:szCs w:val="20"/>
          <w:lang w:val="en-US"/>
        </w:rPr>
        <w:t>S</w:t>
      </w:r>
      <w:r w:rsidRPr="00713625">
        <w:rPr>
          <w:b/>
          <w:bCs/>
          <w:color w:val="000000"/>
          <w:sz w:val="20"/>
          <w:szCs w:val="20"/>
          <w:lang w:val="en-US"/>
        </w:rPr>
        <w:t>ignificance</w:t>
      </w:r>
    </w:p>
    <w:p w:rsidR="004A2B74" w:rsidRPr="00713625" w:rsidRDefault="004A2B74" w:rsidP="00B20211">
      <w:pPr>
        <w:snapToGrid w:val="0"/>
        <w:spacing w:before="0" w:after="0" w:line="240" w:lineRule="auto"/>
        <w:ind w:firstLine="0"/>
        <w:jc w:val="center"/>
        <w:rPr>
          <w:color w:val="FF0000"/>
          <w:sz w:val="20"/>
          <w:szCs w:val="20"/>
          <w:shd w:val="clear" w:color="auto" w:fill="FFFFFF"/>
        </w:rPr>
      </w:pPr>
    </w:p>
    <w:p w:rsidR="00131D65" w:rsidRPr="00713625" w:rsidRDefault="00346A8F" w:rsidP="00B20211">
      <w:pPr>
        <w:tabs>
          <w:tab w:val="right" w:pos="0"/>
        </w:tabs>
        <w:snapToGrid w:val="0"/>
        <w:spacing w:before="0" w:after="0" w:line="240" w:lineRule="auto"/>
        <w:ind w:firstLine="0"/>
        <w:jc w:val="center"/>
        <w:rPr>
          <w:sz w:val="20"/>
          <w:szCs w:val="20"/>
          <w:vertAlign w:val="superscript"/>
          <w:lang w:eastAsia="zh-CN"/>
        </w:rPr>
      </w:pPr>
      <w:r w:rsidRPr="00713625">
        <w:rPr>
          <w:sz w:val="20"/>
          <w:szCs w:val="20"/>
        </w:rPr>
        <w:t>Amina El-Sayed</w:t>
      </w:r>
      <w:r w:rsidRPr="00713625">
        <w:rPr>
          <w:sz w:val="20"/>
          <w:szCs w:val="20"/>
          <w:vertAlign w:val="superscript"/>
        </w:rPr>
        <w:t>1</w:t>
      </w:r>
      <w:r w:rsidRPr="00713625">
        <w:rPr>
          <w:sz w:val="20"/>
          <w:szCs w:val="20"/>
        </w:rPr>
        <w:t>, Amany A. Ghazy</w:t>
      </w:r>
      <w:r w:rsidRPr="00713625">
        <w:rPr>
          <w:sz w:val="20"/>
          <w:szCs w:val="20"/>
          <w:vertAlign w:val="superscript"/>
        </w:rPr>
        <w:t>2</w:t>
      </w:r>
      <w:r w:rsidRPr="00713625">
        <w:rPr>
          <w:sz w:val="20"/>
          <w:szCs w:val="20"/>
        </w:rPr>
        <w:t>, Rabie R. Abdelwahed</w:t>
      </w:r>
      <w:r w:rsidRPr="00713625">
        <w:rPr>
          <w:sz w:val="20"/>
          <w:szCs w:val="20"/>
          <w:vertAlign w:val="superscript"/>
        </w:rPr>
        <w:t>3</w:t>
      </w:r>
      <w:r w:rsidRPr="00713625">
        <w:rPr>
          <w:sz w:val="20"/>
          <w:szCs w:val="20"/>
        </w:rPr>
        <w:t xml:space="preserve">, </w:t>
      </w:r>
      <w:r w:rsidR="00131D65" w:rsidRPr="00713625">
        <w:rPr>
          <w:sz w:val="20"/>
          <w:szCs w:val="20"/>
        </w:rPr>
        <w:t>Eman M. Saied</w:t>
      </w:r>
      <w:r w:rsidRPr="00713625">
        <w:rPr>
          <w:sz w:val="20"/>
          <w:szCs w:val="20"/>
          <w:vertAlign w:val="superscript"/>
        </w:rPr>
        <w:t>4</w:t>
      </w:r>
    </w:p>
    <w:p w:rsidR="00B20211" w:rsidRPr="00713625" w:rsidRDefault="00B20211" w:rsidP="00B20211">
      <w:pPr>
        <w:tabs>
          <w:tab w:val="right" w:pos="0"/>
        </w:tabs>
        <w:snapToGrid w:val="0"/>
        <w:spacing w:before="0" w:after="0" w:line="240" w:lineRule="auto"/>
        <w:ind w:firstLine="0"/>
        <w:jc w:val="center"/>
        <w:rPr>
          <w:sz w:val="20"/>
          <w:szCs w:val="20"/>
          <w:lang w:eastAsia="zh-CN"/>
        </w:rPr>
      </w:pPr>
    </w:p>
    <w:p w:rsidR="00346A8F" w:rsidRPr="00713625" w:rsidRDefault="00346A8F" w:rsidP="00B20211">
      <w:pPr>
        <w:shd w:val="clear" w:color="auto" w:fill="FFFFFF"/>
        <w:tabs>
          <w:tab w:val="right" w:pos="0"/>
        </w:tabs>
        <w:snapToGrid w:val="0"/>
        <w:spacing w:before="0" w:after="0" w:line="240" w:lineRule="auto"/>
        <w:ind w:firstLine="0"/>
        <w:jc w:val="center"/>
        <w:rPr>
          <w:rFonts w:eastAsia="Times New Roman"/>
          <w:sz w:val="20"/>
          <w:szCs w:val="20"/>
        </w:rPr>
      </w:pPr>
      <w:r w:rsidRPr="00713625">
        <w:rPr>
          <w:sz w:val="20"/>
          <w:szCs w:val="20"/>
          <w:vertAlign w:val="superscript"/>
          <w:lang w:bidi="ar-EG"/>
        </w:rPr>
        <w:t xml:space="preserve">1 </w:t>
      </w:r>
      <w:r w:rsidRPr="00713625">
        <w:rPr>
          <w:sz w:val="20"/>
          <w:szCs w:val="20"/>
          <w:lang w:bidi="ar-EG"/>
        </w:rPr>
        <w:t>Department of</w:t>
      </w:r>
      <w:r w:rsidRPr="00713625">
        <w:rPr>
          <w:noProof/>
          <w:sz w:val="20"/>
          <w:szCs w:val="20"/>
          <w:lang w:bidi="ar-EG"/>
        </w:rPr>
        <w:t xml:space="preserve"> Immunology</w:t>
      </w:r>
      <w:r w:rsidRPr="00713625">
        <w:rPr>
          <w:sz w:val="20"/>
          <w:szCs w:val="20"/>
          <w:lang w:bidi="ar-EG"/>
        </w:rPr>
        <w:t xml:space="preserve"> and Allergy, Medical Research Institute, AlexandriaUniversity.</w:t>
      </w:r>
    </w:p>
    <w:p w:rsidR="00346A8F" w:rsidRPr="00713625" w:rsidRDefault="00346A8F" w:rsidP="00B20211">
      <w:pPr>
        <w:shd w:val="clear" w:color="auto" w:fill="FFFFFF"/>
        <w:snapToGrid w:val="0"/>
        <w:spacing w:before="0" w:after="0" w:line="240" w:lineRule="auto"/>
        <w:ind w:firstLine="0"/>
        <w:jc w:val="center"/>
        <w:rPr>
          <w:noProof/>
          <w:sz w:val="20"/>
          <w:szCs w:val="20"/>
          <w:lang w:bidi="ar-EG"/>
        </w:rPr>
      </w:pPr>
      <w:r w:rsidRPr="00713625">
        <w:rPr>
          <w:sz w:val="20"/>
          <w:szCs w:val="20"/>
          <w:vertAlign w:val="superscript"/>
          <w:lang w:bidi="ar-EG"/>
        </w:rPr>
        <w:t>2</w:t>
      </w:r>
      <w:r w:rsidRPr="00713625">
        <w:rPr>
          <w:noProof/>
          <w:sz w:val="20"/>
          <w:szCs w:val="20"/>
          <w:lang w:bidi="ar-EG"/>
        </w:rPr>
        <w:t>Department of Microbiology and Immunology, Faculty of Medicine, Kafrelskeikh University.</w:t>
      </w:r>
    </w:p>
    <w:p w:rsidR="00346A8F" w:rsidRPr="00713625" w:rsidRDefault="00346A8F" w:rsidP="00B20211">
      <w:pPr>
        <w:shd w:val="clear" w:color="auto" w:fill="FFFFFF"/>
        <w:tabs>
          <w:tab w:val="right" w:pos="0"/>
        </w:tabs>
        <w:snapToGrid w:val="0"/>
        <w:spacing w:before="0" w:after="0" w:line="240" w:lineRule="auto"/>
        <w:ind w:firstLine="0"/>
        <w:jc w:val="center"/>
        <w:rPr>
          <w:rFonts w:eastAsia="Times New Roman"/>
          <w:sz w:val="20"/>
          <w:szCs w:val="20"/>
        </w:rPr>
      </w:pPr>
      <w:r w:rsidRPr="00713625">
        <w:rPr>
          <w:sz w:val="20"/>
          <w:szCs w:val="20"/>
          <w:vertAlign w:val="superscript"/>
          <w:lang w:bidi="ar-EG"/>
        </w:rPr>
        <w:t xml:space="preserve">3 </w:t>
      </w:r>
      <w:r w:rsidRPr="00713625">
        <w:rPr>
          <w:sz w:val="20"/>
          <w:szCs w:val="20"/>
          <w:lang w:bidi="ar-EG"/>
        </w:rPr>
        <w:t>Department of</w:t>
      </w:r>
      <w:r w:rsidRPr="00713625">
        <w:rPr>
          <w:noProof/>
          <w:sz w:val="20"/>
          <w:szCs w:val="20"/>
          <w:lang w:bidi="ar-EG"/>
        </w:rPr>
        <w:t xml:space="preserve"> Surgery</w:t>
      </w:r>
      <w:r w:rsidRPr="00713625">
        <w:rPr>
          <w:sz w:val="20"/>
          <w:szCs w:val="20"/>
          <w:lang w:bidi="ar-EG"/>
        </w:rPr>
        <w:t>, Medical Research Institute, AlexandriaUniversity.</w:t>
      </w:r>
    </w:p>
    <w:p w:rsidR="00131D65" w:rsidRPr="00713625" w:rsidRDefault="00CA7164" w:rsidP="00B20211">
      <w:pPr>
        <w:snapToGrid w:val="0"/>
        <w:spacing w:before="0" w:after="0" w:line="240" w:lineRule="auto"/>
        <w:ind w:firstLine="0"/>
        <w:jc w:val="center"/>
        <w:rPr>
          <w:sz w:val="20"/>
          <w:szCs w:val="20"/>
        </w:rPr>
      </w:pPr>
      <w:r w:rsidRPr="00713625">
        <w:rPr>
          <w:sz w:val="20"/>
          <w:szCs w:val="20"/>
          <w:vertAlign w:val="superscript"/>
        </w:rPr>
        <w:t>4</w:t>
      </w:r>
      <w:r w:rsidRPr="00713625">
        <w:rPr>
          <w:sz w:val="20"/>
          <w:szCs w:val="20"/>
        </w:rPr>
        <w:t xml:space="preserve"> Department</w:t>
      </w:r>
      <w:r w:rsidR="00410DEB" w:rsidRPr="00713625">
        <w:rPr>
          <w:sz w:val="20"/>
          <w:szCs w:val="20"/>
        </w:rPr>
        <w:t xml:space="preserve"> of </w:t>
      </w:r>
      <w:r w:rsidR="00131D65" w:rsidRPr="00713625">
        <w:rPr>
          <w:sz w:val="20"/>
          <w:szCs w:val="20"/>
        </w:rPr>
        <w:t>Pathology, Faculty of Medicine, Kafrelsheikh University</w:t>
      </w:r>
      <w:r w:rsidR="00D2648B" w:rsidRPr="00713625">
        <w:rPr>
          <w:sz w:val="20"/>
          <w:szCs w:val="20"/>
        </w:rPr>
        <w:t>.</w:t>
      </w:r>
    </w:p>
    <w:p w:rsidR="00277194" w:rsidRPr="00713625" w:rsidRDefault="00F27624" w:rsidP="00B20211">
      <w:pPr>
        <w:shd w:val="clear" w:color="auto" w:fill="FFFFFF"/>
        <w:snapToGrid w:val="0"/>
        <w:spacing w:before="0" w:after="0" w:line="240" w:lineRule="auto"/>
        <w:ind w:firstLine="0"/>
        <w:jc w:val="center"/>
        <w:rPr>
          <w:rFonts w:eastAsia="Times New Roman"/>
          <w:color w:val="000000"/>
          <w:sz w:val="20"/>
          <w:szCs w:val="20"/>
          <w:lang w:val="en-US"/>
        </w:rPr>
      </w:pPr>
      <w:hyperlink r:id="rId8" w:tgtFrame="_blank" w:history="1">
        <w:r w:rsidR="00277194" w:rsidRPr="00713625">
          <w:rPr>
            <w:rFonts w:eastAsia="Times New Roman"/>
            <w:color w:val="338FE9"/>
            <w:sz w:val="20"/>
            <w:szCs w:val="20"/>
            <w:u w:val="single"/>
            <w:lang w:val="en-US"/>
          </w:rPr>
          <w:t>dremansaied@gmail.com</w:t>
        </w:r>
      </w:hyperlink>
    </w:p>
    <w:p w:rsidR="00131D65" w:rsidRPr="00713625" w:rsidRDefault="00131D65" w:rsidP="00B20211">
      <w:pPr>
        <w:snapToGrid w:val="0"/>
        <w:spacing w:before="0" w:after="0" w:line="240" w:lineRule="auto"/>
        <w:ind w:firstLine="0"/>
        <w:jc w:val="center"/>
        <w:rPr>
          <w:color w:val="000000"/>
          <w:sz w:val="20"/>
          <w:szCs w:val="20"/>
        </w:rPr>
      </w:pPr>
    </w:p>
    <w:p w:rsidR="008152DB" w:rsidRPr="00713625" w:rsidRDefault="00B20211" w:rsidP="00B20211">
      <w:pPr>
        <w:snapToGrid w:val="0"/>
        <w:spacing w:before="0" w:after="0" w:line="240" w:lineRule="auto"/>
        <w:ind w:firstLine="0"/>
        <w:rPr>
          <w:sz w:val="20"/>
          <w:szCs w:val="20"/>
        </w:rPr>
      </w:pPr>
      <w:r w:rsidRPr="00713625">
        <w:rPr>
          <w:b/>
          <w:bCs/>
          <w:color w:val="000000"/>
          <w:sz w:val="20"/>
          <w:szCs w:val="20"/>
          <w:lang w:val="en-US"/>
        </w:rPr>
        <w:t>Abstract: Background:</w:t>
      </w:r>
      <w:r w:rsidR="009B0BCF" w:rsidRPr="00713625">
        <w:rPr>
          <w:color w:val="000000"/>
          <w:sz w:val="20"/>
          <w:szCs w:val="20"/>
          <w:lang w:val="en-US"/>
        </w:rPr>
        <w:t xml:space="preserve"> Breast cancer (BC) is </w:t>
      </w:r>
      <w:r w:rsidR="009B0BCF" w:rsidRPr="00713625">
        <w:rPr>
          <w:sz w:val="20"/>
          <w:szCs w:val="20"/>
          <w:lang w:val="en-US"/>
        </w:rPr>
        <w:t xml:space="preserve">an important health challenge that women face and affects their safety and productivity. </w:t>
      </w:r>
      <w:r w:rsidR="00450878" w:rsidRPr="00713625">
        <w:rPr>
          <w:sz w:val="20"/>
          <w:szCs w:val="20"/>
          <w:lang w:val="en-US"/>
        </w:rPr>
        <w:t>IL-33 participates in many diseases with dual, pro-inflammatory or protective roles depending on the cellular and cytokine context</w:t>
      </w:r>
      <w:r w:rsidR="00450878" w:rsidRPr="00713625">
        <w:rPr>
          <w:sz w:val="20"/>
          <w:szCs w:val="20"/>
          <w:lang w:bidi="ar-EG"/>
        </w:rPr>
        <w:t>.</w:t>
      </w:r>
      <w:r w:rsidR="00450878" w:rsidRPr="00713625">
        <w:rPr>
          <w:sz w:val="20"/>
          <w:szCs w:val="20"/>
          <w:lang w:val="en-US"/>
        </w:rPr>
        <w:t xml:space="preserve"> However, the role of IL-33/ST2 axis in carcinogenesis, </w:t>
      </w:r>
      <w:r w:rsidR="00D144BE" w:rsidRPr="00713625">
        <w:rPr>
          <w:sz w:val="20"/>
          <w:szCs w:val="20"/>
          <w:lang w:val="en-US"/>
        </w:rPr>
        <w:t>tumour</w:t>
      </w:r>
      <w:r w:rsidR="00450878" w:rsidRPr="00713625">
        <w:rPr>
          <w:sz w:val="20"/>
          <w:szCs w:val="20"/>
          <w:lang w:val="en-US"/>
        </w:rPr>
        <w:t xml:space="preserve"> progression and prognosis </w:t>
      </w:r>
      <w:r w:rsidR="000A5857" w:rsidRPr="00713625">
        <w:rPr>
          <w:sz w:val="20"/>
          <w:szCs w:val="20"/>
          <w:lang w:val="en-US"/>
        </w:rPr>
        <w:t>is still</w:t>
      </w:r>
      <w:r w:rsidR="00450878" w:rsidRPr="00713625">
        <w:rPr>
          <w:sz w:val="20"/>
          <w:szCs w:val="20"/>
          <w:lang w:val="en-US"/>
        </w:rPr>
        <w:t xml:space="preserve"> unclear</w:t>
      </w:r>
      <w:r w:rsidR="00450878" w:rsidRPr="00713625">
        <w:rPr>
          <w:sz w:val="20"/>
          <w:szCs w:val="20"/>
        </w:rPr>
        <w:t>.Prohibitin (PHB) is a multifunctional protein located in different intracellular sites</w:t>
      </w:r>
      <w:r w:rsidR="00B132D3" w:rsidRPr="00713625">
        <w:rPr>
          <w:sz w:val="20"/>
          <w:szCs w:val="20"/>
          <w:lang w:bidi="ar-EG"/>
        </w:rPr>
        <w:t xml:space="preserve">.It </w:t>
      </w:r>
      <w:r w:rsidR="000A5857" w:rsidRPr="00713625">
        <w:rPr>
          <w:sz w:val="20"/>
          <w:szCs w:val="20"/>
          <w:lang w:bidi="ar-EG"/>
        </w:rPr>
        <w:t>shows overexpression</w:t>
      </w:r>
      <w:r w:rsidR="00450878" w:rsidRPr="00713625">
        <w:rPr>
          <w:sz w:val="20"/>
          <w:szCs w:val="20"/>
        </w:rPr>
        <w:t xml:space="preserve"> in many cancers suggesting its role in tumourigenesis</w:t>
      </w:r>
      <w:r w:rsidR="00B01FEA" w:rsidRPr="00713625">
        <w:rPr>
          <w:sz w:val="20"/>
          <w:szCs w:val="20"/>
        </w:rPr>
        <w:t>.</w:t>
      </w:r>
      <w:r w:rsidRPr="00713625">
        <w:rPr>
          <w:b/>
          <w:bCs/>
          <w:sz w:val="20"/>
          <w:szCs w:val="20"/>
          <w:lang w:bidi="ar-EG"/>
        </w:rPr>
        <w:t>Aim:</w:t>
      </w:r>
      <w:r w:rsidR="00450878" w:rsidRPr="00713625">
        <w:rPr>
          <w:sz w:val="20"/>
          <w:szCs w:val="20"/>
        </w:rPr>
        <w:t xml:space="preserve">The present </w:t>
      </w:r>
      <w:r w:rsidR="004A2B74" w:rsidRPr="00713625">
        <w:rPr>
          <w:sz w:val="20"/>
          <w:szCs w:val="20"/>
        </w:rPr>
        <w:t xml:space="preserve">work </w:t>
      </w:r>
      <w:r w:rsidR="00A61FA8" w:rsidRPr="00713625">
        <w:rPr>
          <w:sz w:val="20"/>
          <w:szCs w:val="20"/>
        </w:rPr>
        <w:t>was designed</w:t>
      </w:r>
      <w:r w:rsidR="004A2B74" w:rsidRPr="00713625">
        <w:rPr>
          <w:sz w:val="20"/>
          <w:szCs w:val="20"/>
        </w:rPr>
        <w:t xml:space="preserve">to study </w:t>
      </w:r>
      <w:r w:rsidR="004A2B74" w:rsidRPr="00713625">
        <w:rPr>
          <w:sz w:val="20"/>
          <w:szCs w:val="20"/>
          <w:shd w:val="clear" w:color="auto" w:fill="FFFFFF"/>
        </w:rPr>
        <w:t>the clinic</w:t>
      </w:r>
      <w:r w:rsidR="00F47107" w:rsidRPr="00713625">
        <w:rPr>
          <w:sz w:val="20"/>
          <w:szCs w:val="20"/>
          <w:shd w:val="clear" w:color="auto" w:fill="FFFFFF"/>
        </w:rPr>
        <w:t>o</w:t>
      </w:r>
      <w:r w:rsidR="004A2B74" w:rsidRPr="00713625">
        <w:rPr>
          <w:sz w:val="20"/>
          <w:szCs w:val="20"/>
          <w:shd w:val="clear" w:color="auto" w:fill="FFFFFF"/>
        </w:rPr>
        <w:t>pathological</w:t>
      </w:r>
      <w:r w:rsidR="006A79B0" w:rsidRPr="00713625">
        <w:rPr>
          <w:sz w:val="20"/>
          <w:szCs w:val="20"/>
          <w:shd w:val="clear" w:color="auto" w:fill="FFFFFF"/>
        </w:rPr>
        <w:t xml:space="preserve">and prognostic </w:t>
      </w:r>
      <w:r w:rsidR="004A2B74" w:rsidRPr="00713625">
        <w:rPr>
          <w:sz w:val="20"/>
          <w:szCs w:val="20"/>
          <w:shd w:val="clear" w:color="auto" w:fill="FFFFFF"/>
        </w:rPr>
        <w:t>significance of IL-33/ST2 axis and prohibitin in breast cancer</w:t>
      </w:r>
      <w:r w:rsidR="00450878" w:rsidRPr="00713625">
        <w:rPr>
          <w:sz w:val="20"/>
          <w:szCs w:val="20"/>
        </w:rPr>
        <w:t>.</w:t>
      </w:r>
      <w:r w:rsidRPr="00713625">
        <w:rPr>
          <w:b/>
          <w:bCs/>
          <w:sz w:val="20"/>
          <w:szCs w:val="20"/>
        </w:rPr>
        <w:t xml:space="preserve"> Subjects &amp; Methods:</w:t>
      </w:r>
      <w:r w:rsidR="00450878" w:rsidRPr="00713625">
        <w:rPr>
          <w:sz w:val="20"/>
          <w:szCs w:val="20"/>
        </w:rPr>
        <w:t xml:space="preserve"> The current study was conducted on 45 patients with breast </w:t>
      </w:r>
      <w:r w:rsidR="00BA115F" w:rsidRPr="00713625">
        <w:rPr>
          <w:sz w:val="20"/>
          <w:szCs w:val="20"/>
        </w:rPr>
        <w:t xml:space="preserve">lesions </w:t>
      </w:r>
      <w:r w:rsidR="00450878" w:rsidRPr="00713625">
        <w:rPr>
          <w:sz w:val="20"/>
          <w:szCs w:val="20"/>
        </w:rPr>
        <w:t>(benign</w:t>
      </w:r>
      <w:r w:rsidR="00BA115F" w:rsidRPr="00713625">
        <w:rPr>
          <w:sz w:val="20"/>
          <w:szCs w:val="20"/>
        </w:rPr>
        <w:t xml:space="preserve"> lesions</w:t>
      </w:r>
      <w:r w:rsidR="00450878" w:rsidRPr="00713625">
        <w:rPr>
          <w:sz w:val="20"/>
          <w:szCs w:val="20"/>
        </w:rPr>
        <w:t xml:space="preserve">, </w:t>
      </w:r>
      <w:r w:rsidR="00C429FF" w:rsidRPr="00713625">
        <w:rPr>
          <w:sz w:val="20"/>
          <w:szCs w:val="20"/>
        </w:rPr>
        <w:t>early and advanced breast cancer</w:t>
      </w:r>
      <w:r w:rsidR="00450878" w:rsidRPr="00713625">
        <w:rPr>
          <w:sz w:val="20"/>
          <w:szCs w:val="20"/>
        </w:rPr>
        <w:t xml:space="preserve">) and </w:t>
      </w:r>
      <w:r w:rsidR="00C429FF" w:rsidRPr="00713625">
        <w:rPr>
          <w:sz w:val="20"/>
          <w:szCs w:val="20"/>
        </w:rPr>
        <w:t>15</w:t>
      </w:r>
      <w:r w:rsidR="00450878" w:rsidRPr="00713625">
        <w:rPr>
          <w:sz w:val="20"/>
          <w:szCs w:val="20"/>
        </w:rPr>
        <w:t xml:space="preserve"> healthy volunteers. </w:t>
      </w:r>
      <w:r w:rsidR="00C429FF" w:rsidRPr="00713625">
        <w:rPr>
          <w:sz w:val="20"/>
          <w:szCs w:val="20"/>
        </w:rPr>
        <w:t>IL-33 and ST2</w:t>
      </w:r>
      <w:r w:rsidR="00450878" w:rsidRPr="00713625">
        <w:rPr>
          <w:sz w:val="20"/>
          <w:szCs w:val="20"/>
        </w:rPr>
        <w:t xml:space="preserve"> serum levels were measured by ELISA. Expression</w:t>
      </w:r>
      <w:r w:rsidR="006D3BCC" w:rsidRPr="00713625">
        <w:rPr>
          <w:sz w:val="20"/>
          <w:szCs w:val="20"/>
        </w:rPr>
        <w:t>s</w:t>
      </w:r>
      <w:r w:rsidR="00450878" w:rsidRPr="00713625">
        <w:rPr>
          <w:sz w:val="20"/>
          <w:szCs w:val="20"/>
        </w:rPr>
        <w:t xml:space="preserve"> of </w:t>
      </w:r>
      <w:r w:rsidR="00C429FF" w:rsidRPr="00713625">
        <w:rPr>
          <w:sz w:val="20"/>
          <w:szCs w:val="20"/>
        </w:rPr>
        <w:t>IL-33</w:t>
      </w:r>
      <w:r w:rsidR="005C4FA6" w:rsidRPr="00713625">
        <w:rPr>
          <w:sz w:val="20"/>
          <w:szCs w:val="20"/>
        </w:rPr>
        <w:t xml:space="preserve">and prohibitin </w:t>
      </w:r>
      <w:r w:rsidR="00C429FF" w:rsidRPr="00713625">
        <w:rPr>
          <w:sz w:val="20"/>
          <w:szCs w:val="20"/>
        </w:rPr>
        <w:t xml:space="preserve">in breast tissue </w:t>
      </w:r>
      <w:r w:rsidR="006D3BCC" w:rsidRPr="00713625">
        <w:rPr>
          <w:sz w:val="20"/>
          <w:szCs w:val="20"/>
        </w:rPr>
        <w:t>were</w:t>
      </w:r>
      <w:r w:rsidR="00450878" w:rsidRPr="00713625">
        <w:rPr>
          <w:sz w:val="20"/>
          <w:szCs w:val="20"/>
        </w:rPr>
        <w:t xml:space="preserve">assessed by </w:t>
      </w:r>
      <w:r w:rsidR="00BA115F" w:rsidRPr="00713625">
        <w:rPr>
          <w:sz w:val="20"/>
          <w:szCs w:val="20"/>
        </w:rPr>
        <w:t>immunohistochemistry</w:t>
      </w:r>
      <w:r w:rsidR="00450878" w:rsidRPr="00713625">
        <w:rPr>
          <w:sz w:val="20"/>
          <w:szCs w:val="20"/>
        </w:rPr>
        <w:t>.</w:t>
      </w:r>
      <w:r w:rsidRPr="00713625">
        <w:rPr>
          <w:b/>
          <w:bCs/>
          <w:sz w:val="20"/>
          <w:szCs w:val="20"/>
        </w:rPr>
        <w:t xml:space="preserve"> Results: </w:t>
      </w:r>
      <w:r w:rsidR="00C429FF" w:rsidRPr="00713625">
        <w:rPr>
          <w:sz w:val="20"/>
          <w:szCs w:val="20"/>
        </w:rPr>
        <w:t xml:space="preserve">Serum levels of IL-33 </w:t>
      </w:r>
      <w:r w:rsidR="00692E1B" w:rsidRPr="00713625">
        <w:rPr>
          <w:sz w:val="20"/>
          <w:szCs w:val="20"/>
        </w:rPr>
        <w:t>and</w:t>
      </w:r>
      <w:r w:rsidR="005454C0" w:rsidRPr="00713625">
        <w:rPr>
          <w:sz w:val="20"/>
          <w:szCs w:val="20"/>
        </w:rPr>
        <w:t xml:space="preserve"> immunohistochemical expression </w:t>
      </w:r>
      <w:r w:rsidR="00775279" w:rsidRPr="00713625">
        <w:rPr>
          <w:sz w:val="20"/>
          <w:szCs w:val="20"/>
        </w:rPr>
        <w:t xml:space="preserve">of prohibitin </w:t>
      </w:r>
      <w:r w:rsidR="00C429FF" w:rsidRPr="00713625">
        <w:rPr>
          <w:sz w:val="20"/>
          <w:szCs w:val="20"/>
        </w:rPr>
        <w:t>were significant</w:t>
      </w:r>
      <w:r w:rsidR="00D0253B" w:rsidRPr="00713625">
        <w:rPr>
          <w:sz w:val="20"/>
          <w:szCs w:val="20"/>
        </w:rPr>
        <w:t>ly</w:t>
      </w:r>
      <w:r w:rsidR="00C429FF" w:rsidRPr="00713625">
        <w:rPr>
          <w:sz w:val="20"/>
          <w:szCs w:val="20"/>
        </w:rPr>
        <w:t xml:space="preserve"> increased in groups with breast lesions compared </w:t>
      </w:r>
      <w:r w:rsidR="00F8507B" w:rsidRPr="00713625">
        <w:rPr>
          <w:sz w:val="20"/>
          <w:szCs w:val="20"/>
        </w:rPr>
        <w:t>to</w:t>
      </w:r>
      <w:r w:rsidR="00C429FF" w:rsidRPr="00713625">
        <w:rPr>
          <w:sz w:val="20"/>
          <w:szCs w:val="20"/>
        </w:rPr>
        <w:t xml:space="preserve"> the control group</w:t>
      </w:r>
      <w:r w:rsidR="00775279" w:rsidRPr="00713625">
        <w:rPr>
          <w:sz w:val="20"/>
          <w:szCs w:val="20"/>
        </w:rPr>
        <w:t xml:space="preserve"> (</w:t>
      </w:r>
      <w:r w:rsidR="00D9262A" w:rsidRPr="00713625">
        <w:rPr>
          <w:sz w:val="20"/>
          <w:szCs w:val="20"/>
        </w:rPr>
        <w:t>p&lt;0.0</w:t>
      </w:r>
      <w:r w:rsidR="00AE2E68" w:rsidRPr="00713625">
        <w:rPr>
          <w:sz w:val="20"/>
          <w:szCs w:val="20"/>
        </w:rPr>
        <w:t>5</w:t>
      </w:r>
      <w:r w:rsidR="00775279" w:rsidRPr="00713625">
        <w:rPr>
          <w:sz w:val="20"/>
          <w:szCs w:val="20"/>
        </w:rPr>
        <w:t>)</w:t>
      </w:r>
      <w:r w:rsidR="00FF06AC" w:rsidRPr="00713625">
        <w:rPr>
          <w:sz w:val="20"/>
          <w:szCs w:val="20"/>
        </w:rPr>
        <w:t>.I</w:t>
      </w:r>
      <w:r w:rsidR="00AE2E68" w:rsidRPr="00713625">
        <w:rPr>
          <w:sz w:val="20"/>
          <w:szCs w:val="20"/>
        </w:rPr>
        <w:t>mmunohistochemical expression of IL-33 showed significant differences between malignant tumours and control group</w:t>
      </w:r>
      <w:r w:rsidR="00827F79" w:rsidRPr="00713625">
        <w:rPr>
          <w:sz w:val="20"/>
          <w:szCs w:val="20"/>
        </w:rPr>
        <w:t xml:space="preserve"> (</w:t>
      </w:r>
      <w:r w:rsidR="001A2ABA" w:rsidRPr="00713625">
        <w:rPr>
          <w:sz w:val="20"/>
          <w:szCs w:val="20"/>
        </w:rPr>
        <w:t>p</w:t>
      </w:r>
      <w:r w:rsidR="00827F79" w:rsidRPr="00713625">
        <w:rPr>
          <w:sz w:val="20"/>
          <w:szCs w:val="20"/>
        </w:rPr>
        <w:t>&lt;0.05)</w:t>
      </w:r>
      <w:r w:rsidR="00FF06AC" w:rsidRPr="00713625">
        <w:rPr>
          <w:sz w:val="20"/>
          <w:szCs w:val="20"/>
        </w:rPr>
        <w:t>, while benign lesions showed higher expression than the control group but the difference was statistically insignificant (</w:t>
      </w:r>
      <w:r w:rsidR="001A2ABA" w:rsidRPr="00713625">
        <w:rPr>
          <w:sz w:val="20"/>
          <w:szCs w:val="20"/>
        </w:rPr>
        <w:t xml:space="preserve">p </w:t>
      </w:r>
      <w:r w:rsidR="00FF06AC" w:rsidRPr="00713625">
        <w:rPr>
          <w:sz w:val="20"/>
          <w:szCs w:val="20"/>
        </w:rPr>
        <w:t xml:space="preserve">&gt;0.05). </w:t>
      </w:r>
      <w:r w:rsidR="00C429FF" w:rsidRPr="00713625">
        <w:rPr>
          <w:sz w:val="20"/>
          <w:szCs w:val="20"/>
        </w:rPr>
        <w:t xml:space="preserve">In addition, </w:t>
      </w:r>
      <w:r w:rsidR="00982196" w:rsidRPr="00713625">
        <w:rPr>
          <w:sz w:val="20"/>
          <w:szCs w:val="20"/>
        </w:rPr>
        <w:t xml:space="preserve">Serum levels of IL-33 </w:t>
      </w:r>
      <w:r w:rsidR="0065466B" w:rsidRPr="00713625">
        <w:rPr>
          <w:sz w:val="20"/>
          <w:szCs w:val="20"/>
        </w:rPr>
        <w:t>as well as immunohistochemical expressions of IL-33 and</w:t>
      </w:r>
      <w:r w:rsidR="00982196" w:rsidRPr="00713625">
        <w:rPr>
          <w:sz w:val="20"/>
          <w:szCs w:val="20"/>
        </w:rPr>
        <w:t xml:space="preserve"> prohibitin </w:t>
      </w:r>
      <w:r w:rsidR="006B53E6" w:rsidRPr="00713625">
        <w:rPr>
          <w:sz w:val="20"/>
          <w:szCs w:val="20"/>
        </w:rPr>
        <w:t xml:space="preserve">were significantly higher in breast cancer </w:t>
      </w:r>
      <w:r w:rsidR="00EC665E" w:rsidRPr="00713625">
        <w:rPr>
          <w:sz w:val="20"/>
          <w:szCs w:val="20"/>
        </w:rPr>
        <w:t>cases</w:t>
      </w:r>
      <w:r w:rsidR="006B53E6" w:rsidRPr="00713625">
        <w:rPr>
          <w:sz w:val="20"/>
          <w:szCs w:val="20"/>
        </w:rPr>
        <w:t xml:space="preserve"> compared to those with benign breast lesions</w:t>
      </w:r>
      <w:r w:rsidR="00775279" w:rsidRPr="00713625">
        <w:rPr>
          <w:sz w:val="20"/>
          <w:szCs w:val="20"/>
        </w:rPr>
        <w:t xml:space="preserve"> (</w:t>
      </w:r>
      <w:r w:rsidR="001A2ABA" w:rsidRPr="00713625">
        <w:rPr>
          <w:sz w:val="20"/>
          <w:szCs w:val="20"/>
        </w:rPr>
        <w:t xml:space="preserve">p </w:t>
      </w:r>
      <w:r w:rsidR="00775279" w:rsidRPr="00713625">
        <w:rPr>
          <w:sz w:val="20"/>
          <w:szCs w:val="20"/>
        </w:rPr>
        <w:t>&lt;0.05)</w:t>
      </w:r>
      <w:r w:rsidR="006B53E6" w:rsidRPr="00713625">
        <w:rPr>
          <w:sz w:val="20"/>
          <w:szCs w:val="20"/>
        </w:rPr>
        <w:t xml:space="preserve">, moreover, they showed significant increase with </w:t>
      </w:r>
      <w:r w:rsidR="00C429FF" w:rsidRPr="00713625">
        <w:rPr>
          <w:sz w:val="20"/>
          <w:szCs w:val="20"/>
        </w:rPr>
        <w:t>progression of cancer from early "stage I and II" to advanced breast cancer "stage III" (</w:t>
      </w:r>
      <w:r w:rsidR="001A2ABA" w:rsidRPr="00713625">
        <w:rPr>
          <w:sz w:val="20"/>
          <w:szCs w:val="20"/>
        </w:rPr>
        <w:t xml:space="preserve">p </w:t>
      </w:r>
      <w:r w:rsidR="00C429FF" w:rsidRPr="00713625">
        <w:rPr>
          <w:sz w:val="20"/>
          <w:szCs w:val="20"/>
        </w:rPr>
        <w:t>&lt;0.0</w:t>
      </w:r>
      <w:r w:rsidR="00775279" w:rsidRPr="00713625">
        <w:rPr>
          <w:sz w:val="20"/>
          <w:szCs w:val="20"/>
        </w:rPr>
        <w:t>5</w:t>
      </w:r>
      <w:r w:rsidR="00C429FF" w:rsidRPr="00713625">
        <w:rPr>
          <w:sz w:val="20"/>
          <w:szCs w:val="20"/>
        </w:rPr>
        <w:t>). Serum levels of sST2</w:t>
      </w:r>
      <w:r w:rsidR="009329B6" w:rsidRPr="00713625">
        <w:rPr>
          <w:sz w:val="20"/>
          <w:szCs w:val="20"/>
        </w:rPr>
        <w:t xml:space="preserve"> were significantly higher in breast lesions compared to the control group (</w:t>
      </w:r>
      <w:r w:rsidR="001A2ABA" w:rsidRPr="00713625">
        <w:rPr>
          <w:sz w:val="20"/>
          <w:szCs w:val="20"/>
        </w:rPr>
        <w:t xml:space="preserve">p </w:t>
      </w:r>
      <w:r w:rsidR="009329B6" w:rsidRPr="00713625">
        <w:rPr>
          <w:sz w:val="20"/>
          <w:szCs w:val="20"/>
        </w:rPr>
        <w:t>&lt;0.001)</w:t>
      </w:r>
      <w:r w:rsidR="009866E2" w:rsidRPr="00713625">
        <w:rPr>
          <w:sz w:val="20"/>
          <w:szCs w:val="20"/>
        </w:rPr>
        <w:t>;</w:t>
      </w:r>
      <w:r w:rsidR="009329B6" w:rsidRPr="00713625">
        <w:rPr>
          <w:sz w:val="20"/>
          <w:szCs w:val="20"/>
        </w:rPr>
        <w:t xml:space="preserve"> however, they were</w:t>
      </w:r>
      <w:r w:rsidR="00B30C6B" w:rsidRPr="00713625">
        <w:rPr>
          <w:sz w:val="20"/>
          <w:szCs w:val="20"/>
        </w:rPr>
        <w:t xml:space="preserve">lower in malignant cases than these with benign lesions, but the differences were statistically </w:t>
      </w:r>
      <w:r w:rsidR="008B683E" w:rsidRPr="00713625">
        <w:rPr>
          <w:sz w:val="20"/>
          <w:szCs w:val="20"/>
        </w:rPr>
        <w:t>in</w:t>
      </w:r>
      <w:r w:rsidR="00B30C6B" w:rsidRPr="00713625">
        <w:rPr>
          <w:sz w:val="20"/>
          <w:szCs w:val="20"/>
        </w:rPr>
        <w:t>significant (</w:t>
      </w:r>
      <w:r w:rsidR="001A2ABA" w:rsidRPr="00713625">
        <w:rPr>
          <w:sz w:val="20"/>
          <w:szCs w:val="20"/>
        </w:rPr>
        <w:t xml:space="preserve">p </w:t>
      </w:r>
      <w:r w:rsidR="00B30C6B" w:rsidRPr="00713625">
        <w:rPr>
          <w:sz w:val="20"/>
          <w:szCs w:val="20"/>
        </w:rPr>
        <w:t xml:space="preserve">=0.158). </w:t>
      </w:r>
      <w:r w:rsidR="000A5857" w:rsidRPr="00713625">
        <w:rPr>
          <w:sz w:val="20"/>
          <w:szCs w:val="20"/>
        </w:rPr>
        <w:t>There was a significant positive correlation between the serum level of IL-33 and its immunohistochemical expression</w:t>
      </w:r>
      <w:r w:rsidR="00506432" w:rsidRPr="00713625">
        <w:rPr>
          <w:sz w:val="20"/>
          <w:szCs w:val="20"/>
        </w:rPr>
        <w:t xml:space="preserve"> in all studied groups</w:t>
      </w:r>
      <w:r w:rsidR="00841D9B" w:rsidRPr="00713625">
        <w:rPr>
          <w:sz w:val="20"/>
          <w:szCs w:val="20"/>
          <w:lang w:bidi="ar-EG"/>
        </w:rPr>
        <w:t>(</w:t>
      </w:r>
      <w:r w:rsidR="001A2ABA" w:rsidRPr="00713625">
        <w:rPr>
          <w:sz w:val="20"/>
          <w:szCs w:val="20"/>
        </w:rPr>
        <w:t>p</w:t>
      </w:r>
      <w:r w:rsidR="00841D9B" w:rsidRPr="00713625">
        <w:rPr>
          <w:sz w:val="20"/>
          <w:szCs w:val="20"/>
          <w:lang w:bidi="ar-EG"/>
        </w:rPr>
        <w:t>&lt;0.05)</w:t>
      </w:r>
      <w:r w:rsidR="00506432" w:rsidRPr="00713625">
        <w:rPr>
          <w:sz w:val="20"/>
          <w:szCs w:val="20"/>
        </w:rPr>
        <w:t xml:space="preserve">, and </w:t>
      </w:r>
      <w:r w:rsidR="00506432" w:rsidRPr="00713625">
        <w:rPr>
          <w:sz w:val="20"/>
          <w:szCs w:val="20"/>
          <w:lang w:bidi="ar-EG"/>
        </w:rPr>
        <w:t xml:space="preserve">a significant positive correlation between </w:t>
      </w:r>
      <w:r w:rsidR="00506432" w:rsidRPr="00713625">
        <w:rPr>
          <w:sz w:val="20"/>
          <w:szCs w:val="20"/>
        </w:rPr>
        <w:t xml:space="preserve">IL-33 and </w:t>
      </w:r>
      <w:r w:rsidR="00FC57F4" w:rsidRPr="00713625">
        <w:rPr>
          <w:sz w:val="20"/>
          <w:szCs w:val="20"/>
        </w:rPr>
        <w:t>prohibitin</w:t>
      </w:r>
      <w:r w:rsidR="00506432" w:rsidRPr="00713625">
        <w:rPr>
          <w:sz w:val="20"/>
          <w:szCs w:val="20"/>
        </w:rPr>
        <w:t xml:space="preserve"> immunohistochemical expression in malignant breast tumours </w:t>
      </w:r>
      <w:r w:rsidR="00506432" w:rsidRPr="00713625">
        <w:rPr>
          <w:sz w:val="20"/>
          <w:szCs w:val="20"/>
          <w:lang w:bidi="ar-EG"/>
        </w:rPr>
        <w:t>(</w:t>
      </w:r>
      <w:r w:rsidR="001A2ABA" w:rsidRPr="00713625">
        <w:rPr>
          <w:sz w:val="20"/>
          <w:szCs w:val="20"/>
        </w:rPr>
        <w:t>p</w:t>
      </w:r>
      <w:r w:rsidR="00506432" w:rsidRPr="00713625">
        <w:rPr>
          <w:sz w:val="20"/>
          <w:szCs w:val="20"/>
          <w:lang w:bidi="ar-EG"/>
        </w:rPr>
        <w:t>&lt;0.05).</w:t>
      </w:r>
      <w:r w:rsidRPr="00713625">
        <w:rPr>
          <w:b/>
          <w:bCs/>
          <w:sz w:val="20"/>
          <w:szCs w:val="20"/>
        </w:rPr>
        <w:t xml:space="preserve">Conclusion: </w:t>
      </w:r>
      <w:r w:rsidR="00D55BF3" w:rsidRPr="00713625">
        <w:rPr>
          <w:sz w:val="20"/>
          <w:szCs w:val="20"/>
        </w:rPr>
        <w:t xml:space="preserve">IL-33/ST2 and prohibitin have vital roles in breast cancer development.  </w:t>
      </w:r>
      <w:r w:rsidR="00EE1720" w:rsidRPr="00713625">
        <w:rPr>
          <w:sz w:val="20"/>
          <w:szCs w:val="20"/>
        </w:rPr>
        <w:t xml:space="preserve">The increased expression of </w:t>
      </w:r>
      <w:r w:rsidR="00D55BF3" w:rsidRPr="00713625">
        <w:rPr>
          <w:sz w:val="20"/>
          <w:szCs w:val="20"/>
        </w:rPr>
        <w:t>IL-33 and prohibitin with increasing tumour grade and stage</w:t>
      </w:r>
      <w:r w:rsidR="00EE1720" w:rsidRPr="00713625">
        <w:rPr>
          <w:sz w:val="20"/>
          <w:szCs w:val="20"/>
        </w:rPr>
        <w:t xml:space="preserve"> indicates that they may be useful prognostic markers for breast cancer</w:t>
      </w:r>
      <w:r w:rsidR="00D55BF3" w:rsidRPr="00713625">
        <w:rPr>
          <w:sz w:val="20"/>
          <w:szCs w:val="20"/>
        </w:rPr>
        <w:t>.</w:t>
      </w:r>
    </w:p>
    <w:p w:rsidR="00B20211" w:rsidRPr="00713625" w:rsidRDefault="003A2196" w:rsidP="00B20211">
      <w:pPr>
        <w:pStyle w:val="NoSpacing"/>
        <w:snapToGrid w:val="0"/>
        <w:ind w:firstLine="0"/>
        <w:rPr>
          <w:color w:val="000000"/>
          <w:sz w:val="20"/>
          <w:szCs w:val="20"/>
          <w:shd w:val="clear" w:color="auto" w:fill="FFFFFF"/>
        </w:rPr>
      </w:pPr>
      <w:r w:rsidRPr="00713625">
        <w:rPr>
          <w:sz w:val="20"/>
          <w:szCs w:val="20"/>
        </w:rPr>
        <w:t>[Amina El-Sayed, Amany A. Ghazy, Rabie R. Abdelwahed, Eman M. Saied</w:t>
      </w:r>
      <w:r w:rsidR="00B20211" w:rsidRPr="00713625">
        <w:rPr>
          <w:rFonts w:hint="eastAsia"/>
          <w:sz w:val="20"/>
          <w:szCs w:val="20"/>
          <w:lang w:eastAsia="zh-CN"/>
        </w:rPr>
        <w:t>.</w:t>
      </w:r>
      <w:r w:rsidRPr="00713625">
        <w:rPr>
          <w:b/>
          <w:bCs/>
          <w:color w:val="000000"/>
          <w:sz w:val="20"/>
          <w:szCs w:val="20"/>
          <w:lang w:val="en-US"/>
        </w:rPr>
        <w:t xml:space="preserve"> IL-33/ST2 Axis and Prohibitin in Breast Cancer: Clinicopathological and Prognostic Significance</w:t>
      </w:r>
      <w:r w:rsidR="00B20211" w:rsidRPr="00713625">
        <w:rPr>
          <w:rFonts w:eastAsia="Times New Roman"/>
          <w:b/>
          <w:bCs/>
          <w:sz w:val="20"/>
          <w:szCs w:val="20"/>
          <w:lang w:bidi="fa-IR"/>
        </w:rPr>
        <w:t>.</w:t>
      </w:r>
      <w:r w:rsidR="00B20211" w:rsidRPr="00713625">
        <w:rPr>
          <w:i/>
          <w:sz w:val="20"/>
          <w:szCs w:val="20"/>
        </w:rPr>
        <w:t xml:space="preserve"> Cancer Biology</w:t>
      </w:r>
      <w:r w:rsidR="00B20211" w:rsidRPr="00713625">
        <w:rPr>
          <w:sz w:val="20"/>
          <w:szCs w:val="20"/>
        </w:rPr>
        <w:t xml:space="preserve"> 201</w:t>
      </w:r>
      <w:r w:rsidR="00A85732">
        <w:rPr>
          <w:rFonts w:hint="eastAsia"/>
          <w:sz w:val="20"/>
          <w:szCs w:val="20"/>
          <w:lang w:eastAsia="zh-CN"/>
        </w:rPr>
        <w:t>7</w:t>
      </w:r>
      <w:r w:rsidR="00B20211" w:rsidRPr="00713625">
        <w:rPr>
          <w:sz w:val="20"/>
          <w:szCs w:val="20"/>
        </w:rPr>
        <w:t>;</w:t>
      </w:r>
      <w:r w:rsidR="00A85732">
        <w:rPr>
          <w:rFonts w:hint="eastAsia"/>
          <w:sz w:val="20"/>
          <w:szCs w:val="20"/>
          <w:lang w:eastAsia="zh-CN"/>
        </w:rPr>
        <w:t>7</w:t>
      </w:r>
      <w:r w:rsidR="00B20211" w:rsidRPr="00713625">
        <w:rPr>
          <w:sz w:val="20"/>
          <w:szCs w:val="20"/>
        </w:rPr>
        <w:t>(</w:t>
      </w:r>
      <w:r w:rsidR="00A85732">
        <w:rPr>
          <w:rFonts w:hint="eastAsia"/>
          <w:sz w:val="20"/>
          <w:szCs w:val="20"/>
          <w:lang w:eastAsia="zh-CN"/>
        </w:rPr>
        <w:t>1</w:t>
      </w:r>
      <w:r w:rsidR="00B20211" w:rsidRPr="00713625">
        <w:rPr>
          <w:sz w:val="20"/>
          <w:szCs w:val="20"/>
        </w:rPr>
        <w:t>):</w:t>
      </w:r>
      <w:r w:rsidR="00A85732">
        <w:rPr>
          <w:rFonts w:hint="eastAsia"/>
          <w:sz w:val="20"/>
          <w:szCs w:val="20"/>
          <w:lang w:eastAsia="zh-CN"/>
        </w:rPr>
        <w:t>9</w:t>
      </w:r>
      <w:r w:rsidR="00B20211" w:rsidRPr="00713625">
        <w:rPr>
          <w:color w:val="000000"/>
          <w:sz w:val="20"/>
          <w:szCs w:val="20"/>
        </w:rPr>
        <w:t>-</w:t>
      </w:r>
      <w:r w:rsidR="00A85732">
        <w:rPr>
          <w:rFonts w:hint="eastAsia"/>
          <w:color w:val="000000"/>
          <w:sz w:val="20"/>
          <w:szCs w:val="20"/>
          <w:lang w:eastAsia="zh-CN"/>
        </w:rPr>
        <w:t>17</w:t>
      </w:r>
      <w:r w:rsidR="00B20211" w:rsidRPr="00713625">
        <w:rPr>
          <w:sz w:val="20"/>
          <w:szCs w:val="20"/>
        </w:rPr>
        <w:t xml:space="preserve">]. </w:t>
      </w:r>
      <w:r w:rsidR="00B20211" w:rsidRPr="00713625">
        <w:rPr>
          <w:rStyle w:val="msonormal0"/>
          <w:rFonts w:eastAsia="宋"/>
          <w:sz w:val="20"/>
          <w:szCs w:val="20"/>
        </w:rPr>
        <w:t>ISSN: 2150-1041 (print); ISSN: 2150-105X (online)</w:t>
      </w:r>
      <w:r w:rsidR="00B20211" w:rsidRPr="00713625">
        <w:rPr>
          <w:sz w:val="20"/>
          <w:szCs w:val="20"/>
        </w:rPr>
        <w:t xml:space="preserve">. </w:t>
      </w:r>
      <w:hyperlink r:id="rId9" w:history="1">
        <w:r w:rsidR="00B20211" w:rsidRPr="00713625">
          <w:rPr>
            <w:rStyle w:val="Hyperlink"/>
            <w:sz w:val="20"/>
            <w:szCs w:val="20"/>
          </w:rPr>
          <w:t>http://www.cancerbio.net</w:t>
        </w:r>
      </w:hyperlink>
      <w:r w:rsidR="00B20211" w:rsidRPr="00713625">
        <w:rPr>
          <w:sz w:val="20"/>
          <w:szCs w:val="20"/>
        </w:rPr>
        <w:t>.</w:t>
      </w:r>
      <w:r w:rsidR="00A85732">
        <w:rPr>
          <w:rFonts w:hint="eastAsia"/>
          <w:sz w:val="20"/>
          <w:szCs w:val="20"/>
          <w:lang w:eastAsia="zh-CN"/>
        </w:rPr>
        <w:t>2</w:t>
      </w:r>
      <w:r w:rsidR="00B20211" w:rsidRPr="00713625">
        <w:rPr>
          <w:rFonts w:hint="eastAsia"/>
          <w:sz w:val="20"/>
          <w:szCs w:val="20"/>
        </w:rPr>
        <w:t xml:space="preserve">. </w:t>
      </w:r>
      <w:r w:rsidR="00B20211" w:rsidRPr="00713625">
        <w:rPr>
          <w:color w:val="000000"/>
          <w:sz w:val="20"/>
          <w:szCs w:val="20"/>
          <w:shd w:val="clear" w:color="auto" w:fill="FFFFFF"/>
        </w:rPr>
        <w:t>doi:</w:t>
      </w:r>
      <w:hyperlink r:id="rId10" w:history="1">
        <w:r w:rsidR="00B20211" w:rsidRPr="00713625">
          <w:rPr>
            <w:rStyle w:val="Hyperlink"/>
            <w:sz w:val="20"/>
            <w:szCs w:val="20"/>
            <w:shd w:val="clear" w:color="auto" w:fill="FFFFFF"/>
          </w:rPr>
          <w:t>10.7537/mars</w:t>
        </w:r>
        <w:r w:rsidR="00B20211" w:rsidRPr="00713625">
          <w:rPr>
            <w:rStyle w:val="Hyperlink"/>
            <w:rFonts w:hint="eastAsia"/>
            <w:sz w:val="20"/>
            <w:szCs w:val="20"/>
            <w:shd w:val="clear" w:color="auto" w:fill="FFFFFF"/>
          </w:rPr>
          <w:t>cbj0</w:t>
        </w:r>
        <w:r w:rsidR="00A85732">
          <w:rPr>
            <w:rStyle w:val="Hyperlink"/>
            <w:rFonts w:hint="eastAsia"/>
            <w:sz w:val="20"/>
            <w:szCs w:val="20"/>
            <w:shd w:val="clear" w:color="auto" w:fill="FFFFFF"/>
            <w:lang w:eastAsia="zh-CN"/>
          </w:rPr>
          <w:t>7</w:t>
        </w:r>
        <w:r w:rsidR="00B20211" w:rsidRPr="00713625">
          <w:rPr>
            <w:rStyle w:val="Hyperlink"/>
            <w:rFonts w:hint="eastAsia"/>
            <w:sz w:val="20"/>
            <w:szCs w:val="20"/>
            <w:shd w:val="clear" w:color="auto" w:fill="FFFFFF"/>
          </w:rPr>
          <w:t>0</w:t>
        </w:r>
        <w:r w:rsidR="00A85732">
          <w:rPr>
            <w:rStyle w:val="Hyperlink"/>
            <w:rFonts w:hint="eastAsia"/>
            <w:sz w:val="20"/>
            <w:szCs w:val="20"/>
            <w:shd w:val="clear" w:color="auto" w:fill="FFFFFF"/>
            <w:lang w:eastAsia="zh-CN"/>
          </w:rPr>
          <w:t>1</w:t>
        </w:r>
        <w:r w:rsidR="00B20211" w:rsidRPr="00713625">
          <w:rPr>
            <w:rStyle w:val="Hyperlink"/>
            <w:sz w:val="20"/>
            <w:szCs w:val="20"/>
            <w:shd w:val="clear" w:color="auto" w:fill="FFFFFF"/>
          </w:rPr>
          <w:t>1</w:t>
        </w:r>
        <w:r w:rsidR="00A85732">
          <w:rPr>
            <w:rStyle w:val="Hyperlink"/>
            <w:rFonts w:hint="eastAsia"/>
            <w:sz w:val="20"/>
            <w:szCs w:val="20"/>
            <w:shd w:val="clear" w:color="auto" w:fill="FFFFFF"/>
            <w:lang w:eastAsia="zh-CN"/>
          </w:rPr>
          <w:t>7</w:t>
        </w:r>
        <w:r w:rsidR="00B20211" w:rsidRPr="00713625">
          <w:rPr>
            <w:rStyle w:val="Hyperlink"/>
            <w:rFonts w:hint="eastAsia"/>
            <w:sz w:val="20"/>
            <w:szCs w:val="20"/>
            <w:shd w:val="clear" w:color="auto" w:fill="FFFFFF"/>
          </w:rPr>
          <w:t>.</w:t>
        </w:r>
        <w:r w:rsidR="00B20211" w:rsidRPr="00713625">
          <w:rPr>
            <w:rStyle w:val="Hyperlink"/>
            <w:sz w:val="20"/>
            <w:szCs w:val="20"/>
            <w:shd w:val="clear" w:color="auto" w:fill="FFFFFF"/>
          </w:rPr>
          <w:t>0</w:t>
        </w:r>
        <w:r w:rsidR="00A85732">
          <w:rPr>
            <w:rStyle w:val="Hyperlink"/>
            <w:rFonts w:hint="eastAsia"/>
            <w:sz w:val="20"/>
            <w:szCs w:val="20"/>
            <w:shd w:val="clear" w:color="auto" w:fill="FFFFFF"/>
            <w:lang w:eastAsia="zh-CN"/>
          </w:rPr>
          <w:t>2</w:t>
        </w:r>
      </w:hyperlink>
      <w:r w:rsidR="00B20211" w:rsidRPr="00713625">
        <w:rPr>
          <w:color w:val="000000"/>
          <w:sz w:val="20"/>
          <w:szCs w:val="20"/>
          <w:shd w:val="clear" w:color="auto" w:fill="FFFFFF"/>
        </w:rPr>
        <w:t>.</w:t>
      </w:r>
    </w:p>
    <w:p w:rsidR="003A2196" w:rsidRPr="00713625" w:rsidRDefault="003A2196" w:rsidP="00B20211">
      <w:pPr>
        <w:snapToGrid w:val="0"/>
        <w:spacing w:before="0" w:after="0" w:line="240" w:lineRule="auto"/>
        <w:ind w:firstLine="0"/>
        <w:rPr>
          <w:b/>
          <w:bCs/>
          <w:sz w:val="20"/>
          <w:szCs w:val="20"/>
        </w:rPr>
      </w:pPr>
    </w:p>
    <w:p w:rsidR="00C429FF" w:rsidRPr="00713625" w:rsidRDefault="00C429FF" w:rsidP="00B20211">
      <w:pPr>
        <w:snapToGrid w:val="0"/>
        <w:spacing w:before="0" w:after="0" w:line="240" w:lineRule="auto"/>
        <w:ind w:firstLine="0"/>
        <w:rPr>
          <w:sz w:val="20"/>
          <w:szCs w:val="20"/>
        </w:rPr>
      </w:pPr>
      <w:r w:rsidRPr="00713625">
        <w:rPr>
          <w:b/>
          <w:bCs/>
          <w:sz w:val="20"/>
          <w:szCs w:val="20"/>
        </w:rPr>
        <w:t>Key words:</w:t>
      </w:r>
      <w:r w:rsidR="00D55BF3" w:rsidRPr="00713625">
        <w:rPr>
          <w:sz w:val="20"/>
          <w:szCs w:val="20"/>
        </w:rPr>
        <w:t>B</w:t>
      </w:r>
      <w:r w:rsidRPr="00713625">
        <w:rPr>
          <w:sz w:val="20"/>
          <w:szCs w:val="20"/>
        </w:rPr>
        <w:t xml:space="preserve">reast cancer, IL-33/ST2, </w:t>
      </w:r>
      <w:r w:rsidR="00D55BF3" w:rsidRPr="00713625">
        <w:rPr>
          <w:sz w:val="20"/>
          <w:szCs w:val="20"/>
        </w:rPr>
        <w:t>P</w:t>
      </w:r>
      <w:r w:rsidRPr="00713625">
        <w:rPr>
          <w:sz w:val="20"/>
          <w:szCs w:val="20"/>
        </w:rPr>
        <w:t xml:space="preserve">rohibitin, </w:t>
      </w:r>
      <w:r w:rsidR="00D55BF3" w:rsidRPr="00713625">
        <w:rPr>
          <w:sz w:val="20"/>
          <w:szCs w:val="20"/>
        </w:rPr>
        <w:t>P</w:t>
      </w:r>
      <w:r w:rsidRPr="00713625">
        <w:rPr>
          <w:sz w:val="20"/>
          <w:szCs w:val="20"/>
        </w:rPr>
        <w:t>rognosis</w:t>
      </w:r>
      <w:r w:rsidR="00D0253B" w:rsidRPr="00713625">
        <w:rPr>
          <w:sz w:val="20"/>
          <w:szCs w:val="20"/>
        </w:rPr>
        <w:t>, IHC</w:t>
      </w:r>
    </w:p>
    <w:p w:rsidR="00B20211" w:rsidRPr="00713625" w:rsidRDefault="00B20211" w:rsidP="00B20211">
      <w:pPr>
        <w:tabs>
          <w:tab w:val="left" w:pos="709"/>
        </w:tabs>
        <w:snapToGrid w:val="0"/>
        <w:spacing w:before="0" w:after="0" w:line="240" w:lineRule="auto"/>
        <w:ind w:firstLine="0"/>
        <w:rPr>
          <w:color w:val="000000"/>
          <w:sz w:val="20"/>
          <w:szCs w:val="20"/>
          <w:lang w:val="en-US" w:eastAsia="zh-CN"/>
        </w:rPr>
      </w:pPr>
    </w:p>
    <w:p w:rsidR="00B20211" w:rsidRPr="00713625" w:rsidRDefault="00B20211" w:rsidP="00B20211">
      <w:pPr>
        <w:tabs>
          <w:tab w:val="left" w:pos="709"/>
        </w:tabs>
        <w:snapToGrid w:val="0"/>
        <w:spacing w:before="0" w:after="0" w:line="240" w:lineRule="auto"/>
        <w:ind w:firstLine="0"/>
        <w:rPr>
          <w:color w:val="000000"/>
          <w:sz w:val="20"/>
          <w:szCs w:val="20"/>
          <w:lang w:val="en-US" w:eastAsia="zh-CN"/>
        </w:rPr>
        <w:sectPr w:rsidR="00B20211" w:rsidRPr="00713625" w:rsidSect="00A85732">
          <w:headerReference w:type="default" r:id="rId11"/>
          <w:footerReference w:type="default" r:id="rId12"/>
          <w:endnotePr>
            <w:numFmt w:val="decimal"/>
          </w:endnotePr>
          <w:type w:val="continuous"/>
          <w:pgSz w:w="12242" w:h="15842" w:code="1"/>
          <w:pgMar w:top="1440" w:right="1440" w:bottom="1440" w:left="1440" w:header="720" w:footer="720" w:gutter="0"/>
          <w:pgNumType w:start="9"/>
          <w:cols w:space="720"/>
          <w:docGrid w:linePitch="360"/>
        </w:sectPr>
      </w:pPr>
    </w:p>
    <w:p w:rsidR="00B20211" w:rsidRPr="00713625" w:rsidRDefault="00B20211" w:rsidP="00544FBE">
      <w:pPr>
        <w:pStyle w:val="CommentText"/>
        <w:snapToGrid w:val="0"/>
        <w:spacing w:before="0" w:after="0"/>
        <w:ind w:firstLine="0"/>
        <w:rPr>
          <w:b/>
          <w:bCs/>
        </w:rPr>
      </w:pPr>
      <w:r w:rsidRPr="00713625">
        <w:rPr>
          <w:b/>
          <w:bCs/>
          <w:color w:val="000000"/>
          <w:lang w:val="en-US"/>
        </w:rPr>
        <w:lastRenderedPageBreak/>
        <w:t xml:space="preserve">1. Background </w:t>
      </w:r>
      <w:r w:rsidR="00544FBE">
        <w:rPr>
          <w:b/>
          <w:bCs/>
          <w:color w:val="000000"/>
          <w:lang w:val="en-US"/>
        </w:rPr>
        <w:t>a</w:t>
      </w:r>
      <w:r w:rsidRPr="00713625">
        <w:rPr>
          <w:b/>
          <w:bCs/>
          <w:color w:val="000000"/>
          <w:lang w:val="en-US"/>
        </w:rPr>
        <w:t xml:space="preserve">nd </w:t>
      </w:r>
      <w:r w:rsidR="00544FBE">
        <w:rPr>
          <w:b/>
          <w:bCs/>
          <w:color w:val="000000"/>
          <w:lang w:val="en-US"/>
        </w:rPr>
        <w:t>a</w:t>
      </w:r>
      <w:r w:rsidRPr="00713625">
        <w:rPr>
          <w:b/>
          <w:bCs/>
          <w:color w:val="000000"/>
          <w:lang w:val="en-US"/>
        </w:rPr>
        <w:t>im</w:t>
      </w:r>
    </w:p>
    <w:p w:rsidR="005918E1" w:rsidRPr="00713625" w:rsidRDefault="009B0BCF" w:rsidP="00B20211">
      <w:pPr>
        <w:tabs>
          <w:tab w:val="left" w:pos="709"/>
        </w:tabs>
        <w:snapToGrid w:val="0"/>
        <w:spacing w:before="0" w:after="0" w:line="240" w:lineRule="auto"/>
        <w:ind w:firstLine="425"/>
        <w:rPr>
          <w:sz w:val="20"/>
          <w:szCs w:val="20"/>
          <w:lang w:val="en-US"/>
        </w:rPr>
      </w:pPr>
      <w:r w:rsidRPr="00713625">
        <w:rPr>
          <w:sz w:val="20"/>
          <w:szCs w:val="20"/>
          <w:lang w:val="en-US"/>
        </w:rPr>
        <w:t xml:space="preserve">Breast cancer (BC) </w:t>
      </w:r>
      <w:r w:rsidR="00C74C77" w:rsidRPr="00713625">
        <w:rPr>
          <w:sz w:val="20"/>
          <w:szCs w:val="20"/>
          <w:lang w:val="en-US"/>
        </w:rPr>
        <w:t>is the most frequently diagnosed cancer in females, and the second leading cause of cancer death</w:t>
      </w:r>
      <w:r w:rsidR="005B7C76" w:rsidRPr="00713625">
        <w:rPr>
          <w:sz w:val="20"/>
          <w:szCs w:val="20"/>
        </w:rPr>
        <w:t xml:space="preserve">(Abdulkareem, 2013). </w:t>
      </w:r>
      <w:r w:rsidR="00C74C77" w:rsidRPr="00713625">
        <w:rPr>
          <w:sz w:val="20"/>
          <w:szCs w:val="20"/>
          <w:lang w:val="en-US"/>
        </w:rPr>
        <w:t xml:space="preserve">According to global cancer statistics, BC accounts for 23% of all new </w:t>
      </w:r>
      <w:r w:rsidR="007A6A94" w:rsidRPr="00713625">
        <w:rPr>
          <w:sz w:val="20"/>
          <w:szCs w:val="20"/>
          <w:lang w:val="en-US"/>
        </w:rPr>
        <w:t xml:space="preserve">cancer cases, </w:t>
      </w:r>
      <w:r w:rsidR="00C74C77" w:rsidRPr="00713625">
        <w:rPr>
          <w:sz w:val="20"/>
          <w:szCs w:val="20"/>
          <w:lang w:val="en-US"/>
        </w:rPr>
        <w:t xml:space="preserve">worldwide </w:t>
      </w:r>
      <w:r w:rsidR="005B7C76" w:rsidRPr="00713625">
        <w:rPr>
          <w:sz w:val="20"/>
          <w:szCs w:val="20"/>
        </w:rPr>
        <w:t>(Kruk, 2014)</w:t>
      </w:r>
      <w:r w:rsidR="00C74C77" w:rsidRPr="00713625">
        <w:rPr>
          <w:sz w:val="20"/>
          <w:szCs w:val="20"/>
          <w:lang w:val="en-US"/>
        </w:rPr>
        <w:t xml:space="preserve">. In Egypt, data from the National Cancer Institute (Cairo) showed that breast cancer is the commonest cancer among Egyptian women, representing 37% of all female cancers. </w:t>
      </w:r>
      <w:r w:rsidR="007A6A94" w:rsidRPr="00713625">
        <w:rPr>
          <w:sz w:val="20"/>
          <w:szCs w:val="20"/>
          <w:lang w:val="en-US"/>
        </w:rPr>
        <w:t>I</w:t>
      </w:r>
      <w:r w:rsidR="00C74C77" w:rsidRPr="00713625">
        <w:rPr>
          <w:sz w:val="20"/>
          <w:szCs w:val="20"/>
          <w:lang w:val="en-US"/>
        </w:rPr>
        <w:t>t was responsible for 15% of all cancer deaths, as more than 60-80% of patients are presented at advanced stage</w:t>
      </w:r>
      <w:r w:rsidR="005B7C76" w:rsidRPr="00713625">
        <w:rPr>
          <w:sz w:val="20"/>
          <w:szCs w:val="20"/>
          <w:lang w:val="en-US"/>
        </w:rPr>
        <w:t xml:space="preserve"> (</w:t>
      </w:r>
      <w:r w:rsidR="005B7C76" w:rsidRPr="00713625">
        <w:rPr>
          <w:sz w:val="20"/>
          <w:szCs w:val="20"/>
        </w:rPr>
        <w:t xml:space="preserve">Ismail et al., </w:t>
      </w:r>
      <w:r w:rsidR="005B7C76" w:rsidRPr="00713625">
        <w:rPr>
          <w:rFonts w:eastAsia="Times New Roman"/>
          <w:sz w:val="20"/>
          <w:szCs w:val="20"/>
          <w:lang w:val="en-US"/>
        </w:rPr>
        <w:t>2013).</w:t>
      </w:r>
      <w:r w:rsidR="00C74C77" w:rsidRPr="00713625">
        <w:rPr>
          <w:sz w:val="20"/>
          <w:szCs w:val="20"/>
          <w:lang w:val="en-US"/>
        </w:rPr>
        <w:t xml:space="preserve">Women are not only diagnosed with breast cancer in the later stages of the disease but also a higher proportion of younger females in their thirties and forties are clinically presenting with breast cancer </w:t>
      </w:r>
      <w:r w:rsidR="00075523" w:rsidRPr="00713625">
        <w:rPr>
          <w:sz w:val="20"/>
          <w:szCs w:val="20"/>
          <w:lang w:val="en-US"/>
        </w:rPr>
        <w:t>(</w:t>
      </w:r>
      <w:r w:rsidR="00075523" w:rsidRPr="00713625">
        <w:rPr>
          <w:sz w:val="20"/>
          <w:szCs w:val="20"/>
        </w:rPr>
        <w:t>Miller, 2010).</w:t>
      </w:r>
    </w:p>
    <w:p w:rsidR="007A6A94" w:rsidRPr="00713625" w:rsidRDefault="00C74C77" w:rsidP="00B20211">
      <w:pPr>
        <w:tabs>
          <w:tab w:val="left" w:pos="709"/>
        </w:tabs>
        <w:snapToGrid w:val="0"/>
        <w:spacing w:before="0" w:after="0" w:line="240" w:lineRule="auto"/>
        <w:ind w:firstLine="425"/>
        <w:rPr>
          <w:sz w:val="20"/>
          <w:szCs w:val="20"/>
          <w:lang w:val="en-US"/>
        </w:rPr>
      </w:pPr>
      <w:r w:rsidRPr="00713625">
        <w:rPr>
          <w:sz w:val="20"/>
          <w:szCs w:val="20"/>
          <w:lang w:val="en-US"/>
        </w:rPr>
        <w:lastRenderedPageBreak/>
        <w:t>Although the roles of BRCA1, BRCA2 and HER-2/neu antigens is well</w:t>
      </w:r>
      <w:r w:rsidR="00B1141E" w:rsidRPr="00713625">
        <w:rPr>
          <w:sz w:val="20"/>
          <w:szCs w:val="20"/>
          <w:lang w:val="en-US"/>
        </w:rPr>
        <w:t>-</w:t>
      </w:r>
      <w:r w:rsidRPr="00713625">
        <w:rPr>
          <w:sz w:val="20"/>
          <w:szCs w:val="20"/>
          <w:lang w:val="en-US"/>
        </w:rPr>
        <w:t xml:space="preserve">established in breast cancer, recent evidence has shed more light on triple negative breast cancer which has a worse prognosis </w:t>
      </w:r>
      <w:r w:rsidR="005B7C76" w:rsidRPr="00713625">
        <w:rPr>
          <w:sz w:val="20"/>
          <w:szCs w:val="20"/>
        </w:rPr>
        <w:t>(Kruk, 2014</w:t>
      </w:r>
      <w:r w:rsidR="005B7C76" w:rsidRPr="00713625">
        <w:rPr>
          <w:sz w:val="20"/>
          <w:szCs w:val="20"/>
          <w:lang w:val="en-US"/>
        </w:rPr>
        <w:t>)</w:t>
      </w:r>
      <w:r w:rsidRPr="00713625">
        <w:rPr>
          <w:sz w:val="20"/>
          <w:szCs w:val="20"/>
          <w:lang w:val="en-US"/>
        </w:rPr>
        <w:t>.Thus, early diagnosis and effective therapies for breast cancer are imperative. However, a limited number of biomarkers for BC have been validated for clinical application</w:t>
      </w:r>
      <w:r w:rsidR="007A6A94" w:rsidRPr="00713625">
        <w:rPr>
          <w:sz w:val="20"/>
          <w:szCs w:val="20"/>
          <w:lang w:val="en-US"/>
        </w:rPr>
        <w:t xml:space="preserve"> (</w:t>
      </w:r>
      <w:r w:rsidR="007A6A94" w:rsidRPr="00713625">
        <w:rPr>
          <w:sz w:val="20"/>
          <w:szCs w:val="20"/>
        </w:rPr>
        <w:t xml:space="preserve">Lu </w:t>
      </w:r>
      <w:r w:rsidR="001A2ABA" w:rsidRPr="00713625">
        <w:rPr>
          <w:sz w:val="20"/>
          <w:szCs w:val="20"/>
        </w:rPr>
        <w:t>et al.,</w:t>
      </w:r>
      <w:r w:rsidR="007A6A94" w:rsidRPr="00713625">
        <w:rPr>
          <w:sz w:val="20"/>
          <w:szCs w:val="20"/>
        </w:rPr>
        <w:t xml:space="preserve"> 2014).</w:t>
      </w:r>
    </w:p>
    <w:p w:rsidR="00133C61" w:rsidRPr="00713625" w:rsidRDefault="00C74C77" w:rsidP="00B20211">
      <w:pPr>
        <w:tabs>
          <w:tab w:val="left" w:pos="709"/>
        </w:tabs>
        <w:snapToGrid w:val="0"/>
        <w:spacing w:before="0" w:after="0" w:line="240" w:lineRule="auto"/>
        <w:ind w:firstLine="425"/>
        <w:rPr>
          <w:sz w:val="20"/>
          <w:szCs w:val="20"/>
        </w:rPr>
      </w:pPr>
      <w:r w:rsidRPr="00713625">
        <w:rPr>
          <w:sz w:val="20"/>
          <w:szCs w:val="20"/>
          <w:lang w:val="en-US"/>
        </w:rPr>
        <w:t>Interleukin-33 (IL-33) is a novel member of the IL-1 family of cytokines</w:t>
      </w:r>
      <w:r w:rsidR="00ED7ECC" w:rsidRPr="00713625">
        <w:rPr>
          <w:sz w:val="20"/>
          <w:szCs w:val="20"/>
          <w:lang w:val="en-US"/>
        </w:rPr>
        <w:t xml:space="preserve"> (</w:t>
      </w:r>
      <w:r w:rsidR="00ED7ECC" w:rsidRPr="00713625">
        <w:rPr>
          <w:sz w:val="20"/>
          <w:szCs w:val="20"/>
        </w:rPr>
        <w:t xml:space="preserve">Schmitz </w:t>
      </w:r>
      <w:r w:rsidR="001A2ABA" w:rsidRPr="00713625">
        <w:rPr>
          <w:sz w:val="20"/>
          <w:szCs w:val="20"/>
        </w:rPr>
        <w:t>et al.,</w:t>
      </w:r>
      <w:r w:rsidR="00ED7ECC" w:rsidRPr="00713625">
        <w:rPr>
          <w:sz w:val="20"/>
          <w:szCs w:val="20"/>
        </w:rPr>
        <w:t xml:space="preserve">2005). </w:t>
      </w:r>
      <w:r w:rsidRPr="00713625">
        <w:rPr>
          <w:sz w:val="20"/>
          <w:szCs w:val="20"/>
          <w:lang w:val="en-US"/>
        </w:rPr>
        <w:t>It is expressed by various non-hematopoietic cells as fibroblasts, bronchial and epithelial cells, macrophages and dendritic cells</w:t>
      </w:r>
      <w:r w:rsidR="00850FB2" w:rsidRPr="00713625">
        <w:rPr>
          <w:sz w:val="20"/>
          <w:szCs w:val="20"/>
          <w:lang w:val="en-US"/>
        </w:rPr>
        <w:t xml:space="preserve"> (</w:t>
      </w:r>
      <w:r w:rsidR="00ED7ECC" w:rsidRPr="00713625">
        <w:rPr>
          <w:sz w:val="20"/>
          <w:szCs w:val="20"/>
        </w:rPr>
        <w:t>Bergis</w:t>
      </w:r>
      <w:r w:rsidR="001A2ABA" w:rsidRPr="00713625">
        <w:rPr>
          <w:sz w:val="20"/>
          <w:szCs w:val="20"/>
        </w:rPr>
        <w:t>et al.,</w:t>
      </w:r>
      <w:r w:rsidR="00ED7ECC" w:rsidRPr="00713625">
        <w:rPr>
          <w:sz w:val="20"/>
          <w:szCs w:val="20"/>
          <w:lang w:val="da-DK"/>
        </w:rPr>
        <w:t>2013</w:t>
      </w:r>
      <w:r w:rsidR="00850FB2" w:rsidRPr="00713625">
        <w:rPr>
          <w:sz w:val="20"/>
          <w:szCs w:val="20"/>
          <w:lang w:val="da-DK"/>
        </w:rPr>
        <w:t xml:space="preserve">; </w:t>
      </w:r>
      <w:r w:rsidR="00850FB2" w:rsidRPr="00713625">
        <w:rPr>
          <w:sz w:val="20"/>
          <w:szCs w:val="20"/>
        </w:rPr>
        <w:t xml:space="preserve">Liu </w:t>
      </w:r>
      <w:r w:rsidR="001A2ABA" w:rsidRPr="00713625">
        <w:rPr>
          <w:sz w:val="20"/>
          <w:szCs w:val="20"/>
        </w:rPr>
        <w:t>et al.,</w:t>
      </w:r>
      <w:r w:rsidR="00850FB2" w:rsidRPr="00713625">
        <w:rPr>
          <w:sz w:val="20"/>
          <w:szCs w:val="20"/>
        </w:rPr>
        <w:t>2014)</w:t>
      </w:r>
      <w:r w:rsidRPr="00713625">
        <w:rPr>
          <w:sz w:val="20"/>
          <w:szCs w:val="20"/>
          <w:lang w:val="en-US"/>
        </w:rPr>
        <w:t xml:space="preserve">. </w:t>
      </w:r>
      <w:r w:rsidRPr="00713625">
        <w:rPr>
          <w:sz w:val="20"/>
          <w:szCs w:val="20"/>
        </w:rPr>
        <w:t>It is a multifunctional cytokine in immune regulation</w:t>
      </w:r>
      <w:r w:rsidR="00133C61" w:rsidRPr="00713625">
        <w:rPr>
          <w:sz w:val="20"/>
          <w:szCs w:val="20"/>
        </w:rPr>
        <w:t xml:space="preserve"> (</w:t>
      </w:r>
      <w:r w:rsidR="00133C61" w:rsidRPr="00713625">
        <w:rPr>
          <w:sz w:val="20"/>
          <w:szCs w:val="20"/>
          <w:lang w:val="da-DK"/>
        </w:rPr>
        <w:t xml:space="preserve">Chen </w:t>
      </w:r>
      <w:r w:rsidR="001A2ABA" w:rsidRPr="00713625">
        <w:rPr>
          <w:sz w:val="20"/>
          <w:szCs w:val="20"/>
        </w:rPr>
        <w:t>et al.,</w:t>
      </w:r>
      <w:r w:rsidR="00133C61" w:rsidRPr="00713625">
        <w:rPr>
          <w:sz w:val="20"/>
          <w:szCs w:val="20"/>
        </w:rPr>
        <w:t>2014).</w:t>
      </w:r>
    </w:p>
    <w:p w:rsidR="004505FB" w:rsidRPr="00713625" w:rsidRDefault="005B50F1" w:rsidP="00B20211">
      <w:pPr>
        <w:tabs>
          <w:tab w:val="left" w:pos="709"/>
        </w:tabs>
        <w:snapToGrid w:val="0"/>
        <w:spacing w:before="0" w:after="0" w:line="240" w:lineRule="auto"/>
        <w:ind w:firstLine="425"/>
        <w:rPr>
          <w:sz w:val="20"/>
          <w:szCs w:val="20"/>
          <w:lang w:val="en-US"/>
        </w:rPr>
      </w:pPr>
      <w:r w:rsidRPr="00713625">
        <w:rPr>
          <w:sz w:val="20"/>
          <w:szCs w:val="20"/>
        </w:rPr>
        <w:t xml:space="preserve">The signaling of </w:t>
      </w:r>
      <w:r w:rsidR="001E7AF2" w:rsidRPr="00713625">
        <w:rPr>
          <w:sz w:val="20"/>
          <w:szCs w:val="20"/>
        </w:rPr>
        <w:t>IL-33 is mediated by its receptor ST2</w:t>
      </w:r>
      <w:r w:rsidR="002638D1" w:rsidRPr="00713625">
        <w:rPr>
          <w:sz w:val="20"/>
          <w:szCs w:val="20"/>
        </w:rPr>
        <w:t>,</w:t>
      </w:r>
      <w:r w:rsidR="00535518" w:rsidRPr="00713625">
        <w:rPr>
          <w:sz w:val="20"/>
          <w:szCs w:val="20"/>
        </w:rPr>
        <w:t>which</w:t>
      </w:r>
      <w:r w:rsidR="001E7AF2" w:rsidRPr="00713625">
        <w:rPr>
          <w:sz w:val="20"/>
          <w:szCs w:val="20"/>
        </w:rPr>
        <w:t xml:space="preserve"> exists in </w:t>
      </w:r>
      <w:r w:rsidR="002638D1" w:rsidRPr="00713625">
        <w:rPr>
          <w:sz w:val="20"/>
          <w:szCs w:val="20"/>
        </w:rPr>
        <w:t xml:space="preserve">2 forms, </w:t>
      </w:r>
      <w:r w:rsidR="001E7AF2" w:rsidRPr="00713625">
        <w:rPr>
          <w:sz w:val="20"/>
          <w:szCs w:val="20"/>
        </w:rPr>
        <w:t xml:space="preserve">a soluble form </w:t>
      </w:r>
      <w:r w:rsidR="001E7AF2" w:rsidRPr="00713625">
        <w:rPr>
          <w:sz w:val="20"/>
          <w:szCs w:val="20"/>
        </w:rPr>
        <w:lastRenderedPageBreak/>
        <w:t xml:space="preserve">(sST2) and as a transmembrane receptor (ST2L). Binding of IL-33 to ST2L leads to activation of nuclear factor κB and mitogen-activated protein kinase (MAPK) signaling pathways </w:t>
      </w:r>
      <w:r w:rsidR="00197978" w:rsidRPr="00713625">
        <w:rPr>
          <w:sz w:val="20"/>
          <w:szCs w:val="20"/>
        </w:rPr>
        <w:t>(</w:t>
      </w:r>
      <w:r w:rsidR="00696DEE" w:rsidRPr="00713625">
        <w:rPr>
          <w:sz w:val="20"/>
          <w:szCs w:val="20"/>
        </w:rPr>
        <w:t>Bergis</w:t>
      </w:r>
      <w:r w:rsidR="001A2ABA" w:rsidRPr="00713625">
        <w:rPr>
          <w:sz w:val="20"/>
          <w:szCs w:val="20"/>
        </w:rPr>
        <w:t>et al.,</w:t>
      </w:r>
      <w:r w:rsidR="00696DEE" w:rsidRPr="00713625">
        <w:rPr>
          <w:sz w:val="20"/>
          <w:szCs w:val="20"/>
        </w:rPr>
        <w:t>2013).</w:t>
      </w:r>
      <w:r w:rsidR="001E7AF2" w:rsidRPr="00713625">
        <w:rPr>
          <w:sz w:val="20"/>
          <w:szCs w:val="20"/>
        </w:rPr>
        <w:t xml:space="preserve">sST2 is </w:t>
      </w:r>
      <w:r w:rsidR="00535518" w:rsidRPr="00713625">
        <w:rPr>
          <w:sz w:val="20"/>
          <w:szCs w:val="20"/>
        </w:rPr>
        <w:t>suggested</w:t>
      </w:r>
      <w:r w:rsidR="001E7AF2" w:rsidRPr="00713625">
        <w:rPr>
          <w:sz w:val="20"/>
          <w:szCs w:val="20"/>
        </w:rPr>
        <w:t xml:space="preserve"> to act as decoy receptor for IL-33 </w:t>
      </w:r>
      <w:r w:rsidR="00535518" w:rsidRPr="00713625">
        <w:rPr>
          <w:sz w:val="20"/>
          <w:szCs w:val="20"/>
        </w:rPr>
        <w:t>leading to attenuation of</w:t>
      </w:r>
      <w:r w:rsidR="001E7AF2" w:rsidRPr="00713625">
        <w:rPr>
          <w:sz w:val="20"/>
          <w:szCs w:val="20"/>
        </w:rPr>
        <w:t xml:space="preserve"> its biologic activity</w:t>
      </w:r>
      <w:r w:rsidR="004505FB" w:rsidRPr="00713625">
        <w:rPr>
          <w:sz w:val="20"/>
          <w:szCs w:val="20"/>
        </w:rPr>
        <w:t xml:space="preserve"> (Jovanovic</w:t>
      </w:r>
      <w:r w:rsidR="001A2ABA" w:rsidRPr="00713625">
        <w:rPr>
          <w:sz w:val="20"/>
          <w:szCs w:val="20"/>
        </w:rPr>
        <w:t xml:space="preserve">et al., </w:t>
      </w:r>
      <w:r w:rsidR="004505FB" w:rsidRPr="00713625">
        <w:rPr>
          <w:sz w:val="20"/>
          <w:szCs w:val="20"/>
        </w:rPr>
        <w:t xml:space="preserve">2012; </w:t>
      </w:r>
      <w:hyperlink r:id="rId13" w:history="1">
        <w:r w:rsidR="004505FB" w:rsidRPr="00713625">
          <w:rPr>
            <w:sz w:val="20"/>
            <w:szCs w:val="20"/>
          </w:rPr>
          <w:t>Milovanovic</w:t>
        </w:r>
      </w:hyperlink>
      <w:r w:rsidR="001A2ABA" w:rsidRPr="00713625">
        <w:rPr>
          <w:sz w:val="20"/>
          <w:szCs w:val="20"/>
        </w:rPr>
        <w:t>et al.,</w:t>
      </w:r>
      <w:r w:rsidR="004505FB" w:rsidRPr="00713625">
        <w:rPr>
          <w:sz w:val="20"/>
          <w:szCs w:val="20"/>
          <w:lang w:val="en-US"/>
        </w:rPr>
        <w:t>2012).</w:t>
      </w:r>
    </w:p>
    <w:p w:rsidR="00133C61" w:rsidRPr="00713625" w:rsidRDefault="00C74C77" w:rsidP="00B20211">
      <w:pPr>
        <w:tabs>
          <w:tab w:val="left" w:pos="709"/>
        </w:tabs>
        <w:snapToGrid w:val="0"/>
        <w:spacing w:before="0" w:after="0" w:line="240" w:lineRule="auto"/>
        <w:ind w:firstLine="425"/>
        <w:rPr>
          <w:sz w:val="20"/>
          <w:szCs w:val="20"/>
          <w:vertAlign w:val="superscript"/>
        </w:rPr>
      </w:pPr>
      <w:r w:rsidRPr="00713625">
        <w:rPr>
          <w:sz w:val="20"/>
          <w:szCs w:val="20"/>
          <w:lang w:val="en-US"/>
        </w:rPr>
        <w:t>ST2L is expressed by T cells (T-helper 2 "Th2", but not Th1 cells), natural killer "NK"</w:t>
      </w:r>
      <w:r w:rsidR="0085664F" w:rsidRPr="00713625">
        <w:rPr>
          <w:sz w:val="20"/>
          <w:szCs w:val="20"/>
          <w:lang w:val="en-US"/>
        </w:rPr>
        <w:t>,</w:t>
      </w:r>
      <w:r w:rsidRPr="00713625">
        <w:rPr>
          <w:sz w:val="20"/>
          <w:szCs w:val="20"/>
          <w:lang w:val="en-US"/>
        </w:rPr>
        <w:t xml:space="preserve"> NKT cells, mast cells, monocytes, d</w:t>
      </w:r>
      <w:r w:rsidR="00133C61" w:rsidRPr="00713625">
        <w:rPr>
          <w:sz w:val="20"/>
          <w:szCs w:val="20"/>
          <w:lang w:val="en-US"/>
        </w:rPr>
        <w:t>endritic cells and granulocytes</w:t>
      </w:r>
      <w:r w:rsidR="00B25B11" w:rsidRPr="00713625">
        <w:rPr>
          <w:sz w:val="20"/>
          <w:szCs w:val="20"/>
          <w:lang w:val="en-US"/>
        </w:rPr>
        <w:t>.</w:t>
      </w:r>
      <w:r w:rsidRPr="00713625">
        <w:rPr>
          <w:sz w:val="20"/>
          <w:szCs w:val="20"/>
          <w:lang w:val="en-US"/>
        </w:rPr>
        <w:t>IL-33 polarizes naïve T-cells to produce IL-4, IL-5 and IL-13 (Th2-associated cytokines), potently induces pro-inflammatory cytokines and chemokines by mast cells and eosinophils</w:t>
      </w:r>
      <w:r w:rsidR="00F32A4A" w:rsidRPr="00713625">
        <w:rPr>
          <w:sz w:val="20"/>
          <w:szCs w:val="20"/>
          <w:lang w:val="en-US"/>
        </w:rPr>
        <w:t>,</w:t>
      </w:r>
      <w:r w:rsidRPr="00713625">
        <w:rPr>
          <w:sz w:val="20"/>
          <w:szCs w:val="20"/>
          <w:lang w:val="en-US"/>
        </w:rPr>
        <w:t xml:space="preserve"> and amplifies polarization of alternatively activated macrophages. Although ST2 and IL-33 act primarily through a Th2-pathway, IL-33/ST2 axis can also promote Th1-type responses depending on the local conditions, for example, the presence or absence of IL-12 </w:t>
      </w:r>
      <w:r w:rsidR="00133C61" w:rsidRPr="00713625">
        <w:rPr>
          <w:sz w:val="20"/>
          <w:szCs w:val="20"/>
          <w:lang w:val="en-US"/>
        </w:rPr>
        <w:t>(</w:t>
      </w:r>
      <w:r w:rsidR="00133C61" w:rsidRPr="00713625">
        <w:rPr>
          <w:sz w:val="20"/>
          <w:szCs w:val="20"/>
        </w:rPr>
        <w:t>Jovanovic</w:t>
      </w:r>
      <w:r w:rsidR="001A2ABA" w:rsidRPr="00713625">
        <w:rPr>
          <w:sz w:val="20"/>
          <w:szCs w:val="20"/>
        </w:rPr>
        <w:t xml:space="preserve">et al., </w:t>
      </w:r>
      <w:r w:rsidR="00133C61" w:rsidRPr="00713625">
        <w:rPr>
          <w:sz w:val="20"/>
          <w:szCs w:val="20"/>
        </w:rPr>
        <w:t>2012).</w:t>
      </w:r>
    </w:p>
    <w:p w:rsidR="009F74A5" w:rsidRPr="00713625" w:rsidRDefault="00696DEE" w:rsidP="00B20211">
      <w:pPr>
        <w:tabs>
          <w:tab w:val="left" w:pos="709"/>
        </w:tabs>
        <w:snapToGrid w:val="0"/>
        <w:spacing w:before="0" w:after="0" w:line="240" w:lineRule="auto"/>
        <w:ind w:firstLine="425"/>
        <w:rPr>
          <w:sz w:val="20"/>
          <w:szCs w:val="20"/>
        </w:rPr>
      </w:pPr>
      <w:r w:rsidRPr="00713625">
        <w:rPr>
          <w:sz w:val="20"/>
          <w:szCs w:val="20"/>
        </w:rPr>
        <w:t xml:space="preserve">IL-33/ST2 axis has been </w:t>
      </w:r>
      <w:r w:rsidR="00601B83" w:rsidRPr="00713625">
        <w:rPr>
          <w:sz w:val="20"/>
          <w:szCs w:val="20"/>
        </w:rPr>
        <w:t>proved to play important roles in</w:t>
      </w:r>
      <w:r w:rsidRPr="00713625">
        <w:rPr>
          <w:sz w:val="20"/>
          <w:szCs w:val="20"/>
        </w:rPr>
        <w:t xml:space="preserve"> Th2-driven chronic inflammatory conditions such as rheumatoid arthritis, </w:t>
      </w:r>
      <w:r w:rsidR="00601B83" w:rsidRPr="00713625">
        <w:rPr>
          <w:sz w:val="20"/>
          <w:szCs w:val="20"/>
        </w:rPr>
        <w:t xml:space="preserve">bronchial asthma, </w:t>
      </w:r>
      <w:r w:rsidRPr="00713625">
        <w:rPr>
          <w:sz w:val="20"/>
          <w:szCs w:val="20"/>
        </w:rPr>
        <w:t xml:space="preserve">allergic rhinitis, </w:t>
      </w:r>
      <w:r w:rsidR="00601B83" w:rsidRPr="00713625">
        <w:rPr>
          <w:sz w:val="20"/>
          <w:szCs w:val="20"/>
        </w:rPr>
        <w:t xml:space="preserve">and </w:t>
      </w:r>
      <w:r w:rsidRPr="00713625">
        <w:rPr>
          <w:sz w:val="20"/>
          <w:szCs w:val="20"/>
        </w:rPr>
        <w:t>inflammatory bowel disease (Jovanovic</w:t>
      </w:r>
      <w:r w:rsidR="001A2ABA" w:rsidRPr="00713625">
        <w:rPr>
          <w:sz w:val="20"/>
          <w:szCs w:val="20"/>
        </w:rPr>
        <w:t>et al.,</w:t>
      </w:r>
      <w:r w:rsidRPr="00713625">
        <w:rPr>
          <w:sz w:val="20"/>
          <w:szCs w:val="20"/>
        </w:rPr>
        <w:t>2012</w:t>
      </w:r>
      <w:r w:rsidRPr="00713625">
        <w:rPr>
          <w:sz w:val="20"/>
          <w:szCs w:val="20"/>
          <w:lang w:val="en-US"/>
        </w:rPr>
        <w:t>).It</w:t>
      </w:r>
      <w:r w:rsidR="000504DD" w:rsidRPr="00713625">
        <w:rPr>
          <w:sz w:val="20"/>
          <w:szCs w:val="20"/>
          <w:lang w:val="en-US"/>
        </w:rPr>
        <w:t>is involved</w:t>
      </w:r>
      <w:r w:rsidR="00C74C77" w:rsidRPr="00713625">
        <w:rPr>
          <w:sz w:val="20"/>
          <w:szCs w:val="20"/>
          <w:lang w:val="en-US"/>
        </w:rPr>
        <w:t xml:space="preserve"> in many diseases with dual, pro-inflammatory or protective roles depending on t</w:t>
      </w:r>
      <w:r w:rsidR="001655EF" w:rsidRPr="00713625">
        <w:rPr>
          <w:sz w:val="20"/>
          <w:szCs w:val="20"/>
          <w:lang w:val="en-US"/>
        </w:rPr>
        <w:t xml:space="preserve">he cellular and cytokine </w:t>
      </w:r>
      <w:r w:rsidR="00E751E2" w:rsidRPr="00713625">
        <w:rPr>
          <w:sz w:val="20"/>
          <w:szCs w:val="20"/>
          <w:lang w:val="en-US"/>
        </w:rPr>
        <w:t>background</w:t>
      </w:r>
      <w:r w:rsidR="001655EF" w:rsidRPr="00713625">
        <w:rPr>
          <w:sz w:val="20"/>
          <w:szCs w:val="20"/>
          <w:lang w:val="en-US"/>
        </w:rPr>
        <w:t xml:space="preserve"> (</w:t>
      </w:r>
      <w:r w:rsidR="001655EF" w:rsidRPr="00713625">
        <w:rPr>
          <w:sz w:val="20"/>
          <w:szCs w:val="20"/>
          <w:lang w:bidi="ar-EG"/>
        </w:rPr>
        <w:t>Liew</w:t>
      </w:r>
      <w:r w:rsidR="001A2ABA" w:rsidRPr="00713625">
        <w:rPr>
          <w:sz w:val="20"/>
          <w:szCs w:val="20"/>
        </w:rPr>
        <w:t>et al.,</w:t>
      </w:r>
      <w:r w:rsidR="001655EF" w:rsidRPr="00713625">
        <w:rPr>
          <w:sz w:val="20"/>
          <w:szCs w:val="20"/>
          <w:lang w:bidi="ar-EG"/>
        </w:rPr>
        <w:t>2010).</w:t>
      </w:r>
      <w:r w:rsidR="00C74C77" w:rsidRPr="00713625">
        <w:rPr>
          <w:sz w:val="20"/>
          <w:szCs w:val="20"/>
          <w:lang w:val="en-US"/>
        </w:rPr>
        <w:t xml:space="preserve"> However, the role of IL-33/ST2 axis in carcinogenesis, </w:t>
      </w:r>
      <w:r w:rsidR="00D144BE" w:rsidRPr="00713625">
        <w:rPr>
          <w:sz w:val="20"/>
          <w:szCs w:val="20"/>
          <w:lang w:val="en-US"/>
        </w:rPr>
        <w:t>tumour</w:t>
      </w:r>
      <w:r w:rsidR="00C74C77" w:rsidRPr="00713625">
        <w:rPr>
          <w:sz w:val="20"/>
          <w:szCs w:val="20"/>
          <w:lang w:val="en-US"/>
        </w:rPr>
        <w:t xml:space="preserve"> progression and prognosis </w:t>
      </w:r>
      <w:r w:rsidR="00390807" w:rsidRPr="00713625">
        <w:rPr>
          <w:sz w:val="20"/>
          <w:szCs w:val="20"/>
          <w:lang w:val="en-US"/>
        </w:rPr>
        <w:t>is still not fully elucidated</w:t>
      </w:r>
      <w:r w:rsidR="00133C61" w:rsidRPr="00713625">
        <w:rPr>
          <w:sz w:val="20"/>
          <w:szCs w:val="20"/>
        </w:rPr>
        <w:t>.</w:t>
      </w:r>
      <w:r w:rsidR="001655EF" w:rsidRPr="00713625">
        <w:rPr>
          <w:sz w:val="20"/>
          <w:szCs w:val="20"/>
          <w:lang w:val="en-US"/>
        </w:rPr>
        <w:t>It is noticed that IL-33 levels</w:t>
      </w:r>
      <w:r w:rsidR="001655EF" w:rsidRPr="00713625">
        <w:rPr>
          <w:sz w:val="20"/>
          <w:szCs w:val="20"/>
        </w:rPr>
        <w:t>were</w:t>
      </w:r>
      <w:r w:rsidR="00ED7ECC" w:rsidRPr="00713625">
        <w:rPr>
          <w:sz w:val="20"/>
          <w:szCs w:val="20"/>
        </w:rPr>
        <w:t xml:space="preserve"> elevated in the serum of patients with different types of cancer, including gastric, lung</w:t>
      </w:r>
      <w:r w:rsidR="00BA2B10" w:rsidRPr="00713625">
        <w:rPr>
          <w:sz w:val="20"/>
          <w:szCs w:val="20"/>
        </w:rPr>
        <w:t xml:space="preserve"> and hepatocellular cancers</w:t>
      </w:r>
      <w:r w:rsidR="009F74A5" w:rsidRPr="00713625">
        <w:rPr>
          <w:sz w:val="20"/>
          <w:szCs w:val="20"/>
        </w:rPr>
        <w:t xml:space="preserve"> (</w:t>
      </w:r>
      <w:r w:rsidR="004F3B78" w:rsidRPr="00713625">
        <w:rPr>
          <w:sz w:val="20"/>
          <w:szCs w:val="20"/>
          <w:lang w:bidi="ar-EG"/>
        </w:rPr>
        <w:t>Chen</w:t>
      </w:r>
      <w:r w:rsidR="001A2ABA" w:rsidRPr="00713625">
        <w:rPr>
          <w:sz w:val="20"/>
          <w:szCs w:val="20"/>
        </w:rPr>
        <w:t>et al.,</w:t>
      </w:r>
      <w:r w:rsidR="009F74A5" w:rsidRPr="00713625">
        <w:rPr>
          <w:sz w:val="20"/>
          <w:szCs w:val="20"/>
          <w:lang w:bidi="ar-EG"/>
        </w:rPr>
        <w:t>2014).</w:t>
      </w:r>
    </w:p>
    <w:p w:rsidR="00066D30" w:rsidRPr="00713625" w:rsidRDefault="00131D65" w:rsidP="00B20211">
      <w:pPr>
        <w:shd w:val="clear" w:color="auto" w:fill="FFFFFF"/>
        <w:snapToGrid w:val="0"/>
        <w:spacing w:before="0" w:after="0" w:line="240" w:lineRule="auto"/>
        <w:ind w:firstLine="425"/>
        <w:outlineLvl w:val="0"/>
        <w:rPr>
          <w:sz w:val="20"/>
          <w:szCs w:val="20"/>
          <w:lang w:bidi="ar-EG"/>
        </w:rPr>
      </w:pPr>
      <w:r w:rsidRPr="00713625">
        <w:rPr>
          <w:sz w:val="20"/>
          <w:szCs w:val="20"/>
        </w:rPr>
        <w:t xml:space="preserve">Prohibitin (PHB) is a multifunctional protein located in different intracellular </w:t>
      </w:r>
      <w:r w:rsidR="00066D30" w:rsidRPr="00713625">
        <w:rPr>
          <w:sz w:val="20"/>
          <w:szCs w:val="20"/>
        </w:rPr>
        <w:t>sites (</w:t>
      </w:r>
      <w:r w:rsidR="00066D30" w:rsidRPr="00713625">
        <w:rPr>
          <w:sz w:val="20"/>
          <w:szCs w:val="20"/>
          <w:lang w:bidi="ar-EG"/>
        </w:rPr>
        <w:t>Franzoni</w:t>
      </w:r>
      <w:r w:rsidR="001A2ABA" w:rsidRPr="00713625">
        <w:rPr>
          <w:sz w:val="20"/>
          <w:szCs w:val="20"/>
        </w:rPr>
        <w:t>et al.,</w:t>
      </w:r>
      <w:r w:rsidR="00066D30" w:rsidRPr="00713625">
        <w:rPr>
          <w:sz w:val="20"/>
          <w:szCs w:val="20"/>
          <w:lang w:bidi="ar-EG"/>
        </w:rPr>
        <w:t>2009).</w:t>
      </w:r>
      <w:r w:rsidRPr="00713625">
        <w:rPr>
          <w:sz w:val="20"/>
          <w:szCs w:val="20"/>
        </w:rPr>
        <w:t xml:space="preserve"> In addition to its role in maintenance of mitochondrial function and protection against senescence </w:t>
      </w:r>
      <w:r w:rsidR="00066D30" w:rsidRPr="00713625">
        <w:rPr>
          <w:sz w:val="20"/>
          <w:szCs w:val="20"/>
        </w:rPr>
        <w:t>(</w:t>
      </w:r>
      <w:r w:rsidR="00066D30" w:rsidRPr="00713625">
        <w:rPr>
          <w:sz w:val="20"/>
          <w:szCs w:val="20"/>
          <w:lang w:bidi="ar-EG"/>
        </w:rPr>
        <w:t>Najm</w:t>
      </w:r>
      <w:r w:rsidR="001A2ABA" w:rsidRPr="00713625">
        <w:rPr>
          <w:sz w:val="20"/>
          <w:szCs w:val="20"/>
        </w:rPr>
        <w:t>et al.,</w:t>
      </w:r>
      <w:r w:rsidR="00066D30" w:rsidRPr="00713625">
        <w:rPr>
          <w:sz w:val="20"/>
          <w:szCs w:val="20"/>
          <w:lang w:bidi="ar-EG"/>
        </w:rPr>
        <w:t>2013)</w:t>
      </w:r>
      <w:r w:rsidRPr="00713625">
        <w:rPr>
          <w:sz w:val="20"/>
          <w:szCs w:val="20"/>
        </w:rPr>
        <w:t>, overexpression of prohibitin has been described in many cancers suggesting its role in tumourigenesis</w:t>
      </w:r>
      <w:r w:rsidR="00A66A70" w:rsidRPr="00713625">
        <w:rPr>
          <w:sz w:val="20"/>
          <w:szCs w:val="20"/>
        </w:rPr>
        <w:t>.I</w:t>
      </w:r>
      <w:r w:rsidRPr="00713625">
        <w:rPr>
          <w:sz w:val="20"/>
          <w:szCs w:val="20"/>
        </w:rPr>
        <w:t xml:space="preserve">t has been described to be involved in regulation of proliferation, apoptosis and gene transcription </w:t>
      </w:r>
      <w:r w:rsidR="00066D30" w:rsidRPr="00713625">
        <w:rPr>
          <w:sz w:val="20"/>
          <w:szCs w:val="20"/>
        </w:rPr>
        <w:t>(</w:t>
      </w:r>
      <w:r w:rsidR="00066D30" w:rsidRPr="00713625">
        <w:rPr>
          <w:sz w:val="20"/>
          <w:szCs w:val="20"/>
          <w:lang w:bidi="ar-EG"/>
        </w:rPr>
        <w:t xml:space="preserve">Webster </w:t>
      </w:r>
      <w:r w:rsidR="001A2ABA" w:rsidRPr="00713625">
        <w:rPr>
          <w:sz w:val="20"/>
          <w:szCs w:val="20"/>
        </w:rPr>
        <w:t>et al.,</w:t>
      </w:r>
      <w:r w:rsidR="00066D30" w:rsidRPr="00713625">
        <w:rPr>
          <w:sz w:val="20"/>
          <w:szCs w:val="20"/>
          <w:lang w:bidi="ar-EG"/>
        </w:rPr>
        <w:t>2013)</w:t>
      </w:r>
      <w:r w:rsidRPr="00713625">
        <w:rPr>
          <w:sz w:val="20"/>
          <w:szCs w:val="20"/>
        </w:rPr>
        <w:t xml:space="preserve">, with either a permissive action on tumour growth or an oncosuppressor role, depending on the cellular context </w:t>
      </w:r>
      <w:r w:rsidR="00066D30" w:rsidRPr="00713625">
        <w:rPr>
          <w:sz w:val="20"/>
          <w:szCs w:val="20"/>
        </w:rPr>
        <w:t>(</w:t>
      </w:r>
      <w:r w:rsidR="00066D30" w:rsidRPr="00713625">
        <w:rPr>
          <w:sz w:val="20"/>
          <w:szCs w:val="20"/>
          <w:lang w:bidi="ar-EG"/>
        </w:rPr>
        <w:t>Franzoni</w:t>
      </w:r>
      <w:r w:rsidR="001A2ABA" w:rsidRPr="00713625">
        <w:rPr>
          <w:sz w:val="20"/>
          <w:szCs w:val="20"/>
        </w:rPr>
        <w:t>et al.,</w:t>
      </w:r>
      <w:r w:rsidR="00066D30" w:rsidRPr="00713625">
        <w:rPr>
          <w:sz w:val="20"/>
          <w:szCs w:val="20"/>
          <w:lang w:bidi="ar-EG"/>
        </w:rPr>
        <w:t xml:space="preserve">2009). </w:t>
      </w:r>
      <w:r w:rsidRPr="00713625">
        <w:rPr>
          <w:sz w:val="20"/>
          <w:szCs w:val="20"/>
        </w:rPr>
        <w:t xml:space="preserve">It was also suggested to be implicated in cancer cell invasion, metastasis and reduced survival </w:t>
      </w:r>
      <w:r w:rsidR="00066D30" w:rsidRPr="00713625">
        <w:rPr>
          <w:sz w:val="20"/>
          <w:szCs w:val="20"/>
          <w:lang w:bidi="ar-EG"/>
        </w:rPr>
        <w:t xml:space="preserve">(Wood </w:t>
      </w:r>
      <w:r w:rsidR="001A2ABA" w:rsidRPr="00713625">
        <w:rPr>
          <w:sz w:val="20"/>
          <w:szCs w:val="20"/>
        </w:rPr>
        <w:t>et al.,</w:t>
      </w:r>
      <w:r w:rsidR="00066D30" w:rsidRPr="00713625">
        <w:rPr>
          <w:sz w:val="20"/>
          <w:szCs w:val="20"/>
          <w:lang w:bidi="ar-EG"/>
        </w:rPr>
        <w:t>2009).</w:t>
      </w:r>
    </w:p>
    <w:p w:rsidR="00E37621" w:rsidRDefault="00C74C77" w:rsidP="00B20211">
      <w:pPr>
        <w:tabs>
          <w:tab w:val="left" w:pos="709"/>
        </w:tabs>
        <w:snapToGrid w:val="0"/>
        <w:spacing w:before="0" w:after="0" w:line="240" w:lineRule="auto"/>
        <w:ind w:firstLine="425"/>
        <w:rPr>
          <w:sz w:val="20"/>
          <w:szCs w:val="20"/>
          <w:shd w:val="clear" w:color="auto" w:fill="FFFFFF"/>
        </w:rPr>
      </w:pPr>
      <w:r w:rsidRPr="00713625">
        <w:rPr>
          <w:sz w:val="20"/>
          <w:szCs w:val="20"/>
        </w:rPr>
        <w:t xml:space="preserve">The present study focuses on the measurement of serum levels of IL-33 and </w:t>
      </w:r>
      <w:r w:rsidR="008D759F" w:rsidRPr="00713625">
        <w:rPr>
          <w:sz w:val="20"/>
          <w:szCs w:val="20"/>
        </w:rPr>
        <w:t xml:space="preserve">its </w:t>
      </w:r>
      <w:r w:rsidRPr="00713625">
        <w:rPr>
          <w:sz w:val="20"/>
          <w:szCs w:val="20"/>
        </w:rPr>
        <w:t xml:space="preserve">soluble receptor sST2 </w:t>
      </w:r>
      <w:r w:rsidR="00195EA2" w:rsidRPr="00713625">
        <w:rPr>
          <w:sz w:val="20"/>
          <w:szCs w:val="20"/>
        </w:rPr>
        <w:t>as well as studying the immunohistochemical</w:t>
      </w:r>
      <w:r w:rsidR="008D759F" w:rsidRPr="00713625">
        <w:rPr>
          <w:sz w:val="20"/>
          <w:szCs w:val="20"/>
        </w:rPr>
        <w:t xml:space="preserve">expression of </w:t>
      </w:r>
      <w:r w:rsidRPr="00713625">
        <w:rPr>
          <w:sz w:val="20"/>
          <w:szCs w:val="20"/>
        </w:rPr>
        <w:t xml:space="preserve">IL-33 </w:t>
      </w:r>
      <w:r w:rsidR="009B0BCF" w:rsidRPr="00713625">
        <w:rPr>
          <w:sz w:val="20"/>
          <w:szCs w:val="20"/>
        </w:rPr>
        <w:t xml:space="preserve">and prohibitin </w:t>
      </w:r>
      <w:r w:rsidR="00331B30" w:rsidRPr="00713625">
        <w:rPr>
          <w:sz w:val="20"/>
          <w:szCs w:val="20"/>
        </w:rPr>
        <w:t xml:space="preserve">in </w:t>
      </w:r>
      <w:r w:rsidR="00BA2B10" w:rsidRPr="00713625">
        <w:rPr>
          <w:sz w:val="20"/>
          <w:szCs w:val="20"/>
        </w:rPr>
        <w:t>normal, benign</w:t>
      </w:r>
      <w:r w:rsidR="00D74F48" w:rsidRPr="00713625">
        <w:rPr>
          <w:sz w:val="20"/>
          <w:szCs w:val="20"/>
        </w:rPr>
        <w:t>,</w:t>
      </w:r>
      <w:r w:rsidR="00BA2B10" w:rsidRPr="00713625">
        <w:rPr>
          <w:sz w:val="20"/>
          <w:szCs w:val="20"/>
        </w:rPr>
        <w:t xml:space="preserve"> and </w:t>
      </w:r>
      <w:r w:rsidR="008D759F" w:rsidRPr="00713625">
        <w:rPr>
          <w:sz w:val="20"/>
          <w:szCs w:val="20"/>
        </w:rPr>
        <w:t xml:space="preserve">malignant </w:t>
      </w:r>
      <w:r w:rsidR="00331B30" w:rsidRPr="00713625">
        <w:rPr>
          <w:sz w:val="20"/>
          <w:szCs w:val="20"/>
        </w:rPr>
        <w:t>breast tissue</w:t>
      </w:r>
      <w:r w:rsidR="008710D7" w:rsidRPr="00713625">
        <w:rPr>
          <w:sz w:val="20"/>
          <w:szCs w:val="20"/>
        </w:rPr>
        <w:t xml:space="preserve"> to investigate their </w:t>
      </w:r>
      <w:r w:rsidR="00E37621" w:rsidRPr="00713625">
        <w:rPr>
          <w:sz w:val="20"/>
          <w:szCs w:val="20"/>
          <w:shd w:val="clear" w:color="auto" w:fill="FFFFFF"/>
        </w:rPr>
        <w:t>clinic</w:t>
      </w:r>
      <w:r w:rsidR="00F47107" w:rsidRPr="00713625">
        <w:rPr>
          <w:sz w:val="20"/>
          <w:szCs w:val="20"/>
          <w:shd w:val="clear" w:color="auto" w:fill="FFFFFF"/>
        </w:rPr>
        <w:t>o</w:t>
      </w:r>
      <w:r w:rsidR="00E37621" w:rsidRPr="00713625">
        <w:rPr>
          <w:sz w:val="20"/>
          <w:szCs w:val="20"/>
          <w:shd w:val="clear" w:color="auto" w:fill="FFFFFF"/>
        </w:rPr>
        <w:t>pathological and prognostic significance in breast cancer</w:t>
      </w:r>
      <w:r w:rsidR="00921A13" w:rsidRPr="00713625">
        <w:rPr>
          <w:sz w:val="20"/>
          <w:szCs w:val="20"/>
          <w:shd w:val="clear" w:color="auto" w:fill="FFFFFF"/>
        </w:rPr>
        <w:t>.</w:t>
      </w:r>
    </w:p>
    <w:p w:rsidR="00971EFC" w:rsidRDefault="00971EFC" w:rsidP="00B20211">
      <w:pPr>
        <w:tabs>
          <w:tab w:val="left" w:pos="709"/>
        </w:tabs>
        <w:snapToGrid w:val="0"/>
        <w:spacing w:before="0" w:after="0" w:line="240" w:lineRule="auto"/>
        <w:ind w:firstLine="425"/>
        <w:rPr>
          <w:sz w:val="20"/>
          <w:szCs w:val="20"/>
          <w:shd w:val="clear" w:color="auto" w:fill="FFFFFF"/>
        </w:rPr>
      </w:pPr>
    </w:p>
    <w:p w:rsidR="00971EFC" w:rsidRPr="00713625" w:rsidRDefault="00971EFC" w:rsidP="00B20211">
      <w:pPr>
        <w:tabs>
          <w:tab w:val="left" w:pos="709"/>
        </w:tabs>
        <w:snapToGrid w:val="0"/>
        <w:spacing w:before="0" w:after="0" w:line="240" w:lineRule="auto"/>
        <w:ind w:firstLine="425"/>
        <w:rPr>
          <w:b/>
          <w:bCs/>
          <w:sz w:val="20"/>
          <w:szCs w:val="20"/>
          <w:lang w:val="en-US"/>
        </w:rPr>
      </w:pPr>
    </w:p>
    <w:p w:rsidR="00B20211" w:rsidRPr="00713625" w:rsidRDefault="00B20211" w:rsidP="00B20211">
      <w:pPr>
        <w:tabs>
          <w:tab w:val="left" w:pos="709"/>
        </w:tabs>
        <w:snapToGrid w:val="0"/>
        <w:spacing w:before="0" w:after="0" w:line="240" w:lineRule="auto"/>
        <w:ind w:firstLine="0"/>
        <w:rPr>
          <w:b/>
          <w:bCs/>
          <w:sz w:val="20"/>
          <w:szCs w:val="20"/>
          <w:lang w:val="en-US" w:eastAsia="zh-CN"/>
        </w:rPr>
      </w:pPr>
    </w:p>
    <w:p w:rsidR="00C74C77" w:rsidRPr="00713625" w:rsidRDefault="00B20211" w:rsidP="00971EFC">
      <w:pPr>
        <w:tabs>
          <w:tab w:val="left" w:pos="709"/>
        </w:tabs>
        <w:snapToGrid w:val="0"/>
        <w:spacing w:before="0" w:after="0" w:line="240" w:lineRule="auto"/>
        <w:ind w:firstLine="0"/>
        <w:rPr>
          <w:b/>
          <w:bCs/>
          <w:sz w:val="20"/>
          <w:szCs w:val="20"/>
          <w:lang w:val="en-US"/>
        </w:rPr>
      </w:pPr>
      <w:r w:rsidRPr="00713625">
        <w:rPr>
          <w:b/>
          <w:bCs/>
          <w:sz w:val="20"/>
          <w:szCs w:val="20"/>
          <w:lang w:val="en-US"/>
        </w:rPr>
        <w:t xml:space="preserve">2. Subjects </w:t>
      </w:r>
      <w:r w:rsidR="00745CD5">
        <w:rPr>
          <w:b/>
          <w:bCs/>
          <w:sz w:val="20"/>
          <w:szCs w:val="20"/>
          <w:lang w:val="en-US"/>
        </w:rPr>
        <w:t>a</w:t>
      </w:r>
      <w:r w:rsidRPr="00713625">
        <w:rPr>
          <w:b/>
          <w:bCs/>
          <w:sz w:val="20"/>
          <w:szCs w:val="20"/>
          <w:lang w:val="en-US"/>
        </w:rPr>
        <w:t xml:space="preserve">nd </w:t>
      </w:r>
      <w:r w:rsidR="00971EFC" w:rsidRPr="00971EFC">
        <w:rPr>
          <w:b/>
          <w:bCs/>
          <w:sz w:val="20"/>
          <w:szCs w:val="20"/>
          <w:lang w:val="en-US"/>
        </w:rPr>
        <w:t>m</w:t>
      </w:r>
      <w:r w:rsidRPr="00713625">
        <w:rPr>
          <w:b/>
          <w:bCs/>
          <w:sz w:val="20"/>
          <w:szCs w:val="20"/>
          <w:lang w:val="en-US"/>
        </w:rPr>
        <w:t>ethods</w:t>
      </w:r>
    </w:p>
    <w:p w:rsidR="00C74C77" w:rsidRPr="00713625" w:rsidRDefault="00C67178" w:rsidP="00B20211">
      <w:pPr>
        <w:snapToGrid w:val="0"/>
        <w:spacing w:before="0" w:after="0" w:line="240" w:lineRule="auto"/>
        <w:ind w:firstLine="0"/>
        <w:rPr>
          <w:b/>
          <w:bCs/>
          <w:sz w:val="20"/>
          <w:szCs w:val="20"/>
          <w:lang w:val="en-US"/>
        </w:rPr>
      </w:pPr>
      <w:r w:rsidRPr="00713625">
        <w:rPr>
          <w:b/>
          <w:bCs/>
          <w:sz w:val="20"/>
          <w:szCs w:val="20"/>
          <w:lang w:val="en-US"/>
        </w:rPr>
        <w:t>2.1</w:t>
      </w:r>
      <w:r w:rsidR="008A1FA1" w:rsidRPr="00713625">
        <w:rPr>
          <w:b/>
          <w:bCs/>
          <w:sz w:val="20"/>
          <w:szCs w:val="20"/>
          <w:lang w:val="en-US"/>
        </w:rPr>
        <w:t>.</w:t>
      </w:r>
      <w:r w:rsidR="004A0B0E" w:rsidRPr="00713625">
        <w:rPr>
          <w:b/>
          <w:bCs/>
          <w:sz w:val="20"/>
          <w:szCs w:val="20"/>
          <w:lang w:val="en-US"/>
        </w:rPr>
        <w:t>Subject</w:t>
      </w:r>
      <w:r w:rsidR="00C74C77" w:rsidRPr="00713625">
        <w:rPr>
          <w:b/>
          <w:bCs/>
          <w:sz w:val="20"/>
          <w:szCs w:val="20"/>
          <w:lang w:val="en-US"/>
        </w:rPr>
        <w:t>s</w:t>
      </w:r>
    </w:p>
    <w:p w:rsidR="00C74C77" w:rsidRPr="00713625" w:rsidRDefault="00C74C77" w:rsidP="00B20211">
      <w:pPr>
        <w:tabs>
          <w:tab w:val="left" w:pos="709"/>
        </w:tabs>
        <w:snapToGrid w:val="0"/>
        <w:spacing w:before="0" w:after="0" w:line="240" w:lineRule="auto"/>
        <w:ind w:firstLine="425"/>
        <w:rPr>
          <w:sz w:val="20"/>
          <w:szCs w:val="20"/>
        </w:rPr>
      </w:pPr>
      <w:r w:rsidRPr="00713625">
        <w:rPr>
          <w:sz w:val="20"/>
          <w:szCs w:val="20"/>
        </w:rPr>
        <w:t xml:space="preserve">This study </w:t>
      </w:r>
      <w:r w:rsidR="009B0BCF" w:rsidRPr="00713625">
        <w:rPr>
          <w:sz w:val="20"/>
          <w:szCs w:val="20"/>
        </w:rPr>
        <w:t>was</w:t>
      </w:r>
      <w:r w:rsidRPr="00713625">
        <w:rPr>
          <w:sz w:val="20"/>
          <w:szCs w:val="20"/>
        </w:rPr>
        <w:t xml:space="preserve"> conducted on 45 patients</w:t>
      </w:r>
      <w:r w:rsidR="009D71A6" w:rsidRPr="00713625">
        <w:rPr>
          <w:sz w:val="20"/>
          <w:szCs w:val="20"/>
        </w:rPr>
        <w:t xml:space="preserve"> with breast lesions</w:t>
      </w:r>
      <w:r w:rsidRPr="00713625">
        <w:rPr>
          <w:sz w:val="20"/>
          <w:szCs w:val="20"/>
        </w:rPr>
        <w:t>, admitted to Department of Clinical and Experimental Surgery, Medical Research Institute, Alexandria University</w:t>
      </w:r>
      <w:r w:rsidR="004A0B0E" w:rsidRPr="00713625">
        <w:rPr>
          <w:sz w:val="20"/>
          <w:szCs w:val="20"/>
        </w:rPr>
        <w:t xml:space="preserve"> and 15 healthy normal </w:t>
      </w:r>
      <w:r w:rsidR="009B0BCF" w:rsidRPr="00713625">
        <w:rPr>
          <w:sz w:val="20"/>
          <w:szCs w:val="20"/>
        </w:rPr>
        <w:t>females</w:t>
      </w:r>
      <w:r w:rsidR="004A0B0E" w:rsidRPr="00713625">
        <w:rPr>
          <w:sz w:val="20"/>
          <w:szCs w:val="20"/>
        </w:rPr>
        <w:t xml:space="preserve"> as a control group</w:t>
      </w:r>
      <w:r w:rsidRPr="00713625">
        <w:rPr>
          <w:sz w:val="20"/>
          <w:szCs w:val="20"/>
        </w:rPr>
        <w:t xml:space="preserve">. Subjects </w:t>
      </w:r>
      <w:r w:rsidR="009B0BCF" w:rsidRPr="00713625">
        <w:rPr>
          <w:sz w:val="20"/>
          <w:szCs w:val="20"/>
        </w:rPr>
        <w:t>were</w:t>
      </w:r>
      <w:r w:rsidRPr="00713625">
        <w:rPr>
          <w:sz w:val="20"/>
          <w:szCs w:val="20"/>
        </w:rPr>
        <w:t xml:space="preserve"> divided into </w:t>
      </w:r>
      <w:r w:rsidR="009D71A6" w:rsidRPr="00713625">
        <w:rPr>
          <w:sz w:val="20"/>
          <w:szCs w:val="20"/>
        </w:rPr>
        <w:t>4</w:t>
      </w:r>
      <w:r w:rsidR="009B0BCF" w:rsidRPr="00713625">
        <w:rPr>
          <w:sz w:val="20"/>
          <w:szCs w:val="20"/>
        </w:rPr>
        <w:t xml:space="preserve"> groups; </w:t>
      </w:r>
      <w:r w:rsidR="009B0BCF" w:rsidRPr="00713625">
        <w:rPr>
          <w:b/>
          <w:bCs/>
          <w:sz w:val="20"/>
          <w:szCs w:val="20"/>
        </w:rPr>
        <w:t>g</w:t>
      </w:r>
      <w:r w:rsidRPr="00713625">
        <w:rPr>
          <w:b/>
          <w:bCs/>
          <w:sz w:val="20"/>
          <w:szCs w:val="20"/>
        </w:rPr>
        <w:t xml:space="preserve">roup 1 </w:t>
      </w:r>
      <w:r w:rsidRPr="00713625">
        <w:rPr>
          <w:sz w:val="20"/>
          <w:szCs w:val="20"/>
        </w:rPr>
        <w:t>include</w:t>
      </w:r>
      <w:r w:rsidR="009B0BCF" w:rsidRPr="00713625">
        <w:rPr>
          <w:sz w:val="20"/>
          <w:szCs w:val="20"/>
        </w:rPr>
        <w:t>d</w:t>
      </w:r>
      <w:r w:rsidRPr="00713625">
        <w:rPr>
          <w:sz w:val="20"/>
          <w:szCs w:val="20"/>
        </w:rPr>
        <w:t xml:space="preserve"> 15 patients with benign breast lesions</w:t>
      </w:r>
      <w:r w:rsidR="009B0BCF" w:rsidRPr="00713625">
        <w:rPr>
          <w:sz w:val="20"/>
          <w:szCs w:val="20"/>
        </w:rPr>
        <w:t xml:space="preserve">, </w:t>
      </w:r>
      <w:r w:rsidR="009B0BCF" w:rsidRPr="00713625">
        <w:rPr>
          <w:b/>
          <w:bCs/>
          <w:sz w:val="20"/>
          <w:szCs w:val="20"/>
        </w:rPr>
        <w:t>g</w:t>
      </w:r>
      <w:r w:rsidRPr="00713625">
        <w:rPr>
          <w:b/>
          <w:bCs/>
          <w:sz w:val="20"/>
          <w:szCs w:val="20"/>
        </w:rPr>
        <w:t>roup 2</w:t>
      </w:r>
      <w:r w:rsidRPr="00713625">
        <w:rPr>
          <w:sz w:val="20"/>
          <w:szCs w:val="20"/>
        </w:rPr>
        <w:t xml:space="preserve"> include</w:t>
      </w:r>
      <w:r w:rsidR="009B0BCF" w:rsidRPr="00713625">
        <w:rPr>
          <w:sz w:val="20"/>
          <w:szCs w:val="20"/>
        </w:rPr>
        <w:t>d</w:t>
      </w:r>
      <w:r w:rsidRPr="00713625">
        <w:rPr>
          <w:sz w:val="20"/>
          <w:szCs w:val="20"/>
        </w:rPr>
        <w:t xml:space="preserve"> 15 </w:t>
      </w:r>
      <w:r w:rsidR="009D71A6" w:rsidRPr="00713625">
        <w:rPr>
          <w:sz w:val="20"/>
          <w:szCs w:val="20"/>
        </w:rPr>
        <w:t>patients with early breast cancer "stage I and II"</w:t>
      </w:r>
      <w:r w:rsidR="009B0BCF" w:rsidRPr="00713625">
        <w:rPr>
          <w:sz w:val="20"/>
          <w:szCs w:val="20"/>
        </w:rPr>
        <w:t xml:space="preserve">, </w:t>
      </w:r>
      <w:r w:rsidR="009B0BCF" w:rsidRPr="00713625">
        <w:rPr>
          <w:b/>
          <w:bCs/>
          <w:sz w:val="20"/>
          <w:szCs w:val="20"/>
        </w:rPr>
        <w:t>g</w:t>
      </w:r>
      <w:r w:rsidRPr="00713625">
        <w:rPr>
          <w:b/>
          <w:bCs/>
          <w:sz w:val="20"/>
          <w:szCs w:val="20"/>
        </w:rPr>
        <w:t>roup 3</w:t>
      </w:r>
      <w:r w:rsidRPr="00713625">
        <w:rPr>
          <w:sz w:val="20"/>
          <w:szCs w:val="20"/>
        </w:rPr>
        <w:t xml:space="preserve"> include</w:t>
      </w:r>
      <w:r w:rsidR="009B0BCF" w:rsidRPr="00713625">
        <w:rPr>
          <w:sz w:val="20"/>
          <w:szCs w:val="20"/>
        </w:rPr>
        <w:t>d</w:t>
      </w:r>
      <w:r w:rsidRPr="00713625">
        <w:rPr>
          <w:sz w:val="20"/>
          <w:szCs w:val="20"/>
        </w:rPr>
        <w:t xml:space="preserve"> 15 patients with </w:t>
      </w:r>
      <w:r w:rsidR="00C33C36" w:rsidRPr="00713625">
        <w:rPr>
          <w:sz w:val="20"/>
          <w:szCs w:val="20"/>
        </w:rPr>
        <w:t>advanced</w:t>
      </w:r>
      <w:r w:rsidR="009D71A6" w:rsidRPr="00713625">
        <w:rPr>
          <w:sz w:val="20"/>
          <w:szCs w:val="20"/>
        </w:rPr>
        <w:t xml:space="preserve"> breast cancer "stage III"</w:t>
      </w:r>
      <w:r w:rsidR="009B0BCF" w:rsidRPr="00713625">
        <w:rPr>
          <w:sz w:val="20"/>
          <w:szCs w:val="20"/>
        </w:rPr>
        <w:t xml:space="preserve"> and </w:t>
      </w:r>
      <w:r w:rsidR="009B0BCF" w:rsidRPr="00713625">
        <w:rPr>
          <w:b/>
          <w:bCs/>
          <w:sz w:val="20"/>
          <w:szCs w:val="20"/>
        </w:rPr>
        <w:t>g</w:t>
      </w:r>
      <w:r w:rsidRPr="00713625">
        <w:rPr>
          <w:b/>
          <w:bCs/>
          <w:sz w:val="20"/>
          <w:szCs w:val="20"/>
        </w:rPr>
        <w:t>roup 4</w:t>
      </w:r>
      <w:r w:rsidRPr="00713625">
        <w:rPr>
          <w:sz w:val="20"/>
          <w:szCs w:val="20"/>
        </w:rPr>
        <w:t xml:space="preserve"> include</w:t>
      </w:r>
      <w:r w:rsidR="009B0BCF" w:rsidRPr="00713625">
        <w:rPr>
          <w:sz w:val="20"/>
          <w:szCs w:val="20"/>
        </w:rPr>
        <w:t>d</w:t>
      </w:r>
      <w:r w:rsidRPr="00713625">
        <w:rPr>
          <w:sz w:val="20"/>
          <w:szCs w:val="20"/>
        </w:rPr>
        <w:t xml:space="preserve"> 15 healthy normal subjects as a control group.</w:t>
      </w:r>
    </w:p>
    <w:p w:rsidR="00F14FFB" w:rsidRPr="00713625" w:rsidRDefault="00B12E16" w:rsidP="00B20211">
      <w:pPr>
        <w:tabs>
          <w:tab w:val="left" w:pos="709"/>
        </w:tabs>
        <w:snapToGrid w:val="0"/>
        <w:spacing w:before="0" w:after="0" w:line="240" w:lineRule="auto"/>
        <w:ind w:firstLine="425"/>
        <w:rPr>
          <w:sz w:val="20"/>
          <w:szCs w:val="20"/>
        </w:rPr>
      </w:pPr>
      <w:r w:rsidRPr="00713625">
        <w:rPr>
          <w:sz w:val="20"/>
          <w:szCs w:val="20"/>
        </w:rPr>
        <w:t>I</w:t>
      </w:r>
      <w:r w:rsidR="00C74C77" w:rsidRPr="00713625">
        <w:rPr>
          <w:sz w:val="20"/>
          <w:szCs w:val="20"/>
        </w:rPr>
        <w:t>nformed written consent</w:t>
      </w:r>
      <w:r w:rsidRPr="00713625">
        <w:rPr>
          <w:sz w:val="20"/>
          <w:szCs w:val="20"/>
        </w:rPr>
        <w:t xml:space="preserve">s were gathered from all subjects prior to their inclusion in the study protocol, according to ethical guidelines of Medical Research Institute, Alexandria University (Informed Written Consent for Patient Participation in a Clinical Research, 2011). The study was </w:t>
      </w:r>
      <w:r w:rsidR="00F14FFB" w:rsidRPr="00713625">
        <w:rPr>
          <w:sz w:val="20"/>
          <w:szCs w:val="20"/>
        </w:rPr>
        <w:t>approved by the Ethical Committee of Medical Research Institute</w:t>
      </w:r>
      <w:r w:rsidR="001B26FD" w:rsidRPr="00713625">
        <w:rPr>
          <w:sz w:val="20"/>
          <w:szCs w:val="20"/>
        </w:rPr>
        <w:t>, Alexandria University</w:t>
      </w:r>
      <w:r w:rsidR="00F14FFB" w:rsidRPr="00713625">
        <w:rPr>
          <w:sz w:val="20"/>
          <w:szCs w:val="20"/>
        </w:rPr>
        <w:t>.</w:t>
      </w:r>
    </w:p>
    <w:p w:rsidR="00C74C77" w:rsidRPr="00713625" w:rsidRDefault="00C67178" w:rsidP="00B20211">
      <w:pPr>
        <w:snapToGrid w:val="0"/>
        <w:spacing w:before="0" w:after="0" w:line="240" w:lineRule="auto"/>
        <w:ind w:firstLine="0"/>
        <w:rPr>
          <w:b/>
          <w:bCs/>
          <w:sz w:val="20"/>
          <w:szCs w:val="20"/>
        </w:rPr>
      </w:pPr>
      <w:r w:rsidRPr="00713625">
        <w:rPr>
          <w:b/>
          <w:bCs/>
          <w:sz w:val="20"/>
          <w:szCs w:val="20"/>
        </w:rPr>
        <w:t>2.2</w:t>
      </w:r>
      <w:r w:rsidR="008A1FA1" w:rsidRPr="00713625">
        <w:rPr>
          <w:b/>
          <w:bCs/>
          <w:sz w:val="20"/>
          <w:szCs w:val="20"/>
        </w:rPr>
        <w:t>.</w:t>
      </w:r>
      <w:r w:rsidR="00C74C77" w:rsidRPr="00713625">
        <w:rPr>
          <w:b/>
          <w:bCs/>
          <w:sz w:val="20"/>
          <w:szCs w:val="20"/>
        </w:rPr>
        <w:t>Methods</w:t>
      </w:r>
    </w:p>
    <w:p w:rsidR="009B0BCF" w:rsidRPr="00713625" w:rsidRDefault="00C67178" w:rsidP="00B20211">
      <w:pPr>
        <w:tabs>
          <w:tab w:val="left" w:pos="0"/>
          <w:tab w:val="left" w:pos="709"/>
        </w:tabs>
        <w:snapToGrid w:val="0"/>
        <w:spacing w:before="0" w:after="0" w:line="240" w:lineRule="auto"/>
        <w:ind w:firstLine="0"/>
        <w:rPr>
          <w:b/>
          <w:bCs/>
          <w:sz w:val="20"/>
          <w:szCs w:val="20"/>
        </w:rPr>
      </w:pPr>
      <w:r w:rsidRPr="00713625">
        <w:rPr>
          <w:b/>
          <w:bCs/>
          <w:sz w:val="20"/>
          <w:szCs w:val="20"/>
        </w:rPr>
        <w:t>2.2.1</w:t>
      </w:r>
      <w:r w:rsidR="008A1FA1" w:rsidRPr="00713625">
        <w:rPr>
          <w:b/>
          <w:bCs/>
          <w:sz w:val="20"/>
          <w:szCs w:val="20"/>
        </w:rPr>
        <w:t>.</w:t>
      </w:r>
      <w:r w:rsidR="00C74C77" w:rsidRPr="00713625">
        <w:rPr>
          <w:b/>
          <w:bCs/>
          <w:sz w:val="20"/>
          <w:szCs w:val="20"/>
        </w:rPr>
        <w:t xml:space="preserve">Measurement of IL-33 and </w:t>
      </w:r>
      <w:r w:rsidR="003E398A" w:rsidRPr="00713625">
        <w:rPr>
          <w:b/>
          <w:bCs/>
          <w:sz w:val="20"/>
          <w:szCs w:val="20"/>
        </w:rPr>
        <w:t xml:space="preserve">its </w:t>
      </w:r>
      <w:r w:rsidR="00C74C77" w:rsidRPr="00713625">
        <w:rPr>
          <w:b/>
          <w:bCs/>
          <w:sz w:val="20"/>
          <w:szCs w:val="20"/>
        </w:rPr>
        <w:t>soluble receptor (sST2) levels</w:t>
      </w:r>
    </w:p>
    <w:p w:rsidR="0032466E" w:rsidRPr="00713625" w:rsidRDefault="009B0BCF" w:rsidP="00B20211">
      <w:pPr>
        <w:tabs>
          <w:tab w:val="left" w:pos="709"/>
        </w:tabs>
        <w:snapToGrid w:val="0"/>
        <w:spacing w:before="0" w:after="0" w:line="240" w:lineRule="auto"/>
        <w:ind w:firstLine="425"/>
        <w:rPr>
          <w:sz w:val="20"/>
          <w:szCs w:val="20"/>
        </w:rPr>
      </w:pPr>
      <w:r w:rsidRPr="00713625">
        <w:rPr>
          <w:sz w:val="20"/>
          <w:szCs w:val="20"/>
        </w:rPr>
        <w:t>Serum levels of IL-33 and its soluble receptor (sST2) were measured usi</w:t>
      </w:r>
      <w:r w:rsidR="0032466E" w:rsidRPr="00713625">
        <w:rPr>
          <w:sz w:val="20"/>
          <w:szCs w:val="20"/>
        </w:rPr>
        <w:t>ng commercial human IL-33 Platinum ELISA kit (BMS2048 / BMS2048TEN, eBioscience, Germany) and human IL1RL1/ST2 ELISA kits (catalogue No. EK1116, Boster Biological Tech</w:t>
      </w:r>
      <w:r w:rsidR="00B44843" w:rsidRPr="00713625">
        <w:rPr>
          <w:sz w:val="20"/>
          <w:szCs w:val="20"/>
        </w:rPr>
        <w:t xml:space="preserve">nology Co., Ltd), </w:t>
      </w:r>
      <w:r w:rsidR="00A56E27" w:rsidRPr="00713625">
        <w:rPr>
          <w:sz w:val="20"/>
          <w:szCs w:val="20"/>
        </w:rPr>
        <w:t>respectively,</w:t>
      </w:r>
      <w:r w:rsidR="0032466E" w:rsidRPr="00713625">
        <w:rPr>
          <w:sz w:val="20"/>
          <w:szCs w:val="20"/>
        </w:rPr>
        <w:t>following the manufacturers' protocol. Levels were expressed by pg/ml.</w:t>
      </w:r>
    </w:p>
    <w:p w:rsidR="00C27A65" w:rsidRPr="00713625" w:rsidRDefault="00C67178" w:rsidP="00B20211">
      <w:pPr>
        <w:tabs>
          <w:tab w:val="left" w:pos="709"/>
        </w:tabs>
        <w:snapToGrid w:val="0"/>
        <w:spacing w:before="0" w:after="0" w:line="240" w:lineRule="auto"/>
        <w:ind w:firstLine="0"/>
        <w:rPr>
          <w:b/>
          <w:bCs/>
          <w:sz w:val="20"/>
          <w:szCs w:val="20"/>
        </w:rPr>
      </w:pPr>
      <w:r w:rsidRPr="00713625">
        <w:rPr>
          <w:b/>
          <w:bCs/>
          <w:sz w:val="20"/>
          <w:szCs w:val="20"/>
        </w:rPr>
        <w:t>2.2.2</w:t>
      </w:r>
      <w:r w:rsidR="008A1FA1" w:rsidRPr="00713625">
        <w:rPr>
          <w:b/>
          <w:bCs/>
          <w:sz w:val="20"/>
          <w:szCs w:val="20"/>
        </w:rPr>
        <w:t>.</w:t>
      </w:r>
      <w:r w:rsidR="00C27A65" w:rsidRPr="00713625">
        <w:rPr>
          <w:b/>
          <w:bCs/>
          <w:sz w:val="20"/>
          <w:szCs w:val="20"/>
        </w:rPr>
        <w:t>Histopathological examination</w:t>
      </w:r>
    </w:p>
    <w:p w:rsidR="00D942BE" w:rsidRPr="00713625" w:rsidRDefault="00C27A65" w:rsidP="00B20211">
      <w:pPr>
        <w:snapToGrid w:val="0"/>
        <w:spacing w:before="0" w:after="0" w:line="240" w:lineRule="auto"/>
        <w:ind w:firstLine="425"/>
        <w:rPr>
          <w:sz w:val="20"/>
          <w:szCs w:val="20"/>
        </w:rPr>
      </w:pPr>
      <w:r w:rsidRPr="00713625">
        <w:rPr>
          <w:sz w:val="20"/>
          <w:szCs w:val="20"/>
        </w:rPr>
        <w:t>Tissue samples from the studied groups were immediately fixed by immersion in 10% formalin, followed by routine histological processing, paraffin embedding, and microtomy for histopathologic examination of the studied groups and grading of malignant cases.</w:t>
      </w:r>
    </w:p>
    <w:p w:rsidR="00ED7ECC" w:rsidRPr="00713625" w:rsidRDefault="00D942BE" w:rsidP="00B20211">
      <w:pPr>
        <w:snapToGrid w:val="0"/>
        <w:spacing w:before="0" w:after="0" w:line="240" w:lineRule="auto"/>
        <w:ind w:firstLine="425"/>
        <w:rPr>
          <w:sz w:val="20"/>
          <w:szCs w:val="20"/>
        </w:rPr>
      </w:pPr>
      <w:r w:rsidRPr="00713625">
        <w:rPr>
          <w:sz w:val="20"/>
          <w:szCs w:val="20"/>
        </w:rPr>
        <w:t>H</w:t>
      </w:r>
      <w:r w:rsidR="00085B10" w:rsidRPr="00713625">
        <w:rPr>
          <w:sz w:val="20"/>
          <w:szCs w:val="20"/>
        </w:rPr>
        <w:t>a</w:t>
      </w:r>
      <w:r w:rsidRPr="00713625">
        <w:rPr>
          <w:sz w:val="20"/>
          <w:szCs w:val="20"/>
        </w:rPr>
        <w:t xml:space="preserve">ematoxylin and Eosin (H&amp;E)-stained slides from all groups were reviewed, characterized and studied. All malignant cases were diagnosed and graded using criteria of </w:t>
      </w:r>
      <w:r w:rsidR="00331596" w:rsidRPr="00713625">
        <w:rPr>
          <w:sz w:val="20"/>
          <w:szCs w:val="20"/>
        </w:rPr>
        <w:t xml:space="preserve">the Nottingham grading system </w:t>
      </w:r>
      <w:r w:rsidR="00C7024E" w:rsidRPr="00713625">
        <w:rPr>
          <w:sz w:val="20"/>
          <w:szCs w:val="20"/>
        </w:rPr>
        <w:t>(</w:t>
      </w:r>
      <w:r w:rsidR="00331596" w:rsidRPr="00713625">
        <w:rPr>
          <w:sz w:val="20"/>
          <w:szCs w:val="20"/>
        </w:rPr>
        <w:t>Elston</w:t>
      </w:r>
      <w:r w:rsidR="00A35524" w:rsidRPr="00713625">
        <w:rPr>
          <w:sz w:val="20"/>
          <w:szCs w:val="20"/>
        </w:rPr>
        <w:t>&amp;</w:t>
      </w:r>
      <w:r w:rsidR="00331596" w:rsidRPr="00713625">
        <w:rPr>
          <w:sz w:val="20"/>
          <w:szCs w:val="20"/>
        </w:rPr>
        <w:t xml:space="preserve"> Ellis, </w:t>
      </w:r>
      <w:r w:rsidR="00C7024E" w:rsidRPr="00713625">
        <w:rPr>
          <w:sz w:val="20"/>
          <w:szCs w:val="20"/>
        </w:rPr>
        <w:t>19</w:t>
      </w:r>
      <w:r w:rsidR="00331596" w:rsidRPr="00713625">
        <w:rPr>
          <w:sz w:val="20"/>
          <w:szCs w:val="20"/>
        </w:rPr>
        <w:t xml:space="preserve">91). </w:t>
      </w:r>
      <w:r w:rsidR="00314E2D" w:rsidRPr="00713625">
        <w:rPr>
          <w:sz w:val="20"/>
          <w:szCs w:val="20"/>
        </w:rPr>
        <w:t>The stage of the studied carcinomas was obtained from the clinical sheets of the patients.</w:t>
      </w:r>
    </w:p>
    <w:p w:rsidR="00066CCB" w:rsidRPr="00713625" w:rsidRDefault="00C67178" w:rsidP="00B20211">
      <w:pPr>
        <w:tabs>
          <w:tab w:val="left" w:pos="709"/>
        </w:tabs>
        <w:snapToGrid w:val="0"/>
        <w:spacing w:before="0" w:after="0" w:line="240" w:lineRule="auto"/>
        <w:ind w:firstLine="0"/>
        <w:rPr>
          <w:sz w:val="20"/>
          <w:szCs w:val="20"/>
          <w:lang w:bidi="ar-EG"/>
        </w:rPr>
      </w:pPr>
      <w:r w:rsidRPr="00713625">
        <w:rPr>
          <w:b/>
          <w:bCs/>
          <w:sz w:val="20"/>
          <w:szCs w:val="20"/>
        </w:rPr>
        <w:t>2.2.3</w:t>
      </w:r>
      <w:r w:rsidR="008A1FA1" w:rsidRPr="00713625">
        <w:rPr>
          <w:b/>
          <w:bCs/>
          <w:sz w:val="20"/>
          <w:szCs w:val="20"/>
        </w:rPr>
        <w:t>.</w:t>
      </w:r>
      <w:r w:rsidR="00A24418" w:rsidRPr="00713625">
        <w:rPr>
          <w:b/>
          <w:bCs/>
          <w:sz w:val="20"/>
          <w:szCs w:val="20"/>
        </w:rPr>
        <w:t>Immunohistochemical</w:t>
      </w:r>
      <w:r w:rsidR="0056495D" w:rsidRPr="00713625">
        <w:rPr>
          <w:b/>
          <w:bCs/>
          <w:sz w:val="20"/>
          <w:szCs w:val="20"/>
        </w:rPr>
        <w:t xml:space="preserve"> a</w:t>
      </w:r>
      <w:r w:rsidR="00ED7ECC" w:rsidRPr="00713625">
        <w:rPr>
          <w:b/>
          <w:bCs/>
          <w:sz w:val="20"/>
          <w:szCs w:val="20"/>
        </w:rPr>
        <w:t xml:space="preserve">ssessment </w:t>
      </w:r>
      <w:r w:rsidR="00066CCB" w:rsidRPr="00713625">
        <w:rPr>
          <w:b/>
          <w:bCs/>
          <w:sz w:val="20"/>
          <w:szCs w:val="20"/>
        </w:rPr>
        <w:t xml:space="preserve">of </w:t>
      </w:r>
      <w:r w:rsidR="00C27A65" w:rsidRPr="00713625">
        <w:rPr>
          <w:b/>
          <w:bCs/>
          <w:sz w:val="20"/>
          <w:szCs w:val="20"/>
        </w:rPr>
        <w:t xml:space="preserve">IL-33 </w:t>
      </w:r>
      <w:r w:rsidR="001A27F6" w:rsidRPr="00713625">
        <w:rPr>
          <w:b/>
          <w:bCs/>
          <w:sz w:val="20"/>
          <w:szCs w:val="20"/>
        </w:rPr>
        <w:t xml:space="preserve">and prohibitin </w:t>
      </w:r>
      <w:r w:rsidR="00066CCB" w:rsidRPr="00713625">
        <w:rPr>
          <w:b/>
          <w:bCs/>
          <w:sz w:val="20"/>
          <w:szCs w:val="20"/>
        </w:rPr>
        <w:t xml:space="preserve">expression </w:t>
      </w:r>
      <w:r w:rsidR="00C27A65" w:rsidRPr="00713625">
        <w:rPr>
          <w:b/>
          <w:bCs/>
          <w:sz w:val="20"/>
          <w:szCs w:val="20"/>
        </w:rPr>
        <w:t>in breast tissue</w:t>
      </w:r>
    </w:p>
    <w:p w:rsidR="00131D65" w:rsidRPr="00713625" w:rsidRDefault="00C27A65" w:rsidP="00B20211">
      <w:pPr>
        <w:tabs>
          <w:tab w:val="left" w:pos="709"/>
        </w:tabs>
        <w:snapToGrid w:val="0"/>
        <w:spacing w:before="0" w:after="0" w:line="240" w:lineRule="auto"/>
        <w:ind w:firstLine="425"/>
        <w:rPr>
          <w:sz w:val="20"/>
          <w:szCs w:val="20"/>
        </w:rPr>
      </w:pPr>
      <w:r w:rsidRPr="00713625">
        <w:rPr>
          <w:sz w:val="20"/>
          <w:szCs w:val="20"/>
        </w:rPr>
        <w:t xml:space="preserve">IL-33 </w:t>
      </w:r>
      <w:r w:rsidR="00A46FFF" w:rsidRPr="00713625">
        <w:rPr>
          <w:sz w:val="20"/>
          <w:szCs w:val="20"/>
        </w:rPr>
        <w:t xml:space="preserve">and prohibitin </w:t>
      </w:r>
      <w:r w:rsidR="00066CCB" w:rsidRPr="00713625">
        <w:rPr>
          <w:sz w:val="20"/>
          <w:szCs w:val="20"/>
        </w:rPr>
        <w:t>expression</w:t>
      </w:r>
      <w:r w:rsidR="00C12F40" w:rsidRPr="00713625">
        <w:rPr>
          <w:sz w:val="20"/>
          <w:szCs w:val="20"/>
        </w:rPr>
        <w:t>s</w:t>
      </w:r>
      <w:r w:rsidR="00066CCB" w:rsidRPr="00713625">
        <w:rPr>
          <w:sz w:val="20"/>
          <w:szCs w:val="20"/>
        </w:rPr>
        <w:t xml:space="preserve"> in breast tissue w</w:t>
      </w:r>
      <w:r w:rsidR="00C12F40" w:rsidRPr="00713625">
        <w:rPr>
          <w:sz w:val="20"/>
          <w:szCs w:val="20"/>
        </w:rPr>
        <w:t>ere</w:t>
      </w:r>
      <w:r w:rsidR="00066CCB" w:rsidRPr="00713625">
        <w:rPr>
          <w:sz w:val="20"/>
          <w:szCs w:val="20"/>
        </w:rPr>
        <w:t xml:space="preserve"> evaluated </w:t>
      </w:r>
      <w:r w:rsidR="00E85786" w:rsidRPr="00713625">
        <w:rPr>
          <w:sz w:val="20"/>
          <w:szCs w:val="20"/>
        </w:rPr>
        <w:t>using</w:t>
      </w:r>
      <w:r w:rsidR="00066CCB" w:rsidRPr="00713625">
        <w:rPr>
          <w:sz w:val="20"/>
          <w:szCs w:val="20"/>
        </w:rPr>
        <w:t xml:space="preserve"> immunohistochemistry (IHC) stains. </w:t>
      </w:r>
      <w:r w:rsidR="006E1A57" w:rsidRPr="00713625">
        <w:rPr>
          <w:sz w:val="20"/>
          <w:szCs w:val="20"/>
        </w:rPr>
        <w:t>Staining</w:t>
      </w:r>
      <w:r w:rsidR="00131D65" w:rsidRPr="00713625">
        <w:rPr>
          <w:sz w:val="20"/>
          <w:szCs w:val="20"/>
        </w:rPr>
        <w:t xml:space="preserve"> was performed using the UltraVision Detection Kit (TP-015-HD, Lab Vision, USA) according to the manufacturer’s protocol.After deparaffinization and heat pretreatment, sections were incubated for 10 minutes with Ultra V block to </w:t>
      </w:r>
      <w:r w:rsidR="00131D65" w:rsidRPr="00713625">
        <w:rPr>
          <w:sz w:val="20"/>
          <w:szCs w:val="20"/>
        </w:rPr>
        <w:lastRenderedPageBreak/>
        <w:t xml:space="preserve">prevent nonspecific background staining, followed by rinsing the sections with PBS. Afterwards, an overnight incubation was done in a humidity chamber with </w:t>
      </w:r>
      <w:r w:rsidR="00E560AF" w:rsidRPr="00713625">
        <w:rPr>
          <w:sz w:val="20"/>
          <w:szCs w:val="20"/>
        </w:rPr>
        <w:t>rabbit polyclonal anti-interleukin 33 (IL-33) antibody (Bioss Antibodies) at a dilution 1:300</w:t>
      </w:r>
      <w:r w:rsidR="00F551D2" w:rsidRPr="00713625">
        <w:rPr>
          <w:sz w:val="20"/>
          <w:szCs w:val="20"/>
        </w:rPr>
        <w:t>,</w:t>
      </w:r>
      <w:r w:rsidR="00E560AF" w:rsidRPr="00713625">
        <w:rPr>
          <w:sz w:val="20"/>
          <w:szCs w:val="20"/>
        </w:rPr>
        <w:t xml:space="preserve"> and </w:t>
      </w:r>
      <w:r w:rsidR="00131D65" w:rsidRPr="00713625">
        <w:rPr>
          <w:sz w:val="20"/>
          <w:szCs w:val="20"/>
        </w:rPr>
        <w:t xml:space="preserve">mouse monoclonal anti-prohibitin (E-5) antibody (clone sc-377037, Santa Cruz Biotechnology, Inc.) at a dilution 1:100, followed by washing in PBS. Sections were then covered with 4-5 drops of UltraVision biotinylated goat anti-polyvalent secondary antibody, incubated at room temperature for 10 minutes, then washed in PBS, followed by incubation with streptavidin peroxidase solution for 10 minutes at room temperature, then rinsing with </w:t>
      </w:r>
      <w:r w:rsidR="003E01DC" w:rsidRPr="00713625">
        <w:rPr>
          <w:sz w:val="20"/>
          <w:szCs w:val="20"/>
        </w:rPr>
        <w:t>phosphate buffer saline (</w:t>
      </w:r>
      <w:r w:rsidR="00131D65" w:rsidRPr="00713625">
        <w:rPr>
          <w:sz w:val="20"/>
          <w:szCs w:val="20"/>
        </w:rPr>
        <w:t>PBS</w:t>
      </w:r>
      <w:r w:rsidR="003E01DC" w:rsidRPr="00713625">
        <w:rPr>
          <w:sz w:val="20"/>
          <w:szCs w:val="20"/>
        </w:rPr>
        <w:t>)</w:t>
      </w:r>
      <w:r w:rsidR="00131D65" w:rsidRPr="00713625">
        <w:rPr>
          <w:sz w:val="20"/>
          <w:szCs w:val="20"/>
        </w:rPr>
        <w:t>. Sections were then covered for 15 minutes by adding one drop of 3-3`- diamino-benzidine-tetra-hydrochloride (DAB) chromogen mixed with 2 ml of DAB substrate. Finally, sections were counterstained with Mayer’s haematoxylin, dehydrated in alcohol and mounted in di-n-butyl-phthalate-polystyrene-xylene (DPX). As positive controls, sections from human ovarian tissue (for prohibitin), and sections from human tonsil (for IL-33) were used. Negative controls were prepared by omission of the primary antibodies.</w:t>
      </w:r>
    </w:p>
    <w:p w:rsidR="00131D65" w:rsidRPr="00713625" w:rsidRDefault="00C315B1" w:rsidP="00B20211">
      <w:pPr>
        <w:snapToGrid w:val="0"/>
        <w:spacing w:before="0" w:after="0" w:line="240" w:lineRule="auto"/>
        <w:ind w:firstLine="0"/>
        <w:rPr>
          <w:b/>
          <w:bCs/>
          <w:sz w:val="20"/>
          <w:szCs w:val="20"/>
        </w:rPr>
      </w:pPr>
      <w:r w:rsidRPr="00713625">
        <w:rPr>
          <w:b/>
          <w:bCs/>
          <w:sz w:val="20"/>
          <w:szCs w:val="20"/>
        </w:rPr>
        <w:t xml:space="preserve">2.2.3.1 </w:t>
      </w:r>
      <w:r w:rsidR="00131D65" w:rsidRPr="00713625">
        <w:rPr>
          <w:b/>
          <w:bCs/>
          <w:sz w:val="20"/>
          <w:szCs w:val="20"/>
        </w:rPr>
        <w:t xml:space="preserve">Evaluation of </w:t>
      </w:r>
      <w:r w:rsidR="00A24418" w:rsidRPr="00713625">
        <w:rPr>
          <w:b/>
          <w:bCs/>
          <w:sz w:val="20"/>
          <w:szCs w:val="20"/>
        </w:rPr>
        <w:t>immunohistochemical</w:t>
      </w:r>
      <w:r w:rsidR="00131D65" w:rsidRPr="00713625">
        <w:rPr>
          <w:b/>
          <w:bCs/>
          <w:sz w:val="20"/>
          <w:szCs w:val="20"/>
        </w:rPr>
        <w:t xml:space="preserve"> staining</w:t>
      </w:r>
    </w:p>
    <w:p w:rsidR="00131D65" w:rsidRPr="00713625" w:rsidRDefault="00131D65" w:rsidP="00B20211">
      <w:pPr>
        <w:snapToGrid w:val="0"/>
        <w:spacing w:before="0" w:after="0" w:line="240" w:lineRule="auto"/>
        <w:ind w:firstLine="425"/>
        <w:rPr>
          <w:sz w:val="20"/>
          <w:szCs w:val="20"/>
        </w:rPr>
      </w:pPr>
      <w:r w:rsidRPr="00713625">
        <w:rPr>
          <w:sz w:val="20"/>
          <w:szCs w:val="20"/>
        </w:rPr>
        <w:t xml:space="preserve">Distinct granular </w:t>
      </w:r>
      <w:r w:rsidR="0018422D" w:rsidRPr="00713625">
        <w:rPr>
          <w:sz w:val="20"/>
          <w:szCs w:val="20"/>
        </w:rPr>
        <w:t xml:space="preserve">cytoplasmic </w:t>
      </w:r>
      <w:r w:rsidR="00425812" w:rsidRPr="00713625">
        <w:rPr>
          <w:sz w:val="20"/>
          <w:szCs w:val="20"/>
        </w:rPr>
        <w:t xml:space="preserve">staining for IL-33, </w:t>
      </w:r>
      <w:r w:rsidR="0024033D" w:rsidRPr="00713625">
        <w:rPr>
          <w:sz w:val="20"/>
          <w:szCs w:val="20"/>
        </w:rPr>
        <w:t>as well as</w:t>
      </w:r>
      <w:r w:rsidR="00425812" w:rsidRPr="00713625">
        <w:rPr>
          <w:sz w:val="20"/>
          <w:szCs w:val="20"/>
        </w:rPr>
        <w:t xml:space="preserve"> cytoplasmic and</w:t>
      </w:r>
      <w:r w:rsidR="0018422D" w:rsidRPr="00713625">
        <w:rPr>
          <w:sz w:val="20"/>
          <w:szCs w:val="20"/>
        </w:rPr>
        <w:t xml:space="preserve">/or </w:t>
      </w:r>
      <w:r w:rsidRPr="00713625">
        <w:rPr>
          <w:sz w:val="20"/>
          <w:szCs w:val="20"/>
        </w:rPr>
        <w:t>nuclear staining for prohibitin, were considered to indicate positive immunoreactivity.</w:t>
      </w:r>
    </w:p>
    <w:p w:rsidR="00FA4454" w:rsidRPr="00713625" w:rsidRDefault="00131D65" w:rsidP="00B20211">
      <w:pPr>
        <w:snapToGrid w:val="0"/>
        <w:spacing w:before="0" w:after="0" w:line="240" w:lineRule="auto"/>
        <w:ind w:firstLine="425"/>
        <w:rPr>
          <w:sz w:val="20"/>
          <w:szCs w:val="20"/>
        </w:rPr>
      </w:pPr>
      <w:r w:rsidRPr="00713625">
        <w:rPr>
          <w:sz w:val="20"/>
          <w:szCs w:val="20"/>
        </w:rPr>
        <w:t xml:space="preserve">The immunohistochemical score (IHS) was used for </w:t>
      </w:r>
      <w:r w:rsidR="005F0645" w:rsidRPr="00713625">
        <w:rPr>
          <w:sz w:val="20"/>
          <w:szCs w:val="20"/>
        </w:rPr>
        <w:t xml:space="preserve">evaluation of </w:t>
      </w:r>
      <w:r w:rsidRPr="00713625">
        <w:rPr>
          <w:sz w:val="20"/>
          <w:szCs w:val="20"/>
        </w:rPr>
        <w:t xml:space="preserve">prohibitin and IL-33 </w:t>
      </w:r>
      <w:r w:rsidR="005F0645" w:rsidRPr="00713625">
        <w:rPr>
          <w:sz w:val="20"/>
          <w:szCs w:val="20"/>
        </w:rPr>
        <w:t xml:space="preserve">immunoreactivity </w:t>
      </w:r>
      <w:r w:rsidRPr="00713625">
        <w:rPr>
          <w:sz w:val="20"/>
          <w:szCs w:val="20"/>
        </w:rPr>
        <w:t xml:space="preserve">by means of light microscopy examination </w:t>
      </w:r>
      <w:r w:rsidR="00213D3C" w:rsidRPr="00713625">
        <w:rPr>
          <w:sz w:val="20"/>
          <w:szCs w:val="20"/>
        </w:rPr>
        <w:t>using</w:t>
      </w:r>
      <w:r w:rsidRPr="00713625">
        <w:rPr>
          <w:sz w:val="20"/>
          <w:szCs w:val="20"/>
        </w:rPr>
        <w:t xml:space="preserve"> 10 high power fields (X400) in each slide, and the average IHS score was calculated by combining the quantity score (percentage of positive stained cells) with the staining intensity score. The quantity score ranges from 0 to 4, i.e. 0, no immunostaining; 1, 1-10% of cells are stained; 2, 11-50% are positive; 3, 51-80% are positive; and 4, ≥81% of cells are positive. The staining intensity was scored as: 0 (negative), 1 (weak), 2 (moderate) and 3 (strong). Raw data were converted to IHS by multiplying the quantity score (0-4) </w:t>
      </w:r>
      <w:r w:rsidR="00213D3C" w:rsidRPr="00713625">
        <w:rPr>
          <w:sz w:val="20"/>
          <w:szCs w:val="20"/>
        </w:rPr>
        <w:t>with</w:t>
      </w:r>
      <w:r w:rsidRPr="00713625">
        <w:rPr>
          <w:sz w:val="20"/>
          <w:szCs w:val="20"/>
        </w:rPr>
        <w:t xml:space="preserve"> the staining intensity score (0-3), with a range from 0 to 12. An IHS of 9-12 was considered a strong (+3); 5-8, moderate (+2); 1-4, weak (+1); and 0, negative immunoreactivity </w:t>
      </w:r>
      <w:r w:rsidR="00FA4454" w:rsidRPr="00713625">
        <w:rPr>
          <w:sz w:val="20"/>
          <w:szCs w:val="20"/>
        </w:rPr>
        <w:t>(Gou et al., 2011).</w:t>
      </w:r>
    </w:p>
    <w:p w:rsidR="00EB25BC" w:rsidRPr="00713625" w:rsidRDefault="001E14D4" w:rsidP="00B20211">
      <w:pPr>
        <w:snapToGrid w:val="0"/>
        <w:spacing w:before="0" w:after="0" w:line="240" w:lineRule="auto"/>
        <w:ind w:firstLine="0"/>
        <w:rPr>
          <w:b/>
          <w:bCs/>
          <w:sz w:val="20"/>
          <w:szCs w:val="20"/>
        </w:rPr>
      </w:pPr>
      <w:r w:rsidRPr="00713625">
        <w:rPr>
          <w:b/>
          <w:bCs/>
          <w:sz w:val="20"/>
          <w:szCs w:val="20"/>
        </w:rPr>
        <w:t>2.2.4</w:t>
      </w:r>
      <w:r w:rsidR="000F6D24" w:rsidRPr="00713625">
        <w:rPr>
          <w:b/>
          <w:bCs/>
          <w:sz w:val="20"/>
          <w:szCs w:val="20"/>
        </w:rPr>
        <w:t>.</w:t>
      </w:r>
      <w:r w:rsidR="00EB25BC" w:rsidRPr="00713625">
        <w:rPr>
          <w:b/>
          <w:bCs/>
          <w:sz w:val="20"/>
          <w:szCs w:val="20"/>
        </w:rPr>
        <w:t>Statistical analysis of the data</w:t>
      </w:r>
    </w:p>
    <w:p w:rsidR="00EB25BC" w:rsidRPr="00713625" w:rsidRDefault="00EB25BC" w:rsidP="00B20211">
      <w:pPr>
        <w:snapToGrid w:val="0"/>
        <w:spacing w:before="0" w:after="0" w:line="240" w:lineRule="auto"/>
        <w:ind w:firstLine="425"/>
        <w:rPr>
          <w:sz w:val="20"/>
          <w:szCs w:val="20"/>
        </w:rPr>
      </w:pPr>
      <w:r w:rsidRPr="00713625">
        <w:rPr>
          <w:sz w:val="20"/>
          <w:szCs w:val="20"/>
        </w:rPr>
        <w:t xml:space="preserve">Data were analyzed using IBM SPSS software package version 20.0. Qualitative data were described using number and percent. Comparison between different groups regarding categorical variables was tested using Chi square for Kruskal Wallis test, </w:t>
      </w:r>
      <w:r w:rsidR="00672AF6" w:rsidRPr="00713625">
        <w:rPr>
          <w:sz w:val="20"/>
          <w:szCs w:val="20"/>
        </w:rPr>
        <w:t>s</w:t>
      </w:r>
      <w:r w:rsidRPr="00713625">
        <w:rPr>
          <w:sz w:val="20"/>
          <w:szCs w:val="20"/>
        </w:rPr>
        <w:t xml:space="preserve">ignificance between groups was done using by Mann </w:t>
      </w:r>
      <w:r w:rsidRPr="00713625">
        <w:rPr>
          <w:sz w:val="20"/>
          <w:szCs w:val="20"/>
        </w:rPr>
        <w:lastRenderedPageBreak/>
        <w:t xml:space="preserve">Whitney test. When more than 20% of the cells have expected count </w:t>
      </w:r>
      <w:r w:rsidR="00CB657E" w:rsidRPr="00713625">
        <w:rPr>
          <w:sz w:val="20"/>
          <w:szCs w:val="20"/>
        </w:rPr>
        <w:t>&lt;</w:t>
      </w:r>
      <w:r w:rsidRPr="00713625">
        <w:rPr>
          <w:sz w:val="20"/>
          <w:szCs w:val="20"/>
        </w:rPr>
        <w:t xml:space="preserve"> 5, correction for chi-square was conducted using Monte Carlo correction.Correlations between the studied parameters </w:t>
      </w:r>
      <w:r w:rsidR="00CB657E" w:rsidRPr="00713625">
        <w:rPr>
          <w:sz w:val="20"/>
          <w:szCs w:val="20"/>
        </w:rPr>
        <w:t xml:space="preserve">were done by Spearman coefficient. </w:t>
      </w:r>
      <w:r w:rsidRPr="00713625">
        <w:rPr>
          <w:sz w:val="20"/>
          <w:szCs w:val="20"/>
        </w:rPr>
        <w:t xml:space="preserve">Significance was judged at the </w:t>
      </w:r>
      <w:r w:rsidR="00CA5F39" w:rsidRPr="00713625">
        <w:rPr>
          <w:sz w:val="20"/>
          <w:szCs w:val="20"/>
        </w:rPr>
        <w:t>0.05</w:t>
      </w:r>
      <w:r w:rsidRPr="00713625">
        <w:rPr>
          <w:sz w:val="20"/>
          <w:szCs w:val="20"/>
        </w:rPr>
        <w:t xml:space="preserve"> level (Kirkpatrick </w:t>
      </w:r>
      <w:r w:rsidR="00400648" w:rsidRPr="00713625">
        <w:rPr>
          <w:sz w:val="20"/>
          <w:szCs w:val="20"/>
        </w:rPr>
        <w:t>&amp; Feeney,</w:t>
      </w:r>
      <w:r w:rsidRPr="00713625">
        <w:rPr>
          <w:sz w:val="20"/>
          <w:szCs w:val="20"/>
        </w:rPr>
        <w:t xml:space="preserve"> 2013).</w:t>
      </w:r>
    </w:p>
    <w:p w:rsidR="00066CCB" w:rsidRPr="00713625" w:rsidRDefault="00B20211" w:rsidP="00B20211">
      <w:pPr>
        <w:snapToGrid w:val="0"/>
        <w:spacing w:before="0" w:after="0" w:line="240" w:lineRule="auto"/>
        <w:ind w:firstLine="0"/>
        <w:rPr>
          <w:b/>
          <w:bCs/>
          <w:sz w:val="20"/>
          <w:szCs w:val="20"/>
        </w:rPr>
      </w:pPr>
      <w:r w:rsidRPr="00713625">
        <w:rPr>
          <w:b/>
          <w:bCs/>
          <w:sz w:val="20"/>
          <w:szCs w:val="20"/>
        </w:rPr>
        <w:t>3. Results</w:t>
      </w:r>
    </w:p>
    <w:p w:rsidR="00066CCB" w:rsidRPr="00713625" w:rsidRDefault="00EE5F9D" w:rsidP="00B20211">
      <w:pPr>
        <w:autoSpaceDE w:val="0"/>
        <w:autoSpaceDN w:val="0"/>
        <w:adjustRightInd w:val="0"/>
        <w:snapToGrid w:val="0"/>
        <w:spacing w:before="0" w:after="0" w:line="240" w:lineRule="auto"/>
        <w:ind w:firstLine="0"/>
        <w:rPr>
          <w:b/>
          <w:bCs/>
          <w:sz w:val="20"/>
          <w:szCs w:val="20"/>
          <w:lang w:bidi="ar-EG"/>
        </w:rPr>
      </w:pPr>
      <w:r w:rsidRPr="00713625">
        <w:rPr>
          <w:b/>
          <w:bCs/>
          <w:sz w:val="20"/>
          <w:szCs w:val="20"/>
        </w:rPr>
        <w:t>3.1</w:t>
      </w:r>
      <w:r w:rsidR="00303C3B" w:rsidRPr="00713625">
        <w:rPr>
          <w:b/>
          <w:bCs/>
          <w:sz w:val="20"/>
          <w:szCs w:val="20"/>
        </w:rPr>
        <w:t>.</w:t>
      </w:r>
      <w:r w:rsidR="00066CCB" w:rsidRPr="00713625">
        <w:rPr>
          <w:b/>
          <w:bCs/>
          <w:sz w:val="20"/>
          <w:szCs w:val="20"/>
        </w:rPr>
        <w:t>Subjects</w:t>
      </w:r>
      <w:r w:rsidR="00AE7C28" w:rsidRPr="00713625">
        <w:rPr>
          <w:b/>
          <w:bCs/>
          <w:sz w:val="20"/>
          <w:szCs w:val="20"/>
        </w:rPr>
        <w:t>'</w:t>
      </w:r>
      <w:r w:rsidR="00066CCB" w:rsidRPr="00713625">
        <w:rPr>
          <w:b/>
          <w:bCs/>
          <w:sz w:val="20"/>
          <w:szCs w:val="20"/>
        </w:rPr>
        <w:t xml:space="preserve"> demographic data</w:t>
      </w:r>
    </w:p>
    <w:p w:rsidR="00450878" w:rsidRPr="00713625" w:rsidRDefault="00450878" w:rsidP="00B20211">
      <w:pPr>
        <w:snapToGrid w:val="0"/>
        <w:spacing w:before="0" w:after="0" w:line="240" w:lineRule="auto"/>
        <w:ind w:firstLine="425"/>
        <w:rPr>
          <w:sz w:val="20"/>
          <w:szCs w:val="20"/>
        </w:rPr>
      </w:pPr>
      <w:r w:rsidRPr="00713625">
        <w:rPr>
          <w:sz w:val="20"/>
          <w:szCs w:val="20"/>
        </w:rPr>
        <w:t xml:space="preserve">Age distribution among benign, early breast cancer "stage I and II", advanced breast cancer "stage III" and healthy control groups ranged between 44 and 63 years old. There weren't any statistically significant differences </w:t>
      </w:r>
      <w:r w:rsidR="00F84895" w:rsidRPr="00713625">
        <w:rPr>
          <w:sz w:val="20"/>
          <w:szCs w:val="20"/>
        </w:rPr>
        <w:t>among</w:t>
      </w:r>
      <w:r w:rsidRPr="00713625">
        <w:rPr>
          <w:sz w:val="20"/>
          <w:szCs w:val="20"/>
        </w:rPr>
        <w:t xml:space="preserve"> the studied groups regarding age or menstrual state.</w:t>
      </w:r>
    </w:p>
    <w:p w:rsidR="00722E83" w:rsidRPr="00713625" w:rsidRDefault="00EE5F9D" w:rsidP="00B20211">
      <w:pPr>
        <w:tabs>
          <w:tab w:val="left" w:pos="709"/>
        </w:tabs>
        <w:snapToGrid w:val="0"/>
        <w:spacing w:before="0" w:after="0" w:line="240" w:lineRule="auto"/>
        <w:ind w:firstLine="0"/>
        <w:rPr>
          <w:b/>
          <w:bCs/>
          <w:sz w:val="20"/>
          <w:szCs w:val="20"/>
        </w:rPr>
      </w:pPr>
      <w:r w:rsidRPr="00713625">
        <w:rPr>
          <w:b/>
          <w:bCs/>
          <w:sz w:val="20"/>
          <w:szCs w:val="20"/>
        </w:rPr>
        <w:t>3.2</w:t>
      </w:r>
      <w:r w:rsidR="00303C3B" w:rsidRPr="00713625">
        <w:rPr>
          <w:b/>
          <w:bCs/>
          <w:sz w:val="20"/>
          <w:szCs w:val="20"/>
        </w:rPr>
        <w:t>.</w:t>
      </w:r>
      <w:r w:rsidR="00722E83" w:rsidRPr="00713625">
        <w:rPr>
          <w:b/>
          <w:bCs/>
          <w:sz w:val="20"/>
          <w:szCs w:val="20"/>
        </w:rPr>
        <w:t xml:space="preserve"> Serum levels of IL-33 and sST2</w:t>
      </w:r>
    </w:p>
    <w:p w:rsidR="0032466E" w:rsidRPr="00713625" w:rsidRDefault="00FD75A4" w:rsidP="00B20211">
      <w:pPr>
        <w:snapToGrid w:val="0"/>
        <w:spacing w:before="0" w:after="0" w:line="240" w:lineRule="auto"/>
        <w:ind w:firstLine="425"/>
        <w:rPr>
          <w:sz w:val="20"/>
          <w:szCs w:val="20"/>
        </w:rPr>
      </w:pPr>
      <w:r w:rsidRPr="00713625">
        <w:rPr>
          <w:sz w:val="20"/>
          <w:szCs w:val="20"/>
        </w:rPr>
        <w:t xml:space="preserve">The mean levels of IL-33 in serum were </w:t>
      </w:r>
      <w:r w:rsidR="00B44843" w:rsidRPr="00713625">
        <w:rPr>
          <w:sz w:val="20"/>
          <w:szCs w:val="20"/>
        </w:rPr>
        <w:t>122.47 ± 41.96</w:t>
      </w:r>
      <w:r w:rsidRPr="00713625">
        <w:rPr>
          <w:sz w:val="20"/>
          <w:szCs w:val="20"/>
        </w:rPr>
        <w:t xml:space="preserve">, </w:t>
      </w:r>
      <w:r w:rsidR="00B44843" w:rsidRPr="00713625">
        <w:rPr>
          <w:sz w:val="20"/>
          <w:szCs w:val="20"/>
        </w:rPr>
        <w:t>359.23± 277.1</w:t>
      </w:r>
      <w:r w:rsidRPr="00713625">
        <w:rPr>
          <w:sz w:val="20"/>
          <w:szCs w:val="20"/>
        </w:rPr>
        <w:t xml:space="preserve">, </w:t>
      </w:r>
      <w:r w:rsidR="00B44843" w:rsidRPr="00713625">
        <w:rPr>
          <w:sz w:val="20"/>
          <w:szCs w:val="20"/>
        </w:rPr>
        <w:t xml:space="preserve">372.06± 196.5 </w:t>
      </w:r>
      <w:r w:rsidRPr="00713625">
        <w:rPr>
          <w:sz w:val="20"/>
          <w:szCs w:val="20"/>
        </w:rPr>
        <w:t xml:space="preserve">and </w:t>
      </w:r>
      <w:r w:rsidR="00B44843" w:rsidRPr="00713625">
        <w:rPr>
          <w:sz w:val="20"/>
          <w:szCs w:val="20"/>
        </w:rPr>
        <w:t xml:space="preserve">583.9± 203.7 </w:t>
      </w:r>
      <w:r w:rsidR="0032466E" w:rsidRPr="00713625">
        <w:rPr>
          <w:sz w:val="20"/>
          <w:szCs w:val="20"/>
        </w:rPr>
        <w:t>pg/ml</w:t>
      </w:r>
      <w:r w:rsidRPr="00713625">
        <w:rPr>
          <w:sz w:val="20"/>
          <w:szCs w:val="20"/>
        </w:rPr>
        <w:t xml:space="preserve"> in control, benign, early breast cancer "stage I and II", and advanced breast cancer "stage III" groups, respectively. There </w:t>
      </w:r>
      <w:r w:rsidR="00CF4F83" w:rsidRPr="00713625">
        <w:rPr>
          <w:sz w:val="20"/>
          <w:szCs w:val="20"/>
        </w:rPr>
        <w:t>was a statistically</w:t>
      </w:r>
      <w:r w:rsidRPr="00713625">
        <w:rPr>
          <w:sz w:val="20"/>
          <w:szCs w:val="20"/>
        </w:rPr>
        <w:t xml:space="preserve"> significant increase in IL-33 serum levels </w:t>
      </w:r>
      <w:r w:rsidR="00EB25BC" w:rsidRPr="00713625">
        <w:rPr>
          <w:sz w:val="20"/>
          <w:szCs w:val="20"/>
        </w:rPr>
        <w:t xml:space="preserve">in groups with breast lesions compared </w:t>
      </w:r>
      <w:r w:rsidR="008870DC" w:rsidRPr="00713625">
        <w:rPr>
          <w:sz w:val="20"/>
          <w:szCs w:val="20"/>
        </w:rPr>
        <w:t>to</w:t>
      </w:r>
      <w:r w:rsidR="00EB25BC" w:rsidRPr="00713625">
        <w:rPr>
          <w:sz w:val="20"/>
          <w:szCs w:val="20"/>
        </w:rPr>
        <w:t xml:space="preserve"> the control group (p&lt;0.001). </w:t>
      </w:r>
      <w:r w:rsidR="00CF4F83" w:rsidRPr="00713625">
        <w:rPr>
          <w:sz w:val="20"/>
          <w:szCs w:val="20"/>
        </w:rPr>
        <w:t>In addition, levels of IL-33 w</w:t>
      </w:r>
      <w:r w:rsidR="00D30B6C" w:rsidRPr="00713625">
        <w:rPr>
          <w:sz w:val="20"/>
          <w:szCs w:val="20"/>
        </w:rPr>
        <w:t>ere</w:t>
      </w:r>
      <w:r w:rsidR="00842092" w:rsidRPr="00713625">
        <w:rPr>
          <w:sz w:val="20"/>
          <w:szCs w:val="20"/>
        </w:rPr>
        <w:t>significantly higher in malignant cases than benign lesions (</w:t>
      </w:r>
      <w:r w:rsidR="004F4F24" w:rsidRPr="00713625">
        <w:rPr>
          <w:sz w:val="20"/>
          <w:szCs w:val="20"/>
        </w:rPr>
        <w:t xml:space="preserve">p </w:t>
      </w:r>
      <w:r w:rsidR="00CC18EC" w:rsidRPr="00713625">
        <w:rPr>
          <w:sz w:val="20"/>
          <w:szCs w:val="20"/>
        </w:rPr>
        <w:t>=</w:t>
      </w:r>
      <w:r w:rsidR="00842092" w:rsidRPr="00713625">
        <w:rPr>
          <w:sz w:val="20"/>
          <w:szCs w:val="20"/>
        </w:rPr>
        <w:t>0.00</w:t>
      </w:r>
      <w:r w:rsidR="00CC18EC" w:rsidRPr="00713625">
        <w:rPr>
          <w:sz w:val="20"/>
          <w:szCs w:val="20"/>
        </w:rPr>
        <w:t>4</w:t>
      </w:r>
      <w:r w:rsidR="00842092" w:rsidRPr="00713625">
        <w:rPr>
          <w:sz w:val="20"/>
          <w:szCs w:val="20"/>
        </w:rPr>
        <w:t xml:space="preserve">). Moreover, they were significantly </w:t>
      </w:r>
      <w:r w:rsidR="00CF4F83" w:rsidRPr="00713625">
        <w:rPr>
          <w:sz w:val="20"/>
          <w:szCs w:val="20"/>
        </w:rPr>
        <w:t xml:space="preserve">increasing </w:t>
      </w:r>
      <w:r w:rsidR="00EB25BC" w:rsidRPr="00713625">
        <w:rPr>
          <w:sz w:val="20"/>
          <w:szCs w:val="20"/>
        </w:rPr>
        <w:t xml:space="preserve">with progression </w:t>
      </w:r>
      <w:r w:rsidR="00CF4F83" w:rsidRPr="00713625">
        <w:rPr>
          <w:sz w:val="20"/>
          <w:szCs w:val="20"/>
        </w:rPr>
        <w:t xml:space="preserve">from early "stage I and II" to advanced breast cancer "stage III" </w:t>
      </w:r>
      <w:r w:rsidR="00EB25BC" w:rsidRPr="00713625">
        <w:rPr>
          <w:sz w:val="20"/>
          <w:szCs w:val="20"/>
        </w:rPr>
        <w:t>(</w:t>
      </w:r>
      <w:r w:rsidR="004F4F24" w:rsidRPr="00713625">
        <w:rPr>
          <w:sz w:val="20"/>
          <w:szCs w:val="20"/>
        </w:rPr>
        <w:t xml:space="preserve">p </w:t>
      </w:r>
      <w:r w:rsidR="00C7174D" w:rsidRPr="00713625">
        <w:rPr>
          <w:sz w:val="20"/>
          <w:szCs w:val="20"/>
        </w:rPr>
        <w:t>=</w:t>
      </w:r>
      <w:r w:rsidR="00EB25BC" w:rsidRPr="00713625">
        <w:rPr>
          <w:sz w:val="20"/>
          <w:szCs w:val="20"/>
        </w:rPr>
        <w:t>0.00</w:t>
      </w:r>
      <w:r w:rsidR="00CC18EC" w:rsidRPr="00713625">
        <w:rPr>
          <w:sz w:val="20"/>
          <w:szCs w:val="20"/>
        </w:rPr>
        <w:t>4</w:t>
      </w:r>
      <w:r w:rsidR="00EB25BC" w:rsidRPr="00713625">
        <w:rPr>
          <w:sz w:val="20"/>
          <w:szCs w:val="20"/>
        </w:rPr>
        <w:t>).</w:t>
      </w:r>
    </w:p>
    <w:p w:rsidR="00CF4F83" w:rsidRPr="00713625" w:rsidRDefault="00CF4F83" w:rsidP="00B20211">
      <w:pPr>
        <w:snapToGrid w:val="0"/>
        <w:spacing w:before="0" w:after="0" w:line="240" w:lineRule="auto"/>
        <w:ind w:firstLine="425"/>
        <w:rPr>
          <w:sz w:val="20"/>
          <w:szCs w:val="20"/>
        </w:rPr>
      </w:pPr>
      <w:r w:rsidRPr="00713625">
        <w:rPr>
          <w:sz w:val="20"/>
          <w:szCs w:val="20"/>
        </w:rPr>
        <w:t xml:space="preserve">The mean levels of ST2 were </w:t>
      </w:r>
      <w:r w:rsidR="001B15DD" w:rsidRPr="00713625">
        <w:rPr>
          <w:sz w:val="20"/>
          <w:szCs w:val="20"/>
        </w:rPr>
        <w:t>59.08 ± 10.11</w:t>
      </w:r>
      <w:r w:rsidRPr="00713625">
        <w:rPr>
          <w:sz w:val="20"/>
          <w:szCs w:val="20"/>
        </w:rPr>
        <w:t xml:space="preserve">, </w:t>
      </w:r>
      <w:r w:rsidR="001B15DD" w:rsidRPr="00713625">
        <w:rPr>
          <w:sz w:val="20"/>
          <w:szCs w:val="20"/>
        </w:rPr>
        <w:t>104.08 ± 48.24</w:t>
      </w:r>
      <w:r w:rsidRPr="00713625">
        <w:rPr>
          <w:sz w:val="20"/>
          <w:szCs w:val="20"/>
        </w:rPr>
        <w:t xml:space="preserve">, </w:t>
      </w:r>
      <w:r w:rsidR="001B15DD" w:rsidRPr="00713625">
        <w:rPr>
          <w:sz w:val="20"/>
          <w:szCs w:val="20"/>
        </w:rPr>
        <w:t xml:space="preserve">86.53 ± 29.84 </w:t>
      </w:r>
      <w:r w:rsidRPr="00713625">
        <w:rPr>
          <w:sz w:val="20"/>
          <w:szCs w:val="20"/>
        </w:rPr>
        <w:t xml:space="preserve">and </w:t>
      </w:r>
      <w:r w:rsidR="001B15DD" w:rsidRPr="00713625">
        <w:rPr>
          <w:sz w:val="20"/>
          <w:szCs w:val="20"/>
        </w:rPr>
        <w:t xml:space="preserve">92.53 ± 23.93 </w:t>
      </w:r>
      <w:r w:rsidRPr="00713625">
        <w:rPr>
          <w:sz w:val="20"/>
          <w:szCs w:val="20"/>
        </w:rPr>
        <w:t xml:space="preserve">pg/ml in control, benign, early breast cancer "stage I and II", and advanced breast cancer "stage III" groups, respectively. There was a statistically significant increase in ST2 serum levels in groups with breast lesions compared </w:t>
      </w:r>
      <w:r w:rsidR="00A64DE5" w:rsidRPr="00713625">
        <w:rPr>
          <w:sz w:val="20"/>
          <w:szCs w:val="20"/>
        </w:rPr>
        <w:t>to</w:t>
      </w:r>
      <w:r w:rsidRPr="00713625">
        <w:rPr>
          <w:sz w:val="20"/>
          <w:szCs w:val="20"/>
        </w:rPr>
        <w:t xml:space="preserve"> the control group (</w:t>
      </w:r>
      <w:r w:rsidR="004F4F24" w:rsidRPr="00713625">
        <w:rPr>
          <w:sz w:val="20"/>
          <w:szCs w:val="20"/>
        </w:rPr>
        <w:t xml:space="preserve">p </w:t>
      </w:r>
      <w:r w:rsidRPr="00713625">
        <w:rPr>
          <w:sz w:val="20"/>
          <w:szCs w:val="20"/>
        </w:rPr>
        <w:t xml:space="preserve">&lt;0.001). </w:t>
      </w:r>
      <w:r w:rsidR="00CC18EC" w:rsidRPr="00713625">
        <w:rPr>
          <w:sz w:val="20"/>
          <w:szCs w:val="20"/>
        </w:rPr>
        <w:t>L</w:t>
      </w:r>
      <w:r w:rsidRPr="00713625">
        <w:rPr>
          <w:sz w:val="20"/>
          <w:szCs w:val="20"/>
        </w:rPr>
        <w:t xml:space="preserve">evels of ST2 </w:t>
      </w:r>
      <w:r w:rsidR="0075303C" w:rsidRPr="00713625">
        <w:rPr>
          <w:sz w:val="20"/>
          <w:szCs w:val="20"/>
        </w:rPr>
        <w:t xml:space="preserve">were lowerin malignant cases than </w:t>
      </w:r>
      <w:r w:rsidR="00CC18EC" w:rsidRPr="00713625">
        <w:rPr>
          <w:sz w:val="20"/>
          <w:szCs w:val="20"/>
        </w:rPr>
        <w:t xml:space="preserve">these with </w:t>
      </w:r>
      <w:r w:rsidR="0075303C" w:rsidRPr="00713625">
        <w:rPr>
          <w:sz w:val="20"/>
          <w:szCs w:val="20"/>
        </w:rPr>
        <w:t>benign lesions</w:t>
      </w:r>
      <w:r w:rsidR="006837EC" w:rsidRPr="00713625">
        <w:rPr>
          <w:sz w:val="20"/>
          <w:szCs w:val="20"/>
        </w:rPr>
        <w:t>,</w:t>
      </w:r>
      <w:r w:rsidR="00CC18EC" w:rsidRPr="00713625">
        <w:rPr>
          <w:sz w:val="20"/>
          <w:szCs w:val="20"/>
        </w:rPr>
        <w:t xml:space="preserve">but </w:t>
      </w:r>
      <w:r w:rsidR="00DC43F1" w:rsidRPr="00713625">
        <w:rPr>
          <w:sz w:val="20"/>
          <w:szCs w:val="20"/>
        </w:rPr>
        <w:t xml:space="preserve">the differences were </w:t>
      </w:r>
      <w:r w:rsidR="00CC18EC" w:rsidRPr="00713625">
        <w:rPr>
          <w:sz w:val="20"/>
          <w:szCs w:val="20"/>
        </w:rPr>
        <w:t xml:space="preserve">statistically </w:t>
      </w:r>
      <w:r w:rsidR="009F7429" w:rsidRPr="00713625">
        <w:rPr>
          <w:sz w:val="20"/>
          <w:szCs w:val="20"/>
        </w:rPr>
        <w:t>in</w:t>
      </w:r>
      <w:r w:rsidR="00CC18EC" w:rsidRPr="00713625">
        <w:rPr>
          <w:sz w:val="20"/>
          <w:szCs w:val="20"/>
        </w:rPr>
        <w:t xml:space="preserve">significant </w:t>
      </w:r>
      <w:r w:rsidR="0075303C" w:rsidRPr="00713625">
        <w:rPr>
          <w:sz w:val="20"/>
          <w:szCs w:val="20"/>
        </w:rPr>
        <w:t>(</w:t>
      </w:r>
      <w:r w:rsidR="004F4F24" w:rsidRPr="00713625">
        <w:rPr>
          <w:sz w:val="20"/>
          <w:szCs w:val="20"/>
        </w:rPr>
        <w:t xml:space="preserve">p </w:t>
      </w:r>
      <w:r w:rsidR="00CC18EC" w:rsidRPr="00713625">
        <w:rPr>
          <w:sz w:val="20"/>
          <w:szCs w:val="20"/>
        </w:rPr>
        <w:t>=0.158</w:t>
      </w:r>
      <w:r w:rsidR="0075303C" w:rsidRPr="00713625">
        <w:rPr>
          <w:sz w:val="20"/>
          <w:szCs w:val="20"/>
        </w:rPr>
        <w:t>).</w:t>
      </w:r>
    </w:p>
    <w:p w:rsidR="00066CCB" w:rsidRPr="00713625" w:rsidRDefault="00EE5F9D" w:rsidP="00B20211">
      <w:pPr>
        <w:snapToGrid w:val="0"/>
        <w:spacing w:before="0" w:after="0" w:line="240" w:lineRule="auto"/>
        <w:ind w:firstLine="0"/>
        <w:rPr>
          <w:b/>
          <w:bCs/>
          <w:sz w:val="20"/>
          <w:szCs w:val="20"/>
        </w:rPr>
      </w:pPr>
      <w:r w:rsidRPr="00713625">
        <w:rPr>
          <w:b/>
          <w:bCs/>
          <w:sz w:val="20"/>
          <w:szCs w:val="20"/>
        </w:rPr>
        <w:t>3.3</w:t>
      </w:r>
      <w:r w:rsidR="00303C3B" w:rsidRPr="00713625">
        <w:rPr>
          <w:b/>
          <w:bCs/>
          <w:sz w:val="20"/>
          <w:szCs w:val="20"/>
        </w:rPr>
        <w:t>.</w:t>
      </w:r>
      <w:r w:rsidR="00026581" w:rsidRPr="00713625">
        <w:rPr>
          <w:b/>
          <w:bCs/>
          <w:sz w:val="20"/>
          <w:szCs w:val="20"/>
        </w:rPr>
        <w:t>Histop</w:t>
      </w:r>
      <w:r w:rsidR="00066CCB" w:rsidRPr="00713625">
        <w:rPr>
          <w:b/>
          <w:bCs/>
          <w:sz w:val="20"/>
          <w:szCs w:val="20"/>
        </w:rPr>
        <w:t>athologic features of studied cases</w:t>
      </w:r>
    </w:p>
    <w:p w:rsidR="00DC60B7" w:rsidRPr="00713625" w:rsidRDefault="005C708E" w:rsidP="00B20211">
      <w:pPr>
        <w:tabs>
          <w:tab w:val="left" w:pos="709"/>
        </w:tabs>
        <w:snapToGrid w:val="0"/>
        <w:spacing w:before="0" w:after="0" w:line="240" w:lineRule="auto"/>
        <w:ind w:firstLine="425"/>
        <w:rPr>
          <w:sz w:val="20"/>
          <w:szCs w:val="20"/>
        </w:rPr>
      </w:pPr>
      <w:r w:rsidRPr="00713625">
        <w:rPr>
          <w:sz w:val="20"/>
          <w:szCs w:val="20"/>
        </w:rPr>
        <w:t xml:space="preserve">Histopathologic evaluation of </w:t>
      </w:r>
      <w:r w:rsidR="00066CCB" w:rsidRPr="00713625">
        <w:rPr>
          <w:sz w:val="20"/>
          <w:szCs w:val="20"/>
        </w:rPr>
        <w:t>H&amp;E-stain</w:t>
      </w:r>
      <w:r w:rsidRPr="00713625">
        <w:rPr>
          <w:sz w:val="20"/>
          <w:szCs w:val="20"/>
        </w:rPr>
        <w:t>ed sections</w:t>
      </w:r>
      <w:r w:rsidR="00B4198D" w:rsidRPr="00713625">
        <w:rPr>
          <w:sz w:val="20"/>
          <w:szCs w:val="20"/>
        </w:rPr>
        <w:t>revealed</w:t>
      </w:r>
      <w:r w:rsidR="00066CCB" w:rsidRPr="00713625">
        <w:rPr>
          <w:sz w:val="20"/>
          <w:szCs w:val="20"/>
        </w:rPr>
        <w:t xml:space="preserve"> that the </w:t>
      </w:r>
      <w:r w:rsidRPr="00713625">
        <w:rPr>
          <w:sz w:val="20"/>
          <w:szCs w:val="20"/>
        </w:rPr>
        <w:t xml:space="preserve">studied </w:t>
      </w:r>
      <w:r w:rsidR="00066CCB" w:rsidRPr="00713625">
        <w:rPr>
          <w:sz w:val="20"/>
          <w:szCs w:val="20"/>
        </w:rPr>
        <w:t>benign</w:t>
      </w:r>
      <w:r w:rsidR="00DC60B7" w:rsidRPr="00713625">
        <w:rPr>
          <w:sz w:val="20"/>
          <w:szCs w:val="20"/>
        </w:rPr>
        <w:t xml:space="preserve"> breast lesions </w:t>
      </w:r>
      <w:r w:rsidR="00B4198D" w:rsidRPr="00713625">
        <w:rPr>
          <w:sz w:val="20"/>
          <w:szCs w:val="20"/>
        </w:rPr>
        <w:t>included</w:t>
      </w:r>
      <w:r w:rsidR="000C08B8" w:rsidRPr="00713625">
        <w:rPr>
          <w:sz w:val="20"/>
          <w:szCs w:val="20"/>
        </w:rPr>
        <w:t xml:space="preserve"> 9</w:t>
      </w:r>
      <w:r w:rsidR="00207768" w:rsidRPr="00713625">
        <w:rPr>
          <w:sz w:val="20"/>
          <w:szCs w:val="20"/>
        </w:rPr>
        <w:t>/15</w:t>
      </w:r>
      <w:r w:rsidR="00187A43" w:rsidRPr="00713625">
        <w:rPr>
          <w:sz w:val="20"/>
          <w:szCs w:val="20"/>
        </w:rPr>
        <w:t xml:space="preserve">(60%) </w:t>
      </w:r>
      <w:r w:rsidR="000C08B8" w:rsidRPr="00713625">
        <w:rPr>
          <w:sz w:val="20"/>
          <w:szCs w:val="20"/>
        </w:rPr>
        <w:t xml:space="preserve">cases </w:t>
      </w:r>
      <w:r w:rsidR="000111A6" w:rsidRPr="00713625">
        <w:rPr>
          <w:sz w:val="20"/>
          <w:szCs w:val="20"/>
        </w:rPr>
        <w:t xml:space="preserve">of </w:t>
      </w:r>
      <w:r w:rsidR="00DC60B7" w:rsidRPr="00713625">
        <w:rPr>
          <w:sz w:val="20"/>
          <w:szCs w:val="20"/>
        </w:rPr>
        <w:t xml:space="preserve">fibrocystic change and </w:t>
      </w:r>
      <w:r w:rsidR="000C08B8" w:rsidRPr="00713625">
        <w:rPr>
          <w:sz w:val="20"/>
          <w:szCs w:val="20"/>
        </w:rPr>
        <w:t>6</w:t>
      </w:r>
      <w:r w:rsidR="00207768" w:rsidRPr="00713625">
        <w:rPr>
          <w:sz w:val="20"/>
          <w:szCs w:val="20"/>
        </w:rPr>
        <w:t>/15</w:t>
      </w:r>
      <w:r w:rsidR="00187A43" w:rsidRPr="00713625">
        <w:rPr>
          <w:sz w:val="20"/>
          <w:szCs w:val="20"/>
        </w:rPr>
        <w:t xml:space="preserve">(40%) </w:t>
      </w:r>
      <w:r w:rsidR="00DC60B7" w:rsidRPr="00713625">
        <w:rPr>
          <w:sz w:val="20"/>
          <w:szCs w:val="20"/>
        </w:rPr>
        <w:t>fibroadenomas</w:t>
      </w:r>
      <w:r w:rsidR="00207768" w:rsidRPr="00713625">
        <w:rPr>
          <w:sz w:val="20"/>
          <w:szCs w:val="20"/>
        </w:rPr>
        <w:t xml:space="preserve">. Concerning the studied malignant cases, </w:t>
      </w:r>
      <w:r w:rsidR="00DC60B7" w:rsidRPr="00713625">
        <w:rPr>
          <w:sz w:val="20"/>
          <w:szCs w:val="20"/>
        </w:rPr>
        <w:t xml:space="preserve">stage I&amp;II breast carcinomas included </w:t>
      </w:r>
      <w:r w:rsidR="00207768" w:rsidRPr="00713625">
        <w:rPr>
          <w:sz w:val="20"/>
          <w:szCs w:val="20"/>
        </w:rPr>
        <w:t>13/15 (</w:t>
      </w:r>
      <w:r w:rsidR="00EF7EB3" w:rsidRPr="00713625">
        <w:rPr>
          <w:sz w:val="20"/>
          <w:szCs w:val="20"/>
        </w:rPr>
        <w:t>86.7</w:t>
      </w:r>
      <w:r w:rsidR="00DC60B7" w:rsidRPr="00713625">
        <w:rPr>
          <w:sz w:val="20"/>
          <w:szCs w:val="20"/>
        </w:rPr>
        <w:t>%</w:t>
      </w:r>
      <w:r w:rsidR="00EF7EB3" w:rsidRPr="00713625">
        <w:rPr>
          <w:sz w:val="20"/>
          <w:szCs w:val="20"/>
        </w:rPr>
        <w:t>) cases of</w:t>
      </w:r>
      <w:r w:rsidR="00DC60B7" w:rsidRPr="00713625">
        <w:rPr>
          <w:sz w:val="20"/>
          <w:szCs w:val="20"/>
        </w:rPr>
        <w:t xml:space="preserve"> infiltrating ductal carcinoma–not otherwise specified (IDC-NOS), and </w:t>
      </w:r>
      <w:r w:rsidR="00EF7EB3" w:rsidRPr="00713625">
        <w:rPr>
          <w:sz w:val="20"/>
          <w:szCs w:val="20"/>
        </w:rPr>
        <w:t>2/15 (</w:t>
      </w:r>
      <w:r w:rsidR="00DC60B7" w:rsidRPr="00713625">
        <w:rPr>
          <w:sz w:val="20"/>
          <w:szCs w:val="20"/>
        </w:rPr>
        <w:t>1</w:t>
      </w:r>
      <w:r w:rsidR="00EF7EB3" w:rsidRPr="00713625">
        <w:rPr>
          <w:sz w:val="20"/>
          <w:szCs w:val="20"/>
        </w:rPr>
        <w:t>3.3</w:t>
      </w:r>
      <w:r w:rsidR="00DC60B7" w:rsidRPr="00713625">
        <w:rPr>
          <w:sz w:val="20"/>
          <w:szCs w:val="20"/>
        </w:rPr>
        <w:t>%</w:t>
      </w:r>
      <w:r w:rsidR="00EF7EB3" w:rsidRPr="00713625">
        <w:rPr>
          <w:sz w:val="20"/>
          <w:szCs w:val="20"/>
        </w:rPr>
        <w:t>)</w:t>
      </w:r>
      <w:r w:rsidR="00DC60B7" w:rsidRPr="00713625">
        <w:rPr>
          <w:sz w:val="20"/>
          <w:szCs w:val="20"/>
        </w:rPr>
        <w:t xml:space="preserve"> infiltrating mucinous carcinoma</w:t>
      </w:r>
      <w:r w:rsidR="00EF7EB3" w:rsidRPr="00713625">
        <w:rPr>
          <w:sz w:val="20"/>
          <w:szCs w:val="20"/>
        </w:rPr>
        <w:t>s.</w:t>
      </w:r>
      <w:r w:rsidR="00EC0450" w:rsidRPr="00713625">
        <w:rPr>
          <w:sz w:val="20"/>
          <w:szCs w:val="20"/>
        </w:rPr>
        <w:t>All s</w:t>
      </w:r>
      <w:r w:rsidR="00DC60B7" w:rsidRPr="00713625">
        <w:rPr>
          <w:sz w:val="20"/>
          <w:szCs w:val="20"/>
        </w:rPr>
        <w:t xml:space="preserve">tage III breast carcinomas </w:t>
      </w:r>
      <w:r w:rsidR="00187A43" w:rsidRPr="00713625">
        <w:rPr>
          <w:sz w:val="20"/>
          <w:szCs w:val="20"/>
        </w:rPr>
        <w:t>(</w:t>
      </w:r>
      <w:r w:rsidR="002E1446" w:rsidRPr="00713625">
        <w:rPr>
          <w:sz w:val="20"/>
          <w:szCs w:val="20"/>
        </w:rPr>
        <w:t>100</w:t>
      </w:r>
      <w:r w:rsidR="00187A43" w:rsidRPr="00713625">
        <w:rPr>
          <w:sz w:val="20"/>
          <w:szCs w:val="20"/>
        </w:rPr>
        <w:t xml:space="preserve">%) </w:t>
      </w:r>
      <w:r w:rsidR="00EC0450" w:rsidRPr="00713625">
        <w:rPr>
          <w:sz w:val="20"/>
          <w:szCs w:val="20"/>
        </w:rPr>
        <w:t xml:space="preserve">were </w:t>
      </w:r>
      <w:r w:rsidR="00DC60B7" w:rsidRPr="00713625">
        <w:rPr>
          <w:sz w:val="20"/>
          <w:szCs w:val="20"/>
        </w:rPr>
        <w:t xml:space="preserve">IDC-NOS.Grading of the studied breast carcinomas revealed </w:t>
      </w:r>
      <w:r w:rsidR="00187A43" w:rsidRPr="00713625">
        <w:rPr>
          <w:sz w:val="20"/>
          <w:szCs w:val="20"/>
        </w:rPr>
        <w:t>19/30 (63.3</w:t>
      </w:r>
      <w:r w:rsidR="00DC60B7" w:rsidRPr="00713625">
        <w:rPr>
          <w:sz w:val="20"/>
          <w:szCs w:val="20"/>
        </w:rPr>
        <w:t>%</w:t>
      </w:r>
      <w:r w:rsidR="00187A43" w:rsidRPr="00713625">
        <w:rPr>
          <w:sz w:val="20"/>
          <w:szCs w:val="20"/>
        </w:rPr>
        <w:t>)</w:t>
      </w:r>
      <w:r w:rsidR="00DC60B7" w:rsidRPr="00713625">
        <w:rPr>
          <w:sz w:val="20"/>
          <w:szCs w:val="20"/>
        </w:rPr>
        <w:t xml:space="preserve"> grade II tumours and </w:t>
      </w:r>
      <w:r w:rsidR="00187A43" w:rsidRPr="00713625">
        <w:rPr>
          <w:sz w:val="20"/>
          <w:szCs w:val="20"/>
        </w:rPr>
        <w:t>11/30 (36.7</w:t>
      </w:r>
      <w:r w:rsidR="00DC60B7" w:rsidRPr="00713625">
        <w:rPr>
          <w:sz w:val="20"/>
          <w:szCs w:val="20"/>
        </w:rPr>
        <w:t>%</w:t>
      </w:r>
      <w:r w:rsidR="00187A43" w:rsidRPr="00713625">
        <w:rPr>
          <w:sz w:val="20"/>
          <w:szCs w:val="20"/>
        </w:rPr>
        <w:t>)</w:t>
      </w:r>
      <w:r w:rsidR="00DC60B7" w:rsidRPr="00713625">
        <w:rPr>
          <w:sz w:val="20"/>
          <w:szCs w:val="20"/>
        </w:rPr>
        <w:t xml:space="preserve"> grade III tumours.</w:t>
      </w:r>
    </w:p>
    <w:p w:rsidR="00800548" w:rsidRPr="00713625" w:rsidRDefault="00EE5F9D" w:rsidP="00B20211">
      <w:pPr>
        <w:snapToGrid w:val="0"/>
        <w:spacing w:before="0" w:after="0" w:line="240" w:lineRule="auto"/>
        <w:ind w:firstLine="0"/>
        <w:rPr>
          <w:b/>
          <w:bCs/>
          <w:sz w:val="20"/>
          <w:szCs w:val="20"/>
        </w:rPr>
      </w:pPr>
      <w:r w:rsidRPr="00713625">
        <w:rPr>
          <w:b/>
          <w:bCs/>
          <w:sz w:val="20"/>
          <w:szCs w:val="20"/>
        </w:rPr>
        <w:t>3.4</w:t>
      </w:r>
      <w:r w:rsidR="00303C3B" w:rsidRPr="00713625">
        <w:rPr>
          <w:b/>
          <w:bCs/>
          <w:sz w:val="20"/>
          <w:szCs w:val="20"/>
        </w:rPr>
        <w:t>.</w:t>
      </w:r>
      <w:r w:rsidR="00C12354" w:rsidRPr="00713625">
        <w:rPr>
          <w:b/>
          <w:bCs/>
          <w:sz w:val="20"/>
          <w:szCs w:val="20"/>
        </w:rPr>
        <w:t xml:space="preserve">Immunohistochemical </w:t>
      </w:r>
      <w:r w:rsidR="00791B0F" w:rsidRPr="00713625">
        <w:rPr>
          <w:b/>
          <w:bCs/>
          <w:sz w:val="20"/>
          <w:szCs w:val="20"/>
        </w:rPr>
        <w:t xml:space="preserve">expression </w:t>
      </w:r>
      <w:r w:rsidR="008E2112" w:rsidRPr="00713625">
        <w:rPr>
          <w:b/>
          <w:bCs/>
          <w:sz w:val="20"/>
          <w:szCs w:val="20"/>
        </w:rPr>
        <w:t xml:space="preserve">of </w:t>
      </w:r>
      <w:r w:rsidR="00800548" w:rsidRPr="00713625">
        <w:rPr>
          <w:b/>
          <w:bCs/>
          <w:sz w:val="20"/>
          <w:szCs w:val="20"/>
        </w:rPr>
        <w:t xml:space="preserve">IL-33 </w:t>
      </w:r>
      <w:r w:rsidR="00791B0F" w:rsidRPr="00713625">
        <w:rPr>
          <w:b/>
          <w:bCs/>
          <w:sz w:val="20"/>
          <w:szCs w:val="20"/>
        </w:rPr>
        <w:t>in the</w:t>
      </w:r>
      <w:r w:rsidR="00800548" w:rsidRPr="00713625">
        <w:rPr>
          <w:b/>
          <w:bCs/>
          <w:sz w:val="20"/>
          <w:szCs w:val="20"/>
        </w:rPr>
        <w:t xml:space="preserve"> studied groups</w:t>
      </w:r>
    </w:p>
    <w:p w:rsidR="002A619B" w:rsidRPr="00713625" w:rsidRDefault="00800548" w:rsidP="00B20211">
      <w:pPr>
        <w:snapToGrid w:val="0"/>
        <w:spacing w:before="0" w:after="0" w:line="240" w:lineRule="auto"/>
        <w:ind w:firstLine="425"/>
        <w:rPr>
          <w:rFonts w:eastAsia="Times New Roman"/>
          <w:sz w:val="20"/>
          <w:szCs w:val="20"/>
          <w:lang w:eastAsia="en-GB"/>
        </w:rPr>
      </w:pPr>
      <w:r w:rsidRPr="00713625">
        <w:rPr>
          <w:sz w:val="20"/>
          <w:szCs w:val="20"/>
        </w:rPr>
        <w:t xml:space="preserve">IL-33 </w:t>
      </w:r>
      <w:r w:rsidR="00EA1673" w:rsidRPr="00713625">
        <w:rPr>
          <w:rFonts w:eastAsia="Times New Roman"/>
          <w:sz w:val="20"/>
          <w:szCs w:val="20"/>
          <w:lang w:eastAsia="en-GB"/>
        </w:rPr>
        <w:t>expression was variable among the studied groups.</w:t>
      </w:r>
      <w:r w:rsidRPr="00713625">
        <w:rPr>
          <w:sz w:val="20"/>
          <w:szCs w:val="20"/>
        </w:rPr>
        <w:t xml:space="preserve">The highest expression was detected in breast carcinomas </w:t>
      </w:r>
      <w:r w:rsidR="00E62704" w:rsidRPr="00713625">
        <w:rPr>
          <w:sz w:val="20"/>
          <w:szCs w:val="20"/>
        </w:rPr>
        <w:t>[</w:t>
      </w:r>
      <w:r w:rsidR="000A3563" w:rsidRPr="00713625">
        <w:rPr>
          <w:sz w:val="20"/>
          <w:szCs w:val="20"/>
        </w:rPr>
        <w:t>2</w:t>
      </w:r>
      <w:r w:rsidR="00563653" w:rsidRPr="00713625">
        <w:rPr>
          <w:sz w:val="20"/>
          <w:szCs w:val="20"/>
        </w:rPr>
        <w:t>7</w:t>
      </w:r>
      <w:r w:rsidR="000A3563" w:rsidRPr="00713625">
        <w:rPr>
          <w:sz w:val="20"/>
          <w:szCs w:val="20"/>
        </w:rPr>
        <w:t xml:space="preserve">/30 </w:t>
      </w:r>
      <w:r w:rsidRPr="00713625">
        <w:rPr>
          <w:sz w:val="20"/>
          <w:szCs w:val="20"/>
        </w:rPr>
        <w:t>(</w:t>
      </w:r>
      <w:r w:rsidR="00563653" w:rsidRPr="00713625">
        <w:rPr>
          <w:sz w:val="20"/>
          <w:szCs w:val="20"/>
        </w:rPr>
        <w:t>90</w:t>
      </w:r>
      <w:r w:rsidRPr="00713625">
        <w:rPr>
          <w:sz w:val="20"/>
          <w:szCs w:val="20"/>
        </w:rPr>
        <w:t>%)</w:t>
      </w:r>
      <w:r w:rsidR="00E62704" w:rsidRPr="00713625">
        <w:rPr>
          <w:sz w:val="20"/>
          <w:szCs w:val="20"/>
        </w:rPr>
        <w:t>]</w:t>
      </w:r>
      <w:r w:rsidRPr="00713625">
        <w:rPr>
          <w:sz w:val="20"/>
          <w:szCs w:val="20"/>
        </w:rPr>
        <w:t xml:space="preserve">, compared to benign breast </w:t>
      </w:r>
      <w:r w:rsidRPr="00713625">
        <w:rPr>
          <w:sz w:val="20"/>
          <w:szCs w:val="20"/>
        </w:rPr>
        <w:lastRenderedPageBreak/>
        <w:t>lesions</w:t>
      </w:r>
      <w:r w:rsidR="00E62704" w:rsidRPr="00713625">
        <w:rPr>
          <w:sz w:val="20"/>
          <w:szCs w:val="20"/>
        </w:rPr>
        <w:t>[5</w:t>
      </w:r>
      <w:r w:rsidR="00E62704" w:rsidRPr="00713625">
        <w:rPr>
          <w:sz w:val="20"/>
          <w:szCs w:val="20"/>
          <w:lang w:val="en-US" w:bidi="ar-EG"/>
        </w:rPr>
        <w:t xml:space="preserve">/15 </w:t>
      </w:r>
      <w:r w:rsidRPr="00713625">
        <w:rPr>
          <w:sz w:val="20"/>
          <w:szCs w:val="20"/>
        </w:rPr>
        <w:t>(3</w:t>
      </w:r>
      <w:r w:rsidR="00E62704" w:rsidRPr="00713625">
        <w:rPr>
          <w:sz w:val="20"/>
          <w:szCs w:val="20"/>
        </w:rPr>
        <w:t>3</w:t>
      </w:r>
      <w:r w:rsidRPr="00713625">
        <w:rPr>
          <w:sz w:val="20"/>
          <w:szCs w:val="20"/>
        </w:rPr>
        <w:t>.</w:t>
      </w:r>
      <w:r w:rsidR="00E62704" w:rsidRPr="00713625">
        <w:rPr>
          <w:sz w:val="20"/>
          <w:szCs w:val="20"/>
        </w:rPr>
        <w:t>3</w:t>
      </w:r>
      <w:r w:rsidRPr="00713625">
        <w:rPr>
          <w:sz w:val="20"/>
          <w:szCs w:val="20"/>
        </w:rPr>
        <w:t>%)</w:t>
      </w:r>
      <w:r w:rsidR="00E62704" w:rsidRPr="00713625">
        <w:rPr>
          <w:sz w:val="20"/>
          <w:szCs w:val="20"/>
        </w:rPr>
        <w:t>]</w:t>
      </w:r>
      <w:r w:rsidRPr="00713625">
        <w:rPr>
          <w:sz w:val="20"/>
          <w:szCs w:val="20"/>
        </w:rPr>
        <w:t xml:space="preserve">, and normal breast tissue </w:t>
      </w:r>
      <w:r w:rsidR="00630233" w:rsidRPr="00713625">
        <w:rPr>
          <w:sz w:val="20"/>
          <w:szCs w:val="20"/>
        </w:rPr>
        <w:t>[</w:t>
      </w:r>
      <w:r w:rsidR="00360564" w:rsidRPr="00713625">
        <w:rPr>
          <w:sz w:val="20"/>
          <w:szCs w:val="20"/>
        </w:rPr>
        <w:t>3</w:t>
      </w:r>
      <w:r w:rsidR="00630233" w:rsidRPr="00713625">
        <w:rPr>
          <w:sz w:val="20"/>
          <w:szCs w:val="20"/>
        </w:rPr>
        <w:t xml:space="preserve">/15 </w:t>
      </w:r>
      <w:r w:rsidRPr="00713625">
        <w:rPr>
          <w:sz w:val="20"/>
          <w:szCs w:val="20"/>
        </w:rPr>
        <w:t>(</w:t>
      </w:r>
      <w:r w:rsidR="00360564" w:rsidRPr="00713625">
        <w:rPr>
          <w:sz w:val="20"/>
          <w:szCs w:val="20"/>
        </w:rPr>
        <w:t>20</w:t>
      </w:r>
      <w:r w:rsidRPr="00713625">
        <w:rPr>
          <w:sz w:val="20"/>
          <w:szCs w:val="20"/>
        </w:rPr>
        <w:t>%)</w:t>
      </w:r>
      <w:r w:rsidR="00630233" w:rsidRPr="00713625">
        <w:rPr>
          <w:sz w:val="20"/>
          <w:szCs w:val="20"/>
        </w:rPr>
        <w:t>]</w:t>
      </w:r>
      <w:r w:rsidR="00CB53BF" w:rsidRPr="00713625">
        <w:rPr>
          <w:rFonts w:eastAsia="Times New Roman"/>
          <w:sz w:val="20"/>
          <w:szCs w:val="20"/>
          <w:lang w:eastAsia="en-GB"/>
        </w:rPr>
        <w:t xml:space="preserve">with statistically significant differences </w:t>
      </w:r>
      <w:r w:rsidR="00360564" w:rsidRPr="00713625">
        <w:rPr>
          <w:sz w:val="20"/>
          <w:szCs w:val="20"/>
        </w:rPr>
        <w:t>(</w:t>
      </w:r>
      <w:r w:rsidR="004F4F24" w:rsidRPr="00713625">
        <w:rPr>
          <w:sz w:val="20"/>
          <w:szCs w:val="20"/>
        </w:rPr>
        <w:t xml:space="preserve">p </w:t>
      </w:r>
      <w:r w:rsidR="00360564" w:rsidRPr="00713625">
        <w:rPr>
          <w:sz w:val="20"/>
          <w:szCs w:val="20"/>
        </w:rPr>
        <w:t xml:space="preserve">&lt;0.001). </w:t>
      </w:r>
      <w:r w:rsidR="00EC0450" w:rsidRPr="00713625">
        <w:rPr>
          <w:rFonts w:eastAsia="Times New Roman"/>
          <w:sz w:val="20"/>
          <w:szCs w:val="20"/>
          <w:lang w:eastAsia="en-GB"/>
        </w:rPr>
        <w:t xml:space="preserve">There was a statistically significant </w:t>
      </w:r>
      <w:r w:rsidR="006B2CCE" w:rsidRPr="00713625">
        <w:rPr>
          <w:rFonts w:eastAsia="Times New Roman"/>
          <w:sz w:val="20"/>
          <w:szCs w:val="20"/>
          <w:lang w:eastAsia="en-GB"/>
        </w:rPr>
        <w:t>increasein</w:t>
      </w:r>
      <w:r w:rsidR="00EC0450" w:rsidRPr="00713625">
        <w:rPr>
          <w:rFonts w:eastAsia="Times New Roman"/>
          <w:sz w:val="20"/>
          <w:szCs w:val="20"/>
          <w:lang w:eastAsia="en-GB"/>
        </w:rPr>
        <w:t xml:space="preserve"> IL-33 expression </w:t>
      </w:r>
      <w:r w:rsidR="006B2CCE" w:rsidRPr="00713625">
        <w:rPr>
          <w:rFonts w:eastAsia="Times New Roman"/>
          <w:sz w:val="20"/>
          <w:szCs w:val="20"/>
          <w:lang w:eastAsia="en-GB"/>
        </w:rPr>
        <w:t xml:space="preserve">with increased </w:t>
      </w:r>
      <w:r w:rsidR="00D144BE" w:rsidRPr="00713625">
        <w:rPr>
          <w:rFonts w:eastAsia="Times New Roman"/>
          <w:sz w:val="20"/>
          <w:szCs w:val="20"/>
          <w:lang w:eastAsia="en-GB"/>
        </w:rPr>
        <w:t>tumour</w:t>
      </w:r>
      <w:r w:rsidR="006B2CCE" w:rsidRPr="00713625">
        <w:rPr>
          <w:rFonts w:eastAsia="Times New Roman"/>
          <w:sz w:val="20"/>
          <w:szCs w:val="20"/>
          <w:lang w:eastAsia="en-GB"/>
        </w:rPr>
        <w:t xml:space="preserve"> stage</w:t>
      </w:r>
      <w:r w:rsidR="00377E36" w:rsidRPr="00713625">
        <w:rPr>
          <w:rFonts w:eastAsia="Times New Roman"/>
          <w:sz w:val="20"/>
          <w:szCs w:val="20"/>
          <w:lang w:eastAsia="en-GB"/>
        </w:rPr>
        <w:t xml:space="preserve">, as </w:t>
      </w:r>
      <w:r w:rsidR="006B2CCE" w:rsidRPr="00713625">
        <w:rPr>
          <w:rFonts w:eastAsia="Times New Roman"/>
          <w:sz w:val="20"/>
          <w:szCs w:val="20"/>
          <w:lang w:eastAsia="en-GB"/>
        </w:rPr>
        <w:t xml:space="preserve">group 3 </w:t>
      </w:r>
      <w:r w:rsidR="00EB748F" w:rsidRPr="00713625">
        <w:rPr>
          <w:rFonts w:eastAsia="Times New Roman"/>
          <w:sz w:val="20"/>
          <w:szCs w:val="20"/>
          <w:lang w:eastAsia="en-GB"/>
        </w:rPr>
        <w:t>“</w:t>
      </w:r>
      <w:r w:rsidR="006B2CCE" w:rsidRPr="00713625">
        <w:rPr>
          <w:rFonts w:eastAsia="Times New Roman"/>
          <w:sz w:val="20"/>
          <w:szCs w:val="20"/>
          <w:lang w:eastAsia="en-GB"/>
        </w:rPr>
        <w:t>stage III</w:t>
      </w:r>
      <w:r w:rsidR="00EB748F" w:rsidRPr="00713625">
        <w:rPr>
          <w:rFonts w:eastAsia="Times New Roman"/>
          <w:sz w:val="20"/>
          <w:szCs w:val="20"/>
          <w:lang w:eastAsia="en-GB"/>
        </w:rPr>
        <w:t>”</w:t>
      </w:r>
      <w:r w:rsidR="006B2CCE" w:rsidRPr="00713625">
        <w:rPr>
          <w:rFonts w:eastAsia="Times New Roman"/>
          <w:sz w:val="20"/>
          <w:szCs w:val="20"/>
          <w:lang w:eastAsia="en-GB"/>
        </w:rPr>
        <w:t xml:space="preserve"> breast carcinomas showed significantly higher IL-33 expression </w:t>
      </w:r>
      <w:r w:rsidR="00EB748F" w:rsidRPr="00713625">
        <w:rPr>
          <w:rFonts w:eastAsia="Times New Roman"/>
          <w:sz w:val="20"/>
          <w:szCs w:val="20"/>
          <w:lang w:eastAsia="en-GB"/>
        </w:rPr>
        <w:t>compared to</w:t>
      </w:r>
      <w:r w:rsidR="00EC0450" w:rsidRPr="00713625">
        <w:rPr>
          <w:rFonts w:eastAsia="Times New Roman"/>
          <w:sz w:val="20"/>
          <w:szCs w:val="20"/>
          <w:lang w:eastAsia="en-GB"/>
        </w:rPr>
        <w:t xml:space="preserve">group 2 </w:t>
      </w:r>
      <w:r w:rsidR="00EB748F" w:rsidRPr="00713625">
        <w:rPr>
          <w:rFonts w:eastAsia="Times New Roman"/>
          <w:sz w:val="20"/>
          <w:szCs w:val="20"/>
          <w:lang w:eastAsia="en-GB"/>
        </w:rPr>
        <w:t>“</w:t>
      </w:r>
      <w:r w:rsidR="00EC0450" w:rsidRPr="00713625">
        <w:rPr>
          <w:rFonts w:eastAsia="Times New Roman"/>
          <w:sz w:val="20"/>
          <w:szCs w:val="20"/>
          <w:lang w:eastAsia="en-GB"/>
        </w:rPr>
        <w:t>stage I and II</w:t>
      </w:r>
      <w:r w:rsidR="00EB748F" w:rsidRPr="00713625">
        <w:rPr>
          <w:rFonts w:eastAsia="Times New Roman"/>
          <w:sz w:val="20"/>
          <w:szCs w:val="20"/>
          <w:lang w:eastAsia="en-GB"/>
        </w:rPr>
        <w:t>”</w:t>
      </w:r>
      <w:r w:rsidR="00360564" w:rsidRPr="00713625">
        <w:rPr>
          <w:sz w:val="20"/>
          <w:szCs w:val="20"/>
        </w:rPr>
        <w:t>(</w:t>
      </w:r>
      <w:r w:rsidR="004F4F24" w:rsidRPr="00713625">
        <w:rPr>
          <w:sz w:val="20"/>
          <w:szCs w:val="20"/>
        </w:rPr>
        <w:t xml:space="preserve">p </w:t>
      </w:r>
      <w:r w:rsidR="00360564" w:rsidRPr="00713625">
        <w:rPr>
          <w:sz w:val="20"/>
          <w:szCs w:val="20"/>
        </w:rPr>
        <w:t>=0.001</w:t>
      </w:r>
      <w:r w:rsidR="00360564" w:rsidRPr="00713625">
        <w:rPr>
          <w:rFonts w:eastAsia="Times New Roman"/>
          <w:sz w:val="20"/>
          <w:szCs w:val="20"/>
          <w:lang w:eastAsia="en-GB"/>
        </w:rPr>
        <w:t xml:space="preserve">) </w:t>
      </w:r>
      <w:r w:rsidR="00EC0450" w:rsidRPr="00713625">
        <w:rPr>
          <w:rFonts w:eastAsia="Times New Roman"/>
          <w:sz w:val="20"/>
          <w:szCs w:val="20"/>
          <w:lang w:eastAsia="en-GB"/>
        </w:rPr>
        <w:t>indicating up</w:t>
      </w:r>
      <w:r w:rsidR="00F84895" w:rsidRPr="00713625">
        <w:rPr>
          <w:rFonts w:eastAsia="Times New Roman"/>
          <w:sz w:val="20"/>
          <w:szCs w:val="20"/>
          <w:lang w:eastAsia="en-GB"/>
        </w:rPr>
        <w:t>-</w:t>
      </w:r>
      <w:r w:rsidR="00EC0450" w:rsidRPr="00713625">
        <w:rPr>
          <w:rFonts w:eastAsia="Times New Roman"/>
          <w:sz w:val="20"/>
          <w:szCs w:val="20"/>
          <w:lang w:eastAsia="en-GB"/>
        </w:rPr>
        <w:t xml:space="preserve">regulation of its expression with cancer progression. </w:t>
      </w:r>
      <w:r w:rsidR="000B2012" w:rsidRPr="00713625">
        <w:rPr>
          <w:rFonts w:eastAsia="Times New Roman"/>
          <w:sz w:val="20"/>
          <w:szCs w:val="20"/>
          <w:lang w:eastAsia="en-GB"/>
        </w:rPr>
        <w:t>A</w:t>
      </w:r>
      <w:r w:rsidR="00EC0450" w:rsidRPr="00713625">
        <w:rPr>
          <w:rFonts w:eastAsia="Times New Roman"/>
          <w:sz w:val="20"/>
          <w:szCs w:val="20"/>
          <w:lang w:eastAsia="en-GB"/>
        </w:rPr>
        <w:t xml:space="preserve">ll the studied grade III carcinomas (100%) showed IL-33 expression, while 15/19 </w:t>
      </w:r>
      <w:r w:rsidR="00EC0450" w:rsidRPr="00713625">
        <w:rPr>
          <w:rFonts w:eastAsia="Times New Roman"/>
          <w:sz w:val="20"/>
          <w:szCs w:val="20"/>
          <w:lang w:eastAsia="en-GB"/>
        </w:rPr>
        <w:lastRenderedPageBreak/>
        <w:t xml:space="preserve">(78.9%) of grade II tumours were IL-33 positive. </w:t>
      </w:r>
      <w:r w:rsidR="00F96A9F" w:rsidRPr="00713625">
        <w:rPr>
          <w:rFonts w:eastAsia="Times New Roman"/>
          <w:sz w:val="20"/>
          <w:szCs w:val="20"/>
          <w:lang w:eastAsia="en-GB"/>
        </w:rPr>
        <w:t xml:space="preserve">IL-33 expression was slightly higher in group </w:t>
      </w:r>
      <w:r w:rsidR="00FC43F2" w:rsidRPr="00713625">
        <w:rPr>
          <w:rFonts w:eastAsia="Times New Roman"/>
          <w:sz w:val="20"/>
          <w:szCs w:val="20"/>
          <w:lang w:eastAsia="en-GB"/>
        </w:rPr>
        <w:t>1 “benign group” compared to group 4 “control group”</w:t>
      </w:r>
      <w:r w:rsidR="009866E2" w:rsidRPr="00713625">
        <w:rPr>
          <w:rFonts w:eastAsia="Times New Roman"/>
          <w:sz w:val="20"/>
          <w:szCs w:val="20"/>
          <w:lang w:eastAsia="en-GB"/>
        </w:rPr>
        <w:t>;</w:t>
      </w:r>
      <w:r w:rsidR="00FC43F2" w:rsidRPr="00713625">
        <w:rPr>
          <w:rFonts w:eastAsia="Times New Roman"/>
          <w:sz w:val="20"/>
          <w:szCs w:val="20"/>
          <w:lang w:eastAsia="en-GB"/>
        </w:rPr>
        <w:t xml:space="preserve"> however, the differences were statistically insignificant (</w:t>
      </w:r>
      <w:r w:rsidR="004F4F24" w:rsidRPr="00713625">
        <w:rPr>
          <w:sz w:val="20"/>
          <w:szCs w:val="20"/>
        </w:rPr>
        <w:t>p</w:t>
      </w:r>
      <w:r w:rsidR="00FC43F2" w:rsidRPr="00713625">
        <w:rPr>
          <w:rFonts w:eastAsia="Times New Roman"/>
          <w:sz w:val="20"/>
          <w:szCs w:val="20"/>
          <w:lang w:eastAsia="en-GB"/>
        </w:rPr>
        <w:t>&lt;0.05).</w:t>
      </w:r>
      <w:r w:rsidR="002A619B" w:rsidRPr="00713625">
        <w:rPr>
          <w:rFonts w:eastAsia="Times New Roman"/>
          <w:sz w:val="20"/>
          <w:szCs w:val="20"/>
          <w:lang w:eastAsia="en-GB"/>
        </w:rPr>
        <w:t xml:space="preserve">Within group 1, no differences were found regarding IL-33 expression between fibrocystic change and fibroadenomas.The immunohistochemical expression of </w:t>
      </w:r>
      <w:r w:rsidR="00130377" w:rsidRPr="00713625">
        <w:rPr>
          <w:rFonts w:eastAsia="Times New Roman"/>
          <w:sz w:val="20"/>
          <w:szCs w:val="20"/>
          <w:lang w:eastAsia="en-GB"/>
        </w:rPr>
        <w:t>IL-33</w:t>
      </w:r>
      <w:r w:rsidR="002A619B" w:rsidRPr="00713625">
        <w:rPr>
          <w:rFonts w:eastAsia="Times New Roman"/>
          <w:sz w:val="20"/>
          <w:szCs w:val="20"/>
          <w:lang w:eastAsia="en-GB"/>
        </w:rPr>
        <w:t xml:space="preserve"> among the studied groups is shown in figure </w:t>
      </w:r>
      <w:r w:rsidR="00884202" w:rsidRPr="00713625">
        <w:rPr>
          <w:rFonts w:eastAsia="Times New Roman"/>
          <w:sz w:val="20"/>
          <w:szCs w:val="20"/>
          <w:lang w:eastAsia="en-GB"/>
        </w:rPr>
        <w:t>(</w:t>
      </w:r>
      <w:r w:rsidR="009C3B9C" w:rsidRPr="00713625">
        <w:rPr>
          <w:rFonts w:eastAsia="Times New Roman"/>
          <w:sz w:val="20"/>
          <w:szCs w:val="20"/>
          <w:lang w:eastAsia="en-GB"/>
        </w:rPr>
        <w:t>1</w:t>
      </w:r>
      <w:r w:rsidR="00884202" w:rsidRPr="00713625">
        <w:rPr>
          <w:rFonts w:eastAsia="Times New Roman"/>
          <w:sz w:val="20"/>
          <w:szCs w:val="20"/>
          <w:lang w:eastAsia="en-GB"/>
        </w:rPr>
        <w:t>)</w:t>
      </w:r>
      <w:r w:rsidR="002A619B" w:rsidRPr="00713625">
        <w:rPr>
          <w:rFonts w:eastAsia="Times New Roman"/>
          <w:sz w:val="20"/>
          <w:szCs w:val="20"/>
          <w:lang w:eastAsia="en-GB"/>
        </w:rPr>
        <w:t xml:space="preserve"> and </w:t>
      </w:r>
      <w:r w:rsidR="002A619B" w:rsidRPr="00713625">
        <w:rPr>
          <w:sz w:val="20"/>
          <w:szCs w:val="20"/>
        </w:rPr>
        <w:t>t</w:t>
      </w:r>
      <w:r w:rsidR="002A619B" w:rsidRPr="00713625">
        <w:rPr>
          <w:rFonts w:eastAsia="Times New Roman"/>
          <w:sz w:val="20"/>
          <w:szCs w:val="20"/>
          <w:lang w:eastAsia="en-GB"/>
        </w:rPr>
        <w:t xml:space="preserve">able </w:t>
      </w:r>
      <w:r w:rsidR="00884202" w:rsidRPr="00713625">
        <w:rPr>
          <w:rFonts w:eastAsia="Times New Roman"/>
          <w:sz w:val="20"/>
          <w:szCs w:val="20"/>
          <w:lang w:eastAsia="en-GB"/>
        </w:rPr>
        <w:t>(</w:t>
      </w:r>
      <w:r w:rsidR="009C3B9C" w:rsidRPr="00713625">
        <w:rPr>
          <w:rFonts w:eastAsia="Times New Roman"/>
          <w:sz w:val="20"/>
          <w:szCs w:val="20"/>
          <w:lang w:eastAsia="en-GB"/>
        </w:rPr>
        <w:t>1</w:t>
      </w:r>
      <w:r w:rsidR="00884202" w:rsidRPr="00713625">
        <w:rPr>
          <w:rFonts w:eastAsia="Times New Roman"/>
          <w:sz w:val="20"/>
          <w:szCs w:val="20"/>
          <w:lang w:eastAsia="en-GB"/>
        </w:rPr>
        <w:t>)</w:t>
      </w:r>
      <w:r w:rsidR="002A619B" w:rsidRPr="00713625">
        <w:rPr>
          <w:rFonts w:eastAsia="Times New Roman"/>
          <w:sz w:val="20"/>
          <w:szCs w:val="20"/>
          <w:lang w:eastAsia="en-GB"/>
        </w:rPr>
        <w:t>.</w:t>
      </w:r>
    </w:p>
    <w:p w:rsidR="00B20211" w:rsidRPr="00713625" w:rsidRDefault="00B20211" w:rsidP="00B20211">
      <w:pPr>
        <w:snapToGrid w:val="0"/>
        <w:spacing w:before="0" w:after="0" w:line="240" w:lineRule="auto"/>
        <w:ind w:firstLine="425"/>
        <w:rPr>
          <w:rFonts w:eastAsia="Times New Roman"/>
          <w:sz w:val="20"/>
          <w:szCs w:val="20"/>
          <w:lang w:eastAsia="en-GB"/>
        </w:rPr>
        <w:sectPr w:rsidR="00B20211" w:rsidRPr="00713625" w:rsidSect="003B4EBE">
          <w:headerReference w:type="default" r:id="rId14"/>
          <w:footerReference w:type="default" r:id="rId15"/>
          <w:endnotePr>
            <w:numFmt w:val="decimal"/>
          </w:endnotePr>
          <w:type w:val="continuous"/>
          <w:pgSz w:w="12242" w:h="15842" w:code="1"/>
          <w:pgMar w:top="1440" w:right="1440" w:bottom="1440" w:left="1440" w:header="720" w:footer="720" w:gutter="0"/>
          <w:cols w:num="2" w:space="600"/>
          <w:docGrid w:linePitch="360"/>
        </w:sectPr>
      </w:pPr>
    </w:p>
    <w:p w:rsidR="00800548" w:rsidRPr="00713625" w:rsidRDefault="00800548" w:rsidP="00B20211">
      <w:pPr>
        <w:pStyle w:val="ListParagraph"/>
        <w:snapToGrid w:val="0"/>
        <w:spacing w:before="0" w:after="0" w:line="240" w:lineRule="auto"/>
        <w:ind w:left="0" w:firstLine="0"/>
        <w:jc w:val="center"/>
        <w:rPr>
          <w:sz w:val="20"/>
          <w:szCs w:val="20"/>
        </w:rPr>
      </w:pPr>
    </w:p>
    <w:p w:rsidR="00800548" w:rsidRPr="00713625" w:rsidRDefault="009403A8" w:rsidP="00B20211">
      <w:pPr>
        <w:snapToGrid w:val="0"/>
        <w:spacing w:before="0" w:after="0" w:line="240" w:lineRule="auto"/>
        <w:ind w:firstLine="0"/>
        <w:jc w:val="center"/>
        <w:rPr>
          <w:b/>
          <w:bCs/>
          <w:sz w:val="20"/>
          <w:szCs w:val="20"/>
          <w:lang w:bidi="ar-EG"/>
        </w:rPr>
      </w:pPr>
      <w:r w:rsidRPr="00713625">
        <w:rPr>
          <w:b/>
          <w:bCs/>
          <w:sz w:val="20"/>
          <w:szCs w:val="20"/>
          <w:lang w:bidi="ar-EG"/>
        </w:rPr>
        <w:t>Table (</w:t>
      </w:r>
      <w:r w:rsidR="009C3B9C" w:rsidRPr="00713625">
        <w:rPr>
          <w:b/>
          <w:bCs/>
          <w:sz w:val="20"/>
          <w:szCs w:val="20"/>
          <w:lang w:bidi="ar-EG"/>
        </w:rPr>
        <w:t>1</w:t>
      </w:r>
      <w:r w:rsidR="00800548" w:rsidRPr="00713625">
        <w:rPr>
          <w:b/>
          <w:bCs/>
          <w:sz w:val="20"/>
          <w:szCs w:val="20"/>
          <w:lang w:bidi="ar-EG"/>
        </w:rPr>
        <w:t xml:space="preserve">): </w:t>
      </w:r>
      <w:r w:rsidR="000135A7" w:rsidRPr="00713625">
        <w:rPr>
          <w:b/>
          <w:bCs/>
          <w:sz w:val="20"/>
          <w:szCs w:val="20"/>
        </w:rPr>
        <w:t>Immunohistochemical</w:t>
      </w:r>
      <w:r w:rsidR="002155B8" w:rsidRPr="00713625">
        <w:rPr>
          <w:b/>
          <w:bCs/>
          <w:sz w:val="20"/>
          <w:szCs w:val="20"/>
        </w:rPr>
        <w:t xml:space="preserve"> expression </w:t>
      </w:r>
      <w:r w:rsidR="00800548" w:rsidRPr="00713625">
        <w:rPr>
          <w:b/>
          <w:bCs/>
          <w:sz w:val="20"/>
          <w:szCs w:val="20"/>
          <w:lang w:bidi="ar-EG"/>
        </w:rPr>
        <w:t>of IL-33 in the in the studied groups.</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CellMar>
          <w:left w:w="28" w:type="dxa"/>
          <w:right w:w="28" w:type="dxa"/>
        </w:tblCellMar>
        <w:tblLook w:val="04A0"/>
      </w:tblPr>
      <w:tblGrid>
        <w:gridCol w:w="1257"/>
        <w:gridCol w:w="629"/>
        <w:gridCol w:w="849"/>
        <w:gridCol w:w="629"/>
        <w:gridCol w:w="849"/>
        <w:gridCol w:w="629"/>
        <w:gridCol w:w="849"/>
        <w:gridCol w:w="1000"/>
        <w:gridCol w:w="1352"/>
        <w:gridCol w:w="693"/>
        <w:gridCol w:w="702"/>
      </w:tblGrid>
      <w:tr w:rsidR="00931D99" w:rsidRPr="00713625" w:rsidTr="00771569">
        <w:trPr>
          <w:cantSplit/>
          <w:jc w:val="center"/>
        </w:trPr>
        <w:tc>
          <w:tcPr>
            <w:tcW w:w="666" w:type="pct"/>
            <w:tcBorders>
              <w:top w:val="thinThickSmallGap" w:sz="18" w:space="0" w:color="auto"/>
              <w:bottom w:val="nil"/>
              <w:right w:val="single" w:sz="12" w:space="0" w:color="auto"/>
            </w:tcBorders>
            <w:shd w:val="clear" w:color="auto" w:fill="auto"/>
            <w:vAlign w:val="center"/>
          </w:tcPr>
          <w:p w:rsidR="00F84895" w:rsidRPr="00713625" w:rsidRDefault="00FC43F2" w:rsidP="00BA21E5">
            <w:pPr>
              <w:snapToGrid w:val="0"/>
              <w:spacing w:before="0" w:after="0" w:line="240" w:lineRule="auto"/>
              <w:ind w:firstLine="0"/>
              <w:jc w:val="center"/>
              <w:rPr>
                <w:b/>
                <w:bCs/>
                <w:color w:val="000000"/>
                <w:sz w:val="20"/>
                <w:szCs w:val="20"/>
              </w:rPr>
            </w:pPr>
            <w:r w:rsidRPr="00713625">
              <w:rPr>
                <w:b/>
                <w:bCs/>
                <w:color w:val="000000"/>
                <w:sz w:val="20"/>
                <w:szCs w:val="20"/>
              </w:rPr>
              <w:t>IL-33 IHS</w:t>
            </w:r>
          </w:p>
        </w:tc>
        <w:tc>
          <w:tcPr>
            <w:tcW w:w="783" w:type="pct"/>
            <w:gridSpan w:val="2"/>
            <w:tcBorders>
              <w:top w:val="thinThickSmallGap" w:sz="18" w:space="0" w:color="auto"/>
              <w:left w:val="single" w:sz="12" w:space="0" w:color="auto"/>
              <w:bottom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Group </w:t>
            </w:r>
            <w:r w:rsidR="00F96A9F" w:rsidRPr="00713625">
              <w:rPr>
                <w:b/>
                <w:bCs/>
                <w:color w:val="000000"/>
                <w:sz w:val="20"/>
                <w:szCs w:val="20"/>
              </w:rPr>
              <w:t>1</w:t>
            </w:r>
            <w:r w:rsidRPr="00713625">
              <w:rPr>
                <w:b/>
                <w:bCs/>
                <w:color w:val="000000"/>
                <w:sz w:val="20"/>
                <w:szCs w:val="20"/>
              </w:rPr>
              <w:t>(n= 15)</w:t>
            </w:r>
          </w:p>
        </w:tc>
        <w:tc>
          <w:tcPr>
            <w:tcW w:w="783" w:type="pct"/>
            <w:gridSpan w:val="2"/>
            <w:tcBorders>
              <w:top w:val="thinThickSmallGap" w:sz="18" w:space="0" w:color="auto"/>
              <w:bottom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Group </w:t>
            </w:r>
            <w:r w:rsidR="00F96A9F" w:rsidRPr="00713625">
              <w:rPr>
                <w:b/>
                <w:bCs/>
                <w:color w:val="000000"/>
                <w:sz w:val="20"/>
                <w:szCs w:val="20"/>
              </w:rPr>
              <w:t>2</w:t>
            </w:r>
            <w:r w:rsidRPr="00713625">
              <w:rPr>
                <w:b/>
                <w:bCs/>
                <w:color w:val="000000"/>
                <w:sz w:val="20"/>
                <w:szCs w:val="20"/>
              </w:rPr>
              <w:t>(n= 15)</w:t>
            </w:r>
          </w:p>
        </w:tc>
        <w:tc>
          <w:tcPr>
            <w:tcW w:w="783" w:type="pct"/>
            <w:gridSpan w:val="2"/>
            <w:tcBorders>
              <w:top w:val="thinThickSmallGap" w:sz="18" w:space="0" w:color="auto"/>
              <w:bottom w:val="single" w:sz="4"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Group</w:t>
            </w:r>
            <w:r w:rsidR="00F96A9F" w:rsidRPr="00713625">
              <w:rPr>
                <w:b/>
                <w:bCs/>
                <w:color w:val="000000"/>
                <w:sz w:val="20"/>
                <w:szCs w:val="20"/>
              </w:rPr>
              <w:t xml:space="preserve"> 3</w:t>
            </w:r>
            <w:r w:rsidRPr="00713625">
              <w:rPr>
                <w:b/>
                <w:bCs/>
                <w:color w:val="000000"/>
                <w:sz w:val="20"/>
                <w:szCs w:val="20"/>
              </w:rPr>
              <w:t>(n= 15)</w:t>
            </w:r>
          </w:p>
        </w:tc>
        <w:tc>
          <w:tcPr>
            <w:tcW w:w="1246" w:type="pct"/>
            <w:gridSpan w:val="2"/>
            <w:tcBorders>
              <w:top w:val="thinThickSmallGap" w:sz="18" w:space="0" w:color="auto"/>
              <w:bottom w:val="single" w:sz="4" w:space="0" w:color="auto"/>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Group </w:t>
            </w:r>
            <w:r w:rsidR="00F96A9F" w:rsidRPr="00713625">
              <w:rPr>
                <w:b/>
                <w:bCs/>
                <w:color w:val="000000"/>
                <w:sz w:val="20"/>
                <w:szCs w:val="20"/>
              </w:rPr>
              <w:t>4</w:t>
            </w:r>
            <w:r w:rsidRPr="00713625">
              <w:rPr>
                <w:b/>
                <w:bCs/>
                <w:color w:val="000000"/>
                <w:sz w:val="20"/>
                <w:szCs w:val="20"/>
              </w:rPr>
              <w:t>(Control)(n= 15)</w:t>
            </w:r>
          </w:p>
        </w:tc>
        <w:tc>
          <w:tcPr>
            <w:tcW w:w="367" w:type="pct"/>
            <w:vMerge w:val="restart"/>
            <w:tcBorders>
              <w:top w:val="thinThickSmallGap" w:sz="18" w:space="0" w:color="auto"/>
              <w:left w:val="single" w:sz="12" w:space="0" w:color="auto"/>
            </w:tcBorders>
            <w:shd w:val="clear" w:color="auto" w:fill="auto"/>
            <w:vAlign w:val="center"/>
          </w:tcPr>
          <w:p w:rsidR="00F84895" w:rsidRPr="00713625" w:rsidRDefault="0022281D" w:rsidP="0052700A">
            <w:pPr>
              <w:snapToGrid w:val="0"/>
              <w:spacing w:before="0" w:after="0" w:line="240" w:lineRule="auto"/>
              <w:ind w:firstLine="0"/>
              <w:jc w:val="center"/>
              <w:rPr>
                <w:b/>
                <w:bCs/>
                <w:color w:val="000000"/>
                <w:sz w:val="20"/>
                <w:szCs w:val="20"/>
              </w:rPr>
            </w:pPr>
            <w:r w:rsidRPr="005A3BCC">
              <w:rPr>
                <w:rFonts w:ascii="Symbol" w:hAnsi="Symbol"/>
                <w:b/>
                <w:bCs/>
                <w:sz w:val="21"/>
                <w:szCs w:val="21"/>
              </w:rPr>
              <w:t></w:t>
            </w:r>
            <w:r w:rsidRPr="005A3BCC">
              <w:rPr>
                <w:rFonts w:ascii="Symbol" w:hAnsi="Symbol"/>
                <w:b/>
                <w:bCs/>
                <w:sz w:val="21"/>
                <w:szCs w:val="21"/>
                <w:vertAlign w:val="superscript"/>
              </w:rPr>
              <w:t></w:t>
            </w:r>
          </w:p>
        </w:tc>
        <w:tc>
          <w:tcPr>
            <w:tcW w:w="372" w:type="pct"/>
            <w:vMerge w:val="restart"/>
            <w:tcBorders>
              <w:top w:val="thinThickSmallGap" w:sz="18" w:space="0" w:color="auto"/>
            </w:tcBorders>
            <w:shd w:val="clear" w:color="auto" w:fill="auto"/>
            <w:vAlign w:val="center"/>
          </w:tcPr>
          <w:p w:rsidR="00F84895" w:rsidRPr="00713625" w:rsidRDefault="00F84895" w:rsidP="0052700A">
            <w:pPr>
              <w:snapToGrid w:val="0"/>
              <w:spacing w:before="0" w:after="0" w:line="240" w:lineRule="auto"/>
              <w:ind w:firstLine="0"/>
              <w:jc w:val="center"/>
              <w:rPr>
                <w:b/>
                <w:bCs/>
                <w:color w:val="000000"/>
                <w:sz w:val="20"/>
                <w:szCs w:val="20"/>
              </w:rPr>
            </w:pPr>
            <w:r w:rsidRPr="00713625">
              <w:rPr>
                <w:b/>
                <w:bCs/>
                <w:color w:val="000000"/>
                <w:sz w:val="20"/>
                <w:szCs w:val="20"/>
                <w:vertAlign w:val="superscript"/>
              </w:rPr>
              <w:t>MC</w:t>
            </w:r>
            <w:r w:rsidRPr="00713625">
              <w:rPr>
                <w:b/>
                <w:bCs/>
                <w:color w:val="000000"/>
                <w:sz w:val="20"/>
                <w:szCs w:val="20"/>
              </w:rPr>
              <w:t>p</w:t>
            </w:r>
          </w:p>
        </w:tc>
      </w:tr>
      <w:tr w:rsidR="00713625" w:rsidRPr="00713625" w:rsidTr="00771569">
        <w:trPr>
          <w:cantSplit/>
          <w:jc w:val="center"/>
        </w:trPr>
        <w:tc>
          <w:tcPr>
            <w:tcW w:w="666" w:type="pct"/>
            <w:tcBorders>
              <w:top w:val="nil"/>
              <w:bottom w:val="single" w:sz="12" w:space="0" w:color="auto"/>
              <w:right w:val="single" w:sz="12" w:space="0" w:color="auto"/>
            </w:tcBorders>
            <w:shd w:val="clear" w:color="auto" w:fill="auto"/>
            <w:vAlign w:val="center"/>
          </w:tcPr>
          <w:p w:rsidR="00F84895" w:rsidRPr="00713625" w:rsidRDefault="00F84895" w:rsidP="00BA21E5">
            <w:pPr>
              <w:snapToGrid w:val="0"/>
              <w:spacing w:before="0" w:after="0" w:line="240" w:lineRule="auto"/>
              <w:ind w:firstLine="0"/>
              <w:jc w:val="center"/>
              <w:rPr>
                <w:b/>
                <w:bCs/>
                <w:color w:val="000000"/>
                <w:sz w:val="20"/>
                <w:szCs w:val="20"/>
                <w:lang w:eastAsia="zh-CN"/>
              </w:rPr>
            </w:pPr>
          </w:p>
        </w:tc>
        <w:tc>
          <w:tcPr>
            <w:tcW w:w="333" w:type="pct"/>
            <w:tcBorders>
              <w:top w:val="single" w:sz="4" w:space="0" w:color="auto"/>
              <w:left w:val="single" w:sz="12" w:space="0" w:color="auto"/>
              <w:bottom w:val="single" w:sz="12" w:space="0" w:color="auto"/>
              <w:right w:val="single" w:sz="4" w:space="0" w:color="auto"/>
            </w:tcBorders>
            <w:shd w:val="clear" w:color="auto" w:fill="auto"/>
            <w:vAlign w:val="center"/>
          </w:tcPr>
          <w:p w:rsidR="00F84895" w:rsidRPr="00713625" w:rsidRDefault="00F84895" w:rsidP="007F52EA">
            <w:pPr>
              <w:snapToGrid w:val="0"/>
              <w:spacing w:before="0" w:after="0" w:line="240" w:lineRule="auto"/>
              <w:ind w:firstLine="0"/>
              <w:jc w:val="center"/>
              <w:rPr>
                <w:b/>
                <w:bCs/>
                <w:color w:val="000000"/>
                <w:sz w:val="20"/>
                <w:szCs w:val="20"/>
              </w:rPr>
            </w:pPr>
            <w:r w:rsidRPr="00713625">
              <w:rPr>
                <w:b/>
                <w:bCs/>
                <w:color w:val="000000"/>
                <w:sz w:val="20"/>
                <w:szCs w:val="20"/>
              </w:rPr>
              <w:t>No</w:t>
            </w:r>
          </w:p>
        </w:tc>
        <w:tc>
          <w:tcPr>
            <w:tcW w:w="450"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F52EA">
            <w:pPr>
              <w:snapToGrid w:val="0"/>
              <w:spacing w:before="0" w:after="0" w:line="240" w:lineRule="auto"/>
              <w:ind w:firstLine="0"/>
              <w:jc w:val="center"/>
              <w:rPr>
                <w:b/>
                <w:bCs/>
                <w:color w:val="000000"/>
                <w:sz w:val="20"/>
                <w:szCs w:val="20"/>
              </w:rPr>
            </w:pPr>
            <w:r w:rsidRPr="00713625">
              <w:rPr>
                <w:b/>
                <w:bCs/>
                <w:color w:val="000000"/>
                <w:sz w:val="20"/>
                <w:szCs w:val="20"/>
              </w:rPr>
              <w:t>%</w:t>
            </w:r>
          </w:p>
        </w:tc>
        <w:tc>
          <w:tcPr>
            <w:tcW w:w="333"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F52EA">
            <w:pPr>
              <w:snapToGrid w:val="0"/>
              <w:spacing w:before="0" w:after="0" w:line="240" w:lineRule="auto"/>
              <w:ind w:firstLine="0"/>
              <w:jc w:val="center"/>
              <w:rPr>
                <w:b/>
                <w:bCs/>
                <w:color w:val="000000"/>
                <w:sz w:val="20"/>
                <w:szCs w:val="20"/>
              </w:rPr>
            </w:pPr>
            <w:r w:rsidRPr="00713625">
              <w:rPr>
                <w:b/>
                <w:bCs/>
                <w:color w:val="000000"/>
                <w:sz w:val="20"/>
                <w:szCs w:val="20"/>
              </w:rPr>
              <w:t>No</w:t>
            </w:r>
          </w:p>
        </w:tc>
        <w:tc>
          <w:tcPr>
            <w:tcW w:w="450"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F52EA">
            <w:pPr>
              <w:snapToGrid w:val="0"/>
              <w:spacing w:before="0" w:after="0" w:line="240" w:lineRule="auto"/>
              <w:ind w:firstLine="0"/>
              <w:jc w:val="center"/>
              <w:rPr>
                <w:b/>
                <w:bCs/>
                <w:color w:val="000000"/>
                <w:sz w:val="20"/>
                <w:szCs w:val="20"/>
              </w:rPr>
            </w:pPr>
            <w:r w:rsidRPr="00713625">
              <w:rPr>
                <w:b/>
                <w:bCs/>
                <w:color w:val="000000"/>
                <w:sz w:val="20"/>
                <w:szCs w:val="20"/>
              </w:rPr>
              <w:t>%</w:t>
            </w:r>
          </w:p>
        </w:tc>
        <w:tc>
          <w:tcPr>
            <w:tcW w:w="333"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F52EA">
            <w:pPr>
              <w:snapToGrid w:val="0"/>
              <w:spacing w:before="0" w:after="0" w:line="240" w:lineRule="auto"/>
              <w:ind w:firstLine="0"/>
              <w:jc w:val="center"/>
              <w:rPr>
                <w:b/>
                <w:bCs/>
                <w:color w:val="000000"/>
                <w:sz w:val="20"/>
                <w:szCs w:val="20"/>
              </w:rPr>
            </w:pPr>
            <w:r w:rsidRPr="00713625">
              <w:rPr>
                <w:b/>
                <w:bCs/>
                <w:color w:val="000000"/>
                <w:sz w:val="20"/>
                <w:szCs w:val="20"/>
              </w:rPr>
              <w:t>No</w:t>
            </w:r>
          </w:p>
        </w:tc>
        <w:tc>
          <w:tcPr>
            <w:tcW w:w="450"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F52EA">
            <w:pPr>
              <w:snapToGrid w:val="0"/>
              <w:spacing w:before="0" w:after="0" w:line="240" w:lineRule="auto"/>
              <w:ind w:firstLine="0"/>
              <w:jc w:val="center"/>
              <w:rPr>
                <w:b/>
                <w:bCs/>
                <w:color w:val="000000"/>
                <w:sz w:val="20"/>
                <w:szCs w:val="20"/>
              </w:rPr>
            </w:pPr>
            <w:r w:rsidRPr="00713625">
              <w:rPr>
                <w:b/>
                <w:bCs/>
                <w:color w:val="000000"/>
                <w:sz w:val="20"/>
                <w:szCs w:val="20"/>
              </w:rPr>
              <w:t>%</w:t>
            </w:r>
          </w:p>
        </w:tc>
        <w:tc>
          <w:tcPr>
            <w:tcW w:w="530" w:type="pct"/>
            <w:tcBorders>
              <w:top w:val="single" w:sz="4" w:space="0" w:color="auto"/>
              <w:left w:val="single" w:sz="4" w:space="0" w:color="auto"/>
              <w:bottom w:val="single" w:sz="12" w:space="0" w:color="auto"/>
              <w:right w:val="single" w:sz="4" w:space="0" w:color="auto"/>
            </w:tcBorders>
            <w:shd w:val="clear" w:color="auto" w:fill="auto"/>
            <w:vAlign w:val="center"/>
          </w:tcPr>
          <w:p w:rsidR="00F84895" w:rsidRPr="00713625" w:rsidRDefault="00F84895" w:rsidP="007F52EA">
            <w:pPr>
              <w:snapToGrid w:val="0"/>
              <w:spacing w:before="0" w:after="0" w:line="240" w:lineRule="auto"/>
              <w:ind w:firstLine="0"/>
              <w:jc w:val="center"/>
              <w:rPr>
                <w:b/>
                <w:bCs/>
                <w:color w:val="000000"/>
                <w:sz w:val="20"/>
                <w:szCs w:val="20"/>
              </w:rPr>
            </w:pPr>
            <w:r w:rsidRPr="00713625">
              <w:rPr>
                <w:b/>
                <w:bCs/>
                <w:color w:val="000000"/>
                <w:sz w:val="20"/>
                <w:szCs w:val="20"/>
              </w:rPr>
              <w:t>No</w:t>
            </w:r>
          </w:p>
        </w:tc>
        <w:tc>
          <w:tcPr>
            <w:tcW w:w="716" w:type="pct"/>
            <w:tcBorders>
              <w:top w:val="single" w:sz="4" w:space="0" w:color="auto"/>
              <w:left w:val="single" w:sz="4" w:space="0" w:color="auto"/>
              <w:bottom w:val="single" w:sz="12" w:space="0" w:color="auto"/>
              <w:right w:val="single" w:sz="12" w:space="0" w:color="auto"/>
            </w:tcBorders>
            <w:shd w:val="clear" w:color="auto" w:fill="auto"/>
            <w:vAlign w:val="center"/>
          </w:tcPr>
          <w:p w:rsidR="00F84895" w:rsidRPr="00713625" w:rsidRDefault="00F84895" w:rsidP="007F52EA">
            <w:pPr>
              <w:snapToGrid w:val="0"/>
              <w:spacing w:before="0" w:after="0" w:line="240" w:lineRule="auto"/>
              <w:ind w:firstLine="0"/>
              <w:jc w:val="center"/>
              <w:rPr>
                <w:b/>
                <w:bCs/>
                <w:color w:val="000000"/>
                <w:sz w:val="20"/>
                <w:szCs w:val="20"/>
              </w:rPr>
            </w:pPr>
            <w:r w:rsidRPr="00713625">
              <w:rPr>
                <w:b/>
                <w:bCs/>
                <w:color w:val="000000"/>
                <w:sz w:val="20"/>
                <w:szCs w:val="20"/>
              </w:rPr>
              <w:t>%</w:t>
            </w:r>
          </w:p>
        </w:tc>
        <w:tc>
          <w:tcPr>
            <w:tcW w:w="367" w:type="pct"/>
            <w:vMerge/>
            <w:tcBorders>
              <w:left w:val="single" w:sz="12" w:space="0" w:color="auto"/>
              <w:bottom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vertAlign w:val="superscript"/>
              </w:rPr>
            </w:pPr>
          </w:p>
        </w:tc>
        <w:tc>
          <w:tcPr>
            <w:tcW w:w="372" w:type="pct"/>
            <w:vMerge/>
            <w:tcBorders>
              <w:bottom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p>
        </w:tc>
      </w:tr>
      <w:tr w:rsidR="00713625" w:rsidRPr="00713625" w:rsidTr="00771569">
        <w:trPr>
          <w:cantSplit/>
          <w:jc w:val="center"/>
        </w:trPr>
        <w:tc>
          <w:tcPr>
            <w:tcW w:w="666" w:type="pct"/>
            <w:tcBorders>
              <w:top w:val="nil"/>
              <w:bottom w:val="nil"/>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Negative</w:t>
            </w:r>
          </w:p>
        </w:tc>
        <w:tc>
          <w:tcPr>
            <w:tcW w:w="333" w:type="pct"/>
            <w:tcBorders>
              <w:top w:val="nil"/>
              <w:left w:val="single" w:sz="12"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10</w:t>
            </w:r>
          </w:p>
        </w:tc>
        <w:tc>
          <w:tcPr>
            <w:tcW w:w="45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66.7</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3</w:t>
            </w:r>
          </w:p>
        </w:tc>
        <w:tc>
          <w:tcPr>
            <w:tcW w:w="45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20.0</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45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53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12</w:t>
            </w:r>
          </w:p>
        </w:tc>
        <w:tc>
          <w:tcPr>
            <w:tcW w:w="716" w:type="pct"/>
            <w:tcBorders>
              <w:top w:val="nil"/>
              <w:left w:val="single" w:sz="4" w:space="0" w:color="auto"/>
              <w:bottom w:val="nil"/>
              <w:right w:val="single" w:sz="12"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80.0</w:t>
            </w:r>
          </w:p>
        </w:tc>
        <w:tc>
          <w:tcPr>
            <w:tcW w:w="367" w:type="pct"/>
            <w:vMerge w:val="restart"/>
            <w:tcBorders>
              <w:top w:val="nil"/>
              <w:lef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50.462</w:t>
            </w:r>
            <w:r w:rsidRPr="00713625">
              <w:rPr>
                <w:color w:val="000000"/>
                <w:sz w:val="20"/>
                <w:szCs w:val="20"/>
                <w:vertAlign w:val="superscript"/>
              </w:rPr>
              <w:t>*</w:t>
            </w:r>
          </w:p>
        </w:tc>
        <w:tc>
          <w:tcPr>
            <w:tcW w:w="372" w:type="pct"/>
            <w:vMerge w:val="restart"/>
            <w:tcBorders>
              <w:top w:val="nil"/>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r w:rsidRPr="00713625">
              <w:rPr>
                <w:color w:val="000000"/>
                <w:sz w:val="20"/>
                <w:szCs w:val="20"/>
              </w:rPr>
              <w:t>&lt;0.001</w:t>
            </w:r>
            <w:r w:rsidRPr="00713625">
              <w:rPr>
                <w:color w:val="000000"/>
                <w:sz w:val="20"/>
                <w:szCs w:val="20"/>
                <w:vertAlign w:val="superscript"/>
              </w:rPr>
              <w:t>*</w:t>
            </w:r>
          </w:p>
        </w:tc>
      </w:tr>
      <w:tr w:rsidR="00713625" w:rsidRPr="00713625" w:rsidTr="00771569">
        <w:trPr>
          <w:cantSplit/>
          <w:jc w:val="center"/>
        </w:trPr>
        <w:tc>
          <w:tcPr>
            <w:tcW w:w="666" w:type="pct"/>
            <w:tcBorders>
              <w:top w:val="nil"/>
              <w:bottom w:val="nil"/>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w:t>
            </w:r>
            <w:r w:rsidR="00590A14" w:rsidRPr="00713625">
              <w:rPr>
                <w:b/>
                <w:bCs/>
                <w:color w:val="000000"/>
                <w:sz w:val="20"/>
                <w:szCs w:val="20"/>
              </w:rPr>
              <w:t xml:space="preserve"> 1</w:t>
            </w:r>
          </w:p>
        </w:tc>
        <w:tc>
          <w:tcPr>
            <w:tcW w:w="333" w:type="pct"/>
            <w:tcBorders>
              <w:top w:val="nil"/>
              <w:left w:val="single" w:sz="12"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5</w:t>
            </w:r>
          </w:p>
        </w:tc>
        <w:tc>
          <w:tcPr>
            <w:tcW w:w="45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33.3</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6</w:t>
            </w:r>
          </w:p>
        </w:tc>
        <w:tc>
          <w:tcPr>
            <w:tcW w:w="45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40.0</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45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53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3</w:t>
            </w:r>
          </w:p>
        </w:tc>
        <w:tc>
          <w:tcPr>
            <w:tcW w:w="716" w:type="pct"/>
            <w:tcBorders>
              <w:top w:val="nil"/>
              <w:left w:val="single" w:sz="4" w:space="0" w:color="auto"/>
              <w:bottom w:val="nil"/>
              <w:right w:val="single" w:sz="12"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20.0</w:t>
            </w:r>
          </w:p>
        </w:tc>
        <w:tc>
          <w:tcPr>
            <w:tcW w:w="367" w:type="pct"/>
            <w:vMerge/>
            <w:tcBorders>
              <w:top w:val="nil"/>
              <w:lef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2" w:type="pct"/>
            <w:vMerge/>
            <w:tcBorders>
              <w:top w:val="nil"/>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r>
      <w:tr w:rsidR="00713625" w:rsidRPr="00713625" w:rsidTr="00771569">
        <w:trPr>
          <w:cantSplit/>
          <w:jc w:val="center"/>
        </w:trPr>
        <w:tc>
          <w:tcPr>
            <w:tcW w:w="666" w:type="pct"/>
            <w:tcBorders>
              <w:top w:val="nil"/>
              <w:bottom w:val="nil"/>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 </w:t>
            </w:r>
            <w:r w:rsidR="004A7A89" w:rsidRPr="00713625">
              <w:rPr>
                <w:b/>
                <w:bCs/>
                <w:color w:val="000000"/>
                <w:sz w:val="20"/>
                <w:szCs w:val="20"/>
              </w:rPr>
              <w:t>2</w:t>
            </w:r>
          </w:p>
        </w:tc>
        <w:tc>
          <w:tcPr>
            <w:tcW w:w="333" w:type="pct"/>
            <w:tcBorders>
              <w:top w:val="nil"/>
              <w:left w:val="single" w:sz="12"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45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4</w:t>
            </w:r>
          </w:p>
        </w:tc>
        <w:tc>
          <w:tcPr>
            <w:tcW w:w="45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26.7</w:t>
            </w:r>
          </w:p>
        </w:tc>
        <w:tc>
          <w:tcPr>
            <w:tcW w:w="333"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5</w:t>
            </w:r>
          </w:p>
        </w:tc>
        <w:tc>
          <w:tcPr>
            <w:tcW w:w="45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33.3</w:t>
            </w:r>
          </w:p>
        </w:tc>
        <w:tc>
          <w:tcPr>
            <w:tcW w:w="530" w:type="pct"/>
            <w:tcBorders>
              <w:top w:val="nil"/>
              <w:left w:val="single" w:sz="4" w:space="0" w:color="auto"/>
              <w:bottom w:val="nil"/>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716" w:type="pct"/>
            <w:tcBorders>
              <w:top w:val="nil"/>
              <w:left w:val="single" w:sz="4" w:space="0" w:color="auto"/>
              <w:bottom w:val="nil"/>
              <w:right w:val="single" w:sz="12"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367" w:type="pct"/>
            <w:vMerge/>
            <w:tcBorders>
              <w:lef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2" w:type="pct"/>
            <w:vMerge/>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r>
      <w:tr w:rsidR="00713625" w:rsidRPr="00713625" w:rsidTr="00771569">
        <w:trPr>
          <w:cantSplit/>
          <w:jc w:val="center"/>
        </w:trPr>
        <w:tc>
          <w:tcPr>
            <w:tcW w:w="666" w:type="pct"/>
            <w:tcBorders>
              <w:top w:val="nil"/>
              <w:bottom w:val="single" w:sz="12" w:space="0" w:color="auto"/>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 xml:space="preserve">+ </w:t>
            </w:r>
            <w:r w:rsidR="004A7A89" w:rsidRPr="00713625">
              <w:rPr>
                <w:b/>
                <w:bCs/>
                <w:color w:val="000000"/>
                <w:sz w:val="20"/>
                <w:szCs w:val="20"/>
              </w:rPr>
              <w:t>3</w:t>
            </w:r>
          </w:p>
        </w:tc>
        <w:tc>
          <w:tcPr>
            <w:tcW w:w="333" w:type="pct"/>
            <w:tcBorders>
              <w:top w:val="nil"/>
              <w:left w:val="single" w:sz="12" w:space="0" w:color="auto"/>
              <w:bottom w:val="single" w:sz="12" w:space="0" w:color="auto"/>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450"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333"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2</w:t>
            </w:r>
          </w:p>
        </w:tc>
        <w:tc>
          <w:tcPr>
            <w:tcW w:w="450"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13.3</w:t>
            </w:r>
          </w:p>
        </w:tc>
        <w:tc>
          <w:tcPr>
            <w:tcW w:w="333"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10</w:t>
            </w:r>
          </w:p>
        </w:tc>
        <w:tc>
          <w:tcPr>
            <w:tcW w:w="450"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66.7</w:t>
            </w:r>
          </w:p>
        </w:tc>
        <w:tc>
          <w:tcPr>
            <w:tcW w:w="530" w:type="pct"/>
            <w:tcBorders>
              <w:top w:val="nil"/>
              <w:left w:val="single" w:sz="4" w:space="0" w:color="auto"/>
              <w:bottom w:val="single" w:sz="12" w:space="0" w:color="auto"/>
              <w:right w:val="single" w:sz="4"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716" w:type="pct"/>
            <w:tcBorders>
              <w:top w:val="nil"/>
              <w:left w:val="single" w:sz="4" w:space="0" w:color="auto"/>
              <w:bottom w:val="single" w:sz="12" w:space="0" w:color="auto"/>
              <w:right w:val="single" w:sz="12"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367" w:type="pct"/>
            <w:vMerge/>
            <w:tcBorders>
              <w:left w:val="single" w:sz="12" w:space="0" w:color="auto"/>
              <w:bottom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2" w:type="pct"/>
            <w:vMerge/>
            <w:tcBorders>
              <w:bottom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color w:val="000000"/>
                <w:sz w:val="20"/>
                <w:szCs w:val="20"/>
              </w:rPr>
            </w:pPr>
          </w:p>
        </w:tc>
      </w:tr>
      <w:tr w:rsidR="00931D99" w:rsidRPr="00713625" w:rsidTr="00771569">
        <w:trPr>
          <w:cantSplit/>
          <w:jc w:val="center"/>
        </w:trPr>
        <w:tc>
          <w:tcPr>
            <w:tcW w:w="666" w:type="pct"/>
            <w:tcBorders>
              <w:top w:val="single" w:sz="12" w:space="0" w:color="auto"/>
              <w:bottom w:val="single" w:sz="4" w:space="0" w:color="000000"/>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p</w:t>
            </w:r>
            <w:r w:rsidRPr="00713625">
              <w:rPr>
                <w:b/>
                <w:bCs/>
                <w:color w:val="000000"/>
                <w:sz w:val="20"/>
                <w:szCs w:val="20"/>
                <w:vertAlign w:val="subscript"/>
              </w:rPr>
              <w:t>Control</w:t>
            </w:r>
          </w:p>
        </w:tc>
        <w:tc>
          <w:tcPr>
            <w:tcW w:w="783" w:type="pct"/>
            <w:gridSpan w:val="2"/>
            <w:tcBorders>
              <w:top w:val="single" w:sz="12" w:space="0" w:color="auto"/>
              <w:left w:val="single" w:sz="12" w:space="0" w:color="auto"/>
              <w:bottom w:val="single" w:sz="4" w:space="0" w:color="000000"/>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vertAlign w:val="superscript"/>
              </w:rPr>
              <w:t>FE</w:t>
            </w:r>
            <w:r w:rsidRPr="00713625">
              <w:rPr>
                <w:color w:val="000000"/>
                <w:sz w:val="20"/>
                <w:szCs w:val="20"/>
              </w:rPr>
              <w:t>p=0.682</w:t>
            </w:r>
          </w:p>
        </w:tc>
        <w:tc>
          <w:tcPr>
            <w:tcW w:w="783" w:type="pct"/>
            <w:gridSpan w:val="2"/>
            <w:tcBorders>
              <w:top w:val="single" w:sz="12" w:space="0" w:color="auto"/>
              <w:bottom w:val="single" w:sz="4" w:space="0" w:color="000000"/>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vertAlign w:val="superscript"/>
              </w:rPr>
              <w:t>MC</w:t>
            </w:r>
            <w:r w:rsidRPr="00713625">
              <w:rPr>
                <w:color w:val="000000"/>
                <w:sz w:val="20"/>
                <w:szCs w:val="20"/>
              </w:rPr>
              <w:t>p=0.004</w:t>
            </w:r>
            <w:r w:rsidRPr="00713625">
              <w:rPr>
                <w:color w:val="000000"/>
                <w:sz w:val="20"/>
                <w:szCs w:val="20"/>
                <w:vertAlign w:val="superscript"/>
              </w:rPr>
              <w:t>*</w:t>
            </w:r>
          </w:p>
        </w:tc>
        <w:tc>
          <w:tcPr>
            <w:tcW w:w="783" w:type="pct"/>
            <w:gridSpan w:val="2"/>
            <w:tcBorders>
              <w:top w:val="single" w:sz="12" w:space="0" w:color="auto"/>
              <w:bottom w:val="single" w:sz="4" w:space="0" w:color="000000"/>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vertAlign w:val="superscript"/>
              </w:rPr>
              <w:t>MC</w:t>
            </w:r>
            <w:r w:rsidRPr="00713625">
              <w:rPr>
                <w:color w:val="000000"/>
                <w:sz w:val="20"/>
                <w:szCs w:val="20"/>
              </w:rPr>
              <w:t>p&lt;0.001</w:t>
            </w:r>
            <w:r w:rsidRPr="00713625">
              <w:rPr>
                <w:color w:val="000000"/>
                <w:sz w:val="20"/>
                <w:szCs w:val="20"/>
                <w:vertAlign w:val="superscript"/>
              </w:rPr>
              <w:t>*</w:t>
            </w:r>
          </w:p>
        </w:tc>
        <w:tc>
          <w:tcPr>
            <w:tcW w:w="1246" w:type="pct"/>
            <w:gridSpan w:val="2"/>
            <w:tcBorders>
              <w:top w:val="single" w:sz="12" w:space="0" w:color="auto"/>
              <w:bottom w:val="nil"/>
              <w:right w:val="single" w:sz="12" w:space="0" w:color="auto"/>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67" w:type="pct"/>
            <w:tcBorders>
              <w:top w:val="single" w:sz="12" w:space="0" w:color="auto"/>
              <w:left w:val="single" w:sz="12" w:space="0" w:color="auto"/>
              <w:bottom w:val="nil"/>
              <w:right w:val="nil"/>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2" w:type="pct"/>
            <w:tcBorders>
              <w:top w:val="single" w:sz="12" w:space="0" w:color="auto"/>
              <w:left w:val="nil"/>
              <w:bottom w:val="nil"/>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r>
      <w:tr w:rsidR="00931D99" w:rsidRPr="00713625" w:rsidTr="00771569">
        <w:trPr>
          <w:cantSplit/>
          <w:jc w:val="center"/>
        </w:trPr>
        <w:tc>
          <w:tcPr>
            <w:tcW w:w="666" w:type="pct"/>
            <w:tcBorders>
              <w:top w:val="single" w:sz="4" w:space="0" w:color="000000"/>
              <w:bottom w:val="thickThinSmallGap" w:sz="18" w:space="0" w:color="auto"/>
              <w:right w:val="single" w:sz="12" w:space="0" w:color="auto"/>
            </w:tcBorders>
            <w:shd w:val="clear" w:color="auto" w:fill="auto"/>
            <w:vAlign w:val="center"/>
          </w:tcPr>
          <w:p w:rsidR="00F84895" w:rsidRPr="00713625" w:rsidRDefault="00F84895" w:rsidP="00713625">
            <w:pPr>
              <w:snapToGrid w:val="0"/>
              <w:spacing w:before="0" w:after="0" w:line="240" w:lineRule="auto"/>
              <w:ind w:firstLine="0"/>
              <w:jc w:val="left"/>
              <w:rPr>
                <w:b/>
                <w:bCs/>
                <w:color w:val="000000"/>
                <w:sz w:val="20"/>
                <w:szCs w:val="20"/>
              </w:rPr>
            </w:pPr>
            <w:r w:rsidRPr="00713625">
              <w:rPr>
                <w:b/>
                <w:bCs/>
                <w:color w:val="000000"/>
                <w:sz w:val="20"/>
                <w:szCs w:val="20"/>
              </w:rPr>
              <w:t>Sig. bet. grps.</w:t>
            </w:r>
          </w:p>
        </w:tc>
        <w:tc>
          <w:tcPr>
            <w:tcW w:w="2349" w:type="pct"/>
            <w:gridSpan w:val="6"/>
            <w:tcBorders>
              <w:top w:val="single" w:sz="4" w:space="0" w:color="000000"/>
              <w:left w:val="single" w:sz="12" w:space="0" w:color="auto"/>
              <w:bottom w:val="thickThinSmallGap" w:sz="18" w:space="0" w:color="auto"/>
            </w:tcBorders>
            <w:shd w:val="clear" w:color="auto" w:fill="auto"/>
            <w:vAlign w:val="center"/>
          </w:tcPr>
          <w:p w:rsidR="00F84895" w:rsidRPr="00713625" w:rsidRDefault="00F84895" w:rsidP="003A5235">
            <w:pPr>
              <w:snapToGrid w:val="0"/>
              <w:spacing w:before="0" w:after="0" w:line="240" w:lineRule="auto"/>
              <w:ind w:firstLine="0"/>
              <w:jc w:val="center"/>
              <w:rPr>
                <w:color w:val="000000"/>
                <w:sz w:val="20"/>
                <w:szCs w:val="20"/>
              </w:rPr>
            </w:pP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1</w:t>
            </w:r>
            <w:r w:rsidRPr="00713625">
              <w:rPr>
                <w:color w:val="000000"/>
                <w:sz w:val="20"/>
                <w:szCs w:val="20"/>
              </w:rPr>
              <w:t>=0.009</w:t>
            </w:r>
            <w:r w:rsidRPr="00713625">
              <w:rPr>
                <w:color w:val="000000"/>
                <w:sz w:val="20"/>
                <w:szCs w:val="20"/>
                <w:vertAlign w:val="superscript"/>
              </w:rPr>
              <w:t>*</w:t>
            </w:r>
            <w:r w:rsidRPr="00713625">
              <w:rPr>
                <w:color w:val="000000"/>
                <w:sz w:val="20"/>
                <w:szCs w:val="20"/>
              </w:rPr>
              <w:t xml:space="preserve">, </w:t>
            </w: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2</w:t>
            </w:r>
            <w:r w:rsidRPr="00713625">
              <w:rPr>
                <w:color w:val="000000"/>
                <w:sz w:val="20"/>
                <w:szCs w:val="20"/>
              </w:rPr>
              <w:t>&lt;0.001</w:t>
            </w:r>
            <w:r w:rsidRPr="00713625">
              <w:rPr>
                <w:color w:val="000000"/>
                <w:sz w:val="20"/>
                <w:szCs w:val="20"/>
                <w:vertAlign w:val="superscript"/>
              </w:rPr>
              <w:t>*</w:t>
            </w:r>
            <w:r w:rsidRPr="00713625">
              <w:rPr>
                <w:color w:val="000000"/>
                <w:sz w:val="20"/>
                <w:szCs w:val="20"/>
              </w:rPr>
              <w:t xml:space="preserve">, </w:t>
            </w: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3</w:t>
            </w:r>
            <w:r w:rsidRPr="00713625">
              <w:rPr>
                <w:color w:val="000000"/>
                <w:sz w:val="20"/>
                <w:szCs w:val="20"/>
              </w:rPr>
              <w:t>=0.001</w:t>
            </w:r>
            <w:r w:rsidRPr="00713625">
              <w:rPr>
                <w:color w:val="000000"/>
                <w:sz w:val="20"/>
                <w:szCs w:val="20"/>
                <w:vertAlign w:val="superscript"/>
              </w:rPr>
              <w:t>*</w:t>
            </w:r>
          </w:p>
        </w:tc>
        <w:tc>
          <w:tcPr>
            <w:tcW w:w="1246" w:type="pct"/>
            <w:gridSpan w:val="2"/>
            <w:tcBorders>
              <w:top w:val="nil"/>
              <w:bottom w:val="thickThinSmallGap" w:sz="18" w:space="0" w:color="auto"/>
              <w:right w:val="single" w:sz="12" w:space="0" w:color="auto"/>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67" w:type="pct"/>
            <w:tcBorders>
              <w:top w:val="nil"/>
              <w:left w:val="single" w:sz="12" w:space="0" w:color="auto"/>
              <w:bottom w:val="thickThinSmallGap" w:sz="18" w:space="0" w:color="auto"/>
              <w:right w:val="nil"/>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c>
          <w:tcPr>
            <w:tcW w:w="372" w:type="pct"/>
            <w:tcBorders>
              <w:top w:val="nil"/>
              <w:left w:val="nil"/>
              <w:bottom w:val="thickThinSmallGap" w:sz="18" w:space="0" w:color="auto"/>
            </w:tcBorders>
            <w:shd w:val="clear" w:color="auto" w:fill="BFBFBF"/>
            <w:vAlign w:val="center"/>
          </w:tcPr>
          <w:p w:rsidR="00F84895" w:rsidRPr="00713625" w:rsidRDefault="00F84895" w:rsidP="00713625">
            <w:pPr>
              <w:snapToGrid w:val="0"/>
              <w:spacing w:before="0" w:after="0" w:line="240" w:lineRule="auto"/>
              <w:ind w:firstLine="0"/>
              <w:jc w:val="left"/>
              <w:rPr>
                <w:color w:val="000000"/>
                <w:sz w:val="20"/>
                <w:szCs w:val="20"/>
              </w:rPr>
            </w:pPr>
          </w:p>
        </w:tc>
      </w:tr>
    </w:tbl>
    <w:p w:rsidR="003B4EBE" w:rsidRPr="00713625" w:rsidRDefault="00771569" w:rsidP="00B20211">
      <w:pPr>
        <w:snapToGrid w:val="0"/>
        <w:spacing w:before="0" w:after="0" w:line="240" w:lineRule="auto"/>
        <w:ind w:firstLine="0"/>
        <w:rPr>
          <w:sz w:val="20"/>
          <w:szCs w:val="20"/>
        </w:rPr>
      </w:pPr>
      <w:r w:rsidRPr="005A3BCC">
        <w:rPr>
          <w:rFonts w:ascii="Symbol" w:hAnsi="Symbol"/>
          <w:sz w:val="20"/>
          <w:szCs w:val="20"/>
        </w:rPr>
        <w:t></w:t>
      </w:r>
      <w:r w:rsidRPr="005A3BCC">
        <w:rPr>
          <w:sz w:val="20"/>
          <w:szCs w:val="20"/>
          <w:vertAlign w:val="superscript"/>
        </w:rPr>
        <w:t>2</w:t>
      </w:r>
      <w:r w:rsidR="00F84895" w:rsidRPr="00713625">
        <w:rPr>
          <w:sz w:val="20"/>
          <w:szCs w:val="20"/>
        </w:rPr>
        <w:t>: Chi square test for comparing between the four groups and each two group</w:t>
      </w:r>
      <w:r w:rsidR="003B4EBE" w:rsidRPr="00713625">
        <w:rPr>
          <w:sz w:val="20"/>
          <w:szCs w:val="20"/>
        </w:rPr>
        <w:t>s.</w:t>
      </w:r>
    </w:p>
    <w:p w:rsidR="003B4EBE" w:rsidRPr="00713625" w:rsidRDefault="00F84895" w:rsidP="00B20211">
      <w:pPr>
        <w:snapToGrid w:val="0"/>
        <w:spacing w:before="0" w:after="0" w:line="240" w:lineRule="auto"/>
        <w:ind w:firstLine="0"/>
        <w:rPr>
          <w:sz w:val="20"/>
          <w:szCs w:val="20"/>
        </w:rPr>
      </w:pPr>
      <w:r w:rsidRPr="00713625">
        <w:rPr>
          <w:sz w:val="20"/>
          <w:szCs w:val="20"/>
        </w:rPr>
        <w:t>MC: Monte Carlo for Chi square test for comparing between the four groups and each two group</w:t>
      </w:r>
      <w:r w:rsidR="003B4EBE" w:rsidRPr="00713625">
        <w:rPr>
          <w:sz w:val="20"/>
          <w:szCs w:val="20"/>
        </w:rPr>
        <w:t>s.</w:t>
      </w:r>
    </w:p>
    <w:p w:rsidR="003B4EBE" w:rsidRPr="00713625" w:rsidRDefault="00F84895" w:rsidP="00B20211">
      <w:pPr>
        <w:snapToGrid w:val="0"/>
        <w:spacing w:before="0" w:after="0" w:line="240" w:lineRule="auto"/>
        <w:ind w:firstLine="0"/>
        <w:rPr>
          <w:sz w:val="20"/>
          <w:szCs w:val="20"/>
        </w:rPr>
      </w:pPr>
      <w:r w:rsidRPr="00713625">
        <w:rPr>
          <w:sz w:val="20"/>
          <w:szCs w:val="20"/>
        </w:rPr>
        <w:t>p</w:t>
      </w:r>
      <w:r w:rsidRPr="00713625">
        <w:rPr>
          <w:sz w:val="20"/>
          <w:szCs w:val="20"/>
          <w:vertAlign w:val="subscript"/>
        </w:rPr>
        <w:t>Control</w:t>
      </w:r>
      <w:r w:rsidR="003B4EBE" w:rsidRPr="00713625">
        <w:rPr>
          <w:sz w:val="20"/>
          <w:szCs w:val="20"/>
        </w:rPr>
        <w:t>:</w:t>
      </w:r>
      <w:r w:rsidRPr="00713625">
        <w:rPr>
          <w:sz w:val="20"/>
          <w:szCs w:val="20"/>
        </w:rPr>
        <w:t xml:space="preserve"> p value for comparing between group IV (Control) and each other grou</w:t>
      </w:r>
      <w:r w:rsidR="003B4EBE" w:rsidRPr="00713625">
        <w:rPr>
          <w:sz w:val="20"/>
          <w:szCs w:val="20"/>
        </w:rPr>
        <w:t>p.</w:t>
      </w:r>
    </w:p>
    <w:p w:rsidR="0097465D" w:rsidRDefault="00F84895" w:rsidP="00713625">
      <w:pPr>
        <w:snapToGrid w:val="0"/>
        <w:spacing w:before="0" w:after="0" w:line="240" w:lineRule="auto"/>
        <w:ind w:firstLine="0"/>
        <w:rPr>
          <w:sz w:val="20"/>
          <w:szCs w:val="20"/>
        </w:rPr>
      </w:pPr>
      <w:r w:rsidRPr="00713625">
        <w:rPr>
          <w:sz w:val="20"/>
          <w:szCs w:val="20"/>
        </w:rPr>
        <w:t>p</w:t>
      </w:r>
      <w:r w:rsidRPr="00713625">
        <w:rPr>
          <w:sz w:val="20"/>
          <w:szCs w:val="20"/>
          <w:vertAlign w:val="subscript"/>
        </w:rPr>
        <w:t>1</w:t>
      </w:r>
      <w:r w:rsidRPr="00713625">
        <w:rPr>
          <w:sz w:val="20"/>
          <w:szCs w:val="20"/>
        </w:rPr>
        <w:t>: p value for comparing between group I and group II</w:t>
      </w:r>
      <w:r w:rsidR="00277B7B" w:rsidRPr="00713625">
        <w:rPr>
          <w:sz w:val="20"/>
          <w:szCs w:val="20"/>
        </w:rPr>
        <w:t xml:space="preserve">, </w:t>
      </w:r>
      <w:r w:rsidRPr="00713625">
        <w:rPr>
          <w:sz w:val="20"/>
          <w:szCs w:val="20"/>
        </w:rPr>
        <w:t>p</w:t>
      </w:r>
      <w:r w:rsidRPr="00713625">
        <w:rPr>
          <w:sz w:val="20"/>
          <w:szCs w:val="20"/>
          <w:vertAlign w:val="subscript"/>
        </w:rPr>
        <w:t>2</w:t>
      </w:r>
      <w:r w:rsidRPr="00713625">
        <w:rPr>
          <w:sz w:val="20"/>
          <w:szCs w:val="20"/>
        </w:rPr>
        <w:t>: p value for comparing between group I and group III</w:t>
      </w:r>
      <w:r w:rsidR="00277B7B" w:rsidRPr="00713625">
        <w:rPr>
          <w:b/>
          <w:bCs/>
          <w:sz w:val="20"/>
          <w:szCs w:val="20"/>
        </w:rPr>
        <w:t xml:space="preserve">, </w:t>
      </w:r>
      <w:r w:rsidRPr="00713625">
        <w:rPr>
          <w:sz w:val="20"/>
          <w:szCs w:val="20"/>
        </w:rPr>
        <w:t>p</w:t>
      </w:r>
      <w:r w:rsidRPr="00713625">
        <w:rPr>
          <w:sz w:val="20"/>
          <w:szCs w:val="20"/>
          <w:vertAlign w:val="subscript"/>
        </w:rPr>
        <w:t>3</w:t>
      </w:r>
      <w:r w:rsidRPr="00713625">
        <w:rPr>
          <w:sz w:val="20"/>
          <w:szCs w:val="20"/>
        </w:rPr>
        <w:t>: p value for comparing between group II and group III</w:t>
      </w:r>
      <w:r w:rsidR="00277B7B" w:rsidRPr="00713625">
        <w:rPr>
          <w:sz w:val="20"/>
          <w:szCs w:val="20"/>
        </w:rPr>
        <w:t xml:space="preserve">, </w:t>
      </w:r>
      <w:r w:rsidRPr="00713625">
        <w:rPr>
          <w:sz w:val="20"/>
          <w:szCs w:val="20"/>
        </w:rPr>
        <w:t>*: Statistically significant at p ≤ 0.05</w:t>
      </w:r>
      <w:r w:rsidR="005D7F6E" w:rsidRPr="00713625">
        <w:rPr>
          <w:sz w:val="20"/>
          <w:szCs w:val="20"/>
        </w:rPr>
        <w:t>.</w:t>
      </w:r>
    </w:p>
    <w:p w:rsidR="004C0740" w:rsidRPr="00713625" w:rsidRDefault="004C0740" w:rsidP="00713625">
      <w:pPr>
        <w:snapToGrid w:val="0"/>
        <w:spacing w:before="0" w:after="0" w:line="240" w:lineRule="auto"/>
        <w:ind w:firstLine="0"/>
        <w:rPr>
          <w:b/>
          <w:bCs/>
          <w:sz w:val="20"/>
          <w:szCs w:val="20"/>
          <w:lang w:bidi="ar-EG"/>
        </w:rPr>
      </w:pPr>
    </w:p>
    <w:tbl>
      <w:tblPr>
        <w:tblW w:w="0" w:type="auto"/>
        <w:tblLook w:val="04A0"/>
      </w:tblPr>
      <w:tblGrid>
        <w:gridCol w:w="9578"/>
      </w:tblGrid>
      <w:tr w:rsidR="00277194" w:rsidRPr="00713625" w:rsidTr="007F52EA">
        <w:trPr>
          <w:trHeight w:val="5686"/>
        </w:trPr>
        <w:tc>
          <w:tcPr>
            <w:tcW w:w="9362" w:type="dxa"/>
            <w:shd w:val="clear" w:color="auto" w:fill="auto"/>
          </w:tcPr>
          <w:p w:rsidR="00277194" w:rsidRPr="00713625" w:rsidRDefault="0022281D" w:rsidP="00B20211">
            <w:pPr>
              <w:snapToGrid w:val="0"/>
              <w:spacing w:before="0" w:after="0" w:line="240" w:lineRule="auto"/>
              <w:ind w:firstLine="0"/>
              <w:jc w:val="center"/>
              <w:rPr>
                <w:b/>
                <w:bCs/>
                <w:color w:val="000000"/>
                <w:sz w:val="20"/>
                <w:szCs w:val="20"/>
                <w:lang w:bidi="ar-EG"/>
              </w:rPr>
            </w:pPr>
            <w:r w:rsidRPr="0022281D">
              <w:rPr>
                <w:b/>
                <w:bCs/>
                <w:noProof/>
                <w:color w:val="000000"/>
                <w:sz w:val="20"/>
                <w:szCs w:val="20"/>
                <w:lang w:eastAsia="en-GB"/>
              </w:rPr>
              <w:drawing>
                <wp:inline distT="0" distB="0" distL="0" distR="0">
                  <wp:extent cx="6010275" cy="4038600"/>
                  <wp:effectExtent l="0" t="0" r="9525" b="0"/>
                  <wp:docPr id="1" name="Picture 1" descr="C:\Users\dr.emansaied\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mansaied\Desktop\Figure 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4038600"/>
                          </a:xfrm>
                          <a:prstGeom prst="rect">
                            <a:avLst/>
                          </a:prstGeom>
                          <a:noFill/>
                          <a:ln>
                            <a:noFill/>
                          </a:ln>
                        </pic:spPr>
                      </pic:pic>
                    </a:graphicData>
                  </a:graphic>
                </wp:inline>
              </w:drawing>
            </w:r>
          </w:p>
        </w:tc>
      </w:tr>
    </w:tbl>
    <w:p w:rsidR="006E0B13" w:rsidRDefault="006E0B13" w:rsidP="00B20211">
      <w:pPr>
        <w:snapToGrid w:val="0"/>
        <w:spacing w:before="0" w:after="0" w:line="240" w:lineRule="auto"/>
        <w:ind w:firstLine="0"/>
        <w:rPr>
          <w:noProof/>
          <w:sz w:val="20"/>
          <w:szCs w:val="20"/>
        </w:rPr>
      </w:pPr>
      <w:r w:rsidRPr="00713625">
        <w:rPr>
          <w:b/>
          <w:bCs/>
          <w:sz w:val="20"/>
          <w:szCs w:val="20"/>
          <w:lang w:bidi="ar-EG"/>
        </w:rPr>
        <w:lastRenderedPageBreak/>
        <w:t>Figure (</w:t>
      </w:r>
      <w:r w:rsidR="009C3B9C" w:rsidRPr="00713625">
        <w:rPr>
          <w:b/>
          <w:bCs/>
          <w:sz w:val="20"/>
          <w:szCs w:val="20"/>
          <w:lang w:bidi="ar-EG"/>
        </w:rPr>
        <w:t>1</w:t>
      </w:r>
      <w:r w:rsidRPr="00713625">
        <w:rPr>
          <w:b/>
          <w:bCs/>
          <w:sz w:val="20"/>
          <w:szCs w:val="20"/>
          <w:lang w:bidi="ar-EG"/>
        </w:rPr>
        <w:t>):</w:t>
      </w:r>
      <w:r w:rsidRPr="00713625">
        <w:rPr>
          <w:noProof/>
          <w:sz w:val="20"/>
          <w:szCs w:val="20"/>
        </w:rPr>
        <w:t xml:space="preserve"> Immunohistochemical expression ofIL-33 in: (A) Fibrocystic change (group </w:t>
      </w:r>
      <w:r w:rsidR="0097783A" w:rsidRPr="00713625">
        <w:rPr>
          <w:noProof/>
          <w:sz w:val="20"/>
          <w:szCs w:val="20"/>
        </w:rPr>
        <w:t>1</w:t>
      </w:r>
      <w:r w:rsidRPr="00713625">
        <w:rPr>
          <w:noProof/>
          <w:sz w:val="20"/>
          <w:szCs w:val="20"/>
        </w:rPr>
        <w:t xml:space="preserve">) showing weak (+1) IL-33 expression(Immunoperoxidase X200), (B) fibroadenoma (group </w:t>
      </w:r>
      <w:r w:rsidR="000F605E" w:rsidRPr="00713625">
        <w:rPr>
          <w:noProof/>
          <w:sz w:val="20"/>
          <w:szCs w:val="20"/>
        </w:rPr>
        <w:t>1</w:t>
      </w:r>
      <w:r w:rsidRPr="00713625">
        <w:rPr>
          <w:noProof/>
          <w:sz w:val="20"/>
          <w:szCs w:val="20"/>
        </w:rPr>
        <w:t xml:space="preserve">) showing weak (+1) IL-33 expression (Immunoperoxidase X400), (C) IDC-NOS grade II stage II (group </w:t>
      </w:r>
      <w:r w:rsidR="00624967" w:rsidRPr="00713625">
        <w:rPr>
          <w:noProof/>
          <w:sz w:val="20"/>
          <w:szCs w:val="20"/>
        </w:rPr>
        <w:t>2</w:t>
      </w:r>
      <w:r w:rsidRPr="00713625">
        <w:rPr>
          <w:noProof/>
          <w:sz w:val="20"/>
          <w:szCs w:val="20"/>
        </w:rPr>
        <w:t xml:space="preserve">) showing moderate (+2) IL-33expression (Immunoperoxidase X400), and (D) IDC-NOS grade III stage III (group </w:t>
      </w:r>
      <w:r w:rsidR="00C313EE" w:rsidRPr="00713625">
        <w:rPr>
          <w:noProof/>
          <w:sz w:val="20"/>
          <w:szCs w:val="20"/>
        </w:rPr>
        <w:t>3</w:t>
      </w:r>
      <w:r w:rsidRPr="00713625">
        <w:rPr>
          <w:noProof/>
          <w:sz w:val="20"/>
          <w:szCs w:val="20"/>
        </w:rPr>
        <w:t>) showing strong (+3) IL-33 expression (Immunoperoxidase X400).</w:t>
      </w:r>
    </w:p>
    <w:p w:rsidR="00713625" w:rsidRPr="00713625" w:rsidRDefault="00713625" w:rsidP="00B20211">
      <w:pPr>
        <w:tabs>
          <w:tab w:val="left" w:pos="709"/>
        </w:tabs>
        <w:snapToGrid w:val="0"/>
        <w:spacing w:before="0" w:after="0" w:line="240" w:lineRule="auto"/>
        <w:ind w:firstLine="0"/>
        <w:rPr>
          <w:b/>
          <w:bCs/>
          <w:sz w:val="20"/>
          <w:szCs w:val="20"/>
          <w:lang w:eastAsia="zh-CN"/>
        </w:rPr>
        <w:sectPr w:rsidR="00713625" w:rsidRPr="00713625" w:rsidSect="001A48D2">
          <w:headerReference w:type="default" r:id="rId17"/>
          <w:footerReference w:type="default" r:id="rId18"/>
          <w:endnotePr>
            <w:numFmt w:val="decimal"/>
          </w:endnotePr>
          <w:type w:val="continuous"/>
          <w:pgSz w:w="12242" w:h="15842" w:code="1"/>
          <w:pgMar w:top="1440" w:right="1440" w:bottom="1440" w:left="1440" w:header="720" w:footer="720" w:gutter="0"/>
          <w:cols w:space="720"/>
          <w:docGrid w:linePitch="360"/>
        </w:sectPr>
      </w:pPr>
    </w:p>
    <w:p w:rsidR="009C3B9C" w:rsidRPr="00713625" w:rsidRDefault="00F60D83" w:rsidP="00B20211">
      <w:pPr>
        <w:tabs>
          <w:tab w:val="left" w:pos="90"/>
          <w:tab w:val="left" w:pos="180"/>
          <w:tab w:val="left" w:pos="709"/>
        </w:tabs>
        <w:snapToGrid w:val="0"/>
        <w:spacing w:before="0" w:after="0" w:line="240" w:lineRule="auto"/>
        <w:ind w:firstLine="0"/>
        <w:rPr>
          <w:b/>
          <w:bCs/>
          <w:sz w:val="20"/>
          <w:szCs w:val="20"/>
        </w:rPr>
      </w:pPr>
      <w:r w:rsidRPr="00713625">
        <w:rPr>
          <w:b/>
          <w:bCs/>
          <w:sz w:val="20"/>
          <w:szCs w:val="20"/>
        </w:rPr>
        <w:lastRenderedPageBreak/>
        <w:t>3.5</w:t>
      </w:r>
      <w:r w:rsidR="007902E6" w:rsidRPr="00713625">
        <w:rPr>
          <w:b/>
          <w:bCs/>
          <w:sz w:val="20"/>
          <w:szCs w:val="20"/>
        </w:rPr>
        <w:t>.</w:t>
      </w:r>
      <w:r w:rsidR="009C3B9C" w:rsidRPr="00713625">
        <w:rPr>
          <w:b/>
          <w:bCs/>
          <w:sz w:val="20"/>
          <w:szCs w:val="20"/>
        </w:rPr>
        <w:t xml:space="preserve"> Immunohistochemical expression of prohibitin in the studied groups</w:t>
      </w:r>
    </w:p>
    <w:p w:rsidR="009C3B9C" w:rsidRPr="00713625" w:rsidRDefault="009C3B9C" w:rsidP="00B20211">
      <w:pPr>
        <w:snapToGrid w:val="0"/>
        <w:spacing w:before="0" w:after="0" w:line="240" w:lineRule="auto"/>
        <w:ind w:firstLine="425"/>
        <w:rPr>
          <w:rFonts w:eastAsia="Times New Roman"/>
          <w:sz w:val="20"/>
          <w:szCs w:val="20"/>
          <w:lang w:eastAsia="en-GB"/>
        </w:rPr>
      </w:pPr>
      <w:r w:rsidRPr="00713625">
        <w:rPr>
          <w:rFonts w:eastAsia="Times New Roman"/>
          <w:sz w:val="20"/>
          <w:szCs w:val="20"/>
          <w:lang w:eastAsia="en-GB"/>
        </w:rPr>
        <w:t>Prohibitin</w:t>
      </w:r>
      <w:r w:rsidR="0074181C" w:rsidRPr="00713625">
        <w:rPr>
          <w:sz w:val="20"/>
          <w:szCs w:val="20"/>
        </w:rPr>
        <w:t xml:space="preserve">showed similar pattern of expression </w:t>
      </w:r>
      <w:r w:rsidR="003A6DDC" w:rsidRPr="00713625">
        <w:rPr>
          <w:sz w:val="20"/>
          <w:szCs w:val="20"/>
        </w:rPr>
        <w:t xml:space="preserve">to </w:t>
      </w:r>
      <w:r w:rsidR="0074181C" w:rsidRPr="00713625">
        <w:rPr>
          <w:sz w:val="20"/>
          <w:szCs w:val="20"/>
        </w:rPr>
        <w:t xml:space="preserve">IL-33, </w:t>
      </w:r>
      <w:r w:rsidRPr="00713625">
        <w:rPr>
          <w:rFonts w:eastAsia="Times New Roman"/>
          <w:sz w:val="20"/>
          <w:szCs w:val="20"/>
          <w:lang w:eastAsia="en-GB"/>
        </w:rPr>
        <w:t>where the highest expression was detected in breast carcinomas [28/30 (93.3%)], compared to benign breast lesions [</w:t>
      </w:r>
      <w:r w:rsidR="00CC0E98" w:rsidRPr="00713625">
        <w:rPr>
          <w:rFonts w:eastAsia="Times New Roman"/>
          <w:sz w:val="20"/>
          <w:szCs w:val="20"/>
          <w:lang w:eastAsia="en-GB"/>
        </w:rPr>
        <w:t>8</w:t>
      </w:r>
      <w:r w:rsidRPr="00713625">
        <w:rPr>
          <w:rFonts w:eastAsia="Times New Roman"/>
          <w:sz w:val="20"/>
          <w:szCs w:val="20"/>
          <w:lang w:eastAsia="en-GB"/>
        </w:rPr>
        <w:t>/15 (</w:t>
      </w:r>
      <w:r w:rsidR="00CC0E98" w:rsidRPr="00713625">
        <w:rPr>
          <w:rFonts w:eastAsia="Times New Roman"/>
          <w:sz w:val="20"/>
          <w:szCs w:val="20"/>
          <w:lang w:eastAsia="en-GB"/>
        </w:rPr>
        <w:t>53</w:t>
      </w:r>
      <w:r w:rsidR="00133794" w:rsidRPr="00713625">
        <w:rPr>
          <w:rFonts w:eastAsia="Times New Roman"/>
          <w:sz w:val="20"/>
          <w:szCs w:val="20"/>
          <w:lang w:eastAsia="en-GB"/>
        </w:rPr>
        <w:t>.3</w:t>
      </w:r>
      <w:r w:rsidRPr="00713625">
        <w:rPr>
          <w:rFonts w:eastAsia="Times New Roman"/>
          <w:sz w:val="20"/>
          <w:szCs w:val="20"/>
          <w:lang w:eastAsia="en-GB"/>
        </w:rPr>
        <w:t xml:space="preserve">%)] and normal breast tissue [0/15 (0%)] with statistically significant differences </w:t>
      </w:r>
      <w:r w:rsidR="00CC0E98" w:rsidRPr="00713625">
        <w:rPr>
          <w:sz w:val="20"/>
          <w:szCs w:val="20"/>
        </w:rPr>
        <w:t>(</w:t>
      </w:r>
      <w:r w:rsidR="004F4F24" w:rsidRPr="00713625">
        <w:rPr>
          <w:sz w:val="20"/>
          <w:szCs w:val="20"/>
        </w:rPr>
        <w:t xml:space="preserve">p </w:t>
      </w:r>
      <w:r w:rsidR="00CC0E98" w:rsidRPr="00713625">
        <w:rPr>
          <w:sz w:val="20"/>
          <w:szCs w:val="20"/>
        </w:rPr>
        <w:t>&lt;0.001).</w:t>
      </w:r>
    </w:p>
    <w:p w:rsidR="009C3B9C" w:rsidRPr="00713625" w:rsidRDefault="009C3B9C" w:rsidP="00B20211">
      <w:pPr>
        <w:snapToGrid w:val="0"/>
        <w:spacing w:before="0" w:after="0" w:line="240" w:lineRule="auto"/>
        <w:ind w:firstLine="425"/>
        <w:rPr>
          <w:rFonts w:eastAsia="Times New Roman"/>
          <w:sz w:val="20"/>
          <w:szCs w:val="20"/>
          <w:lang w:eastAsia="en-GB"/>
        </w:rPr>
      </w:pPr>
      <w:r w:rsidRPr="00713625">
        <w:rPr>
          <w:rFonts w:eastAsia="Times New Roman"/>
          <w:sz w:val="20"/>
          <w:szCs w:val="20"/>
          <w:lang w:eastAsia="en-GB"/>
        </w:rPr>
        <w:t xml:space="preserve">The expression of PHB was significantly higher in group 3 </w:t>
      </w:r>
      <w:r w:rsidR="00901E1B" w:rsidRPr="00713625">
        <w:rPr>
          <w:rFonts w:eastAsia="Times New Roman"/>
          <w:sz w:val="20"/>
          <w:szCs w:val="20"/>
          <w:lang w:eastAsia="en-GB"/>
        </w:rPr>
        <w:t>“</w:t>
      </w:r>
      <w:r w:rsidRPr="00713625">
        <w:rPr>
          <w:rFonts w:eastAsia="Times New Roman"/>
          <w:sz w:val="20"/>
          <w:szCs w:val="20"/>
          <w:lang w:eastAsia="en-GB"/>
        </w:rPr>
        <w:t>stage III</w:t>
      </w:r>
      <w:r w:rsidR="00901E1B" w:rsidRPr="00713625">
        <w:rPr>
          <w:rFonts w:eastAsia="Times New Roman"/>
          <w:sz w:val="20"/>
          <w:szCs w:val="20"/>
          <w:lang w:eastAsia="en-GB"/>
        </w:rPr>
        <w:t>”</w:t>
      </w:r>
      <w:r w:rsidRPr="00713625">
        <w:rPr>
          <w:rFonts w:eastAsia="Times New Roman"/>
          <w:sz w:val="20"/>
          <w:szCs w:val="20"/>
          <w:lang w:eastAsia="en-GB"/>
        </w:rPr>
        <w:t xml:space="preserve"> compared to group 2 </w:t>
      </w:r>
      <w:r w:rsidR="00CC5932" w:rsidRPr="00713625">
        <w:rPr>
          <w:rFonts w:eastAsia="Times New Roman"/>
          <w:sz w:val="20"/>
          <w:szCs w:val="20"/>
          <w:lang w:eastAsia="en-GB"/>
        </w:rPr>
        <w:t>“</w:t>
      </w:r>
      <w:r w:rsidRPr="00713625">
        <w:rPr>
          <w:rFonts w:eastAsia="Times New Roman"/>
          <w:sz w:val="20"/>
          <w:szCs w:val="20"/>
          <w:lang w:eastAsia="en-GB"/>
        </w:rPr>
        <w:t>stage I and II</w:t>
      </w:r>
      <w:r w:rsidR="00CC5932" w:rsidRPr="00713625">
        <w:rPr>
          <w:rFonts w:eastAsia="Times New Roman"/>
          <w:sz w:val="20"/>
          <w:szCs w:val="20"/>
          <w:lang w:eastAsia="en-GB"/>
        </w:rPr>
        <w:t>”</w:t>
      </w:r>
      <w:r w:rsidR="00901E1B" w:rsidRPr="00713625">
        <w:rPr>
          <w:rFonts w:eastAsia="Times New Roman"/>
          <w:sz w:val="20"/>
          <w:szCs w:val="20"/>
          <w:lang w:eastAsia="en-GB"/>
        </w:rPr>
        <w:t xml:space="preserve"> breast cancer</w:t>
      </w:r>
      <w:r w:rsidR="00277B7B" w:rsidRPr="00713625">
        <w:rPr>
          <w:sz w:val="20"/>
          <w:szCs w:val="20"/>
        </w:rPr>
        <w:t>(</w:t>
      </w:r>
      <w:r w:rsidR="004F4F24" w:rsidRPr="00713625">
        <w:rPr>
          <w:sz w:val="20"/>
          <w:szCs w:val="20"/>
        </w:rPr>
        <w:t xml:space="preserve">p </w:t>
      </w:r>
      <w:r w:rsidR="00277B7B" w:rsidRPr="00713625">
        <w:rPr>
          <w:sz w:val="20"/>
          <w:szCs w:val="20"/>
        </w:rPr>
        <w:t>&lt;0.001) and group 1 (</w:t>
      </w:r>
      <w:r w:rsidR="004F4F24" w:rsidRPr="00713625">
        <w:rPr>
          <w:sz w:val="20"/>
          <w:szCs w:val="20"/>
        </w:rPr>
        <w:t xml:space="preserve">p </w:t>
      </w:r>
      <w:r w:rsidR="00277B7B" w:rsidRPr="00713625">
        <w:rPr>
          <w:sz w:val="20"/>
          <w:szCs w:val="20"/>
        </w:rPr>
        <w:lastRenderedPageBreak/>
        <w:t>=0.001</w:t>
      </w:r>
      <w:r w:rsidR="00277B7B" w:rsidRPr="00713625">
        <w:rPr>
          <w:rFonts w:eastAsia="Times New Roman"/>
          <w:sz w:val="20"/>
          <w:szCs w:val="20"/>
          <w:lang w:eastAsia="en-GB"/>
        </w:rPr>
        <w:t xml:space="preserve">) </w:t>
      </w:r>
      <w:r w:rsidRPr="00713625">
        <w:rPr>
          <w:rFonts w:eastAsia="Times New Roman"/>
          <w:sz w:val="20"/>
          <w:szCs w:val="20"/>
          <w:lang w:eastAsia="en-GB"/>
        </w:rPr>
        <w:t>indicating upregulation of its expression with cancer progression</w:t>
      </w:r>
      <w:r w:rsidR="00277B7B" w:rsidRPr="00713625">
        <w:rPr>
          <w:rFonts w:eastAsia="Times New Roman"/>
          <w:sz w:val="20"/>
          <w:szCs w:val="20"/>
          <w:lang w:eastAsia="en-GB"/>
        </w:rPr>
        <w:t>.</w:t>
      </w:r>
      <w:r w:rsidRPr="00713625">
        <w:rPr>
          <w:rFonts w:eastAsia="Times New Roman"/>
          <w:sz w:val="20"/>
          <w:szCs w:val="20"/>
          <w:lang w:eastAsia="en-GB"/>
        </w:rPr>
        <w:t xml:space="preserve"> A</w:t>
      </w:r>
      <w:r w:rsidR="0074181C" w:rsidRPr="00713625">
        <w:rPr>
          <w:rFonts w:eastAsia="Times New Roman"/>
          <w:sz w:val="20"/>
          <w:szCs w:val="20"/>
          <w:lang w:eastAsia="en-GB"/>
        </w:rPr>
        <w:t>lso, a</w:t>
      </w:r>
      <w:r w:rsidRPr="00713625">
        <w:rPr>
          <w:rFonts w:eastAsia="Times New Roman"/>
          <w:sz w:val="20"/>
          <w:szCs w:val="20"/>
          <w:lang w:eastAsia="en-GB"/>
        </w:rPr>
        <w:t xml:space="preserve">ll the studied grade III carcinomas (100%) showed PHB expression compared to 17/19 (89.5%) grade II carcinomas. </w:t>
      </w:r>
      <w:r w:rsidR="00362645" w:rsidRPr="00713625">
        <w:rPr>
          <w:rFonts w:eastAsia="Times New Roman"/>
          <w:sz w:val="20"/>
          <w:szCs w:val="20"/>
          <w:lang w:eastAsia="en-GB"/>
        </w:rPr>
        <w:t>PHB expression was significantly higher in group 1 “benign group” compared to group 4 “control group” (p=002)</w:t>
      </w:r>
      <w:r w:rsidR="009866E2" w:rsidRPr="00713625">
        <w:rPr>
          <w:rFonts w:eastAsia="Times New Roman"/>
          <w:sz w:val="20"/>
          <w:szCs w:val="20"/>
          <w:lang w:eastAsia="en-GB"/>
        </w:rPr>
        <w:t>;</w:t>
      </w:r>
      <w:r w:rsidR="00362645" w:rsidRPr="00713625">
        <w:rPr>
          <w:rFonts w:eastAsia="Times New Roman"/>
          <w:sz w:val="20"/>
          <w:szCs w:val="20"/>
          <w:lang w:eastAsia="en-GB"/>
        </w:rPr>
        <w:t xml:space="preserve"> however, </w:t>
      </w:r>
      <w:r w:rsidR="000C0A82" w:rsidRPr="00713625">
        <w:rPr>
          <w:rFonts w:eastAsia="Times New Roman"/>
          <w:sz w:val="20"/>
          <w:szCs w:val="20"/>
          <w:lang w:eastAsia="en-GB"/>
        </w:rPr>
        <w:t>n</w:t>
      </w:r>
      <w:r w:rsidRPr="00713625">
        <w:rPr>
          <w:rFonts w:eastAsia="Times New Roman"/>
          <w:sz w:val="20"/>
          <w:szCs w:val="20"/>
          <w:lang w:eastAsia="en-GB"/>
        </w:rPr>
        <w:t xml:space="preserve">o difference </w:t>
      </w:r>
      <w:r w:rsidR="00362645" w:rsidRPr="00713625">
        <w:rPr>
          <w:rFonts w:eastAsia="Times New Roman"/>
          <w:sz w:val="20"/>
          <w:szCs w:val="20"/>
          <w:lang w:eastAsia="en-GB"/>
        </w:rPr>
        <w:t xml:space="preserve">between its expression in </w:t>
      </w:r>
      <w:r w:rsidRPr="00713625">
        <w:rPr>
          <w:rFonts w:eastAsia="Times New Roman"/>
          <w:sz w:val="20"/>
          <w:szCs w:val="20"/>
          <w:lang w:eastAsia="en-GB"/>
        </w:rPr>
        <w:t>fibroadenomas and fibrocystic change</w:t>
      </w:r>
      <w:r w:rsidR="00362645" w:rsidRPr="00713625">
        <w:rPr>
          <w:rFonts w:eastAsia="Times New Roman"/>
          <w:sz w:val="20"/>
          <w:szCs w:val="20"/>
          <w:lang w:eastAsia="en-GB"/>
        </w:rPr>
        <w:t xml:space="preserve"> were found</w:t>
      </w:r>
      <w:r w:rsidRPr="00713625">
        <w:rPr>
          <w:rFonts w:eastAsia="Times New Roman"/>
          <w:sz w:val="20"/>
          <w:szCs w:val="20"/>
          <w:lang w:eastAsia="en-GB"/>
        </w:rPr>
        <w:t xml:space="preserve">.The immunohistochemical expression of prohibitin among the studied groups is shown in figure </w:t>
      </w:r>
      <w:r w:rsidR="00BD6C72" w:rsidRPr="00713625">
        <w:rPr>
          <w:rFonts w:eastAsia="Times New Roman"/>
          <w:sz w:val="20"/>
          <w:szCs w:val="20"/>
          <w:lang w:eastAsia="en-GB"/>
        </w:rPr>
        <w:t>(</w:t>
      </w:r>
      <w:r w:rsidRPr="00713625">
        <w:rPr>
          <w:rFonts w:eastAsia="Times New Roman"/>
          <w:sz w:val="20"/>
          <w:szCs w:val="20"/>
          <w:lang w:eastAsia="en-GB"/>
        </w:rPr>
        <w:t>2</w:t>
      </w:r>
      <w:r w:rsidR="00BD6C72" w:rsidRPr="00713625">
        <w:rPr>
          <w:rFonts w:eastAsia="Times New Roman"/>
          <w:sz w:val="20"/>
          <w:szCs w:val="20"/>
          <w:lang w:eastAsia="en-GB"/>
        </w:rPr>
        <w:t>)</w:t>
      </w:r>
      <w:r w:rsidRPr="00713625">
        <w:rPr>
          <w:rFonts w:eastAsia="Times New Roman"/>
          <w:sz w:val="20"/>
          <w:szCs w:val="20"/>
          <w:lang w:eastAsia="en-GB"/>
        </w:rPr>
        <w:t xml:space="preserve"> and </w:t>
      </w:r>
      <w:r w:rsidRPr="00713625">
        <w:rPr>
          <w:sz w:val="20"/>
          <w:szCs w:val="20"/>
        </w:rPr>
        <w:t>t</w:t>
      </w:r>
      <w:r w:rsidRPr="00713625">
        <w:rPr>
          <w:rFonts w:eastAsia="Times New Roman"/>
          <w:sz w:val="20"/>
          <w:szCs w:val="20"/>
          <w:lang w:eastAsia="en-GB"/>
        </w:rPr>
        <w:t xml:space="preserve">able </w:t>
      </w:r>
      <w:r w:rsidR="00BD6C72" w:rsidRPr="00713625">
        <w:rPr>
          <w:rFonts w:eastAsia="Times New Roman"/>
          <w:sz w:val="20"/>
          <w:szCs w:val="20"/>
          <w:lang w:eastAsia="en-GB"/>
        </w:rPr>
        <w:t>(</w:t>
      </w:r>
      <w:r w:rsidRPr="00713625">
        <w:rPr>
          <w:rFonts w:eastAsia="Times New Roman"/>
          <w:sz w:val="20"/>
          <w:szCs w:val="20"/>
          <w:lang w:eastAsia="en-GB"/>
        </w:rPr>
        <w:t>2</w:t>
      </w:r>
      <w:r w:rsidR="00BD6C72" w:rsidRPr="00713625">
        <w:rPr>
          <w:rFonts w:eastAsia="Times New Roman"/>
          <w:sz w:val="20"/>
          <w:szCs w:val="20"/>
          <w:lang w:eastAsia="en-GB"/>
        </w:rPr>
        <w:t>)</w:t>
      </w:r>
      <w:r w:rsidRPr="00713625">
        <w:rPr>
          <w:rFonts w:eastAsia="Times New Roman"/>
          <w:sz w:val="20"/>
          <w:szCs w:val="20"/>
          <w:lang w:eastAsia="en-GB"/>
        </w:rPr>
        <w:t>.</w:t>
      </w:r>
    </w:p>
    <w:p w:rsidR="00B20211" w:rsidRPr="00713625" w:rsidRDefault="00B20211" w:rsidP="00B20211">
      <w:pPr>
        <w:tabs>
          <w:tab w:val="left" w:pos="709"/>
        </w:tabs>
        <w:snapToGrid w:val="0"/>
        <w:spacing w:before="0" w:after="0" w:line="240" w:lineRule="auto"/>
        <w:ind w:firstLine="425"/>
        <w:rPr>
          <w:rFonts w:eastAsia="Times New Roman"/>
          <w:sz w:val="20"/>
          <w:szCs w:val="20"/>
          <w:lang w:eastAsia="en-GB"/>
        </w:rPr>
        <w:sectPr w:rsidR="00B20211" w:rsidRPr="00713625" w:rsidSect="003B4EBE">
          <w:headerReference w:type="default" r:id="rId19"/>
          <w:footerReference w:type="default" r:id="rId20"/>
          <w:endnotePr>
            <w:numFmt w:val="decimal"/>
          </w:endnotePr>
          <w:type w:val="continuous"/>
          <w:pgSz w:w="12242" w:h="15842" w:code="1"/>
          <w:pgMar w:top="1440" w:right="1440" w:bottom="1440" w:left="1440" w:header="720" w:footer="720" w:gutter="0"/>
          <w:cols w:num="2" w:space="600"/>
          <w:docGrid w:linePitch="360"/>
        </w:sectPr>
      </w:pPr>
    </w:p>
    <w:p w:rsidR="009C3B9C" w:rsidRPr="00713625" w:rsidRDefault="009C3B9C" w:rsidP="00B20211">
      <w:pPr>
        <w:tabs>
          <w:tab w:val="left" w:pos="709"/>
        </w:tabs>
        <w:snapToGrid w:val="0"/>
        <w:spacing w:before="0" w:after="0" w:line="240" w:lineRule="auto"/>
        <w:ind w:firstLine="0"/>
        <w:jc w:val="center"/>
        <w:rPr>
          <w:rFonts w:eastAsia="Times New Roman"/>
          <w:sz w:val="20"/>
          <w:szCs w:val="20"/>
          <w:lang w:eastAsia="en-GB"/>
        </w:rPr>
      </w:pPr>
    </w:p>
    <w:p w:rsidR="009C3B9C" w:rsidRPr="00713625" w:rsidRDefault="009C3B9C" w:rsidP="00B20211">
      <w:pPr>
        <w:snapToGrid w:val="0"/>
        <w:spacing w:before="0" w:after="0" w:line="240" w:lineRule="auto"/>
        <w:ind w:firstLine="0"/>
        <w:jc w:val="center"/>
        <w:rPr>
          <w:b/>
          <w:bCs/>
          <w:sz w:val="20"/>
          <w:szCs w:val="20"/>
          <w:lang w:bidi="ar-EG"/>
        </w:rPr>
      </w:pPr>
      <w:r w:rsidRPr="00713625">
        <w:rPr>
          <w:b/>
          <w:bCs/>
          <w:sz w:val="20"/>
          <w:szCs w:val="20"/>
          <w:lang w:bidi="ar-EG"/>
        </w:rPr>
        <w:t xml:space="preserve">Table (2): </w:t>
      </w:r>
      <w:r w:rsidRPr="00713625">
        <w:rPr>
          <w:b/>
          <w:bCs/>
          <w:sz w:val="20"/>
          <w:szCs w:val="20"/>
        </w:rPr>
        <w:t xml:space="preserve">Immunohistochemical expression </w:t>
      </w:r>
      <w:r w:rsidRPr="00713625">
        <w:rPr>
          <w:b/>
          <w:bCs/>
          <w:sz w:val="20"/>
          <w:szCs w:val="20"/>
          <w:lang w:bidi="ar-EG"/>
        </w:rPr>
        <w:t>of prohibitin among the studied groups.</w:t>
      </w:r>
    </w:p>
    <w:tbl>
      <w:tblPr>
        <w:tblW w:w="5000" w:type="pct"/>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CellMar>
          <w:left w:w="28" w:type="dxa"/>
          <w:right w:w="28" w:type="dxa"/>
        </w:tblCellMar>
        <w:tblLook w:val="04A0"/>
      </w:tblPr>
      <w:tblGrid>
        <w:gridCol w:w="1356"/>
        <w:gridCol w:w="621"/>
        <w:gridCol w:w="838"/>
        <w:gridCol w:w="621"/>
        <w:gridCol w:w="838"/>
        <w:gridCol w:w="621"/>
        <w:gridCol w:w="838"/>
        <w:gridCol w:w="866"/>
        <w:gridCol w:w="1459"/>
        <w:gridCol w:w="683"/>
        <w:gridCol w:w="697"/>
      </w:tblGrid>
      <w:tr w:rsidR="00931D99" w:rsidRPr="00713625" w:rsidTr="00713625">
        <w:trPr>
          <w:jc w:val="center"/>
        </w:trPr>
        <w:tc>
          <w:tcPr>
            <w:tcW w:w="718" w:type="pct"/>
            <w:tcBorders>
              <w:top w:val="thinThickSmallGap" w:sz="18" w:space="0" w:color="auto"/>
              <w:bottom w:val="nil"/>
              <w:right w:val="single" w:sz="12" w:space="0" w:color="auto"/>
            </w:tcBorders>
            <w:shd w:val="clear" w:color="auto" w:fill="auto"/>
            <w:vAlign w:val="center"/>
          </w:tcPr>
          <w:p w:rsidR="00277B7B" w:rsidRPr="00713625" w:rsidRDefault="00590A14" w:rsidP="00B20211">
            <w:pPr>
              <w:snapToGrid w:val="0"/>
              <w:spacing w:before="0" w:after="0" w:line="240" w:lineRule="auto"/>
              <w:ind w:firstLine="0"/>
              <w:rPr>
                <w:b/>
                <w:bCs/>
                <w:color w:val="000000"/>
                <w:sz w:val="20"/>
                <w:szCs w:val="20"/>
              </w:rPr>
            </w:pPr>
            <w:r w:rsidRPr="00713625">
              <w:rPr>
                <w:b/>
                <w:bCs/>
                <w:color w:val="000000"/>
                <w:sz w:val="20"/>
                <w:szCs w:val="20"/>
              </w:rPr>
              <w:t>Prohibitin IHS</w:t>
            </w:r>
          </w:p>
        </w:tc>
        <w:tc>
          <w:tcPr>
            <w:tcW w:w="773" w:type="pct"/>
            <w:gridSpan w:val="2"/>
            <w:tcBorders>
              <w:top w:val="thinThickSmallGap" w:sz="18" w:space="0" w:color="auto"/>
              <w:left w:val="single" w:sz="12" w:space="0" w:color="auto"/>
              <w:bottom w:val="single" w:sz="4" w:space="0" w:color="auto"/>
            </w:tcBorders>
            <w:shd w:val="clear" w:color="auto" w:fill="auto"/>
            <w:vAlign w:val="center"/>
          </w:tcPr>
          <w:p w:rsidR="00277B7B" w:rsidRPr="00713625" w:rsidRDefault="00277B7B" w:rsidP="00713625">
            <w:pPr>
              <w:snapToGrid w:val="0"/>
              <w:spacing w:before="0" w:after="0" w:line="240" w:lineRule="auto"/>
              <w:ind w:firstLine="0"/>
              <w:rPr>
                <w:b/>
                <w:bCs/>
                <w:color w:val="000000"/>
                <w:sz w:val="20"/>
                <w:szCs w:val="20"/>
              </w:rPr>
            </w:pPr>
            <w:r w:rsidRPr="00713625">
              <w:rPr>
                <w:b/>
                <w:bCs/>
                <w:color w:val="000000"/>
                <w:sz w:val="20"/>
                <w:szCs w:val="20"/>
              </w:rPr>
              <w:t xml:space="preserve">Group </w:t>
            </w:r>
            <w:r w:rsidR="00F2170B" w:rsidRPr="00713625">
              <w:rPr>
                <w:b/>
                <w:bCs/>
                <w:color w:val="000000"/>
                <w:sz w:val="20"/>
                <w:szCs w:val="20"/>
              </w:rPr>
              <w:t>1</w:t>
            </w:r>
            <w:r w:rsidRPr="00713625">
              <w:rPr>
                <w:b/>
                <w:bCs/>
                <w:color w:val="000000"/>
                <w:sz w:val="20"/>
                <w:szCs w:val="20"/>
              </w:rPr>
              <w:t>(n= 15)</w:t>
            </w:r>
          </w:p>
        </w:tc>
        <w:tc>
          <w:tcPr>
            <w:tcW w:w="773" w:type="pct"/>
            <w:gridSpan w:val="2"/>
            <w:tcBorders>
              <w:top w:val="thinThickSmallGap" w:sz="18" w:space="0" w:color="auto"/>
              <w:bottom w:val="single" w:sz="4" w:space="0" w:color="auto"/>
            </w:tcBorders>
            <w:shd w:val="clear" w:color="auto" w:fill="auto"/>
            <w:vAlign w:val="center"/>
          </w:tcPr>
          <w:p w:rsidR="00277B7B" w:rsidRPr="00713625" w:rsidRDefault="00277B7B" w:rsidP="00713625">
            <w:pPr>
              <w:snapToGrid w:val="0"/>
              <w:spacing w:before="0" w:after="0" w:line="240" w:lineRule="auto"/>
              <w:ind w:firstLine="0"/>
              <w:rPr>
                <w:b/>
                <w:bCs/>
                <w:color w:val="000000"/>
                <w:sz w:val="20"/>
                <w:szCs w:val="20"/>
              </w:rPr>
            </w:pPr>
            <w:r w:rsidRPr="00713625">
              <w:rPr>
                <w:b/>
                <w:bCs/>
                <w:color w:val="000000"/>
                <w:sz w:val="20"/>
                <w:szCs w:val="20"/>
              </w:rPr>
              <w:t xml:space="preserve">Group </w:t>
            </w:r>
            <w:r w:rsidR="00F2170B" w:rsidRPr="00713625">
              <w:rPr>
                <w:b/>
                <w:bCs/>
                <w:color w:val="000000"/>
                <w:sz w:val="20"/>
                <w:szCs w:val="20"/>
              </w:rPr>
              <w:t>2</w:t>
            </w:r>
            <w:r w:rsidRPr="00713625">
              <w:rPr>
                <w:b/>
                <w:bCs/>
                <w:color w:val="000000"/>
                <w:sz w:val="20"/>
                <w:szCs w:val="20"/>
              </w:rPr>
              <w:t>(n= 15)</w:t>
            </w:r>
          </w:p>
        </w:tc>
        <w:tc>
          <w:tcPr>
            <w:tcW w:w="773" w:type="pct"/>
            <w:gridSpan w:val="2"/>
            <w:tcBorders>
              <w:top w:val="thinThickSmallGap" w:sz="18" w:space="0" w:color="auto"/>
              <w:bottom w:val="single" w:sz="4" w:space="0" w:color="auto"/>
            </w:tcBorders>
            <w:shd w:val="clear" w:color="auto" w:fill="auto"/>
            <w:vAlign w:val="center"/>
          </w:tcPr>
          <w:p w:rsidR="00277B7B" w:rsidRPr="00713625" w:rsidRDefault="00277B7B" w:rsidP="00713625">
            <w:pPr>
              <w:snapToGrid w:val="0"/>
              <w:spacing w:before="0" w:after="0" w:line="240" w:lineRule="auto"/>
              <w:ind w:firstLine="0"/>
              <w:rPr>
                <w:b/>
                <w:bCs/>
                <w:color w:val="000000"/>
                <w:sz w:val="20"/>
                <w:szCs w:val="20"/>
              </w:rPr>
            </w:pPr>
            <w:r w:rsidRPr="00713625">
              <w:rPr>
                <w:b/>
                <w:bCs/>
                <w:color w:val="000000"/>
                <w:sz w:val="20"/>
                <w:szCs w:val="20"/>
              </w:rPr>
              <w:t xml:space="preserve">Group </w:t>
            </w:r>
            <w:r w:rsidR="00F2170B" w:rsidRPr="00713625">
              <w:rPr>
                <w:b/>
                <w:bCs/>
                <w:color w:val="000000"/>
                <w:sz w:val="20"/>
                <w:szCs w:val="20"/>
              </w:rPr>
              <w:t>3</w:t>
            </w:r>
            <w:r w:rsidRPr="00713625">
              <w:rPr>
                <w:b/>
                <w:bCs/>
                <w:color w:val="000000"/>
                <w:sz w:val="20"/>
                <w:szCs w:val="20"/>
              </w:rPr>
              <w:t>(n= 15)</w:t>
            </w:r>
          </w:p>
        </w:tc>
        <w:tc>
          <w:tcPr>
            <w:tcW w:w="1232" w:type="pct"/>
            <w:gridSpan w:val="2"/>
            <w:tcBorders>
              <w:top w:val="thinThickSmallGap" w:sz="18" w:space="0" w:color="auto"/>
              <w:bottom w:val="single" w:sz="4" w:space="0" w:color="auto"/>
              <w:right w:val="single" w:sz="12" w:space="0" w:color="auto"/>
            </w:tcBorders>
            <w:shd w:val="clear" w:color="auto" w:fill="auto"/>
            <w:vAlign w:val="center"/>
          </w:tcPr>
          <w:p w:rsidR="00277B7B" w:rsidRPr="00713625" w:rsidRDefault="00277B7B" w:rsidP="00713625">
            <w:pPr>
              <w:snapToGrid w:val="0"/>
              <w:spacing w:before="0" w:after="0" w:line="240" w:lineRule="auto"/>
              <w:ind w:firstLine="0"/>
              <w:rPr>
                <w:b/>
                <w:bCs/>
                <w:color w:val="000000"/>
                <w:sz w:val="20"/>
                <w:szCs w:val="20"/>
              </w:rPr>
            </w:pPr>
            <w:r w:rsidRPr="00713625">
              <w:rPr>
                <w:b/>
                <w:bCs/>
                <w:color w:val="000000"/>
                <w:sz w:val="20"/>
                <w:szCs w:val="20"/>
              </w:rPr>
              <w:t xml:space="preserve">Group </w:t>
            </w:r>
            <w:r w:rsidR="00F2170B" w:rsidRPr="00713625">
              <w:rPr>
                <w:b/>
                <w:bCs/>
                <w:color w:val="000000"/>
                <w:sz w:val="20"/>
                <w:szCs w:val="20"/>
              </w:rPr>
              <w:t>4</w:t>
            </w:r>
            <w:r w:rsidRPr="00713625">
              <w:rPr>
                <w:b/>
                <w:bCs/>
                <w:color w:val="000000"/>
                <w:sz w:val="20"/>
                <w:szCs w:val="20"/>
              </w:rPr>
              <w:t>(Control)(n= 15)</w:t>
            </w:r>
          </w:p>
        </w:tc>
        <w:tc>
          <w:tcPr>
            <w:tcW w:w="362" w:type="pct"/>
            <w:vMerge w:val="restart"/>
            <w:tcBorders>
              <w:top w:val="thinThickSmallGap" w:sz="18" w:space="0" w:color="auto"/>
              <w:left w:val="single" w:sz="12" w:space="0" w:color="auto"/>
            </w:tcBorders>
            <w:shd w:val="clear" w:color="auto" w:fill="auto"/>
            <w:vAlign w:val="center"/>
          </w:tcPr>
          <w:p w:rsidR="00277B7B" w:rsidRPr="00713625" w:rsidRDefault="0022281D" w:rsidP="0022281D">
            <w:pPr>
              <w:snapToGrid w:val="0"/>
              <w:spacing w:before="0" w:after="0" w:line="240" w:lineRule="auto"/>
              <w:ind w:firstLine="0"/>
              <w:jc w:val="center"/>
              <w:rPr>
                <w:b/>
                <w:bCs/>
                <w:color w:val="000000"/>
                <w:sz w:val="20"/>
                <w:szCs w:val="20"/>
              </w:rPr>
            </w:pPr>
            <w:r w:rsidRPr="005A3BCC">
              <w:rPr>
                <w:rFonts w:ascii="Symbol" w:hAnsi="Symbol"/>
                <w:b/>
                <w:bCs/>
                <w:sz w:val="21"/>
                <w:szCs w:val="21"/>
              </w:rPr>
              <w:t></w:t>
            </w:r>
            <w:r w:rsidRPr="005A3BCC">
              <w:rPr>
                <w:rFonts w:ascii="Symbol" w:hAnsi="Symbol"/>
                <w:b/>
                <w:bCs/>
                <w:sz w:val="21"/>
                <w:szCs w:val="21"/>
                <w:vertAlign w:val="superscript"/>
              </w:rPr>
              <w:t></w:t>
            </w:r>
          </w:p>
        </w:tc>
        <w:tc>
          <w:tcPr>
            <w:tcW w:w="369" w:type="pct"/>
            <w:vMerge w:val="restart"/>
            <w:tcBorders>
              <w:top w:val="thinThickSmallGap" w:sz="18" w:space="0" w:color="auto"/>
            </w:tcBorders>
            <w:shd w:val="clear" w:color="auto" w:fill="auto"/>
            <w:vAlign w:val="center"/>
          </w:tcPr>
          <w:p w:rsidR="00277B7B" w:rsidRPr="00713625" w:rsidRDefault="00277B7B" w:rsidP="0052700A">
            <w:pPr>
              <w:snapToGrid w:val="0"/>
              <w:spacing w:before="0" w:after="0" w:line="240" w:lineRule="auto"/>
              <w:ind w:firstLine="0"/>
              <w:jc w:val="center"/>
              <w:rPr>
                <w:b/>
                <w:bCs/>
                <w:color w:val="000000"/>
                <w:sz w:val="20"/>
                <w:szCs w:val="20"/>
              </w:rPr>
            </w:pPr>
            <w:r w:rsidRPr="00713625">
              <w:rPr>
                <w:b/>
                <w:bCs/>
                <w:color w:val="000000"/>
                <w:sz w:val="20"/>
                <w:szCs w:val="20"/>
                <w:vertAlign w:val="superscript"/>
              </w:rPr>
              <w:t>MC</w:t>
            </w:r>
            <w:r w:rsidRPr="00713625">
              <w:rPr>
                <w:b/>
                <w:bCs/>
                <w:color w:val="000000"/>
                <w:sz w:val="20"/>
                <w:szCs w:val="20"/>
              </w:rPr>
              <w:t>p</w:t>
            </w:r>
          </w:p>
        </w:tc>
      </w:tr>
      <w:tr w:rsidR="00931D99" w:rsidRPr="00713625" w:rsidTr="00713625">
        <w:trPr>
          <w:jc w:val="center"/>
        </w:trPr>
        <w:tc>
          <w:tcPr>
            <w:tcW w:w="718" w:type="pct"/>
            <w:tcBorders>
              <w:top w:val="nil"/>
              <w:bottom w:val="single" w:sz="12" w:space="0" w:color="auto"/>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p>
        </w:tc>
        <w:tc>
          <w:tcPr>
            <w:tcW w:w="329" w:type="pct"/>
            <w:tcBorders>
              <w:top w:val="single" w:sz="4" w:space="0" w:color="auto"/>
              <w:left w:val="single" w:sz="12" w:space="0" w:color="auto"/>
              <w:bottom w:val="single" w:sz="12" w:space="0" w:color="auto"/>
              <w:right w:val="single" w:sz="4" w:space="0" w:color="auto"/>
            </w:tcBorders>
            <w:shd w:val="clear" w:color="auto" w:fill="auto"/>
            <w:vAlign w:val="center"/>
          </w:tcPr>
          <w:p w:rsidR="00277B7B" w:rsidRPr="00713625" w:rsidRDefault="00277B7B" w:rsidP="007F52EA">
            <w:pPr>
              <w:snapToGrid w:val="0"/>
              <w:spacing w:before="0" w:after="0" w:line="240" w:lineRule="auto"/>
              <w:ind w:firstLine="0"/>
              <w:jc w:val="center"/>
              <w:rPr>
                <w:b/>
                <w:bCs/>
                <w:color w:val="000000"/>
                <w:sz w:val="20"/>
                <w:szCs w:val="20"/>
              </w:rPr>
            </w:pPr>
            <w:r w:rsidRPr="00713625">
              <w:rPr>
                <w:b/>
                <w:bCs/>
                <w:color w:val="000000"/>
                <w:sz w:val="20"/>
                <w:szCs w:val="20"/>
              </w:rPr>
              <w:t>No</w:t>
            </w:r>
          </w:p>
        </w:tc>
        <w:tc>
          <w:tcPr>
            <w:tcW w:w="444"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7F52EA">
            <w:pPr>
              <w:snapToGrid w:val="0"/>
              <w:spacing w:before="0" w:after="0" w:line="240" w:lineRule="auto"/>
              <w:ind w:firstLine="0"/>
              <w:jc w:val="center"/>
              <w:rPr>
                <w:b/>
                <w:bCs/>
                <w:color w:val="000000"/>
                <w:sz w:val="20"/>
                <w:szCs w:val="20"/>
              </w:rPr>
            </w:pPr>
            <w:r w:rsidRPr="00713625">
              <w:rPr>
                <w:b/>
                <w:bCs/>
                <w:color w:val="000000"/>
                <w:sz w:val="20"/>
                <w:szCs w:val="20"/>
              </w:rPr>
              <w:t>%</w:t>
            </w:r>
          </w:p>
        </w:tc>
        <w:tc>
          <w:tcPr>
            <w:tcW w:w="329"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7F52EA">
            <w:pPr>
              <w:snapToGrid w:val="0"/>
              <w:spacing w:before="0" w:after="0" w:line="240" w:lineRule="auto"/>
              <w:ind w:firstLine="0"/>
              <w:jc w:val="center"/>
              <w:rPr>
                <w:b/>
                <w:bCs/>
                <w:color w:val="000000"/>
                <w:sz w:val="20"/>
                <w:szCs w:val="20"/>
              </w:rPr>
            </w:pPr>
            <w:r w:rsidRPr="00713625">
              <w:rPr>
                <w:b/>
                <w:bCs/>
                <w:color w:val="000000"/>
                <w:sz w:val="20"/>
                <w:szCs w:val="20"/>
              </w:rPr>
              <w:t>No</w:t>
            </w:r>
          </w:p>
        </w:tc>
        <w:tc>
          <w:tcPr>
            <w:tcW w:w="444"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7F52EA">
            <w:pPr>
              <w:snapToGrid w:val="0"/>
              <w:spacing w:before="0" w:after="0" w:line="240" w:lineRule="auto"/>
              <w:ind w:firstLine="0"/>
              <w:jc w:val="center"/>
              <w:rPr>
                <w:b/>
                <w:bCs/>
                <w:color w:val="000000"/>
                <w:sz w:val="20"/>
                <w:szCs w:val="20"/>
              </w:rPr>
            </w:pPr>
            <w:r w:rsidRPr="00713625">
              <w:rPr>
                <w:b/>
                <w:bCs/>
                <w:color w:val="000000"/>
                <w:sz w:val="20"/>
                <w:szCs w:val="20"/>
              </w:rPr>
              <w:t>%</w:t>
            </w:r>
          </w:p>
        </w:tc>
        <w:tc>
          <w:tcPr>
            <w:tcW w:w="329"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7F52EA">
            <w:pPr>
              <w:snapToGrid w:val="0"/>
              <w:spacing w:before="0" w:after="0" w:line="240" w:lineRule="auto"/>
              <w:ind w:firstLine="0"/>
              <w:jc w:val="center"/>
              <w:rPr>
                <w:b/>
                <w:bCs/>
                <w:color w:val="000000"/>
                <w:sz w:val="20"/>
                <w:szCs w:val="20"/>
              </w:rPr>
            </w:pPr>
            <w:r w:rsidRPr="00713625">
              <w:rPr>
                <w:b/>
                <w:bCs/>
                <w:color w:val="000000"/>
                <w:sz w:val="20"/>
                <w:szCs w:val="20"/>
              </w:rPr>
              <w:t>No</w:t>
            </w:r>
          </w:p>
        </w:tc>
        <w:tc>
          <w:tcPr>
            <w:tcW w:w="444"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7F52EA">
            <w:pPr>
              <w:snapToGrid w:val="0"/>
              <w:spacing w:before="0" w:after="0" w:line="240" w:lineRule="auto"/>
              <w:ind w:firstLine="0"/>
              <w:jc w:val="center"/>
              <w:rPr>
                <w:b/>
                <w:bCs/>
                <w:color w:val="000000"/>
                <w:sz w:val="20"/>
                <w:szCs w:val="20"/>
              </w:rPr>
            </w:pPr>
            <w:r w:rsidRPr="00713625">
              <w:rPr>
                <w:b/>
                <w:bCs/>
                <w:color w:val="000000"/>
                <w:sz w:val="20"/>
                <w:szCs w:val="20"/>
              </w:rPr>
              <w:t>%</w:t>
            </w:r>
          </w:p>
        </w:tc>
        <w:tc>
          <w:tcPr>
            <w:tcW w:w="459" w:type="pct"/>
            <w:tcBorders>
              <w:top w:val="single" w:sz="4" w:space="0" w:color="auto"/>
              <w:left w:val="single" w:sz="4" w:space="0" w:color="auto"/>
              <w:bottom w:val="single" w:sz="12" w:space="0" w:color="auto"/>
              <w:right w:val="single" w:sz="4" w:space="0" w:color="auto"/>
            </w:tcBorders>
            <w:shd w:val="clear" w:color="auto" w:fill="auto"/>
            <w:vAlign w:val="center"/>
          </w:tcPr>
          <w:p w:rsidR="00277B7B" w:rsidRPr="00713625" w:rsidRDefault="00277B7B" w:rsidP="007F52EA">
            <w:pPr>
              <w:snapToGrid w:val="0"/>
              <w:spacing w:before="0" w:after="0" w:line="240" w:lineRule="auto"/>
              <w:ind w:firstLine="0"/>
              <w:jc w:val="center"/>
              <w:rPr>
                <w:b/>
                <w:bCs/>
                <w:color w:val="000000"/>
                <w:sz w:val="20"/>
                <w:szCs w:val="20"/>
              </w:rPr>
            </w:pPr>
            <w:r w:rsidRPr="00713625">
              <w:rPr>
                <w:b/>
                <w:bCs/>
                <w:color w:val="000000"/>
                <w:sz w:val="20"/>
                <w:szCs w:val="20"/>
              </w:rPr>
              <w:t>No</w:t>
            </w:r>
          </w:p>
        </w:tc>
        <w:tc>
          <w:tcPr>
            <w:tcW w:w="773" w:type="pct"/>
            <w:tcBorders>
              <w:top w:val="single" w:sz="4" w:space="0" w:color="auto"/>
              <w:left w:val="single" w:sz="4" w:space="0" w:color="auto"/>
              <w:bottom w:val="single" w:sz="12" w:space="0" w:color="auto"/>
              <w:right w:val="single" w:sz="12" w:space="0" w:color="auto"/>
            </w:tcBorders>
            <w:shd w:val="clear" w:color="auto" w:fill="auto"/>
            <w:vAlign w:val="center"/>
          </w:tcPr>
          <w:p w:rsidR="00277B7B" w:rsidRPr="00713625" w:rsidRDefault="00277B7B" w:rsidP="007F52EA">
            <w:pPr>
              <w:snapToGrid w:val="0"/>
              <w:spacing w:before="0" w:after="0" w:line="240" w:lineRule="auto"/>
              <w:ind w:firstLine="0"/>
              <w:jc w:val="center"/>
              <w:rPr>
                <w:b/>
                <w:bCs/>
                <w:color w:val="000000"/>
                <w:sz w:val="20"/>
                <w:szCs w:val="20"/>
              </w:rPr>
            </w:pPr>
            <w:r w:rsidRPr="00713625">
              <w:rPr>
                <w:b/>
                <w:bCs/>
                <w:color w:val="000000"/>
                <w:sz w:val="20"/>
                <w:szCs w:val="20"/>
              </w:rPr>
              <w:t>%</w:t>
            </w:r>
          </w:p>
        </w:tc>
        <w:tc>
          <w:tcPr>
            <w:tcW w:w="362" w:type="pct"/>
            <w:vMerge/>
            <w:tcBorders>
              <w:left w:val="single" w:sz="12" w:space="0" w:color="auto"/>
              <w:bottom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vertAlign w:val="superscript"/>
              </w:rPr>
            </w:pPr>
          </w:p>
        </w:tc>
        <w:tc>
          <w:tcPr>
            <w:tcW w:w="369" w:type="pct"/>
            <w:vMerge/>
            <w:tcBorders>
              <w:bottom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p>
        </w:tc>
      </w:tr>
      <w:tr w:rsidR="00931D99" w:rsidRPr="00713625" w:rsidTr="00713625">
        <w:trPr>
          <w:jc w:val="center"/>
        </w:trPr>
        <w:tc>
          <w:tcPr>
            <w:tcW w:w="718" w:type="pct"/>
            <w:tcBorders>
              <w:top w:val="nil"/>
              <w:bottom w:val="nil"/>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Negative</w:t>
            </w:r>
          </w:p>
        </w:tc>
        <w:tc>
          <w:tcPr>
            <w:tcW w:w="329" w:type="pct"/>
            <w:tcBorders>
              <w:top w:val="nil"/>
              <w:left w:val="single" w:sz="12"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7</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46.7</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2</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13.3</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459"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15</w:t>
            </w:r>
          </w:p>
        </w:tc>
        <w:tc>
          <w:tcPr>
            <w:tcW w:w="773" w:type="pct"/>
            <w:tcBorders>
              <w:top w:val="nil"/>
              <w:left w:val="single" w:sz="4" w:space="0" w:color="auto"/>
              <w:bottom w:val="nil"/>
              <w:right w:val="single" w:sz="12"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100.0</w:t>
            </w:r>
          </w:p>
        </w:tc>
        <w:tc>
          <w:tcPr>
            <w:tcW w:w="362" w:type="pct"/>
            <w:vMerge w:val="restart"/>
            <w:tcBorders>
              <w:top w:val="nil"/>
              <w:lef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67.318</w:t>
            </w:r>
            <w:r w:rsidRPr="00713625">
              <w:rPr>
                <w:color w:val="000000"/>
                <w:sz w:val="20"/>
                <w:szCs w:val="20"/>
                <w:vertAlign w:val="superscript"/>
              </w:rPr>
              <w:t>*</w:t>
            </w:r>
          </w:p>
        </w:tc>
        <w:tc>
          <w:tcPr>
            <w:tcW w:w="369" w:type="pct"/>
            <w:vMerge w:val="restart"/>
            <w:tcBorders>
              <w:top w:val="nil"/>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r w:rsidRPr="00713625">
              <w:rPr>
                <w:color w:val="000000"/>
                <w:sz w:val="20"/>
                <w:szCs w:val="20"/>
              </w:rPr>
              <w:t>&lt;0.001</w:t>
            </w:r>
            <w:r w:rsidRPr="00713625">
              <w:rPr>
                <w:color w:val="000000"/>
                <w:sz w:val="20"/>
                <w:szCs w:val="20"/>
                <w:vertAlign w:val="superscript"/>
              </w:rPr>
              <w:t>*</w:t>
            </w:r>
          </w:p>
        </w:tc>
      </w:tr>
      <w:tr w:rsidR="00931D99" w:rsidRPr="00713625" w:rsidTr="00713625">
        <w:trPr>
          <w:jc w:val="center"/>
        </w:trPr>
        <w:tc>
          <w:tcPr>
            <w:tcW w:w="718" w:type="pct"/>
            <w:tcBorders>
              <w:top w:val="nil"/>
              <w:bottom w:val="nil"/>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w:t>
            </w:r>
            <w:r w:rsidR="00590A14" w:rsidRPr="00713625">
              <w:rPr>
                <w:b/>
                <w:bCs/>
                <w:color w:val="000000"/>
                <w:sz w:val="20"/>
                <w:szCs w:val="20"/>
              </w:rPr>
              <w:t>1</w:t>
            </w:r>
          </w:p>
        </w:tc>
        <w:tc>
          <w:tcPr>
            <w:tcW w:w="329" w:type="pct"/>
            <w:tcBorders>
              <w:top w:val="nil"/>
              <w:left w:val="single" w:sz="12"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8</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53.3</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3</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20.0</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459"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773" w:type="pct"/>
            <w:tcBorders>
              <w:top w:val="nil"/>
              <w:left w:val="single" w:sz="4" w:space="0" w:color="auto"/>
              <w:bottom w:val="nil"/>
              <w:right w:val="single" w:sz="12"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362" w:type="pct"/>
            <w:vMerge/>
            <w:tcBorders>
              <w:top w:val="nil"/>
              <w:lef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vMerge/>
            <w:tcBorders>
              <w:top w:val="nil"/>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r>
      <w:tr w:rsidR="00931D99" w:rsidRPr="00713625" w:rsidTr="00713625">
        <w:trPr>
          <w:jc w:val="center"/>
        </w:trPr>
        <w:tc>
          <w:tcPr>
            <w:tcW w:w="718" w:type="pct"/>
            <w:tcBorders>
              <w:top w:val="nil"/>
              <w:bottom w:val="nil"/>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w:t>
            </w:r>
            <w:r w:rsidR="00590A14" w:rsidRPr="00713625">
              <w:rPr>
                <w:b/>
                <w:bCs/>
                <w:color w:val="000000"/>
                <w:sz w:val="20"/>
                <w:szCs w:val="20"/>
              </w:rPr>
              <w:t>2</w:t>
            </w:r>
          </w:p>
        </w:tc>
        <w:tc>
          <w:tcPr>
            <w:tcW w:w="329" w:type="pct"/>
            <w:tcBorders>
              <w:top w:val="nil"/>
              <w:left w:val="single" w:sz="12"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7</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46.7</w:t>
            </w:r>
          </w:p>
        </w:tc>
        <w:tc>
          <w:tcPr>
            <w:tcW w:w="329"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3</w:t>
            </w:r>
          </w:p>
        </w:tc>
        <w:tc>
          <w:tcPr>
            <w:tcW w:w="444"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20.0</w:t>
            </w:r>
          </w:p>
        </w:tc>
        <w:tc>
          <w:tcPr>
            <w:tcW w:w="459" w:type="pct"/>
            <w:tcBorders>
              <w:top w:val="nil"/>
              <w:left w:val="single" w:sz="4" w:space="0" w:color="auto"/>
              <w:bottom w:val="nil"/>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773" w:type="pct"/>
            <w:tcBorders>
              <w:top w:val="nil"/>
              <w:left w:val="single" w:sz="4" w:space="0" w:color="auto"/>
              <w:bottom w:val="nil"/>
              <w:right w:val="single" w:sz="12"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362" w:type="pct"/>
            <w:vMerge/>
            <w:tcBorders>
              <w:left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vMerge/>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r>
      <w:tr w:rsidR="00931D99" w:rsidRPr="00713625" w:rsidTr="00713625">
        <w:trPr>
          <w:jc w:val="center"/>
        </w:trPr>
        <w:tc>
          <w:tcPr>
            <w:tcW w:w="718" w:type="pct"/>
            <w:tcBorders>
              <w:top w:val="nil"/>
              <w:bottom w:val="single" w:sz="12" w:space="0" w:color="auto"/>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 xml:space="preserve">+ </w:t>
            </w:r>
            <w:r w:rsidR="00590A14" w:rsidRPr="00713625">
              <w:rPr>
                <w:b/>
                <w:bCs/>
                <w:color w:val="000000"/>
                <w:sz w:val="20"/>
                <w:szCs w:val="20"/>
              </w:rPr>
              <w:t>3</w:t>
            </w:r>
          </w:p>
        </w:tc>
        <w:tc>
          <w:tcPr>
            <w:tcW w:w="329" w:type="pct"/>
            <w:tcBorders>
              <w:top w:val="nil"/>
              <w:left w:val="single" w:sz="12" w:space="0" w:color="auto"/>
              <w:bottom w:val="single" w:sz="12" w:space="0" w:color="auto"/>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444"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329"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3</w:t>
            </w:r>
          </w:p>
        </w:tc>
        <w:tc>
          <w:tcPr>
            <w:tcW w:w="444"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20.0</w:t>
            </w:r>
          </w:p>
        </w:tc>
        <w:tc>
          <w:tcPr>
            <w:tcW w:w="329"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12</w:t>
            </w:r>
          </w:p>
        </w:tc>
        <w:tc>
          <w:tcPr>
            <w:tcW w:w="444"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80.0</w:t>
            </w:r>
          </w:p>
        </w:tc>
        <w:tc>
          <w:tcPr>
            <w:tcW w:w="459" w:type="pct"/>
            <w:tcBorders>
              <w:top w:val="nil"/>
              <w:left w:val="single" w:sz="4" w:space="0" w:color="auto"/>
              <w:bottom w:val="single" w:sz="12" w:space="0" w:color="auto"/>
              <w:right w:val="single" w:sz="4"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w:t>
            </w:r>
          </w:p>
        </w:tc>
        <w:tc>
          <w:tcPr>
            <w:tcW w:w="773" w:type="pct"/>
            <w:tcBorders>
              <w:top w:val="nil"/>
              <w:left w:val="single" w:sz="4" w:space="0" w:color="auto"/>
              <w:bottom w:val="single" w:sz="12" w:space="0" w:color="auto"/>
              <w:right w:val="single" w:sz="12"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rPr>
              <w:t>0.0</w:t>
            </w:r>
          </w:p>
        </w:tc>
        <w:tc>
          <w:tcPr>
            <w:tcW w:w="362" w:type="pct"/>
            <w:vMerge/>
            <w:tcBorders>
              <w:left w:val="single" w:sz="12" w:space="0" w:color="auto"/>
              <w:bottom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vMerge/>
            <w:tcBorders>
              <w:bottom w:val="single" w:sz="12" w:space="0" w:color="auto"/>
            </w:tcBorders>
            <w:shd w:val="clear" w:color="auto" w:fill="auto"/>
            <w:vAlign w:val="center"/>
          </w:tcPr>
          <w:p w:rsidR="00277B7B" w:rsidRPr="00713625" w:rsidRDefault="00277B7B" w:rsidP="00B20211">
            <w:pPr>
              <w:snapToGrid w:val="0"/>
              <w:spacing w:before="0" w:after="0" w:line="240" w:lineRule="auto"/>
              <w:ind w:firstLine="0"/>
              <w:rPr>
                <w:color w:val="000000"/>
                <w:sz w:val="20"/>
                <w:szCs w:val="20"/>
              </w:rPr>
            </w:pPr>
          </w:p>
        </w:tc>
      </w:tr>
      <w:tr w:rsidR="00931D99" w:rsidRPr="00713625" w:rsidTr="00713625">
        <w:trPr>
          <w:jc w:val="center"/>
        </w:trPr>
        <w:tc>
          <w:tcPr>
            <w:tcW w:w="718" w:type="pct"/>
            <w:tcBorders>
              <w:top w:val="single" w:sz="12" w:space="0" w:color="auto"/>
              <w:bottom w:val="single" w:sz="4" w:space="0" w:color="000000"/>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p</w:t>
            </w:r>
            <w:r w:rsidRPr="00713625">
              <w:rPr>
                <w:b/>
                <w:bCs/>
                <w:color w:val="000000"/>
                <w:sz w:val="20"/>
                <w:szCs w:val="20"/>
                <w:vertAlign w:val="subscript"/>
              </w:rPr>
              <w:t>Control</w:t>
            </w:r>
          </w:p>
        </w:tc>
        <w:tc>
          <w:tcPr>
            <w:tcW w:w="773" w:type="pct"/>
            <w:gridSpan w:val="2"/>
            <w:tcBorders>
              <w:top w:val="single" w:sz="12" w:space="0" w:color="auto"/>
              <w:left w:val="single" w:sz="12" w:space="0" w:color="auto"/>
              <w:bottom w:val="single" w:sz="4" w:space="0" w:color="000000"/>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vertAlign w:val="superscript"/>
              </w:rPr>
              <w:t>FE</w:t>
            </w:r>
            <w:r w:rsidRPr="00713625">
              <w:rPr>
                <w:color w:val="000000"/>
                <w:sz w:val="20"/>
                <w:szCs w:val="20"/>
              </w:rPr>
              <w:t>p=0.002</w:t>
            </w:r>
            <w:r w:rsidRPr="00713625">
              <w:rPr>
                <w:color w:val="000000"/>
                <w:sz w:val="20"/>
                <w:szCs w:val="20"/>
                <w:vertAlign w:val="superscript"/>
              </w:rPr>
              <w:t>*</w:t>
            </w:r>
          </w:p>
        </w:tc>
        <w:tc>
          <w:tcPr>
            <w:tcW w:w="773" w:type="pct"/>
            <w:gridSpan w:val="2"/>
            <w:tcBorders>
              <w:top w:val="single" w:sz="12" w:space="0" w:color="auto"/>
              <w:bottom w:val="single" w:sz="4" w:space="0" w:color="000000"/>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vertAlign w:val="superscript"/>
              </w:rPr>
              <w:t>FE</w:t>
            </w:r>
            <w:r w:rsidRPr="00713625">
              <w:rPr>
                <w:color w:val="000000"/>
                <w:sz w:val="20"/>
                <w:szCs w:val="20"/>
              </w:rPr>
              <w:t>p=0.009</w:t>
            </w:r>
            <w:r w:rsidRPr="00713625">
              <w:rPr>
                <w:color w:val="000000"/>
                <w:sz w:val="20"/>
                <w:szCs w:val="20"/>
                <w:vertAlign w:val="superscript"/>
              </w:rPr>
              <w:t>*</w:t>
            </w:r>
          </w:p>
        </w:tc>
        <w:tc>
          <w:tcPr>
            <w:tcW w:w="773" w:type="pct"/>
            <w:gridSpan w:val="2"/>
            <w:tcBorders>
              <w:top w:val="single" w:sz="12" w:space="0" w:color="auto"/>
              <w:bottom w:val="single" w:sz="4" w:space="0" w:color="000000"/>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vertAlign w:val="superscript"/>
              </w:rPr>
              <w:t>MC</w:t>
            </w:r>
            <w:r w:rsidRPr="00713625">
              <w:rPr>
                <w:color w:val="000000"/>
                <w:sz w:val="20"/>
                <w:szCs w:val="20"/>
              </w:rPr>
              <w:t>p&lt;0.001</w:t>
            </w:r>
            <w:r w:rsidRPr="00713625">
              <w:rPr>
                <w:color w:val="000000"/>
                <w:sz w:val="20"/>
                <w:szCs w:val="20"/>
                <w:vertAlign w:val="superscript"/>
              </w:rPr>
              <w:t>*</w:t>
            </w:r>
          </w:p>
        </w:tc>
        <w:tc>
          <w:tcPr>
            <w:tcW w:w="1232" w:type="pct"/>
            <w:gridSpan w:val="2"/>
            <w:tcBorders>
              <w:top w:val="single" w:sz="12" w:space="0" w:color="auto"/>
              <w:bottom w:val="nil"/>
              <w:right w:val="single" w:sz="12" w:space="0" w:color="auto"/>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c>
          <w:tcPr>
            <w:tcW w:w="362" w:type="pct"/>
            <w:tcBorders>
              <w:top w:val="single" w:sz="12" w:space="0" w:color="auto"/>
              <w:left w:val="single" w:sz="12" w:space="0" w:color="auto"/>
              <w:bottom w:val="nil"/>
              <w:right w:val="nil"/>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tcBorders>
              <w:top w:val="single" w:sz="12" w:space="0" w:color="auto"/>
              <w:left w:val="nil"/>
              <w:bottom w:val="nil"/>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r>
      <w:tr w:rsidR="00931D99" w:rsidRPr="00713625" w:rsidTr="00713625">
        <w:trPr>
          <w:jc w:val="center"/>
        </w:trPr>
        <w:tc>
          <w:tcPr>
            <w:tcW w:w="718" w:type="pct"/>
            <w:tcBorders>
              <w:top w:val="single" w:sz="4" w:space="0" w:color="000000"/>
              <w:bottom w:val="thickThinSmallGap" w:sz="18" w:space="0" w:color="auto"/>
              <w:right w:val="single" w:sz="12" w:space="0" w:color="auto"/>
            </w:tcBorders>
            <w:shd w:val="clear" w:color="auto" w:fill="auto"/>
            <w:vAlign w:val="center"/>
          </w:tcPr>
          <w:p w:rsidR="00277B7B" w:rsidRPr="00713625" w:rsidRDefault="00277B7B" w:rsidP="00B20211">
            <w:pPr>
              <w:snapToGrid w:val="0"/>
              <w:spacing w:before="0" w:after="0" w:line="240" w:lineRule="auto"/>
              <w:ind w:firstLine="0"/>
              <w:rPr>
                <w:b/>
                <w:bCs/>
                <w:color w:val="000000"/>
                <w:sz w:val="20"/>
                <w:szCs w:val="20"/>
              </w:rPr>
            </w:pPr>
            <w:r w:rsidRPr="00713625">
              <w:rPr>
                <w:b/>
                <w:bCs/>
                <w:color w:val="000000"/>
                <w:sz w:val="20"/>
                <w:szCs w:val="20"/>
              </w:rPr>
              <w:t>Sig. bet. grps.</w:t>
            </w:r>
          </w:p>
        </w:tc>
        <w:tc>
          <w:tcPr>
            <w:tcW w:w="2319" w:type="pct"/>
            <w:gridSpan w:val="6"/>
            <w:tcBorders>
              <w:top w:val="single" w:sz="4" w:space="0" w:color="000000"/>
              <w:left w:val="single" w:sz="12" w:space="0" w:color="auto"/>
              <w:bottom w:val="thickThinSmallGap" w:sz="18" w:space="0" w:color="auto"/>
            </w:tcBorders>
            <w:shd w:val="clear" w:color="auto" w:fill="auto"/>
            <w:vAlign w:val="center"/>
          </w:tcPr>
          <w:p w:rsidR="00277B7B" w:rsidRPr="00713625" w:rsidRDefault="00277B7B" w:rsidP="003A5235">
            <w:pPr>
              <w:snapToGrid w:val="0"/>
              <w:spacing w:before="0" w:after="0" w:line="240" w:lineRule="auto"/>
              <w:ind w:firstLine="0"/>
              <w:jc w:val="center"/>
              <w:rPr>
                <w:color w:val="000000"/>
                <w:sz w:val="20"/>
                <w:szCs w:val="20"/>
              </w:rPr>
            </w:pP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1</w:t>
            </w:r>
            <w:r w:rsidRPr="00713625">
              <w:rPr>
                <w:color w:val="000000"/>
                <w:sz w:val="20"/>
                <w:szCs w:val="20"/>
              </w:rPr>
              <w:t>=0.002</w:t>
            </w:r>
            <w:r w:rsidRPr="00713625">
              <w:rPr>
                <w:color w:val="000000"/>
                <w:sz w:val="20"/>
                <w:szCs w:val="20"/>
                <w:vertAlign w:val="superscript"/>
              </w:rPr>
              <w:t>*</w:t>
            </w:r>
            <w:r w:rsidRPr="00713625">
              <w:rPr>
                <w:color w:val="000000"/>
                <w:sz w:val="20"/>
                <w:szCs w:val="20"/>
              </w:rPr>
              <w:t xml:space="preserve">, </w:t>
            </w:r>
            <w:r w:rsidRPr="00713625">
              <w:rPr>
                <w:color w:val="000000"/>
                <w:sz w:val="20"/>
                <w:szCs w:val="20"/>
                <w:vertAlign w:val="superscript"/>
              </w:rPr>
              <w:t>MC</w:t>
            </w:r>
            <w:r w:rsidRPr="00713625">
              <w:rPr>
                <w:color w:val="000000"/>
                <w:sz w:val="20"/>
                <w:szCs w:val="20"/>
              </w:rPr>
              <w:t>p</w:t>
            </w:r>
            <w:r w:rsidRPr="00713625">
              <w:rPr>
                <w:color w:val="000000"/>
                <w:sz w:val="20"/>
                <w:szCs w:val="20"/>
                <w:vertAlign w:val="subscript"/>
              </w:rPr>
              <w:t>2</w:t>
            </w:r>
            <w:r w:rsidRPr="00713625">
              <w:rPr>
                <w:color w:val="000000"/>
                <w:sz w:val="20"/>
                <w:szCs w:val="20"/>
              </w:rPr>
              <w:t>=0.001</w:t>
            </w:r>
            <w:r w:rsidRPr="00713625">
              <w:rPr>
                <w:color w:val="000000"/>
                <w:sz w:val="20"/>
                <w:szCs w:val="20"/>
                <w:vertAlign w:val="superscript"/>
              </w:rPr>
              <w:t>*</w:t>
            </w:r>
            <w:r w:rsidRPr="00713625">
              <w:rPr>
                <w:color w:val="000000"/>
                <w:sz w:val="20"/>
                <w:szCs w:val="20"/>
              </w:rPr>
              <w:t>, p</w:t>
            </w:r>
            <w:r w:rsidRPr="00713625">
              <w:rPr>
                <w:color w:val="000000"/>
                <w:sz w:val="20"/>
                <w:szCs w:val="20"/>
                <w:vertAlign w:val="subscript"/>
              </w:rPr>
              <w:t>3</w:t>
            </w:r>
            <w:r w:rsidRPr="00713625">
              <w:rPr>
                <w:color w:val="000000"/>
                <w:sz w:val="20"/>
                <w:szCs w:val="20"/>
              </w:rPr>
              <w:t>&lt;0.001</w:t>
            </w:r>
            <w:r w:rsidRPr="00713625">
              <w:rPr>
                <w:color w:val="000000"/>
                <w:sz w:val="20"/>
                <w:szCs w:val="20"/>
                <w:vertAlign w:val="superscript"/>
              </w:rPr>
              <w:t>*</w:t>
            </w:r>
          </w:p>
        </w:tc>
        <w:tc>
          <w:tcPr>
            <w:tcW w:w="1232" w:type="pct"/>
            <w:gridSpan w:val="2"/>
            <w:tcBorders>
              <w:top w:val="nil"/>
              <w:bottom w:val="thickThinSmallGap" w:sz="18" w:space="0" w:color="auto"/>
              <w:right w:val="single" w:sz="12" w:space="0" w:color="auto"/>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c>
          <w:tcPr>
            <w:tcW w:w="362" w:type="pct"/>
            <w:tcBorders>
              <w:top w:val="nil"/>
              <w:left w:val="single" w:sz="12" w:space="0" w:color="auto"/>
              <w:bottom w:val="thickThinSmallGap" w:sz="18" w:space="0" w:color="auto"/>
              <w:right w:val="nil"/>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c>
          <w:tcPr>
            <w:tcW w:w="369" w:type="pct"/>
            <w:tcBorders>
              <w:top w:val="nil"/>
              <w:left w:val="nil"/>
              <w:bottom w:val="thickThinSmallGap" w:sz="18" w:space="0" w:color="auto"/>
            </w:tcBorders>
            <w:shd w:val="clear" w:color="auto" w:fill="BFBFBF"/>
            <w:vAlign w:val="center"/>
          </w:tcPr>
          <w:p w:rsidR="00277B7B" w:rsidRPr="00713625" w:rsidRDefault="00277B7B" w:rsidP="00B20211">
            <w:pPr>
              <w:snapToGrid w:val="0"/>
              <w:spacing w:before="0" w:after="0" w:line="240" w:lineRule="auto"/>
              <w:ind w:firstLine="0"/>
              <w:rPr>
                <w:color w:val="000000"/>
                <w:sz w:val="20"/>
                <w:szCs w:val="20"/>
              </w:rPr>
            </w:pPr>
          </w:p>
        </w:tc>
      </w:tr>
    </w:tbl>
    <w:p w:rsidR="003B4EBE" w:rsidRPr="00713625" w:rsidRDefault="00771569" w:rsidP="003B4EBE">
      <w:pPr>
        <w:snapToGrid w:val="0"/>
        <w:spacing w:before="0" w:after="0" w:line="240" w:lineRule="auto"/>
        <w:ind w:firstLine="0"/>
        <w:rPr>
          <w:sz w:val="20"/>
          <w:szCs w:val="20"/>
        </w:rPr>
      </w:pPr>
      <w:r w:rsidRPr="005A3BCC">
        <w:rPr>
          <w:rFonts w:ascii="Symbol" w:hAnsi="Symbol"/>
          <w:sz w:val="20"/>
          <w:szCs w:val="20"/>
        </w:rPr>
        <w:t></w:t>
      </w:r>
      <w:r w:rsidRPr="005A3BCC">
        <w:rPr>
          <w:sz w:val="20"/>
          <w:szCs w:val="20"/>
          <w:vertAlign w:val="superscript"/>
        </w:rPr>
        <w:t>2</w:t>
      </w:r>
      <w:r w:rsidR="00277B7B" w:rsidRPr="00713625">
        <w:rPr>
          <w:sz w:val="20"/>
          <w:szCs w:val="20"/>
        </w:rPr>
        <w:t>: Chi square test for comparing between the four groups and each two group</w:t>
      </w:r>
      <w:r w:rsidR="003B4EBE" w:rsidRPr="00713625">
        <w:rPr>
          <w:sz w:val="20"/>
          <w:szCs w:val="20"/>
        </w:rPr>
        <w:t>s.</w:t>
      </w:r>
    </w:p>
    <w:p w:rsidR="003B4EBE" w:rsidRPr="00713625" w:rsidRDefault="00277B7B" w:rsidP="00B20211">
      <w:pPr>
        <w:snapToGrid w:val="0"/>
        <w:spacing w:before="0" w:after="0" w:line="240" w:lineRule="auto"/>
        <w:ind w:firstLine="0"/>
        <w:rPr>
          <w:sz w:val="20"/>
          <w:szCs w:val="20"/>
        </w:rPr>
      </w:pPr>
      <w:r w:rsidRPr="00713625">
        <w:rPr>
          <w:sz w:val="20"/>
          <w:szCs w:val="20"/>
        </w:rPr>
        <w:t>MC: Monte Carlo for Chi square test for comparing between the four groups and each two group</w:t>
      </w:r>
      <w:r w:rsidR="003B4EBE" w:rsidRPr="00713625">
        <w:rPr>
          <w:sz w:val="20"/>
          <w:szCs w:val="20"/>
        </w:rPr>
        <w:t>s.</w:t>
      </w:r>
    </w:p>
    <w:p w:rsidR="003B4EBE" w:rsidRPr="00713625" w:rsidRDefault="00277B7B" w:rsidP="00B20211">
      <w:pPr>
        <w:snapToGrid w:val="0"/>
        <w:spacing w:before="0" w:after="0" w:line="240" w:lineRule="auto"/>
        <w:ind w:firstLine="0"/>
        <w:rPr>
          <w:sz w:val="20"/>
          <w:szCs w:val="20"/>
        </w:rPr>
      </w:pPr>
      <w:r w:rsidRPr="00713625">
        <w:rPr>
          <w:sz w:val="20"/>
          <w:szCs w:val="20"/>
        </w:rPr>
        <w:t>p</w:t>
      </w:r>
      <w:r w:rsidRPr="00713625">
        <w:rPr>
          <w:sz w:val="20"/>
          <w:szCs w:val="20"/>
          <w:vertAlign w:val="subscript"/>
        </w:rPr>
        <w:t>Control</w:t>
      </w:r>
      <w:r w:rsidR="003B4EBE" w:rsidRPr="00713625">
        <w:rPr>
          <w:sz w:val="20"/>
          <w:szCs w:val="20"/>
        </w:rPr>
        <w:t>:</w:t>
      </w:r>
      <w:r w:rsidRPr="00713625">
        <w:rPr>
          <w:sz w:val="20"/>
          <w:szCs w:val="20"/>
        </w:rPr>
        <w:t xml:space="preserve"> p value for comparing between group IV (Control) and each other grou</w:t>
      </w:r>
      <w:r w:rsidR="003B4EBE" w:rsidRPr="00713625">
        <w:rPr>
          <w:sz w:val="20"/>
          <w:szCs w:val="20"/>
        </w:rPr>
        <w:t>p.</w:t>
      </w:r>
    </w:p>
    <w:p w:rsidR="003B4EBE" w:rsidRPr="00713625" w:rsidRDefault="00277B7B" w:rsidP="00B20211">
      <w:pPr>
        <w:snapToGrid w:val="0"/>
        <w:spacing w:before="0" w:after="0" w:line="240" w:lineRule="auto"/>
        <w:ind w:firstLine="0"/>
        <w:rPr>
          <w:sz w:val="20"/>
          <w:szCs w:val="20"/>
        </w:rPr>
      </w:pPr>
      <w:r w:rsidRPr="00713625">
        <w:rPr>
          <w:sz w:val="20"/>
          <w:szCs w:val="20"/>
        </w:rPr>
        <w:t>p</w:t>
      </w:r>
      <w:r w:rsidRPr="00713625">
        <w:rPr>
          <w:sz w:val="20"/>
          <w:szCs w:val="20"/>
          <w:vertAlign w:val="subscript"/>
        </w:rPr>
        <w:t>1</w:t>
      </w:r>
      <w:r w:rsidRPr="00713625">
        <w:rPr>
          <w:sz w:val="20"/>
          <w:szCs w:val="20"/>
        </w:rPr>
        <w:t>: p value for comparing between group I and group II</w:t>
      </w:r>
      <w:r w:rsidRPr="00713625">
        <w:rPr>
          <w:b/>
          <w:bCs/>
          <w:sz w:val="20"/>
          <w:szCs w:val="20"/>
        </w:rPr>
        <w:t xml:space="preserve">, </w:t>
      </w:r>
      <w:r w:rsidRPr="00713625">
        <w:rPr>
          <w:sz w:val="20"/>
          <w:szCs w:val="20"/>
        </w:rPr>
        <w:t>p</w:t>
      </w:r>
      <w:r w:rsidRPr="00713625">
        <w:rPr>
          <w:sz w:val="20"/>
          <w:szCs w:val="20"/>
          <w:vertAlign w:val="subscript"/>
        </w:rPr>
        <w:t>2</w:t>
      </w:r>
      <w:r w:rsidRPr="00713625">
        <w:rPr>
          <w:sz w:val="20"/>
          <w:szCs w:val="20"/>
        </w:rPr>
        <w:t>: p value for comparing between group I and group II</w:t>
      </w:r>
      <w:r w:rsidR="003B4EBE" w:rsidRPr="00713625">
        <w:rPr>
          <w:sz w:val="20"/>
          <w:szCs w:val="20"/>
        </w:rPr>
        <w:t>I.</w:t>
      </w:r>
    </w:p>
    <w:p w:rsidR="000469D5" w:rsidRDefault="0022281D" w:rsidP="00B20211">
      <w:pPr>
        <w:snapToGrid w:val="0"/>
        <w:spacing w:before="0" w:after="0" w:line="240" w:lineRule="auto"/>
        <w:ind w:firstLine="0"/>
        <w:rPr>
          <w:sz w:val="20"/>
          <w:szCs w:val="20"/>
        </w:rPr>
      </w:pPr>
      <w:r w:rsidRPr="0022281D">
        <w:rPr>
          <w:noProof/>
          <w:sz w:val="20"/>
          <w:szCs w:val="20"/>
          <w:lang w:eastAsia="en-GB"/>
        </w:rPr>
        <w:drawing>
          <wp:anchor distT="0" distB="0" distL="114300" distR="114300" simplePos="0" relativeHeight="251660800" behindDoc="1" locked="0" layoutInCell="1" allowOverlap="1">
            <wp:simplePos x="0" y="0"/>
            <wp:positionH relativeFrom="margin">
              <wp:align>right</wp:align>
            </wp:positionH>
            <wp:positionV relativeFrom="paragraph">
              <wp:posOffset>174625</wp:posOffset>
            </wp:positionV>
            <wp:extent cx="5943600" cy="3457575"/>
            <wp:effectExtent l="0" t="0" r="0" b="9525"/>
            <wp:wrapTight wrapText="bothSides">
              <wp:wrapPolygon edited="0">
                <wp:start x="0" y="0"/>
                <wp:lineTo x="0" y="21540"/>
                <wp:lineTo x="21531" y="21540"/>
                <wp:lineTo x="21531" y="0"/>
                <wp:lineTo x="0" y="0"/>
              </wp:wrapPolygon>
            </wp:wrapTight>
            <wp:docPr id="5" name="Picture 5" descr="C:\Users\dr.emansaied\Desktop\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emansaied\Desktop\Figure 2.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57575"/>
                    </a:xfrm>
                    <a:prstGeom prst="rect">
                      <a:avLst/>
                    </a:prstGeom>
                    <a:noFill/>
                    <a:ln>
                      <a:noFill/>
                    </a:ln>
                  </pic:spPr>
                </pic:pic>
              </a:graphicData>
            </a:graphic>
          </wp:anchor>
        </w:drawing>
      </w:r>
      <w:r w:rsidR="00277B7B" w:rsidRPr="00713625">
        <w:rPr>
          <w:sz w:val="20"/>
          <w:szCs w:val="20"/>
        </w:rPr>
        <w:t>p</w:t>
      </w:r>
      <w:r w:rsidR="00277B7B" w:rsidRPr="00713625">
        <w:rPr>
          <w:sz w:val="20"/>
          <w:szCs w:val="20"/>
          <w:vertAlign w:val="subscript"/>
        </w:rPr>
        <w:t>3</w:t>
      </w:r>
      <w:r w:rsidR="00277B7B" w:rsidRPr="00713625">
        <w:rPr>
          <w:sz w:val="20"/>
          <w:szCs w:val="20"/>
        </w:rPr>
        <w:t>: p value for comparing between group II and group III, *: Statistically significant at p ≤ 0.05</w:t>
      </w:r>
      <w:r w:rsidR="00994AC0" w:rsidRPr="00713625">
        <w:rPr>
          <w:sz w:val="20"/>
          <w:szCs w:val="20"/>
        </w:rPr>
        <w:t>.</w:t>
      </w:r>
    </w:p>
    <w:p w:rsidR="003A2196" w:rsidRPr="00713625" w:rsidRDefault="009C3B9C" w:rsidP="00B20211">
      <w:pPr>
        <w:snapToGrid w:val="0"/>
        <w:spacing w:before="0" w:after="0" w:line="240" w:lineRule="auto"/>
        <w:ind w:firstLine="0"/>
        <w:rPr>
          <w:noProof/>
          <w:sz w:val="20"/>
          <w:szCs w:val="20"/>
        </w:rPr>
      </w:pPr>
      <w:r w:rsidRPr="00713625">
        <w:rPr>
          <w:b/>
          <w:bCs/>
          <w:sz w:val="20"/>
          <w:szCs w:val="20"/>
          <w:lang w:bidi="ar-EG"/>
        </w:rPr>
        <w:lastRenderedPageBreak/>
        <w:t>Figure (2):</w:t>
      </w:r>
      <w:r w:rsidRPr="00713625">
        <w:rPr>
          <w:noProof/>
          <w:sz w:val="20"/>
          <w:szCs w:val="20"/>
        </w:rPr>
        <w:t xml:space="preserve"> Immunohistochemical expression of prohibitin in: (A) Fibrocystic change (group 1) showing weak (+1) prohibitin expression(Immunoperoxidase X400), (B) fibroadenoma (group 1) showing weak (+1) prohibitin expression (Immunoperoxidase X400), (C) IDC-NOS grade II stage I (group 2) showing moderate(+2) prohibitin expression (Immunoperoxidase X400), and (D) IDC-NOS grade III stage III (group 3) showing strong (+3) prohibitin expression (Immunoperoxidase X400).</w:t>
      </w:r>
    </w:p>
    <w:p w:rsidR="00713625" w:rsidRPr="00713625" w:rsidRDefault="00713625" w:rsidP="00B20211">
      <w:pPr>
        <w:snapToGrid w:val="0"/>
        <w:spacing w:before="0" w:after="0" w:line="240" w:lineRule="auto"/>
        <w:ind w:firstLine="425"/>
        <w:rPr>
          <w:sz w:val="20"/>
          <w:szCs w:val="20"/>
          <w:lang w:eastAsia="zh-CN" w:bidi="ar-EG"/>
        </w:rPr>
        <w:sectPr w:rsidR="00713625" w:rsidRPr="00713625" w:rsidSect="001A48D2">
          <w:headerReference w:type="default" r:id="rId22"/>
          <w:footerReference w:type="default" r:id="rId23"/>
          <w:endnotePr>
            <w:numFmt w:val="decimal"/>
          </w:endnotePr>
          <w:type w:val="continuous"/>
          <w:pgSz w:w="12242" w:h="15842" w:code="1"/>
          <w:pgMar w:top="1440" w:right="1440" w:bottom="1440" w:left="1440" w:header="720" w:footer="720" w:gutter="0"/>
          <w:cols w:space="720"/>
          <w:docGrid w:linePitch="360"/>
        </w:sectPr>
      </w:pPr>
    </w:p>
    <w:p w:rsidR="00414E9A" w:rsidRPr="00713625" w:rsidRDefault="009662A0" w:rsidP="00B20211">
      <w:pPr>
        <w:snapToGrid w:val="0"/>
        <w:spacing w:before="0" w:after="0" w:line="240" w:lineRule="auto"/>
        <w:ind w:firstLine="425"/>
        <w:rPr>
          <w:sz w:val="20"/>
          <w:szCs w:val="20"/>
        </w:rPr>
      </w:pPr>
      <w:r w:rsidRPr="00713625">
        <w:rPr>
          <w:sz w:val="20"/>
          <w:szCs w:val="20"/>
          <w:lang w:bidi="ar-EG"/>
        </w:rPr>
        <w:lastRenderedPageBreak/>
        <w:t>A</w:t>
      </w:r>
      <w:r w:rsidR="009A016A" w:rsidRPr="00713625">
        <w:rPr>
          <w:sz w:val="20"/>
          <w:szCs w:val="20"/>
          <w:lang w:bidi="ar-EG"/>
        </w:rPr>
        <w:t xml:space="preserve"> significant positive </w:t>
      </w:r>
      <w:r w:rsidRPr="00713625">
        <w:rPr>
          <w:sz w:val="20"/>
          <w:szCs w:val="20"/>
          <w:lang w:bidi="ar-EG"/>
        </w:rPr>
        <w:t>correlat</w:t>
      </w:r>
      <w:bookmarkStart w:id="0" w:name="_GoBack"/>
      <w:bookmarkEnd w:id="0"/>
      <w:r w:rsidRPr="00713625">
        <w:rPr>
          <w:sz w:val="20"/>
          <w:szCs w:val="20"/>
          <w:lang w:bidi="ar-EG"/>
        </w:rPr>
        <w:t>ion was found</w:t>
      </w:r>
      <w:r w:rsidR="009A016A" w:rsidRPr="00713625">
        <w:rPr>
          <w:sz w:val="20"/>
          <w:szCs w:val="20"/>
          <w:lang w:bidi="ar-EG"/>
        </w:rPr>
        <w:t xml:space="preserve"> between</w:t>
      </w:r>
      <w:r w:rsidR="00282387" w:rsidRPr="00713625">
        <w:rPr>
          <w:sz w:val="20"/>
          <w:szCs w:val="20"/>
        </w:rPr>
        <w:t xml:space="preserve"> IL-33 </w:t>
      </w:r>
      <w:r w:rsidR="009818A9" w:rsidRPr="00713625">
        <w:rPr>
          <w:sz w:val="20"/>
          <w:szCs w:val="20"/>
        </w:rPr>
        <w:t xml:space="preserve">immunohistochemical </w:t>
      </w:r>
      <w:r w:rsidR="00282387" w:rsidRPr="00713625">
        <w:rPr>
          <w:sz w:val="20"/>
          <w:szCs w:val="20"/>
        </w:rPr>
        <w:t xml:space="preserve">expression and </w:t>
      </w:r>
      <w:r w:rsidR="009818A9" w:rsidRPr="00713625">
        <w:rPr>
          <w:sz w:val="20"/>
          <w:szCs w:val="20"/>
        </w:rPr>
        <w:t>serum levels of IL-33</w:t>
      </w:r>
      <w:r w:rsidRPr="00713625">
        <w:rPr>
          <w:sz w:val="20"/>
          <w:szCs w:val="20"/>
          <w:lang w:bidi="ar-EG"/>
        </w:rPr>
        <w:t xml:space="preserve">in all the studied groups </w:t>
      </w:r>
      <w:r w:rsidR="009A016A" w:rsidRPr="00713625">
        <w:rPr>
          <w:sz w:val="20"/>
          <w:szCs w:val="20"/>
          <w:lang w:bidi="ar-EG"/>
        </w:rPr>
        <w:t>(</w:t>
      </w:r>
      <w:r w:rsidR="004F4F24" w:rsidRPr="00713625">
        <w:rPr>
          <w:sz w:val="20"/>
          <w:szCs w:val="20"/>
        </w:rPr>
        <w:t>p</w:t>
      </w:r>
      <w:r w:rsidR="009A016A" w:rsidRPr="00713625">
        <w:rPr>
          <w:sz w:val="20"/>
          <w:szCs w:val="20"/>
          <w:lang w:bidi="ar-EG"/>
        </w:rPr>
        <w:t>&lt;0.05).</w:t>
      </w:r>
      <w:r w:rsidRPr="00713625">
        <w:rPr>
          <w:sz w:val="20"/>
          <w:szCs w:val="20"/>
          <w:lang w:bidi="ar-EG"/>
        </w:rPr>
        <w:t xml:space="preserve">There was also a significant positive </w:t>
      </w:r>
      <w:r w:rsidRPr="00713625">
        <w:rPr>
          <w:sz w:val="20"/>
          <w:szCs w:val="20"/>
          <w:lang w:bidi="ar-EG"/>
        </w:rPr>
        <w:lastRenderedPageBreak/>
        <w:t xml:space="preserve">correlation between </w:t>
      </w:r>
      <w:r w:rsidRPr="00713625">
        <w:rPr>
          <w:sz w:val="20"/>
          <w:szCs w:val="20"/>
        </w:rPr>
        <w:t xml:space="preserve">IL-33 and PHB immunohistochemical expression in malignant breast tumours </w:t>
      </w:r>
      <w:r w:rsidRPr="00713625">
        <w:rPr>
          <w:sz w:val="20"/>
          <w:szCs w:val="20"/>
          <w:lang w:bidi="ar-EG"/>
        </w:rPr>
        <w:t>(</w:t>
      </w:r>
      <w:r w:rsidR="004F4F24" w:rsidRPr="00713625">
        <w:rPr>
          <w:sz w:val="20"/>
          <w:szCs w:val="20"/>
        </w:rPr>
        <w:t>p</w:t>
      </w:r>
      <w:r w:rsidRPr="00713625">
        <w:rPr>
          <w:sz w:val="20"/>
          <w:szCs w:val="20"/>
          <w:lang w:bidi="ar-EG"/>
        </w:rPr>
        <w:t>&lt;0.05).</w:t>
      </w:r>
      <w:r w:rsidR="00CD3EA3" w:rsidRPr="00713625">
        <w:rPr>
          <w:sz w:val="20"/>
          <w:szCs w:val="20"/>
        </w:rPr>
        <w:t xml:space="preserve">Other correlations are represented in table </w:t>
      </w:r>
      <w:r w:rsidR="00BD6C72" w:rsidRPr="00713625">
        <w:rPr>
          <w:sz w:val="20"/>
          <w:szCs w:val="20"/>
        </w:rPr>
        <w:t>(</w:t>
      </w:r>
      <w:r w:rsidR="00CD3EA3" w:rsidRPr="00713625">
        <w:rPr>
          <w:sz w:val="20"/>
          <w:szCs w:val="20"/>
        </w:rPr>
        <w:t>3</w:t>
      </w:r>
      <w:r w:rsidR="00BD6C72" w:rsidRPr="00713625">
        <w:rPr>
          <w:sz w:val="20"/>
          <w:szCs w:val="20"/>
        </w:rPr>
        <w:t>)</w:t>
      </w:r>
      <w:r w:rsidR="00CD3EA3" w:rsidRPr="00713625">
        <w:rPr>
          <w:sz w:val="20"/>
          <w:szCs w:val="20"/>
        </w:rPr>
        <w:t>.</w:t>
      </w:r>
    </w:p>
    <w:p w:rsidR="00B20211" w:rsidRPr="00713625" w:rsidRDefault="00B20211" w:rsidP="00B20211">
      <w:pPr>
        <w:snapToGrid w:val="0"/>
        <w:spacing w:before="0" w:after="0" w:line="240" w:lineRule="auto"/>
        <w:ind w:firstLine="0"/>
        <w:rPr>
          <w:b/>
          <w:bCs/>
          <w:sz w:val="20"/>
          <w:szCs w:val="20"/>
          <w:lang w:val="en-US"/>
        </w:rPr>
        <w:sectPr w:rsidR="00B20211" w:rsidRPr="00713625" w:rsidSect="003B4EBE">
          <w:headerReference w:type="default" r:id="rId24"/>
          <w:footerReference w:type="default" r:id="rId25"/>
          <w:endnotePr>
            <w:numFmt w:val="decimal"/>
          </w:endnotePr>
          <w:type w:val="continuous"/>
          <w:pgSz w:w="12242" w:h="15842" w:code="1"/>
          <w:pgMar w:top="1440" w:right="1440" w:bottom="1440" w:left="1440" w:header="720" w:footer="720" w:gutter="0"/>
          <w:cols w:num="2" w:space="600"/>
          <w:docGrid w:linePitch="360"/>
        </w:sectPr>
      </w:pPr>
    </w:p>
    <w:p w:rsidR="003A2196" w:rsidRPr="00713625" w:rsidRDefault="003A2196" w:rsidP="00B20211">
      <w:pPr>
        <w:snapToGrid w:val="0"/>
        <w:spacing w:before="0" w:after="0" w:line="240" w:lineRule="auto"/>
        <w:ind w:firstLine="0"/>
        <w:jc w:val="center"/>
        <w:rPr>
          <w:b/>
          <w:bCs/>
          <w:sz w:val="20"/>
          <w:szCs w:val="20"/>
          <w:lang w:val="en-US"/>
        </w:rPr>
      </w:pPr>
    </w:p>
    <w:p w:rsidR="00713625" w:rsidRDefault="00713625" w:rsidP="00B20211">
      <w:pPr>
        <w:snapToGrid w:val="0"/>
        <w:spacing w:before="0" w:after="0" w:line="240" w:lineRule="auto"/>
        <w:ind w:firstLine="0"/>
        <w:rPr>
          <w:b/>
          <w:bCs/>
          <w:sz w:val="20"/>
          <w:szCs w:val="20"/>
          <w:lang w:eastAsia="zh-CN"/>
        </w:rPr>
      </w:pPr>
    </w:p>
    <w:p w:rsidR="00A1632B" w:rsidRPr="00713625" w:rsidRDefault="007C4B46" w:rsidP="00B20211">
      <w:pPr>
        <w:snapToGrid w:val="0"/>
        <w:spacing w:before="0" w:after="0" w:line="240" w:lineRule="auto"/>
        <w:ind w:firstLine="0"/>
        <w:rPr>
          <w:b/>
          <w:bCs/>
          <w:sz w:val="20"/>
          <w:szCs w:val="20"/>
        </w:rPr>
      </w:pPr>
      <w:r w:rsidRPr="00713625">
        <w:rPr>
          <w:b/>
          <w:bCs/>
          <w:sz w:val="20"/>
          <w:szCs w:val="20"/>
        </w:rPr>
        <w:t>Table (</w:t>
      </w:r>
      <w:r w:rsidR="00CD3EA3" w:rsidRPr="00713625">
        <w:rPr>
          <w:b/>
          <w:bCs/>
          <w:sz w:val="20"/>
          <w:szCs w:val="20"/>
        </w:rPr>
        <w:t xml:space="preserve">3): </w:t>
      </w:r>
      <w:r w:rsidRPr="00713625">
        <w:rPr>
          <w:b/>
          <w:bCs/>
          <w:sz w:val="20"/>
          <w:szCs w:val="20"/>
        </w:rPr>
        <w:t>Correlation</w:t>
      </w:r>
      <w:r w:rsidR="00CD3EA3" w:rsidRPr="00713625">
        <w:rPr>
          <w:b/>
          <w:bCs/>
          <w:sz w:val="20"/>
          <w:szCs w:val="20"/>
        </w:rPr>
        <w:t>s</w:t>
      </w:r>
      <w:r w:rsidRPr="00713625">
        <w:rPr>
          <w:b/>
          <w:bCs/>
          <w:sz w:val="20"/>
          <w:szCs w:val="20"/>
        </w:rPr>
        <w:t xml:space="preserve"> between </w:t>
      </w:r>
      <w:r w:rsidR="00CD3EA3" w:rsidRPr="00713625">
        <w:rPr>
          <w:b/>
          <w:bCs/>
          <w:sz w:val="20"/>
          <w:szCs w:val="20"/>
        </w:rPr>
        <w:t xml:space="preserve">serum IL-33, ST2 and </w:t>
      </w:r>
      <w:r w:rsidR="009662A0" w:rsidRPr="00713625">
        <w:rPr>
          <w:b/>
          <w:bCs/>
          <w:sz w:val="20"/>
          <w:szCs w:val="20"/>
        </w:rPr>
        <w:t>immunohistochemical</w:t>
      </w:r>
      <w:r w:rsidR="00CD3EA3" w:rsidRPr="00713625">
        <w:rPr>
          <w:b/>
          <w:bCs/>
          <w:sz w:val="20"/>
          <w:szCs w:val="20"/>
        </w:rPr>
        <w:t xml:space="preserve"> expression of </w:t>
      </w:r>
      <w:r w:rsidR="009662A0" w:rsidRPr="00713625">
        <w:rPr>
          <w:b/>
          <w:bCs/>
          <w:sz w:val="20"/>
          <w:szCs w:val="20"/>
        </w:rPr>
        <w:t xml:space="preserve">both </w:t>
      </w:r>
      <w:r w:rsidR="00CD3EA3" w:rsidRPr="00713625">
        <w:rPr>
          <w:b/>
          <w:bCs/>
          <w:sz w:val="20"/>
          <w:szCs w:val="20"/>
        </w:rPr>
        <w:t>IL-33</w:t>
      </w:r>
      <w:r w:rsidR="009662A0" w:rsidRPr="00713625">
        <w:rPr>
          <w:b/>
          <w:bCs/>
          <w:sz w:val="20"/>
          <w:szCs w:val="20"/>
        </w:rPr>
        <w:t xml:space="preserve"> and prohibitin in the studied groups.</w:t>
      </w:r>
    </w:p>
    <w:tbl>
      <w:tblPr>
        <w:tblW w:w="9742"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Layout w:type="fixed"/>
        <w:tblCellMar>
          <w:left w:w="28" w:type="dxa"/>
          <w:right w:w="28" w:type="dxa"/>
        </w:tblCellMar>
        <w:tblLook w:val="04A0"/>
      </w:tblPr>
      <w:tblGrid>
        <w:gridCol w:w="2932"/>
        <w:gridCol w:w="853"/>
        <w:gridCol w:w="851"/>
        <w:gridCol w:w="851"/>
        <w:gridCol w:w="851"/>
        <w:gridCol w:w="851"/>
        <w:gridCol w:w="851"/>
        <w:gridCol w:w="851"/>
        <w:gridCol w:w="851"/>
      </w:tblGrid>
      <w:tr w:rsidR="00075C22" w:rsidRPr="00713625" w:rsidTr="00B20211">
        <w:trPr>
          <w:jc w:val="center"/>
        </w:trPr>
        <w:tc>
          <w:tcPr>
            <w:tcW w:w="2932" w:type="dxa"/>
            <w:tcBorders>
              <w:top w:val="thinThickSmallGap" w:sz="18" w:space="0" w:color="auto"/>
              <w:left w:val="thinThickSmallGap" w:sz="18" w:space="0" w:color="auto"/>
              <w:bottom w:val="nil"/>
              <w:right w:val="single" w:sz="12" w:space="0" w:color="auto"/>
            </w:tcBorders>
            <w:shd w:val="clear" w:color="auto" w:fill="auto"/>
            <w:vAlign w:val="center"/>
          </w:tcPr>
          <w:p w:rsidR="00065C10" w:rsidRPr="00713625" w:rsidRDefault="00065C10" w:rsidP="00B20211">
            <w:pPr>
              <w:snapToGrid w:val="0"/>
              <w:spacing w:before="0" w:after="0" w:line="240" w:lineRule="auto"/>
              <w:ind w:firstLine="0"/>
              <w:rPr>
                <w:b/>
                <w:bCs/>
                <w:color w:val="000000"/>
                <w:sz w:val="20"/>
                <w:szCs w:val="20"/>
                <w:lang w:val="en-US"/>
              </w:rPr>
            </w:pPr>
          </w:p>
        </w:tc>
        <w:tc>
          <w:tcPr>
            <w:tcW w:w="1704" w:type="dxa"/>
            <w:gridSpan w:val="2"/>
            <w:tcBorders>
              <w:top w:val="thinThickSmallGap" w:sz="18" w:space="0" w:color="auto"/>
              <w:left w:val="single" w:sz="12" w:space="0" w:color="auto"/>
              <w:bottom w:val="single" w:sz="4" w:space="0" w:color="auto"/>
              <w:right w:val="single" w:sz="4" w:space="0" w:color="000000"/>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Group 1</w:t>
            </w:r>
          </w:p>
        </w:tc>
        <w:tc>
          <w:tcPr>
            <w:tcW w:w="1702" w:type="dxa"/>
            <w:gridSpan w:val="2"/>
            <w:tcBorders>
              <w:top w:val="thinThickSmallGap" w:sz="18" w:space="0" w:color="auto"/>
              <w:left w:val="single" w:sz="4" w:space="0" w:color="000000"/>
              <w:bottom w:val="single" w:sz="4" w:space="0" w:color="auto"/>
              <w:right w:val="single" w:sz="4" w:space="0" w:color="000000"/>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Group 2</w:t>
            </w:r>
          </w:p>
        </w:tc>
        <w:tc>
          <w:tcPr>
            <w:tcW w:w="1702" w:type="dxa"/>
            <w:gridSpan w:val="2"/>
            <w:tcBorders>
              <w:top w:val="thinThickSmallGap" w:sz="18" w:space="0" w:color="auto"/>
              <w:left w:val="single" w:sz="4" w:space="0" w:color="000000"/>
              <w:bottom w:val="single" w:sz="4" w:space="0" w:color="auto"/>
              <w:right w:val="single" w:sz="4" w:space="0" w:color="000000"/>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Group 3</w:t>
            </w:r>
          </w:p>
        </w:tc>
        <w:tc>
          <w:tcPr>
            <w:tcW w:w="1702" w:type="dxa"/>
            <w:gridSpan w:val="2"/>
            <w:tcBorders>
              <w:top w:val="thinThickSmallGap" w:sz="18" w:space="0" w:color="auto"/>
              <w:left w:val="single" w:sz="4" w:space="0" w:color="000000"/>
              <w:bottom w:val="single" w:sz="4" w:space="0" w:color="auto"/>
              <w:right w:val="thickThinSmallGap" w:sz="18" w:space="0" w:color="auto"/>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Group 4</w:t>
            </w:r>
          </w:p>
        </w:tc>
      </w:tr>
      <w:tr w:rsidR="00075C22" w:rsidRPr="00713625" w:rsidTr="00B20211">
        <w:trPr>
          <w:jc w:val="center"/>
        </w:trPr>
        <w:tc>
          <w:tcPr>
            <w:tcW w:w="2932" w:type="dxa"/>
            <w:tcBorders>
              <w:top w:val="nil"/>
              <w:left w:val="thinThickSmallGap" w:sz="18" w:space="0" w:color="auto"/>
              <w:bottom w:val="single" w:sz="12" w:space="0" w:color="auto"/>
              <w:right w:val="single" w:sz="12" w:space="0" w:color="auto"/>
            </w:tcBorders>
            <w:shd w:val="clear" w:color="auto" w:fill="auto"/>
            <w:vAlign w:val="center"/>
          </w:tcPr>
          <w:p w:rsidR="00065C10" w:rsidRPr="00713625" w:rsidRDefault="00065C10" w:rsidP="00B20211">
            <w:pPr>
              <w:snapToGrid w:val="0"/>
              <w:spacing w:before="0" w:after="0" w:line="240" w:lineRule="auto"/>
              <w:ind w:firstLine="0"/>
              <w:rPr>
                <w:b/>
                <w:bCs/>
                <w:color w:val="000000"/>
                <w:sz w:val="20"/>
                <w:szCs w:val="20"/>
                <w:lang w:val="en-US"/>
              </w:rPr>
            </w:pPr>
          </w:p>
        </w:tc>
        <w:tc>
          <w:tcPr>
            <w:tcW w:w="853"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r</w:t>
            </w:r>
            <w:r w:rsidRPr="00713625">
              <w:rPr>
                <w:b/>
                <w:bCs/>
                <w:color w:val="000000"/>
                <w:sz w:val="20"/>
                <w:szCs w:val="20"/>
                <w:vertAlign w:val="subscript"/>
                <w:lang w:val="en-US"/>
              </w:rPr>
              <w:t>s</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p</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r</w:t>
            </w:r>
            <w:r w:rsidRPr="00713625">
              <w:rPr>
                <w:b/>
                <w:bCs/>
                <w:color w:val="000000"/>
                <w:sz w:val="20"/>
                <w:szCs w:val="20"/>
                <w:vertAlign w:val="subscript"/>
                <w:lang w:val="en-US"/>
              </w:rPr>
              <w:t>s</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p</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r</w:t>
            </w:r>
            <w:r w:rsidRPr="00713625">
              <w:rPr>
                <w:b/>
                <w:bCs/>
                <w:color w:val="000000"/>
                <w:sz w:val="20"/>
                <w:szCs w:val="20"/>
                <w:vertAlign w:val="subscript"/>
                <w:lang w:val="en-US"/>
              </w:rPr>
              <w:t>s</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p</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r</w:t>
            </w:r>
            <w:r w:rsidRPr="00713625">
              <w:rPr>
                <w:b/>
                <w:bCs/>
                <w:color w:val="000000"/>
                <w:sz w:val="20"/>
                <w:szCs w:val="20"/>
                <w:vertAlign w:val="subscript"/>
                <w:lang w:val="en-US"/>
              </w:rPr>
              <w:t>s</w:t>
            </w:r>
          </w:p>
        </w:tc>
        <w:tc>
          <w:tcPr>
            <w:tcW w:w="851" w:type="dxa"/>
            <w:tcBorders>
              <w:top w:val="single" w:sz="4" w:space="0" w:color="auto"/>
              <w:left w:val="single" w:sz="4" w:space="0" w:color="auto"/>
              <w:bottom w:val="single" w:sz="12" w:space="0" w:color="auto"/>
              <w:right w:val="thickThinSmallGap" w:sz="18" w:space="0" w:color="auto"/>
            </w:tcBorders>
            <w:shd w:val="clear" w:color="auto" w:fill="auto"/>
            <w:vAlign w:val="center"/>
            <w:hideMark/>
          </w:tcPr>
          <w:p w:rsidR="00065C10" w:rsidRPr="00713625" w:rsidRDefault="00065C10" w:rsidP="007F52EA">
            <w:pPr>
              <w:snapToGrid w:val="0"/>
              <w:spacing w:before="0" w:after="0" w:line="240" w:lineRule="auto"/>
              <w:ind w:firstLine="0"/>
              <w:jc w:val="center"/>
              <w:rPr>
                <w:b/>
                <w:bCs/>
                <w:color w:val="000000"/>
                <w:sz w:val="20"/>
                <w:szCs w:val="20"/>
                <w:lang w:val="en-US"/>
              </w:rPr>
            </w:pPr>
            <w:r w:rsidRPr="00713625">
              <w:rPr>
                <w:b/>
                <w:bCs/>
                <w:color w:val="000000"/>
                <w:sz w:val="20"/>
                <w:szCs w:val="20"/>
                <w:lang w:val="en-US"/>
              </w:rPr>
              <w:t>p</w:t>
            </w:r>
          </w:p>
        </w:tc>
      </w:tr>
      <w:tr w:rsidR="00075C22" w:rsidRPr="00713625" w:rsidTr="00B20211">
        <w:trPr>
          <w:jc w:val="center"/>
        </w:trPr>
        <w:tc>
          <w:tcPr>
            <w:tcW w:w="2932" w:type="dxa"/>
            <w:tcBorders>
              <w:top w:val="single" w:sz="12" w:space="0" w:color="auto"/>
              <w:left w:val="thinThickSmallGap" w:sz="18" w:space="0" w:color="auto"/>
              <w:bottom w:val="single" w:sz="4" w:space="0" w:color="auto"/>
              <w:right w:val="single" w:sz="12"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sIL-33 vs. sST2</w:t>
            </w:r>
          </w:p>
        </w:tc>
        <w:tc>
          <w:tcPr>
            <w:tcW w:w="853"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0.291</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0.293</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0.467</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0.079</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-0.231</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0.408</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0.533</w:t>
            </w:r>
            <w:r w:rsidRPr="00713625">
              <w:rPr>
                <w:color w:val="000000"/>
                <w:sz w:val="20"/>
                <w:szCs w:val="20"/>
                <w:vertAlign w:val="superscript"/>
                <w:lang w:val="en-US"/>
              </w:rPr>
              <w:t>*</w:t>
            </w:r>
          </w:p>
        </w:tc>
        <w:tc>
          <w:tcPr>
            <w:tcW w:w="851" w:type="dxa"/>
            <w:tcBorders>
              <w:top w:val="single" w:sz="12" w:space="0" w:color="auto"/>
              <w:left w:val="single" w:sz="4" w:space="0" w:color="auto"/>
              <w:bottom w:val="single" w:sz="4" w:space="0" w:color="auto"/>
              <w:right w:val="thickThinSmallGap" w:sz="18"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0.041</w:t>
            </w:r>
          </w:p>
        </w:tc>
      </w:tr>
      <w:tr w:rsidR="00075C22" w:rsidRPr="00713625" w:rsidTr="00B20211">
        <w:trPr>
          <w:jc w:val="center"/>
        </w:trPr>
        <w:tc>
          <w:tcPr>
            <w:tcW w:w="2932" w:type="dxa"/>
            <w:tcBorders>
              <w:top w:val="single" w:sz="4" w:space="0" w:color="auto"/>
              <w:left w:val="thinThickSmallGap" w:sz="18" w:space="0" w:color="auto"/>
              <w:bottom w:val="single" w:sz="4" w:space="0" w:color="auto"/>
              <w:right w:val="single" w:sz="12"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sIL-33 vs. IL-33 (IHC)</w:t>
            </w:r>
          </w:p>
        </w:tc>
        <w:tc>
          <w:tcPr>
            <w:tcW w:w="853"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0.823</w:t>
            </w:r>
            <w:r w:rsidRPr="00713625">
              <w:rPr>
                <w:color w:val="000000"/>
                <w:sz w:val="20"/>
                <w:szCs w:val="20"/>
                <w:vertAlign w:val="superscript"/>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&lt;0.001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0.954</w:t>
            </w:r>
            <w:r w:rsidRPr="00713625">
              <w:rPr>
                <w:color w:val="000000"/>
                <w:sz w:val="20"/>
                <w:szCs w:val="20"/>
                <w:vertAlign w:val="superscript"/>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&lt;0.001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0.754</w:t>
            </w:r>
            <w:r w:rsidRPr="00713625">
              <w:rPr>
                <w:color w:val="000000"/>
                <w:sz w:val="20"/>
                <w:szCs w:val="20"/>
                <w:vertAlign w:val="superscript"/>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0.695</w:t>
            </w:r>
            <w:r w:rsidRPr="00713625">
              <w:rPr>
                <w:color w:val="000000"/>
                <w:sz w:val="20"/>
                <w:szCs w:val="20"/>
                <w:vertAlign w:val="superscript"/>
                <w:lang w:val="en-US"/>
              </w:rPr>
              <w:t>*</w:t>
            </w:r>
          </w:p>
        </w:tc>
        <w:tc>
          <w:tcPr>
            <w:tcW w:w="851" w:type="dxa"/>
            <w:tcBorders>
              <w:top w:val="single" w:sz="4" w:space="0" w:color="auto"/>
              <w:left w:val="single" w:sz="4" w:space="0" w:color="auto"/>
              <w:bottom w:val="single" w:sz="4" w:space="0" w:color="auto"/>
              <w:right w:val="thickThinSmallGap" w:sz="18"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0.004</w:t>
            </w:r>
          </w:p>
        </w:tc>
      </w:tr>
      <w:tr w:rsidR="00075C22" w:rsidRPr="00713625" w:rsidTr="00B20211">
        <w:trPr>
          <w:jc w:val="center"/>
        </w:trPr>
        <w:tc>
          <w:tcPr>
            <w:tcW w:w="2932" w:type="dxa"/>
            <w:tcBorders>
              <w:top w:val="single" w:sz="4" w:space="0" w:color="auto"/>
              <w:left w:val="thinThickSmallGap" w:sz="18" w:space="0" w:color="auto"/>
              <w:bottom w:val="single" w:sz="4" w:space="0" w:color="auto"/>
              <w:right w:val="single" w:sz="12" w:space="0" w:color="auto"/>
            </w:tcBorders>
            <w:shd w:val="clear" w:color="auto" w:fill="auto"/>
            <w:vAlign w:val="center"/>
            <w:hideMark/>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sST2 vs. IL-33 (IHC)</w:t>
            </w:r>
          </w:p>
        </w:tc>
        <w:tc>
          <w:tcPr>
            <w:tcW w:w="853"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0.197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0.481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0.388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0.153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-0.360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0.187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0.116</w:t>
            </w:r>
          </w:p>
        </w:tc>
        <w:tc>
          <w:tcPr>
            <w:tcW w:w="851" w:type="dxa"/>
            <w:tcBorders>
              <w:top w:val="single" w:sz="4" w:space="0" w:color="auto"/>
              <w:left w:val="single" w:sz="4" w:space="0" w:color="auto"/>
              <w:bottom w:val="single" w:sz="4" w:space="0" w:color="auto"/>
              <w:right w:val="thickThinSmallGap" w:sz="18" w:space="0" w:color="auto"/>
            </w:tcBorders>
            <w:shd w:val="clear" w:color="auto" w:fill="auto"/>
            <w:vAlign w:val="center"/>
            <w:hideMark/>
          </w:tcPr>
          <w:p w:rsidR="00065C10" w:rsidRPr="00713625" w:rsidRDefault="00065C10" w:rsidP="00B20211">
            <w:pPr>
              <w:snapToGrid w:val="0"/>
              <w:spacing w:before="0" w:after="0" w:line="240" w:lineRule="auto"/>
              <w:ind w:firstLine="0"/>
              <w:rPr>
                <w:color w:val="000000"/>
                <w:sz w:val="20"/>
                <w:szCs w:val="20"/>
                <w:lang w:val="en-US"/>
              </w:rPr>
            </w:pPr>
            <w:r w:rsidRPr="00713625">
              <w:rPr>
                <w:color w:val="000000"/>
                <w:sz w:val="20"/>
                <w:szCs w:val="20"/>
                <w:lang w:val="en-US"/>
              </w:rPr>
              <w:t>0.681</w:t>
            </w:r>
          </w:p>
        </w:tc>
      </w:tr>
      <w:tr w:rsidR="00075C22" w:rsidRPr="00713625" w:rsidTr="00B20211">
        <w:trPr>
          <w:jc w:val="center"/>
        </w:trPr>
        <w:tc>
          <w:tcPr>
            <w:tcW w:w="2932" w:type="dxa"/>
            <w:tcBorders>
              <w:top w:val="single" w:sz="4" w:space="0" w:color="auto"/>
              <w:left w:val="thinThickSmallGap" w:sz="18" w:space="0" w:color="auto"/>
              <w:bottom w:val="single" w:sz="4" w:space="0" w:color="auto"/>
              <w:right w:val="single" w:sz="12" w:space="0" w:color="auto"/>
            </w:tcBorders>
            <w:shd w:val="clear" w:color="auto" w:fill="auto"/>
            <w:vAlign w:val="center"/>
          </w:tcPr>
          <w:p w:rsidR="00065C10" w:rsidRPr="00713625" w:rsidRDefault="00065C10" w:rsidP="00B20211">
            <w:pPr>
              <w:snapToGrid w:val="0"/>
              <w:spacing w:before="0" w:after="0" w:line="240" w:lineRule="auto"/>
              <w:ind w:firstLine="0"/>
              <w:rPr>
                <w:b/>
                <w:bCs/>
                <w:color w:val="000000"/>
                <w:sz w:val="20"/>
                <w:szCs w:val="20"/>
                <w:lang w:val="en-US"/>
              </w:rPr>
            </w:pPr>
            <w:r w:rsidRPr="00713625">
              <w:rPr>
                <w:b/>
                <w:bCs/>
                <w:color w:val="000000"/>
                <w:sz w:val="20"/>
                <w:szCs w:val="20"/>
                <w:lang w:val="en-US"/>
              </w:rPr>
              <w:t>sST2 vs.</w:t>
            </w:r>
            <w:r w:rsidRPr="00713625">
              <w:rPr>
                <w:b/>
                <w:bCs/>
                <w:color w:val="000000"/>
                <w:sz w:val="20"/>
                <w:szCs w:val="20"/>
                <w:lang w:val="en-US" w:bidi="ar-EG"/>
              </w:rPr>
              <w:t>prohibitin (IHC)</w:t>
            </w:r>
          </w:p>
        </w:tc>
        <w:tc>
          <w:tcPr>
            <w:tcW w:w="853" w:type="dxa"/>
            <w:tcBorders>
              <w:top w:val="single" w:sz="4" w:space="0" w:color="auto"/>
              <w:left w:val="single" w:sz="12"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0.119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0.390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0.151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-0.193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0.491</w:t>
            </w:r>
          </w:p>
        </w:tc>
        <w:tc>
          <w:tcPr>
            <w:tcW w:w="851" w:type="dxa"/>
            <w:tcBorders>
              <w:top w:val="single" w:sz="4" w:space="0" w:color="auto"/>
              <w:left w:val="single" w:sz="4" w:space="0" w:color="auto"/>
              <w:bottom w:val="single" w:sz="4" w:space="0" w:color="auto"/>
              <w:right w:val="single" w:sz="4" w:space="0" w:color="auto"/>
            </w:tcBorders>
            <w:shd w:val="clear" w:color="auto" w:fill="A6A6A6"/>
            <w:vAlign w:val="center"/>
          </w:tcPr>
          <w:p w:rsidR="00065C10" w:rsidRPr="00713625" w:rsidRDefault="00065C10" w:rsidP="00B20211">
            <w:pPr>
              <w:snapToGrid w:val="0"/>
              <w:spacing w:before="0" w:after="0" w:line="240" w:lineRule="auto"/>
              <w:ind w:firstLine="0"/>
              <w:rPr>
                <w:color w:val="000000"/>
                <w:sz w:val="20"/>
                <w:szCs w:val="20"/>
                <w:lang w:val="en-US"/>
              </w:rPr>
            </w:pPr>
          </w:p>
        </w:tc>
        <w:tc>
          <w:tcPr>
            <w:tcW w:w="851" w:type="dxa"/>
            <w:tcBorders>
              <w:top w:val="single" w:sz="4" w:space="0" w:color="auto"/>
              <w:left w:val="single" w:sz="4" w:space="0" w:color="auto"/>
              <w:bottom w:val="single" w:sz="4" w:space="0" w:color="auto"/>
              <w:right w:val="thickThinSmallGap" w:sz="18" w:space="0" w:color="auto"/>
            </w:tcBorders>
            <w:shd w:val="clear" w:color="auto" w:fill="A6A6A6"/>
            <w:vAlign w:val="center"/>
          </w:tcPr>
          <w:p w:rsidR="00065C10" w:rsidRPr="00713625" w:rsidRDefault="00065C10" w:rsidP="00B20211">
            <w:pPr>
              <w:snapToGrid w:val="0"/>
              <w:spacing w:before="0" w:after="0" w:line="240" w:lineRule="auto"/>
              <w:ind w:firstLine="0"/>
              <w:rPr>
                <w:color w:val="000000"/>
                <w:sz w:val="20"/>
                <w:szCs w:val="20"/>
                <w:lang w:val="en-US"/>
              </w:rPr>
            </w:pPr>
          </w:p>
        </w:tc>
      </w:tr>
      <w:tr w:rsidR="00075C22" w:rsidRPr="00713625" w:rsidTr="00B20211">
        <w:trPr>
          <w:jc w:val="center"/>
        </w:trPr>
        <w:tc>
          <w:tcPr>
            <w:tcW w:w="2932" w:type="dxa"/>
            <w:tcBorders>
              <w:top w:val="single" w:sz="4" w:space="0" w:color="auto"/>
              <w:left w:val="thinThickSmallGap" w:sz="18" w:space="0" w:color="auto"/>
              <w:bottom w:val="thickThinSmallGap" w:sz="18" w:space="0" w:color="auto"/>
              <w:right w:val="single" w:sz="12" w:space="0" w:color="auto"/>
            </w:tcBorders>
            <w:shd w:val="clear" w:color="auto" w:fill="auto"/>
            <w:vAlign w:val="center"/>
          </w:tcPr>
          <w:p w:rsidR="00065C10" w:rsidRPr="00713625" w:rsidRDefault="00065C10" w:rsidP="00B20211">
            <w:pPr>
              <w:snapToGrid w:val="0"/>
              <w:spacing w:before="0" w:after="0" w:line="240" w:lineRule="auto"/>
              <w:ind w:firstLine="0"/>
              <w:rPr>
                <w:b/>
                <w:bCs/>
                <w:color w:val="000000"/>
                <w:sz w:val="20"/>
                <w:szCs w:val="20"/>
                <w:lang w:val="en-US" w:bidi="ar-EG"/>
              </w:rPr>
            </w:pPr>
            <w:r w:rsidRPr="00713625">
              <w:rPr>
                <w:b/>
                <w:bCs/>
                <w:color w:val="000000"/>
                <w:sz w:val="20"/>
                <w:szCs w:val="20"/>
                <w:lang w:val="en-US"/>
              </w:rPr>
              <w:t xml:space="preserve">IL-33 (IHC) </w:t>
            </w:r>
            <w:r w:rsidRPr="00713625">
              <w:rPr>
                <w:b/>
                <w:bCs/>
                <w:color w:val="000000"/>
                <w:sz w:val="20"/>
                <w:szCs w:val="20"/>
                <w:lang w:val="en-US" w:bidi="ar-EG"/>
              </w:rPr>
              <w:t>vs. prohibitin (IHC)</w:t>
            </w:r>
          </w:p>
        </w:tc>
        <w:tc>
          <w:tcPr>
            <w:tcW w:w="853" w:type="dxa"/>
            <w:tcBorders>
              <w:top w:val="single" w:sz="4" w:space="0" w:color="auto"/>
              <w:left w:val="single" w:sz="12"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0.378</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0.165</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0.776</w:t>
            </w:r>
            <w:r w:rsidRPr="00713625">
              <w:rPr>
                <w:rFonts w:eastAsia="Times New Roman"/>
                <w:color w:val="000000"/>
                <w:sz w:val="20"/>
                <w:szCs w:val="20"/>
                <w:vertAlign w:val="superscript"/>
                <w:lang w:val="en-US"/>
              </w:rPr>
              <w:t>*</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0.001</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0.707</w:t>
            </w:r>
            <w:r w:rsidRPr="00713625">
              <w:rPr>
                <w:rFonts w:eastAsia="Times New Roman"/>
                <w:color w:val="000000"/>
                <w:sz w:val="20"/>
                <w:szCs w:val="20"/>
                <w:vertAlign w:val="superscript"/>
                <w:lang w:val="en-US"/>
              </w:rPr>
              <w:t>*</w:t>
            </w:r>
          </w:p>
        </w:tc>
        <w:tc>
          <w:tcPr>
            <w:tcW w:w="851" w:type="dxa"/>
            <w:tcBorders>
              <w:top w:val="single" w:sz="4" w:space="0" w:color="auto"/>
              <w:left w:val="single" w:sz="4" w:space="0" w:color="auto"/>
              <w:bottom w:val="thickThinSmallGap" w:sz="18" w:space="0" w:color="auto"/>
              <w:right w:val="single" w:sz="4" w:space="0" w:color="auto"/>
            </w:tcBorders>
            <w:shd w:val="clear" w:color="auto" w:fill="auto"/>
            <w:vAlign w:val="center"/>
          </w:tcPr>
          <w:p w:rsidR="00065C10" w:rsidRPr="00713625" w:rsidRDefault="00065C10" w:rsidP="00B20211">
            <w:pPr>
              <w:snapToGrid w:val="0"/>
              <w:spacing w:before="0" w:after="0" w:line="240" w:lineRule="auto"/>
              <w:ind w:firstLine="0"/>
              <w:rPr>
                <w:color w:val="000000"/>
                <w:sz w:val="20"/>
                <w:szCs w:val="20"/>
                <w:lang w:val="en-US"/>
              </w:rPr>
            </w:pPr>
            <w:r w:rsidRPr="00713625">
              <w:rPr>
                <w:rFonts w:eastAsia="Times New Roman"/>
                <w:color w:val="000000"/>
                <w:sz w:val="20"/>
                <w:szCs w:val="20"/>
                <w:lang w:val="en-US"/>
              </w:rPr>
              <w:t>0.003</w:t>
            </w:r>
          </w:p>
        </w:tc>
        <w:tc>
          <w:tcPr>
            <w:tcW w:w="851" w:type="dxa"/>
            <w:tcBorders>
              <w:top w:val="single" w:sz="4" w:space="0" w:color="auto"/>
              <w:left w:val="single" w:sz="4" w:space="0" w:color="auto"/>
              <w:bottom w:val="thickThinSmallGap" w:sz="18" w:space="0" w:color="auto"/>
              <w:right w:val="single" w:sz="4" w:space="0" w:color="auto"/>
            </w:tcBorders>
            <w:shd w:val="clear" w:color="auto" w:fill="A6A6A6"/>
            <w:vAlign w:val="center"/>
          </w:tcPr>
          <w:p w:rsidR="00065C10" w:rsidRPr="00713625" w:rsidRDefault="00065C10" w:rsidP="00B20211">
            <w:pPr>
              <w:snapToGrid w:val="0"/>
              <w:spacing w:before="0" w:after="0" w:line="240" w:lineRule="auto"/>
              <w:ind w:firstLine="0"/>
              <w:rPr>
                <w:color w:val="000000"/>
                <w:sz w:val="20"/>
                <w:szCs w:val="20"/>
                <w:lang w:val="en-US"/>
              </w:rPr>
            </w:pPr>
          </w:p>
        </w:tc>
        <w:tc>
          <w:tcPr>
            <w:tcW w:w="851" w:type="dxa"/>
            <w:tcBorders>
              <w:top w:val="single" w:sz="4" w:space="0" w:color="auto"/>
              <w:left w:val="single" w:sz="4" w:space="0" w:color="auto"/>
              <w:bottom w:val="thickThinSmallGap" w:sz="18" w:space="0" w:color="auto"/>
              <w:right w:val="thickThinSmallGap" w:sz="18" w:space="0" w:color="auto"/>
            </w:tcBorders>
            <w:shd w:val="clear" w:color="auto" w:fill="A6A6A6"/>
            <w:vAlign w:val="center"/>
          </w:tcPr>
          <w:p w:rsidR="00065C10" w:rsidRPr="00713625" w:rsidRDefault="00065C10" w:rsidP="00B20211">
            <w:pPr>
              <w:snapToGrid w:val="0"/>
              <w:spacing w:before="0" w:after="0" w:line="240" w:lineRule="auto"/>
              <w:ind w:firstLine="0"/>
              <w:rPr>
                <w:color w:val="000000"/>
                <w:sz w:val="20"/>
                <w:szCs w:val="20"/>
                <w:lang w:val="en-US"/>
              </w:rPr>
            </w:pPr>
          </w:p>
        </w:tc>
      </w:tr>
    </w:tbl>
    <w:p w:rsidR="00A1632B" w:rsidRPr="00713625" w:rsidRDefault="00A1632B" w:rsidP="00B20211">
      <w:pPr>
        <w:snapToGrid w:val="0"/>
        <w:spacing w:before="0" w:after="0" w:line="240" w:lineRule="auto"/>
        <w:ind w:firstLine="0"/>
        <w:rPr>
          <w:sz w:val="20"/>
          <w:szCs w:val="20"/>
        </w:rPr>
      </w:pPr>
      <w:r w:rsidRPr="00713625">
        <w:rPr>
          <w:sz w:val="20"/>
          <w:szCs w:val="20"/>
        </w:rPr>
        <w:t>r</w:t>
      </w:r>
      <w:r w:rsidRPr="00713625">
        <w:rPr>
          <w:sz w:val="20"/>
          <w:szCs w:val="20"/>
          <w:vertAlign w:val="subscript"/>
        </w:rPr>
        <w:t>s</w:t>
      </w:r>
      <w:r w:rsidRPr="00713625">
        <w:rPr>
          <w:sz w:val="20"/>
          <w:szCs w:val="20"/>
        </w:rPr>
        <w:t>: Spearman coefficient, *: Statistically significant at p ≤ 0.05</w:t>
      </w:r>
    </w:p>
    <w:p w:rsidR="00B20211" w:rsidRDefault="00B20211" w:rsidP="00B20211">
      <w:pPr>
        <w:snapToGrid w:val="0"/>
        <w:spacing w:before="0" w:after="0" w:line="240" w:lineRule="auto"/>
        <w:ind w:firstLine="0"/>
        <w:rPr>
          <w:b/>
          <w:bCs/>
          <w:sz w:val="20"/>
          <w:szCs w:val="20"/>
          <w:lang w:val="en-US" w:eastAsia="zh-CN"/>
        </w:rPr>
      </w:pPr>
    </w:p>
    <w:p w:rsidR="00B20211" w:rsidRPr="00713625" w:rsidRDefault="00B20211" w:rsidP="00B20211">
      <w:pPr>
        <w:snapToGrid w:val="0"/>
        <w:spacing w:before="0" w:after="0" w:line="240" w:lineRule="auto"/>
        <w:ind w:firstLine="0"/>
        <w:rPr>
          <w:b/>
          <w:bCs/>
          <w:sz w:val="20"/>
          <w:szCs w:val="20"/>
          <w:lang w:val="en-US"/>
        </w:rPr>
        <w:sectPr w:rsidR="00B20211" w:rsidRPr="00713625" w:rsidSect="001A48D2">
          <w:headerReference w:type="default" r:id="rId26"/>
          <w:footerReference w:type="default" r:id="rId27"/>
          <w:endnotePr>
            <w:numFmt w:val="decimal"/>
          </w:endnotePr>
          <w:type w:val="continuous"/>
          <w:pgSz w:w="12242" w:h="15842" w:code="1"/>
          <w:pgMar w:top="1440" w:right="1440" w:bottom="1440" w:left="1440" w:header="720" w:footer="720" w:gutter="0"/>
          <w:cols w:space="720"/>
          <w:docGrid w:linePitch="360"/>
        </w:sectPr>
      </w:pPr>
    </w:p>
    <w:p w:rsidR="00EF0153" w:rsidRPr="00713625" w:rsidRDefault="00B20211" w:rsidP="00B20211">
      <w:pPr>
        <w:snapToGrid w:val="0"/>
        <w:spacing w:before="0" w:after="0" w:line="240" w:lineRule="auto"/>
        <w:ind w:firstLine="0"/>
        <w:rPr>
          <w:b/>
          <w:bCs/>
          <w:sz w:val="20"/>
          <w:szCs w:val="20"/>
          <w:lang w:val="en-US"/>
        </w:rPr>
      </w:pPr>
      <w:r w:rsidRPr="00713625">
        <w:rPr>
          <w:b/>
          <w:bCs/>
          <w:sz w:val="20"/>
          <w:szCs w:val="20"/>
          <w:lang w:val="en-US"/>
        </w:rPr>
        <w:lastRenderedPageBreak/>
        <w:t>4. Discussion</w:t>
      </w:r>
    </w:p>
    <w:p w:rsidR="00FA4454" w:rsidRPr="00713625" w:rsidRDefault="00EF0153" w:rsidP="00B20211">
      <w:pPr>
        <w:snapToGrid w:val="0"/>
        <w:spacing w:before="0" w:after="0" w:line="240" w:lineRule="auto"/>
        <w:ind w:firstLine="425"/>
        <w:rPr>
          <w:sz w:val="20"/>
          <w:szCs w:val="20"/>
          <w:lang w:val="en-US"/>
        </w:rPr>
      </w:pPr>
      <w:r w:rsidRPr="00713625">
        <w:rPr>
          <w:sz w:val="20"/>
          <w:szCs w:val="20"/>
          <w:lang w:val="en-US"/>
        </w:rPr>
        <w:t>Breast cancer is an important health challenge that women face and affects their safety and productivity</w:t>
      </w:r>
      <w:r w:rsidR="00FA4454" w:rsidRPr="00713625">
        <w:rPr>
          <w:sz w:val="20"/>
          <w:szCs w:val="20"/>
        </w:rPr>
        <w:t xml:space="preserve">(Ismail et al., </w:t>
      </w:r>
      <w:r w:rsidR="00FA4454" w:rsidRPr="00713625">
        <w:rPr>
          <w:rFonts w:eastAsia="Times New Roman"/>
          <w:sz w:val="20"/>
          <w:szCs w:val="20"/>
          <w:lang w:val="en-US"/>
        </w:rPr>
        <w:t>2013).</w:t>
      </w:r>
      <w:r w:rsidR="000141AC" w:rsidRPr="00713625">
        <w:rPr>
          <w:sz w:val="20"/>
          <w:szCs w:val="20"/>
          <w:lang w:val="en-US"/>
        </w:rPr>
        <w:t>S</w:t>
      </w:r>
      <w:r w:rsidR="005918E1" w:rsidRPr="00713625">
        <w:rPr>
          <w:sz w:val="20"/>
          <w:szCs w:val="20"/>
          <w:lang w:val="en-US"/>
        </w:rPr>
        <w:t xml:space="preserve">everal </w:t>
      </w:r>
      <w:r w:rsidR="00684BE3" w:rsidRPr="00713625">
        <w:rPr>
          <w:sz w:val="20"/>
          <w:szCs w:val="20"/>
          <w:lang w:val="en-US"/>
        </w:rPr>
        <w:t>a</w:t>
      </w:r>
      <w:r w:rsidR="005918E1" w:rsidRPr="00713625">
        <w:rPr>
          <w:sz w:val="20"/>
          <w:szCs w:val="20"/>
          <w:lang w:val="en-US"/>
        </w:rPr>
        <w:t xml:space="preserve">etiological factors </w:t>
      </w:r>
      <w:r w:rsidR="000141AC" w:rsidRPr="00713625">
        <w:rPr>
          <w:sz w:val="20"/>
          <w:szCs w:val="20"/>
          <w:lang w:val="en-US"/>
        </w:rPr>
        <w:t>have been</w:t>
      </w:r>
      <w:r w:rsidR="00684BE3" w:rsidRPr="00713625">
        <w:rPr>
          <w:sz w:val="20"/>
          <w:szCs w:val="20"/>
          <w:lang w:val="en-US"/>
        </w:rPr>
        <w:t>involved</w:t>
      </w:r>
      <w:r w:rsidR="005918E1" w:rsidRPr="00713625">
        <w:rPr>
          <w:sz w:val="20"/>
          <w:szCs w:val="20"/>
          <w:lang w:val="en-US"/>
        </w:rPr>
        <w:t xml:space="preserve"> in its pathogenesis </w:t>
      </w:r>
      <w:r w:rsidR="000141AC" w:rsidRPr="00713625">
        <w:rPr>
          <w:sz w:val="20"/>
          <w:szCs w:val="20"/>
          <w:lang w:val="en-US"/>
        </w:rPr>
        <w:t>including</w:t>
      </w:r>
      <w:r w:rsidR="005918E1" w:rsidRPr="00713625">
        <w:rPr>
          <w:sz w:val="20"/>
          <w:szCs w:val="20"/>
          <w:lang w:val="en-US"/>
        </w:rPr>
        <w:t xml:space="preserve"> age, family history, </w:t>
      </w:r>
      <w:r w:rsidR="00684BE3" w:rsidRPr="00713625">
        <w:rPr>
          <w:sz w:val="20"/>
          <w:szCs w:val="20"/>
          <w:lang w:val="en-US"/>
        </w:rPr>
        <w:t xml:space="preserve">genetics, </w:t>
      </w:r>
      <w:r w:rsidR="005918E1" w:rsidRPr="00713625">
        <w:rPr>
          <w:sz w:val="20"/>
          <w:szCs w:val="20"/>
          <w:lang w:val="en-US"/>
        </w:rPr>
        <w:t xml:space="preserve">diet, alcohol, obesity, lifestyle, physical inactivity, </w:t>
      </w:r>
      <w:r w:rsidR="007254A3" w:rsidRPr="00713625">
        <w:rPr>
          <w:sz w:val="20"/>
          <w:szCs w:val="20"/>
          <w:lang w:val="en-US"/>
        </w:rPr>
        <w:t>and</w:t>
      </w:r>
      <w:r w:rsidR="005918E1" w:rsidRPr="00713625">
        <w:rPr>
          <w:sz w:val="20"/>
          <w:szCs w:val="20"/>
          <w:lang w:val="en-US"/>
        </w:rPr>
        <w:t xml:space="preserve"> endo</w:t>
      </w:r>
      <w:r w:rsidR="00FA4454" w:rsidRPr="00713625">
        <w:rPr>
          <w:sz w:val="20"/>
          <w:szCs w:val="20"/>
          <w:lang w:val="en-US"/>
        </w:rPr>
        <w:t>crine factors</w:t>
      </w:r>
      <w:r w:rsidR="000141AC" w:rsidRPr="00713625">
        <w:rPr>
          <w:sz w:val="20"/>
          <w:szCs w:val="20"/>
          <w:lang w:val="en-US"/>
        </w:rPr>
        <w:t xml:space="preserve">, so it is considered a multi-factorial disease </w:t>
      </w:r>
      <w:r w:rsidR="00FA4454" w:rsidRPr="00713625">
        <w:rPr>
          <w:sz w:val="20"/>
          <w:szCs w:val="20"/>
          <w:lang w:val="en-US"/>
        </w:rPr>
        <w:t>(</w:t>
      </w:r>
      <w:r w:rsidR="00FA4454" w:rsidRPr="00713625">
        <w:rPr>
          <w:sz w:val="20"/>
          <w:szCs w:val="20"/>
        </w:rPr>
        <w:t>Kruk, 2014).</w:t>
      </w:r>
    </w:p>
    <w:p w:rsidR="006E0B13" w:rsidRPr="00713625" w:rsidRDefault="006E0B13" w:rsidP="00B20211">
      <w:pPr>
        <w:snapToGrid w:val="0"/>
        <w:spacing w:before="0" w:after="0" w:line="240" w:lineRule="auto"/>
        <w:ind w:firstLine="425"/>
        <w:rPr>
          <w:sz w:val="20"/>
          <w:szCs w:val="20"/>
          <w:lang w:val="en-US"/>
        </w:rPr>
      </w:pPr>
      <w:r w:rsidRPr="00713625">
        <w:rPr>
          <w:sz w:val="20"/>
          <w:szCs w:val="20"/>
          <w:lang w:val="en-US"/>
        </w:rPr>
        <w:t xml:space="preserve">In this work, we studied </w:t>
      </w:r>
      <w:r w:rsidR="00F878E7" w:rsidRPr="00713625">
        <w:rPr>
          <w:sz w:val="20"/>
          <w:szCs w:val="20"/>
          <w:lang w:val="en-US"/>
        </w:rPr>
        <w:t xml:space="preserve">the </w:t>
      </w:r>
      <w:r w:rsidR="00C43CE2" w:rsidRPr="00713625">
        <w:rPr>
          <w:sz w:val="20"/>
          <w:szCs w:val="20"/>
          <w:lang w:val="en-US"/>
        </w:rPr>
        <w:t>IL-33/ST2 axis and</w:t>
      </w:r>
      <w:r w:rsidR="001440EE" w:rsidRPr="00713625">
        <w:rPr>
          <w:sz w:val="20"/>
          <w:szCs w:val="20"/>
          <w:lang w:val="en-US" w:bidi="ar-EG"/>
        </w:rPr>
        <w:t>the</w:t>
      </w:r>
      <w:r w:rsidR="00F30F0B" w:rsidRPr="00713625">
        <w:rPr>
          <w:sz w:val="20"/>
          <w:szCs w:val="20"/>
          <w:lang w:val="en-US"/>
        </w:rPr>
        <w:t>immunohistochemical</w:t>
      </w:r>
      <w:r w:rsidRPr="00713625">
        <w:rPr>
          <w:sz w:val="20"/>
          <w:szCs w:val="20"/>
          <w:lang w:val="en-US"/>
        </w:rPr>
        <w:t xml:space="preserve"> expression of prohibitin and IL-33 in benign and malignant breast lesions in comparison to normal breast tissue</w:t>
      </w:r>
      <w:r w:rsidR="00F878E7" w:rsidRPr="00713625">
        <w:rPr>
          <w:sz w:val="20"/>
          <w:szCs w:val="20"/>
          <w:lang w:val="en-US"/>
        </w:rPr>
        <w:t xml:space="preserve"> in a trial to investigate </w:t>
      </w:r>
      <w:r w:rsidR="009B562B" w:rsidRPr="00713625">
        <w:rPr>
          <w:sz w:val="20"/>
          <w:szCs w:val="20"/>
          <w:lang w:val="en-US"/>
        </w:rPr>
        <w:t>their role in breast carcinogenesis.</w:t>
      </w:r>
    </w:p>
    <w:p w:rsidR="00F67C72" w:rsidRPr="00713625" w:rsidRDefault="00B10113" w:rsidP="00B20211">
      <w:pPr>
        <w:shd w:val="clear" w:color="auto" w:fill="FFFFFF"/>
        <w:snapToGrid w:val="0"/>
        <w:spacing w:before="0" w:after="0" w:line="240" w:lineRule="auto"/>
        <w:ind w:firstLine="425"/>
        <w:rPr>
          <w:sz w:val="20"/>
          <w:szCs w:val="20"/>
          <w:lang w:val="en-US"/>
        </w:rPr>
      </w:pPr>
      <w:r w:rsidRPr="00713625">
        <w:rPr>
          <w:sz w:val="20"/>
          <w:szCs w:val="20"/>
          <w:lang w:val="en-US"/>
        </w:rPr>
        <w:t xml:space="preserve">Interleukin 33 (IL-33) is a member of the IL-1 family of cytokines with a large number of target cells and many biological functions (Martin </w:t>
      </w:r>
      <w:r w:rsidR="00371B23" w:rsidRPr="00713625">
        <w:rPr>
          <w:sz w:val="20"/>
          <w:szCs w:val="20"/>
          <w:lang w:val="en-US"/>
        </w:rPr>
        <w:t>&amp;</w:t>
      </w:r>
      <w:r w:rsidRPr="00713625">
        <w:rPr>
          <w:sz w:val="20"/>
          <w:szCs w:val="20"/>
          <w:lang w:val="en-US"/>
        </w:rPr>
        <w:t xml:space="preserve"> Martin, 2016).</w:t>
      </w:r>
      <w:r w:rsidR="00F67C72" w:rsidRPr="00713625">
        <w:rPr>
          <w:sz w:val="20"/>
          <w:szCs w:val="20"/>
          <w:lang w:val="en-US"/>
        </w:rPr>
        <w:t>It participates in many diseases with dual, pro-inflammatory or protective roles depending on the cellular and cytokine context (</w:t>
      </w:r>
      <w:r w:rsidR="00F67C72" w:rsidRPr="00713625">
        <w:rPr>
          <w:sz w:val="20"/>
          <w:szCs w:val="20"/>
          <w:lang w:bidi="ar-EG"/>
        </w:rPr>
        <w:t>Liew</w:t>
      </w:r>
      <w:r w:rsidR="004F4F24" w:rsidRPr="00713625">
        <w:rPr>
          <w:sz w:val="20"/>
          <w:szCs w:val="20"/>
        </w:rPr>
        <w:t xml:space="preserve">et al., </w:t>
      </w:r>
      <w:r w:rsidR="00F67C72" w:rsidRPr="00713625">
        <w:rPr>
          <w:sz w:val="20"/>
          <w:szCs w:val="20"/>
          <w:lang w:bidi="ar-EG"/>
        </w:rPr>
        <w:t>2010).</w:t>
      </w:r>
      <w:r w:rsidR="00F67C72" w:rsidRPr="00713625">
        <w:rPr>
          <w:sz w:val="20"/>
          <w:szCs w:val="20"/>
          <w:lang w:val="en-US"/>
        </w:rPr>
        <w:t>It is noticed that IL-33 levels</w:t>
      </w:r>
      <w:r w:rsidR="00F67C72" w:rsidRPr="00713625">
        <w:rPr>
          <w:sz w:val="20"/>
          <w:szCs w:val="20"/>
        </w:rPr>
        <w:t xml:space="preserve"> were elevated in the serum of patients with different types of cancer, including gastric, lung and hepatocellular cancers (</w:t>
      </w:r>
      <w:r w:rsidR="00F67C72" w:rsidRPr="00713625">
        <w:rPr>
          <w:sz w:val="20"/>
          <w:szCs w:val="20"/>
          <w:lang w:bidi="ar-EG"/>
        </w:rPr>
        <w:t xml:space="preserve">Chen </w:t>
      </w:r>
      <w:r w:rsidR="004F4F24" w:rsidRPr="00713625">
        <w:rPr>
          <w:sz w:val="20"/>
          <w:szCs w:val="20"/>
        </w:rPr>
        <w:t xml:space="preserve">et al., </w:t>
      </w:r>
      <w:r w:rsidR="00F67C72" w:rsidRPr="00713625">
        <w:rPr>
          <w:sz w:val="20"/>
          <w:szCs w:val="20"/>
          <w:lang w:bidi="ar-EG"/>
        </w:rPr>
        <w:t>2014).</w:t>
      </w:r>
    </w:p>
    <w:p w:rsidR="00B47864" w:rsidRPr="00713625" w:rsidRDefault="00B10113" w:rsidP="00B20211">
      <w:pPr>
        <w:snapToGrid w:val="0"/>
        <w:spacing w:before="0" w:after="0" w:line="240" w:lineRule="auto"/>
        <w:ind w:firstLine="425"/>
        <w:rPr>
          <w:sz w:val="20"/>
          <w:szCs w:val="20"/>
          <w:lang w:val="en-US"/>
        </w:rPr>
      </w:pPr>
      <w:r w:rsidRPr="00713625">
        <w:rPr>
          <w:sz w:val="20"/>
          <w:szCs w:val="20"/>
        </w:rPr>
        <w:t xml:space="preserve">In our study, </w:t>
      </w:r>
      <w:r w:rsidR="00B47864" w:rsidRPr="00713625">
        <w:rPr>
          <w:sz w:val="20"/>
          <w:szCs w:val="20"/>
        </w:rPr>
        <w:t xml:space="preserve">serum levels of IL-33 were significantly increased in groups with breast lesions compared </w:t>
      </w:r>
      <w:r w:rsidR="00942AB2" w:rsidRPr="00713625">
        <w:rPr>
          <w:sz w:val="20"/>
          <w:szCs w:val="20"/>
        </w:rPr>
        <w:t>to</w:t>
      </w:r>
      <w:r w:rsidR="00B47864" w:rsidRPr="00713625">
        <w:rPr>
          <w:sz w:val="20"/>
          <w:szCs w:val="20"/>
        </w:rPr>
        <w:t xml:space="preserve"> the control group. In addition, </w:t>
      </w:r>
      <w:r w:rsidR="00C202B5" w:rsidRPr="00713625">
        <w:rPr>
          <w:sz w:val="20"/>
          <w:szCs w:val="20"/>
        </w:rPr>
        <w:t xml:space="preserve">they </w:t>
      </w:r>
      <w:r w:rsidR="003958EB" w:rsidRPr="00713625">
        <w:rPr>
          <w:sz w:val="20"/>
          <w:szCs w:val="20"/>
        </w:rPr>
        <w:t xml:space="preserve">were significantly higher in malignant cases than benign lesions (p&lt;0.001). Moreover, they </w:t>
      </w:r>
      <w:r w:rsidR="005B1F23" w:rsidRPr="00713625">
        <w:rPr>
          <w:sz w:val="20"/>
          <w:szCs w:val="20"/>
        </w:rPr>
        <w:t>showed significant increase</w:t>
      </w:r>
      <w:r w:rsidR="003958EB" w:rsidRPr="00713625">
        <w:rPr>
          <w:sz w:val="20"/>
          <w:szCs w:val="20"/>
        </w:rPr>
        <w:t xml:space="preserve"> with progression from early "stage I and II" to advanced </w:t>
      </w:r>
      <w:r w:rsidR="00E96AD3" w:rsidRPr="00713625">
        <w:rPr>
          <w:sz w:val="20"/>
          <w:szCs w:val="20"/>
        </w:rPr>
        <w:t xml:space="preserve">"stage III" </w:t>
      </w:r>
      <w:r w:rsidR="003958EB" w:rsidRPr="00713625">
        <w:rPr>
          <w:sz w:val="20"/>
          <w:szCs w:val="20"/>
        </w:rPr>
        <w:t>breast cancer (p&lt;0.001).On the contrary, s</w:t>
      </w:r>
      <w:r w:rsidR="00B47864" w:rsidRPr="00713625">
        <w:rPr>
          <w:sz w:val="20"/>
          <w:szCs w:val="20"/>
        </w:rPr>
        <w:t xml:space="preserve">erum levels of sST2 were </w:t>
      </w:r>
      <w:r w:rsidR="00B07960" w:rsidRPr="00713625">
        <w:rPr>
          <w:sz w:val="20"/>
          <w:szCs w:val="20"/>
        </w:rPr>
        <w:t xml:space="preserve">significantly lower in malignant cases than benign lesions, and </w:t>
      </w:r>
      <w:r w:rsidR="00B07960" w:rsidRPr="00713625">
        <w:rPr>
          <w:sz w:val="20"/>
          <w:szCs w:val="20"/>
        </w:rPr>
        <w:lastRenderedPageBreak/>
        <w:t xml:space="preserve">were significantly </w:t>
      </w:r>
      <w:r w:rsidR="00B47864" w:rsidRPr="00713625">
        <w:rPr>
          <w:sz w:val="20"/>
          <w:szCs w:val="20"/>
        </w:rPr>
        <w:t xml:space="preserve">decreasing with progression of cancer from to early "stage I and II" to advanced </w:t>
      </w:r>
      <w:r w:rsidR="00626CBB" w:rsidRPr="00713625">
        <w:rPr>
          <w:sz w:val="20"/>
          <w:szCs w:val="20"/>
        </w:rPr>
        <w:t xml:space="preserve">"stage III" </w:t>
      </w:r>
      <w:r w:rsidR="00B47864" w:rsidRPr="00713625">
        <w:rPr>
          <w:sz w:val="20"/>
          <w:szCs w:val="20"/>
        </w:rPr>
        <w:t xml:space="preserve">breast cancer(p&lt;0.001). </w:t>
      </w:r>
      <w:r w:rsidR="00B47864" w:rsidRPr="00713625">
        <w:rPr>
          <w:sz w:val="20"/>
          <w:szCs w:val="20"/>
          <w:lang w:val="en-US"/>
        </w:rPr>
        <w:t xml:space="preserve">These results are in accordance with </w:t>
      </w:r>
      <w:r w:rsidR="00B47864" w:rsidRPr="00713625">
        <w:rPr>
          <w:sz w:val="20"/>
          <w:szCs w:val="20"/>
        </w:rPr>
        <w:t xml:space="preserve">Chen </w:t>
      </w:r>
      <w:r w:rsidR="004F4F24" w:rsidRPr="00713625">
        <w:rPr>
          <w:sz w:val="20"/>
          <w:szCs w:val="20"/>
          <w:lang w:val="en-US"/>
        </w:rPr>
        <w:t xml:space="preserve">et al. </w:t>
      </w:r>
      <w:r w:rsidR="00B47864" w:rsidRPr="00713625">
        <w:rPr>
          <w:sz w:val="20"/>
          <w:szCs w:val="20"/>
        </w:rPr>
        <w:t xml:space="preserve">(2014) and </w:t>
      </w:r>
      <w:r w:rsidR="009E59D6" w:rsidRPr="00713625">
        <w:rPr>
          <w:sz w:val="20"/>
          <w:szCs w:val="20"/>
          <w:lang w:val="en-US"/>
        </w:rPr>
        <w:t xml:space="preserve">Liu et al. (2014), suggesting that </w:t>
      </w:r>
      <w:r w:rsidR="009E59D6" w:rsidRPr="00713625">
        <w:rPr>
          <w:sz w:val="20"/>
          <w:szCs w:val="20"/>
        </w:rPr>
        <w:t xml:space="preserve">serum levels of IL-33/ST2 </w:t>
      </w:r>
      <w:r w:rsidR="003C0B66" w:rsidRPr="00713625">
        <w:rPr>
          <w:sz w:val="20"/>
          <w:szCs w:val="20"/>
        </w:rPr>
        <w:t>may</w:t>
      </w:r>
      <w:r w:rsidR="009E59D6" w:rsidRPr="00713625">
        <w:rPr>
          <w:sz w:val="20"/>
          <w:szCs w:val="20"/>
        </w:rPr>
        <w:t xml:space="preserve"> be used as </w:t>
      </w:r>
      <w:r w:rsidR="009E59D6" w:rsidRPr="00713625">
        <w:rPr>
          <w:sz w:val="20"/>
          <w:szCs w:val="20"/>
          <w:lang w:val="en-US"/>
        </w:rPr>
        <w:t>useful indicators for breast cancer prognosis.</w:t>
      </w:r>
    </w:p>
    <w:p w:rsidR="00846512" w:rsidRPr="00713625" w:rsidRDefault="00A94E90" w:rsidP="00B20211">
      <w:pPr>
        <w:snapToGrid w:val="0"/>
        <w:spacing w:before="0" w:after="0" w:line="240" w:lineRule="auto"/>
        <w:ind w:firstLine="425"/>
        <w:rPr>
          <w:sz w:val="20"/>
          <w:szCs w:val="20"/>
          <w:lang w:val="en-US"/>
        </w:rPr>
      </w:pPr>
      <w:r w:rsidRPr="00713625">
        <w:rPr>
          <w:sz w:val="20"/>
          <w:szCs w:val="20"/>
          <w:lang w:val="en-US"/>
        </w:rPr>
        <w:t xml:space="preserve">In addition to serum IL-33 levels, </w:t>
      </w:r>
      <w:r w:rsidR="00D32634" w:rsidRPr="00713625">
        <w:rPr>
          <w:sz w:val="20"/>
          <w:szCs w:val="20"/>
          <w:lang w:val="en-US"/>
        </w:rPr>
        <w:t xml:space="preserve">we studied the </w:t>
      </w:r>
      <w:r w:rsidRPr="00713625">
        <w:rPr>
          <w:sz w:val="20"/>
          <w:szCs w:val="20"/>
          <w:lang w:val="en-US"/>
        </w:rPr>
        <w:t>tissue i</w:t>
      </w:r>
      <w:r w:rsidR="00846512" w:rsidRPr="00713625">
        <w:rPr>
          <w:sz w:val="20"/>
          <w:szCs w:val="20"/>
          <w:lang w:val="en-US"/>
        </w:rPr>
        <w:t xml:space="preserve">mmunohistochemical </w:t>
      </w:r>
      <w:r w:rsidR="00D32634" w:rsidRPr="00713625">
        <w:rPr>
          <w:sz w:val="20"/>
          <w:szCs w:val="20"/>
          <w:lang w:val="en-US"/>
        </w:rPr>
        <w:t>expression</w:t>
      </w:r>
      <w:r w:rsidR="00036D37" w:rsidRPr="00713625">
        <w:rPr>
          <w:sz w:val="20"/>
          <w:szCs w:val="20"/>
          <w:lang w:val="en-US"/>
        </w:rPr>
        <w:t>of IL</w:t>
      </w:r>
      <w:r w:rsidR="00846512" w:rsidRPr="00713625">
        <w:rPr>
          <w:sz w:val="20"/>
          <w:szCs w:val="20"/>
          <w:lang w:val="en-US"/>
        </w:rPr>
        <w:t>-33</w:t>
      </w:r>
      <w:r w:rsidRPr="00713625">
        <w:rPr>
          <w:sz w:val="20"/>
          <w:szCs w:val="20"/>
          <w:lang w:val="en-US"/>
        </w:rPr>
        <w:t>, and the results were correlated.</w:t>
      </w:r>
      <w:r w:rsidR="001275A4" w:rsidRPr="00713625">
        <w:rPr>
          <w:sz w:val="20"/>
          <w:szCs w:val="20"/>
          <w:lang w:val="en-US"/>
        </w:rPr>
        <w:t>IL-33 showed</w:t>
      </w:r>
      <w:r w:rsidR="00846512" w:rsidRPr="00713625">
        <w:rPr>
          <w:sz w:val="20"/>
          <w:szCs w:val="20"/>
          <w:lang w:val="en-US"/>
        </w:rPr>
        <w:t xml:space="preserve"> significantly higher expression in breast cancer </w:t>
      </w:r>
      <w:r w:rsidR="007B2BB5" w:rsidRPr="00713625">
        <w:rPr>
          <w:sz w:val="20"/>
          <w:szCs w:val="20"/>
          <w:lang w:val="en-US"/>
        </w:rPr>
        <w:t xml:space="preserve">cases </w:t>
      </w:r>
      <w:r w:rsidR="00846512" w:rsidRPr="00713625">
        <w:rPr>
          <w:sz w:val="20"/>
          <w:szCs w:val="20"/>
          <w:lang w:val="en-US"/>
        </w:rPr>
        <w:t>compared to normal breast tissue</w:t>
      </w:r>
      <w:r w:rsidR="0037625A" w:rsidRPr="00713625">
        <w:rPr>
          <w:sz w:val="20"/>
          <w:szCs w:val="20"/>
        </w:rPr>
        <w:t>(p&lt;0.</w:t>
      </w:r>
      <w:r w:rsidR="00426E56" w:rsidRPr="00713625">
        <w:rPr>
          <w:sz w:val="20"/>
          <w:szCs w:val="20"/>
        </w:rPr>
        <w:t>05</w:t>
      </w:r>
      <w:r w:rsidR="0037625A" w:rsidRPr="00713625">
        <w:rPr>
          <w:sz w:val="20"/>
          <w:szCs w:val="20"/>
        </w:rPr>
        <w:t xml:space="preserve">). </w:t>
      </w:r>
      <w:r w:rsidR="00846512" w:rsidRPr="00713625">
        <w:rPr>
          <w:sz w:val="20"/>
          <w:szCs w:val="20"/>
          <w:lang w:val="en-US"/>
        </w:rPr>
        <w:t xml:space="preserve">Similar results were documented by Kim </w:t>
      </w:r>
      <w:r w:rsidR="004F4F24" w:rsidRPr="00713625">
        <w:rPr>
          <w:sz w:val="20"/>
          <w:szCs w:val="20"/>
        </w:rPr>
        <w:t xml:space="preserve">et al., </w:t>
      </w:r>
      <w:r w:rsidR="00846512" w:rsidRPr="00713625">
        <w:rPr>
          <w:sz w:val="20"/>
          <w:szCs w:val="20"/>
          <w:lang w:val="en-US"/>
        </w:rPr>
        <w:t xml:space="preserve">(2015). We observed </w:t>
      </w:r>
      <w:r w:rsidR="00865C7C" w:rsidRPr="00713625">
        <w:rPr>
          <w:sz w:val="20"/>
          <w:szCs w:val="20"/>
          <w:lang w:val="en-US"/>
        </w:rPr>
        <w:t>slightly higher IL-33 expression in benign breast lesions compared to control group</w:t>
      </w:r>
      <w:r w:rsidR="009866E2" w:rsidRPr="00713625">
        <w:rPr>
          <w:sz w:val="20"/>
          <w:szCs w:val="20"/>
          <w:lang w:val="en-US"/>
        </w:rPr>
        <w:t>;</w:t>
      </w:r>
      <w:r w:rsidR="00865C7C" w:rsidRPr="00713625">
        <w:rPr>
          <w:sz w:val="20"/>
          <w:szCs w:val="20"/>
          <w:lang w:val="en-US"/>
        </w:rPr>
        <w:t xml:space="preserve"> however, the difference was statistically insignificant (p&gt;0.05). On the other hand, IL-33 expression was </w:t>
      </w:r>
      <w:r w:rsidR="00846512" w:rsidRPr="00713625">
        <w:rPr>
          <w:sz w:val="20"/>
          <w:szCs w:val="20"/>
          <w:lang w:val="en-US"/>
        </w:rPr>
        <w:t>significantly higherin breast cancer in comparison to benign breast lesions</w:t>
      </w:r>
      <w:r w:rsidR="005A7898" w:rsidRPr="00713625">
        <w:rPr>
          <w:sz w:val="20"/>
          <w:szCs w:val="20"/>
        </w:rPr>
        <w:t>(p&lt;0.05)</w:t>
      </w:r>
      <w:r w:rsidR="0070492B" w:rsidRPr="00713625">
        <w:rPr>
          <w:sz w:val="20"/>
          <w:szCs w:val="20"/>
          <w:lang w:val="en-US"/>
        </w:rPr>
        <w:t xml:space="preserve">. </w:t>
      </w:r>
      <w:r w:rsidR="00D27C5A" w:rsidRPr="00713625">
        <w:rPr>
          <w:sz w:val="20"/>
          <w:szCs w:val="20"/>
          <w:lang w:val="en-US"/>
        </w:rPr>
        <w:t>This</w:t>
      </w:r>
      <w:r w:rsidR="00846512" w:rsidRPr="00713625">
        <w:rPr>
          <w:sz w:val="20"/>
          <w:szCs w:val="20"/>
          <w:lang w:val="en-US"/>
        </w:rPr>
        <w:t xml:space="preserve"> was in accordance with Liu </w:t>
      </w:r>
      <w:r w:rsidR="004F4F24" w:rsidRPr="00713625">
        <w:rPr>
          <w:sz w:val="20"/>
          <w:szCs w:val="20"/>
        </w:rPr>
        <w:t xml:space="preserve">et al., </w:t>
      </w:r>
      <w:r w:rsidR="00846512" w:rsidRPr="00713625">
        <w:rPr>
          <w:sz w:val="20"/>
          <w:szCs w:val="20"/>
          <w:lang w:val="en-US"/>
        </w:rPr>
        <w:t xml:space="preserve">(2014), who suggested that the local expression of IL-33 may be an important marker for differentiating malignant from normal/benign tissues, and found that IL-33 expression in tissues </w:t>
      </w:r>
      <w:r w:rsidR="00D27C5A" w:rsidRPr="00713625">
        <w:rPr>
          <w:sz w:val="20"/>
          <w:szCs w:val="20"/>
          <w:lang w:val="en-US"/>
        </w:rPr>
        <w:t xml:space="preserve">adjacent to cancer </w:t>
      </w:r>
      <w:r w:rsidR="00846512" w:rsidRPr="00713625">
        <w:rPr>
          <w:sz w:val="20"/>
          <w:szCs w:val="20"/>
          <w:lang w:val="en-US"/>
        </w:rPr>
        <w:t>also tends to be higher compared to normal tissues, suggesting that adjacent non-cancerous tissues may be similarly relevant to cancers in terms of anti-tumour immunity.</w:t>
      </w:r>
    </w:p>
    <w:p w:rsidR="00846512" w:rsidRPr="00713625" w:rsidRDefault="00846512" w:rsidP="00B20211">
      <w:pPr>
        <w:snapToGrid w:val="0"/>
        <w:spacing w:before="0" w:after="0" w:line="240" w:lineRule="auto"/>
        <w:ind w:firstLine="425"/>
        <w:rPr>
          <w:sz w:val="20"/>
          <w:szCs w:val="20"/>
          <w:lang w:val="en-US"/>
        </w:rPr>
      </w:pPr>
      <w:r w:rsidRPr="00713625">
        <w:rPr>
          <w:sz w:val="20"/>
          <w:szCs w:val="20"/>
          <w:lang w:val="en-US"/>
        </w:rPr>
        <w:t>In the studied breast cancers, we found that IL-33 expression increased significant</w:t>
      </w:r>
      <w:r w:rsidR="0037625A" w:rsidRPr="00713625">
        <w:rPr>
          <w:sz w:val="20"/>
          <w:szCs w:val="20"/>
          <w:lang w:val="en-US"/>
        </w:rPr>
        <w:t>ly with increasing tumour stage</w:t>
      </w:r>
      <w:r w:rsidR="00067BB2" w:rsidRPr="00713625">
        <w:rPr>
          <w:sz w:val="20"/>
          <w:szCs w:val="20"/>
          <w:lang w:val="en-US"/>
        </w:rPr>
        <w:t xml:space="preserve"> (p=0.001)</w:t>
      </w:r>
      <w:r w:rsidRPr="00713625">
        <w:rPr>
          <w:sz w:val="20"/>
          <w:szCs w:val="20"/>
          <w:lang w:val="en-US"/>
        </w:rPr>
        <w:t>, and also showed increased expression in higher grade tumo</w:t>
      </w:r>
      <w:r w:rsidR="00FD7398" w:rsidRPr="00713625">
        <w:rPr>
          <w:sz w:val="20"/>
          <w:szCs w:val="20"/>
          <w:lang w:val="en-US"/>
        </w:rPr>
        <w:t>u</w:t>
      </w:r>
      <w:r w:rsidRPr="00713625">
        <w:rPr>
          <w:sz w:val="20"/>
          <w:szCs w:val="20"/>
          <w:lang w:val="en-US"/>
        </w:rPr>
        <w:t>rs, which was in agreement with Gillibert-Duplantier</w:t>
      </w:r>
      <w:r w:rsidR="004F4F24" w:rsidRPr="00713625">
        <w:rPr>
          <w:sz w:val="20"/>
          <w:szCs w:val="20"/>
        </w:rPr>
        <w:t xml:space="preserve">et al., </w:t>
      </w:r>
      <w:r w:rsidRPr="00713625">
        <w:rPr>
          <w:sz w:val="20"/>
          <w:szCs w:val="20"/>
          <w:lang w:val="en-US"/>
        </w:rPr>
        <w:t>(</w:t>
      </w:r>
      <w:r w:rsidRPr="00713625">
        <w:rPr>
          <w:sz w:val="20"/>
          <w:szCs w:val="20"/>
          <w:lang w:bidi="ar-EG"/>
        </w:rPr>
        <w:t xml:space="preserve">2012), </w:t>
      </w:r>
      <w:r w:rsidRPr="00713625">
        <w:rPr>
          <w:sz w:val="20"/>
          <w:szCs w:val="20"/>
          <w:lang w:val="en-US"/>
        </w:rPr>
        <w:t xml:space="preserve">who reported that IL-33 expression was signiﬁcantly </w:t>
      </w:r>
      <w:r w:rsidRPr="00713625">
        <w:rPr>
          <w:sz w:val="20"/>
          <w:szCs w:val="20"/>
          <w:lang w:val="en-US"/>
        </w:rPr>
        <w:lastRenderedPageBreak/>
        <w:t>higher in HER2-overexpressing carcinomas, consistent with the report that its receptor sST2 was over-expressed to promote breast cancer metastases upon ErbB2 activation in breast cancer cell lines, This may be explained by the studies suggesting that the IL-33/ST2 pathway inhibits antitumour immunity, subsequently promoting breast cancer metastasis (</w:t>
      </w:r>
      <w:r w:rsidRPr="00713625">
        <w:rPr>
          <w:sz w:val="20"/>
          <w:szCs w:val="20"/>
          <w:lang w:bidi="ar-EG"/>
        </w:rPr>
        <w:t>Jovanovic</w:t>
      </w:r>
      <w:r w:rsidR="004F4F24" w:rsidRPr="00713625">
        <w:rPr>
          <w:sz w:val="20"/>
          <w:szCs w:val="20"/>
        </w:rPr>
        <w:t xml:space="preserve">et al., </w:t>
      </w:r>
      <w:r w:rsidRPr="00713625">
        <w:rPr>
          <w:sz w:val="20"/>
          <w:szCs w:val="20"/>
          <w:lang w:bidi="ar-EG"/>
        </w:rPr>
        <w:t>2014).</w:t>
      </w:r>
      <w:r w:rsidR="00841D9B" w:rsidRPr="00713625">
        <w:rPr>
          <w:sz w:val="20"/>
          <w:szCs w:val="20"/>
          <w:lang w:bidi="ar-EG"/>
        </w:rPr>
        <w:t xml:space="preserve"> So, IL-33 </w:t>
      </w:r>
      <w:r w:rsidR="008F266F" w:rsidRPr="00713625">
        <w:rPr>
          <w:sz w:val="20"/>
          <w:szCs w:val="20"/>
          <w:lang w:bidi="ar-EG"/>
        </w:rPr>
        <w:t>may</w:t>
      </w:r>
      <w:r w:rsidR="00841D9B" w:rsidRPr="00713625">
        <w:rPr>
          <w:sz w:val="20"/>
          <w:szCs w:val="20"/>
          <w:lang w:bidi="ar-EG"/>
        </w:rPr>
        <w:t xml:space="preserve"> be considered </w:t>
      </w:r>
      <w:r w:rsidR="00841D9B" w:rsidRPr="00713625">
        <w:rPr>
          <w:sz w:val="20"/>
          <w:szCs w:val="20"/>
        </w:rPr>
        <w:t>an indicator of bad prognosis in breast cancer.</w:t>
      </w:r>
    </w:p>
    <w:p w:rsidR="00846512" w:rsidRPr="00713625" w:rsidRDefault="00846512" w:rsidP="00B20211">
      <w:pPr>
        <w:snapToGrid w:val="0"/>
        <w:spacing w:before="0" w:after="0" w:line="240" w:lineRule="auto"/>
        <w:ind w:firstLine="425"/>
        <w:rPr>
          <w:sz w:val="20"/>
          <w:szCs w:val="20"/>
          <w:lang w:val="en-US"/>
        </w:rPr>
      </w:pPr>
      <w:r w:rsidRPr="00713625">
        <w:rPr>
          <w:sz w:val="20"/>
          <w:szCs w:val="20"/>
          <w:lang w:val="en-US"/>
        </w:rPr>
        <w:t xml:space="preserve">In contrast to our results, Liu </w:t>
      </w:r>
      <w:r w:rsidR="004F4F24" w:rsidRPr="00713625">
        <w:rPr>
          <w:sz w:val="20"/>
          <w:szCs w:val="20"/>
        </w:rPr>
        <w:t xml:space="preserve">et al., </w:t>
      </w:r>
      <w:r w:rsidRPr="00713625">
        <w:rPr>
          <w:sz w:val="20"/>
          <w:szCs w:val="20"/>
          <w:lang w:val="en-US"/>
        </w:rPr>
        <w:t>(2014) found higher IL-33 expression in low grade tumours compared to high grade ones, they also found that IL-33 expression was not signiﬁcantly associated with the tumour stage. Additionally, they found that the serum concentration of sST2 has been elevated in patients with metastatic breast cancer. These differences may be attributed to the variations in the number of cases</w:t>
      </w:r>
      <w:r w:rsidR="00D22279" w:rsidRPr="00713625">
        <w:rPr>
          <w:sz w:val="20"/>
          <w:szCs w:val="20"/>
          <w:lang w:val="en-US"/>
        </w:rPr>
        <w:t xml:space="preserve">, </w:t>
      </w:r>
      <w:r w:rsidRPr="00713625">
        <w:rPr>
          <w:sz w:val="20"/>
          <w:szCs w:val="20"/>
          <w:lang w:val="en-US"/>
        </w:rPr>
        <w:t>the different isoforms of the markers used</w:t>
      </w:r>
      <w:r w:rsidR="00D22279" w:rsidRPr="00713625">
        <w:rPr>
          <w:sz w:val="20"/>
          <w:szCs w:val="20"/>
          <w:lang w:val="en-US"/>
        </w:rPr>
        <w:t>, the scoring methods, the sample sizeand the population differences.</w:t>
      </w:r>
    </w:p>
    <w:p w:rsidR="00846512" w:rsidRPr="00713625" w:rsidRDefault="006B1A8C" w:rsidP="00B20211">
      <w:pPr>
        <w:pStyle w:val="Heading1"/>
        <w:keepNext w:val="0"/>
        <w:shd w:val="clear" w:color="auto" w:fill="FFFFFF"/>
        <w:snapToGrid w:val="0"/>
        <w:spacing w:before="0" w:after="0" w:line="240" w:lineRule="auto"/>
        <w:ind w:firstLine="425"/>
        <w:rPr>
          <w:rFonts w:ascii="Times New Roman" w:hAnsi="Times New Roman"/>
          <w:b w:val="0"/>
          <w:bCs w:val="0"/>
          <w:kern w:val="0"/>
          <w:sz w:val="20"/>
          <w:szCs w:val="20"/>
          <w:lang w:val="en-US"/>
        </w:rPr>
      </w:pPr>
      <w:r w:rsidRPr="00713625">
        <w:rPr>
          <w:rFonts w:ascii="Times New Roman" w:hAnsi="Times New Roman"/>
          <w:b w:val="0"/>
          <w:bCs w:val="0"/>
          <w:kern w:val="0"/>
          <w:sz w:val="20"/>
          <w:szCs w:val="20"/>
          <w:lang w:val="en-US"/>
        </w:rPr>
        <w:t xml:space="preserve">Previous studies </w:t>
      </w:r>
      <w:r w:rsidR="005D3E32" w:rsidRPr="00713625">
        <w:rPr>
          <w:rFonts w:ascii="Times New Roman" w:hAnsi="Times New Roman"/>
          <w:b w:val="0"/>
          <w:bCs w:val="0"/>
          <w:kern w:val="0"/>
          <w:sz w:val="20"/>
          <w:szCs w:val="20"/>
          <w:lang w:val="en-US"/>
        </w:rPr>
        <w:t>investigated the</w:t>
      </w:r>
      <w:r w:rsidR="009416E1" w:rsidRPr="00713625">
        <w:rPr>
          <w:rFonts w:ascii="Times New Roman" w:hAnsi="Times New Roman"/>
          <w:b w:val="0"/>
          <w:bCs w:val="0"/>
          <w:kern w:val="0"/>
          <w:sz w:val="20"/>
          <w:szCs w:val="20"/>
          <w:lang w:val="en-US"/>
        </w:rPr>
        <w:t>IL-33/</w:t>
      </w:r>
      <w:r w:rsidR="00846512" w:rsidRPr="00713625">
        <w:rPr>
          <w:rFonts w:ascii="Times New Roman" w:hAnsi="Times New Roman"/>
          <w:b w:val="0"/>
          <w:bCs w:val="0"/>
          <w:kern w:val="0"/>
          <w:sz w:val="20"/>
          <w:szCs w:val="20"/>
          <w:lang w:val="en-US"/>
        </w:rPr>
        <w:t xml:space="preserve">ST2 </w:t>
      </w:r>
      <w:r w:rsidR="009416E1" w:rsidRPr="00713625">
        <w:rPr>
          <w:rFonts w:ascii="Times New Roman" w:hAnsi="Times New Roman"/>
          <w:b w:val="0"/>
          <w:bCs w:val="0"/>
          <w:kern w:val="0"/>
          <w:sz w:val="20"/>
          <w:szCs w:val="20"/>
          <w:lang w:val="en-US"/>
        </w:rPr>
        <w:t xml:space="preserve">axis </w:t>
      </w:r>
      <w:r w:rsidR="00846512" w:rsidRPr="00713625">
        <w:rPr>
          <w:rFonts w:ascii="Times New Roman" w:hAnsi="Times New Roman"/>
          <w:b w:val="0"/>
          <w:bCs w:val="0"/>
          <w:kern w:val="0"/>
          <w:sz w:val="20"/>
          <w:szCs w:val="20"/>
          <w:lang w:val="en-US"/>
        </w:rPr>
        <w:t>in breast cancer patients</w:t>
      </w:r>
      <w:r w:rsidR="009866E2" w:rsidRPr="00713625">
        <w:rPr>
          <w:rFonts w:ascii="Times New Roman" w:hAnsi="Times New Roman"/>
          <w:b w:val="0"/>
          <w:bCs w:val="0"/>
          <w:kern w:val="0"/>
          <w:sz w:val="20"/>
          <w:szCs w:val="20"/>
          <w:lang w:val="en-US"/>
        </w:rPr>
        <w:t>;</w:t>
      </w:r>
      <w:r w:rsidR="005D3E32" w:rsidRPr="00713625">
        <w:rPr>
          <w:rFonts w:ascii="Times New Roman" w:hAnsi="Times New Roman"/>
          <w:b w:val="0"/>
          <w:bCs w:val="0"/>
          <w:kern w:val="0"/>
          <w:sz w:val="20"/>
          <w:szCs w:val="20"/>
          <w:lang w:val="en-US"/>
        </w:rPr>
        <w:t xml:space="preserve"> however, its exact role in tumour growth and metastasis has</w:t>
      </w:r>
      <w:r w:rsidR="00846512" w:rsidRPr="00713625">
        <w:rPr>
          <w:rFonts w:ascii="Times New Roman" w:hAnsi="Times New Roman"/>
          <w:b w:val="0"/>
          <w:bCs w:val="0"/>
          <w:kern w:val="0"/>
          <w:sz w:val="20"/>
          <w:szCs w:val="20"/>
          <w:lang w:val="en-US"/>
        </w:rPr>
        <w:t xml:space="preserve"> not been fully explored. Jovanovic</w:t>
      </w:r>
      <w:r w:rsidR="004F4F24" w:rsidRPr="00713625">
        <w:rPr>
          <w:rFonts w:ascii="Times New Roman" w:hAnsi="Times New Roman"/>
          <w:b w:val="0"/>
          <w:bCs w:val="0"/>
          <w:kern w:val="0"/>
          <w:sz w:val="20"/>
          <w:szCs w:val="20"/>
          <w:lang w:val="en-US"/>
        </w:rPr>
        <w:t>et al.</w:t>
      </w:r>
      <w:r w:rsidR="00846512" w:rsidRPr="00713625">
        <w:rPr>
          <w:rFonts w:ascii="Times New Roman" w:hAnsi="Times New Roman"/>
          <w:b w:val="0"/>
          <w:bCs w:val="0"/>
          <w:kern w:val="0"/>
          <w:sz w:val="20"/>
          <w:szCs w:val="20"/>
          <w:lang w:val="en-US"/>
        </w:rPr>
        <w:t>(2011) have reported that mice lacking ST2 showed slower breast cancer growth and progression than normal mice. Their further experimental studies on breast cancer revealed, that deletion of ST2 signaling may enhance anti-tumour immune response in a murine model of metastatic 4T1 breast carcinoma. In addition, IL-33/ST2 pathway promotes breast cancer progression and metastasis through increased intratumoural accumulation of immunosuppressive cells and by diminishing innate anti-tumour immunity, with subsequent tumour progression and metastasis (Jovanovic</w:t>
      </w:r>
      <w:r w:rsidR="004F4F24" w:rsidRPr="00713625">
        <w:rPr>
          <w:rFonts w:ascii="Times New Roman" w:hAnsi="Times New Roman"/>
          <w:b w:val="0"/>
          <w:bCs w:val="0"/>
          <w:kern w:val="0"/>
          <w:sz w:val="20"/>
          <w:szCs w:val="20"/>
          <w:lang w:val="en-US"/>
        </w:rPr>
        <w:t>et al.</w:t>
      </w:r>
      <w:r w:rsidR="00846512" w:rsidRPr="00713625">
        <w:rPr>
          <w:rFonts w:ascii="Times New Roman" w:hAnsi="Times New Roman"/>
          <w:b w:val="0"/>
          <w:bCs w:val="0"/>
          <w:kern w:val="0"/>
          <w:sz w:val="20"/>
          <w:szCs w:val="20"/>
          <w:lang w:val="en-US"/>
        </w:rPr>
        <w:t>, 2012; Jovanovic</w:t>
      </w:r>
      <w:r w:rsidR="004F4F24" w:rsidRPr="00713625">
        <w:rPr>
          <w:rFonts w:ascii="Times New Roman" w:hAnsi="Times New Roman"/>
          <w:b w:val="0"/>
          <w:bCs w:val="0"/>
          <w:kern w:val="0"/>
          <w:sz w:val="20"/>
          <w:szCs w:val="20"/>
          <w:lang w:val="en-US"/>
        </w:rPr>
        <w:t>et al.</w:t>
      </w:r>
      <w:r w:rsidR="00846512" w:rsidRPr="00713625">
        <w:rPr>
          <w:rFonts w:ascii="Times New Roman" w:hAnsi="Times New Roman"/>
          <w:b w:val="0"/>
          <w:bCs w:val="0"/>
          <w:kern w:val="0"/>
          <w:sz w:val="20"/>
          <w:szCs w:val="20"/>
          <w:lang w:val="en-US"/>
        </w:rPr>
        <w:t>, 2014).</w:t>
      </w:r>
    </w:p>
    <w:p w:rsidR="00DE0CA9" w:rsidRPr="00713625" w:rsidRDefault="00B47864" w:rsidP="00B20211">
      <w:pPr>
        <w:snapToGrid w:val="0"/>
        <w:spacing w:before="0" w:after="0" w:line="240" w:lineRule="auto"/>
        <w:ind w:firstLine="425"/>
        <w:rPr>
          <w:sz w:val="20"/>
          <w:szCs w:val="20"/>
          <w:lang w:val="en-US"/>
        </w:rPr>
      </w:pPr>
      <w:r w:rsidRPr="00713625">
        <w:rPr>
          <w:sz w:val="20"/>
          <w:szCs w:val="20"/>
          <w:lang w:val="en-US"/>
        </w:rPr>
        <w:t xml:space="preserve">Kim </w:t>
      </w:r>
      <w:r w:rsidR="004F4F24" w:rsidRPr="00713625">
        <w:rPr>
          <w:sz w:val="20"/>
          <w:szCs w:val="20"/>
          <w:lang w:val="en-US"/>
        </w:rPr>
        <w:t xml:space="preserve">et al. </w:t>
      </w:r>
      <w:r w:rsidRPr="00713625">
        <w:rPr>
          <w:sz w:val="20"/>
          <w:szCs w:val="20"/>
          <w:lang w:val="en-US"/>
        </w:rPr>
        <w:t>(201</w:t>
      </w:r>
      <w:r w:rsidR="00C30123" w:rsidRPr="00713625">
        <w:rPr>
          <w:sz w:val="20"/>
          <w:szCs w:val="20"/>
          <w:lang w:val="en-US"/>
        </w:rPr>
        <w:t>5</w:t>
      </w:r>
      <w:r w:rsidRPr="00713625">
        <w:rPr>
          <w:sz w:val="20"/>
          <w:szCs w:val="20"/>
          <w:lang w:val="en-US"/>
        </w:rPr>
        <w:t>) explained</w:t>
      </w:r>
      <w:r w:rsidR="007979B5" w:rsidRPr="00713625">
        <w:rPr>
          <w:sz w:val="20"/>
          <w:szCs w:val="20"/>
          <w:lang w:val="en-US"/>
        </w:rPr>
        <w:t xml:space="preserve"> that IL-33/ST2 cascade induces</w:t>
      </w:r>
      <w:r w:rsidRPr="00713625">
        <w:rPr>
          <w:sz w:val="20"/>
          <w:szCs w:val="20"/>
          <w:lang w:val="en-US"/>
        </w:rPr>
        <w:t xml:space="preserve"> the activation of signal transducer and activator of transcription 3 (STAT3) signaling pathways and transcriptional activity.</w:t>
      </w:r>
      <w:r w:rsidR="00713625">
        <w:rPr>
          <w:sz w:val="20"/>
          <w:szCs w:val="20"/>
          <w:lang w:val="en-US"/>
        </w:rPr>
        <w:t xml:space="preserve"> When small interfering RNAs ofST2</w:t>
      </w:r>
      <w:r w:rsidRPr="00713625">
        <w:rPr>
          <w:sz w:val="20"/>
          <w:szCs w:val="20"/>
          <w:lang w:val="en-US"/>
        </w:rPr>
        <w:t>were introduced into cells, IL-33-induced STAT3 activity was significantly decreased, unlike that in the control cells. Additionall</w:t>
      </w:r>
      <w:r w:rsidR="000D47EF" w:rsidRPr="00713625">
        <w:rPr>
          <w:sz w:val="20"/>
          <w:szCs w:val="20"/>
          <w:lang w:val="en-US"/>
        </w:rPr>
        <w:t>y</w:t>
      </w:r>
      <w:r w:rsidRPr="00713625">
        <w:rPr>
          <w:sz w:val="20"/>
          <w:szCs w:val="20"/>
          <w:lang w:val="en-US"/>
        </w:rPr>
        <w:t xml:space="preserve">, knockdown of IL-33 and ST2 in breast cancercells attenuated </w:t>
      </w:r>
      <w:r w:rsidR="00D144BE" w:rsidRPr="00713625">
        <w:rPr>
          <w:sz w:val="20"/>
          <w:szCs w:val="20"/>
          <w:lang w:val="en-US"/>
        </w:rPr>
        <w:t>tumour</w:t>
      </w:r>
      <w:r w:rsidRPr="00713625">
        <w:rPr>
          <w:sz w:val="20"/>
          <w:szCs w:val="20"/>
          <w:lang w:val="en-US"/>
        </w:rPr>
        <w:t>igenicity. These findings provide a</w:t>
      </w:r>
      <w:r w:rsidR="00534075" w:rsidRPr="00713625">
        <w:rPr>
          <w:sz w:val="20"/>
          <w:szCs w:val="20"/>
          <w:lang w:val="en-US"/>
        </w:rPr>
        <w:t>nin</w:t>
      </w:r>
      <w:r w:rsidRPr="00713625">
        <w:rPr>
          <w:sz w:val="20"/>
          <w:szCs w:val="20"/>
          <w:lang w:val="en-US"/>
        </w:rPr>
        <w:t xml:space="preserve">sight on the role of IL-33/ST2 signaling pathway in supportingcancer-associated inflammation in the </w:t>
      </w:r>
      <w:r w:rsidR="00D144BE" w:rsidRPr="00713625">
        <w:rPr>
          <w:sz w:val="20"/>
          <w:szCs w:val="20"/>
          <w:lang w:val="en-US"/>
        </w:rPr>
        <w:t>tumour</w:t>
      </w:r>
      <w:r w:rsidRPr="00713625">
        <w:rPr>
          <w:sz w:val="20"/>
          <w:szCs w:val="20"/>
          <w:lang w:val="en-US"/>
        </w:rPr>
        <w:t xml:space="preserve"> microenvironment. Therapeutic approaches that target this pathway may, therefore, effectively inhibit carcinogenesis in the breast.</w:t>
      </w:r>
      <w:r w:rsidR="00DE0CA9" w:rsidRPr="00713625">
        <w:rPr>
          <w:sz w:val="20"/>
          <w:szCs w:val="20"/>
          <w:lang w:val="en-US"/>
        </w:rPr>
        <w:t xml:space="preserve"> So, in addition to its role as a potential prognostic biomarker, IL-33 is a good target for new therapeutic strategies.</w:t>
      </w:r>
    </w:p>
    <w:p w:rsidR="00390F1A" w:rsidRPr="00713625" w:rsidRDefault="006E0B13" w:rsidP="00B20211">
      <w:pPr>
        <w:shd w:val="clear" w:color="auto" w:fill="FFFFFF"/>
        <w:snapToGrid w:val="0"/>
        <w:spacing w:before="0" w:after="0" w:line="240" w:lineRule="auto"/>
        <w:ind w:firstLine="425"/>
        <w:rPr>
          <w:sz w:val="20"/>
          <w:szCs w:val="20"/>
          <w:lang w:val="en-US"/>
        </w:rPr>
      </w:pPr>
      <w:r w:rsidRPr="00713625">
        <w:rPr>
          <w:sz w:val="20"/>
          <w:szCs w:val="20"/>
          <w:lang w:val="en-US"/>
        </w:rPr>
        <w:t xml:space="preserve">Prohibitin is a multifunctional protein, which has multiple intracellular locations including the mitochondria, the nucleus, and in lipid rafts of the </w:t>
      </w:r>
      <w:r w:rsidRPr="00713625">
        <w:rPr>
          <w:sz w:val="20"/>
          <w:szCs w:val="20"/>
          <w:lang w:val="en-US"/>
        </w:rPr>
        <w:lastRenderedPageBreak/>
        <w:t xml:space="preserve">cytoplasmic membrane </w:t>
      </w:r>
      <w:r w:rsidR="00390F1A" w:rsidRPr="00713625">
        <w:rPr>
          <w:sz w:val="20"/>
          <w:szCs w:val="20"/>
          <w:lang w:val="en-US"/>
        </w:rPr>
        <w:t>(Rajalingam</w:t>
      </w:r>
      <w:r w:rsidR="004F4F24" w:rsidRPr="00713625">
        <w:rPr>
          <w:sz w:val="20"/>
          <w:szCs w:val="20"/>
          <w:lang w:val="en-US"/>
        </w:rPr>
        <w:t>et al.</w:t>
      </w:r>
      <w:r w:rsidR="00390F1A" w:rsidRPr="00713625">
        <w:rPr>
          <w:sz w:val="20"/>
          <w:szCs w:val="20"/>
          <w:lang w:val="en-US"/>
        </w:rPr>
        <w:t xml:space="preserve">, 2005). </w:t>
      </w:r>
      <w:r w:rsidR="00D0595E" w:rsidRPr="00713625">
        <w:rPr>
          <w:sz w:val="20"/>
          <w:szCs w:val="20"/>
        </w:rPr>
        <w:t xml:space="preserve">Prohibitin gene is located on chromosome 17q21 close to the ovarian and breast carcinoma susceptibility gene (BRCA1) locus and may function as growth regulatory molecule within several tissues. </w:t>
      </w:r>
      <w:r w:rsidRPr="00713625">
        <w:rPr>
          <w:sz w:val="20"/>
          <w:szCs w:val="20"/>
        </w:rPr>
        <w:t>This protein was suggested to exert different roles in tumourigenesis</w:t>
      </w:r>
      <w:r w:rsidR="00390F1A" w:rsidRPr="00713625">
        <w:rPr>
          <w:sz w:val="20"/>
          <w:szCs w:val="20"/>
        </w:rPr>
        <w:t>(</w:t>
      </w:r>
      <w:hyperlink r:id="rId28" w:history="1">
        <w:r w:rsidR="00390F1A" w:rsidRPr="00713625">
          <w:rPr>
            <w:sz w:val="20"/>
            <w:szCs w:val="20"/>
          </w:rPr>
          <w:t>Franzoni</w:t>
        </w:r>
      </w:hyperlink>
      <w:r w:rsidR="004F4F24" w:rsidRPr="00713625">
        <w:rPr>
          <w:sz w:val="20"/>
          <w:szCs w:val="20"/>
          <w:lang w:val="en-US"/>
        </w:rPr>
        <w:t>et al.</w:t>
      </w:r>
      <w:r w:rsidR="00390F1A" w:rsidRPr="00713625">
        <w:rPr>
          <w:sz w:val="20"/>
          <w:szCs w:val="20"/>
        </w:rPr>
        <w:t>, 2009</w:t>
      </w:r>
      <w:r w:rsidR="00D0595E" w:rsidRPr="00713625">
        <w:rPr>
          <w:sz w:val="20"/>
          <w:szCs w:val="20"/>
        </w:rPr>
        <w:t>; Savulescu</w:t>
      </w:r>
      <w:r w:rsidR="004F4F24" w:rsidRPr="00713625">
        <w:rPr>
          <w:sz w:val="20"/>
          <w:szCs w:val="20"/>
          <w:lang w:val="en-US"/>
        </w:rPr>
        <w:t>et al.</w:t>
      </w:r>
      <w:r w:rsidR="00D0595E" w:rsidRPr="00713625">
        <w:rPr>
          <w:sz w:val="20"/>
          <w:szCs w:val="20"/>
        </w:rPr>
        <w:t>, 2013</w:t>
      </w:r>
      <w:r w:rsidR="00390F1A" w:rsidRPr="00713625">
        <w:rPr>
          <w:sz w:val="20"/>
          <w:szCs w:val="20"/>
        </w:rPr>
        <w:t>).</w:t>
      </w:r>
    </w:p>
    <w:p w:rsidR="006E0B13" w:rsidRPr="00713625" w:rsidRDefault="006E0B13" w:rsidP="00B20211">
      <w:pPr>
        <w:snapToGrid w:val="0"/>
        <w:spacing w:before="0" w:after="0" w:line="240" w:lineRule="auto"/>
        <w:ind w:firstLine="425"/>
        <w:rPr>
          <w:sz w:val="20"/>
          <w:szCs w:val="20"/>
          <w:lang w:val="en-US"/>
        </w:rPr>
      </w:pPr>
      <w:r w:rsidRPr="00713625">
        <w:rPr>
          <w:sz w:val="20"/>
          <w:szCs w:val="20"/>
        </w:rPr>
        <w:t xml:space="preserve">In this study, </w:t>
      </w:r>
      <w:r w:rsidR="005F5A93" w:rsidRPr="00713625">
        <w:rPr>
          <w:sz w:val="20"/>
          <w:szCs w:val="20"/>
        </w:rPr>
        <w:t>immunohistochemical</w:t>
      </w:r>
      <w:r w:rsidRPr="00713625">
        <w:rPr>
          <w:sz w:val="20"/>
          <w:szCs w:val="20"/>
        </w:rPr>
        <w:t xml:space="preserve"> analysis revealed that both benign breast lesions (including fibrocystic change and fibroadenomas) and breast carcinoma</w:t>
      </w:r>
      <w:r w:rsidRPr="00713625">
        <w:rPr>
          <w:sz w:val="20"/>
          <w:szCs w:val="20"/>
          <w:lang w:val="en-US"/>
        </w:rPr>
        <w:t xml:space="preserve"> cases showed significantly higher prohibitin expression compared to normal breast tissue</w:t>
      </w:r>
      <w:r w:rsidR="00081AF8" w:rsidRPr="00713625">
        <w:rPr>
          <w:sz w:val="20"/>
          <w:szCs w:val="20"/>
        </w:rPr>
        <w:t>(p&lt;0.</w:t>
      </w:r>
      <w:r w:rsidR="00E330AC" w:rsidRPr="00713625">
        <w:rPr>
          <w:sz w:val="20"/>
          <w:szCs w:val="20"/>
        </w:rPr>
        <w:t>05</w:t>
      </w:r>
      <w:r w:rsidR="00081AF8" w:rsidRPr="00713625">
        <w:rPr>
          <w:sz w:val="20"/>
          <w:szCs w:val="20"/>
        </w:rPr>
        <w:t>)</w:t>
      </w:r>
      <w:r w:rsidRPr="00713625">
        <w:rPr>
          <w:sz w:val="20"/>
          <w:szCs w:val="20"/>
          <w:lang w:val="en-US"/>
        </w:rPr>
        <w:t>, moreover, the expression was significantly higher in breast carcinomas compared to benign breast lesions</w:t>
      </w:r>
      <w:r w:rsidR="00074D94" w:rsidRPr="00713625">
        <w:rPr>
          <w:sz w:val="20"/>
          <w:szCs w:val="20"/>
        </w:rPr>
        <w:t>(p&lt;0.05)</w:t>
      </w:r>
      <w:r w:rsidR="00275251" w:rsidRPr="00713625">
        <w:rPr>
          <w:sz w:val="20"/>
          <w:szCs w:val="20"/>
        </w:rPr>
        <w:t>.</w:t>
      </w:r>
      <w:r w:rsidRPr="00713625">
        <w:rPr>
          <w:sz w:val="20"/>
          <w:szCs w:val="20"/>
          <w:lang w:val="en-US"/>
        </w:rPr>
        <w:t>Similar observations concerning the higher prohibitin expression in carcinomas were reported by other studies indicating that prohibitin expression was up-regulated in tumour cells compared to normal cells in different organs (</w:t>
      </w:r>
      <w:r w:rsidR="00DC3FDE" w:rsidRPr="00713625">
        <w:rPr>
          <w:sz w:val="20"/>
          <w:szCs w:val="20"/>
        </w:rPr>
        <w:t xml:space="preserve">Peng </w:t>
      </w:r>
      <w:r w:rsidR="004F4F24" w:rsidRPr="00713625">
        <w:rPr>
          <w:sz w:val="20"/>
          <w:szCs w:val="20"/>
          <w:lang w:val="en-US"/>
        </w:rPr>
        <w:t>et al.</w:t>
      </w:r>
      <w:r w:rsidR="00DC3FDE" w:rsidRPr="00713625">
        <w:rPr>
          <w:sz w:val="20"/>
          <w:szCs w:val="20"/>
          <w:lang w:bidi="ar-EG"/>
        </w:rPr>
        <w:t xml:space="preserve">, 2006; </w:t>
      </w:r>
      <w:r w:rsidR="00390F1A" w:rsidRPr="00713625">
        <w:rPr>
          <w:sz w:val="20"/>
          <w:szCs w:val="20"/>
          <w:lang w:val="en-US"/>
        </w:rPr>
        <w:t>Najm</w:t>
      </w:r>
      <w:r w:rsidR="004F4F24" w:rsidRPr="00713625">
        <w:rPr>
          <w:sz w:val="20"/>
          <w:szCs w:val="20"/>
          <w:lang w:val="en-US"/>
        </w:rPr>
        <w:t>et al.</w:t>
      </w:r>
      <w:r w:rsidR="00390F1A" w:rsidRPr="00713625">
        <w:rPr>
          <w:sz w:val="20"/>
          <w:szCs w:val="20"/>
          <w:lang w:val="en-US"/>
        </w:rPr>
        <w:t>, 2013</w:t>
      </w:r>
      <w:r w:rsidRPr="00713625">
        <w:rPr>
          <w:sz w:val="20"/>
          <w:szCs w:val="20"/>
          <w:lang w:val="en-US"/>
        </w:rPr>
        <w:t>).</w:t>
      </w:r>
    </w:p>
    <w:p w:rsidR="00DC3FDE" w:rsidRPr="00713625" w:rsidRDefault="006E0B13" w:rsidP="00B20211">
      <w:pPr>
        <w:snapToGrid w:val="0"/>
        <w:spacing w:before="0" w:after="0" w:line="240" w:lineRule="auto"/>
        <w:ind w:firstLine="425"/>
        <w:rPr>
          <w:sz w:val="20"/>
          <w:szCs w:val="20"/>
          <w:lang w:val="en-US"/>
        </w:rPr>
      </w:pPr>
      <w:r w:rsidRPr="00713625">
        <w:rPr>
          <w:sz w:val="20"/>
          <w:szCs w:val="20"/>
          <w:lang w:val="en-US"/>
        </w:rPr>
        <w:t>Within the studied carcinomas, we investigated the relation between prohibitin expression and some clinicopathologic</w:t>
      </w:r>
      <w:r w:rsidR="004E0EA0" w:rsidRPr="00713625">
        <w:rPr>
          <w:sz w:val="20"/>
          <w:szCs w:val="20"/>
          <w:lang w:val="en-US"/>
        </w:rPr>
        <w:t>al</w:t>
      </w:r>
      <w:r w:rsidRPr="00713625">
        <w:rPr>
          <w:sz w:val="20"/>
          <w:szCs w:val="20"/>
          <w:lang w:val="en-US"/>
        </w:rPr>
        <w:t xml:space="preserve"> variables including the histologic grade and tumour stage. We found </w:t>
      </w:r>
      <w:r w:rsidR="00794B2C" w:rsidRPr="00713625">
        <w:rPr>
          <w:sz w:val="20"/>
          <w:szCs w:val="20"/>
          <w:lang w:val="en-US"/>
        </w:rPr>
        <w:t>that</w:t>
      </w:r>
      <w:r w:rsidRPr="00713625">
        <w:rPr>
          <w:sz w:val="20"/>
          <w:szCs w:val="20"/>
          <w:lang w:val="en-US"/>
        </w:rPr>
        <w:t xml:space="preserve"> prohibitin expression </w:t>
      </w:r>
      <w:r w:rsidR="00794B2C" w:rsidRPr="00713625">
        <w:rPr>
          <w:sz w:val="20"/>
          <w:szCs w:val="20"/>
          <w:lang w:val="en-US"/>
        </w:rPr>
        <w:t xml:space="preserve">was increased with increasing tumour </w:t>
      </w:r>
      <w:r w:rsidRPr="00713625">
        <w:rPr>
          <w:sz w:val="20"/>
          <w:szCs w:val="20"/>
          <w:lang w:val="en-US"/>
        </w:rPr>
        <w:t xml:space="preserve">grade, which </w:t>
      </w:r>
      <w:r w:rsidR="00B5628A" w:rsidRPr="00713625">
        <w:rPr>
          <w:sz w:val="20"/>
          <w:szCs w:val="20"/>
          <w:lang w:val="en-US"/>
        </w:rPr>
        <w:t>is</w:t>
      </w:r>
      <w:r w:rsidRPr="00713625">
        <w:rPr>
          <w:sz w:val="20"/>
          <w:szCs w:val="20"/>
          <w:lang w:val="en-US"/>
        </w:rPr>
        <w:t xml:space="preserve"> in accordance with other studies </w:t>
      </w:r>
      <w:r w:rsidR="00DC3FDE" w:rsidRPr="00713625">
        <w:rPr>
          <w:sz w:val="20"/>
          <w:szCs w:val="20"/>
          <w:lang w:val="en-US"/>
        </w:rPr>
        <w:t>(</w:t>
      </w:r>
      <w:r w:rsidR="000B6A5B" w:rsidRPr="00713625">
        <w:rPr>
          <w:sz w:val="20"/>
          <w:szCs w:val="20"/>
          <w:lang w:val="en-US"/>
        </w:rPr>
        <w:t xml:space="preserve">Najm et al., 2013; </w:t>
      </w:r>
      <w:r w:rsidR="00DC3FDE" w:rsidRPr="00713625">
        <w:rPr>
          <w:sz w:val="20"/>
          <w:szCs w:val="20"/>
          <w:lang w:val="en-US"/>
        </w:rPr>
        <w:t xml:space="preserve">Webster </w:t>
      </w:r>
      <w:r w:rsidR="004F4F24" w:rsidRPr="00713625">
        <w:rPr>
          <w:sz w:val="20"/>
          <w:szCs w:val="20"/>
          <w:lang w:val="en-US"/>
        </w:rPr>
        <w:t xml:space="preserve">et </w:t>
      </w:r>
      <w:r w:rsidR="009866E2" w:rsidRPr="00713625">
        <w:rPr>
          <w:sz w:val="20"/>
          <w:szCs w:val="20"/>
          <w:lang w:val="en-US"/>
        </w:rPr>
        <w:t>al., 2013</w:t>
      </w:r>
      <w:r w:rsidR="00DC3FDE" w:rsidRPr="00713625">
        <w:rPr>
          <w:sz w:val="20"/>
          <w:szCs w:val="20"/>
          <w:lang w:val="en-US"/>
        </w:rPr>
        <w:t>).</w:t>
      </w:r>
    </w:p>
    <w:p w:rsidR="00D916B0" w:rsidRPr="00713625" w:rsidRDefault="006E0B13" w:rsidP="00B20211">
      <w:pPr>
        <w:snapToGrid w:val="0"/>
        <w:spacing w:before="0" w:after="0" w:line="240" w:lineRule="auto"/>
        <w:ind w:firstLine="425"/>
        <w:rPr>
          <w:sz w:val="20"/>
          <w:szCs w:val="20"/>
          <w:lang w:val="en-US"/>
        </w:rPr>
      </w:pPr>
      <w:r w:rsidRPr="00713625">
        <w:rPr>
          <w:sz w:val="20"/>
          <w:szCs w:val="20"/>
          <w:lang w:val="en-US"/>
        </w:rPr>
        <w:t xml:space="preserve">We found that prohibitin expression was also significantly </w:t>
      </w:r>
      <w:r w:rsidR="008F3EC7" w:rsidRPr="00713625">
        <w:rPr>
          <w:sz w:val="20"/>
          <w:szCs w:val="20"/>
          <w:lang w:val="en-US"/>
        </w:rPr>
        <w:t xml:space="preserve">increased </w:t>
      </w:r>
      <w:r w:rsidRPr="00713625">
        <w:rPr>
          <w:sz w:val="20"/>
          <w:szCs w:val="20"/>
          <w:lang w:val="en-US"/>
        </w:rPr>
        <w:t xml:space="preserve">with </w:t>
      </w:r>
      <w:r w:rsidR="008F3EC7" w:rsidRPr="00713625">
        <w:rPr>
          <w:sz w:val="20"/>
          <w:szCs w:val="20"/>
          <w:lang w:val="en-US"/>
        </w:rPr>
        <w:t xml:space="preserve">increasing </w:t>
      </w:r>
      <w:r w:rsidRPr="00713625">
        <w:rPr>
          <w:sz w:val="20"/>
          <w:szCs w:val="20"/>
          <w:lang w:val="en-US"/>
        </w:rPr>
        <w:t>tumour stage</w:t>
      </w:r>
      <w:r w:rsidR="007E7616" w:rsidRPr="00713625">
        <w:rPr>
          <w:sz w:val="20"/>
          <w:szCs w:val="20"/>
          <w:lang w:val="en-US"/>
        </w:rPr>
        <w:t xml:space="preserve"> (p&lt;0.001)</w:t>
      </w:r>
      <w:r w:rsidRPr="00713625">
        <w:rPr>
          <w:sz w:val="20"/>
          <w:szCs w:val="20"/>
          <w:lang w:val="en-US"/>
        </w:rPr>
        <w:t xml:space="preserve">. These results </w:t>
      </w:r>
      <w:r w:rsidR="00583744" w:rsidRPr="00713625">
        <w:rPr>
          <w:sz w:val="20"/>
          <w:szCs w:val="20"/>
          <w:lang w:val="en-US"/>
        </w:rPr>
        <w:t>are</w:t>
      </w:r>
      <w:r w:rsidRPr="00713625">
        <w:rPr>
          <w:sz w:val="20"/>
          <w:szCs w:val="20"/>
          <w:lang w:val="en-US"/>
        </w:rPr>
        <w:t xml:space="preserve"> contrasting to those reported by Najm</w:t>
      </w:r>
      <w:r w:rsidR="004F4F24" w:rsidRPr="00713625">
        <w:rPr>
          <w:sz w:val="20"/>
          <w:szCs w:val="20"/>
          <w:lang w:val="en-US"/>
        </w:rPr>
        <w:t>et al.</w:t>
      </w:r>
      <w:r w:rsidRPr="00713625">
        <w:rPr>
          <w:sz w:val="20"/>
          <w:szCs w:val="20"/>
          <w:lang w:val="en-US"/>
        </w:rPr>
        <w:t>(</w:t>
      </w:r>
      <w:r w:rsidR="00390F1A" w:rsidRPr="00713625">
        <w:rPr>
          <w:sz w:val="20"/>
          <w:szCs w:val="20"/>
          <w:lang w:val="en-US"/>
        </w:rPr>
        <w:t>2013</w:t>
      </w:r>
      <w:r w:rsidRPr="00713625">
        <w:rPr>
          <w:sz w:val="20"/>
          <w:szCs w:val="20"/>
          <w:lang w:val="en-US"/>
        </w:rPr>
        <w:t xml:space="preserve">), who found that prohibitin expression was higher in lower stage breast cancer. </w:t>
      </w:r>
      <w:r w:rsidR="00D916B0" w:rsidRPr="00713625">
        <w:rPr>
          <w:sz w:val="20"/>
          <w:szCs w:val="20"/>
          <w:lang w:val="en-US"/>
        </w:rPr>
        <w:t xml:space="preserve">The </w:t>
      </w:r>
      <w:r w:rsidR="00C633A5" w:rsidRPr="00713625">
        <w:rPr>
          <w:sz w:val="20"/>
          <w:szCs w:val="20"/>
          <w:lang w:val="en-US"/>
        </w:rPr>
        <w:t xml:space="preserve">inconsistencies in the results </w:t>
      </w:r>
      <w:r w:rsidR="00D916B0" w:rsidRPr="00713625">
        <w:rPr>
          <w:sz w:val="20"/>
          <w:szCs w:val="20"/>
          <w:lang w:val="en-US"/>
        </w:rPr>
        <w:t xml:space="preserve">may be attributed to the </w:t>
      </w:r>
      <w:r w:rsidR="00F85EE3" w:rsidRPr="00713625">
        <w:rPr>
          <w:sz w:val="20"/>
          <w:szCs w:val="20"/>
          <w:lang w:val="en-US"/>
        </w:rPr>
        <w:t>same factors mentioned in relation to IL-33 expression</w:t>
      </w:r>
      <w:r w:rsidR="00D916B0" w:rsidRPr="00713625">
        <w:rPr>
          <w:sz w:val="20"/>
          <w:szCs w:val="20"/>
          <w:lang w:val="en-US"/>
        </w:rPr>
        <w:t>.</w:t>
      </w:r>
    </w:p>
    <w:p w:rsidR="00D0595E" w:rsidRPr="00713625" w:rsidRDefault="006E0B13" w:rsidP="00B20211">
      <w:pPr>
        <w:snapToGrid w:val="0"/>
        <w:spacing w:before="0" w:after="0" w:line="240" w:lineRule="auto"/>
        <w:ind w:firstLine="425"/>
        <w:rPr>
          <w:sz w:val="20"/>
          <w:szCs w:val="20"/>
        </w:rPr>
      </w:pPr>
      <w:r w:rsidRPr="00713625">
        <w:rPr>
          <w:sz w:val="20"/>
          <w:szCs w:val="20"/>
        </w:rPr>
        <w:t>There is a compelling evidence that prohibitin plays an important role in carcinogenesis</w:t>
      </w:r>
      <w:r w:rsidR="009B69E5" w:rsidRPr="00713625">
        <w:rPr>
          <w:sz w:val="20"/>
          <w:szCs w:val="20"/>
        </w:rPr>
        <w:t>;</w:t>
      </w:r>
      <w:r w:rsidRPr="00713625">
        <w:rPr>
          <w:sz w:val="20"/>
          <w:szCs w:val="20"/>
        </w:rPr>
        <w:t xml:space="preserve"> however, its exact function is </w:t>
      </w:r>
      <w:r w:rsidR="00EB0BA9" w:rsidRPr="00713625">
        <w:rPr>
          <w:sz w:val="20"/>
          <w:szCs w:val="20"/>
        </w:rPr>
        <w:t xml:space="preserve">still </w:t>
      </w:r>
      <w:r w:rsidRPr="00713625">
        <w:rPr>
          <w:sz w:val="20"/>
          <w:szCs w:val="20"/>
        </w:rPr>
        <w:t xml:space="preserve">poorly understood in spite of the different studies. One of the mechanisms suggested to explain the role of </w:t>
      </w:r>
      <w:r w:rsidR="00311AC1" w:rsidRPr="00713625">
        <w:rPr>
          <w:sz w:val="20"/>
          <w:szCs w:val="20"/>
        </w:rPr>
        <w:t>prohibitin</w:t>
      </w:r>
      <w:r w:rsidRPr="00713625">
        <w:rPr>
          <w:sz w:val="20"/>
          <w:szCs w:val="20"/>
        </w:rPr>
        <w:t xml:space="preserve"> as a potential tumour suppressor gene is its interaction with the cell cycle checkpoint molecules, including E2F, p53, and pRB, which was also reinforced by the finding that the overexpression of prohibitin modulated the transcription of multiple genes in the transfection experiments, and that microinjection of prohibitin transcripts resulted in growth arrest in HeLa cells (</w:t>
      </w:r>
      <w:r w:rsidR="00D0595E" w:rsidRPr="00713625">
        <w:rPr>
          <w:sz w:val="20"/>
          <w:szCs w:val="20"/>
        </w:rPr>
        <w:t xml:space="preserve">Peng </w:t>
      </w:r>
      <w:r w:rsidR="004F4F24" w:rsidRPr="00713625">
        <w:rPr>
          <w:sz w:val="20"/>
          <w:szCs w:val="20"/>
          <w:lang w:val="en-US"/>
        </w:rPr>
        <w:t>et al.</w:t>
      </w:r>
      <w:r w:rsidR="00D0595E" w:rsidRPr="00713625">
        <w:rPr>
          <w:sz w:val="20"/>
          <w:szCs w:val="20"/>
        </w:rPr>
        <w:t>, 2006</w:t>
      </w:r>
      <w:r w:rsidRPr="00713625">
        <w:rPr>
          <w:sz w:val="20"/>
          <w:szCs w:val="20"/>
        </w:rPr>
        <w:t xml:space="preserve">). It has been </w:t>
      </w:r>
      <w:r w:rsidR="00D0595E" w:rsidRPr="00713625">
        <w:rPr>
          <w:sz w:val="20"/>
          <w:szCs w:val="20"/>
        </w:rPr>
        <w:t>previously</w:t>
      </w:r>
      <w:r w:rsidRPr="00713625">
        <w:rPr>
          <w:sz w:val="20"/>
          <w:szCs w:val="20"/>
        </w:rPr>
        <w:t xml:space="preserve"> proved to play an important role in cell migration through affection of cell adhesion</w:t>
      </w:r>
      <w:r w:rsidR="00D0595E" w:rsidRPr="00713625">
        <w:rPr>
          <w:sz w:val="20"/>
          <w:szCs w:val="20"/>
        </w:rPr>
        <w:t xml:space="preserve"> (Rajalingam</w:t>
      </w:r>
      <w:r w:rsidR="004F4F24" w:rsidRPr="00713625">
        <w:rPr>
          <w:sz w:val="20"/>
          <w:szCs w:val="20"/>
          <w:lang w:val="en-US"/>
        </w:rPr>
        <w:t>et al.</w:t>
      </w:r>
      <w:r w:rsidR="00D0595E" w:rsidRPr="00713625">
        <w:rPr>
          <w:sz w:val="20"/>
          <w:szCs w:val="20"/>
        </w:rPr>
        <w:t>, 2005)</w:t>
      </w:r>
      <w:r w:rsidR="0026351F" w:rsidRPr="00713625">
        <w:rPr>
          <w:sz w:val="20"/>
          <w:szCs w:val="20"/>
        </w:rPr>
        <w:t>.</w:t>
      </w:r>
    </w:p>
    <w:p w:rsidR="00740B69" w:rsidRPr="00713625" w:rsidRDefault="006E0B13" w:rsidP="00B20211">
      <w:pPr>
        <w:snapToGrid w:val="0"/>
        <w:spacing w:before="0" w:after="0" w:line="240" w:lineRule="auto"/>
        <w:ind w:firstLine="425"/>
        <w:rPr>
          <w:sz w:val="20"/>
          <w:szCs w:val="20"/>
          <w:lang w:val="en-US"/>
        </w:rPr>
      </w:pPr>
      <w:r w:rsidRPr="00713625">
        <w:rPr>
          <w:sz w:val="20"/>
          <w:szCs w:val="20"/>
        </w:rPr>
        <w:t xml:space="preserve">In breast cancer, the consistently higher levels of prohibitin in cancer cells may be due to the transactivation of c-Myc gene </w:t>
      </w:r>
      <w:r w:rsidR="00390F1A" w:rsidRPr="00713625">
        <w:rPr>
          <w:sz w:val="20"/>
          <w:szCs w:val="20"/>
        </w:rPr>
        <w:t>(Nijtmans</w:t>
      </w:r>
      <w:r w:rsidR="004F4F24" w:rsidRPr="00713625">
        <w:rPr>
          <w:sz w:val="20"/>
          <w:szCs w:val="20"/>
          <w:lang w:val="en-US"/>
        </w:rPr>
        <w:t>et al.</w:t>
      </w:r>
      <w:r w:rsidR="00390F1A" w:rsidRPr="00713625">
        <w:rPr>
          <w:sz w:val="20"/>
          <w:szCs w:val="20"/>
        </w:rPr>
        <w:t>, 2002)</w:t>
      </w:r>
      <w:r w:rsidRPr="00713625">
        <w:rPr>
          <w:sz w:val="20"/>
          <w:szCs w:val="20"/>
        </w:rPr>
        <w:t xml:space="preserve">. Other explanations for the upregulation of prohibitin expression in breast cancer are its overexpression in </w:t>
      </w:r>
      <w:r w:rsidRPr="00713625">
        <w:rPr>
          <w:sz w:val="20"/>
          <w:szCs w:val="20"/>
        </w:rPr>
        <w:lastRenderedPageBreak/>
        <w:t>metabolic stress after heat shock or oxidative stress, or as one of the attempts of the cell to suppress the high proliferation rate (</w:t>
      </w:r>
      <w:r w:rsidR="00390F1A" w:rsidRPr="00713625">
        <w:rPr>
          <w:sz w:val="20"/>
          <w:szCs w:val="20"/>
        </w:rPr>
        <w:t>Najm</w:t>
      </w:r>
      <w:r w:rsidR="004F4F24" w:rsidRPr="00713625">
        <w:rPr>
          <w:sz w:val="20"/>
          <w:szCs w:val="20"/>
          <w:lang w:val="en-US"/>
        </w:rPr>
        <w:t>et al.</w:t>
      </w:r>
      <w:r w:rsidR="00390F1A" w:rsidRPr="00713625">
        <w:rPr>
          <w:sz w:val="20"/>
          <w:szCs w:val="20"/>
        </w:rPr>
        <w:t xml:space="preserve"> 2013</w:t>
      </w:r>
      <w:r w:rsidRPr="00713625">
        <w:rPr>
          <w:sz w:val="20"/>
          <w:szCs w:val="20"/>
        </w:rPr>
        <w:t>). These ﬁndings reveal the importance of prohibitin as crucial gen</w:t>
      </w:r>
      <w:r w:rsidR="00F67C72" w:rsidRPr="00713625">
        <w:rPr>
          <w:sz w:val="20"/>
          <w:szCs w:val="20"/>
        </w:rPr>
        <w:t xml:space="preserve">e in breast cancer pathogenesis, </w:t>
      </w:r>
      <w:r w:rsidRPr="00713625">
        <w:rPr>
          <w:sz w:val="20"/>
          <w:szCs w:val="20"/>
        </w:rPr>
        <w:t>progression</w:t>
      </w:r>
      <w:r w:rsidR="00F67C72" w:rsidRPr="00713625">
        <w:rPr>
          <w:sz w:val="20"/>
          <w:szCs w:val="20"/>
        </w:rPr>
        <w:t xml:space="preserve"> and treatment</w:t>
      </w:r>
      <w:r w:rsidRPr="00713625">
        <w:rPr>
          <w:sz w:val="20"/>
          <w:szCs w:val="20"/>
        </w:rPr>
        <w:t xml:space="preserve">. </w:t>
      </w:r>
      <w:r w:rsidR="00740B69" w:rsidRPr="00713625">
        <w:rPr>
          <w:sz w:val="20"/>
          <w:szCs w:val="20"/>
        </w:rPr>
        <w:t xml:space="preserve">Moreover, </w:t>
      </w:r>
      <w:r w:rsidR="00740B69" w:rsidRPr="00713625">
        <w:rPr>
          <w:sz w:val="20"/>
          <w:szCs w:val="20"/>
          <w:lang w:val="en-US"/>
        </w:rPr>
        <w:t>the upregulation of prohibitin expression with increasing tumour grade and stage observed in this study suggests its value as a poor prognostic marker in breast cancer.</w:t>
      </w:r>
    </w:p>
    <w:p w:rsidR="00827344" w:rsidRPr="00713625" w:rsidRDefault="00827344" w:rsidP="00B20211">
      <w:pPr>
        <w:snapToGrid w:val="0"/>
        <w:spacing w:before="0" w:after="0" w:line="240" w:lineRule="auto"/>
        <w:ind w:firstLine="425"/>
        <w:rPr>
          <w:sz w:val="20"/>
          <w:szCs w:val="20"/>
          <w:lang w:val="en-US" w:eastAsia="zh-CN"/>
        </w:rPr>
      </w:pPr>
      <w:r w:rsidRPr="00713625">
        <w:rPr>
          <w:sz w:val="20"/>
          <w:szCs w:val="20"/>
          <w:lang w:val="en-US"/>
        </w:rPr>
        <w:t xml:space="preserve">In this study, </w:t>
      </w:r>
      <w:r w:rsidR="00841D9B" w:rsidRPr="00713625">
        <w:rPr>
          <w:sz w:val="20"/>
          <w:szCs w:val="20"/>
        </w:rPr>
        <w:t xml:space="preserve">a significant positive correlation was found between the serum level of IL-33 and its immunohistochemical expression in all studied groups </w:t>
      </w:r>
      <w:r w:rsidR="00841D9B" w:rsidRPr="00713625">
        <w:rPr>
          <w:sz w:val="20"/>
          <w:szCs w:val="20"/>
          <w:lang w:bidi="ar-EG"/>
        </w:rPr>
        <w:t>(p&lt;0.05</w:t>
      </w:r>
      <w:r w:rsidR="00E10AD0" w:rsidRPr="00713625">
        <w:rPr>
          <w:sz w:val="20"/>
          <w:szCs w:val="20"/>
          <w:lang w:bidi="ar-EG"/>
        </w:rPr>
        <w:t>).</w:t>
      </w:r>
      <w:r w:rsidR="00E10AD0" w:rsidRPr="00713625">
        <w:rPr>
          <w:sz w:val="20"/>
          <w:szCs w:val="20"/>
          <w:lang w:val="en-US"/>
        </w:rPr>
        <w:t xml:space="preserve"> Additionally, </w:t>
      </w:r>
      <w:r w:rsidR="00841D9B" w:rsidRPr="00713625">
        <w:rPr>
          <w:sz w:val="20"/>
          <w:szCs w:val="20"/>
          <w:lang w:bidi="ar-EG"/>
        </w:rPr>
        <w:t xml:space="preserve">a significant positive correlation between </w:t>
      </w:r>
      <w:r w:rsidR="00841D9B" w:rsidRPr="00713625">
        <w:rPr>
          <w:sz w:val="20"/>
          <w:szCs w:val="20"/>
        </w:rPr>
        <w:t>IL-33 and prohibitin immunohistochemical expression</w:t>
      </w:r>
      <w:r w:rsidR="00E10AD0" w:rsidRPr="00713625">
        <w:rPr>
          <w:sz w:val="20"/>
          <w:szCs w:val="20"/>
        </w:rPr>
        <w:t xml:space="preserve"> was found</w:t>
      </w:r>
      <w:r w:rsidR="00841D9B" w:rsidRPr="00713625">
        <w:rPr>
          <w:sz w:val="20"/>
          <w:szCs w:val="20"/>
        </w:rPr>
        <w:t xml:space="preserve"> in malignant breast tumours </w:t>
      </w:r>
      <w:r w:rsidR="00841D9B" w:rsidRPr="00713625">
        <w:rPr>
          <w:sz w:val="20"/>
          <w:szCs w:val="20"/>
          <w:lang w:bidi="ar-EG"/>
        </w:rPr>
        <w:t>(p&lt;0.05).</w:t>
      </w:r>
      <w:r w:rsidR="00E10AD0" w:rsidRPr="00713625">
        <w:rPr>
          <w:sz w:val="20"/>
          <w:szCs w:val="20"/>
          <w:lang w:val="en-US"/>
        </w:rPr>
        <w:t xml:space="preserve">These results indicate that serum IL-33 </w:t>
      </w:r>
      <w:r w:rsidR="003B3B2A" w:rsidRPr="00713625">
        <w:rPr>
          <w:sz w:val="20"/>
          <w:szCs w:val="20"/>
          <w:lang w:val="en-US"/>
        </w:rPr>
        <w:t>may</w:t>
      </w:r>
      <w:r w:rsidR="00E10AD0" w:rsidRPr="00713625">
        <w:rPr>
          <w:sz w:val="20"/>
          <w:szCs w:val="20"/>
          <w:lang w:val="en-US"/>
        </w:rPr>
        <w:t xml:space="preserve"> be used as a simple non-invasive technique for predicting the prognosis of breast cancer.</w:t>
      </w:r>
    </w:p>
    <w:p w:rsidR="00B20211" w:rsidRPr="00713625" w:rsidRDefault="00B20211" w:rsidP="00B20211">
      <w:pPr>
        <w:snapToGrid w:val="0"/>
        <w:spacing w:before="0" w:after="0" w:line="240" w:lineRule="auto"/>
        <w:ind w:firstLine="425"/>
        <w:rPr>
          <w:sz w:val="20"/>
          <w:szCs w:val="20"/>
          <w:lang w:val="en-US" w:eastAsia="zh-CN"/>
        </w:rPr>
      </w:pPr>
    </w:p>
    <w:p w:rsidR="004A2B74" w:rsidRPr="00713625" w:rsidRDefault="00B20211" w:rsidP="00B20211">
      <w:pPr>
        <w:snapToGrid w:val="0"/>
        <w:spacing w:before="0" w:after="0" w:line="240" w:lineRule="auto"/>
        <w:ind w:firstLine="0"/>
        <w:rPr>
          <w:sz w:val="20"/>
          <w:szCs w:val="20"/>
        </w:rPr>
      </w:pPr>
      <w:r w:rsidRPr="00713625">
        <w:rPr>
          <w:b/>
          <w:bCs/>
          <w:sz w:val="20"/>
          <w:szCs w:val="20"/>
        </w:rPr>
        <w:t>5. Conclusion</w:t>
      </w:r>
    </w:p>
    <w:p w:rsidR="00EE1720" w:rsidRPr="00713625" w:rsidRDefault="00F2470F" w:rsidP="00B20211">
      <w:pPr>
        <w:autoSpaceDE w:val="0"/>
        <w:autoSpaceDN w:val="0"/>
        <w:adjustRightInd w:val="0"/>
        <w:snapToGrid w:val="0"/>
        <w:spacing w:before="0" w:after="0" w:line="240" w:lineRule="auto"/>
        <w:ind w:firstLine="425"/>
        <w:rPr>
          <w:sz w:val="20"/>
          <w:szCs w:val="20"/>
          <w:lang w:eastAsia="zh-CN"/>
        </w:rPr>
      </w:pPr>
      <w:r w:rsidRPr="00713625">
        <w:rPr>
          <w:sz w:val="20"/>
          <w:szCs w:val="20"/>
        </w:rPr>
        <w:t xml:space="preserve">IL-33/ST2 and prohibitin have vital roles in breast cancer development.  </w:t>
      </w:r>
      <w:r w:rsidR="00EE1720" w:rsidRPr="00713625">
        <w:rPr>
          <w:sz w:val="20"/>
          <w:szCs w:val="20"/>
        </w:rPr>
        <w:t>The increased expression of IL-33 and prohibitin with increasing tumour grade and stage indicates that they may be useful prognostic markers for breast cancer.</w:t>
      </w:r>
    </w:p>
    <w:p w:rsidR="00B20211" w:rsidRPr="00713625" w:rsidRDefault="00B20211" w:rsidP="00B20211">
      <w:pPr>
        <w:autoSpaceDE w:val="0"/>
        <w:autoSpaceDN w:val="0"/>
        <w:adjustRightInd w:val="0"/>
        <w:snapToGrid w:val="0"/>
        <w:spacing w:before="0" w:after="0" w:line="240" w:lineRule="auto"/>
        <w:ind w:firstLine="425"/>
        <w:rPr>
          <w:sz w:val="20"/>
          <w:szCs w:val="20"/>
          <w:lang w:eastAsia="zh-CN"/>
        </w:rPr>
      </w:pPr>
    </w:p>
    <w:p w:rsidR="00066CCB" w:rsidRPr="00713625" w:rsidRDefault="00066CCB" w:rsidP="00B20211">
      <w:pPr>
        <w:autoSpaceDE w:val="0"/>
        <w:autoSpaceDN w:val="0"/>
        <w:adjustRightInd w:val="0"/>
        <w:snapToGrid w:val="0"/>
        <w:spacing w:before="0" w:after="0" w:line="240" w:lineRule="auto"/>
        <w:ind w:firstLine="0"/>
        <w:rPr>
          <w:b/>
          <w:bCs/>
          <w:sz w:val="20"/>
          <w:szCs w:val="20"/>
        </w:rPr>
      </w:pPr>
      <w:r w:rsidRPr="00713625">
        <w:rPr>
          <w:b/>
          <w:bCs/>
          <w:sz w:val="20"/>
          <w:szCs w:val="20"/>
        </w:rPr>
        <w:t>Conflict of interest</w:t>
      </w:r>
    </w:p>
    <w:p w:rsidR="00066CCB" w:rsidRPr="00713625" w:rsidRDefault="00066CCB" w:rsidP="00B20211">
      <w:pPr>
        <w:pStyle w:val="CommentText"/>
        <w:snapToGrid w:val="0"/>
        <w:spacing w:before="0" w:after="0"/>
        <w:ind w:firstLine="425"/>
        <w:rPr>
          <w:lang w:eastAsia="zh-CN"/>
        </w:rPr>
      </w:pPr>
      <w:r w:rsidRPr="00713625">
        <w:t>There is no conflict of interest or financial ties to include.</w:t>
      </w:r>
    </w:p>
    <w:p w:rsidR="00B20211" w:rsidRPr="00713625" w:rsidRDefault="00B20211" w:rsidP="00B20211">
      <w:pPr>
        <w:pStyle w:val="CommentText"/>
        <w:snapToGrid w:val="0"/>
        <w:spacing w:before="0" w:after="0"/>
        <w:ind w:firstLine="425"/>
        <w:rPr>
          <w:lang w:eastAsia="zh-CN"/>
        </w:rPr>
      </w:pPr>
    </w:p>
    <w:p w:rsidR="00C74C77" w:rsidRPr="00713625" w:rsidRDefault="0018529B" w:rsidP="00B20211">
      <w:pPr>
        <w:snapToGrid w:val="0"/>
        <w:spacing w:before="0" w:after="0" w:line="240" w:lineRule="auto"/>
        <w:ind w:firstLine="0"/>
        <w:rPr>
          <w:sz w:val="20"/>
          <w:szCs w:val="20"/>
          <w:lang w:val="en-US"/>
        </w:rPr>
      </w:pPr>
      <w:r w:rsidRPr="00713625">
        <w:rPr>
          <w:b/>
          <w:bCs/>
          <w:sz w:val="20"/>
          <w:szCs w:val="20"/>
        </w:rPr>
        <w:t>References</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Abdulkareem IH. Aetio-pathogenesis of breast cancer. Niger Med J. 2013</w:t>
      </w:r>
      <w:r w:rsidR="005822DE" w:rsidRPr="00713625">
        <w:rPr>
          <w:sz w:val="20"/>
          <w:szCs w:val="20"/>
        </w:rPr>
        <w:t>; 54</w:t>
      </w:r>
      <w:r w:rsidRPr="00713625">
        <w:rPr>
          <w:sz w:val="20"/>
          <w:szCs w:val="20"/>
        </w:rPr>
        <w:t>(6):371-5.</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Bergis D, Kassis V, Ranglack A, Koeberle V, Piiper A, Kronenberger B, </w:t>
      </w:r>
      <w:r w:rsidR="00475268" w:rsidRPr="00713625">
        <w:rPr>
          <w:sz w:val="20"/>
          <w:szCs w:val="20"/>
          <w:lang w:val="en-US"/>
        </w:rPr>
        <w:t xml:space="preserve">et al. </w:t>
      </w:r>
      <w:r w:rsidRPr="00713625">
        <w:rPr>
          <w:sz w:val="20"/>
          <w:szCs w:val="20"/>
        </w:rPr>
        <w:t>High Serum Levels of the Interleukin-33 Receptor Soluble ST2 as a Negative Prognostic Factor in Hepatocellular Carcinoma. TranslOncol. 2013</w:t>
      </w:r>
      <w:r w:rsidR="005822DE" w:rsidRPr="00713625">
        <w:rPr>
          <w:sz w:val="20"/>
          <w:szCs w:val="20"/>
        </w:rPr>
        <w:t>; 6</w:t>
      </w:r>
      <w:r w:rsidRPr="00713625">
        <w:rPr>
          <w:sz w:val="20"/>
          <w:szCs w:val="20"/>
        </w:rPr>
        <w:t>(3):311-8.</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Chen XJ, Huang YD, Li N, Chen M, Liu F, Pu D, </w:t>
      </w:r>
      <w:r w:rsidR="00475268" w:rsidRPr="00713625">
        <w:rPr>
          <w:sz w:val="20"/>
          <w:szCs w:val="20"/>
          <w:lang w:val="en-US"/>
        </w:rPr>
        <w:t>et al.</w:t>
      </w:r>
      <w:r w:rsidRPr="00713625">
        <w:rPr>
          <w:sz w:val="20"/>
          <w:szCs w:val="20"/>
        </w:rPr>
        <w:t>Correlations between serum IL33 and tumour development: a meta-analysis. Asian Pac J Cancer Prev 2014</w:t>
      </w:r>
      <w:r w:rsidR="00421EDC" w:rsidRPr="00713625">
        <w:rPr>
          <w:sz w:val="20"/>
          <w:szCs w:val="20"/>
        </w:rPr>
        <w:t>, 15</w:t>
      </w:r>
      <w:r w:rsidRPr="00713625">
        <w:rPr>
          <w:sz w:val="20"/>
          <w:szCs w:val="20"/>
        </w:rPr>
        <w:t>(8):3503-5.</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Elston CW, Ellis IO. Pathological prognostic factors in breast cancer. I. The value of histological grade in breast cancer: experience from a large study with long-term follow-up. Histopathology 1991; 19 (5):403–10.</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Franzoni A, Dima M, D'Agostino M, Puppin C, Fabbro D, Loreto C D, </w:t>
      </w:r>
      <w:r w:rsidR="00475268" w:rsidRPr="00713625">
        <w:rPr>
          <w:sz w:val="20"/>
          <w:szCs w:val="20"/>
          <w:lang w:val="en-US"/>
        </w:rPr>
        <w:t xml:space="preserve">et al. </w:t>
      </w:r>
      <w:r w:rsidRPr="00713625">
        <w:rPr>
          <w:sz w:val="20"/>
          <w:szCs w:val="20"/>
        </w:rPr>
        <w:t>Prohibitin is overexpressed in papillary thyroid carcinomas bearing the BRAF(V600E) mutation. Thyroid 2009; 19 (3):247-55.</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Gillibert-Duplantier J, Duthey B, Sisirak V, Salaun D, Gargi T, Tredan O,</w:t>
      </w:r>
      <w:r w:rsidR="00475268" w:rsidRPr="00713625">
        <w:rPr>
          <w:sz w:val="20"/>
          <w:szCs w:val="20"/>
          <w:lang w:val="en-US"/>
        </w:rPr>
        <w:t xml:space="preserve">et al. </w:t>
      </w:r>
      <w:r w:rsidRPr="00713625">
        <w:rPr>
          <w:sz w:val="20"/>
          <w:szCs w:val="20"/>
        </w:rPr>
        <w:t xml:space="preserve">Gene </w:t>
      </w:r>
      <w:r w:rsidRPr="00713625">
        <w:rPr>
          <w:sz w:val="20"/>
          <w:szCs w:val="20"/>
        </w:rPr>
        <w:lastRenderedPageBreak/>
        <w:t>expression proﬁling identiﬁes sST2 as an effector of ErbB2-driven breast carcinoma cell motility, associated with metastasis. Oncogene 2012; 31(30):3516–24.</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Gou HF, Chen XC, Zhu J, Jiang M,  Yang Y, Cao D, and Hou M. Expressions of COX-2 and VEGF-C in gastric cancer: correlations with lymphangiogenesis and prognostic implications. Journal of Experimental &amp; Clinical Cancer Research 2011; 30:14.</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Ismail GM, Abd El Hamid AA, AbdElNaby AG. Assessment of Factors that Hinder Early Detection of Breast Cancer among Females at Cairo University Hospital. World Applied Sciences Journal 2013; 23 (1): 99-108.</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Jovanovic IP, Pejnovic NN, Radosavljevic GD, Arsenijevic NN, Lukic ML. IL-33/ST2 axis in innate and acquired immunity to tumours. Oncoimmunology 2012</w:t>
      </w:r>
      <w:r w:rsidR="00795DE6" w:rsidRPr="00713625">
        <w:rPr>
          <w:sz w:val="20"/>
          <w:szCs w:val="20"/>
        </w:rPr>
        <w:t>; 1</w:t>
      </w:r>
      <w:r w:rsidRPr="00713625">
        <w:rPr>
          <w:sz w:val="20"/>
          <w:szCs w:val="20"/>
        </w:rPr>
        <w:t>(2):229-31.</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Jovanovic IP, Pejnovic NN, Radosavljevic GD, Pantic JM, Milovanovic MZ, Arsenijevic NN, </w:t>
      </w:r>
      <w:r w:rsidR="00475268" w:rsidRPr="00713625">
        <w:rPr>
          <w:sz w:val="20"/>
          <w:szCs w:val="20"/>
          <w:lang w:val="en-US"/>
        </w:rPr>
        <w:t xml:space="preserve">et al. </w:t>
      </w:r>
      <w:r w:rsidRPr="00713625">
        <w:rPr>
          <w:sz w:val="20"/>
          <w:szCs w:val="20"/>
        </w:rPr>
        <w:t>Interleukin-33/ST2 axis promotes breast cancer growth and metastases by facilitating intratumoural accumulation of immunosuppressive and innate lymphoid cells. Int JCancer.2014</w:t>
      </w:r>
      <w:r w:rsidR="00795DE6" w:rsidRPr="00713625">
        <w:rPr>
          <w:sz w:val="20"/>
          <w:szCs w:val="20"/>
        </w:rPr>
        <w:t>; 134</w:t>
      </w:r>
      <w:r w:rsidRPr="00713625">
        <w:rPr>
          <w:sz w:val="20"/>
          <w:szCs w:val="20"/>
        </w:rPr>
        <w:t>(7):1669-82.</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Jovanovic IP, Radosavljevic G, Mitrovic M, Juranic VL, McKenzie AN, Arsenijevic N, </w:t>
      </w:r>
      <w:r w:rsidR="00475268" w:rsidRPr="00713625">
        <w:rPr>
          <w:sz w:val="20"/>
          <w:szCs w:val="20"/>
          <w:lang w:val="en-US"/>
        </w:rPr>
        <w:t xml:space="preserve">et al. </w:t>
      </w:r>
      <w:r w:rsidRPr="00713625">
        <w:rPr>
          <w:sz w:val="20"/>
          <w:szCs w:val="20"/>
        </w:rPr>
        <w:t>ST2 deletion enhances innate and acquired immunity to murine mammary carcinoma. Eur J Immunol 2011, 41(7):1902-12.</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Kim JY, Lim SC, Kim G, Yun HJ, Ahn SG, and Choi HS. Interleukin-33/ST2 axis promotes epithelial cell transformation and breast tumourigenesis via upregulation of COT activity. Oncogene 2015; 34(38):4928-38.</w:t>
      </w:r>
    </w:p>
    <w:p w:rsidR="00EF6557" w:rsidRPr="00713625" w:rsidRDefault="00EF655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Kirkpatrick LA, Feeney BC. A Simple Guide to IBM SPSS Statistics for Version 20.0. Student ed. Belmont, CA: Wadsworth, Cengage Learning (2013).</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Kruk J. Overweight, obesity, oxidative stress and the risk of breast cancer. Asian Pac J Cancer Prev. 2014</w:t>
      </w:r>
      <w:r w:rsidR="00421EDC" w:rsidRPr="00713625">
        <w:rPr>
          <w:sz w:val="20"/>
          <w:szCs w:val="20"/>
        </w:rPr>
        <w:t>; 15</w:t>
      </w:r>
      <w:r w:rsidRPr="00713625">
        <w:rPr>
          <w:sz w:val="20"/>
          <w:szCs w:val="20"/>
        </w:rPr>
        <w:t>(22):9579-86.</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Liew FY, Pitman NI, McInnes IB. Disease-associated functions of IL-33: the new kid in the IL-1family</w:t>
      </w:r>
      <w:r w:rsidR="003B4EBE" w:rsidRPr="00713625">
        <w:rPr>
          <w:sz w:val="20"/>
          <w:szCs w:val="20"/>
        </w:rPr>
        <w:t>. N</w:t>
      </w:r>
      <w:r w:rsidRPr="00713625">
        <w:rPr>
          <w:sz w:val="20"/>
          <w:szCs w:val="20"/>
        </w:rPr>
        <w:t>at Rev Immunol 2010</w:t>
      </w:r>
      <w:r w:rsidR="00421EDC" w:rsidRPr="00713625">
        <w:rPr>
          <w:sz w:val="20"/>
          <w:szCs w:val="20"/>
        </w:rPr>
        <w:t>; 10</w:t>
      </w:r>
      <w:r w:rsidRPr="00713625">
        <w:rPr>
          <w:sz w:val="20"/>
          <w:szCs w:val="20"/>
        </w:rPr>
        <w:t xml:space="preserve"> (2):103–10.</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Liu J, Shen J X, Hu J L, Huang W H, </w:t>
      </w:r>
      <w:r w:rsidR="00421EDC" w:rsidRPr="00713625">
        <w:rPr>
          <w:sz w:val="20"/>
          <w:szCs w:val="20"/>
        </w:rPr>
        <w:t>and Zhang</w:t>
      </w:r>
      <w:r w:rsidRPr="00713625">
        <w:rPr>
          <w:sz w:val="20"/>
          <w:szCs w:val="20"/>
        </w:rPr>
        <w:t xml:space="preserve"> G J. Significance of interleukin-33 and its related cytokines in patients with breast cancers. Front. Immunol. 2014; 5(141):1-7.</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Lu DP, Zhou XY, Yao LT, Liu CG, Ma W, Jin F, </w:t>
      </w:r>
      <w:r w:rsidR="00475268" w:rsidRPr="00713625">
        <w:rPr>
          <w:sz w:val="20"/>
          <w:szCs w:val="20"/>
          <w:lang w:val="en-US"/>
        </w:rPr>
        <w:t xml:space="preserve">et al. </w:t>
      </w:r>
      <w:r w:rsidRPr="00713625">
        <w:rPr>
          <w:sz w:val="20"/>
          <w:szCs w:val="20"/>
        </w:rPr>
        <w:t>Serum soluble ST2 is associated with ER-positive breast cancer. BMC Cancer. 2014</w:t>
      </w:r>
      <w:r w:rsidR="00421EDC" w:rsidRPr="00713625">
        <w:rPr>
          <w:sz w:val="20"/>
          <w:szCs w:val="20"/>
        </w:rPr>
        <w:t>; 14:198</w:t>
      </w:r>
      <w:r w:rsidRPr="00713625">
        <w:rPr>
          <w:sz w:val="20"/>
          <w:szCs w:val="20"/>
        </w:rPr>
        <w:t>.</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lastRenderedPageBreak/>
        <w:t>Martin NT</w:t>
      </w:r>
      <w:r w:rsidR="00371B23" w:rsidRPr="00713625">
        <w:rPr>
          <w:sz w:val="20"/>
          <w:szCs w:val="20"/>
        </w:rPr>
        <w:t>;</w:t>
      </w:r>
      <w:r w:rsidRPr="00713625">
        <w:rPr>
          <w:sz w:val="20"/>
          <w:szCs w:val="20"/>
        </w:rPr>
        <w:t xml:space="preserve"> Martin MU. Interleukin 33 is a guardian of barriers and a local alarmin. Nature Immunology 2016; 17:122-131.</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Miller AB. Screening for breast cancer in the Eastern Mediterranean Region. East. Mediterr. Health J.</w:t>
      </w:r>
      <w:r w:rsidR="00795DE6" w:rsidRPr="00713625">
        <w:rPr>
          <w:sz w:val="20"/>
          <w:szCs w:val="20"/>
        </w:rPr>
        <w:t>, 2010</w:t>
      </w:r>
      <w:r w:rsidRPr="00713625">
        <w:rPr>
          <w:sz w:val="20"/>
          <w:szCs w:val="20"/>
        </w:rPr>
        <w:t>; 16(10): 1022-4.</w:t>
      </w:r>
    </w:p>
    <w:p w:rsidR="00537717" w:rsidRPr="00713625" w:rsidRDefault="00F27624"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hyperlink r:id="rId29" w:history="1">
        <w:r w:rsidR="00537717" w:rsidRPr="00713625">
          <w:rPr>
            <w:sz w:val="20"/>
            <w:szCs w:val="20"/>
          </w:rPr>
          <w:t>Milovanovic M</w:t>
        </w:r>
      </w:hyperlink>
      <w:r w:rsidR="00537717" w:rsidRPr="00713625">
        <w:rPr>
          <w:sz w:val="20"/>
          <w:szCs w:val="20"/>
        </w:rPr>
        <w:t xml:space="preserve">, </w:t>
      </w:r>
      <w:hyperlink r:id="rId30" w:history="1">
        <w:r w:rsidR="00537717" w:rsidRPr="00713625">
          <w:rPr>
            <w:sz w:val="20"/>
            <w:szCs w:val="20"/>
          </w:rPr>
          <w:t>Volarevic V</w:t>
        </w:r>
      </w:hyperlink>
      <w:r w:rsidR="00537717" w:rsidRPr="00713625">
        <w:rPr>
          <w:sz w:val="20"/>
          <w:szCs w:val="20"/>
        </w:rPr>
        <w:t xml:space="preserve">, </w:t>
      </w:r>
      <w:hyperlink r:id="rId31" w:history="1">
        <w:r w:rsidR="00537717" w:rsidRPr="00713625">
          <w:rPr>
            <w:sz w:val="20"/>
            <w:szCs w:val="20"/>
          </w:rPr>
          <w:t>Radosavljevic G</w:t>
        </w:r>
      </w:hyperlink>
      <w:r w:rsidR="00537717" w:rsidRPr="00713625">
        <w:rPr>
          <w:sz w:val="20"/>
          <w:szCs w:val="20"/>
        </w:rPr>
        <w:t xml:space="preserve">, </w:t>
      </w:r>
      <w:hyperlink r:id="rId32" w:history="1">
        <w:r w:rsidR="00537717" w:rsidRPr="00713625">
          <w:rPr>
            <w:sz w:val="20"/>
            <w:szCs w:val="20"/>
          </w:rPr>
          <w:t>Jovanovic I</w:t>
        </w:r>
      </w:hyperlink>
      <w:r w:rsidR="00537717" w:rsidRPr="00713625">
        <w:rPr>
          <w:sz w:val="20"/>
          <w:szCs w:val="20"/>
        </w:rPr>
        <w:t xml:space="preserve">, </w:t>
      </w:r>
      <w:hyperlink r:id="rId33" w:history="1">
        <w:r w:rsidR="00537717" w:rsidRPr="00713625">
          <w:rPr>
            <w:sz w:val="20"/>
            <w:szCs w:val="20"/>
          </w:rPr>
          <w:t>Pejnovic N</w:t>
        </w:r>
      </w:hyperlink>
      <w:r w:rsidR="00537717" w:rsidRPr="00713625">
        <w:rPr>
          <w:sz w:val="20"/>
          <w:szCs w:val="20"/>
        </w:rPr>
        <w:t xml:space="preserve">, </w:t>
      </w:r>
      <w:hyperlink r:id="rId34" w:history="1">
        <w:r w:rsidR="00537717" w:rsidRPr="00713625">
          <w:rPr>
            <w:sz w:val="20"/>
            <w:szCs w:val="20"/>
          </w:rPr>
          <w:t>Arsenijevic N</w:t>
        </w:r>
      </w:hyperlink>
      <w:r w:rsidR="003B4EBE" w:rsidRPr="00713625">
        <w:rPr>
          <w:sz w:val="20"/>
          <w:szCs w:val="20"/>
        </w:rPr>
        <w:t>, e</w:t>
      </w:r>
      <w:r w:rsidR="00537717" w:rsidRPr="00713625">
        <w:rPr>
          <w:sz w:val="20"/>
          <w:szCs w:val="20"/>
        </w:rPr>
        <w:t xml:space="preserve">t al. IL-33/ST2 axis in inflammation and immunopathology. </w:t>
      </w:r>
      <w:hyperlink r:id="rId35" w:tooltip="Immunologic research." w:history="1">
        <w:r w:rsidR="00537717" w:rsidRPr="00713625">
          <w:rPr>
            <w:sz w:val="20"/>
            <w:szCs w:val="20"/>
          </w:rPr>
          <w:t>Immunol Res.</w:t>
        </w:r>
      </w:hyperlink>
      <w:r w:rsidR="00795DE6" w:rsidRPr="00713625">
        <w:rPr>
          <w:sz w:val="20"/>
          <w:szCs w:val="20"/>
        </w:rPr>
        <w:t>2012; 52</w:t>
      </w:r>
      <w:r w:rsidR="00537717" w:rsidRPr="00713625">
        <w:rPr>
          <w:sz w:val="20"/>
          <w:szCs w:val="20"/>
        </w:rPr>
        <w:t>(1-2):89-99.</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Najm MZ, Zaidi S, Siddiqui WA, and Husain SA. Immunohistochemical expression and mutation study of Prohibitin gene in Indian female breast cancer cases). Med Oncol 2013; 30:614.</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Nijtmans LG, Artal SM, Grivell LA, and Coates PJ. The mitochondrial PHB complex: roles in mitochondrial respiratory complex assembly, ageing and degenerative disease. Cell Mol Life Sci 2002; 59: 143-55.</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Peng X, Mehta R, Wang S, Chellappan S, and Mehta R G. Prohibitin is a novel target gene of vitamin D involved in its antiproliferative action in breast cancer cells. Cancer Res 2006; 66(14):7361-9.</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lastRenderedPageBreak/>
        <w:t xml:space="preserve">Rajalingam K, Wunder C, Brinkmann V, Churin Y, Hekman M, Sievers C, </w:t>
      </w:r>
      <w:r w:rsidR="00475268" w:rsidRPr="00713625">
        <w:rPr>
          <w:sz w:val="20"/>
          <w:szCs w:val="20"/>
          <w:lang w:val="en-US"/>
        </w:rPr>
        <w:t xml:space="preserve">et al. </w:t>
      </w:r>
      <w:r w:rsidRPr="00713625">
        <w:rPr>
          <w:sz w:val="20"/>
          <w:szCs w:val="20"/>
        </w:rPr>
        <w:t>Prohibitin is required for Ras-induced Raf-MEK-ERK activation and epithelial cell migration. Nat Cell Biol 2005; 7: 837-43.</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Savulescu D, Feng J, Ping YS, Mai O, Boehm U, He B et al. Gonadotropin-releasing hormone-regulated prohibitin mediates apoptosis of the gonadotrope cells. MolEndocrinol 2013; 27:1856–70.</w:t>
      </w:r>
    </w:p>
    <w:p w:rsidR="00537717" w:rsidRPr="00713625" w:rsidRDefault="00537717" w:rsidP="00B20211">
      <w:pPr>
        <w:pStyle w:val="ListParagraph"/>
        <w:numPr>
          <w:ilvl w:val="0"/>
          <w:numId w:val="17"/>
        </w:numPr>
        <w:autoSpaceDE w:val="0"/>
        <w:autoSpaceDN w:val="0"/>
        <w:adjustRightInd w:val="0"/>
        <w:snapToGrid w:val="0"/>
        <w:spacing w:before="0" w:after="0" w:line="240" w:lineRule="auto"/>
        <w:ind w:left="425" w:hanging="425"/>
        <w:rPr>
          <w:sz w:val="20"/>
          <w:szCs w:val="20"/>
        </w:rPr>
      </w:pPr>
      <w:r w:rsidRPr="00713625">
        <w:rPr>
          <w:sz w:val="20"/>
          <w:szCs w:val="20"/>
        </w:rPr>
        <w:t xml:space="preserve">Schmitz J, Owyang A, Oldham E, Song Y, Murphy E, McClanahan TK, </w:t>
      </w:r>
      <w:r w:rsidR="00475268" w:rsidRPr="00713625">
        <w:rPr>
          <w:sz w:val="20"/>
          <w:szCs w:val="20"/>
          <w:lang w:val="en-US"/>
        </w:rPr>
        <w:t xml:space="preserve">et al. </w:t>
      </w:r>
      <w:r w:rsidRPr="00713625">
        <w:rPr>
          <w:sz w:val="20"/>
          <w:szCs w:val="20"/>
        </w:rPr>
        <w:t>IL-33, an interleukin-1-like cytokine that signals via the IL-1 receptor-related protein ST2 and induces T helper type 2-associated cytokines. Immunity 2005</w:t>
      </w:r>
      <w:r w:rsidR="00795DE6" w:rsidRPr="00713625">
        <w:rPr>
          <w:sz w:val="20"/>
          <w:szCs w:val="20"/>
        </w:rPr>
        <w:t>; 23</w:t>
      </w:r>
      <w:r w:rsidRPr="00713625">
        <w:rPr>
          <w:sz w:val="20"/>
          <w:szCs w:val="20"/>
        </w:rPr>
        <w:t>(5):479-90.</w:t>
      </w:r>
    </w:p>
    <w:p w:rsidR="00537717" w:rsidRPr="00713625" w:rsidRDefault="00537717" w:rsidP="00B20211">
      <w:pPr>
        <w:pStyle w:val="ListParagraph"/>
        <w:numPr>
          <w:ilvl w:val="0"/>
          <w:numId w:val="17"/>
        </w:numPr>
        <w:shd w:val="clear" w:color="auto" w:fill="FFFFFF"/>
        <w:snapToGrid w:val="0"/>
        <w:spacing w:before="0" w:after="0" w:line="240" w:lineRule="auto"/>
        <w:ind w:left="425" w:hanging="425"/>
        <w:rPr>
          <w:sz w:val="20"/>
          <w:szCs w:val="20"/>
          <w:lang w:bidi="ar-EG"/>
        </w:rPr>
      </w:pPr>
      <w:r w:rsidRPr="00713625">
        <w:rPr>
          <w:sz w:val="20"/>
          <w:szCs w:val="20"/>
          <w:lang w:bidi="ar-EG"/>
        </w:rPr>
        <w:t>Webster L R, Provan P J, Graham D J, Byth K</w:t>
      </w:r>
      <w:r w:rsidR="003B4EBE" w:rsidRPr="00713625">
        <w:rPr>
          <w:sz w:val="20"/>
          <w:szCs w:val="20"/>
          <w:lang w:bidi="ar-EG"/>
        </w:rPr>
        <w:t>,</w:t>
      </w:r>
      <w:r w:rsidRPr="00713625">
        <w:rPr>
          <w:sz w:val="20"/>
          <w:szCs w:val="20"/>
          <w:lang w:bidi="ar-EG"/>
        </w:rPr>
        <w:t xml:space="preserve"> Walker R L, Davis S, </w:t>
      </w:r>
      <w:r w:rsidR="00475268" w:rsidRPr="00713625">
        <w:rPr>
          <w:sz w:val="20"/>
          <w:szCs w:val="20"/>
          <w:lang w:val="en-US"/>
        </w:rPr>
        <w:t xml:space="preserve">et al. </w:t>
      </w:r>
      <w:r w:rsidRPr="00713625">
        <w:rPr>
          <w:sz w:val="20"/>
          <w:szCs w:val="20"/>
          <w:lang w:bidi="ar-EG"/>
        </w:rPr>
        <w:t>Prohibitin expression is associated with high grade breast cancer but is not a driver of amplification at 17q21.33). Pathology 2013; 45(7): 629-36.</w:t>
      </w:r>
    </w:p>
    <w:p w:rsidR="00B20211" w:rsidRPr="00713625" w:rsidRDefault="00537717" w:rsidP="00B20211">
      <w:pPr>
        <w:pStyle w:val="ListParagraph"/>
        <w:numPr>
          <w:ilvl w:val="0"/>
          <w:numId w:val="17"/>
        </w:numPr>
        <w:shd w:val="clear" w:color="auto" w:fill="FFFFFF"/>
        <w:snapToGrid w:val="0"/>
        <w:spacing w:before="0" w:after="0" w:line="240" w:lineRule="auto"/>
        <w:ind w:left="425" w:hanging="425"/>
        <w:rPr>
          <w:sz w:val="20"/>
          <w:szCs w:val="20"/>
          <w:lang w:bidi="ar-EG"/>
        </w:rPr>
      </w:pPr>
      <w:r w:rsidRPr="00713625">
        <w:rPr>
          <w:sz w:val="20"/>
          <w:szCs w:val="20"/>
          <w:lang w:bidi="ar-EG"/>
        </w:rPr>
        <w:t>Wood IS, Wang B, Trayhurn P. IL-33, a recently identiﬁed interleukin-1 gene family member, is expressed in human adipocytes. BiochemBiophys Res Commun 2009; 384(1):105–9.</w:t>
      </w:r>
    </w:p>
    <w:p w:rsidR="00B20211" w:rsidRPr="00713625" w:rsidRDefault="00B20211" w:rsidP="00B20211">
      <w:pPr>
        <w:pStyle w:val="ListParagraph"/>
        <w:shd w:val="clear" w:color="auto" w:fill="FFFFFF"/>
        <w:snapToGrid w:val="0"/>
        <w:spacing w:before="0" w:after="0" w:line="240" w:lineRule="auto"/>
        <w:ind w:left="425" w:hanging="425"/>
        <w:rPr>
          <w:sz w:val="20"/>
          <w:szCs w:val="20"/>
          <w:lang w:bidi="ar-EG"/>
        </w:rPr>
        <w:sectPr w:rsidR="00B20211" w:rsidRPr="00713625" w:rsidSect="003B4EBE">
          <w:headerReference w:type="default" r:id="rId36"/>
          <w:footerReference w:type="default" r:id="rId37"/>
          <w:endnotePr>
            <w:numFmt w:val="decimal"/>
          </w:endnotePr>
          <w:type w:val="continuous"/>
          <w:pgSz w:w="12242" w:h="15842" w:code="1"/>
          <w:pgMar w:top="1440" w:right="1440" w:bottom="1440" w:left="1440" w:header="720" w:footer="720" w:gutter="0"/>
          <w:cols w:num="2" w:space="600"/>
          <w:docGrid w:linePitch="360"/>
        </w:sectPr>
      </w:pPr>
    </w:p>
    <w:p w:rsidR="00B20211" w:rsidRPr="00713625" w:rsidRDefault="00B20211" w:rsidP="00B20211">
      <w:pPr>
        <w:pStyle w:val="ListParagraph"/>
        <w:shd w:val="clear" w:color="auto" w:fill="FFFFFF"/>
        <w:snapToGrid w:val="0"/>
        <w:spacing w:before="0" w:after="0" w:line="240" w:lineRule="auto"/>
        <w:ind w:left="425" w:hanging="425"/>
        <w:rPr>
          <w:rFonts w:eastAsiaTheme="minorEastAsia"/>
          <w:sz w:val="20"/>
          <w:szCs w:val="20"/>
          <w:lang w:eastAsia="zh-CN" w:bidi="ar-EG"/>
        </w:rPr>
      </w:pPr>
    </w:p>
    <w:p w:rsidR="00B20211" w:rsidRPr="00713625" w:rsidRDefault="00B20211" w:rsidP="00B20211">
      <w:pPr>
        <w:pStyle w:val="ListParagraph"/>
        <w:shd w:val="clear" w:color="auto" w:fill="FFFFFF"/>
        <w:snapToGrid w:val="0"/>
        <w:spacing w:before="0" w:after="0" w:line="240" w:lineRule="auto"/>
        <w:ind w:left="425" w:hanging="425"/>
        <w:rPr>
          <w:rFonts w:eastAsiaTheme="minorEastAsia"/>
          <w:sz w:val="20"/>
          <w:szCs w:val="20"/>
          <w:lang w:eastAsia="zh-CN" w:bidi="ar-EG"/>
        </w:rPr>
      </w:pPr>
    </w:p>
    <w:p w:rsidR="003B4EBE" w:rsidRPr="00713625" w:rsidRDefault="003B4EBE" w:rsidP="00B20211">
      <w:pPr>
        <w:pStyle w:val="ListParagraph"/>
        <w:shd w:val="clear" w:color="auto" w:fill="FFFFFF"/>
        <w:snapToGrid w:val="0"/>
        <w:spacing w:before="0" w:after="0" w:line="240" w:lineRule="auto"/>
        <w:ind w:left="425" w:hanging="425"/>
        <w:rPr>
          <w:rFonts w:eastAsiaTheme="minorEastAsia"/>
          <w:sz w:val="20"/>
          <w:szCs w:val="20"/>
          <w:lang w:eastAsia="zh-CN" w:bidi="ar-EG"/>
        </w:rPr>
      </w:pPr>
    </w:p>
    <w:sectPr w:rsidR="003B4EBE" w:rsidRPr="00713625" w:rsidSect="001A48D2">
      <w:headerReference w:type="default" r:id="rId38"/>
      <w:footerReference w:type="default" r:id="rId39"/>
      <w:endnotePr>
        <w:numFmt w:val="decimal"/>
      </w:endnotePr>
      <w:type w:val="continuous"/>
      <w:pgSz w:w="12242" w:h="15842" w:code="1"/>
      <w:pgMar w:top="1440" w:right="1440" w:bottom="1440" w:left="1440" w:header="720" w:footer="720"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565" w:rsidRDefault="00032565">
      <w:r>
        <w:separator/>
      </w:r>
    </w:p>
  </w:endnote>
  <w:endnote w:type="continuationSeparator" w:id="1">
    <w:p w:rsidR="00032565" w:rsidRDefault="000325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宋">
    <w:altName w:val="Arial Unicode MS"/>
    <w:panose1 w:val="00000000000000000000"/>
    <w:charset w:val="86"/>
    <w:family w:val="roman"/>
    <w:notTrueType/>
    <w:pitch w:val="default"/>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F27624"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E0287B">
      <w:rPr>
        <w:noProof/>
        <w:sz w:val="20"/>
      </w:rPr>
      <w:t>9</w:t>
    </w:r>
    <w:r w:rsidRPr="00B20211">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F27624"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E0287B">
      <w:rPr>
        <w:noProof/>
        <w:sz w:val="20"/>
      </w:rPr>
      <w:t>12</w:t>
    </w:r>
    <w:r w:rsidRPr="00B20211">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F27624"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E0287B">
      <w:rPr>
        <w:noProof/>
        <w:sz w:val="20"/>
      </w:rPr>
      <w:t>13</w:t>
    </w:r>
    <w:r w:rsidRPr="00B20211">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F27624"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8B5F35">
      <w:rPr>
        <w:noProof/>
        <w:sz w:val="20"/>
      </w:rPr>
      <w:t>13</w:t>
    </w:r>
    <w:r w:rsidRPr="00B20211">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F27624"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E0287B">
      <w:rPr>
        <w:noProof/>
        <w:sz w:val="20"/>
      </w:rPr>
      <w:t>14</w:t>
    </w:r>
    <w:r w:rsidRPr="00B20211">
      <w:rPr>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F27624"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8B5F35">
      <w:rPr>
        <w:noProof/>
        <w:sz w:val="20"/>
      </w:rPr>
      <w:t>14</w:t>
    </w:r>
    <w:r w:rsidRPr="00B20211">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F27624"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4C0740">
      <w:rPr>
        <w:noProof/>
        <w:sz w:val="20"/>
      </w:rPr>
      <w:t>14</w:t>
    </w:r>
    <w:r w:rsidRPr="00B20211">
      <w:rPr>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F27624"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E0287B">
      <w:rPr>
        <w:noProof/>
        <w:sz w:val="20"/>
      </w:rPr>
      <w:t>17</w:t>
    </w:r>
    <w:r w:rsidRPr="00B20211">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539" w:rsidRPr="00B20211" w:rsidRDefault="00F27624" w:rsidP="00B20211">
    <w:pPr>
      <w:spacing w:before="0" w:after="0" w:line="240" w:lineRule="auto"/>
      <w:jc w:val="center"/>
      <w:rPr>
        <w:sz w:val="20"/>
      </w:rPr>
    </w:pPr>
    <w:r w:rsidRPr="00B20211">
      <w:rPr>
        <w:sz w:val="20"/>
      </w:rPr>
      <w:fldChar w:fldCharType="begin"/>
    </w:r>
    <w:r w:rsidR="00B20211" w:rsidRPr="00B20211">
      <w:rPr>
        <w:sz w:val="20"/>
      </w:rPr>
      <w:instrText xml:space="preserve"> page </w:instrText>
    </w:r>
    <w:r w:rsidRPr="00B20211">
      <w:rPr>
        <w:sz w:val="20"/>
      </w:rPr>
      <w:fldChar w:fldCharType="separate"/>
    </w:r>
    <w:r w:rsidR="00B20211">
      <w:rPr>
        <w:noProof/>
        <w:sz w:val="20"/>
      </w:rPr>
      <w:t>10</w:t>
    </w:r>
    <w:r w:rsidRPr="00B2021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565" w:rsidRDefault="00032565">
      <w:r>
        <w:separator/>
      </w:r>
    </w:p>
  </w:footnote>
  <w:footnote w:type="continuationSeparator" w:id="1">
    <w:p w:rsidR="00032565" w:rsidRDefault="000325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0949F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00A85732">
      <w:rPr>
        <w:rFonts w:hint="eastAsia"/>
        <w:iCs/>
        <w:sz w:val="20"/>
        <w:lang w:eastAsia="zh-CN"/>
      </w:rPr>
      <w:t>7</w:t>
    </w:r>
    <w:r w:rsidRPr="00B20211">
      <w:rPr>
        <w:iCs/>
        <w:sz w:val="20"/>
      </w:rPr>
      <w:t>;</w:t>
    </w:r>
    <w:r w:rsidR="00A85732">
      <w:rPr>
        <w:rFonts w:hint="eastAsia"/>
        <w:iCs/>
        <w:sz w:val="20"/>
        <w:lang w:eastAsia="zh-CN"/>
      </w:rPr>
      <w:t>7</w:t>
    </w:r>
    <w:r w:rsidRPr="00B20211">
      <w:rPr>
        <w:iCs/>
        <w:sz w:val="20"/>
      </w:rPr>
      <w:t>(</w:t>
    </w:r>
    <w:r w:rsidR="00A85732">
      <w:rPr>
        <w:rFonts w:hint="eastAsia"/>
        <w:iCs/>
        <w:sz w:val="20"/>
        <w:lang w:eastAsia="zh-CN"/>
      </w:rPr>
      <w:t>1</w:t>
    </w:r>
    <w:r w:rsidRPr="00B20211">
      <w:rPr>
        <w:iCs/>
        <w:sz w:val="20"/>
      </w:rPr>
      <w:t xml:space="preserve">)  </w:t>
    </w:r>
    <w:r w:rsidRPr="00B20211">
      <w:rPr>
        <w:rFonts w:hint="eastAsia"/>
        <w:iCs/>
        <w:sz w:val="20"/>
      </w:rPr>
      <w:tab/>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0949F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00A85732">
      <w:rPr>
        <w:rFonts w:hint="eastAsia"/>
        <w:iCs/>
        <w:sz w:val="20"/>
        <w:lang w:eastAsia="zh-CN"/>
      </w:rPr>
      <w:t>7</w:t>
    </w:r>
    <w:r w:rsidR="00544FBE" w:rsidRPr="00B20211">
      <w:rPr>
        <w:iCs/>
        <w:sz w:val="20"/>
      </w:rPr>
      <w:t>;</w:t>
    </w:r>
    <w:r w:rsidR="00544FBE">
      <w:rPr>
        <w:iCs/>
        <w:sz w:val="20"/>
        <w:lang w:eastAsia="zh-CN"/>
      </w:rPr>
      <w:t>7</w:t>
    </w:r>
    <w:r w:rsidRPr="00B20211">
      <w:rPr>
        <w:iCs/>
        <w:sz w:val="20"/>
      </w:rPr>
      <w:t>(</w:t>
    </w:r>
    <w:r w:rsidR="00A85732">
      <w:rPr>
        <w:rFonts w:hint="eastAsia"/>
        <w:iCs/>
        <w:sz w:val="20"/>
        <w:lang w:eastAsia="zh-CN"/>
      </w:rPr>
      <w:t>1</w:t>
    </w:r>
    <w:r w:rsidRPr="00B20211">
      <w:rPr>
        <w:iCs/>
        <w:sz w:val="20"/>
      </w:rPr>
      <w:t xml:space="preserve">)  </w:t>
    </w:r>
    <w:r w:rsidRPr="00B20211">
      <w:rPr>
        <w:rFonts w:hint="eastAsia"/>
        <w:iCs/>
        <w:sz w:val="20"/>
      </w:rPr>
      <w:tab/>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ab/>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0949F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00A85732">
      <w:rPr>
        <w:rFonts w:hint="eastAsia"/>
        <w:iCs/>
        <w:sz w:val="20"/>
        <w:lang w:eastAsia="zh-CN"/>
      </w:rPr>
      <w:t>7</w:t>
    </w:r>
    <w:r w:rsidRPr="00B20211">
      <w:rPr>
        <w:iCs/>
        <w:sz w:val="20"/>
      </w:rPr>
      <w:t>;</w:t>
    </w:r>
    <w:r w:rsidR="00A85732">
      <w:rPr>
        <w:rFonts w:hint="eastAsia"/>
        <w:iCs/>
        <w:sz w:val="20"/>
        <w:lang w:eastAsia="zh-CN"/>
      </w:rPr>
      <w:t>7</w:t>
    </w:r>
    <w:r w:rsidRPr="00B20211">
      <w:rPr>
        <w:iCs/>
        <w:sz w:val="20"/>
      </w:rPr>
      <w:t>(</w:t>
    </w:r>
    <w:r w:rsidR="00A85732">
      <w:rPr>
        <w:rFonts w:hint="eastAsia"/>
        <w:iCs/>
        <w:sz w:val="20"/>
        <w:lang w:eastAsia="zh-CN"/>
      </w:rPr>
      <w:t>1</w:t>
    </w:r>
    <w:r w:rsidRPr="00B20211">
      <w:rPr>
        <w:iCs/>
        <w:sz w:val="20"/>
      </w:rPr>
      <w:t xml:space="preserve">)  </w:t>
    </w:r>
    <w:r w:rsidRPr="00B20211">
      <w:rPr>
        <w:rFonts w:hint="eastAsia"/>
        <w:iCs/>
        <w:sz w:val="20"/>
      </w:rPr>
      <w:tab/>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00A85732">
      <w:rPr>
        <w:rFonts w:hint="eastAsia"/>
        <w:iCs/>
        <w:sz w:val="20"/>
        <w:lang w:eastAsia="zh-CN"/>
      </w:rPr>
      <w:t>7</w:t>
    </w:r>
    <w:r w:rsidRPr="00B20211">
      <w:rPr>
        <w:iCs/>
        <w:sz w:val="20"/>
      </w:rPr>
      <w:t>;</w:t>
    </w:r>
    <w:r w:rsidR="00A85732">
      <w:rPr>
        <w:rFonts w:hint="eastAsia"/>
        <w:iCs/>
        <w:sz w:val="20"/>
        <w:lang w:eastAsia="zh-CN"/>
      </w:rPr>
      <w:t>7</w:t>
    </w:r>
    <w:r w:rsidRPr="00B20211">
      <w:rPr>
        <w:iCs/>
        <w:sz w:val="20"/>
      </w:rPr>
      <w:t>(</w:t>
    </w:r>
    <w:r w:rsidR="00A85732">
      <w:rPr>
        <w:rFonts w:hint="eastAsia"/>
        <w:iCs/>
        <w:sz w:val="20"/>
        <w:lang w:eastAsia="zh-CN"/>
      </w:rPr>
      <w:t>1</w:t>
    </w:r>
    <w:r w:rsidRPr="00B20211">
      <w:rPr>
        <w:iCs/>
        <w:sz w:val="20"/>
      </w:rPr>
      <w:t xml:space="preserve">)  </w:t>
    </w:r>
    <w:r w:rsidRPr="00B20211">
      <w:rPr>
        <w:rFonts w:hint="eastAsia"/>
        <w:iCs/>
        <w:sz w:val="20"/>
      </w:rPr>
      <w:tab/>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0949F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00196AD0" w:rsidRPr="00B20211">
      <w:rPr>
        <w:iCs/>
        <w:color w:val="000000"/>
        <w:sz w:val="20"/>
      </w:rPr>
      <w:t xml:space="preserve">Cancer Biology </w:t>
    </w:r>
    <w:r w:rsidR="00196AD0" w:rsidRPr="00B20211">
      <w:rPr>
        <w:iCs/>
        <w:sz w:val="20"/>
      </w:rPr>
      <w:t>201</w:t>
    </w:r>
    <w:r w:rsidR="00196AD0">
      <w:rPr>
        <w:rFonts w:hint="eastAsia"/>
        <w:iCs/>
        <w:sz w:val="20"/>
        <w:lang w:eastAsia="zh-CN"/>
      </w:rPr>
      <w:t>7</w:t>
    </w:r>
    <w:r w:rsidR="00196AD0" w:rsidRPr="00B20211">
      <w:rPr>
        <w:iCs/>
        <w:sz w:val="20"/>
      </w:rPr>
      <w:t>;</w:t>
    </w:r>
    <w:r w:rsidR="00196AD0">
      <w:rPr>
        <w:rFonts w:hint="eastAsia"/>
        <w:iCs/>
        <w:sz w:val="20"/>
        <w:lang w:eastAsia="zh-CN"/>
      </w:rPr>
      <w:t>7</w:t>
    </w:r>
    <w:r w:rsidR="00196AD0" w:rsidRPr="00B20211">
      <w:rPr>
        <w:iCs/>
        <w:sz w:val="20"/>
      </w:rPr>
      <w:t>(</w:t>
    </w:r>
    <w:r w:rsidR="00196AD0">
      <w:rPr>
        <w:rFonts w:hint="eastAsia"/>
        <w:iCs/>
        <w:sz w:val="20"/>
        <w:lang w:eastAsia="zh-CN"/>
      </w:rPr>
      <w:t>1</w:t>
    </w:r>
    <w:r w:rsidR="00196AD0" w:rsidRPr="00B20211">
      <w:rPr>
        <w:iCs/>
        <w:sz w:val="20"/>
      </w:rPr>
      <w:t>)</w:t>
    </w:r>
    <w:r w:rsidRPr="00B20211">
      <w:rPr>
        <w:rFonts w:hint="eastAsia"/>
        <w:iCs/>
        <w:sz w:val="20"/>
      </w:rPr>
      <w:tab/>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ab/>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0949F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00A85732">
      <w:rPr>
        <w:rFonts w:hint="eastAsia"/>
        <w:iCs/>
        <w:sz w:val="20"/>
        <w:lang w:eastAsia="zh-CN"/>
      </w:rPr>
      <w:t>7</w:t>
    </w:r>
    <w:r w:rsidRPr="00B20211">
      <w:rPr>
        <w:iCs/>
        <w:sz w:val="20"/>
      </w:rPr>
      <w:t>;</w:t>
    </w:r>
    <w:r w:rsidR="00A85732">
      <w:rPr>
        <w:rFonts w:hint="eastAsia"/>
        <w:iCs/>
        <w:sz w:val="20"/>
        <w:lang w:eastAsia="zh-CN"/>
      </w:rPr>
      <w:t>7</w:t>
    </w:r>
    <w:r w:rsidRPr="00B20211">
      <w:rPr>
        <w:iCs/>
        <w:sz w:val="20"/>
      </w:rPr>
      <w:t>(</w:t>
    </w:r>
    <w:r w:rsidR="00A85732">
      <w:rPr>
        <w:rFonts w:hint="eastAsia"/>
        <w:iCs/>
        <w:sz w:val="20"/>
        <w:lang w:eastAsia="zh-CN"/>
      </w:rPr>
      <w:t>1</w:t>
    </w:r>
    <w:r w:rsidRPr="00B20211">
      <w:rPr>
        <w:iCs/>
        <w:sz w:val="20"/>
      </w:rPr>
      <w:t xml:space="preserve">)  </w:t>
    </w:r>
    <w:r w:rsidRPr="00B20211">
      <w:rPr>
        <w:rFonts w:hint="eastAsia"/>
        <w:iCs/>
        <w:sz w:val="20"/>
      </w:rPr>
      <w:tab/>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11" w:rsidRPr="00B20211" w:rsidRDefault="00B20211" w:rsidP="00B20211">
    <w:pPr>
      <w:pBdr>
        <w:bottom w:val="thinThickMediumGap" w:sz="12" w:space="1" w:color="auto"/>
      </w:pBdr>
      <w:tabs>
        <w:tab w:val="left" w:pos="851"/>
        <w:tab w:val="right" w:pos="8364"/>
      </w:tabs>
      <w:adjustRightInd w:val="0"/>
      <w:snapToGrid w:val="0"/>
      <w:spacing w:before="0" w:after="0" w:line="240" w:lineRule="auto"/>
      <w:rPr>
        <w:iCs/>
        <w:color w:val="0000FF"/>
        <w:sz w:val="20"/>
      </w:rPr>
    </w:pPr>
    <w:r w:rsidRPr="00B20211">
      <w:rPr>
        <w:rFonts w:hint="eastAsia"/>
        <w:iCs/>
        <w:color w:val="000000"/>
        <w:sz w:val="20"/>
      </w:rPr>
      <w:tab/>
    </w:r>
    <w:r w:rsidRPr="00B20211">
      <w:rPr>
        <w:iCs/>
        <w:color w:val="000000"/>
        <w:sz w:val="20"/>
      </w:rPr>
      <w:t xml:space="preserve">Cancer Biology </w:t>
    </w:r>
    <w:r w:rsidRPr="00B20211">
      <w:rPr>
        <w:iCs/>
        <w:sz w:val="20"/>
      </w:rPr>
      <w:t>201</w:t>
    </w:r>
    <w:r w:rsidRPr="00B20211">
      <w:rPr>
        <w:rFonts w:hint="eastAsia"/>
        <w:iCs/>
        <w:sz w:val="20"/>
      </w:rPr>
      <w:t>6</w:t>
    </w:r>
    <w:r w:rsidRPr="00B20211">
      <w:rPr>
        <w:iCs/>
        <w:sz w:val="20"/>
      </w:rPr>
      <w:t>;</w:t>
    </w:r>
    <w:r w:rsidRPr="00B20211">
      <w:rPr>
        <w:rFonts w:hint="eastAsia"/>
        <w:iCs/>
        <w:sz w:val="20"/>
      </w:rPr>
      <w:t>6</w:t>
    </w:r>
    <w:r w:rsidRPr="00B20211">
      <w:rPr>
        <w:iCs/>
        <w:sz w:val="20"/>
      </w:rPr>
      <w:t>(</w:t>
    </w:r>
    <w:r w:rsidRPr="00B20211">
      <w:rPr>
        <w:rFonts w:hint="eastAsia"/>
        <w:iCs/>
        <w:sz w:val="20"/>
      </w:rPr>
      <w:t>4</w:t>
    </w:r>
    <w:r w:rsidRPr="00B20211">
      <w:rPr>
        <w:iCs/>
        <w:sz w:val="20"/>
      </w:rPr>
      <w:t xml:space="preserve">)  </w:t>
    </w:r>
    <w:r w:rsidRPr="00B20211">
      <w:rPr>
        <w:rFonts w:hint="eastAsia"/>
        <w:iCs/>
        <w:sz w:val="20"/>
      </w:rPr>
      <w:tab/>
    </w:r>
    <w:hyperlink r:id="rId1" w:history="1">
      <w:r w:rsidRPr="00B20211">
        <w:rPr>
          <w:rStyle w:val="Hyperlink"/>
          <w:sz w:val="20"/>
        </w:rPr>
        <w:t>http://www.cancerbio.net</w:t>
      </w:r>
    </w:hyperlink>
  </w:p>
  <w:p w:rsidR="00B20211" w:rsidRPr="00B20211" w:rsidRDefault="00B20211" w:rsidP="00B20211">
    <w:pPr>
      <w:tabs>
        <w:tab w:val="left" w:pos="851"/>
        <w:tab w:val="right" w:pos="8364"/>
      </w:tabs>
      <w:adjustRightInd w:val="0"/>
      <w:snapToGrid w:val="0"/>
      <w:spacing w:before="0" w:after="0" w:line="240"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51946"/>
    <w:multiLevelType w:val="hybridMultilevel"/>
    <w:tmpl w:val="1C66C65C"/>
    <w:lvl w:ilvl="0" w:tplc="FF6C8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F4464"/>
    <w:multiLevelType w:val="hybridMultilevel"/>
    <w:tmpl w:val="4C4426B6"/>
    <w:lvl w:ilvl="0" w:tplc="700AAF92">
      <w:start w:val="1"/>
      <w:numFmt w:val="decimal"/>
      <w:lvlText w:val="%1)"/>
      <w:lvlJc w:val="left"/>
      <w:pPr>
        <w:ind w:left="4897" w:hanging="360"/>
      </w:pPr>
      <w:rPr>
        <w:rFonts w:hint="default"/>
        <w:b/>
        <w:bCs/>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
    <w:nsid w:val="0DFF1599"/>
    <w:multiLevelType w:val="hybridMultilevel"/>
    <w:tmpl w:val="745C566A"/>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
    <w:nsid w:val="18291E79"/>
    <w:multiLevelType w:val="hybridMultilevel"/>
    <w:tmpl w:val="63983DA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2BC61049"/>
    <w:multiLevelType w:val="hybridMultilevel"/>
    <w:tmpl w:val="F6E43DDC"/>
    <w:lvl w:ilvl="0" w:tplc="86F00E3C">
      <w:start w:val="1"/>
      <w:numFmt w:val="decimal"/>
      <w:lvlText w:val="%1-"/>
      <w:lvlJc w:val="left"/>
      <w:pPr>
        <w:ind w:left="360" w:hanging="360"/>
      </w:pPr>
      <w:rPr>
        <w:b w:val="0"/>
        <w:bCs w:val="0"/>
        <w:color w:val="00000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BFD4083"/>
    <w:multiLevelType w:val="hybridMultilevel"/>
    <w:tmpl w:val="FC52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AD7E54"/>
    <w:multiLevelType w:val="hybridMultilevel"/>
    <w:tmpl w:val="6BEEF15A"/>
    <w:lvl w:ilvl="0" w:tplc="37DC65F2">
      <w:start w:val="1"/>
      <w:numFmt w:val="bullet"/>
      <w:lvlText w:val=""/>
      <w:lvlJc w:val="left"/>
      <w:pPr>
        <w:ind w:left="502" w:hanging="360"/>
      </w:pPr>
      <w:rPr>
        <w:rFonts w:ascii="Symbol" w:hAnsi="Symbol" w:cs="Symbol" w:hint="default"/>
        <w:sz w:val="20"/>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7">
    <w:nsid w:val="336D2C9A"/>
    <w:multiLevelType w:val="hybridMultilevel"/>
    <w:tmpl w:val="8E50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083C94"/>
    <w:multiLevelType w:val="hybridMultilevel"/>
    <w:tmpl w:val="5D4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0E5F94"/>
    <w:multiLevelType w:val="hybridMultilevel"/>
    <w:tmpl w:val="EEB4F3E0"/>
    <w:lvl w:ilvl="0" w:tplc="837A7120">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FA36300"/>
    <w:multiLevelType w:val="hybridMultilevel"/>
    <w:tmpl w:val="D3A4CDB4"/>
    <w:lvl w:ilvl="0" w:tplc="782818C0">
      <w:start w:val="1"/>
      <w:numFmt w:val="decimal"/>
      <w:lvlText w:val="%1-"/>
      <w:lvlJc w:val="left"/>
      <w:pPr>
        <w:ind w:left="561" w:hanging="495"/>
      </w:pPr>
      <w:rPr>
        <w:rFonts w:cs="Times New Roman" w:hint="default"/>
        <w:b/>
        <w:bCs/>
      </w:rPr>
    </w:lvl>
    <w:lvl w:ilvl="1" w:tplc="04090019" w:tentative="1">
      <w:start w:val="1"/>
      <w:numFmt w:val="lowerLetter"/>
      <w:lvlText w:val="%2."/>
      <w:lvlJc w:val="left"/>
      <w:pPr>
        <w:ind w:left="475" w:hanging="360"/>
      </w:pPr>
      <w:rPr>
        <w:rFonts w:cs="Times New Roman"/>
      </w:rPr>
    </w:lvl>
    <w:lvl w:ilvl="2" w:tplc="0409001B" w:tentative="1">
      <w:start w:val="1"/>
      <w:numFmt w:val="lowerRoman"/>
      <w:lvlText w:val="%3."/>
      <w:lvlJc w:val="right"/>
      <w:pPr>
        <w:ind w:left="1195" w:hanging="180"/>
      </w:pPr>
      <w:rPr>
        <w:rFonts w:cs="Times New Roman"/>
      </w:rPr>
    </w:lvl>
    <w:lvl w:ilvl="3" w:tplc="0409000F" w:tentative="1">
      <w:start w:val="1"/>
      <w:numFmt w:val="decimal"/>
      <w:lvlText w:val="%4."/>
      <w:lvlJc w:val="left"/>
      <w:pPr>
        <w:ind w:left="1915" w:hanging="360"/>
      </w:pPr>
      <w:rPr>
        <w:rFonts w:cs="Times New Roman"/>
      </w:rPr>
    </w:lvl>
    <w:lvl w:ilvl="4" w:tplc="04090019" w:tentative="1">
      <w:start w:val="1"/>
      <w:numFmt w:val="lowerLetter"/>
      <w:lvlText w:val="%5."/>
      <w:lvlJc w:val="left"/>
      <w:pPr>
        <w:ind w:left="2635" w:hanging="360"/>
      </w:pPr>
      <w:rPr>
        <w:rFonts w:cs="Times New Roman"/>
      </w:rPr>
    </w:lvl>
    <w:lvl w:ilvl="5" w:tplc="0409001B" w:tentative="1">
      <w:start w:val="1"/>
      <w:numFmt w:val="lowerRoman"/>
      <w:lvlText w:val="%6."/>
      <w:lvlJc w:val="right"/>
      <w:pPr>
        <w:ind w:left="3355" w:hanging="180"/>
      </w:pPr>
      <w:rPr>
        <w:rFonts w:cs="Times New Roman"/>
      </w:rPr>
    </w:lvl>
    <w:lvl w:ilvl="6" w:tplc="0409000F" w:tentative="1">
      <w:start w:val="1"/>
      <w:numFmt w:val="decimal"/>
      <w:lvlText w:val="%7."/>
      <w:lvlJc w:val="left"/>
      <w:pPr>
        <w:ind w:left="4075" w:hanging="360"/>
      </w:pPr>
      <w:rPr>
        <w:rFonts w:cs="Times New Roman"/>
      </w:rPr>
    </w:lvl>
    <w:lvl w:ilvl="7" w:tplc="04090019" w:tentative="1">
      <w:start w:val="1"/>
      <w:numFmt w:val="lowerLetter"/>
      <w:lvlText w:val="%8."/>
      <w:lvlJc w:val="left"/>
      <w:pPr>
        <w:ind w:left="4795" w:hanging="360"/>
      </w:pPr>
      <w:rPr>
        <w:rFonts w:cs="Times New Roman"/>
      </w:rPr>
    </w:lvl>
    <w:lvl w:ilvl="8" w:tplc="0409001B" w:tentative="1">
      <w:start w:val="1"/>
      <w:numFmt w:val="lowerRoman"/>
      <w:lvlText w:val="%9."/>
      <w:lvlJc w:val="right"/>
      <w:pPr>
        <w:ind w:left="5515" w:hanging="180"/>
      </w:pPr>
      <w:rPr>
        <w:rFonts w:cs="Times New Roman"/>
      </w:rPr>
    </w:lvl>
  </w:abstractNum>
  <w:abstractNum w:abstractNumId="11">
    <w:nsid w:val="534F55DE"/>
    <w:multiLevelType w:val="hybridMultilevel"/>
    <w:tmpl w:val="E534841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650417CC"/>
    <w:multiLevelType w:val="hybridMultilevel"/>
    <w:tmpl w:val="3CB8B57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3">
    <w:nsid w:val="6F323271"/>
    <w:multiLevelType w:val="hybridMultilevel"/>
    <w:tmpl w:val="637C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3"/>
  </w:num>
  <w:num w:numId="5">
    <w:abstractNumId w:val="12"/>
  </w:num>
  <w:num w:numId="6">
    <w:abstractNumId w:val="1"/>
  </w:num>
  <w:num w:numId="7">
    <w:abstractNumId w:val="6"/>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6"/>
  </w:num>
  <w:num w:numId="12">
    <w:abstractNumId w:val="8"/>
  </w:num>
  <w:num w:numId="13">
    <w:abstractNumId w:val="13"/>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0"/>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numFmt w:val="decimal"/>
    <w:endnote w:id="0"/>
    <w:endnote w:id="1"/>
  </w:endnotePr>
  <w:compat>
    <w:useFELayout/>
  </w:compat>
  <w:rsids>
    <w:rsidRoot w:val="00444E8B"/>
    <w:rsid w:val="00000366"/>
    <w:rsid w:val="00000636"/>
    <w:rsid w:val="00003EF5"/>
    <w:rsid w:val="00010838"/>
    <w:rsid w:val="000111A6"/>
    <w:rsid w:val="000135A7"/>
    <w:rsid w:val="000141AC"/>
    <w:rsid w:val="00014D36"/>
    <w:rsid w:val="00014ED1"/>
    <w:rsid w:val="00014FAD"/>
    <w:rsid w:val="00015E2A"/>
    <w:rsid w:val="000175A2"/>
    <w:rsid w:val="00020D28"/>
    <w:rsid w:val="00022484"/>
    <w:rsid w:val="00024D4E"/>
    <w:rsid w:val="00026581"/>
    <w:rsid w:val="0002694E"/>
    <w:rsid w:val="00027648"/>
    <w:rsid w:val="000320BA"/>
    <w:rsid w:val="00032214"/>
    <w:rsid w:val="00032565"/>
    <w:rsid w:val="000336F8"/>
    <w:rsid w:val="00033858"/>
    <w:rsid w:val="0003692A"/>
    <w:rsid w:val="00036D37"/>
    <w:rsid w:val="00037D06"/>
    <w:rsid w:val="00037DDF"/>
    <w:rsid w:val="00040976"/>
    <w:rsid w:val="00042B9B"/>
    <w:rsid w:val="00042D09"/>
    <w:rsid w:val="000430C0"/>
    <w:rsid w:val="00044B56"/>
    <w:rsid w:val="000469D5"/>
    <w:rsid w:val="000504DD"/>
    <w:rsid w:val="0005309D"/>
    <w:rsid w:val="00056575"/>
    <w:rsid w:val="000609EB"/>
    <w:rsid w:val="00063E8F"/>
    <w:rsid w:val="00065C10"/>
    <w:rsid w:val="00066CCB"/>
    <w:rsid w:val="00066D30"/>
    <w:rsid w:val="00067BB2"/>
    <w:rsid w:val="00067C1F"/>
    <w:rsid w:val="000714DA"/>
    <w:rsid w:val="00073E20"/>
    <w:rsid w:val="0007439A"/>
    <w:rsid w:val="000749AE"/>
    <w:rsid w:val="00074D94"/>
    <w:rsid w:val="00075523"/>
    <w:rsid w:val="00075C22"/>
    <w:rsid w:val="000764E8"/>
    <w:rsid w:val="000772F3"/>
    <w:rsid w:val="0007737D"/>
    <w:rsid w:val="00081AF8"/>
    <w:rsid w:val="000821B9"/>
    <w:rsid w:val="000848A0"/>
    <w:rsid w:val="00085B10"/>
    <w:rsid w:val="000917F1"/>
    <w:rsid w:val="000920F4"/>
    <w:rsid w:val="0009259E"/>
    <w:rsid w:val="000949F1"/>
    <w:rsid w:val="000A017C"/>
    <w:rsid w:val="000A3563"/>
    <w:rsid w:val="000A4DFD"/>
    <w:rsid w:val="000A5857"/>
    <w:rsid w:val="000A66FF"/>
    <w:rsid w:val="000A78C0"/>
    <w:rsid w:val="000B0519"/>
    <w:rsid w:val="000B2012"/>
    <w:rsid w:val="000B35E6"/>
    <w:rsid w:val="000B3D66"/>
    <w:rsid w:val="000B697E"/>
    <w:rsid w:val="000B6A5B"/>
    <w:rsid w:val="000C08B8"/>
    <w:rsid w:val="000C0A82"/>
    <w:rsid w:val="000C0ECD"/>
    <w:rsid w:val="000C21DB"/>
    <w:rsid w:val="000C3131"/>
    <w:rsid w:val="000C37D1"/>
    <w:rsid w:val="000C439B"/>
    <w:rsid w:val="000C4D84"/>
    <w:rsid w:val="000C5BA3"/>
    <w:rsid w:val="000C5E19"/>
    <w:rsid w:val="000C7680"/>
    <w:rsid w:val="000C7A51"/>
    <w:rsid w:val="000D0751"/>
    <w:rsid w:val="000D2C1A"/>
    <w:rsid w:val="000D3295"/>
    <w:rsid w:val="000D345F"/>
    <w:rsid w:val="000D4012"/>
    <w:rsid w:val="000D47EF"/>
    <w:rsid w:val="000D6B14"/>
    <w:rsid w:val="000E17D0"/>
    <w:rsid w:val="000E689B"/>
    <w:rsid w:val="000F0FEC"/>
    <w:rsid w:val="000F12F5"/>
    <w:rsid w:val="000F1B85"/>
    <w:rsid w:val="000F5C01"/>
    <w:rsid w:val="000F5C38"/>
    <w:rsid w:val="000F605E"/>
    <w:rsid w:val="000F6D24"/>
    <w:rsid w:val="001012DF"/>
    <w:rsid w:val="001024A5"/>
    <w:rsid w:val="00105013"/>
    <w:rsid w:val="001060F9"/>
    <w:rsid w:val="00107BF3"/>
    <w:rsid w:val="001136BA"/>
    <w:rsid w:val="00115F17"/>
    <w:rsid w:val="0011782E"/>
    <w:rsid w:val="0012314F"/>
    <w:rsid w:val="001272A9"/>
    <w:rsid w:val="001275A4"/>
    <w:rsid w:val="00130250"/>
    <w:rsid w:val="00130377"/>
    <w:rsid w:val="00130380"/>
    <w:rsid w:val="00130383"/>
    <w:rsid w:val="0013045A"/>
    <w:rsid w:val="00130C87"/>
    <w:rsid w:val="00131D65"/>
    <w:rsid w:val="0013362B"/>
    <w:rsid w:val="00133794"/>
    <w:rsid w:val="00133C61"/>
    <w:rsid w:val="00133E83"/>
    <w:rsid w:val="00134859"/>
    <w:rsid w:val="00134B53"/>
    <w:rsid w:val="001356DA"/>
    <w:rsid w:val="0014013C"/>
    <w:rsid w:val="00140494"/>
    <w:rsid w:val="001419DE"/>
    <w:rsid w:val="00142E96"/>
    <w:rsid w:val="001430C6"/>
    <w:rsid w:val="00143ABE"/>
    <w:rsid w:val="001440EE"/>
    <w:rsid w:val="00144C83"/>
    <w:rsid w:val="0014513F"/>
    <w:rsid w:val="00145A8C"/>
    <w:rsid w:val="001467A6"/>
    <w:rsid w:val="00146B91"/>
    <w:rsid w:val="00155604"/>
    <w:rsid w:val="001566EF"/>
    <w:rsid w:val="00156EB0"/>
    <w:rsid w:val="00157BA3"/>
    <w:rsid w:val="001609F4"/>
    <w:rsid w:val="00162161"/>
    <w:rsid w:val="0016396F"/>
    <w:rsid w:val="001655EF"/>
    <w:rsid w:val="00166998"/>
    <w:rsid w:val="0017095D"/>
    <w:rsid w:val="00170E81"/>
    <w:rsid w:val="00173B3E"/>
    <w:rsid w:val="00175723"/>
    <w:rsid w:val="00181315"/>
    <w:rsid w:val="0018300B"/>
    <w:rsid w:val="0018422D"/>
    <w:rsid w:val="0018495F"/>
    <w:rsid w:val="00184AE5"/>
    <w:rsid w:val="00184F0D"/>
    <w:rsid w:val="0018529B"/>
    <w:rsid w:val="00187A43"/>
    <w:rsid w:val="00194DE9"/>
    <w:rsid w:val="00194F88"/>
    <w:rsid w:val="00195EA2"/>
    <w:rsid w:val="00196AD0"/>
    <w:rsid w:val="00197978"/>
    <w:rsid w:val="001A27F6"/>
    <w:rsid w:val="001A2ABA"/>
    <w:rsid w:val="001A43C1"/>
    <w:rsid w:val="001A48D2"/>
    <w:rsid w:val="001B0362"/>
    <w:rsid w:val="001B11FA"/>
    <w:rsid w:val="001B15DD"/>
    <w:rsid w:val="001B22FC"/>
    <w:rsid w:val="001B26FD"/>
    <w:rsid w:val="001B2729"/>
    <w:rsid w:val="001B28E8"/>
    <w:rsid w:val="001B2D1D"/>
    <w:rsid w:val="001B4D1C"/>
    <w:rsid w:val="001B4F74"/>
    <w:rsid w:val="001B64F8"/>
    <w:rsid w:val="001B6C40"/>
    <w:rsid w:val="001B7077"/>
    <w:rsid w:val="001C3F5D"/>
    <w:rsid w:val="001C3F61"/>
    <w:rsid w:val="001C472A"/>
    <w:rsid w:val="001C6F92"/>
    <w:rsid w:val="001C741D"/>
    <w:rsid w:val="001C7A11"/>
    <w:rsid w:val="001D085B"/>
    <w:rsid w:val="001D53FA"/>
    <w:rsid w:val="001D5CA7"/>
    <w:rsid w:val="001D704E"/>
    <w:rsid w:val="001E03B2"/>
    <w:rsid w:val="001E14D4"/>
    <w:rsid w:val="001E1829"/>
    <w:rsid w:val="001E281B"/>
    <w:rsid w:val="001E7AF2"/>
    <w:rsid w:val="001F0A57"/>
    <w:rsid w:val="001F0E22"/>
    <w:rsid w:val="001F16BC"/>
    <w:rsid w:val="001F1F71"/>
    <w:rsid w:val="001F3538"/>
    <w:rsid w:val="001F5F6D"/>
    <w:rsid w:val="001F5FB3"/>
    <w:rsid w:val="001F69CB"/>
    <w:rsid w:val="001F7C0F"/>
    <w:rsid w:val="00200684"/>
    <w:rsid w:val="00201A51"/>
    <w:rsid w:val="00203F32"/>
    <w:rsid w:val="002049BD"/>
    <w:rsid w:val="0020500B"/>
    <w:rsid w:val="00205D18"/>
    <w:rsid w:val="00206B67"/>
    <w:rsid w:val="002071A0"/>
    <w:rsid w:val="00207768"/>
    <w:rsid w:val="002104A9"/>
    <w:rsid w:val="00212E37"/>
    <w:rsid w:val="00212F93"/>
    <w:rsid w:val="00213D3C"/>
    <w:rsid w:val="0021556A"/>
    <w:rsid w:val="002155B8"/>
    <w:rsid w:val="00216436"/>
    <w:rsid w:val="00216D0D"/>
    <w:rsid w:val="0022048A"/>
    <w:rsid w:val="00220ADC"/>
    <w:rsid w:val="002210DF"/>
    <w:rsid w:val="0022281D"/>
    <w:rsid w:val="00222D69"/>
    <w:rsid w:val="00222F76"/>
    <w:rsid w:val="00223991"/>
    <w:rsid w:val="0022582A"/>
    <w:rsid w:val="002259EA"/>
    <w:rsid w:val="0022756E"/>
    <w:rsid w:val="002305C5"/>
    <w:rsid w:val="0023068C"/>
    <w:rsid w:val="0023138D"/>
    <w:rsid w:val="00234BB0"/>
    <w:rsid w:val="002356F2"/>
    <w:rsid w:val="002358D0"/>
    <w:rsid w:val="00236449"/>
    <w:rsid w:val="0024033D"/>
    <w:rsid w:val="0024335C"/>
    <w:rsid w:val="0024360C"/>
    <w:rsid w:val="00244604"/>
    <w:rsid w:val="002465F8"/>
    <w:rsid w:val="00246E1F"/>
    <w:rsid w:val="00250B98"/>
    <w:rsid w:val="002518BC"/>
    <w:rsid w:val="00254E3D"/>
    <w:rsid w:val="002560B3"/>
    <w:rsid w:val="00257872"/>
    <w:rsid w:val="00257AA2"/>
    <w:rsid w:val="00257EFB"/>
    <w:rsid w:val="00260356"/>
    <w:rsid w:val="0026163E"/>
    <w:rsid w:val="00261A3E"/>
    <w:rsid w:val="0026351F"/>
    <w:rsid w:val="002638D1"/>
    <w:rsid w:val="0026785B"/>
    <w:rsid w:val="00270C53"/>
    <w:rsid w:val="00270CFB"/>
    <w:rsid w:val="00271FEC"/>
    <w:rsid w:val="00274C6E"/>
    <w:rsid w:val="00275251"/>
    <w:rsid w:val="00277194"/>
    <w:rsid w:val="00277B7B"/>
    <w:rsid w:val="00277D7E"/>
    <w:rsid w:val="00282387"/>
    <w:rsid w:val="00284E4C"/>
    <w:rsid w:val="00290373"/>
    <w:rsid w:val="00291585"/>
    <w:rsid w:val="00291BDD"/>
    <w:rsid w:val="00291EC9"/>
    <w:rsid w:val="002974C2"/>
    <w:rsid w:val="00297FA3"/>
    <w:rsid w:val="002A0888"/>
    <w:rsid w:val="002A1B17"/>
    <w:rsid w:val="002A3CED"/>
    <w:rsid w:val="002A4621"/>
    <w:rsid w:val="002A5828"/>
    <w:rsid w:val="002A619B"/>
    <w:rsid w:val="002A6366"/>
    <w:rsid w:val="002B119E"/>
    <w:rsid w:val="002B1AE2"/>
    <w:rsid w:val="002B445C"/>
    <w:rsid w:val="002B5C2F"/>
    <w:rsid w:val="002C0A5F"/>
    <w:rsid w:val="002C2BA2"/>
    <w:rsid w:val="002C2F66"/>
    <w:rsid w:val="002C316C"/>
    <w:rsid w:val="002C78D6"/>
    <w:rsid w:val="002C7F45"/>
    <w:rsid w:val="002D2DA0"/>
    <w:rsid w:val="002D332B"/>
    <w:rsid w:val="002D4A54"/>
    <w:rsid w:val="002D4D8E"/>
    <w:rsid w:val="002D5114"/>
    <w:rsid w:val="002E1446"/>
    <w:rsid w:val="002E3004"/>
    <w:rsid w:val="002E4A29"/>
    <w:rsid w:val="002E51C7"/>
    <w:rsid w:val="002E6509"/>
    <w:rsid w:val="002E7D6F"/>
    <w:rsid w:val="002E7DE0"/>
    <w:rsid w:val="002F2F1F"/>
    <w:rsid w:val="002F502F"/>
    <w:rsid w:val="002F761D"/>
    <w:rsid w:val="00300174"/>
    <w:rsid w:val="003024A6"/>
    <w:rsid w:val="00303C3B"/>
    <w:rsid w:val="0030644B"/>
    <w:rsid w:val="003068DD"/>
    <w:rsid w:val="00306DC0"/>
    <w:rsid w:val="0031028E"/>
    <w:rsid w:val="00310373"/>
    <w:rsid w:val="0031095A"/>
    <w:rsid w:val="00311AC1"/>
    <w:rsid w:val="00314E2D"/>
    <w:rsid w:val="00320B09"/>
    <w:rsid w:val="0032466E"/>
    <w:rsid w:val="003259BB"/>
    <w:rsid w:val="0032682D"/>
    <w:rsid w:val="00326944"/>
    <w:rsid w:val="003269B0"/>
    <w:rsid w:val="00326C85"/>
    <w:rsid w:val="00331556"/>
    <w:rsid w:val="00331596"/>
    <w:rsid w:val="00331B30"/>
    <w:rsid w:val="00332ABD"/>
    <w:rsid w:val="00333552"/>
    <w:rsid w:val="00333E56"/>
    <w:rsid w:val="00333F79"/>
    <w:rsid w:val="003356DD"/>
    <w:rsid w:val="0033684B"/>
    <w:rsid w:val="00336A0A"/>
    <w:rsid w:val="0033799D"/>
    <w:rsid w:val="0034191B"/>
    <w:rsid w:val="00341B25"/>
    <w:rsid w:val="003440AD"/>
    <w:rsid w:val="00344B52"/>
    <w:rsid w:val="0034500C"/>
    <w:rsid w:val="00345F5F"/>
    <w:rsid w:val="00346171"/>
    <w:rsid w:val="00346A8F"/>
    <w:rsid w:val="00347892"/>
    <w:rsid w:val="0035015E"/>
    <w:rsid w:val="00351635"/>
    <w:rsid w:val="003531DC"/>
    <w:rsid w:val="00354FC5"/>
    <w:rsid w:val="003553F7"/>
    <w:rsid w:val="00360564"/>
    <w:rsid w:val="00361258"/>
    <w:rsid w:val="0036140C"/>
    <w:rsid w:val="00361E0F"/>
    <w:rsid w:val="00362622"/>
    <w:rsid w:val="00362645"/>
    <w:rsid w:val="00366048"/>
    <w:rsid w:val="003660B2"/>
    <w:rsid w:val="00366D1D"/>
    <w:rsid w:val="003708CD"/>
    <w:rsid w:val="00371B23"/>
    <w:rsid w:val="00374924"/>
    <w:rsid w:val="0037625A"/>
    <w:rsid w:val="0037667D"/>
    <w:rsid w:val="00376F66"/>
    <w:rsid w:val="003775B1"/>
    <w:rsid w:val="003776F4"/>
    <w:rsid w:val="00377E36"/>
    <w:rsid w:val="0038187F"/>
    <w:rsid w:val="00382C54"/>
    <w:rsid w:val="00386149"/>
    <w:rsid w:val="00386AD4"/>
    <w:rsid w:val="00386F55"/>
    <w:rsid w:val="00390807"/>
    <w:rsid w:val="00390F1A"/>
    <w:rsid w:val="00391115"/>
    <w:rsid w:val="00393BC8"/>
    <w:rsid w:val="00393FEA"/>
    <w:rsid w:val="003958EB"/>
    <w:rsid w:val="00396937"/>
    <w:rsid w:val="003A1E78"/>
    <w:rsid w:val="003A1F25"/>
    <w:rsid w:val="003A2196"/>
    <w:rsid w:val="003A321A"/>
    <w:rsid w:val="003A337B"/>
    <w:rsid w:val="003A5235"/>
    <w:rsid w:val="003A6DDC"/>
    <w:rsid w:val="003B1264"/>
    <w:rsid w:val="003B385E"/>
    <w:rsid w:val="003B3B2A"/>
    <w:rsid w:val="003B40E0"/>
    <w:rsid w:val="003B4EBE"/>
    <w:rsid w:val="003B578F"/>
    <w:rsid w:val="003C0B66"/>
    <w:rsid w:val="003C0BA3"/>
    <w:rsid w:val="003C1EFD"/>
    <w:rsid w:val="003C2DA5"/>
    <w:rsid w:val="003C2DF9"/>
    <w:rsid w:val="003D125A"/>
    <w:rsid w:val="003D1ADA"/>
    <w:rsid w:val="003D385F"/>
    <w:rsid w:val="003D3EA0"/>
    <w:rsid w:val="003D5271"/>
    <w:rsid w:val="003D757A"/>
    <w:rsid w:val="003E01DC"/>
    <w:rsid w:val="003E24DE"/>
    <w:rsid w:val="003E359A"/>
    <w:rsid w:val="003E398A"/>
    <w:rsid w:val="003E3C5A"/>
    <w:rsid w:val="003E449E"/>
    <w:rsid w:val="003E47B5"/>
    <w:rsid w:val="003E50C7"/>
    <w:rsid w:val="003E5D6D"/>
    <w:rsid w:val="003E6816"/>
    <w:rsid w:val="003F0405"/>
    <w:rsid w:val="003F1C54"/>
    <w:rsid w:val="003F5A7C"/>
    <w:rsid w:val="003F6A75"/>
    <w:rsid w:val="003F77D1"/>
    <w:rsid w:val="003F78DC"/>
    <w:rsid w:val="00400648"/>
    <w:rsid w:val="00401615"/>
    <w:rsid w:val="00401B40"/>
    <w:rsid w:val="00402222"/>
    <w:rsid w:val="00403EBA"/>
    <w:rsid w:val="0040476C"/>
    <w:rsid w:val="00410DEB"/>
    <w:rsid w:val="0041291E"/>
    <w:rsid w:val="00413E2A"/>
    <w:rsid w:val="00414192"/>
    <w:rsid w:val="00414E9A"/>
    <w:rsid w:val="00414F1F"/>
    <w:rsid w:val="00416523"/>
    <w:rsid w:val="00421EDC"/>
    <w:rsid w:val="00425812"/>
    <w:rsid w:val="00426E56"/>
    <w:rsid w:val="004307D8"/>
    <w:rsid w:val="00430B59"/>
    <w:rsid w:val="00432F1B"/>
    <w:rsid w:val="00433BC2"/>
    <w:rsid w:val="004340EE"/>
    <w:rsid w:val="00435B81"/>
    <w:rsid w:val="00436563"/>
    <w:rsid w:val="0043694C"/>
    <w:rsid w:val="0044258C"/>
    <w:rsid w:val="004444C7"/>
    <w:rsid w:val="00444E8B"/>
    <w:rsid w:val="004505FB"/>
    <w:rsid w:val="004506B1"/>
    <w:rsid w:val="00450878"/>
    <w:rsid w:val="004542CE"/>
    <w:rsid w:val="00455CA9"/>
    <w:rsid w:val="004578C6"/>
    <w:rsid w:val="00460F65"/>
    <w:rsid w:val="00461824"/>
    <w:rsid w:val="00461F2A"/>
    <w:rsid w:val="004638B6"/>
    <w:rsid w:val="00463E0F"/>
    <w:rsid w:val="00466041"/>
    <w:rsid w:val="004711A3"/>
    <w:rsid w:val="004720A1"/>
    <w:rsid w:val="00472F7A"/>
    <w:rsid w:val="00473BC7"/>
    <w:rsid w:val="00475268"/>
    <w:rsid w:val="00476816"/>
    <w:rsid w:val="00477569"/>
    <w:rsid w:val="004804FD"/>
    <w:rsid w:val="00482FE6"/>
    <w:rsid w:val="00483085"/>
    <w:rsid w:val="00483201"/>
    <w:rsid w:val="00483F37"/>
    <w:rsid w:val="00490733"/>
    <w:rsid w:val="00495033"/>
    <w:rsid w:val="0049543A"/>
    <w:rsid w:val="00495986"/>
    <w:rsid w:val="0049690F"/>
    <w:rsid w:val="004A0B0E"/>
    <w:rsid w:val="004A2B62"/>
    <w:rsid w:val="004A2B74"/>
    <w:rsid w:val="004A3414"/>
    <w:rsid w:val="004A3653"/>
    <w:rsid w:val="004A4ACA"/>
    <w:rsid w:val="004A634E"/>
    <w:rsid w:val="004A6EAB"/>
    <w:rsid w:val="004A72E8"/>
    <w:rsid w:val="004A7A70"/>
    <w:rsid w:val="004A7A89"/>
    <w:rsid w:val="004B17DC"/>
    <w:rsid w:val="004B27BD"/>
    <w:rsid w:val="004B5569"/>
    <w:rsid w:val="004B6527"/>
    <w:rsid w:val="004B7E3D"/>
    <w:rsid w:val="004C00E6"/>
    <w:rsid w:val="004C0725"/>
    <w:rsid w:val="004C0740"/>
    <w:rsid w:val="004C10B5"/>
    <w:rsid w:val="004C2C26"/>
    <w:rsid w:val="004C2CEC"/>
    <w:rsid w:val="004C665D"/>
    <w:rsid w:val="004D149B"/>
    <w:rsid w:val="004D303F"/>
    <w:rsid w:val="004D4263"/>
    <w:rsid w:val="004D646B"/>
    <w:rsid w:val="004E0EA0"/>
    <w:rsid w:val="004E1422"/>
    <w:rsid w:val="004E3C82"/>
    <w:rsid w:val="004E522D"/>
    <w:rsid w:val="004E626D"/>
    <w:rsid w:val="004E778B"/>
    <w:rsid w:val="004F0B56"/>
    <w:rsid w:val="004F1174"/>
    <w:rsid w:val="004F243D"/>
    <w:rsid w:val="004F3B78"/>
    <w:rsid w:val="004F4F24"/>
    <w:rsid w:val="004F6148"/>
    <w:rsid w:val="004F6D8E"/>
    <w:rsid w:val="004F6FEB"/>
    <w:rsid w:val="005028BA"/>
    <w:rsid w:val="00503B12"/>
    <w:rsid w:val="00504EE4"/>
    <w:rsid w:val="0050513A"/>
    <w:rsid w:val="00506432"/>
    <w:rsid w:val="0051459D"/>
    <w:rsid w:val="00516522"/>
    <w:rsid w:val="00520894"/>
    <w:rsid w:val="00522D28"/>
    <w:rsid w:val="00522DF0"/>
    <w:rsid w:val="00523718"/>
    <w:rsid w:val="0052591B"/>
    <w:rsid w:val="00526341"/>
    <w:rsid w:val="0052700A"/>
    <w:rsid w:val="00527BCB"/>
    <w:rsid w:val="00530275"/>
    <w:rsid w:val="00530C65"/>
    <w:rsid w:val="00531769"/>
    <w:rsid w:val="00532267"/>
    <w:rsid w:val="00532C80"/>
    <w:rsid w:val="00534075"/>
    <w:rsid w:val="00534A5C"/>
    <w:rsid w:val="00534BA7"/>
    <w:rsid w:val="00535518"/>
    <w:rsid w:val="005356E7"/>
    <w:rsid w:val="00535707"/>
    <w:rsid w:val="00536653"/>
    <w:rsid w:val="0053714C"/>
    <w:rsid w:val="00537717"/>
    <w:rsid w:val="005412F4"/>
    <w:rsid w:val="005413E8"/>
    <w:rsid w:val="005415FD"/>
    <w:rsid w:val="00543E46"/>
    <w:rsid w:val="00544D6B"/>
    <w:rsid w:val="00544FBE"/>
    <w:rsid w:val="00545070"/>
    <w:rsid w:val="00545252"/>
    <w:rsid w:val="005454C0"/>
    <w:rsid w:val="00545EAC"/>
    <w:rsid w:val="00546528"/>
    <w:rsid w:val="00547D2F"/>
    <w:rsid w:val="00552FA0"/>
    <w:rsid w:val="005533C7"/>
    <w:rsid w:val="005542F6"/>
    <w:rsid w:val="00555F92"/>
    <w:rsid w:val="00556AB1"/>
    <w:rsid w:val="00556CC3"/>
    <w:rsid w:val="00556F27"/>
    <w:rsid w:val="00561FEB"/>
    <w:rsid w:val="00563653"/>
    <w:rsid w:val="005640CA"/>
    <w:rsid w:val="0056495D"/>
    <w:rsid w:val="00565451"/>
    <w:rsid w:val="00565F6D"/>
    <w:rsid w:val="00567B0E"/>
    <w:rsid w:val="00571391"/>
    <w:rsid w:val="005717EF"/>
    <w:rsid w:val="00571C75"/>
    <w:rsid w:val="00573D69"/>
    <w:rsid w:val="00576359"/>
    <w:rsid w:val="00577910"/>
    <w:rsid w:val="00581F4A"/>
    <w:rsid w:val="005822DE"/>
    <w:rsid w:val="00583658"/>
    <w:rsid w:val="00583744"/>
    <w:rsid w:val="00583E42"/>
    <w:rsid w:val="00584F70"/>
    <w:rsid w:val="00590A14"/>
    <w:rsid w:val="00590B12"/>
    <w:rsid w:val="005918E1"/>
    <w:rsid w:val="0059203F"/>
    <w:rsid w:val="00592A67"/>
    <w:rsid w:val="0059424F"/>
    <w:rsid w:val="00594C24"/>
    <w:rsid w:val="00595835"/>
    <w:rsid w:val="005969B8"/>
    <w:rsid w:val="0059729B"/>
    <w:rsid w:val="005A0325"/>
    <w:rsid w:val="005A047A"/>
    <w:rsid w:val="005A064E"/>
    <w:rsid w:val="005A0D5D"/>
    <w:rsid w:val="005A20F0"/>
    <w:rsid w:val="005A3053"/>
    <w:rsid w:val="005A3BCC"/>
    <w:rsid w:val="005A6386"/>
    <w:rsid w:val="005A7898"/>
    <w:rsid w:val="005B09B7"/>
    <w:rsid w:val="005B1F23"/>
    <w:rsid w:val="005B2381"/>
    <w:rsid w:val="005B2543"/>
    <w:rsid w:val="005B2D46"/>
    <w:rsid w:val="005B50F1"/>
    <w:rsid w:val="005B65C5"/>
    <w:rsid w:val="005B72D5"/>
    <w:rsid w:val="005B7879"/>
    <w:rsid w:val="005B7C76"/>
    <w:rsid w:val="005C086E"/>
    <w:rsid w:val="005C1486"/>
    <w:rsid w:val="005C18D1"/>
    <w:rsid w:val="005C1F4D"/>
    <w:rsid w:val="005C2790"/>
    <w:rsid w:val="005C3411"/>
    <w:rsid w:val="005C4291"/>
    <w:rsid w:val="005C4FA6"/>
    <w:rsid w:val="005C500F"/>
    <w:rsid w:val="005C708E"/>
    <w:rsid w:val="005C74DC"/>
    <w:rsid w:val="005C7C6A"/>
    <w:rsid w:val="005D2664"/>
    <w:rsid w:val="005D3E32"/>
    <w:rsid w:val="005D3E54"/>
    <w:rsid w:val="005D4354"/>
    <w:rsid w:val="005D5028"/>
    <w:rsid w:val="005D59F3"/>
    <w:rsid w:val="005D73B8"/>
    <w:rsid w:val="005D7F6E"/>
    <w:rsid w:val="005E1D27"/>
    <w:rsid w:val="005E277C"/>
    <w:rsid w:val="005E2DB5"/>
    <w:rsid w:val="005E436B"/>
    <w:rsid w:val="005E6CBC"/>
    <w:rsid w:val="005F0645"/>
    <w:rsid w:val="005F2C42"/>
    <w:rsid w:val="005F329D"/>
    <w:rsid w:val="005F3A50"/>
    <w:rsid w:val="005F5A93"/>
    <w:rsid w:val="005F6A94"/>
    <w:rsid w:val="00600F2C"/>
    <w:rsid w:val="00601B83"/>
    <w:rsid w:val="006030CD"/>
    <w:rsid w:val="00604C5F"/>
    <w:rsid w:val="0060646A"/>
    <w:rsid w:val="006072AD"/>
    <w:rsid w:val="00611714"/>
    <w:rsid w:val="00611AFF"/>
    <w:rsid w:val="00612444"/>
    <w:rsid w:val="00617AC6"/>
    <w:rsid w:val="00620E12"/>
    <w:rsid w:val="00624967"/>
    <w:rsid w:val="00626CBB"/>
    <w:rsid w:val="00627587"/>
    <w:rsid w:val="006301BD"/>
    <w:rsid w:val="00630233"/>
    <w:rsid w:val="00631CEA"/>
    <w:rsid w:val="00632387"/>
    <w:rsid w:val="00632530"/>
    <w:rsid w:val="00633D1F"/>
    <w:rsid w:val="006348E5"/>
    <w:rsid w:val="006362CF"/>
    <w:rsid w:val="0064095A"/>
    <w:rsid w:val="0064098B"/>
    <w:rsid w:val="006410FA"/>
    <w:rsid w:val="00641598"/>
    <w:rsid w:val="006433EF"/>
    <w:rsid w:val="006458BF"/>
    <w:rsid w:val="0065063C"/>
    <w:rsid w:val="00650963"/>
    <w:rsid w:val="00650F74"/>
    <w:rsid w:val="00652C44"/>
    <w:rsid w:val="00653485"/>
    <w:rsid w:val="00653C46"/>
    <w:rsid w:val="00653E0E"/>
    <w:rsid w:val="0065466B"/>
    <w:rsid w:val="00655CEC"/>
    <w:rsid w:val="0066284C"/>
    <w:rsid w:val="00666725"/>
    <w:rsid w:val="0066758E"/>
    <w:rsid w:val="00670AA2"/>
    <w:rsid w:val="006712FF"/>
    <w:rsid w:val="00671C38"/>
    <w:rsid w:val="0067260D"/>
    <w:rsid w:val="0067268D"/>
    <w:rsid w:val="00672AF6"/>
    <w:rsid w:val="006758EC"/>
    <w:rsid w:val="00676169"/>
    <w:rsid w:val="006777C0"/>
    <w:rsid w:val="0068183A"/>
    <w:rsid w:val="00681E7F"/>
    <w:rsid w:val="006837EC"/>
    <w:rsid w:val="006844B4"/>
    <w:rsid w:val="00684BE3"/>
    <w:rsid w:val="00690272"/>
    <w:rsid w:val="006913AA"/>
    <w:rsid w:val="00692180"/>
    <w:rsid w:val="006929F5"/>
    <w:rsid w:val="00692B55"/>
    <w:rsid w:val="00692DCF"/>
    <w:rsid w:val="00692E1B"/>
    <w:rsid w:val="00693C8E"/>
    <w:rsid w:val="00694AE6"/>
    <w:rsid w:val="006950A1"/>
    <w:rsid w:val="00696DEE"/>
    <w:rsid w:val="006A1535"/>
    <w:rsid w:val="006A2C41"/>
    <w:rsid w:val="006A38B8"/>
    <w:rsid w:val="006A5EA7"/>
    <w:rsid w:val="006A6355"/>
    <w:rsid w:val="006A79B0"/>
    <w:rsid w:val="006A7D98"/>
    <w:rsid w:val="006B10B2"/>
    <w:rsid w:val="006B15BB"/>
    <w:rsid w:val="006B1A8C"/>
    <w:rsid w:val="006B2CCE"/>
    <w:rsid w:val="006B53BF"/>
    <w:rsid w:val="006B53E6"/>
    <w:rsid w:val="006C19E0"/>
    <w:rsid w:val="006C29A1"/>
    <w:rsid w:val="006C2D70"/>
    <w:rsid w:val="006C7B8B"/>
    <w:rsid w:val="006D17CC"/>
    <w:rsid w:val="006D218F"/>
    <w:rsid w:val="006D3037"/>
    <w:rsid w:val="006D3AB4"/>
    <w:rsid w:val="006D3BCC"/>
    <w:rsid w:val="006D74BB"/>
    <w:rsid w:val="006E0B13"/>
    <w:rsid w:val="006E1A57"/>
    <w:rsid w:val="006E272B"/>
    <w:rsid w:val="006E57BC"/>
    <w:rsid w:val="006E59FC"/>
    <w:rsid w:val="006E723E"/>
    <w:rsid w:val="006E7751"/>
    <w:rsid w:val="006E7CEE"/>
    <w:rsid w:val="006F150B"/>
    <w:rsid w:val="006F39D5"/>
    <w:rsid w:val="006F62FF"/>
    <w:rsid w:val="006F6EB0"/>
    <w:rsid w:val="0070061F"/>
    <w:rsid w:val="00700FBF"/>
    <w:rsid w:val="00703629"/>
    <w:rsid w:val="0070492B"/>
    <w:rsid w:val="00704C78"/>
    <w:rsid w:val="00704EFB"/>
    <w:rsid w:val="007055BB"/>
    <w:rsid w:val="0070673B"/>
    <w:rsid w:val="00712EA6"/>
    <w:rsid w:val="007130AB"/>
    <w:rsid w:val="007130E4"/>
    <w:rsid w:val="007131FE"/>
    <w:rsid w:val="00713625"/>
    <w:rsid w:val="007156CA"/>
    <w:rsid w:val="00715C3E"/>
    <w:rsid w:val="00717046"/>
    <w:rsid w:val="007225BE"/>
    <w:rsid w:val="00722E83"/>
    <w:rsid w:val="00723A90"/>
    <w:rsid w:val="0072483B"/>
    <w:rsid w:val="00724D03"/>
    <w:rsid w:val="00724E8D"/>
    <w:rsid w:val="007254A3"/>
    <w:rsid w:val="00730022"/>
    <w:rsid w:val="00730C14"/>
    <w:rsid w:val="0073164E"/>
    <w:rsid w:val="007323A6"/>
    <w:rsid w:val="007333DF"/>
    <w:rsid w:val="00733686"/>
    <w:rsid w:val="00733A4E"/>
    <w:rsid w:val="00733EA1"/>
    <w:rsid w:val="0073400B"/>
    <w:rsid w:val="00735443"/>
    <w:rsid w:val="0073575D"/>
    <w:rsid w:val="00735BF6"/>
    <w:rsid w:val="007373F3"/>
    <w:rsid w:val="00740B69"/>
    <w:rsid w:val="0074181C"/>
    <w:rsid w:val="00742484"/>
    <w:rsid w:val="007431A3"/>
    <w:rsid w:val="0074397D"/>
    <w:rsid w:val="00745CD5"/>
    <w:rsid w:val="00747C81"/>
    <w:rsid w:val="00752A5B"/>
    <w:rsid w:val="0075303C"/>
    <w:rsid w:val="0075478E"/>
    <w:rsid w:val="007626DF"/>
    <w:rsid w:val="007664FF"/>
    <w:rsid w:val="00767637"/>
    <w:rsid w:val="00771569"/>
    <w:rsid w:val="0077273F"/>
    <w:rsid w:val="007747E3"/>
    <w:rsid w:val="00775279"/>
    <w:rsid w:val="00775BBB"/>
    <w:rsid w:val="0077640D"/>
    <w:rsid w:val="00780307"/>
    <w:rsid w:val="0078065C"/>
    <w:rsid w:val="007812AE"/>
    <w:rsid w:val="007829C0"/>
    <w:rsid w:val="00783E37"/>
    <w:rsid w:val="00786894"/>
    <w:rsid w:val="00786DC3"/>
    <w:rsid w:val="007902E6"/>
    <w:rsid w:val="00790C7E"/>
    <w:rsid w:val="00791B0F"/>
    <w:rsid w:val="00792FAF"/>
    <w:rsid w:val="00793E83"/>
    <w:rsid w:val="00794B2C"/>
    <w:rsid w:val="0079589A"/>
    <w:rsid w:val="00795DE6"/>
    <w:rsid w:val="00795E18"/>
    <w:rsid w:val="0079674D"/>
    <w:rsid w:val="007979B5"/>
    <w:rsid w:val="00797BB7"/>
    <w:rsid w:val="007A0FAD"/>
    <w:rsid w:val="007A17D3"/>
    <w:rsid w:val="007A2F31"/>
    <w:rsid w:val="007A5431"/>
    <w:rsid w:val="007A6A94"/>
    <w:rsid w:val="007A701E"/>
    <w:rsid w:val="007A779A"/>
    <w:rsid w:val="007B0E30"/>
    <w:rsid w:val="007B2BB5"/>
    <w:rsid w:val="007B4CEB"/>
    <w:rsid w:val="007B6B3D"/>
    <w:rsid w:val="007B7D0A"/>
    <w:rsid w:val="007C4B46"/>
    <w:rsid w:val="007C5DAA"/>
    <w:rsid w:val="007C6E75"/>
    <w:rsid w:val="007D3709"/>
    <w:rsid w:val="007D6F0D"/>
    <w:rsid w:val="007E46BB"/>
    <w:rsid w:val="007E7616"/>
    <w:rsid w:val="007F2965"/>
    <w:rsid w:val="007F3C81"/>
    <w:rsid w:val="007F52EA"/>
    <w:rsid w:val="007F56B8"/>
    <w:rsid w:val="007F7095"/>
    <w:rsid w:val="00800548"/>
    <w:rsid w:val="008056C4"/>
    <w:rsid w:val="00806CF5"/>
    <w:rsid w:val="0080743C"/>
    <w:rsid w:val="00810596"/>
    <w:rsid w:val="008118EB"/>
    <w:rsid w:val="00812293"/>
    <w:rsid w:val="008123EA"/>
    <w:rsid w:val="008152DB"/>
    <w:rsid w:val="00815C3D"/>
    <w:rsid w:val="00823195"/>
    <w:rsid w:val="00824098"/>
    <w:rsid w:val="008260A7"/>
    <w:rsid w:val="0082650D"/>
    <w:rsid w:val="00826E48"/>
    <w:rsid w:val="00827344"/>
    <w:rsid w:val="008273BC"/>
    <w:rsid w:val="00827F79"/>
    <w:rsid w:val="008312A8"/>
    <w:rsid w:val="00831B7B"/>
    <w:rsid w:val="008343C7"/>
    <w:rsid w:val="00835931"/>
    <w:rsid w:val="00836253"/>
    <w:rsid w:val="0083785C"/>
    <w:rsid w:val="00840B24"/>
    <w:rsid w:val="00841D9B"/>
    <w:rsid w:val="00842092"/>
    <w:rsid w:val="00842746"/>
    <w:rsid w:val="00844ED7"/>
    <w:rsid w:val="00846512"/>
    <w:rsid w:val="00846E1A"/>
    <w:rsid w:val="008504C7"/>
    <w:rsid w:val="00850929"/>
    <w:rsid w:val="00850FB2"/>
    <w:rsid w:val="008523B9"/>
    <w:rsid w:val="008551F1"/>
    <w:rsid w:val="0085664F"/>
    <w:rsid w:val="00862D69"/>
    <w:rsid w:val="008630EF"/>
    <w:rsid w:val="008630F1"/>
    <w:rsid w:val="00863947"/>
    <w:rsid w:val="00865037"/>
    <w:rsid w:val="008659C0"/>
    <w:rsid w:val="00865AAD"/>
    <w:rsid w:val="00865C7C"/>
    <w:rsid w:val="00865C94"/>
    <w:rsid w:val="00866370"/>
    <w:rsid w:val="008675BD"/>
    <w:rsid w:val="008700F5"/>
    <w:rsid w:val="00870DBD"/>
    <w:rsid w:val="008710D7"/>
    <w:rsid w:val="008727A2"/>
    <w:rsid w:val="00873D6F"/>
    <w:rsid w:val="008744A2"/>
    <w:rsid w:val="00875FE6"/>
    <w:rsid w:val="00880115"/>
    <w:rsid w:val="0088062F"/>
    <w:rsid w:val="00884202"/>
    <w:rsid w:val="008870DC"/>
    <w:rsid w:val="00887668"/>
    <w:rsid w:val="0089031B"/>
    <w:rsid w:val="008903EA"/>
    <w:rsid w:val="00892F5C"/>
    <w:rsid w:val="008944EF"/>
    <w:rsid w:val="00896AD1"/>
    <w:rsid w:val="008977C2"/>
    <w:rsid w:val="008A0807"/>
    <w:rsid w:val="008A0D71"/>
    <w:rsid w:val="008A1B56"/>
    <w:rsid w:val="008A1C6B"/>
    <w:rsid w:val="008A1E43"/>
    <w:rsid w:val="008A1FA1"/>
    <w:rsid w:val="008A2B6A"/>
    <w:rsid w:val="008A4226"/>
    <w:rsid w:val="008A486A"/>
    <w:rsid w:val="008A5F0D"/>
    <w:rsid w:val="008A7915"/>
    <w:rsid w:val="008A7B23"/>
    <w:rsid w:val="008B0937"/>
    <w:rsid w:val="008B17D9"/>
    <w:rsid w:val="008B3288"/>
    <w:rsid w:val="008B5B36"/>
    <w:rsid w:val="008B5F35"/>
    <w:rsid w:val="008B683E"/>
    <w:rsid w:val="008B6AAB"/>
    <w:rsid w:val="008B72D7"/>
    <w:rsid w:val="008B7B45"/>
    <w:rsid w:val="008C0D83"/>
    <w:rsid w:val="008D0CB8"/>
    <w:rsid w:val="008D29FE"/>
    <w:rsid w:val="008D5931"/>
    <w:rsid w:val="008D759F"/>
    <w:rsid w:val="008E02B5"/>
    <w:rsid w:val="008E1E26"/>
    <w:rsid w:val="008E209D"/>
    <w:rsid w:val="008E2112"/>
    <w:rsid w:val="008E2722"/>
    <w:rsid w:val="008E3D4B"/>
    <w:rsid w:val="008E6DBB"/>
    <w:rsid w:val="008F15C5"/>
    <w:rsid w:val="008F1700"/>
    <w:rsid w:val="008F266F"/>
    <w:rsid w:val="008F3EC7"/>
    <w:rsid w:val="008F4666"/>
    <w:rsid w:val="00900076"/>
    <w:rsid w:val="00901E1B"/>
    <w:rsid w:val="00903C3F"/>
    <w:rsid w:val="00910498"/>
    <w:rsid w:val="00910F76"/>
    <w:rsid w:val="009111E2"/>
    <w:rsid w:val="00911215"/>
    <w:rsid w:val="009126F0"/>
    <w:rsid w:val="00913733"/>
    <w:rsid w:val="00916A8B"/>
    <w:rsid w:val="00917EAE"/>
    <w:rsid w:val="00921A13"/>
    <w:rsid w:val="00921D5F"/>
    <w:rsid w:val="0092448C"/>
    <w:rsid w:val="009251BB"/>
    <w:rsid w:val="00926F01"/>
    <w:rsid w:val="009306AA"/>
    <w:rsid w:val="00930BC9"/>
    <w:rsid w:val="00931D99"/>
    <w:rsid w:val="009329B6"/>
    <w:rsid w:val="009403A8"/>
    <w:rsid w:val="00940DB7"/>
    <w:rsid w:val="009416E1"/>
    <w:rsid w:val="009418A4"/>
    <w:rsid w:val="00942AB2"/>
    <w:rsid w:val="00945B4C"/>
    <w:rsid w:val="00951B8C"/>
    <w:rsid w:val="0095332A"/>
    <w:rsid w:val="00954415"/>
    <w:rsid w:val="00954F4F"/>
    <w:rsid w:val="00960DC6"/>
    <w:rsid w:val="00964247"/>
    <w:rsid w:val="00965B83"/>
    <w:rsid w:val="009662A0"/>
    <w:rsid w:val="00970024"/>
    <w:rsid w:val="009705B1"/>
    <w:rsid w:val="00971057"/>
    <w:rsid w:val="009712B5"/>
    <w:rsid w:val="0097139A"/>
    <w:rsid w:val="00971EFC"/>
    <w:rsid w:val="0097256A"/>
    <w:rsid w:val="009730C6"/>
    <w:rsid w:val="00973743"/>
    <w:rsid w:val="0097465D"/>
    <w:rsid w:val="009748F9"/>
    <w:rsid w:val="00974F4C"/>
    <w:rsid w:val="00975835"/>
    <w:rsid w:val="0097783A"/>
    <w:rsid w:val="009818A9"/>
    <w:rsid w:val="009820C8"/>
    <w:rsid w:val="00982196"/>
    <w:rsid w:val="0098244D"/>
    <w:rsid w:val="00983897"/>
    <w:rsid w:val="00985EB2"/>
    <w:rsid w:val="009866E2"/>
    <w:rsid w:val="00986767"/>
    <w:rsid w:val="009875FB"/>
    <w:rsid w:val="0099042E"/>
    <w:rsid w:val="009919BC"/>
    <w:rsid w:val="00994AC0"/>
    <w:rsid w:val="00994DEB"/>
    <w:rsid w:val="009976A4"/>
    <w:rsid w:val="009A016A"/>
    <w:rsid w:val="009A1760"/>
    <w:rsid w:val="009A31DB"/>
    <w:rsid w:val="009A39D0"/>
    <w:rsid w:val="009A53E1"/>
    <w:rsid w:val="009B0251"/>
    <w:rsid w:val="009B0BCF"/>
    <w:rsid w:val="009B530B"/>
    <w:rsid w:val="009B545E"/>
    <w:rsid w:val="009B562B"/>
    <w:rsid w:val="009B64E6"/>
    <w:rsid w:val="009B69B6"/>
    <w:rsid w:val="009B69E5"/>
    <w:rsid w:val="009C00B1"/>
    <w:rsid w:val="009C0521"/>
    <w:rsid w:val="009C27C2"/>
    <w:rsid w:val="009C3AFE"/>
    <w:rsid w:val="009C3B9C"/>
    <w:rsid w:val="009C3BEF"/>
    <w:rsid w:val="009C4982"/>
    <w:rsid w:val="009D1D0A"/>
    <w:rsid w:val="009D4C17"/>
    <w:rsid w:val="009D71A6"/>
    <w:rsid w:val="009E4669"/>
    <w:rsid w:val="009E59D6"/>
    <w:rsid w:val="009E652D"/>
    <w:rsid w:val="009F2561"/>
    <w:rsid w:val="009F4A0C"/>
    <w:rsid w:val="009F7429"/>
    <w:rsid w:val="009F74A5"/>
    <w:rsid w:val="009F76F3"/>
    <w:rsid w:val="00A0086A"/>
    <w:rsid w:val="00A05700"/>
    <w:rsid w:val="00A06405"/>
    <w:rsid w:val="00A066C1"/>
    <w:rsid w:val="00A07B0B"/>
    <w:rsid w:val="00A115E6"/>
    <w:rsid w:val="00A15B60"/>
    <w:rsid w:val="00A15F15"/>
    <w:rsid w:val="00A161D6"/>
    <w:rsid w:val="00A1632B"/>
    <w:rsid w:val="00A17046"/>
    <w:rsid w:val="00A173DD"/>
    <w:rsid w:val="00A23481"/>
    <w:rsid w:val="00A24191"/>
    <w:rsid w:val="00A24418"/>
    <w:rsid w:val="00A24BA5"/>
    <w:rsid w:val="00A25B9D"/>
    <w:rsid w:val="00A30176"/>
    <w:rsid w:val="00A324BD"/>
    <w:rsid w:val="00A35524"/>
    <w:rsid w:val="00A36BEA"/>
    <w:rsid w:val="00A409FA"/>
    <w:rsid w:val="00A41D5A"/>
    <w:rsid w:val="00A42CB6"/>
    <w:rsid w:val="00A44D89"/>
    <w:rsid w:val="00A44FA1"/>
    <w:rsid w:val="00A46FFF"/>
    <w:rsid w:val="00A47444"/>
    <w:rsid w:val="00A47D15"/>
    <w:rsid w:val="00A53B3D"/>
    <w:rsid w:val="00A56E27"/>
    <w:rsid w:val="00A57CA7"/>
    <w:rsid w:val="00A60810"/>
    <w:rsid w:val="00A61FA8"/>
    <w:rsid w:val="00A62663"/>
    <w:rsid w:val="00A62DC4"/>
    <w:rsid w:val="00A6455F"/>
    <w:rsid w:val="00A64DE5"/>
    <w:rsid w:val="00A66A70"/>
    <w:rsid w:val="00A72F90"/>
    <w:rsid w:val="00A73466"/>
    <w:rsid w:val="00A73CAA"/>
    <w:rsid w:val="00A770F0"/>
    <w:rsid w:val="00A77742"/>
    <w:rsid w:val="00A77880"/>
    <w:rsid w:val="00A80490"/>
    <w:rsid w:val="00A80E2B"/>
    <w:rsid w:val="00A85732"/>
    <w:rsid w:val="00A8698F"/>
    <w:rsid w:val="00A874A8"/>
    <w:rsid w:val="00A876E1"/>
    <w:rsid w:val="00A909A7"/>
    <w:rsid w:val="00A90CAB"/>
    <w:rsid w:val="00A91BDF"/>
    <w:rsid w:val="00A93F01"/>
    <w:rsid w:val="00A94E90"/>
    <w:rsid w:val="00A95360"/>
    <w:rsid w:val="00A9572B"/>
    <w:rsid w:val="00A958E7"/>
    <w:rsid w:val="00A9608E"/>
    <w:rsid w:val="00A966B8"/>
    <w:rsid w:val="00A96ED1"/>
    <w:rsid w:val="00AA1831"/>
    <w:rsid w:val="00AA29D0"/>
    <w:rsid w:val="00AA37F3"/>
    <w:rsid w:val="00AA3A7C"/>
    <w:rsid w:val="00AA44D8"/>
    <w:rsid w:val="00AA7BA0"/>
    <w:rsid w:val="00AB0732"/>
    <w:rsid w:val="00AB3422"/>
    <w:rsid w:val="00AB4B97"/>
    <w:rsid w:val="00AB77CC"/>
    <w:rsid w:val="00AC0C3A"/>
    <w:rsid w:val="00AC2125"/>
    <w:rsid w:val="00AC5F3E"/>
    <w:rsid w:val="00AC74C3"/>
    <w:rsid w:val="00AD1471"/>
    <w:rsid w:val="00AD32E6"/>
    <w:rsid w:val="00AD4DBA"/>
    <w:rsid w:val="00AE2E68"/>
    <w:rsid w:val="00AE4304"/>
    <w:rsid w:val="00AE5043"/>
    <w:rsid w:val="00AE61A0"/>
    <w:rsid w:val="00AE6D91"/>
    <w:rsid w:val="00AE76C1"/>
    <w:rsid w:val="00AE7C28"/>
    <w:rsid w:val="00AF1043"/>
    <w:rsid w:val="00AF2C85"/>
    <w:rsid w:val="00AF3131"/>
    <w:rsid w:val="00AF4D95"/>
    <w:rsid w:val="00AF7054"/>
    <w:rsid w:val="00B01FEA"/>
    <w:rsid w:val="00B0381F"/>
    <w:rsid w:val="00B05060"/>
    <w:rsid w:val="00B054DF"/>
    <w:rsid w:val="00B058B8"/>
    <w:rsid w:val="00B073C3"/>
    <w:rsid w:val="00B07960"/>
    <w:rsid w:val="00B10113"/>
    <w:rsid w:val="00B10C0A"/>
    <w:rsid w:val="00B1141E"/>
    <w:rsid w:val="00B114A9"/>
    <w:rsid w:val="00B11554"/>
    <w:rsid w:val="00B12E16"/>
    <w:rsid w:val="00B132D3"/>
    <w:rsid w:val="00B13D7F"/>
    <w:rsid w:val="00B13DF1"/>
    <w:rsid w:val="00B13E91"/>
    <w:rsid w:val="00B179EE"/>
    <w:rsid w:val="00B20211"/>
    <w:rsid w:val="00B21A13"/>
    <w:rsid w:val="00B250CA"/>
    <w:rsid w:val="00B2525B"/>
    <w:rsid w:val="00B25B11"/>
    <w:rsid w:val="00B27485"/>
    <w:rsid w:val="00B27A3A"/>
    <w:rsid w:val="00B27CB1"/>
    <w:rsid w:val="00B3040A"/>
    <w:rsid w:val="00B30C6B"/>
    <w:rsid w:val="00B31368"/>
    <w:rsid w:val="00B31C95"/>
    <w:rsid w:val="00B40325"/>
    <w:rsid w:val="00B4198D"/>
    <w:rsid w:val="00B43A9A"/>
    <w:rsid w:val="00B44843"/>
    <w:rsid w:val="00B46919"/>
    <w:rsid w:val="00B46CB8"/>
    <w:rsid w:val="00B47441"/>
    <w:rsid w:val="00B47864"/>
    <w:rsid w:val="00B53A76"/>
    <w:rsid w:val="00B54170"/>
    <w:rsid w:val="00B5628A"/>
    <w:rsid w:val="00B5787F"/>
    <w:rsid w:val="00B57A05"/>
    <w:rsid w:val="00B57D56"/>
    <w:rsid w:val="00B61FB9"/>
    <w:rsid w:val="00B629EF"/>
    <w:rsid w:val="00B6445F"/>
    <w:rsid w:val="00B655EE"/>
    <w:rsid w:val="00B65CAF"/>
    <w:rsid w:val="00B66719"/>
    <w:rsid w:val="00B675AD"/>
    <w:rsid w:val="00B72C67"/>
    <w:rsid w:val="00B73E5C"/>
    <w:rsid w:val="00B74EFB"/>
    <w:rsid w:val="00B764F8"/>
    <w:rsid w:val="00B76EB7"/>
    <w:rsid w:val="00B777D5"/>
    <w:rsid w:val="00B8645E"/>
    <w:rsid w:val="00B86988"/>
    <w:rsid w:val="00B900C4"/>
    <w:rsid w:val="00B90BA5"/>
    <w:rsid w:val="00B92539"/>
    <w:rsid w:val="00B9393E"/>
    <w:rsid w:val="00B94462"/>
    <w:rsid w:val="00B96514"/>
    <w:rsid w:val="00BA0BBA"/>
    <w:rsid w:val="00BA115F"/>
    <w:rsid w:val="00BA1665"/>
    <w:rsid w:val="00BA21E5"/>
    <w:rsid w:val="00BA2A41"/>
    <w:rsid w:val="00BA2B10"/>
    <w:rsid w:val="00BA3963"/>
    <w:rsid w:val="00BA39BB"/>
    <w:rsid w:val="00BA4060"/>
    <w:rsid w:val="00BA4939"/>
    <w:rsid w:val="00BA617D"/>
    <w:rsid w:val="00BB1B4C"/>
    <w:rsid w:val="00BB59C8"/>
    <w:rsid w:val="00BC08D5"/>
    <w:rsid w:val="00BC11CE"/>
    <w:rsid w:val="00BC1E7A"/>
    <w:rsid w:val="00BC3992"/>
    <w:rsid w:val="00BC4766"/>
    <w:rsid w:val="00BC4B11"/>
    <w:rsid w:val="00BC5DEE"/>
    <w:rsid w:val="00BC6FF3"/>
    <w:rsid w:val="00BD27F3"/>
    <w:rsid w:val="00BD5204"/>
    <w:rsid w:val="00BD6C72"/>
    <w:rsid w:val="00BD7EDA"/>
    <w:rsid w:val="00BE7B47"/>
    <w:rsid w:val="00BF1E62"/>
    <w:rsid w:val="00BF3604"/>
    <w:rsid w:val="00BF397B"/>
    <w:rsid w:val="00BF3D62"/>
    <w:rsid w:val="00BF3D77"/>
    <w:rsid w:val="00BF5794"/>
    <w:rsid w:val="00BF5DFF"/>
    <w:rsid w:val="00BF624D"/>
    <w:rsid w:val="00BF6EBF"/>
    <w:rsid w:val="00C01B55"/>
    <w:rsid w:val="00C0358E"/>
    <w:rsid w:val="00C041A4"/>
    <w:rsid w:val="00C05144"/>
    <w:rsid w:val="00C11CEE"/>
    <w:rsid w:val="00C12354"/>
    <w:rsid w:val="00C12F40"/>
    <w:rsid w:val="00C1351E"/>
    <w:rsid w:val="00C163A2"/>
    <w:rsid w:val="00C16EFF"/>
    <w:rsid w:val="00C17672"/>
    <w:rsid w:val="00C20066"/>
    <w:rsid w:val="00C202B5"/>
    <w:rsid w:val="00C21423"/>
    <w:rsid w:val="00C2194A"/>
    <w:rsid w:val="00C2396E"/>
    <w:rsid w:val="00C23DAC"/>
    <w:rsid w:val="00C24D86"/>
    <w:rsid w:val="00C24EC2"/>
    <w:rsid w:val="00C254CB"/>
    <w:rsid w:val="00C25E7F"/>
    <w:rsid w:val="00C27127"/>
    <w:rsid w:val="00C27A65"/>
    <w:rsid w:val="00C27B35"/>
    <w:rsid w:val="00C27D1E"/>
    <w:rsid w:val="00C30123"/>
    <w:rsid w:val="00C30242"/>
    <w:rsid w:val="00C30617"/>
    <w:rsid w:val="00C313EE"/>
    <w:rsid w:val="00C315B1"/>
    <w:rsid w:val="00C33C36"/>
    <w:rsid w:val="00C4094A"/>
    <w:rsid w:val="00C429FF"/>
    <w:rsid w:val="00C4369F"/>
    <w:rsid w:val="00C43CE2"/>
    <w:rsid w:val="00C442BD"/>
    <w:rsid w:val="00C45CA2"/>
    <w:rsid w:val="00C46ED6"/>
    <w:rsid w:val="00C51B70"/>
    <w:rsid w:val="00C523A4"/>
    <w:rsid w:val="00C52E18"/>
    <w:rsid w:val="00C54501"/>
    <w:rsid w:val="00C54D18"/>
    <w:rsid w:val="00C5646E"/>
    <w:rsid w:val="00C60AA0"/>
    <w:rsid w:val="00C61EFE"/>
    <w:rsid w:val="00C62DAF"/>
    <w:rsid w:val="00C62E9A"/>
    <w:rsid w:val="00C633A5"/>
    <w:rsid w:val="00C652C0"/>
    <w:rsid w:val="00C65CCC"/>
    <w:rsid w:val="00C662ED"/>
    <w:rsid w:val="00C67178"/>
    <w:rsid w:val="00C7024E"/>
    <w:rsid w:val="00C7174D"/>
    <w:rsid w:val="00C72078"/>
    <w:rsid w:val="00C732B0"/>
    <w:rsid w:val="00C73EF8"/>
    <w:rsid w:val="00C74C77"/>
    <w:rsid w:val="00C74D0F"/>
    <w:rsid w:val="00C757A3"/>
    <w:rsid w:val="00C767E5"/>
    <w:rsid w:val="00C8032D"/>
    <w:rsid w:val="00C844FF"/>
    <w:rsid w:val="00C858C1"/>
    <w:rsid w:val="00C860D2"/>
    <w:rsid w:val="00C92B7F"/>
    <w:rsid w:val="00C9340C"/>
    <w:rsid w:val="00C943B0"/>
    <w:rsid w:val="00C95BAE"/>
    <w:rsid w:val="00CA0BA1"/>
    <w:rsid w:val="00CA1E8B"/>
    <w:rsid w:val="00CA3FFF"/>
    <w:rsid w:val="00CA4705"/>
    <w:rsid w:val="00CA5DBF"/>
    <w:rsid w:val="00CA5F39"/>
    <w:rsid w:val="00CA6B91"/>
    <w:rsid w:val="00CA70F0"/>
    <w:rsid w:val="00CA7164"/>
    <w:rsid w:val="00CB159F"/>
    <w:rsid w:val="00CB1B05"/>
    <w:rsid w:val="00CB47E4"/>
    <w:rsid w:val="00CB4B65"/>
    <w:rsid w:val="00CB53BF"/>
    <w:rsid w:val="00CB657E"/>
    <w:rsid w:val="00CC04B7"/>
    <w:rsid w:val="00CC0E98"/>
    <w:rsid w:val="00CC0F05"/>
    <w:rsid w:val="00CC18EC"/>
    <w:rsid w:val="00CC2E9F"/>
    <w:rsid w:val="00CC5932"/>
    <w:rsid w:val="00CD2658"/>
    <w:rsid w:val="00CD3DAC"/>
    <w:rsid w:val="00CD3EA3"/>
    <w:rsid w:val="00CD423B"/>
    <w:rsid w:val="00CD43B3"/>
    <w:rsid w:val="00CE06AF"/>
    <w:rsid w:val="00CE0C19"/>
    <w:rsid w:val="00CE3732"/>
    <w:rsid w:val="00CE393D"/>
    <w:rsid w:val="00CE3D1A"/>
    <w:rsid w:val="00CE5248"/>
    <w:rsid w:val="00CE7D6F"/>
    <w:rsid w:val="00CF0247"/>
    <w:rsid w:val="00CF11FE"/>
    <w:rsid w:val="00CF4F83"/>
    <w:rsid w:val="00CF68A8"/>
    <w:rsid w:val="00CF6AE2"/>
    <w:rsid w:val="00D0115B"/>
    <w:rsid w:val="00D0253B"/>
    <w:rsid w:val="00D03EA1"/>
    <w:rsid w:val="00D0595E"/>
    <w:rsid w:val="00D05C3A"/>
    <w:rsid w:val="00D05D6D"/>
    <w:rsid w:val="00D06074"/>
    <w:rsid w:val="00D07DA8"/>
    <w:rsid w:val="00D07F0A"/>
    <w:rsid w:val="00D1373A"/>
    <w:rsid w:val="00D144BE"/>
    <w:rsid w:val="00D156C0"/>
    <w:rsid w:val="00D22279"/>
    <w:rsid w:val="00D2256F"/>
    <w:rsid w:val="00D2648B"/>
    <w:rsid w:val="00D26796"/>
    <w:rsid w:val="00D27C5A"/>
    <w:rsid w:val="00D27D43"/>
    <w:rsid w:val="00D30712"/>
    <w:rsid w:val="00D30719"/>
    <w:rsid w:val="00D30A1D"/>
    <w:rsid w:val="00D30B6C"/>
    <w:rsid w:val="00D32634"/>
    <w:rsid w:val="00D3514B"/>
    <w:rsid w:val="00D378F9"/>
    <w:rsid w:val="00D37AFB"/>
    <w:rsid w:val="00D4185F"/>
    <w:rsid w:val="00D41DF9"/>
    <w:rsid w:val="00D43D53"/>
    <w:rsid w:val="00D43E4D"/>
    <w:rsid w:val="00D450DD"/>
    <w:rsid w:val="00D465A5"/>
    <w:rsid w:val="00D46D9E"/>
    <w:rsid w:val="00D47668"/>
    <w:rsid w:val="00D5297D"/>
    <w:rsid w:val="00D535A1"/>
    <w:rsid w:val="00D540DE"/>
    <w:rsid w:val="00D55068"/>
    <w:rsid w:val="00D55BF3"/>
    <w:rsid w:val="00D5765F"/>
    <w:rsid w:val="00D57F8F"/>
    <w:rsid w:val="00D60EBF"/>
    <w:rsid w:val="00D613C7"/>
    <w:rsid w:val="00D6275D"/>
    <w:rsid w:val="00D6517B"/>
    <w:rsid w:val="00D6636C"/>
    <w:rsid w:val="00D67399"/>
    <w:rsid w:val="00D674CC"/>
    <w:rsid w:val="00D701F0"/>
    <w:rsid w:val="00D70A3F"/>
    <w:rsid w:val="00D74F48"/>
    <w:rsid w:val="00D77693"/>
    <w:rsid w:val="00D8043E"/>
    <w:rsid w:val="00D82386"/>
    <w:rsid w:val="00D83ED5"/>
    <w:rsid w:val="00D915FB"/>
    <w:rsid w:val="00D916B0"/>
    <w:rsid w:val="00D9262A"/>
    <w:rsid w:val="00D92CFD"/>
    <w:rsid w:val="00D9326D"/>
    <w:rsid w:val="00D942BE"/>
    <w:rsid w:val="00D94365"/>
    <w:rsid w:val="00D9510C"/>
    <w:rsid w:val="00D96DDF"/>
    <w:rsid w:val="00D97CB7"/>
    <w:rsid w:val="00DA12C5"/>
    <w:rsid w:val="00DA3DB0"/>
    <w:rsid w:val="00DA5803"/>
    <w:rsid w:val="00DA5AC6"/>
    <w:rsid w:val="00DA645D"/>
    <w:rsid w:val="00DA71D4"/>
    <w:rsid w:val="00DA77A6"/>
    <w:rsid w:val="00DA79AB"/>
    <w:rsid w:val="00DA79BF"/>
    <w:rsid w:val="00DB1D79"/>
    <w:rsid w:val="00DB372B"/>
    <w:rsid w:val="00DB3885"/>
    <w:rsid w:val="00DB444A"/>
    <w:rsid w:val="00DB61D3"/>
    <w:rsid w:val="00DC0E87"/>
    <w:rsid w:val="00DC2AFE"/>
    <w:rsid w:val="00DC308C"/>
    <w:rsid w:val="00DC3FDE"/>
    <w:rsid w:val="00DC43F1"/>
    <w:rsid w:val="00DC4888"/>
    <w:rsid w:val="00DC5146"/>
    <w:rsid w:val="00DC57EE"/>
    <w:rsid w:val="00DC60B7"/>
    <w:rsid w:val="00DD2D36"/>
    <w:rsid w:val="00DD33CA"/>
    <w:rsid w:val="00DD7955"/>
    <w:rsid w:val="00DE047E"/>
    <w:rsid w:val="00DE0CA9"/>
    <w:rsid w:val="00DE1D92"/>
    <w:rsid w:val="00DE278B"/>
    <w:rsid w:val="00DE3574"/>
    <w:rsid w:val="00DE4C45"/>
    <w:rsid w:val="00DE4F11"/>
    <w:rsid w:val="00DE5470"/>
    <w:rsid w:val="00DE57F5"/>
    <w:rsid w:val="00DE5D71"/>
    <w:rsid w:val="00DF07D5"/>
    <w:rsid w:val="00DF0802"/>
    <w:rsid w:val="00DF08F0"/>
    <w:rsid w:val="00DF0AD3"/>
    <w:rsid w:val="00DF324C"/>
    <w:rsid w:val="00DF41F0"/>
    <w:rsid w:val="00DF4849"/>
    <w:rsid w:val="00E0287B"/>
    <w:rsid w:val="00E040AB"/>
    <w:rsid w:val="00E05951"/>
    <w:rsid w:val="00E05B4D"/>
    <w:rsid w:val="00E10AD0"/>
    <w:rsid w:val="00E11720"/>
    <w:rsid w:val="00E168AB"/>
    <w:rsid w:val="00E17E50"/>
    <w:rsid w:val="00E21831"/>
    <w:rsid w:val="00E225F1"/>
    <w:rsid w:val="00E23F3C"/>
    <w:rsid w:val="00E267D5"/>
    <w:rsid w:val="00E31864"/>
    <w:rsid w:val="00E31E76"/>
    <w:rsid w:val="00E330AC"/>
    <w:rsid w:val="00E37621"/>
    <w:rsid w:val="00E37648"/>
    <w:rsid w:val="00E4085A"/>
    <w:rsid w:val="00E41A74"/>
    <w:rsid w:val="00E41E9C"/>
    <w:rsid w:val="00E43847"/>
    <w:rsid w:val="00E43CC9"/>
    <w:rsid w:val="00E4472B"/>
    <w:rsid w:val="00E45CA1"/>
    <w:rsid w:val="00E46B94"/>
    <w:rsid w:val="00E46DFE"/>
    <w:rsid w:val="00E47A99"/>
    <w:rsid w:val="00E50C98"/>
    <w:rsid w:val="00E51883"/>
    <w:rsid w:val="00E5189F"/>
    <w:rsid w:val="00E51992"/>
    <w:rsid w:val="00E52DBC"/>
    <w:rsid w:val="00E54AB1"/>
    <w:rsid w:val="00E54E18"/>
    <w:rsid w:val="00E560AF"/>
    <w:rsid w:val="00E57F57"/>
    <w:rsid w:val="00E6016A"/>
    <w:rsid w:val="00E61C8E"/>
    <w:rsid w:val="00E62564"/>
    <w:rsid w:val="00E62616"/>
    <w:rsid w:val="00E62704"/>
    <w:rsid w:val="00E647B4"/>
    <w:rsid w:val="00E65BE3"/>
    <w:rsid w:val="00E6642A"/>
    <w:rsid w:val="00E673D5"/>
    <w:rsid w:val="00E67916"/>
    <w:rsid w:val="00E703A1"/>
    <w:rsid w:val="00E7336D"/>
    <w:rsid w:val="00E7430F"/>
    <w:rsid w:val="00E751E2"/>
    <w:rsid w:val="00E76B3B"/>
    <w:rsid w:val="00E82BD8"/>
    <w:rsid w:val="00E850C1"/>
    <w:rsid w:val="00E85786"/>
    <w:rsid w:val="00E858B9"/>
    <w:rsid w:val="00E8687F"/>
    <w:rsid w:val="00E871FD"/>
    <w:rsid w:val="00E93245"/>
    <w:rsid w:val="00E9482E"/>
    <w:rsid w:val="00E95411"/>
    <w:rsid w:val="00E964BF"/>
    <w:rsid w:val="00E96AD3"/>
    <w:rsid w:val="00EA06ED"/>
    <w:rsid w:val="00EA1673"/>
    <w:rsid w:val="00EA33E0"/>
    <w:rsid w:val="00EA6872"/>
    <w:rsid w:val="00EB0BA9"/>
    <w:rsid w:val="00EB1465"/>
    <w:rsid w:val="00EB25BC"/>
    <w:rsid w:val="00EB4BDC"/>
    <w:rsid w:val="00EB5DD1"/>
    <w:rsid w:val="00EB748F"/>
    <w:rsid w:val="00EC0450"/>
    <w:rsid w:val="00EC0F63"/>
    <w:rsid w:val="00EC3617"/>
    <w:rsid w:val="00EC3FB4"/>
    <w:rsid w:val="00EC5E2B"/>
    <w:rsid w:val="00EC5FF3"/>
    <w:rsid w:val="00EC665E"/>
    <w:rsid w:val="00EC761F"/>
    <w:rsid w:val="00ED03F9"/>
    <w:rsid w:val="00ED0884"/>
    <w:rsid w:val="00ED0D38"/>
    <w:rsid w:val="00ED278D"/>
    <w:rsid w:val="00ED676A"/>
    <w:rsid w:val="00ED7BE1"/>
    <w:rsid w:val="00ED7ECC"/>
    <w:rsid w:val="00EE0D07"/>
    <w:rsid w:val="00EE1246"/>
    <w:rsid w:val="00EE1720"/>
    <w:rsid w:val="00EE2587"/>
    <w:rsid w:val="00EE4A93"/>
    <w:rsid w:val="00EE5DD6"/>
    <w:rsid w:val="00EE5F9D"/>
    <w:rsid w:val="00EE657C"/>
    <w:rsid w:val="00EE71CF"/>
    <w:rsid w:val="00EE73A9"/>
    <w:rsid w:val="00EE7813"/>
    <w:rsid w:val="00EF0153"/>
    <w:rsid w:val="00EF1DE2"/>
    <w:rsid w:val="00EF2560"/>
    <w:rsid w:val="00EF302E"/>
    <w:rsid w:val="00EF4750"/>
    <w:rsid w:val="00EF6557"/>
    <w:rsid w:val="00EF6E54"/>
    <w:rsid w:val="00EF7EB3"/>
    <w:rsid w:val="00F00AD3"/>
    <w:rsid w:val="00F02896"/>
    <w:rsid w:val="00F04FB6"/>
    <w:rsid w:val="00F05279"/>
    <w:rsid w:val="00F071A5"/>
    <w:rsid w:val="00F10EFE"/>
    <w:rsid w:val="00F14FFB"/>
    <w:rsid w:val="00F1541A"/>
    <w:rsid w:val="00F15563"/>
    <w:rsid w:val="00F17B51"/>
    <w:rsid w:val="00F20355"/>
    <w:rsid w:val="00F2150B"/>
    <w:rsid w:val="00F2170B"/>
    <w:rsid w:val="00F222EF"/>
    <w:rsid w:val="00F2470F"/>
    <w:rsid w:val="00F26820"/>
    <w:rsid w:val="00F26AD0"/>
    <w:rsid w:val="00F27624"/>
    <w:rsid w:val="00F27B4D"/>
    <w:rsid w:val="00F306D8"/>
    <w:rsid w:val="00F30F0B"/>
    <w:rsid w:val="00F32A16"/>
    <w:rsid w:val="00F32A4A"/>
    <w:rsid w:val="00F32EFB"/>
    <w:rsid w:val="00F332C3"/>
    <w:rsid w:val="00F4119F"/>
    <w:rsid w:val="00F42D6E"/>
    <w:rsid w:val="00F43138"/>
    <w:rsid w:val="00F43F87"/>
    <w:rsid w:val="00F463F8"/>
    <w:rsid w:val="00F47107"/>
    <w:rsid w:val="00F47680"/>
    <w:rsid w:val="00F478F0"/>
    <w:rsid w:val="00F5005F"/>
    <w:rsid w:val="00F529AB"/>
    <w:rsid w:val="00F52DC5"/>
    <w:rsid w:val="00F537BF"/>
    <w:rsid w:val="00F53886"/>
    <w:rsid w:val="00F54E58"/>
    <w:rsid w:val="00F551D2"/>
    <w:rsid w:val="00F60D83"/>
    <w:rsid w:val="00F61051"/>
    <w:rsid w:val="00F67C72"/>
    <w:rsid w:val="00F71E6F"/>
    <w:rsid w:val="00F73B2E"/>
    <w:rsid w:val="00F73D4B"/>
    <w:rsid w:val="00F7454C"/>
    <w:rsid w:val="00F74CFD"/>
    <w:rsid w:val="00F76C89"/>
    <w:rsid w:val="00F8007E"/>
    <w:rsid w:val="00F81467"/>
    <w:rsid w:val="00F815DD"/>
    <w:rsid w:val="00F83A48"/>
    <w:rsid w:val="00F84895"/>
    <w:rsid w:val="00F8507B"/>
    <w:rsid w:val="00F85136"/>
    <w:rsid w:val="00F85CBA"/>
    <w:rsid w:val="00F85EE3"/>
    <w:rsid w:val="00F878E7"/>
    <w:rsid w:val="00F96A9F"/>
    <w:rsid w:val="00F96DB1"/>
    <w:rsid w:val="00FA04AF"/>
    <w:rsid w:val="00FA0782"/>
    <w:rsid w:val="00FA11D0"/>
    <w:rsid w:val="00FA3B21"/>
    <w:rsid w:val="00FA4454"/>
    <w:rsid w:val="00FA48F4"/>
    <w:rsid w:val="00FB2883"/>
    <w:rsid w:val="00FB3977"/>
    <w:rsid w:val="00FC0C8A"/>
    <w:rsid w:val="00FC2879"/>
    <w:rsid w:val="00FC3059"/>
    <w:rsid w:val="00FC4015"/>
    <w:rsid w:val="00FC43F2"/>
    <w:rsid w:val="00FC57F4"/>
    <w:rsid w:val="00FC5F33"/>
    <w:rsid w:val="00FC6472"/>
    <w:rsid w:val="00FC71A1"/>
    <w:rsid w:val="00FC7354"/>
    <w:rsid w:val="00FC798B"/>
    <w:rsid w:val="00FD07AD"/>
    <w:rsid w:val="00FD1B96"/>
    <w:rsid w:val="00FD2DE1"/>
    <w:rsid w:val="00FD7398"/>
    <w:rsid w:val="00FD75A4"/>
    <w:rsid w:val="00FE0A4A"/>
    <w:rsid w:val="00FE214A"/>
    <w:rsid w:val="00FE2C6F"/>
    <w:rsid w:val="00FE3E1A"/>
    <w:rsid w:val="00FE4B6E"/>
    <w:rsid w:val="00FE4FC4"/>
    <w:rsid w:val="00FE52FB"/>
    <w:rsid w:val="00FE5A44"/>
    <w:rsid w:val="00FE6AEE"/>
    <w:rsid w:val="00FE6AF4"/>
    <w:rsid w:val="00FF06AC"/>
    <w:rsid w:val="00FF0AE3"/>
    <w:rsid w:val="00FF32EA"/>
    <w:rsid w:val="00FF505F"/>
    <w:rsid w:val="00FF64B4"/>
    <w:rsid w:val="00FF7850"/>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5FB"/>
    <w:pPr>
      <w:spacing w:before="120" w:after="200" w:line="276" w:lineRule="auto"/>
      <w:ind w:firstLine="432"/>
      <w:jc w:val="both"/>
    </w:pPr>
    <w:rPr>
      <w:sz w:val="24"/>
      <w:szCs w:val="22"/>
      <w:lang w:val="en-GB" w:eastAsia="en-US"/>
    </w:rPr>
  </w:style>
  <w:style w:type="paragraph" w:styleId="Heading1">
    <w:name w:val="heading 1"/>
    <w:basedOn w:val="Normal"/>
    <w:next w:val="Normal"/>
    <w:link w:val="Heading1Char"/>
    <w:qFormat/>
    <w:rsid w:val="001F353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C92B7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354FC5"/>
    <w:pPr>
      <w:keepNext/>
      <w:keepLines/>
      <w:spacing w:before="200" w:after="0"/>
      <w:outlineLvl w:val="2"/>
    </w:pPr>
    <w:rPr>
      <w:rFonts w:ascii="Cambria" w:hAnsi="Cambria"/>
      <w:b/>
      <w:bCs/>
      <w:color w:val="4F81BD"/>
      <w:sz w:val="22"/>
    </w:rPr>
  </w:style>
  <w:style w:type="paragraph" w:styleId="Heading8">
    <w:name w:val="heading 8"/>
    <w:basedOn w:val="Normal"/>
    <w:next w:val="Normal"/>
    <w:link w:val="Heading8Char"/>
    <w:uiPriority w:val="99"/>
    <w:qFormat/>
    <w:rsid w:val="000B0519"/>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F3538"/>
    <w:rPr>
      <w:rFonts w:ascii="Cambria" w:hAnsi="Cambria" w:cs="Times New Roman"/>
      <w:b/>
      <w:bCs/>
      <w:kern w:val="32"/>
      <w:sz w:val="32"/>
      <w:szCs w:val="32"/>
      <w:lang w:val="en-GB"/>
    </w:rPr>
  </w:style>
  <w:style w:type="character" w:customStyle="1" w:styleId="Heading2Char">
    <w:name w:val="Heading 2 Char"/>
    <w:link w:val="Heading2"/>
    <w:uiPriority w:val="99"/>
    <w:semiHidden/>
    <w:locked/>
    <w:rsid w:val="00C92B7F"/>
    <w:rPr>
      <w:rFonts w:ascii="Cambria" w:hAnsi="Cambria" w:cs="Times New Roman"/>
      <w:b/>
      <w:bCs/>
      <w:i/>
      <w:iCs/>
      <w:sz w:val="28"/>
      <w:szCs w:val="28"/>
      <w:lang w:val="en-GB"/>
    </w:rPr>
  </w:style>
  <w:style w:type="character" w:customStyle="1" w:styleId="Heading3Char">
    <w:name w:val="Heading 3 Char"/>
    <w:link w:val="Heading3"/>
    <w:uiPriority w:val="99"/>
    <w:locked/>
    <w:rsid w:val="00354FC5"/>
    <w:rPr>
      <w:rFonts w:ascii="Cambria" w:hAnsi="Cambria" w:cs="Times New Roman"/>
      <w:b/>
      <w:bCs/>
      <w:color w:val="4F81BD"/>
      <w:sz w:val="22"/>
      <w:szCs w:val="22"/>
      <w:lang w:val="en-GB"/>
    </w:rPr>
  </w:style>
  <w:style w:type="character" w:customStyle="1" w:styleId="Heading8Char">
    <w:name w:val="Heading 8 Char"/>
    <w:link w:val="Heading8"/>
    <w:uiPriority w:val="99"/>
    <w:locked/>
    <w:rsid w:val="000B0519"/>
    <w:rPr>
      <w:rFonts w:ascii="Cambria" w:hAnsi="Cambria" w:cs="Times New Roman"/>
      <w:color w:val="404040"/>
      <w:lang w:val="en-GB"/>
    </w:rPr>
  </w:style>
  <w:style w:type="paragraph" w:styleId="ListParagraph">
    <w:name w:val="List Paragraph"/>
    <w:basedOn w:val="Normal"/>
    <w:uiPriority w:val="34"/>
    <w:qFormat/>
    <w:rsid w:val="00965B83"/>
    <w:pPr>
      <w:ind w:left="720"/>
      <w:contextualSpacing/>
    </w:pPr>
    <w:rPr>
      <w:rFonts w:eastAsia="Times New Roman"/>
      <w:szCs w:val="24"/>
      <w:lang w:eastAsia="en-GB"/>
    </w:rPr>
  </w:style>
  <w:style w:type="paragraph" w:styleId="Header">
    <w:name w:val="header"/>
    <w:basedOn w:val="Normal"/>
    <w:link w:val="HeaderChar"/>
    <w:uiPriority w:val="99"/>
    <w:rsid w:val="00291EC9"/>
    <w:pPr>
      <w:tabs>
        <w:tab w:val="center" w:pos="4153"/>
        <w:tab w:val="right" w:pos="8306"/>
      </w:tabs>
    </w:pPr>
    <w:rPr>
      <w:sz w:val="22"/>
    </w:rPr>
  </w:style>
  <w:style w:type="character" w:customStyle="1" w:styleId="HeaderChar">
    <w:name w:val="Header Char"/>
    <w:link w:val="Header"/>
    <w:uiPriority w:val="99"/>
    <w:locked/>
    <w:rsid w:val="00545252"/>
    <w:rPr>
      <w:rFonts w:cs="Times New Roman"/>
      <w:sz w:val="22"/>
      <w:szCs w:val="22"/>
      <w:lang w:val="en-GB"/>
    </w:rPr>
  </w:style>
  <w:style w:type="paragraph" w:styleId="Footer">
    <w:name w:val="footer"/>
    <w:basedOn w:val="Normal"/>
    <w:link w:val="FooterChar"/>
    <w:uiPriority w:val="99"/>
    <w:rsid w:val="00291EC9"/>
    <w:pPr>
      <w:tabs>
        <w:tab w:val="center" w:pos="4153"/>
        <w:tab w:val="right" w:pos="8306"/>
      </w:tabs>
    </w:pPr>
    <w:rPr>
      <w:szCs w:val="20"/>
    </w:rPr>
  </w:style>
  <w:style w:type="character" w:customStyle="1" w:styleId="FooterChar">
    <w:name w:val="Footer Char"/>
    <w:link w:val="Footer"/>
    <w:uiPriority w:val="99"/>
    <w:locked/>
    <w:rsid w:val="00142E96"/>
    <w:rPr>
      <w:rFonts w:cs="Times New Roman"/>
      <w:sz w:val="24"/>
      <w:lang w:val="en-GB"/>
    </w:rPr>
  </w:style>
  <w:style w:type="character" w:styleId="PageNumber">
    <w:name w:val="page number"/>
    <w:uiPriority w:val="99"/>
    <w:rsid w:val="00291EC9"/>
    <w:rPr>
      <w:rFonts w:cs="Times New Roman"/>
    </w:rPr>
  </w:style>
  <w:style w:type="character" w:styleId="Hyperlink">
    <w:name w:val="Hyperlink"/>
    <w:uiPriority w:val="99"/>
    <w:rsid w:val="00DD2D36"/>
    <w:rPr>
      <w:rFonts w:cs="Times New Roman"/>
      <w:color w:val="0000FF"/>
      <w:u w:val="single"/>
    </w:rPr>
  </w:style>
  <w:style w:type="paragraph" w:styleId="EndnoteText">
    <w:name w:val="endnote text"/>
    <w:basedOn w:val="Normal"/>
    <w:link w:val="EndnoteTextChar"/>
    <w:uiPriority w:val="99"/>
    <w:semiHidden/>
    <w:rsid w:val="00632387"/>
    <w:rPr>
      <w:sz w:val="20"/>
      <w:szCs w:val="20"/>
    </w:rPr>
  </w:style>
  <w:style w:type="character" w:customStyle="1" w:styleId="EndnoteTextChar">
    <w:name w:val="Endnote Text Char"/>
    <w:link w:val="EndnoteText"/>
    <w:uiPriority w:val="99"/>
    <w:semiHidden/>
    <w:locked/>
    <w:rsid w:val="00632387"/>
    <w:rPr>
      <w:rFonts w:cs="Times New Roman"/>
      <w:lang w:val="en-GB"/>
    </w:rPr>
  </w:style>
  <w:style w:type="character" w:styleId="EndnoteReference">
    <w:name w:val="endnote reference"/>
    <w:uiPriority w:val="99"/>
    <w:rsid w:val="00AB3422"/>
    <w:rPr>
      <w:rFonts w:cs="Times New Roman"/>
      <w:sz w:val="24"/>
      <w:szCs w:val="24"/>
      <w:vertAlign w:val="superscript"/>
    </w:rPr>
  </w:style>
  <w:style w:type="character" w:styleId="FollowedHyperlink">
    <w:name w:val="FollowedHyperlink"/>
    <w:uiPriority w:val="99"/>
    <w:semiHidden/>
    <w:rsid w:val="00C27B35"/>
    <w:rPr>
      <w:rFonts w:cs="Times New Roman"/>
      <w:color w:val="800080"/>
      <w:u w:val="single"/>
    </w:rPr>
  </w:style>
  <w:style w:type="character" w:customStyle="1" w:styleId="hit">
    <w:name w:val="hit"/>
    <w:uiPriority w:val="99"/>
    <w:rsid w:val="004A2B62"/>
    <w:rPr>
      <w:rFonts w:cs="Times New Roman"/>
    </w:rPr>
  </w:style>
  <w:style w:type="character" w:styleId="Strong">
    <w:name w:val="Strong"/>
    <w:uiPriority w:val="99"/>
    <w:qFormat/>
    <w:rsid w:val="00D03EA1"/>
    <w:rPr>
      <w:rFonts w:cs="Times New Roman"/>
      <w:b/>
      <w:bCs/>
    </w:rPr>
  </w:style>
  <w:style w:type="paragraph" w:styleId="BalloonText">
    <w:name w:val="Balloon Text"/>
    <w:basedOn w:val="Normal"/>
    <w:link w:val="BalloonTextChar"/>
    <w:uiPriority w:val="99"/>
    <w:semiHidden/>
    <w:rsid w:val="00545252"/>
    <w:pPr>
      <w:spacing w:before="0" w:after="0" w:line="240" w:lineRule="auto"/>
    </w:pPr>
    <w:rPr>
      <w:rFonts w:ascii="Tahoma" w:hAnsi="Tahoma"/>
      <w:sz w:val="16"/>
      <w:szCs w:val="16"/>
    </w:rPr>
  </w:style>
  <w:style w:type="character" w:customStyle="1" w:styleId="BalloonTextChar">
    <w:name w:val="Balloon Text Char"/>
    <w:link w:val="BalloonText"/>
    <w:uiPriority w:val="99"/>
    <w:semiHidden/>
    <w:locked/>
    <w:rsid w:val="00545252"/>
    <w:rPr>
      <w:rFonts w:ascii="Tahoma" w:hAnsi="Tahoma" w:cs="Tahoma"/>
      <w:sz w:val="16"/>
      <w:szCs w:val="16"/>
      <w:lang w:val="en-GB"/>
    </w:rPr>
  </w:style>
  <w:style w:type="character" w:customStyle="1" w:styleId="apple-converted-space">
    <w:name w:val="apple-converted-space"/>
    <w:rsid w:val="00AE76C1"/>
    <w:rPr>
      <w:rFonts w:cs="Times New Roman"/>
    </w:rPr>
  </w:style>
  <w:style w:type="character" w:customStyle="1" w:styleId="citation-abbreviation">
    <w:name w:val="citation-abbreviation"/>
    <w:uiPriority w:val="99"/>
    <w:rsid w:val="001F3538"/>
    <w:rPr>
      <w:rFonts w:cs="Times New Roman"/>
    </w:rPr>
  </w:style>
  <w:style w:type="character" w:customStyle="1" w:styleId="citation-publication-date">
    <w:name w:val="citation-publication-date"/>
    <w:uiPriority w:val="99"/>
    <w:rsid w:val="001F3538"/>
    <w:rPr>
      <w:rFonts w:cs="Times New Roman"/>
    </w:rPr>
  </w:style>
  <w:style w:type="character" w:customStyle="1" w:styleId="citation-volume">
    <w:name w:val="citation-volume"/>
    <w:uiPriority w:val="99"/>
    <w:rsid w:val="001F3538"/>
    <w:rPr>
      <w:rFonts w:cs="Times New Roman"/>
    </w:rPr>
  </w:style>
  <w:style w:type="character" w:customStyle="1" w:styleId="citation-issue">
    <w:name w:val="citation-issue"/>
    <w:uiPriority w:val="99"/>
    <w:rsid w:val="001F3538"/>
    <w:rPr>
      <w:rFonts w:cs="Times New Roman"/>
    </w:rPr>
  </w:style>
  <w:style w:type="character" w:customStyle="1" w:styleId="citation-flpages">
    <w:name w:val="citation-flpages"/>
    <w:uiPriority w:val="99"/>
    <w:rsid w:val="001F3538"/>
    <w:rPr>
      <w:rFonts w:cs="Times New Roman"/>
    </w:rPr>
  </w:style>
  <w:style w:type="paragraph" w:styleId="NoSpacing">
    <w:name w:val="No Spacing"/>
    <w:link w:val="NoSpacingChar"/>
    <w:qFormat/>
    <w:rsid w:val="00C23DAC"/>
    <w:pPr>
      <w:ind w:firstLine="432"/>
      <w:jc w:val="both"/>
    </w:pPr>
    <w:rPr>
      <w:sz w:val="24"/>
      <w:szCs w:val="22"/>
      <w:lang w:val="en-GB" w:eastAsia="en-US"/>
    </w:rPr>
  </w:style>
  <w:style w:type="paragraph" w:customStyle="1" w:styleId="desc">
    <w:name w:val="desc"/>
    <w:basedOn w:val="Normal"/>
    <w:uiPriority w:val="99"/>
    <w:rsid w:val="00715C3E"/>
    <w:pPr>
      <w:spacing w:before="100" w:beforeAutospacing="1" w:after="100" w:afterAutospacing="1" w:line="240" w:lineRule="auto"/>
      <w:ind w:firstLine="0"/>
      <w:jc w:val="left"/>
    </w:pPr>
    <w:rPr>
      <w:rFonts w:eastAsia="Times New Roman"/>
      <w:szCs w:val="24"/>
      <w:lang w:val="en-US"/>
    </w:rPr>
  </w:style>
  <w:style w:type="paragraph" w:customStyle="1" w:styleId="details">
    <w:name w:val="details"/>
    <w:basedOn w:val="Normal"/>
    <w:uiPriority w:val="99"/>
    <w:rsid w:val="00715C3E"/>
    <w:pPr>
      <w:spacing w:before="100" w:beforeAutospacing="1" w:after="100" w:afterAutospacing="1" w:line="240" w:lineRule="auto"/>
      <w:ind w:firstLine="0"/>
      <w:jc w:val="left"/>
    </w:pPr>
    <w:rPr>
      <w:rFonts w:eastAsia="Times New Roman"/>
      <w:szCs w:val="24"/>
      <w:lang w:val="en-US"/>
    </w:rPr>
  </w:style>
  <w:style w:type="character" w:customStyle="1" w:styleId="jrnl">
    <w:name w:val="jrnl"/>
    <w:uiPriority w:val="99"/>
    <w:rsid w:val="00715C3E"/>
    <w:rPr>
      <w:rFonts w:cs="Times New Roman"/>
    </w:rPr>
  </w:style>
  <w:style w:type="paragraph" w:styleId="HTMLPreformatted">
    <w:name w:val="HTML Preformatted"/>
    <w:basedOn w:val="Normal"/>
    <w:link w:val="HTMLPreformattedChar"/>
    <w:uiPriority w:val="99"/>
    <w:rsid w:val="00FC7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sz w:val="20"/>
      <w:szCs w:val="20"/>
    </w:rPr>
  </w:style>
  <w:style w:type="character" w:customStyle="1" w:styleId="HTMLPreformattedChar">
    <w:name w:val="HTML Preformatted Char"/>
    <w:link w:val="HTMLPreformatted"/>
    <w:uiPriority w:val="99"/>
    <w:locked/>
    <w:rsid w:val="00FC7354"/>
    <w:rPr>
      <w:rFonts w:ascii="Courier New" w:hAnsi="Courier New" w:cs="Courier New"/>
    </w:rPr>
  </w:style>
  <w:style w:type="character" w:customStyle="1" w:styleId="highlight">
    <w:name w:val="highlight"/>
    <w:uiPriority w:val="99"/>
    <w:rsid w:val="00291585"/>
    <w:rPr>
      <w:rFonts w:cs="Times New Roman"/>
    </w:rPr>
  </w:style>
  <w:style w:type="character" w:customStyle="1" w:styleId="ui-ncbitoggler-master-text">
    <w:name w:val="ui-ncbitoggler-master-text"/>
    <w:uiPriority w:val="99"/>
    <w:rsid w:val="00291585"/>
    <w:rPr>
      <w:rFonts w:cs="Times New Roman"/>
    </w:rPr>
  </w:style>
  <w:style w:type="paragraph" w:styleId="NormalWeb">
    <w:name w:val="Normal (Web)"/>
    <w:basedOn w:val="Normal"/>
    <w:uiPriority w:val="99"/>
    <w:semiHidden/>
    <w:rsid w:val="00291585"/>
    <w:pPr>
      <w:spacing w:before="100" w:beforeAutospacing="1" w:after="100" w:afterAutospacing="1" w:line="240" w:lineRule="auto"/>
      <w:ind w:firstLine="0"/>
      <w:jc w:val="left"/>
    </w:pPr>
    <w:rPr>
      <w:rFonts w:eastAsia="Times New Roman"/>
      <w:szCs w:val="24"/>
      <w:lang w:val="en-US"/>
    </w:rPr>
  </w:style>
  <w:style w:type="paragraph" w:styleId="CommentText">
    <w:name w:val="annotation text"/>
    <w:basedOn w:val="Normal"/>
    <w:link w:val="CommentTextChar"/>
    <w:uiPriority w:val="99"/>
    <w:unhideWhenUsed/>
    <w:rsid w:val="00066CCB"/>
    <w:pPr>
      <w:spacing w:line="240" w:lineRule="auto"/>
    </w:pPr>
    <w:rPr>
      <w:sz w:val="20"/>
      <w:szCs w:val="20"/>
    </w:rPr>
  </w:style>
  <w:style w:type="character" w:customStyle="1" w:styleId="CommentTextChar">
    <w:name w:val="Comment Text Char"/>
    <w:link w:val="CommentText"/>
    <w:uiPriority w:val="99"/>
    <w:rsid w:val="00066CCB"/>
    <w:rPr>
      <w:lang w:val="en-GB"/>
    </w:rPr>
  </w:style>
  <w:style w:type="table" w:styleId="TableGrid">
    <w:name w:val="Table Grid"/>
    <w:basedOn w:val="TableNormal"/>
    <w:uiPriority w:val="59"/>
    <w:locked/>
    <w:rsid w:val="008005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
    <w:name w:val="cit"/>
    <w:rsid w:val="00297FA3"/>
  </w:style>
  <w:style w:type="character" w:styleId="CommentReference">
    <w:name w:val="annotation reference"/>
    <w:uiPriority w:val="99"/>
    <w:semiHidden/>
    <w:unhideWhenUsed/>
    <w:rsid w:val="001A2ABA"/>
    <w:rPr>
      <w:sz w:val="16"/>
      <w:szCs w:val="16"/>
    </w:rPr>
  </w:style>
  <w:style w:type="paragraph" w:styleId="CommentSubject">
    <w:name w:val="annotation subject"/>
    <w:basedOn w:val="CommentText"/>
    <w:next w:val="CommentText"/>
    <w:link w:val="CommentSubjectChar"/>
    <w:uiPriority w:val="99"/>
    <w:semiHidden/>
    <w:unhideWhenUsed/>
    <w:rsid w:val="001A2ABA"/>
    <w:pPr>
      <w:spacing w:line="276" w:lineRule="auto"/>
    </w:pPr>
    <w:rPr>
      <w:b/>
      <w:bCs/>
    </w:rPr>
  </w:style>
  <w:style w:type="character" w:customStyle="1" w:styleId="CommentSubjectChar">
    <w:name w:val="Comment Subject Char"/>
    <w:link w:val="CommentSubject"/>
    <w:uiPriority w:val="99"/>
    <w:semiHidden/>
    <w:rsid w:val="001A2ABA"/>
    <w:rPr>
      <w:b/>
      <w:bCs/>
      <w:lang w:val="en-GB"/>
    </w:rPr>
  </w:style>
  <w:style w:type="character" w:customStyle="1" w:styleId="NoSpacingChar">
    <w:name w:val="No Spacing Char"/>
    <w:basedOn w:val="DefaultParagraphFont"/>
    <w:link w:val="NoSpacing"/>
    <w:locked/>
    <w:rsid w:val="00B20211"/>
    <w:rPr>
      <w:sz w:val="24"/>
      <w:szCs w:val="22"/>
      <w:lang w:val="en-GB" w:eastAsia="en-US"/>
    </w:rPr>
  </w:style>
  <w:style w:type="character" w:customStyle="1" w:styleId="msonormal0">
    <w:name w:val="msonormal0"/>
    <w:basedOn w:val="DefaultParagraphFont"/>
    <w:rsid w:val="00B20211"/>
  </w:style>
</w:styles>
</file>

<file path=word/webSettings.xml><?xml version="1.0" encoding="utf-8"?>
<w:webSettings xmlns:r="http://schemas.openxmlformats.org/officeDocument/2006/relationships" xmlns:w="http://schemas.openxmlformats.org/wordprocessingml/2006/main">
  <w:divs>
    <w:div w:id="16930221">
      <w:bodyDiv w:val="1"/>
      <w:marLeft w:val="0"/>
      <w:marRight w:val="0"/>
      <w:marTop w:val="0"/>
      <w:marBottom w:val="0"/>
      <w:divBdr>
        <w:top w:val="none" w:sz="0" w:space="0" w:color="auto"/>
        <w:left w:val="none" w:sz="0" w:space="0" w:color="auto"/>
        <w:bottom w:val="none" w:sz="0" w:space="0" w:color="auto"/>
        <w:right w:val="none" w:sz="0" w:space="0" w:color="auto"/>
      </w:divBdr>
    </w:div>
    <w:div w:id="28533104">
      <w:bodyDiv w:val="1"/>
      <w:marLeft w:val="0"/>
      <w:marRight w:val="0"/>
      <w:marTop w:val="0"/>
      <w:marBottom w:val="0"/>
      <w:divBdr>
        <w:top w:val="none" w:sz="0" w:space="0" w:color="auto"/>
        <w:left w:val="none" w:sz="0" w:space="0" w:color="auto"/>
        <w:bottom w:val="none" w:sz="0" w:space="0" w:color="auto"/>
        <w:right w:val="none" w:sz="0" w:space="0" w:color="auto"/>
      </w:divBdr>
    </w:div>
    <w:div w:id="47261894">
      <w:bodyDiv w:val="1"/>
      <w:marLeft w:val="0"/>
      <w:marRight w:val="0"/>
      <w:marTop w:val="0"/>
      <w:marBottom w:val="0"/>
      <w:divBdr>
        <w:top w:val="none" w:sz="0" w:space="0" w:color="auto"/>
        <w:left w:val="none" w:sz="0" w:space="0" w:color="auto"/>
        <w:bottom w:val="none" w:sz="0" w:space="0" w:color="auto"/>
        <w:right w:val="none" w:sz="0" w:space="0" w:color="auto"/>
      </w:divBdr>
    </w:div>
    <w:div w:id="52895150">
      <w:bodyDiv w:val="1"/>
      <w:marLeft w:val="0"/>
      <w:marRight w:val="0"/>
      <w:marTop w:val="0"/>
      <w:marBottom w:val="0"/>
      <w:divBdr>
        <w:top w:val="none" w:sz="0" w:space="0" w:color="auto"/>
        <w:left w:val="none" w:sz="0" w:space="0" w:color="auto"/>
        <w:bottom w:val="none" w:sz="0" w:space="0" w:color="auto"/>
        <w:right w:val="none" w:sz="0" w:space="0" w:color="auto"/>
      </w:divBdr>
    </w:div>
    <w:div w:id="55320751">
      <w:bodyDiv w:val="1"/>
      <w:marLeft w:val="0"/>
      <w:marRight w:val="0"/>
      <w:marTop w:val="0"/>
      <w:marBottom w:val="0"/>
      <w:divBdr>
        <w:top w:val="none" w:sz="0" w:space="0" w:color="auto"/>
        <w:left w:val="none" w:sz="0" w:space="0" w:color="auto"/>
        <w:bottom w:val="none" w:sz="0" w:space="0" w:color="auto"/>
        <w:right w:val="none" w:sz="0" w:space="0" w:color="auto"/>
      </w:divBdr>
    </w:div>
    <w:div w:id="80879410">
      <w:bodyDiv w:val="1"/>
      <w:marLeft w:val="0"/>
      <w:marRight w:val="0"/>
      <w:marTop w:val="0"/>
      <w:marBottom w:val="0"/>
      <w:divBdr>
        <w:top w:val="none" w:sz="0" w:space="0" w:color="auto"/>
        <w:left w:val="none" w:sz="0" w:space="0" w:color="auto"/>
        <w:bottom w:val="none" w:sz="0" w:space="0" w:color="auto"/>
        <w:right w:val="none" w:sz="0" w:space="0" w:color="auto"/>
      </w:divBdr>
    </w:div>
    <w:div w:id="85732993">
      <w:bodyDiv w:val="1"/>
      <w:marLeft w:val="0"/>
      <w:marRight w:val="0"/>
      <w:marTop w:val="0"/>
      <w:marBottom w:val="0"/>
      <w:divBdr>
        <w:top w:val="none" w:sz="0" w:space="0" w:color="auto"/>
        <w:left w:val="none" w:sz="0" w:space="0" w:color="auto"/>
        <w:bottom w:val="none" w:sz="0" w:space="0" w:color="auto"/>
        <w:right w:val="none" w:sz="0" w:space="0" w:color="auto"/>
      </w:divBdr>
    </w:div>
    <w:div w:id="88160551">
      <w:bodyDiv w:val="1"/>
      <w:marLeft w:val="0"/>
      <w:marRight w:val="0"/>
      <w:marTop w:val="0"/>
      <w:marBottom w:val="0"/>
      <w:divBdr>
        <w:top w:val="none" w:sz="0" w:space="0" w:color="auto"/>
        <w:left w:val="none" w:sz="0" w:space="0" w:color="auto"/>
        <w:bottom w:val="none" w:sz="0" w:space="0" w:color="auto"/>
        <w:right w:val="none" w:sz="0" w:space="0" w:color="auto"/>
      </w:divBdr>
    </w:div>
    <w:div w:id="107050064">
      <w:bodyDiv w:val="1"/>
      <w:marLeft w:val="0"/>
      <w:marRight w:val="0"/>
      <w:marTop w:val="0"/>
      <w:marBottom w:val="0"/>
      <w:divBdr>
        <w:top w:val="none" w:sz="0" w:space="0" w:color="auto"/>
        <w:left w:val="none" w:sz="0" w:space="0" w:color="auto"/>
        <w:bottom w:val="none" w:sz="0" w:space="0" w:color="auto"/>
        <w:right w:val="none" w:sz="0" w:space="0" w:color="auto"/>
      </w:divBdr>
    </w:div>
    <w:div w:id="121582291">
      <w:bodyDiv w:val="1"/>
      <w:marLeft w:val="0"/>
      <w:marRight w:val="0"/>
      <w:marTop w:val="0"/>
      <w:marBottom w:val="0"/>
      <w:divBdr>
        <w:top w:val="none" w:sz="0" w:space="0" w:color="auto"/>
        <w:left w:val="none" w:sz="0" w:space="0" w:color="auto"/>
        <w:bottom w:val="none" w:sz="0" w:space="0" w:color="auto"/>
        <w:right w:val="none" w:sz="0" w:space="0" w:color="auto"/>
      </w:divBdr>
    </w:div>
    <w:div w:id="131338610">
      <w:bodyDiv w:val="1"/>
      <w:marLeft w:val="0"/>
      <w:marRight w:val="0"/>
      <w:marTop w:val="0"/>
      <w:marBottom w:val="0"/>
      <w:divBdr>
        <w:top w:val="none" w:sz="0" w:space="0" w:color="auto"/>
        <w:left w:val="none" w:sz="0" w:space="0" w:color="auto"/>
        <w:bottom w:val="none" w:sz="0" w:space="0" w:color="auto"/>
        <w:right w:val="none" w:sz="0" w:space="0" w:color="auto"/>
      </w:divBdr>
    </w:div>
    <w:div w:id="141894089">
      <w:bodyDiv w:val="1"/>
      <w:marLeft w:val="0"/>
      <w:marRight w:val="0"/>
      <w:marTop w:val="0"/>
      <w:marBottom w:val="0"/>
      <w:divBdr>
        <w:top w:val="none" w:sz="0" w:space="0" w:color="auto"/>
        <w:left w:val="none" w:sz="0" w:space="0" w:color="auto"/>
        <w:bottom w:val="none" w:sz="0" w:space="0" w:color="auto"/>
        <w:right w:val="none" w:sz="0" w:space="0" w:color="auto"/>
      </w:divBdr>
    </w:div>
    <w:div w:id="157040708">
      <w:bodyDiv w:val="1"/>
      <w:marLeft w:val="0"/>
      <w:marRight w:val="0"/>
      <w:marTop w:val="0"/>
      <w:marBottom w:val="0"/>
      <w:divBdr>
        <w:top w:val="none" w:sz="0" w:space="0" w:color="auto"/>
        <w:left w:val="none" w:sz="0" w:space="0" w:color="auto"/>
        <w:bottom w:val="none" w:sz="0" w:space="0" w:color="auto"/>
        <w:right w:val="none" w:sz="0" w:space="0" w:color="auto"/>
      </w:divBdr>
    </w:div>
    <w:div w:id="161627495">
      <w:bodyDiv w:val="1"/>
      <w:marLeft w:val="0"/>
      <w:marRight w:val="0"/>
      <w:marTop w:val="0"/>
      <w:marBottom w:val="0"/>
      <w:divBdr>
        <w:top w:val="none" w:sz="0" w:space="0" w:color="auto"/>
        <w:left w:val="none" w:sz="0" w:space="0" w:color="auto"/>
        <w:bottom w:val="none" w:sz="0" w:space="0" w:color="auto"/>
        <w:right w:val="none" w:sz="0" w:space="0" w:color="auto"/>
      </w:divBdr>
    </w:div>
    <w:div w:id="208806001">
      <w:bodyDiv w:val="1"/>
      <w:marLeft w:val="0"/>
      <w:marRight w:val="0"/>
      <w:marTop w:val="0"/>
      <w:marBottom w:val="0"/>
      <w:divBdr>
        <w:top w:val="none" w:sz="0" w:space="0" w:color="auto"/>
        <w:left w:val="none" w:sz="0" w:space="0" w:color="auto"/>
        <w:bottom w:val="none" w:sz="0" w:space="0" w:color="auto"/>
        <w:right w:val="none" w:sz="0" w:space="0" w:color="auto"/>
      </w:divBdr>
    </w:div>
    <w:div w:id="240795405">
      <w:bodyDiv w:val="1"/>
      <w:marLeft w:val="0"/>
      <w:marRight w:val="0"/>
      <w:marTop w:val="0"/>
      <w:marBottom w:val="0"/>
      <w:divBdr>
        <w:top w:val="none" w:sz="0" w:space="0" w:color="auto"/>
        <w:left w:val="none" w:sz="0" w:space="0" w:color="auto"/>
        <w:bottom w:val="none" w:sz="0" w:space="0" w:color="auto"/>
        <w:right w:val="none" w:sz="0" w:space="0" w:color="auto"/>
      </w:divBdr>
    </w:div>
    <w:div w:id="257951067">
      <w:bodyDiv w:val="1"/>
      <w:marLeft w:val="0"/>
      <w:marRight w:val="0"/>
      <w:marTop w:val="0"/>
      <w:marBottom w:val="0"/>
      <w:divBdr>
        <w:top w:val="none" w:sz="0" w:space="0" w:color="auto"/>
        <w:left w:val="none" w:sz="0" w:space="0" w:color="auto"/>
        <w:bottom w:val="none" w:sz="0" w:space="0" w:color="auto"/>
        <w:right w:val="none" w:sz="0" w:space="0" w:color="auto"/>
      </w:divBdr>
    </w:div>
    <w:div w:id="266427910">
      <w:bodyDiv w:val="1"/>
      <w:marLeft w:val="0"/>
      <w:marRight w:val="0"/>
      <w:marTop w:val="0"/>
      <w:marBottom w:val="0"/>
      <w:divBdr>
        <w:top w:val="none" w:sz="0" w:space="0" w:color="auto"/>
        <w:left w:val="none" w:sz="0" w:space="0" w:color="auto"/>
        <w:bottom w:val="none" w:sz="0" w:space="0" w:color="auto"/>
        <w:right w:val="none" w:sz="0" w:space="0" w:color="auto"/>
      </w:divBdr>
    </w:div>
    <w:div w:id="278530783">
      <w:bodyDiv w:val="1"/>
      <w:marLeft w:val="0"/>
      <w:marRight w:val="0"/>
      <w:marTop w:val="0"/>
      <w:marBottom w:val="0"/>
      <w:divBdr>
        <w:top w:val="none" w:sz="0" w:space="0" w:color="auto"/>
        <w:left w:val="none" w:sz="0" w:space="0" w:color="auto"/>
        <w:bottom w:val="none" w:sz="0" w:space="0" w:color="auto"/>
        <w:right w:val="none" w:sz="0" w:space="0" w:color="auto"/>
      </w:divBdr>
    </w:div>
    <w:div w:id="279071191">
      <w:bodyDiv w:val="1"/>
      <w:marLeft w:val="0"/>
      <w:marRight w:val="0"/>
      <w:marTop w:val="0"/>
      <w:marBottom w:val="0"/>
      <w:divBdr>
        <w:top w:val="none" w:sz="0" w:space="0" w:color="auto"/>
        <w:left w:val="none" w:sz="0" w:space="0" w:color="auto"/>
        <w:bottom w:val="none" w:sz="0" w:space="0" w:color="auto"/>
        <w:right w:val="none" w:sz="0" w:space="0" w:color="auto"/>
      </w:divBdr>
    </w:div>
    <w:div w:id="283467626">
      <w:bodyDiv w:val="1"/>
      <w:marLeft w:val="0"/>
      <w:marRight w:val="0"/>
      <w:marTop w:val="0"/>
      <w:marBottom w:val="0"/>
      <w:divBdr>
        <w:top w:val="none" w:sz="0" w:space="0" w:color="auto"/>
        <w:left w:val="none" w:sz="0" w:space="0" w:color="auto"/>
        <w:bottom w:val="none" w:sz="0" w:space="0" w:color="auto"/>
        <w:right w:val="none" w:sz="0" w:space="0" w:color="auto"/>
      </w:divBdr>
    </w:div>
    <w:div w:id="285354994">
      <w:bodyDiv w:val="1"/>
      <w:marLeft w:val="0"/>
      <w:marRight w:val="0"/>
      <w:marTop w:val="0"/>
      <w:marBottom w:val="0"/>
      <w:divBdr>
        <w:top w:val="none" w:sz="0" w:space="0" w:color="auto"/>
        <w:left w:val="none" w:sz="0" w:space="0" w:color="auto"/>
        <w:bottom w:val="none" w:sz="0" w:space="0" w:color="auto"/>
        <w:right w:val="none" w:sz="0" w:space="0" w:color="auto"/>
      </w:divBdr>
    </w:div>
    <w:div w:id="287005312">
      <w:bodyDiv w:val="1"/>
      <w:marLeft w:val="0"/>
      <w:marRight w:val="0"/>
      <w:marTop w:val="0"/>
      <w:marBottom w:val="0"/>
      <w:divBdr>
        <w:top w:val="none" w:sz="0" w:space="0" w:color="auto"/>
        <w:left w:val="none" w:sz="0" w:space="0" w:color="auto"/>
        <w:bottom w:val="none" w:sz="0" w:space="0" w:color="auto"/>
        <w:right w:val="none" w:sz="0" w:space="0" w:color="auto"/>
      </w:divBdr>
    </w:div>
    <w:div w:id="291640895">
      <w:bodyDiv w:val="1"/>
      <w:marLeft w:val="0"/>
      <w:marRight w:val="0"/>
      <w:marTop w:val="0"/>
      <w:marBottom w:val="0"/>
      <w:divBdr>
        <w:top w:val="none" w:sz="0" w:space="0" w:color="auto"/>
        <w:left w:val="none" w:sz="0" w:space="0" w:color="auto"/>
        <w:bottom w:val="none" w:sz="0" w:space="0" w:color="auto"/>
        <w:right w:val="none" w:sz="0" w:space="0" w:color="auto"/>
      </w:divBdr>
    </w:div>
    <w:div w:id="293099196">
      <w:bodyDiv w:val="1"/>
      <w:marLeft w:val="0"/>
      <w:marRight w:val="0"/>
      <w:marTop w:val="0"/>
      <w:marBottom w:val="0"/>
      <w:divBdr>
        <w:top w:val="none" w:sz="0" w:space="0" w:color="auto"/>
        <w:left w:val="none" w:sz="0" w:space="0" w:color="auto"/>
        <w:bottom w:val="none" w:sz="0" w:space="0" w:color="auto"/>
        <w:right w:val="none" w:sz="0" w:space="0" w:color="auto"/>
      </w:divBdr>
    </w:div>
    <w:div w:id="338973582">
      <w:bodyDiv w:val="1"/>
      <w:marLeft w:val="0"/>
      <w:marRight w:val="0"/>
      <w:marTop w:val="0"/>
      <w:marBottom w:val="0"/>
      <w:divBdr>
        <w:top w:val="none" w:sz="0" w:space="0" w:color="auto"/>
        <w:left w:val="none" w:sz="0" w:space="0" w:color="auto"/>
        <w:bottom w:val="none" w:sz="0" w:space="0" w:color="auto"/>
        <w:right w:val="none" w:sz="0" w:space="0" w:color="auto"/>
      </w:divBdr>
    </w:div>
    <w:div w:id="359088193">
      <w:bodyDiv w:val="1"/>
      <w:marLeft w:val="0"/>
      <w:marRight w:val="0"/>
      <w:marTop w:val="0"/>
      <w:marBottom w:val="0"/>
      <w:divBdr>
        <w:top w:val="none" w:sz="0" w:space="0" w:color="auto"/>
        <w:left w:val="none" w:sz="0" w:space="0" w:color="auto"/>
        <w:bottom w:val="none" w:sz="0" w:space="0" w:color="auto"/>
        <w:right w:val="none" w:sz="0" w:space="0" w:color="auto"/>
      </w:divBdr>
    </w:div>
    <w:div w:id="394935068">
      <w:bodyDiv w:val="1"/>
      <w:marLeft w:val="0"/>
      <w:marRight w:val="0"/>
      <w:marTop w:val="0"/>
      <w:marBottom w:val="0"/>
      <w:divBdr>
        <w:top w:val="none" w:sz="0" w:space="0" w:color="auto"/>
        <w:left w:val="none" w:sz="0" w:space="0" w:color="auto"/>
        <w:bottom w:val="none" w:sz="0" w:space="0" w:color="auto"/>
        <w:right w:val="none" w:sz="0" w:space="0" w:color="auto"/>
      </w:divBdr>
    </w:div>
    <w:div w:id="499002162">
      <w:bodyDiv w:val="1"/>
      <w:marLeft w:val="0"/>
      <w:marRight w:val="0"/>
      <w:marTop w:val="0"/>
      <w:marBottom w:val="0"/>
      <w:divBdr>
        <w:top w:val="none" w:sz="0" w:space="0" w:color="auto"/>
        <w:left w:val="none" w:sz="0" w:space="0" w:color="auto"/>
        <w:bottom w:val="none" w:sz="0" w:space="0" w:color="auto"/>
        <w:right w:val="none" w:sz="0" w:space="0" w:color="auto"/>
      </w:divBdr>
    </w:div>
    <w:div w:id="609122402">
      <w:bodyDiv w:val="1"/>
      <w:marLeft w:val="0"/>
      <w:marRight w:val="0"/>
      <w:marTop w:val="0"/>
      <w:marBottom w:val="0"/>
      <w:divBdr>
        <w:top w:val="none" w:sz="0" w:space="0" w:color="auto"/>
        <w:left w:val="none" w:sz="0" w:space="0" w:color="auto"/>
        <w:bottom w:val="none" w:sz="0" w:space="0" w:color="auto"/>
        <w:right w:val="none" w:sz="0" w:space="0" w:color="auto"/>
      </w:divBdr>
    </w:div>
    <w:div w:id="634601446">
      <w:bodyDiv w:val="1"/>
      <w:marLeft w:val="0"/>
      <w:marRight w:val="0"/>
      <w:marTop w:val="0"/>
      <w:marBottom w:val="0"/>
      <w:divBdr>
        <w:top w:val="none" w:sz="0" w:space="0" w:color="auto"/>
        <w:left w:val="none" w:sz="0" w:space="0" w:color="auto"/>
        <w:bottom w:val="none" w:sz="0" w:space="0" w:color="auto"/>
        <w:right w:val="none" w:sz="0" w:space="0" w:color="auto"/>
      </w:divBdr>
    </w:div>
    <w:div w:id="658966992">
      <w:bodyDiv w:val="1"/>
      <w:marLeft w:val="0"/>
      <w:marRight w:val="0"/>
      <w:marTop w:val="0"/>
      <w:marBottom w:val="0"/>
      <w:divBdr>
        <w:top w:val="none" w:sz="0" w:space="0" w:color="auto"/>
        <w:left w:val="none" w:sz="0" w:space="0" w:color="auto"/>
        <w:bottom w:val="none" w:sz="0" w:space="0" w:color="auto"/>
        <w:right w:val="none" w:sz="0" w:space="0" w:color="auto"/>
      </w:divBdr>
    </w:div>
    <w:div w:id="663120673">
      <w:bodyDiv w:val="1"/>
      <w:marLeft w:val="0"/>
      <w:marRight w:val="0"/>
      <w:marTop w:val="0"/>
      <w:marBottom w:val="0"/>
      <w:divBdr>
        <w:top w:val="none" w:sz="0" w:space="0" w:color="auto"/>
        <w:left w:val="none" w:sz="0" w:space="0" w:color="auto"/>
        <w:bottom w:val="none" w:sz="0" w:space="0" w:color="auto"/>
        <w:right w:val="none" w:sz="0" w:space="0" w:color="auto"/>
      </w:divBdr>
    </w:div>
    <w:div w:id="713774186">
      <w:bodyDiv w:val="1"/>
      <w:marLeft w:val="0"/>
      <w:marRight w:val="0"/>
      <w:marTop w:val="0"/>
      <w:marBottom w:val="0"/>
      <w:divBdr>
        <w:top w:val="none" w:sz="0" w:space="0" w:color="auto"/>
        <w:left w:val="none" w:sz="0" w:space="0" w:color="auto"/>
        <w:bottom w:val="none" w:sz="0" w:space="0" w:color="auto"/>
        <w:right w:val="none" w:sz="0" w:space="0" w:color="auto"/>
      </w:divBdr>
    </w:div>
    <w:div w:id="723791209">
      <w:bodyDiv w:val="1"/>
      <w:marLeft w:val="0"/>
      <w:marRight w:val="0"/>
      <w:marTop w:val="0"/>
      <w:marBottom w:val="0"/>
      <w:divBdr>
        <w:top w:val="none" w:sz="0" w:space="0" w:color="auto"/>
        <w:left w:val="none" w:sz="0" w:space="0" w:color="auto"/>
        <w:bottom w:val="none" w:sz="0" w:space="0" w:color="auto"/>
        <w:right w:val="none" w:sz="0" w:space="0" w:color="auto"/>
      </w:divBdr>
    </w:div>
    <w:div w:id="724838727">
      <w:bodyDiv w:val="1"/>
      <w:marLeft w:val="0"/>
      <w:marRight w:val="0"/>
      <w:marTop w:val="0"/>
      <w:marBottom w:val="0"/>
      <w:divBdr>
        <w:top w:val="none" w:sz="0" w:space="0" w:color="auto"/>
        <w:left w:val="none" w:sz="0" w:space="0" w:color="auto"/>
        <w:bottom w:val="none" w:sz="0" w:space="0" w:color="auto"/>
        <w:right w:val="none" w:sz="0" w:space="0" w:color="auto"/>
      </w:divBdr>
    </w:div>
    <w:div w:id="756756039">
      <w:bodyDiv w:val="1"/>
      <w:marLeft w:val="0"/>
      <w:marRight w:val="0"/>
      <w:marTop w:val="0"/>
      <w:marBottom w:val="0"/>
      <w:divBdr>
        <w:top w:val="none" w:sz="0" w:space="0" w:color="auto"/>
        <w:left w:val="none" w:sz="0" w:space="0" w:color="auto"/>
        <w:bottom w:val="none" w:sz="0" w:space="0" w:color="auto"/>
        <w:right w:val="none" w:sz="0" w:space="0" w:color="auto"/>
      </w:divBdr>
    </w:div>
    <w:div w:id="758135784">
      <w:bodyDiv w:val="1"/>
      <w:marLeft w:val="0"/>
      <w:marRight w:val="0"/>
      <w:marTop w:val="0"/>
      <w:marBottom w:val="0"/>
      <w:divBdr>
        <w:top w:val="none" w:sz="0" w:space="0" w:color="auto"/>
        <w:left w:val="none" w:sz="0" w:space="0" w:color="auto"/>
        <w:bottom w:val="none" w:sz="0" w:space="0" w:color="auto"/>
        <w:right w:val="none" w:sz="0" w:space="0" w:color="auto"/>
      </w:divBdr>
    </w:div>
    <w:div w:id="824706562">
      <w:bodyDiv w:val="1"/>
      <w:marLeft w:val="0"/>
      <w:marRight w:val="0"/>
      <w:marTop w:val="0"/>
      <w:marBottom w:val="0"/>
      <w:divBdr>
        <w:top w:val="none" w:sz="0" w:space="0" w:color="auto"/>
        <w:left w:val="none" w:sz="0" w:space="0" w:color="auto"/>
        <w:bottom w:val="none" w:sz="0" w:space="0" w:color="auto"/>
        <w:right w:val="none" w:sz="0" w:space="0" w:color="auto"/>
      </w:divBdr>
    </w:div>
    <w:div w:id="835849257">
      <w:bodyDiv w:val="1"/>
      <w:marLeft w:val="0"/>
      <w:marRight w:val="0"/>
      <w:marTop w:val="0"/>
      <w:marBottom w:val="0"/>
      <w:divBdr>
        <w:top w:val="none" w:sz="0" w:space="0" w:color="auto"/>
        <w:left w:val="none" w:sz="0" w:space="0" w:color="auto"/>
        <w:bottom w:val="none" w:sz="0" w:space="0" w:color="auto"/>
        <w:right w:val="none" w:sz="0" w:space="0" w:color="auto"/>
      </w:divBdr>
    </w:div>
    <w:div w:id="862860744">
      <w:bodyDiv w:val="1"/>
      <w:marLeft w:val="0"/>
      <w:marRight w:val="0"/>
      <w:marTop w:val="0"/>
      <w:marBottom w:val="0"/>
      <w:divBdr>
        <w:top w:val="none" w:sz="0" w:space="0" w:color="auto"/>
        <w:left w:val="none" w:sz="0" w:space="0" w:color="auto"/>
        <w:bottom w:val="none" w:sz="0" w:space="0" w:color="auto"/>
        <w:right w:val="none" w:sz="0" w:space="0" w:color="auto"/>
      </w:divBdr>
    </w:div>
    <w:div w:id="886918252">
      <w:bodyDiv w:val="1"/>
      <w:marLeft w:val="0"/>
      <w:marRight w:val="0"/>
      <w:marTop w:val="0"/>
      <w:marBottom w:val="0"/>
      <w:divBdr>
        <w:top w:val="none" w:sz="0" w:space="0" w:color="auto"/>
        <w:left w:val="none" w:sz="0" w:space="0" w:color="auto"/>
        <w:bottom w:val="none" w:sz="0" w:space="0" w:color="auto"/>
        <w:right w:val="none" w:sz="0" w:space="0" w:color="auto"/>
      </w:divBdr>
    </w:div>
    <w:div w:id="890771958">
      <w:bodyDiv w:val="1"/>
      <w:marLeft w:val="0"/>
      <w:marRight w:val="0"/>
      <w:marTop w:val="0"/>
      <w:marBottom w:val="0"/>
      <w:divBdr>
        <w:top w:val="none" w:sz="0" w:space="0" w:color="auto"/>
        <w:left w:val="none" w:sz="0" w:space="0" w:color="auto"/>
        <w:bottom w:val="none" w:sz="0" w:space="0" w:color="auto"/>
        <w:right w:val="none" w:sz="0" w:space="0" w:color="auto"/>
      </w:divBdr>
    </w:div>
    <w:div w:id="954211749">
      <w:bodyDiv w:val="1"/>
      <w:marLeft w:val="0"/>
      <w:marRight w:val="0"/>
      <w:marTop w:val="0"/>
      <w:marBottom w:val="0"/>
      <w:divBdr>
        <w:top w:val="none" w:sz="0" w:space="0" w:color="auto"/>
        <w:left w:val="none" w:sz="0" w:space="0" w:color="auto"/>
        <w:bottom w:val="none" w:sz="0" w:space="0" w:color="auto"/>
        <w:right w:val="none" w:sz="0" w:space="0" w:color="auto"/>
      </w:divBdr>
    </w:div>
    <w:div w:id="985478362">
      <w:bodyDiv w:val="1"/>
      <w:marLeft w:val="0"/>
      <w:marRight w:val="0"/>
      <w:marTop w:val="0"/>
      <w:marBottom w:val="0"/>
      <w:divBdr>
        <w:top w:val="none" w:sz="0" w:space="0" w:color="auto"/>
        <w:left w:val="none" w:sz="0" w:space="0" w:color="auto"/>
        <w:bottom w:val="none" w:sz="0" w:space="0" w:color="auto"/>
        <w:right w:val="none" w:sz="0" w:space="0" w:color="auto"/>
      </w:divBdr>
    </w:div>
    <w:div w:id="1003045959">
      <w:bodyDiv w:val="1"/>
      <w:marLeft w:val="0"/>
      <w:marRight w:val="0"/>
      <w:marTop w:val="0"/>
      <w:marBottom w:val="0"/>
      <w:divBdr>
        <w:top w:val="none" w:sz="0" w:space="0" w:color="auto"/>
        <w:left w:val="none" w:sz="0" w:space="0" w:color="auto"/>
        <w:bottom w:val="none" w:sz="0" w:space="0" w:color="auto"/>
        <w:right w:val="none" w:sz="0" w:space="0" w:color="auto"/>
      </w:divBdr>
    </w:div>
    <w:div w:id="1010908071">
      <w:bodyDiv w:val="1"/>
      <w:marLeft w:val="0"/>
      <w:marRight w:val="0"/>
      <w:marTop w:val="0"/>
      <w:marBottom w:val="0"/>
      <w:divBdr>
        <w:top w:val="none" w:sz="0" w:space="0" w:color="auto"/>
        <w:left w:val="none" w:sz="0" w:space="0" w:color="auto"/>
        <w:bottom w:val="none" w:sz="0" w:space="0" w:color="auto"/>
        <w:right w:val="none" w:sz="0" w:space="0" w:color="auto"/>
      </w:divBdr>
    </w:div>
    <w:div w:id="1035929519">
      <w:bodyDiv w:val="1"/>
      <w:marLeft w:val="0"/>
      <w:marRight w:val="0"/>
      <w:marTop w:val="0"/>
      <w:marBottom w:val="0"/>
      <w:divBdr>
        <w:top w:val="none" w:sz="0" w:space="0" w:color="auto"/>
        <w:left w:val="none" w:sz="0" w:space="0" w:color="auto"/>
        <w:bottom w:val="none" w:sz="0" w:space="0" w:color="auto"/>
        <w:right w:val="none" w:sz="0" w:space="0" w:color="auto"/>
      </w:divBdr>
    </w:div>
    <w:div w:id="1043137621">
      <w:bodyDiv w:val="1"/>
      <w:marLeft w:val="0"/>
      <w:marRight w:val="0"/>
      <w:marTop w:val="0"/>
      <w:marBottom w:val="0"/>
      <w:divBdr>
        <w:top w:val="none" w:sz="0" w:space="0" w:color="auto"/>
        <w:left w:val="none" w:sz="0" w:space="0" w:color="auto"/>
        <w:bottom w:val="none" w:sz="0" w:space="0" w:color="auto"/>
        <w:right w:val="none" w:sz="0" w:space="0" w:color="auto"/>
      </w:divBdr>
    </w:div>
    <w:div w:id="1050037602">
      <w:bodyDiv w:val="1"/>
      <w:marLeft w:val="0"/>
      <w:marRight w:val="0"/>
      <w:marTop w:val="0"/>
      <w:marBottom w:val="0"/>
      <w:divBdr>
        <w:top w:val="none" w:sz="0" w:space="0" w:color="auto"/>
        <w:left w:val="none" w:sz="0" w:space="0" w:color="auto"/>
        <w:bottom w:val="none" w:sz="0" w:space="0" w:color="auto"/>
        <w:right w:val="none" w:sz="0" w:space="0" w:color="auto"/>
      </w:divBdr>
    </w:div>
    <w:div w:id="1052118705">
      <w:bodyDiv w:val="1"/>
      <w:marLeft w:val="0"/>
      <w:marRight w:val="0"/>
      <w:marTop w:val="0"/>
      <w:marBottom w:val="0"/>
      <w:divBdr>
        <w:top w:val="none" w:sz="0" w:space="0" w:color="auto"/>
        <w:left w:val="none" w:sz="0" w:space="0" w:color="auto"/>
        <w:bottom w:val="none" w:sz="0" w:space="0" w:color="auto"/>
        <w:right w:val="none" w:sz="0" w:space="0" w:color="auto"/>
      </w:divBdr>
    </w:div>
    <w:div w:id="1080562097">
      <w:bodyDiv w:val="1"/>
      <w:marLeft w:val="0"/>
      <w:marRight w:val="0"/>
      <w:marTop w:val="0"/>
      <w:marBottom w:val="0"/>
      <w:divBdr>
        <w:top w:val="none" w:sz="0" w:space="0" w:color="auto"/>
        <w:left w:val="none" w:sz="0" w:space="0" w:color="auto"/>
        <w:bottom w:val="none" w:sz="0" w:space="0" w:color="auto"/>
        <w:right w:val="none" w:sz="0" w:space="0" w:color="auto"/>
      </w:divBdr>
    </w:div>
    <w:div w:id="1084761244">
      <w:bodyDiv w:val="1"/>
      <w:marLeft w:val="0"/>
      <w:marRight w:val="0"/>
      <w:marTop w:val="0"/>
      <w:marBottom w:val="0"/>
      <w:divBdr>
        <w:top w:val="none" w:sz="0" w:space="0" w:color="auto"/>
        <w:left w:val="none" w:sz="0" w:space="0" w:color="auto"/>
        <w:bottom w:val="none" w:sz="0" w:space="0" w:color="auto"/>
        <w:right w:val="none" w:sz="0" w:space="0" w:color="auto"/>
      </w:divBdr>
    </w:div>
    <w:div w:id="1107234879">
      <w:bodyDiv w:val="1"/>
      <w:marLeft w:val="0"/>
      <w:marRight w:val="0"/>
      <w:marTop w:val="0"/>
      <w:marBottom w:val="0"/>
      <w:divBdr>
        <w:top w:val="none" w:sz="0" w:space="0" w:color="auto"/>
        <w:left w:val="none" w:sz="0" w:space="0" w:color="auto"/>
        <w:bottom w:val="none" w:sz="0" w:space="0" w:color="auto"/>
        <w:right w:val="none" w:sz="0" w:space="0" w:color="auto"/>
      </w:divBdr>
    </w:div>
    <w:div w:id="1111171969">
      <w:bodyDiv w:val="1"/>
      <w:marLeft w:val="0"/>
      <w:marRight w:val="0"/>
      <w:marTop w:val="0"/>
      <w:marBottom w:val="0"/>
      <w:divBdr>
        <w:top w:val="none" w:sz="0" w:space="0" w:color="auto"/>
        <w:left w:val="none" w:sz="0" w:space="0" w:color="auto"/>
        <w:bottom w:val="none" w:sz="0" w:space="0" w:color="auto"/>
        <w:right w:val="none" w:sz="0" w:space="0" w:color="auto"/>
      </w:divBdr>
    </w:div>
    <w:div w:id="1130132355">
      <w:bodyDiv w:val="1"/>
      <w:marLeft w:val="0"/>
      <w:marRight w:val="0"/>
      <w:marTop w:val="0"/>
      <w:marBottom w:val="0"/>
      <w:divBdr>
        <w:top w:val="none" w:sz="0" w:space="0" w:color="auto"/>
        <w:left w:val="none" w:sz="0" w:space="0" w:color="auto"/>
        <w:bottom w:val="none" w:sz="0" w:space="0" w:color="auto"/>
        <w:right w:val="none" w:sz="0" w:space="0" w:color="auto"/>
      </w:divBdr>
      <w:divsChild>
        <w:div w:id="11611978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29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5684">
      <w:bodyDiv w:val="1"/>
      <w:marLeft w:val="0"/>
      <w:marRight w:val="0"/>
      <w:marTop w:val="0"/>
      <w:marBottom w:val="0"/>
      <w:divBdr>
        <w:top w:val="none" w:sz="0" w:space="0" w:color="auto"/>
        <w:left w:val="none" w:sz="0" w:space="0" w:color="auto"/>
        <w:bottom w:val="none" w:sz="0" w:space="0" w:color="auto"/>
        <w:right w:val="none" w:sz="0" w:space="0" w:color="auto"/>
      </w:divBdr>
    </w:div>
    <w:div w:id="1153376362">
      <w:bodyDiv w:val="1"/>
      <w:marLeft w:val="0"/>
      <w:marRight w:val="0"/>
      <w:marTop w:val="0"/>
      <w:marBottom w:val="0"/>
      <w:divBdr>
        <w:top w:val="none" w:sz="0" w:space="0" w:color="auto"/>
        <w:left w:val="none" w:sz="0" w:space="0" w:color="auto"/>
        <w:bottom w:val="none" w:sz="0" w:space="0" w:color="auto"/>
        <w:right w:val="none" w:sz="0" w:space="0" w:color="auto"/>
      </w:divBdr>
    </w:div>
    <w:div w:id="1174029233">
      <w:bodyDiv w:val="1"/>
      <w:marLeft w:val="0"/>
      <w:marRight w:val="0"/>
      <w:marTop w:val="0"/>
      <w:marBottom w:val="0"/>
      <w:divBdr>
        <w:top w:val="none" w:sz="0" w:space="0" w:color="auto"/>
        <w:left w:val="none" w:sz="0" w:space="0" w:color="auto"/>
        <w:bottom w:val="none" w:sz="0" w:space="0" w:color="auto"/>
        <w:right w:val="none" w:sz="0" w:space="0" w:color="auto"/>
      </w:divBdr>
    </w:div>
    <w:div w:id="1174225575">
      <w:bodyDiv w:val="1"/>
      <w:marLeft w:val="0"/>
      <w:marRight w:val="0"/>
      <w:marTop w:val="0"/>
      <w:marBottom w:val="0"/>
      <w:divBdr>
        <w:top w:val="none" w:sz="0" w:space="0" w:color="auto"/>
        <w:left w:val="none" w:sz="0" w:space="0" w:color="auto"/>
        <w:bottom w:val="none" w:sz="0" w:space="0" w:color="auto"/>
        <w:right w:val="none" w:sz="0" w:space="0" w:color="auto"/>
      </w:divBdr>
    </w:div>
    <w:div w:id="1214544382">
      <w:bodyDiv w:val="1"/>
      <w:marLeft w:val="0"/>
      <w:marRight w:val="0"/>
      <w:marTop w:val="0"/>
      <w:marBottom w:val="0"/>
      <w:divBdr>
        <w:top w:val="none" w:sz="0" w:space="0" w:color="auto"/>
        <w:left w:val="none" w:sz="0" w:space="0" w:color="auto"/>
        <w:bottom w:val="none" w:sz="0" w:space="0" w:color="auto"/>
        <w:right w:val="none" w:sz="0" w:space="0" w:color="auto"/>
      </w:divBdr>
    </w:div>
    <w:div w:id="1214583340">
      <w:bodyDiv w:val="1"/>
      <w:marLeft w:val="0"/>
      <w:marRight w:val="0"/>
      <w:marTop w:val="0"/>
      <w:marBottom w:val="0"/>
      <w:divBdr>
        <w:top w:val="none" w:sz="0" w:space="0" w:color="auto"/>
        <w:left w:val="none" w:sz="0" w:space="0" w:color="auto"/>
        <w:bottom w:val="none" w:sz="0" w:space="0" w:color="auto"/>
        <w:right w:val="none" w:sz="0" w:space="0" w:color="auto"/>
      </w:divBdr>
    </w:div>
    <w:div w:id="1237351912">
      <w:bodyDiv w:val="1"/>
      <w:marLeft w:val="0"/>
      <w:marRight w:val="0"/>
      <w:marTop w:val="0"/>
      <w:marBottom w:val="0"/>
      <w:divBdr>
        <w:top w:val="none" w:sz="0" w:space="0" w:color="auto"/>
        <w:left w:val="none" w:sz="0" w:space="0" w:color="auto"/>
        <w:bottom w:val="none" w:sz="0" w:space="0" w:color="auto"/>
        <w:right w:val="none" w:sz="0" w:space="0" w:color="auto"/>
      </w:divBdr>
    </w:div>
    <w:div w:id="1247497417">
      <w:bodyDiv w:val="1"/>
      <w:marLeft w:val="0"/>
      <w:marRight w:val="0"/>
      <w:marTop w:val="0"/>
      <w:marBottom w:val="0"/>
      <w:divBdr>
        <w:top w:val="none" w:sz="0" w:space="0" w:color="auto"/>
        <w:left w:val="none" w:sz="0" w:space="0" w:color="auto"/>
        <w:bottom w:val="none" w:sz="0" w:space="0" w:color="auto"/>
        <w:right w:val="none" w:sz="0" w:space="0" w:color="auto"/>
      </w:divBdr>
    </w:div>
    <w:div w:id="1251501342">
      <w:bodyDiv w:val="1"/>
      <w:marLeft w:val="0"/>
      <w:marRight w:val="0"/>
      <w:marTop w:val="0"/>
      <w:marBottom w:val="0"/>
      <w:divBdr>
        <w:top w:val="none" w:sz="0" w:space="0" w:color="auto"/>
        <w:left w:val="none" w:sz="0" w:space="0" w:color="auto"/>
        <w:bottom w:val="none" w:sz="0" w:space="0" w:color="auto"/>
        <w:right w:val="none" w:sz="0" w:space="0" w:color="auto"/>
      </w:divBdr>
    </w:div>
    <w:div w:id="1253591852">
      <w:bodyDiv w:val="1"/>
      <w:marLeft w:val="0"/>
      <w:marRight w:val="0"/>
      <w:marTop w:val="0"/>
      <w:marBottom w:val="0"/>
      <w:divBdr>
        <w:top w:val="none" w:sz="0" w:space="0" w:color="auto"/>
        <w:left w:val="none" w:sz="0" w:space="0" w:color="auto"/>
        <w:bottom w:val="none" w:sz="0" w:space="0" w:color="auto"/>
        <w:right w:val="none" w:sz="0" w:space="0" w:color="auto"/>
      </w:divBdr>
    </w:div>
    <w:div w:id="1298754165">
      <w:bodyDiv w:val="1"/>
      <w:marLeft w:val="0"/>
      <w:marRight w:val="0"/>
      <w:marTop w:val="0"/>
      <w:marBottom w:val="0"/>
      <w:divBdr>
        <w:top w:val="none" w:sz="0" w:space="0" w:color="auto"/>
        <w:left w:val="none" w:sz="0" w:space="0" w:color="auto"/>
        <w:bottom w:val="none" w:sz="0" w:space="0" w:color="auto"/>
        <w:right w:val="none" w:sz="0" w:space="0" w:color="auto"/>
      </w:divBdr>
    </w:div>
    <w:div w:id="1368681654">
      <w:bodyDiv w:val="1"/>
      <w:marLeft w:val="0"/>
      <w:marRight w:val="0"/>
      <w:marTop w:val="0"/>
      <w:marBottom w:val="0"/>
      <w:divBdr>
        <w:top w:val="none" w:sz="0" w:space="0" w:color="auto"/>
        <w:left w:val="none" w:sz="0" w:space="0" w:color="auto"/>
        <w:bottom w:val="none" w:sz="0" w:space="0" w:color="auto"/>
        <w:right w:val="none" w:sz="0" w:space="0" w:color="auto"/>
      </w:divBdr>
    </w:div>
    <w:div w:id="1381787578">
      <w:bodyDiv w:val="1"/>
      <w:marLeft w:val="0"/>
      <w:marRight w:val="0"/>
      <w:marTop w:val="0"/>
      <w:marBottom w:val="0"/>
      <w:divBdr>
        <w:top w:val="none" w:sz="0" w:space="0" w:color="auto"/>
        <w:left w:val="none" w:sz="0" w:space="0" w:color="auto"/>
        <w:bottom w:val="none" w:sz="0" w:space="0" w:color="auto"/>
        <w:right w:val="none" w:sz="0" w:space="0" w:color="auto"/>
      </w:divBdr>
    </w:div>
    <w:div w:id="1409496692">
      <w:bodyDiv w:val="1"/>
      <w:marLeft w:val="0"/>
      <w:marRight w:val="0"/>
      <w:marTop w:val="0"/>
      <w:marBottom w:val="0"/>
      <w:divBdr>
        <w:top w:val="none" w:sz="0" w:space="0" w:color="auto"/>
        <w:left w:val="none" w:sz="0" w:space="0" w:color="auto"/>
        <w:bottom w:val="none" w:sz="0" w:space="0" w:color="auto"/>
        <w:right w:val="none" w:sz="0" w:space="0" w:color="auto"/>
      </w:divBdr>
    </w:div>
    <w:div w:id="1415516323">
      <w:bodyDiv w:val="1"/>
      <w:marLeft w:val="0"/>
      <w:marRight w:val="0"/>
      <w:marTop w:val="0"/>
      <w:marBottom w:val="0"/>
      <w:divBdr>
        <w:top w:val="none" w:sz="0" w:space="0" w:color="auto"/>
        <w:left w:val="none" w:sz="0" w:space="0" w:color="auto"/>
        <w:bottom w:val="none" w:sz="0" w:space="0" w:color="auto"/>
        <w:right w:val="none" w:sz="0" w:space="0" w:color="auto"/>
      </w:divBdr>
    </w:div>
    <w:div w:id="1423911638">
      <w:bodyDiv w:val="1"/>
      <w:marLeft w:val="0"/>
      <w:marRight w:val="0"/>
      <w:marTop w:val="0"/>
      <w:marBottom w:val="0"/>
      <w:divBdr>
        <w:top w:val="none" w:sz="0" w:space="0" w:color="auto"/>
        <w:left w:val="none" w:sz="0" w:space="0" w:color="auto"/>
        <w:bottom w:val="none" w:sz="0" w:space="0" w:color="auto"/>
        <w:right w:val="none" w:sz="0" w:space="0" w:color="auto"/>
      </w:divBdr>
    </w:div>
    <w:div w:id="1430927208">
      <w:bodyDiv w:val="1"/>
      <w:marLeft w:val="0"/>
      <w:marRight w:val="0"/>
      <w:marTop w:val="0"/>
      <w:marBottom w:val="0"/>
      <w:divBdr>
        <w:top w:val="none" w:sz="0" w:space="0" w:color="auto"/>
        <w:left w:val="none" w:sz="0" w:space="0" w:color="auto"/>
        <w:bottom w:val="none" w:sz="0" w:space="0" w:color="auto"/>
        <w:right w:val="none" w:sz="0" w:space="0" w:color="auto"/>
      </w:divBdr>
    </w:div>
    <w:div w:id="1441148016">
      <w:bodyDiv w:val="1"/>
      <w:marLeft w:val="0"/>
      <w:marRight w:val="0"/>
      <w:marTop w:val="0"/>
      <w:marBottom w:val="0"/>
      <w:divBdr>
        <w:top w:val="none" w:sz="0" w:space="0" w:color="auto"/>
        <w:left w:val="none" w:sz="0" w:space="0" w:color="auto"/>
        <w:bottom w:val="none" w:sz="0" w:space="0" w:color="auto"/>
        <w:right w:val="none" w:sz="0" w:space="0" w:color="auto"/>
      </w:divBdr>
    </w:div>
    <w:div w:id="1441951593">
      <w:bodyDiv w:val="1"/>
      <w:marLeft w:val="0"/>
      <w:marRight w:val="0"/>
      <w:marTop w:val="0"/>
      <w:marBottom w:val="0"/>
      <w:divBdr>
        <w:top w:val="none" w:sz="0" w:space="0" w:color="auto"/>
        <w:left w:val="none" w:sz="0" w:space="0" w:color="auto"/>
        <w:bottom w:val="none" w:sz="0" w:space="0" w:color="auto"/>
        <w:right w:val="none" w:sz="0" w:space="0" w:color="auto"/>
      </w:divBdr>
    </w:div>
    <w:div w:id="1467896362">
      <w:bodyDiv w:val="1"/>
      <w:marLeft w:val="0"/>
      <w:marRight w:val="0"/>
      <w:marTop w:val="0"/>
      <w:marBottom w:val="0"/>
      <w:divBdr>
        <w:top w:val="none" w:sz="0" w:space="0" w:color="auto"/>
        <w:left w:val="none" w:sz="0" w:space="0" w:color="auto"/>
        <w:bottom w:val="none" w:sz="0" w:space="0" w:color="auto"/>
        <w:right w:val="none" w:sz="0" w:space="0" w:color="auto"/>
      </w:divBdr>
    </w:div>
    <w:div w:id="1469514933">
      <w:bodyDiv w:val="1"/>
      <w:marLeft w:val="0"/>
      <w:marRight w:val="0"/>
      <w:marTop w:val="0"/>
      <w:marBottom w:val="0"/>
      <w:divBdr>
        <w:top w:val="none" w:sz="0" w:space="0" w:color="auto"/>
        <w:left w:val="none" w:sz="0" w:space="0" w:color="auto"/>
        <w:bottom w:val="none" w:sz="0" w:space="0" w:color="auto"/>
        <w:right w:val="none" w:sz="0" w:space="0" w:color="auto"/>
      </w:divBdr>
    </w:div>
    <w:div w:id="1483308992">
      <w:bodyDiv w:val="1"/>
      <w:marLeft w:val="0"/>
      <w:marRight w:val="0"/>
      <w:marTop w:val="0"/>
      <w:marBottom w:val="0"/>
      <w:divBdr>
        <w:top w:val="none" w:sz="0" w:space="0" w:color="auto"/>
        <w:left w:val="none" w:sz="0" w:space="0" w:color="auto"/>
        <w:bottom w:val="none" w:sz="0" w:space="0" w:color="auto"/>
        <w:right w:val="none" w:sz="0" w:space="0" w:color="auto"/>
      </w:divBdr>
    </w:div>
    <w:div w:id="1496190238">
      <w:bodyDiv w:val="1"/>
      <w:marLeft w:val="0"/>
      <w:marRight w:val="0"/>
      <w:marTop w:val="0"/>
      <w:marBottom w:val="0"/>
      <w:divBdr>
        <w:top w:val="none" w:sz="0" w:space="0" w:color="auto"/>
        <w:left w:val="none" w:sz="0" w:space="0" w:color="auto"/>
        <w:bottom w:val="none" w:sz="0" w:space="0" w:color="auto"/>
        <w:right w:val="none" w:sz="0" w:space="0" w:color="auto"/>
      </w:divBdr>
    </w:div>
    <w:div w:id="1525090670">
      <w:marLeft w:val="0"/>
      <w:marRight w:val="0"/>
      <w:marTop w:val="0"/>
      <w:marBottom w:val="0"/>
      <w:divBdr>
        <w:top w:val="none" w:sz="0" w:space="0" w:color="auto"/>
        <w:left w:val="none" w:sz="0" w:space="0" w:color="auto"/>
        <w:bottom w:val="none" w:sz="0" w:space="0" w:color="auto"/>
        <w:right w:val="none" w:sz="0" w:space="0" w:color="auto"/>
      </w:divBdr>
    </w:div>
    <w:div w:id="1525090671">
      <w:marLeft w:val="0"/>
      <w:marRight w:val="0"/>
      <w:marTop w:val="0"/>
      <w:marBottom w:val="0"/>
      <w:divBdr>
        <w:top w:val="none" w:sz="0" w:space="0" w:color="auto"/>
        <w:left w:val="none" w:sz="0" w:space="0" w:color="auto"/>
        <w:bottom w:val="none" w:sz="0" w:space="0" w:color="auto"/>
        <w:right w:val="none" w:sz="0" w:space="0" w:color="auto"/>
      </w:divBdr>
    </w:div>
    <w:div w:id="1525090672">
      <w:marLeft w:val="0"/>
      <w:marRight w:val="0"/>
      <w:marTop w:val="0"/>
      <w:marBottom w:val="0"/>
      <w:divBdr>
        <w:top w:val="none" w:sz="0" w:space="0" w:color="auto"/>
        <w:left w:val="none" w:sz="0" w:space="0" w:color="auto"/>
        <w:bottom w:val="none" w:sz="0" w:space="0" w:color="auto"/>
        <w:right w:val="none" w:sz="0" w:space="0" w:color="auto"/>
      </w:divBdr>
    </w:div>
    <w:div w:id="1525090674">
      <w:marLeft w:val="0"/>
      <w:marRight w:val="0"/>
      <w:marTop w:val="0"/>
      <w:marBottom w:val="0"/>
      <w:divBdr>
        <w:top w:val="none" w:sz="0" w:space="0" w:color="auto"/>
        <w:left w:val="none" w:sz="0" w:space="0" w:color="auto"/>
        <w:bottom w:val="none" w:sz="0" w:space="0" w:color="auto"/>
        <w:right w:val="none" w:sz="0" w:space="0" w:color="auto"/>
      </w:divBdr>
    </w:div>
    <w:div w:id="1525090676">
      <w:marLeft w:val="0"/>
      <w:marRight w:val="0"/>
      <w:marTop w:val="0"/>
      <w:marBottom w:val="0"/>
      <w:divBdr>
        <w:top w:val="none" w:sz="0" w:space="0" w:color="auto"/>
        <w:left w:val="none" w:sz="0" w:space="0" w:color="auto"/>
        <w:bottom w:val="none" w:sz="0" w:space="0" w:color="auto"/>
        <w:right w:val="none" w:sz="0" w:space="0" w:color="auto"/>
      </w:divBdr>
    </w:div>
    <w:div w:id="1525090677">
      <w:marLeft w:val="0"/>
      <w:marRight w:val="0"/>
      <w:marTop w:val="0"/>
      <w:marBottom w:val="0"/>
      <w:divBdr>
        <w:top w:val="none" w:sz="0" w:space="0" w:color="auto"/>
        <w:left w:val="none" w:sz="0" w:space="0" w:color="auto"/>
        <w:bottom w:val="none" w:sz="0" w:space="0" w:color="auto"/>
        <w:right w:val="none" w:sz="0" w:space="0" w:color="auto"/>
      </w:divBdr>
    </w:div>
    <w:div w:id="1525090678">
      <w:marLeft w:val="0"/>
      <w:marRight w:val="0"/>
      <w:marTop w:val="0"/>
      <w:marBottom w:val="0"/>
      <w:divBdr>
        <w:top w:val="none" w:sz="0" w:space="0" w:color="auto"/>
        <w:left w:val="none" w:sz="0" w:space="0" w:color="auto"/>
        <w:bottom w:val="none" w:sz="0" w:space="0" w:color="auto"/>
        <w:right w:val="none" w:sz="0" w:space="0" w:color="auto"/>
      </w:divBdr>
    </w:div>
    <w:div w:id="1525090679">
      <w:marLeft w:val="0"/>
      <w:marRight w:val="0"/>
      <w:marTop w:val="0"/>
      <w:marBottom w:val="0"/>
      <w:divBdr>
        <w:top w:val="none" w:sz="0" w:space="0" w:color="auto"/>
        <w:left w:val="none" w:sz="0" w:space="0" w:color="auto"/>
        <w:bottom w:val="none" w:sz="0" w:space="0" w:color="auto"/>
        <w:right w:val="none" w:sz="0" w:space="0" w:color="auto"/>
      </w:divBdr>
    </w:div>
    <w:div w:id="1525090680">
      <w:marLeft w:val="0"/>
      <w:marRight w:val="0"/>
      <w:marTop w:val="0"/>
      <w:marBottom w:val="0"/>
      <w:divBdr>
        <w:top w:val="none" w:sz="0" w:space="0" w:color="auto"/>
        <w:left w:val="none" w:sz="0" w:space="0" w:color="auto"/>
        <w:bottom w:val="none" w:sz="0" w:space="0" w:color="auto"/>
        <w:right w:val="none" w:sz="0" w:space="0" w:color="auto"/>
      </w:divBdr>
    </w:div>
    <w:div w:id="1525090682">
      <w:marLeft w:val="0"/>
      <w:marRight w:val="0"/>
      <w:marTop w:val="0"/>
      <w:marBottom w:val="0"/>
      <w:divBdr>
        <w:top w:val="none" w:sz="0" w:space="0" w:color="auto"/>
        <w:left w:val="none" w:sz="0" w:space="0" w:color="auto"/>
        <w:bottom w:val="none" w:sz="0" w:space="0" w:color="auto"/>
        <w:right w:val="none" w:sz="0" w:space="0" w:color="auto"/>
      </w:divBdr>
    </w:div>
    <w:div w:id="1525090683">
      <w:marLeft w:val="0"/>
      <w:marRight w:val="0"/>
      <w:marTop w:val="0"/>
      <w:marBottom w:val="0"/>
      <w:divBdr>
        <w:top w:val="none" w:sz="0" w:space="0" w:color="auto"/>
        <w:left w:val="none" w:sz="0" w:space="0" w:color="auto"/>
        <w:bottom w:val="none" w:sz="0" w:space="0" w:color="auto"/>
        <w:right w:val="none" w:sz="0" w:space="0" w:color="auto"/>
      </w:divBdr>
    </w:div>
    <w:div w:id="1525090684">
      <w:marLeft w:val="0"/>
      <w:marRight w:val="0"/>
      <w:marTop w:val="0"/>
      <w:marBottom w:val="0"/>
      <w:divBdr>
        <w:top w:val="none" w:sz="0" w:space="0" w:color="auto"/>
        <w:left w:val="none" w:sz="0" w:space="0" w:color="auto"/>
        <w:bottom w:val="none" w:sz="0" w:space="0" w:color="auto"/>
        <w:right w:val="none" w:sz="0" w:space="0" w:color="auto"/>
      </w:divBdr>
    </w:div>
    <w:div w:id="1525090685">
      <w:marLeft w:val="0"/>
      <w:marRight w:val="0"/>
      <w:marTop w:val="0"/>
      <w:marBottom w:val="0"/>
      <w:divBdr>
        <w:top w:val="none" w:sz="0" w:space="0" w:color="auto"/>
        <w:left w:val="none" w:sz="0" w:space="0" w:color="auto"/>
        <w:bottom w:val="none" w:sz="0" w:space="0" w:color="auto"/>
        <w:right w:val="none" w:sz="0" w:space="0" w:color="auto"/>
      </w:divBdr>
    </w:div>
    <w:div w:id="1525090686">
      <w:marLeft w:val="0"/>
      <w:marRight w:val="0"/>
      <w:marTop w:val="0"/>
      <w:marBottom w:val="0"/>
      <w:divBdr>
        <w:top w:val="none" w:sz="0" w:space="0" w:color="auto"/>
        <w:left w:val="none" w:sz="0" w:space="0" w:color="auto"/>
        <w:bottom w:val="none" w:sz="0" w:space="0" w:color="auto"/>
        <w:right w:val="none" w:sz="0" w:space="0" w:color="auto"/>
      </w:divBdr>
    </w:div>
    <w:div w:id="1525090687">
      <w:marLeft w:val="0"/>
      <w:marRight w:val="0"/>
      <w:marTop w:val="0"/>
      <w:marBottom w:val="0"/>
      <w:divBdr>
        <w:top w:val="none" w:sz="0" w:space="0" w:color="auto"/>
        <w:left w:val="none" w:sz="0" w:space="0" w:color="auto"/>
        <w:bottom w:val="none" w:sz="0" w:space="0" w:color="auto"/>
        <w:right w:val="none" w:sz="0" w:space="0" w:color="auto"/>
      </w:divBdr>
    </w:div>
    <w:div w:id="1525090688">
      <w:marLeft w:val="0"/>
      <w:marRight w:val="0"/>
      <w:marTop w:val="0"/>
      <w:marBottom w:val="0"/>
      <w:divBdr>
        <w:top w:val="none" w:sz="0" w:space="0" w:color="auto"/>
        <w:left w:val="none" w:sz="0" w:space="0" w:color="auto"/>
        <w:bottom w:val="none" w:sz="0" w:space="0" w:color="auto"/>
        <w:right w:val="none" w:sz="0" w:space="0" w:color="auto"/>
      </w:divBdr>
    </w:div>
    <w:div w:id="1525090689">
      <w:marLeft w:val="0"/>
      <w:marRight w:val="0"/>
      <w:marTop w:val="0"/>
      <w:marBottom w:val="0"/>
      <w:divBdr>
        <w:top w:val="none" w:sz="0" w:space="0" w:color="auto"/>
        <w:left w:val="none" w:sz="0" w:space="0" w:color="auto"/>
        <w:bottom w:val="none" w:sz="0" w:space="0" w:color="auto"/>
        <w:right w:val="none" w:sz="0" w:space="0" w:color="auto"/>
      </w:divBdr>
    </w:div>
    <w:div w:id="1525090690">
      <w:marLeft w:val="0"/>
      <w:marRight w:val="0"/>
      <w:marTop w:val="0"/>
      <w:marBottom w:val="0"/>
      <w:divBdr>
        <w:top w:val="none" w:sz="0" w:space="0" w:color="auto"/>
        <w:left w:val="none" w:sz="0" w:space="0" w:color="auto"/>
        <w:bottom w:val="none" w:sz="0" w:space="0" w:color="auto"/>
        <w:right w:val="none" w:sz="0" w:space="0" w:color="auto"/>
      </w:divBdr>
    </w:div>
    <w:div w:id="1525090691">
      <w:marLeft w:val="0"/>
      <w:marRight w:val="0"/>
      <w:marTop w:val="0"/>
      <w:marBottom w:val="0"/>
      <w:divBdr>
        <w:top w:val="none" w:sz="0" w:space="0" w:color="auto"/>
        <w:left w:val="none" w:sz="0" w:space="0" w:color="auto"/>
        <w:bottom w:val="none" w:sz="0" w:space="0" w:color="auto"/>
        <w:right w:val="none" w:sz="0" w:space="0" w:color="auto"/>
      </w:divBdr>
    </w:div>
    <w:div w:id="1525090692">
      <w:marLeft w:val="0"/>
      <w:marRight w:val="0"/>
      <w:marTop w:val="0"/>
      <w:marBottom w:val="0"/>
      <w:divBdr>
        <w:top w:val="none" w:sz="0" w:space="0" w:color="auto"/>
        <w:left w:val="none" w:sz="0" w:space="0" w:color="auto"/>
        <w:bottom w:val="none" w:sz="0" w:space="0" w:color="auto"/>
        <w:right w:val="none" w:sz="0" w:space="0" w:color="auto"/>
      </w:divBdr>
    </w:div>
    <w:div w:id="1525090693">
      <w:marLeft w:val="0"/>
      <w:marRight w:val="0"/>
      <w:marTop w:val="0"/>
      <w:marBottom w:val="0"/>
      <w:divBdr>
        <w:top w:val="none" w:sz="0" w:space="0" w:color="auto"/>
        <w:left w:val="none" w:sz="0" w:space="0" w:color="auto"/>
        <w:bottom w:val="none" w:sz="0" w:space="0" w:color="auto"/>
        <w:right w:val="none" w:sz="0" w:space="0" w:color="auto"/>
      </w:divBdr>
      <w:divsChild>
        <w:div w:id="1525090710">
          <w:marLeft w:val="0"/>
          <w:marRight w:val="0"/>
          <w:marTop w:val="240"/>
          <w:marBottom w:val="100"/>
          <w:divBdr>
            <w:top w:val="none" w:sz="0" w:space="0" w:color="auto"/>
            <w:left w:val="none" w:sz="0" w:space="0" w:color="auto"/>
            <w:bottom w:val="none" w:sz="0" w:space="0" w:color="auto"/>
            <w:right w:val="none" w:sz="0" w:space="0" w:color="auto"/>
          </w:divBdr>
          <w:divsChild>
            <w:div w:id="15250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0694">
      <w:marLeft w:val="0"/>
      <w:marRight w:val="0"/>
      <w:marTop w:val="0"/>
      <w:marBottom w:val="0"/>
      <w:divBdr>
        <w:top w:val="none" w:sz="0" w:space="0" w:color="auto"/>
        <w:left w:val="none" w:sz="0" w:space="0" w:color="auto"/>
        <w:bottom w:val="none" w:sz="0" w:space="0" w:color="auto"/>
        <w:right w:val="none" w:sz="0" w:space="0" w:color="auto"/>
      </w:divBdr>
    </w:div>
    <w:div w:id="1525090695">
      <w:marLeft w:val="0"/>
      <w:marRight w:val="0"/>
      <w:marTop w:val="0"/>
      <w:marBottom w:val="0"/>
      <w:divBdr>
        <w:top w:val="none" w:sz="0" w:space="0" w:color="auto"/>
        <w:left w:val="none" w:sz="0" w:space="0" w:color="auto"/>
        <w:bottom w:val="none" w:sz="0" w:space="0" w:color="auto"/>
        <w:right w:val="none" w:sz="0" w:space="0" w:color="auto"/>
      </w:divBdr>
    </w:div>
    <w:div w:id="1525090696">
      <w:marLeft w:val="0"/>
      <w:marRight w:val="0"/>
      <w:marTop w:val="0"/>
      <w:marBottom w:val="0"/>
      <w:divBdr>
        <w:top w:val="none" w:sz="0" w:space="0" w:color="auto"/>
        <w:left w:val="none" w:sz="0" w:space="0" w:color="auto"/>
        <w:bottom w:val="none" w:sz="0" w:space="0" w:color="auto"/>
        <w:right w:val="none" w:sz="0" w:space="0" w:color="auto"/>
      </w:divBdr>
    </w:div>
    <w:div w:id="1525090697">
      <w:marLeft w:val="0"/>
      <w:marRight w:val="0"/>
      <w:marTop w:val="0"/>
      <w:marBottom w:val="0"/>
      <w:divBdr>
        <w:top w:val="none" w:sz="0" w:space="0" w:color="auto"/>
        <w:left w:val="none" w:sz="0" w:space="0" w:color="auto"/>
        <w:bottom w:val="none" w:sz="0" w:space="0" w:color="auto"/>
        <w:right w:val="none" w:sz="0" w:space="0" w:color="auto"/>
      </w:divBdr>
    </w:div>
    <w:div w:id="1525090698">
      <w:marLeft w:val="0"/>
      <w:marRight w:val="0"/>
      <w:marTop w:val="0"/>
      <w:marBottom w:val="0"/>
      <w:divBdr>
        <w:top w:val="none" w:sz="0" w:space="0" w:color="auto"/>
        <w:left w:val="none" w:sz="0" w:space="0" w:color="auto"/>
        <w:bottom w:val="none" w:sz="0" w:space="0" w:color="auto"/>
        <w:right w:val="none" w:sz="0" w:space="0" w:color="auto"/>
      </w:divBdr>
    </w:div>
    <w:div w:id="1525090699">
      <w:marLeft w:val="0"/>
      <w:marRight w:val="0"/>
      <w:marTop w:val="0"/>
      <w:marBottom w:val="0"/>
      <w:divBdr>
        <w:top w:val="none" w:sz="0" w:space="0" w:color="auto"/>
        <w:left w:val="none" w:sz="0" w:space="0" w:color="auto"/>
        <w:bottom w:val="none" w:sz="0" w:space="0" w:color="auto"/>
        <w:right w:val="none" w:sz="0" w:space="0" w:color="auto"/>
      </w:divBdr>
    </w:div>
    <w:div w:id="1525090700">
      <w:marLeft w:val="0"/>
      <w:marRight w:val="0"/>
      <w:marTop w:val="0"/>
      <w:marBottom w:val="0"/>
      <w:divBdr>
        <w:top w:val="none" w:sz="0" w:space="0" w:color="auto"/>
        <w:left w:val="none" w:sz="0" w:space="0" w:color="auto"/>
        <w:bottom w:val="none" w:sz="0" w:space="0" w:color="auto"/>
        <w:right w:val="none" w:sz="0" w:space="0" w:color="auto"/>
      </w:divBdr>
    </w:div>
    <w:div w:id="1525090701">
      <w:marLeft w:val="0"/>
      <w:marRight w:val="0"/>
      <w:marTop w:val="0"/>
      <w:marBottom w:val="0"/>
      <w:divBdr>
        <w:top w:val="none" w:sz="0" w:space="0" w:color="auto"/>
        <w:left w:val="none" w:sz="0" w:space="0" w:color="auto"/>
        <w:bottom w:val="none" w:sz="0" w:space="0" w:color="auto"/>
        <w:right w:val="none" w:sz="0" w:space="0" w:color="auto"/>
      </w:divBdr>
    </w:div>
    <w:div w:id="1525090702">
      <w:marLeft w:val="0"/>
      <w:marRight w:val="0"/>
      <w:marTop w:val="0"/>
      <w:marBottom w:val="0"/>
      <w:divBdr>
        <w:top w:val="none" w:sz="0" w:space="0" w:color="auto"/>
        <w:left w:val="none" w:sz="0" w:space="0" w:color="auto"/>
        <w:bottom w:val="none" w:sz="0" w:space="0" w:color="auto"/>
        <w:right w:val="none" w:sz="0" w:space="0" w:color="auto"/>
      </w:divBdr>
    </w:div>
    <w:div w:id="1525090703">
      <w:marLeft w:val="0"/>
      <w:marRight w:val="0"/>
      <w:marTop w:val="0"/>
      <w:marBottom w:val="0"/>
      <w:divBdr>
        <w:top w:val="none" w:sz="0" w:space="0" w:color="auto"/>
        <w:left w:val="none" w:sz="0" w:space="0" w:color="auto"/>
        <w:bottom w:val="none" w:sz="0" w:space="0" w:color="auto"/>
        <w:right w:val="none" w:sz="0" w:space="0" w:color="auto"/>
      </w:divBdr>
    </w:div>
    <w:div w:id="1525090705">
      <w:marLeft w:val="0"/>
      <w:marRight w:val="0"/>
      <w:marTop w:val="0"/>
      <w:marBottom w:val="0"/>
      <w:divBdr>
        <w:top w:val="none" w:sz="0" w:space="0" w:color="auto"/>
        <w:left w:val="none" w:sz="0" w:space="0" w:color="auto"/>
        <w:bottom w:val="none" w:sz="0" w:space="0" w:color="auto"/>
        <w:right w:val="none" w:sz="0" w:space="0" w:color="auto"/>
      </w:divBdr>
    </w:div>
    <w:div w:id="1525090706">
      <w:marLeft w:val="0"/>
      <w:marRight w:val="0"/>
      <w:marTop w:val="0"/>
      <w:marBottom w:val="0"/>
      <w:divBdr>
        <w:top w:val="none" w:sz="0" w:space="0" w:color="auto"/>
        <w:left w:val="none" w:sz="0" w:space="0" w:color="auto"/>
        <w:bottom w:val="none" w:sz="0" w:space="0" w:color="auto"/>
        <w:right w:val="none" w:sz="0" w:space="0" w:color="auto"/>
      </w:divBdr>
    </w:div>
    <w:div w:id="1525090707">
      <w:marLeft w:val="0"/>
      <w:marRight w:val="0"/>
      <w:marTop w:val="0"/>
      <w:marBottom w:val="0"/>
      <w:divBdr>
        <w:top w:val="none" w:sz="0" w:space="0" w:color="auto"/>
        <w:left w:val="none" w:sz="0" w:space="0" w:color="auto"/>
        <w:bottom w:val="none" w:sz="0" w:space="0" w:color="auto"/>
        <w:right w:val="none" w:sz="0" w:space="0" w:color="auto"/>
      </w:divBdr>
    </w:div>
    <w:div w:id="1525090709">
      <w:marLeft w:val="0"/>
      <w:marRight w:val="0"/>
      <w:marTop w:val="0"/>
      <w:marBottom w:val="0"/>
      <w:divBdr>
        <w:top w:val="none" w:sz="0" w:space="0" w:color="auto"/>
        <w:left w:val="none" w:sz="0" w:space="0" w:color="auto"/>
        <w:bottom w:val="none" w:sz="0" w:space="0" w:color="auto"/>
        <w:right w:val="none" w:sz="0" w:space="0" w:color="auto"/>
      </w:divBdr>
    </w:div>
    <w:div w:id="1525090711">
      <w:marLeft w:val="0"/>
      <w:marRight w:val="0"/>
      <w:marTop w:val="0"/>
      <w:marBottom w:val="0"/>
      <w:divBdr>
        <w:top w:val="none" w:sz="0" w:space="0" w:color="auto"/>
        <w:left w:val="none" w:sz="0" w:space="0" w:color="auto"/>
        <w:bottom w:val="none" w:sz="0" w:space="0" w:color="auto"/>
        <w:right w:val="none" w:sz="0" w:space="0" w:color="auto"/>
      </w:divBdr>
    </w:div>
    <w:div w:id="1525090712">
      <w:marLeft w:val="0"/>
      <w:marRight w:val="0"/>
      <w:marTop w:val="0"/>
      <w:marBottom w:val="0"/>
      <w:divBdr>
        <w:top w:val="none" w:sz="0" w:space="0" w:color="auto"/>
        <w:left w:val="none" w:sz="0" w:space="0" w:color="auto"/>
        <w:bottom w:val="none" w:sz="0" w:space="0" w:color="auto"/>
        <w:right w:val="none" w:sz="0" w:space="0" w:color="auto"/>
      </w:divBdr>
    </w:div>
    <w:div w:id="1525090713">
      <w:marLeft w:val="0"/>
      <w:marRight w:val="0"/>
      <w:marTop w:val="0"/>
      <w:marBottom w:val="0"/>
      <w:divBdr>
        <w:top w:val="none" w:sz="0" w:space="0" w:color="auto"/>
        <w:left w:val="none" w:sz="0" w:space="0" w:color="auto"/>
        <w:bottom w:val="none" w:sz="0" w:space="0" w:color="auto"/>
        <w:right w:val="none" w:sz="0" w:space="0" w:color="auto"/>
      </w:divBdr>
    </w:div>
    <w:div w:id="1525090714">
      <w:marLeft w:val="0"/>
      <w:marRight w:val="0"/>
      <w:marTop w:val="0"/>
      <w:marBottom w:val="0"/>
      <w:divBdr>
        <w:top w:val="none" w:sz="0" w:space="0" w:color="auto"/>
        <w:left w:val="none" w:sz="0" w:space="0" w:color="auto"/>
        <w:bottom w:val="none" w:sz="0" w:space="0" w:color="auto"/>
        <w:right w:val="none" w:sz="0" w:space="0" w:color="auto"/>
      </w:divBdr>
    </w:div>
    <w:div w:id="1525090715">
      <w:marLeft w:val="0"/>
      <w:marRight w:val="0"/>
      <w:marTop w:val="0"/>
      <w:marBottom w:val="0"/>
      <w:divBdr>
        <w:top w:val="none" w:sz="0" w:space="0" w:color="auto"/>
        <w:left w:val="none" w:sz="0" w:space="0" w:color="auto"/>
        <w:bottom w:val="none" w:sz="0" w:space="0" w:color="auto"/>
        <w:right w:val="none" w:sz="0" w:space="0" w:color="auto"/>
      </w:divBdr>
    </w:div>
    <w:div w:id="1525090716">
      <w:marLeft w:val="0"/>
      <w:marRight w:val="0"/>
      <w:marTop w:val="0"/>
      <w:marBottom w:val="0"/>
      <w:divBdr>
        <w:top w:val="none" w:sz="0" w:space="0" w:color="auto"/>
        <w:left w:val="none" w:sz="0" w:space="0" w:color="auto"/>
        <w:bottom w:val="none" w:sz="0" w:space="0" w:color="auto"/>
        <w:right w:val="none" w:sz="0" w:space="0" w:color="auto"/>
      </w:divBdr>
    </w:div>
    <w:div w:id="1525090717">
      <w:marLeft w:val="0"/>
      <w:marRight w:val="0"/>
      <w:marTop w:val="0"/>
      <w:marBottom w:val="0"/>
      <w:divBdr>
        <w:top w:val="none" w:sz="0" w:space="0" w:color="auto"/>
        <w:left w:val="none" w:sz="0" w:space="0" w:color="auto"/>
        <w:bottom w:val="none" w:sz="0" w:space="0" w:color="auto"/>
        <w:right w:val="none" w:sz="0" w:space="0" w:color="auto"/>
      </w:divBdr>
      <w:divsChild>
        <w:div w:id="1525090708">
          <w:marLeft w:val="0"/>
          <w:marRight w:val="0"/>
          <w:marTop w:val="0"/>
          <w:marBottom w:val="0"/>
          <w:divBdr>
            <w:top w:val="none" w:sz="0" w:space="0" w:color="auto"/>
            <w:left w:val="none" w:sz="0" w:space="0" w:color="auto"/>
            <w:bottom w:val="none" w:sz="0" w:space="0" w:color="auto"/>
            <w:right w:val="none" w:sz="0" w:space="0" w:color="auto"/>
          </w:divBdr>
        </w:div>
        <w:div w:id="1525090728">
          <w:marLeft w:val="0"/>
          <w:marRight w:val="0"/>
          <w:marTop w:val="0"/>
          <w:marBottom w:val="0"/>
          <w:divBdr>
            <w:top w:val="none" w:sz="0" w:space="0" w:color="auto"/>
            <w:left w:val="none" w:sz="0" w:space="0" w:color="auto"/>
            <w:bottom w:val="none" w:sz="0" w:space="0" w:color="auto"/>
            <w:right w:val="none" w:sz="0" w:space="0" w:color="auto"/>
          </w:divBdr>
        </w:div>
      </w:divsChild>
    </w:div>
    <w:div w:id="1525090718">
      <w:marLeft w:val="0"/>
      <w:marRight w:val="0"/>
      <w:marTop w:val="0"/>
      <w:marBottom w:val="0"/>
      <w:divBdr>
        <w:top w:val="none" w:sz="0" w:space="0" w:color="auto"/>
        <w:left w:val="none" w:sz="0" w:space="0" w:color="auto"/>
        <w:bottom w:val="none" w:sz="0" w:space="0" w:color="auto"/>
        <w:right w:val="none" w:sz="0" w:space="0" w:color="auto"/>
      </w:divBdr>
    </w:div>
    <w:div w:id="1525090719">
      <w:marLeft w:val="0"/>
      <w:marRight w:val="0"/>
      <w:marTop w:val="0"/>
      <w:marBottom w:val="0"/>
      <w:divBdr>
        <w:top w:val="none" w:sz="0" w:space="0" w:color="auto"/>
        <w:left w:val="none" w:sz="0" w:space="0" w:color="auto"/>
        <w:bottom w:val="none" w:sz="0" w:space="0" w:color="auto"/>
        <w:right w:val="none" w:sz="0" w:space="0" w:color="auto"/>
      </w:divBdr>
    </w:div>
    <w:div w:id="1525090720">
      <w:marLeft w:val="0"/>
      <w:marRight w:val="0"/>
      <w:marTop w:val="0"/>
      <w:marBottom w:val="0"/>
      <w:divBdr>
        <w:top w:val="none" w:sz="0" w:space="0" w:color="auto"/>
        <w:left w:val="none" w:sz="0" w:space="0" w:color="auto"/>
        <w:bottom w:val="none" w:sz="0" w:space="0" w:color="auto"/>
        <w:right w:val="none" w:sz="0" w:space="0" w:color="auto"/>
      </w:divBdr>
    </w:div>
    <w:div w:id="1525090721">
      <w:marLeft w:val="0"/>
      <w:marRight w:val="0"/>
      <w:marTop w:val="0"/>
      <w:marBottom w:val="0"/>
      <w:divBdr>
        <w:top w:val="none" w:sz="0" w:space="0" w:color="auto"/>
        <w:left w:val="none" w:sz="0" w:space="0" w:color="auto"/>
        <w:bottom w:val="none" w:sz="0" w:space="0" w:color="auto"/>
        <w:right w:val="none" w:sz="0" w:space="0" w:color="auto"/>
      </w:divBdr>
    </w:div>
    <w:div w:id="1525090722">
      <w:marLeft w:val="0"/>
      <w:marRight w:val="0"/>
      <w:marTop w:val="0"/>
      <w:marBottom w:val="0"/>
      <w:divBdr>
        <w:top w:val="none" w:sz="0" w:space="0" w:color="auto"/>
        <w:left w:val="none" w:sz="0" w:space="0" w:color="auto"/>
        <w:bottom w:val="none" w:sz="0" w:space="0" w:color="auto"/>
        <w:right w:val="none" w:sz="0" w:space="0" w:color="auto"/>
      </w:divBdr>
    </w:div>
    <w:div w:id="1525090723">
      <w:marLeft w:val="0"/>
      <w:marRight w:val="0"/>
      <w:marTop w:val="0"/>
      <w:marBottom w:val="0"/>
      <w:divBdr>
        <w:top w:val="none" w:sz="0" w:space="0" w:color="auto"/>
        <w:left w:val="none" w:sz="0" w:space="0" w:color="auto"/>
        <w:bottom w:val="none" w:sz="0" w:space="0" w:color="auto"/>
        <w:right w:val="none" w:sz="0" w:space="0" w:color="auto"/>
      </w:divBdr>
    </w:div>
    <w:div w:id="1525090724">
      <w:marLeft w:val="0"/>
      <w:marRight w:val="0"/>
      <w:marTop w:val="0"/>
      <w:marBottom w:val="0"/>
      <w:divBdr>
        <w:top w:val="none" w:sz="0" w:space="0" w:color="auto"/>
        <w:left w:val="none" w:sz="0" w:space="0" w:color="auto"/>
        <w:bottom w:val="none" w:sz="0" w:space="0" w:color="auto"/>
        <w:right w:val="none" w:sz="0" w:space="0" w:color="auto"/>
      </w:divBdr>
      <w:divsChild>
        <w:div w:id="1525090681">
          <w:marLeft w:val="0"/>
          <w:marRight w:val="0"/>
          <w:marTop w:val="240"/>
          <w:marBottom w:val="100"/>
          <w:divBdr>
            <w:top w:val="none" w:sz="0" w:space="0" w:color="auto"/>
            <w:left w:val="none" w:sz="0" w:space="0" w:color="auto"/>
            <w:bottom w:val="none" w:sz="0" w:space="0" w:color="auto"/>
            <w:right w:val="none" w:sz="0" w:space="0" w:color="auto"/>
          </w:divBdr>
          <w:divsChild>
            <w:div w:id="1525090675">
              <w:marLeft w:val="0"/>
              <w:marRight w:val="0"/>
              <w:marTop w:val="0"/>
              <w:marBottom w:val="0"/>
              <w:divBdr>
                <w:top w:val="none" w:sz="0" w:space="0" w:color="auto"/>
                <w:left w:val="none" w:sz="0" w:space="0" w:color="auto"/>
                <w:bottom w:val="none" w:sz="0" w:space="0" w:color="auto"/>
                <w:right w:val="none" w:sz="0" w:space="0" w:color="auto"/>
              </w:divBdr>
            </w:div>
          </w:divsChild>
        </w:div>
        <w:div w:id="1525090704">
          <w:marLeft w:val="0"/>
          <w:marRight w:val="0"/>
          <w:marTop w:val="264"/>
          <w:marBottom w:val="0"/>
          <w:divBdr>
            <w:top w:val="none" w:sz="0" w:space="0" w:color="auto"/>
            <w:left w:val="none" w:sz="0" w:space="0" w:color="auto"/>
            <w:bottom w:val="none" w:sz="0" w:space="0" w:color="auto"/>
            <w:right w:val="none" w:sz="0" w:space="0" w:color="auto"/>
          </w:divBdr>
        </w:div>
      </w:divsChild>
    </w:div>
    <w:div w:id="1525090725">
      <w:marLeft w:val="0"/>
      <w:marRight w:val="0"/>
      <w:marTop w:val="0"/>
      <w:marBottom w:val="0"/>
      <w:divBdr>
        <w:top w:val="none" w:sz="0" w:space="0" w:color="auto"/>
        <w:left w:val="none" w:sz="0" w:space="0" w:color="auto"/>
        <w:bottom w:val="none" w:sz="0" w:space="0" w:color="auto"/>
        <w:right w:val="none" w:sz="0" w:space="0" w:color="auto"/>
      </w:divBdr>
    </w:div>
    <w:div w:id="1525090726">
      <w:marLeft w:val="0"/>
      <w:marRight w:val="0"/>
      <w:marTop w:val="0"/>
      <w:marBottom w:val="0"/>
      <w:divBdr>
        <w:top w:val="none" w:sz="0" w:space="0" w:color="auto"/>
        <w:left w:val="none" w:sz="0" w:space="0" w:color="auto"/>
        <w:bottom w:val="none" w:sz="0" w:space="0" w:color="auto"/>
        <w:right w:val="none" w:sz="0" w:space="0" w:color="auto"/>
      </w:divBdr>
    </w:div>
    <w:div w:id="1525090727">
      <w:marLeft w:val="0"/>
      <w:marRight w:val="0"/>
      <w:marTop w:val="0"/>
      <w:marBottom w:val="0"/>
      <w:divBdr>
        <w:top w:val="none" w:sz="0" w:space="0" w:color="auto"/>
        <w:left w:val="none" w:sz="0" w:space="0" w:color="auto"/>
        <w:bottom w:val="none" w:sz="0" w:space="0" w:color="auto"/>
        <w:right w:val="none" w:sz="0" w:space="0" w:color="auto"/>
      </w:divBdr>
    </w:div>
    <w:div w:id="1525090729">
      <w:marLeft w:val="0"/>
      <w:marRight w:val="0"/>
      <w:marTop w:val="0"/>
      <w:marBottom w:val="0"/>
      <w:divBdr>
        <w:top w:val="none" w:sz="0" w:space="0" w:color="auto"/>
        <w:left w:val="none" w:sz="0" w:space="0" w:color="auto"/>
        <w:bottom w:val="none" w:sz="0" w:space="0" w:color="auto"/>
        <w:right w:val="none" w:sz="0" w:space="0" w:color="auto"/>
      </w:divBdr>
    </w:div>
    <w:div w:id="1525090730">
      <w:marLeft w:val="0"/>
      <w:marRight w:val="0"/>
      <w:marTop w:val="0"/>
      <w:marBottom w:val="0"/>
      <w:divBdr>
        <w:top w:val="none" w:sz="0" w:space="0" w:color="auto"/>
        <w:left w:val="none" w:sz="0" w:space="0" w:color="auto"/>
        <w:bottom w:val="none" w:sz="0" w:space="0" w:color="auto"/>
        <w:right w:val="none" w:sz="0" w:space="0" w:color="auto"/>
      </w:divBdr>
    </w:div>
    <w:div w:id="1525090731">
      <w:marLeft w:val="0"/>
      <w:marRight w:val="0"/>
      <w:marTop w:val="0"/>
      <w:marBottom w:val="0"/>
      <w:divBdr>
        <w:top w:val="none" w:sz="0" w:space="0" w:color="auto"/>
        <w:left w:val="none" w:sz="0" w:space="0" w:color="auto"/>
        <w:bottom w:val="none" w:sz="0" w:space="0" w:color="auto"/>
        <w:right w:val="none" w:sz="0" w:space="0" w:color="auto"/>
      </w:divBdr>
    </w:div>
    <w:div w:id="1525090732">
      <w:marLeft w:val="0"/>
      <w:marRight w:val="0"/>
      <w:marTop w:val="0"/>
      <w:marBottom w:val="0"/>
      <w:divBdr>
        <w:top w:val="none" w:sz="0" w:space="0" w:color="auto"/>
        <w:left w:val="none" w:sz="0" w:space="0" w:color="auto"/>
        <w:bottom w:val="none" w:sz="0" w:space="0" w:color="auto"/>
        <w:right w:val="none" w:sz="0" w:space="0" w:color="auto"/>
      </w:divBdr>
    </w:div>
    <w:div w:id="1525090733">
      <w:marLeft w:val="0"/>
      <w:marRight w:val="0"/>
      <w:marTop w:val="0"/>
      <w:marBottom w:val="0"/>
      <w:divBdr>
        <w:top w:val="none" w:sz="0" w:space="0" w:color="auto"/>
        <w:left w:val="none" w:sz="0" w:space="0" w:color="auto"/>
        <w:bottom w:val="none" w:sz="0" w:space="0" w:color="auto"/>
        <w:right w:val="none" w:sz="0" w:space="0" w:color="auto"/>
      </w:divBdr>
    </w:div>
    <w:div w:id="1525090734">
      <w:marLeft w:val="0"/>
      <w:marRight w:val="0"/>
      <w:marTop w:val="0"/>
      <w:marBottom w:val="0"/>
      <w:divBdr>
        <w:top w:val="none" w:sz="0" w:space="0" w:color="auto"/>
        <w:left w:val="none" w:sz="0" w:space="0" w:color="auto"/>
        <w:bottom w:val="none" w:sz="0" w:space="0" w:color="auto"/>
        <w:right w:val="none" w:sz="0" w:space="0" w:color="auto"/>
      </w:divBdr>
    </w:div>
    <w:div w:id="1525090735">
      <w:marLeft w:val="0"/>
      <w:marRight w:val="0"/>
      <w:marTop w:val="0"/>
      <w:marBottom w:val="0"/>
      <w:divBdr>
        <w:top w:val="none" w:sz="0" w:space="0" w:color="auto"/>
        <w:left w:val="none" w:sz="0" w:space="0" w:color="auto"/>
        <w:bottom w:val="none" w:sz="0" w:space="0" w:color="auto"/>
        <w:right w:val="none" w:sz="0" w:space="0" w:color="auto"/>
      </w:divBdr>
    </w:div>
    <w:div w:id="1525090736">
      <w:marLeft w:val="0"/>
      <w:marRight w:val="0"/>
      <w:marTop w:val="0"/>
      <w:marBottom w:val="0"/>
      <w:divBdr>
        <w:top w:val="none" w:sz="0" w:space="0" w:color="auto"/>
        <w:left w:val="none" w:sz="0" w:space="0" w:color="auto"/>
        <w:bottom w:val="none" w:sz="0" w:space="0" w:color="auto"/>
        <w:right w:val="none" w:sz="0" w:space="0" w:color="auto"/>
      </w:divBdr>
    </w:div>
    <w:div w:id="1525090737">
      <w:marLeft w:val="0"/>
      <w:marRight w:val="0"/>
      <w:marTop w:val="0"/>
      <w:marBottom w:val="0"/>
      <w:divBdr>
        <w:top w:val="none" w:sz="0" w:space="0" w:color="auto"/>
        <w:left w:val="none" w:sz="0" w:space="0" w:color="auto"/>
        <w:bottom w:val="none" w:sz="0" w:space="0" w:color="auto"/>
        <w:right w:val="none" w:sz="0" w:space="0" w:color="auto"/>
      </w:divBdr>
    </w:div>
    <w:div w:id="1525090738">
      <w:marLeft w:val="0"/>
      <w:marRight w:val="0"/>
      <w:marTop w:val="0"/>
      <w:marBottom w:val="0"/>
      <w:divBdr>
        <w:top w:val="none" w:sz="0" w:space="0" w:color="auto"/>
        <w:left w:val="none" w:sz="0" w:space="0" w:color="auto"/>
        <w:bottom w:val="none" w:sz="0" w:space="0" w:color="auto"/>
        <w:right w:val="none" w:sz="0" w:space="0" w:color="auto"/>
      </w:divBdr>
    </w:div>
    <w:div w:id="1525090739">
      <w:marLeft w:val="0"/>
      <w:marRight w:val="0"/>
      <w:marTop w:val="0"/>
      <w:marBottom w:val="0"/>
      <w:divBdr>
        <w:top w:val="none" w:sz="0" w:space="0" w:color="auto"/>
        <w:left w:val="none" w:sz="0" w:space="0" w:color="auto"/>
        <w:bottom w:val="none" w:sz="0" w:space="0" w:color="auto"/>
        <w:right w:val="none" w:sz="0" w:space="0" w:color="auto"/>
      </w:divBdr>
    </w:div>
    <w:div w:id="1525090740">
      <w:marLeft w:val="0"/>
      <w:marRight w:val="0"/>
      <w:marTop w:val="0"/>
      <w:marBottom w:val="0"/>
      <w:divBdr>
        <w:top w:val="none" w:sz="0" w:space="0" w:color="auto"/>
        <w:left w:val="none" w:sz="0" w:space="0" w:color="auto"/>
        <w:bottom w:val="none" w:sz="0" w:space="0" w:color="auto"/>
        <w:right w:val="none" w:sz="0" w:space="0" w:color="auto"/>
      </w:divBdr>
    </w:div>
    <w:div w:id="1525090741">
      <w:marLeft w:val="0"/>
      <w:marRight w:val="0"/>
      <w:marTop w:val="0"/>
      <w:marBottom w:val="0"/>
      <w:divBdr>
        <w:top w:val="none" w:sz="0" w:space="0" w:color="auto"/>
        <w:left w:val="none" w:sz="0" w:space="0" w:color="auto"/>
        <w:bottom w:val="none" w:sz="0" w:space="0" w:color="auto"/>
        <w:right w:val="none" w:sz="0" w:space="0" w:color="auto"/>
      </w:divBdr>
    </w:div>
    <w:div w:id="1525090750">
      <w:marLeft w:val="0"/>
      <w:marRight w:val="0"/>
      <w:marTop w:val="0"/>
      <w:marBottom w:val="0"/>
      <w:divBdr>
        <w:top w:val="none" w:sz="0" w:space="0" w:color="auto"/>
        <w:left w:val="none" w:sz="0" w:space="0" w:color="auto"/>
        <w:bottom w:val="none" w:sz="0" w:space="0" w:color="auto"/>
        <w:right w:val="none" w:sz="0" w:space="0" w:color="auto"/>
      </w:divBdr>
      <w:divsChild>
        <w:div w:id="1525090745">
          <w:marLeft w:val="0"/>
          <w:marRight w:val="0"/>
          <w:marTop w:val="0"/>
          <w:marBottom w:val="0"/>
          <w:divBdr>
            <w:top w:val="none" w:sz="0" w:space="0" w:color="auto"/>
            <w:left w:val="none" w:sz="0" w:space="0" w:color="auto"/>
            <w:bottom w:val="none" w:sz="0" w:space="0" w:color="auto"/>
            <w:right w:val="none" w:sz="0" w:space="0" w:color="auto"/>
          </w:divBdr>
          <w:divsChild>
            <w:div w:id="1525090744">
              <w:marLeft w:val="0"/>
              <w:marRight w:val="0"/>
              <w:marTop w:val="0"/>
              <w:marBottom w:val="0"/>
              <w:divBdr>
                <w:top w:val="none" w:sz="0" w:space="0" w:color="auto"/>
                <w:left w:val="none" w:sz="0" w:space="0" w:color="auto"/>
                <w:bottom w:val="none" w:sz="0" w:space="0" w:color="auto"/>
                <w:right w:val="none" w:sz="0" w:space="0" w:color="auto"/>
              </w:divBdr>
            </w:div>
            <w:div w:id="1525090748">
              <w:marLeft w:val="0"/>
              <w:marRight w:val="0"/>
              <w:marTop w:val="0"/>
              <w:marBottom w:val="0"/>
              <w:divBdr>
                <w:top w:val="none" w:sz="0" w:space="0" w:color="auto"/>
                <w:left w:val="none" w:sz="0" w:space="0" w:color="auto"/>
                <w:bottom w:val="none" w:sz="0" w:space="0" w:color="auto"/>
                <w:right w:val="none" w:sz="0" w:space="0" w:color="auto"/>
              </w:divBdr>
            </w:div>
            <w:div w:id="15250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0751">
      <w:marLeft w:val="0"/>
      <w:marRight w:val="0"/>
      <w:marTop w:val="0"/>
      <w:marBottom w:val="0"/>
      <w:divBdr>
        <w:top w:val="none" w:sz="0" w:space="0" w:color="auto"/>
        <w:left w:val="none" w:sz="0" w:space="0" w:color="auto"/>
        <w:bottom w:val="none" w:sz="0" w:space="0" w:color="auto"/>
        <w:right w:val="none" w:sz="0" w:space="0" w:color="auto"/>
      </w:divBdr>
      <w:divsChild>
        <w:div w:id="1525090746">
          <w:marLeft w:val="0"/>
          <w:marRight w:val="0"/>
          <w:marTop w:val="0"/>
          <w:marBottom w:val="0"/>
          <w:divBdr>
            <w:top w:val="none" w:sz="0" w:space="0" w:color="auto"/>
            <w:left w:val="none" w:sz="0" w:space="0" w:color="auto"/>
            <w:bottom w:val="none" w:sz="0" w:space="0" w:color="auto"/>
            <w:right w:val="none" w:sz="0" w:space="0" w:color="auto"/>
          </w:divBdr>
          <w:divsChild>
            <w:div w:id="1525090742">
              <w:marLeft w:val="0"/>
              <w:marRight w:val="0"/>
              <w:marTop w:val="0"/>
              <w:marBottom w:val="0"/>
              <w:divBdr>
                <w:top w:val="none" w:sz="0" w:space="0" w:color="auto"/>
                <w:left w:val="none" w:sz="0" w:space="0" w:color="auto"/>
                <w:bottom w:val="none" w:sz="0" w:space="0" w:color="auto"/>
                <w:right w:val="none" w:sz="0" w:space="0" w:color="auto"/>
              </w:divBdr>
            </w:div>
            <w:div w:id="1525090743">
              <w:marLeft w:val="0"/>
              <w:marRight w:val="0"/>
              <w:marTop w:val="0"/>
              <w:marBottom w:val="0"/>
              <w:divBdr>
                <w:top w:val="none" w:sz="0" w:space="0" w:color="auto"/>
                <w:left w:val="none" w:sz="0" w:space="0" w:color="auto"/>
                <w:bottom w:val="none" w:sz="0" w:space="0" w:color="auto"/>
                <w:right w:val="none" w:sz="0" w:space="0" w:color="auto"/>
              </w:divBdr>
            </w:div>
            <w:div w:id="15250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1668">
      <w:bodyDiv w:val="1"/>
      <w:marLeft w:val="0"/>
      <w:marRight w:val="0"/>
      <w:marTop w:val="0"/>
      <w:marBottom w:val="0"/>
      <w:divBdr>
        <w:top w:val="none" w:sz="0" w:space="0" w:color="auto"/>
        <w:left w:val="none" w:sz="0" w:space="0" w:color="auto"/>
        <w:bottom w:val="none" w:sz="0" w:space="0" w:color="auto"/>
        <w:right w:val="none" w:sz="0" w:space="0" w:color="auto"/>
      </w:divBdr>
    </w:div>
    <w:div w:id="1572545629">
      <w:bodyDiv w:val="1"/>
      <w:marLeft w:val="0"/>
      <w:marRight w:val="0"/>
      <w:marTop w:val="0"/>
      <w:marBottom w:val="0"/>
      <w:divBdr>
        <w:top w:val="none" w:sz="0" w:space="0" w:color="auto"/>
        <w:left w:val="none" w:sz="0" w:space="0" w:color="auto"/>
        <w:bottom w:val="none" w:sz="0" w:space="0" w:color="auto"/>
        <w:right w:val="none" w:sz="0" w:space="0" w:color="auto"/>
      </w:divBdr>
    </w:div>
    <w:div w:id="1574125295">
      <w:bodyDiv w:val="1"/>
      <w:marLeft w:val="0"/>
      <w:marRight w:val="0"/>
      <w:marTop w:val="0"/>
      <w:marBottom w:val="0"/>
      <w:divBdr>
        <w:top w:val="none" w:sz="0" w:space="0" w:color="auto"/>
        <w:left w:val="none" w:sz="0" w:space="0" w:color="auto"/>
        <w:bottom w:val="none" w:sz="0" w:space="0" w:color="auto"/>
        <w:right w:val="none" w:sz="0" w:space="0" w:color="auto"/>
      </w:divBdr>
    </w:div>
    <w:div w:id="1592853209">
      <w:bodyDiv w:val="1"/>
      <w:marLeft w:val="0"/>
      <w:marRight w:val="0"/>
      <w:marTop w:val="0"/>
      <w:marBottom w:val="0"/>
      <w:divBdr>
        <w:top w:val="none" w:sz="0" w:space="0" w:color="auto"/>
        <w:left w:val="none" w:sz="0" w:space="0" w:color="auto"/>
        <w:bottom w:val="none" w:sz="0" w:space="0" w:color="auto"/>
        <w:right w:val="none" w:sz="0" w:space="0" w:color="auto"/>
      </w:divBdr>
    </w:div>
    <w:div w:id="1605306477">
      <w:bodyDiv w:val="1"/>
      <w:marLeft w:val="0"/>
      <w:marRight w:val="0"/>
      <w:marTop w:val="0"/>
      <w:marBottom w:val="0"/>
      <w:divBdr>
        <w:top w:val="none" w:sz="0" w:space="0" w:color="auto"/>
        <w:left w:val="none" w:sz="0" w:space="0" w:color="auto"/>
        <w:bottom w:val="none" w:sz="0" w:space="0" w:color="auto"/>
        <w:right w:val="none" w:sz="0" w:space="0" w:color="auto"/>
      </w:divBdr>
    </w:div>
    <w:div w:id="1613320242">
      <w:bodyDiv w:val="1"/>
      <w:marLeft w:val="0"/>
      <w:marRight w:val="0"/>
      <w:marTop w:val="0"/>
      <w:marBottom w:val="0"/>
      <w:divBdr>
        <w:top w:val="none" w:sz="0" w:space="0" w:color="auto"/>
        <w:left w:val="none" w:sz="0" w:space="0" w:color="auto"/>
        <w:bottom w:val="none" w:sz="0" w:space="0" w:color="auto"/>
        <w:right w:val="none" w:sz="0" w:space="0" w:color="auto"/>
      </w:divBdr>
    </w:div>
    <w:div w:id="1622809262">
      <w:bodyDiv w:val="1"/>
      <w:marLeft w:val="0"/>
      <w:marRight w:val="0"/>
      <w:marTop w:val="0"/>
      <w:marBottom w:val="0"/>
      <w:divBdr>
        <w:top w:val="none" w:sz="0" w:space="0" w:color="auto"/>
        <w:left w:val="none" w:sz="0" w:space="0" w:color="auto"/>
        <w:bottom w:val="none" w:sz="0" w:space="0" w:color="auto"/>
        <w:right w:val="none" w:sz="0" w:space="0" w:color="auto"/>
      </w:divBdr>
    </w:div>
    <w:div w:id="1642074963">
      <w:bodyDiv w:val="1"/>
      <w:marLeft w:val="0"/>
      <w:marRight w:val="0"/>
      <w:marTop w:val="0"/>
      <w:marBottom w:val="0"/>
      <w:divBdr>
        <w:top w:val="none" w:sz="0" w:space="0" w:color="auto"/>
        <w:left w:val="none" w:sz="0" w:space="0" w:color="auto"/>
        <w:bottom w:val="none" w:sz="0" w:space="0" w:color="auto"/>
        <w:right w:val="none" w:sz="0" w:space="0" w:color="auto"/>
      </w:divBdr>
    </w:div>
    <w:div w:id="1649088914">
      <w:bodyDiv w:val="1"/>
      <w:marLeft w:val="0"/>
      <w:marRight w:val="0"/>
      <w:marTop w:val="0"/>
      <w:marBottom w:val="0"/>
      <w:divBdr>
        <w:top w:val="none" w:sz="0" w:space="0" w:color="auto"/>
        <w:left w:val="none" w:sz="0" w:space="0" w:color="auto"/>
        <w:bottom w:val="none" w:sz="0" w:space="0" w:color="auto"/>
        <w:right w:val="none" w:sz="0" w:space="0" w:color="auto"/>
      </w:divBdr>
    </w:div>
    <w:div w:id="1655182494">
      <w:bodyDiv w:val="1"/>
      <w:marLeft w:val="0"/>
      <w:marRight w:val="0"/>
      <w:marTop w:val="0"/>
      <w:marBottom w:val="0"/>
      <w:divBdr>
        <w:top w:val="none" w:sz="0" w:space="0" w:color="auto"/>
        <w:left w:val="none" w:sz="0" w:space="0" w:color="auto"/>
        <w:bottom w:val="none" w:sz="0" w:space="0" w:color="auto"/>
        <w:right w:val="none" w:sz="0" w:space="0" w:color="auto"/>
      </w:divBdr>
    </w:div>
    <w:div w:id="1667125326">
      <w:bodyDiv w:val="1"/>
      <w:marLeft w:val="0"/>
      <w:marRight w:val="0"/>
      <w:marTop w:val="0"/>
      <w:marBottom w:val="0"/>
      <w:divBdr>
        <w:top w:val="none" w:sz="0" w:space="0" w:color="auto"/>
        <w:left w:val="none" w:sz="0" w:space="0" w:color="auto"/>
        <w:bottom w:val="none" w:sz="0" w:space="0" w:color="auto"/>
        <w:right w:val="none" w:sz="0" w:space="0" w:color="auto"/>
      </w:divBdr>
    </w:div>
    <w:div w:id="1717850326">
      <w:bodyDiv w:val="1"/>
      <w:marLeft w:val="0"/>
      <w:marRight w:val="0"/>
      <w:marTop w:val="0"/>
      <w:marBottom w:val="0"/>
      <w:divBdr>
        <w:top w:val="none" w:sz="0" w:space="0" w:color="auto"/>
        <w:left w:val="none" w:sz="0" w:space="0" w:color="auto"/>
        <w:bottom w:val="none" w:sz="0" w:space="0" w:color="auto"/>
        <w:right w:val="none" w:sz="0" w:space="0" w:color="auto"/>
      </w:divBdr>
    </w:div>
    <w:div w:id="1729843631">
      <w:bodyDiv w:val="1"/>
      <w:marLeft w:val="0"/>
      <w:marRight w:val="0"/>
      <w:marTop w:val="0"/>
      <w:marBottom w:val="0"/>
      <w:divBdr>
        <w:top w:val="none" w:sz="0" w:space="0" w:color="auto"/>
        <w:left w:val="none" w:sz="0" w:space="0" w:color="auto"/>
        <w:bottom w:val="none" w:sz="0" w:space="0" w:color="auto"/>
        <w:right w:val="none" w:sz="0" w:space="0" w:color="auto"/>
      </w:divBdr>
    </w:div>
    <w:div w:id="1745031790">
      <w:bodyDiv w:val="1"/>
      <w:marLeft w:val="0"/>
      <w:marRight w:val="0"/>
      <w:marTop w:val="0"/>
      <w:marBottom w:val="0"/>
      <w:divBdr>
        <w:top w:val="none" w:sz="0" w:space="0" w:color="auto"/>
        <w:left w:val="none" w:sz="0" w:space="0" w:color="auto"/>
        <w:bottom w:val="none" w:sz="0" w:space="0" w:color="auto"/>
        <w:right w:val="none" w:sz="0" w:space="0" w:color="auto"/>
      </w:divBdr>
    </w:div>
    <w:div w:id="1759062370">
      <w:bodyDiv w:val="1"/>
      <w:marLeft w:val="0"/>
      <w:marRight w:val="0"/>
      <w:marTop w:val="0"/>
      <w:marBottom w:val="0"/>
      <w:divBdr>
        <w:top w:val="none" w:sz="0" w:space="0" w:color="auto"/>
        <w:left w:val="none" w:sz="0" w:space="0" w:color="auto"/>
        <w:bottom w:val="none" w:sz="0" w:space="0" w:color="auto"/>
        <w:right w:val="none" w:sz="0" w:space="0" w:color="auto"/>
      </w:divBdr>
    </w:div>
    <w:div w:id="1815440747">
      <w:bodyDiv w:val="1"/>
      <w:marLeft w:val="0"/>
      <w:marRight w:val="0"/>
      <w:marTop w:val="0"/>
      <w:marBottom w:val="0"/>
      <w:divBdr>
        <w:top w:val="none" w:sz="0" w:space="0" w:color="auto"/>
        <w:left w:val="none" w:sz="0" w:space="0" w:color="auto"/>
        <w:bottom w:val="none" w:sz="0" w:space="0" w:color="auto"/>
        <w:right w:val="none" w:sz="0" w:space="0" w:color="auto"/>
      </w:divBdr>
    </w:div>
    <w:div w:id="1821844621">
      <w:bodyDiv w:val="1"/>
      <w:marLeft w:val="0"/>
      <w:marRight w:val="0"/>
      <w:marTop w:val="0"/>
      <w:marBottom w:val="0"/>
      <w:divBdr>
        <w:top w:val="none" w:sz="0" w:space="0" w:color="auto"/>
        <w:left w:val="none" w:sz="0" w:space="0" w:color="auto"/>
        <w:bottom w:val="none" w:sz="0" w:space="0" w:color="auto"/>
        <w:right w:val="none" w:sz="0" w:space="0" w:color="auto"/>
      </w:divBdr>
    </w:div>
    <w:div w:id="1830826738">
      <w:bodyDiv w:val="1"/>
      <w:marLeft w:val="0"/>
      <w:marRight w:val="0"/>
      <w:marTop w:val="0"/>
      <w:marBottom w:val="0"/>
      <w:divBdr>
        <w:top w:val="none" w:sz="0" w:space="0" w:color="auto"/>
        <w:left w:val="none" w:sz="0" w:space="0" w:color="auto"/>
        <w:bottom w:val="none" w:sz="0" w:space="0" w:color="auto"/>
        <w:right w:val="none" w:sz="0" w:space="0" w:color="auto"/>
      </w:divBdr>
    </w:div>
    <w:div w:id="1831561063">
      <w:bodyDiv w:val="1"/>
      <w:marLeft w:val="0"/>
      <w:marRight w:val="0"/>
      <w:marTop w:val="0"/>
      <w:marBottom w:val="0"/>
      <w:divBdr>
        <w:top w:val="none" w:sz="0" w:space="0" w:color="auto"/>
        <w:left w:val="none" w:sz="0" w:space="0" w:color="auto"/>
        <w:bottom w:val="none" w:sz="0" w:space="0" w:color="auto"/>
        <w:right w:val="none" w:sz="0" w:space="0" w:color="auto"/>
      </w:divBdr>
    </w:div>
    <w:div w:id="1893299904">
      <w:bodyDiv w:val="1"/>
      <w:marLeft w:val="0"/>
      <w:marRight w:val="0"/>
      <w:marTop w:val="0"/>
      <w:marBottom w:val="0"/>
      <w:divBdr>
        <w:top w:val="none" w:sz="0" w:space="0" w:color="auto"/>
        <w:left w:val="none" w:sz="0" w:space="0" w:color="auto"/>
        <w:bottom w:val="none" w:sz="0" w:space="0" w:color="auto"/>
        <w:right w:val="none" w:sz="0" w:space="0" w:color="auto"/>
      </w:divBdr>
    </w:div>
    <w:div w:id="1913811144">
      <w:bodyDiv w:val="1"/>
      <w:marLeft w:val="0"/>
      <w:marRight w:val="0"/>
      <w:marTop w:val="0"/>
      <w:marBottom w:val="0"/>
      <w:divBdr>
        <w:top w:val="none" w:sz="0" w:space="0" w:color="auto"/>
        <w:left w:val="none" w:sz="0" w:space="0" w:color="auto"/>
        <w:bottom w:val="none" w:sz="0" w:space="0" w:color="auto"/>
        <w:right w:val="none" w:sz="0" w:space="0" w:color="auto"/>
      </w:divBdr>
    </w:div>
    <w:div w:id="1923446501">
      <w:bodyDiv w:val="1"/>
      <w:marLeft w:val="0"/>
      <w:marRight w:val="0"/>
      <w:marTop w:val="0"/>
      <w:marBottom w:val="0"/>
      <w:divBdr>
        <w:top w:val="none" w:sz="0" w:space="0" w:color="auto"/>
        <w:left w:val="none" w:sz="0" w:space="0" w:color="auto"/>
        <w:bottom w:val="none" w:sz="0" w:space="0" w:color="auto"/>
        <w:right w:val="none" w:sz="0" w:space="0" w:color="auto"/>
      </w:divBdr>
    </w:div>
    <w:div w:id="1924147519">
      <w:bodyDiv w:val="1"/>
      <w:marLeft w:val="0"/>
      <w:marRight w:val="0"/>
      <w:marTop w:val="0"/>
      <w:marBottom w:val="0"/>
      <w:divBdr>
        <w:top w:val="none" w:sz="0" w:space="0" w:color="auto"/>
        <w:left w:val="none" w:sz="0" w:space="0" w:color="auto"/>
        <w:bottom w:val="none" w:sz="0" w:space="0" w:color="auto"/>
        <w:right w:val="none" w:sz="0" w:space="0" w:color="auto"/>
      </w:divBdr>
    </w:div>
    <w:div w:id="1928028190">
      <w:bodyDiv w:val="1"/>
      <w:marLeft w:val="0"/>
      <w:marRight w:val="0"/>
      <w:marTop w:val="0"/>
      <w:marBottom w:val="0"/>
      <w:divBdr>
        <w:top w:val="none" w:sz="0" w:space="0" w:color="auto"/>
        <w:left w:val="none" w:sz="0" w:space="0" w:color="auto"/>
        <w:bottom w:val="none" w:sz="0" w:space="0" w:color="auto"/>
        <w:right w:val="none" w:sz="0" w:space="0" w:color="auto"/>
      </w:divBdr>
    </w:div>
    <w:div w:id="1976635872">
      <w:bodyDiv w:val="1"/>
      <w:marLeft w:val="0"/>
      <w:marRight w:val="0"/>
      <w:marTop w:val="0"/>
      <w:marBottom w:val="0"/>
      <w:divBdr>
        <w:top w:val="none" w:sz="0" w:space="0" w:color="auto"/>
        <w:left w:val="none" w:sz="0" w:space="0" w:color="auto"/>
        <w:bottom w:val="none" w:sz="0" w:space="0" w:color="auto"/>
        <w:right w:val="none" w:sz="0" w:space="0" w:color="auto"/>
      </w:divBdr>
    </w:div>
    <w:div w:id="2023970431">
      <w:bodyDiv w:val="1"/>
      <w:marLeft w:val="0"/>
      <w:marRight w:val="0"/>
      <w:marTop w:val="0"/>
      <w:marBottom w:val="0"/>
      <w:divBdr>
        <w:top w:val="none" w:sz="0" w:space="0" w:color="auto"/>
        <w:left w:val="none" w:sz="0" w:space="0" w:color="auto"/>
        <w:bottom w:val="none" w:sz="0" w:space="0" w:color="auto"/>
        <w:right w:val="none" w:sz="0" w:space="0" w:color="auto"/>
      </w:divBdr>
    </w:div>
    <w:div w:id="2049526923">
      <w:bodyDiv w:val="1"/>
      <w:marLeft w:val="0"/>
      <w:marRight w:val="0"/>
      <w:marTop w:val="0"/>
      <w:marBottom w:val="0"/>
      <w:divBdr>
        <w:top w:val="none" w:sz="0" w:space="0" w:color="auto"/>
        <w:left w:val="none" w:sz="0" w:space="0" w:color="auto"/>
        <w:bottom w:val="none" w:sz="0" w:space="0" w:color="auto"/>
        <w:right w:val="none" w:sz="0" w:space="0" w:color="auto"/>
      </w:divBdr>
    </w:div>
    <w:div w:id="2070415234">
      <w:bodyDiv w:val="1"/>
      <w:marLeft w:val="0"/>
      <w:marRight w:val="0"/>
      <w:marTop w:val="0"/>
      <w:marBottom w:val="0"/>
      <w:divBdr>
        <w:top w:val="none" w:sz="0" w:space="0" w:color="auto"/>
        <w:left w:val="none" w:sz="0" w:space="0" w:color="auto"/>
        <w:bottom w:val="none" w:sz="0" w:space="0" w:color="auto"/>
        <w:right w:val="none" w:sz="0" w:space="0" w:color="auto"/>
      </w:divBdr>
    </w:div>
    <w:div w:id="2073624715">
      <w:bodyDiv w:val="1"/>
      <w:marLeft w:val="0"/>
      <w:marRight w:val="0"/>
      <w:marTop w:val="0"/>
      <w:marBottom w:val="0"/>
      <w:divBdr>
        <w:top w:val="none" w:sz="0" w:space="0" w:color="auto"/>
        <w:left w:val="none" w:sz="0" w:space="0" w:color="auto"/>
        <w:bottom w:val="none" w:sz="0" w:space="0" w:color="auto"/>
        <w:right w:val="none" w:sz="0" w:space="0" w:color="auto"/>
      </w:divBdr>
    </w:div>
    <w:div w:id="2079016778">
      <w:bodyDiv w:val="1"/>
      <w:marLeft w:val="0"/>
      <w:marRight w:val="0"/>
      <w:marTop w:val="0"/>
      <w:marBottom w:val="0"/>
      <w:divBdr>
        <w:top w:val="none" w:sz="0" w:space="0" w:color="auto"/>
        <w:left w:val="none" w:sz="0" w:space="0" w:color="auto"/>
        <w:bottom w:val="none" w:sz="0" w:space="0" w:color="auto"/>
        <w:right w:val="none" w:sz="0" w:space="0" w:color="auto"/>
      </w:divBdr>
    </w:div>
    <w:div w:id="2087072825">
      <w:bodyDiv w:val="1"/>
      <w:marLeft w:val="0"/>
      <w:marRight w:val="0"/>
      <w:marTop w:val="0"/>
      <w:marBottom w:val="0"/>
      <w:divBdr>
        <w:top w:val="none" w:sz="0" w:space="0" w:color="auto"/>
        <w:left w:val="none" w:sz="0" w:space="0" w:color="auto"/>
        <w:bottom w:val="none" w:sz="0" w:space="0" w:color="auto"/>
        <w:right w:val="none" w:sz="0" w:space="0" w:color="auto"/>
      </w:divBdr>
    </w:div>
    <w:div w:id="2099713754">
      <w:bodyDiv w:val="1"/>
      <w:marLeft w:val="0"/>
      <w:marRight w:val="0"/>
      <w:marTop w:val="0"/>
      <w:marBottom w:val="0"/>
      <w:divBdr>
        <w:top w:val="none" w:sz="0" w:space="0" w:color="auto"/>
        <w:left w:val="none" w:sz="0" w:space="0" w:color="auto"/>
        <w:bottom w:val="none" w:sz="0" w:space="0" w:color="auto"/>
        <w:right w:val="none" w:sz="0" w:space="0" w:color="auto"/>
      </w:divBdr>
    </w:div>
    <w:div w:id="2102989732">
      <w:bodyDiv w:val="1"/>
      <w:marLeft w:val="0"/>
      <w:marRight w:val="0"/>
      <w:marTop w:val="0"/>
      <w:marBottom w:val="0"/>
      <w:divBdr>
        <w:top w:val="none" w:sz="0" w:space="0" w:color="auto"/>
        <w:left w:val="none" w:sz="0" w:space="0" w:color="auto"/>
        <w:bottom w:val="none" w:sz="0" w:space="0" w:color="auto"/>
        <w:right w:val="none" w:sz="0" w:space="0" w:color="auto"/>
      </w:divBdr>
    </w:div>
    <w:div w:id="21361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emansaied@gmail.com" TargetMode="External"/><Relationship Id="rId13" Type="http://schemas.openxmlformats.org/officeDocument/2006/relationships/hyperlink" Target="http://www.ncbi.nlm.nih.gov/pubmed/?term=Milovanovic%20M%5BAuthor%5D&amp;cauthor=true&amp;cauthor_uid=22392053" TargetMode="Externa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www.ncbi.nlm.nih.gov/pubmed/?term=Arsenijevic%20N%5BAuthor%5D&amp;cauthor=true&amp;cauthor_uid=22392053"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www.ncbi.nlm.nih.gov/pubmed/?term=Pejnovic%20N%5BAuthor%5D&amp;cauthor=true&amp;cauthor_uid=22392053" TargetMode="Externa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4.xml"/><Relationship Id="rId29" Type="http://schemas.openxmlformats.org/officeDocument/2006/relationships/hyperlink" Target="http://www.ncbi.nlm.nih.gov/pubmed/?term=Milovanovic%20M%5BAuthor%5D&amp;cauthor=true&amp;cauthor_uid=2239205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yperlink" Target="http://www.ncbi.nlm.nih.gov/pubmed/?term=Jovanovic%20I%5BAuthor%5D&amp;cauthor=true&amp;cauthor_uid=22392053" TargetMode="Externa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www.ncbi.nlm.nih.gov/pubmed/?term=Franzoni%20A%5BAuthor%5D&amp;cauthor=true&amp;cauthor_uid=19207009" TargetMode="External"/><Relationship Id="rId36" Type="http://schemas.openxmlformats.org/officeDocument/2006/relationships/header" Target="header8.xml"/><Relationship Id="rId10" Type="http://schemas.openxmlformats.org/officeDocument/2006/relationships/hyperlink" Target="http://www.dx.doi.org/10.7537/marscbj070117.02" TargetMode="External"/><Relationship Id="rId19" Type="http://schemas.openxmlformats.org/officeDocument/2006/relationships/header" Target="header4.xml"/><Relationship Id="rId31" Type="http://schemas.openxmlformats.org/officeDocument/2006/relationships/hyperlink" Target="http://www.ncbi.nlm.nih.gov/pubmed/?term=Radosavljevic%20G%5BAuthor%5D&amp;cauthor=true&amp;cauthor_uid=22392053" TargetMode="Externa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yperlink" Target="http://www.ncbi.nlm.nih.gov/pubmed/?term=Volarevic%20V%5BAuthor%5D&amp;cauthor=true&amp;cauthor_uid=22392053" TargetMode="External"/><Relationship Id="rId35" Type="http://schemas.openxmlformats.org/officeDocument/2006/relationships/hyperlink" Target="http://www.ncbi.nlm.nih.gov/pubmed/22392053"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92233-2CF1-4FEF-B4F5-0D1B6E8F4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5565</Words>
  <Characters>31727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بسم الله الرحمن الرحيم</vt:lpstr>
    </vt:vector>
  </TitlesOfParts>
  <Company>Grizli777</Company>
  <LinksUpToDate>false</LinksUpToDate>
  <CharactersWithSpaces>37218</CharactersWithSpaces>
  <SharedDoc>false</SharedDoc>
  <HLinks>
    <vt:vector size="66" baseType="variant">
      <vt:variant>
        <vt:i4>3538989</vt:i4>
      </vt:variant>
      <vt:variant>
        <vt:i4>30</vt:i4>
      </vt:variant>
      <vt:variant>
        <vt:i4>0</vt:i4>
      </vt:variant>
      <vt:variant>
        <vt:i4>5</vt:i4>
      </vt:variant>
      <vt:variant>
        <vt:lpwstr>http://www.ncbi.nlm.nih.gov/pubmed/22392053</vt:lpwstr>
      </vt:variant>
      <vt:variant>
        <vt:lpwstr/>
      </vt:variant>
      <vt:variant>
        <vt:i4>262202</vt:i4>
      </vt:variant>
      <vt:variant>
        <vt:i4>27</vt:i4>
      </vt:variant>
      <vt:variant>
        <vt:i4>0</vt:i4>
      </vt:variant>
      <vt:variant>
        <vt:i4>5</vt:i4>
      </vt:variant>
      <vt:variant>
        <vt:lpwstr>http://www.ncbi.nlm.nih.gov/pubmed/?term=Arsenijevic%20N%5BAuthor%5D&amp;cauthor=true&amp;cauthor_uid=22392053</vt:lpwstr>
      </vt:variant>
      <vt:variant>
        <vt:lpwstr/>
      </vt:variant>
      <vt:variant>
        <vt:i4>8257536</vt:i4>
      </vt:variant>
      <vt:variant>
        <vt:i4>24</vt:i4>
      </vt:variant>
      <vt:variant>
        <vt:i4>0</vt:i4>
      </vt:variant>
      <vt:variant>
        <vt:i4>5</vt:i4>
      </vt:variant>
      <vt:variant>
        <vt:lpwstr>http://www.ncbi.nlm.nih.gov/pubmed/?term=Pejnovic%20N%5BAuthor%5D&amp;cauthor=true&amp;cauthor_uid=22392053</vt:lpwstr>
      </vt:variant>
      <vt:variant>
        <vt:lpwstr/>
      </vt:variant>
      <vt:variant>
        <vt:i4>6750272</vt:i4>
      </vt:variant>
      <vt:variant>
        <vt:i4>21</vt:i4>
      </vt:variant>
      <vt:variant>
        <vt:i4>0</vt:i4>
      </vt:variant>
      <vt:variant>
        <vt:i4>5</vt:i4>
      </vt:variant>
      <vt:variant>
        <vt:lpwstr>http://www.ncbi.nlm.nih.gov/pubmed/?term=Jovanovic%20I%5BAuthor%5D&amp;cauthor=true&amp;cauthor_uid=22392053</vt:lpwstr>
      </vt:variant>
      <vt:variant>
        <vt:lpwstr/>
      </vt:variant>
      <vt:variant>
        <vt:i4>6422599</vt:i4>
      </vt:variant>
      <vt:variant>
        <vt:i4>18</vt:i4>
      </vt:variant>
      <vt:variant>
        <vt:i4>0</vt:i4>
      </vt:variant>
      <vt:variant>
        <vt:i4>5</vt:i4>
      </vt:variant>
      <vt:variant>
        <vt:lpwstr>http://www.ncbi.nlm.nih.gov/pubmed/?term=Radosavljevic%20G%5BAuthor%5D&amp;cauthor=true&amp;cauthor_uid=22392053</vt:lpwstr>
      </vt:variant>
      <vt:variant>
        <vt:lpwstr/>
      </vt:variant>
      <vt:variant>
        <vt:i4>6422602</vt:i4>
      </vt:variant>
      <vt:variant>
        <vt:i4>15</vt:i4>
      </vt:variant>
      <vt:variant>
        <vt:i4>0</vt:i4>
      </vt:variant>
      <vt:variant>
        <vt:i4>5</vt:i4>
      </vt:variant>
      <vt:variant>
        <vt:lpwstr>http://www.ncbi.nlm.nih.gov/pubmed/?term=Volarevic%20V%5BAuthor%5D&amp;cauthor=true&amp;cauthor_uid=22392053</vt:lpwstr>
      </vt:variant>
      <vt:variant>
        <vt:lpwstr/>
      </vt:variant>
      <vt:variant>
        <vt:i4>524329</vt:i4>
      </vt:variant>
      <vt:variant>
        <vt:i4>12</vt:i4>
      </vt:variant>
      <vt:variant>
        <vt:i4>0</vt:i4>
      </vt:variant>
      <vt:variant>
        <vt:i4>5</vt:i4>
      </vt:variant>
      <vt:variant>
        <vt:lpwstr>http://www.ncbi.nlm.nih.gov/pubmed/?term=Milovanovic%20M%5BAuthor%5D&amp;cauthor=true&amp;cauthor_uid=22392053</vt:lpwstr>
      </vt:variant>
      <vt:variant>
        <vt:lpwstr/>
      </vt:variant>
      <vt:variant>
        <vt:i4>7536649</vt:i4>
      </vt:variant>
      <vt:variant>
        <vt:i4>9</vt:i4>
      </vt:variant>
      <vt:variant>
        <vt:i4>0</vt:i4>
      </vt:variant>
      <vt:variant>
        <vt:i4>5</vt:i4>
      </vt:variant>
      <vt:variant>
        <vt:lpwstr>http://www.ncbi.nlm.nih.gov/pubmed/?term=Franzoni%20A%5BAuthor%5D&amp;cauthor=true&amp;cauthor_uid=19207009</vt:lpwstr>
      </vt:variant>
      <vt:variant>
        <vt:lpwstr/>
      </vt:variant>
      <vt:variant>
        <vt:i4>524329</vt:i4>
      </vt:variant>
      <vt:variant>
        <vt:i4>3</vt:i4>
      </vt:variant>
      <vt:variant>
        <vt:i4>0</vt:i4>
      </vt:variant>
      <vt:variant>
        <vt:i4>5</vt:i4>
      </vt:variant>
      <vt:variant>
        <vt:lpwstr>http://www.ncbi.nlm.nih.gov/pubmed/?term=Milovanovic%20M%5BAuthor%5D&amp;cauthor=true&amp;cauthor_uid=22392053</vt:lpwstr>
      </vt:variant>
      <vt:variant>
        <vt:lpwstr/>
      </vt:variant>
      <vt:variant>
        <vt:i4>1572922</vt:i4>
      </vt:variant>
      <vt:variant>
        <vt:i4>0</vt:i4>
      </vt:variant>
      <vt:variant>
        <vt:i4>0</vt:i4>
      </vt:variant>
      <vt:variant>
        <vt:i4>5</vt:i4>
      </vt:variant>
      <vt:variant>
        <vt:lpwstr>mailto:dremansaied@gmail.com</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الرحيم</dc:title>
  <dc:creator>OLA</dc:creator>
  <cp:lastModifiedBy>drmonazaki</cp:lastModifiedBy>
  <cp:revision>2</cp:revision>
  <cp:lastPrinted>2017-01-25T17:56:00Z</cp:lastPrinted>
  <dcterms:created xsi:type="dcterms:W3CDTF">2017-01-29T11:23:00Z</dcterms:created>
  <dcterms:modified xsi:type="dcterms:W3CDTF">2017-01-29T11:23:00Z</dcterms:modified>
</cp:coreProperties>
</file>