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75" w:rsidRPr="00CE2735" w:rsidRDefault="00DF0E16" w:rsidP="00D432CD">
      <w:pPr>
        <w:pStyle w:val="Heading21"/>
        <w:snapToGrid w:val="0"/>
        <w:ind w:left="0"/>
        <w:jc w:val="center"/>
        <w:rPr>
          <w:rFonts w:cs="Times New Roman"/>
          <w:b w:val="0"/>
          <w:bCs w:val="0"/>
          <w:sz w:val="20"/>
          <w:szCs w:val="20"/>
        </w:rPr>
      </w:pPr>
      <w:bookmarkStart w:id="0" w:name="OLE_LINK1"/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Potential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Effect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Of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Development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Peopel</w:t>
      </w:r>
      <w:proofErr w:type="spellEnd"/>
    </w:p>
    <w:bookmarkEnd w:id="0"/>
    <w:p w:rsidR="00DF0E16" w:rsidRPr="00CE2735" w:rsidRDefault="00DF0E16" w:rsidP="00D432CD">
      <w:pPr>
        <w:pStyle w:val="Heading21"/>
        <w:snapToGrid w:val="0"/>
        <w:ind w:left="0"/>
        <w:jc w:val="center"/>
        <w:rPr>
          <w:rFonts w:eastAsiaTheme="minorEastAsia" w:cs="Times New Roman"/>
          <w:sz w:val="20"/>
          <w:szCs w:val="20"/>
          <w:lang w:eastAsia="zh-CN"/>
        </w:rPr>
      </w:pPr>
    </w:p>
    <w:p w:rsidR="00AE3C75" w:rsidRPr="00CE2735" w:rsidRDefault="00DF0E16" w:rsidP="00D432CD">
      <w:pPr>
        <w:pStyle w:val="Heading21"/>
        <w:snapToGrid w:val="0"/>
        <w:ind w:left="0"/>
        <w:jc w:val="center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cs="Times New Roman"/>
          <w:b w:val="0"/>
          <w:sz w:val="20"/>
          <w:szCs w:val="20"/>
        </w:rPr>
        <w:t>Linda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Abdelmoniem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Fadulalla</w:t>
      </w:r>
      <w:proofErr w:type="spellEnd"/>
    </w:p>
    <w:p w:rsidR="00DF0E16" w:rsidRPr="00CE2735" w:rsidRDefault="00DF0E16" w:rsidP="00D432CD">
      <w:pPr>
        <w:snapToGrid w:val="0"/>
        <w:jc w:val="center"/>
        <w:rPr>
          <w:rFonts w:ascii="Times New Roman" w:hAnsi="Times New Roman" w:cs="Times New Roman"/>
          <w:bCs/>
          <w:sz w:val="20"/>
          <w:szCs w:val="20"/>
          <w:lang w:eastAsia="zh-CN"/>
        </w:rPr>
      </w:pPr>
    </w:p>
    <w:p w:rsidR="00AE3C75" w:rsidRPr="00CE2735" w:rsidRDefault="00B40F56" w:rsidP="00D432CD">
      <w:pPr>
        <w:snapToGri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Department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Zoology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Faculty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Science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University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Khartoum</w:t>
      </w:r>
    </w:p>
    <w:p w:rsidR="00DF0E16" w:rsidRPr="00CE2735" w:rsidRDefault="00DF0E16" w:rsidP="00D432CD">
      <w:pPr>
        <w:pStyle w:val="Heading21"/>
        <w:snapToGrid w:val="0"/>
        <w:ind w:left="0"/>
        <w:jc w:val="center"/>
        <w:rPr>
          <w:rFonts w:eastAsiaTheme="minorEastAsia" w:cs="Times New Roman"/>
          <w:sz w:val="20"/>
          <w:szCs w:val="20"/>
          <w:lang w:eastAsia="zh-CN"/>
        </w:rPr>
      </w:pPr>
    </w:p>
    <w:p w:rsidR="00D432CD" w:rsidRPr="00CE2735" w:rsidRDefault="00D432CD" w:rsidP="00CE2735">
      <w:pPr>
        <w:pStyle w:val="Heading21"/>
        <w:snapToGrid w:val="0"/>
        <w:ind w:left="0"/>
        <w:jc w:val="both"/>
        <w:rPr>
          <w:rFonts w:eastAsiaTheme="minorEastAsia" w:cs="Times New Roman"/>
          <w:b w:val="0"/>
          <w:sz w:val="20"/>
          <w:szCs w:val="20"/>
          <w:lang w:eastAsia="zh-CN"/>
        </w:rPr>
      </w:pPr>
      <w:r w:rsidRPr="00CE2735">
        <w:rPr>
          <w:rFonts w:cs="Times New Roman"/>
          <w:sz w:val="20"/>
          <w:szCs w:val="20"/>
        </w:rPr>
        <w:t>Abstract</w:t>
      </w:r>
      <w:r w:rsidRPr="00CE2735">
        <w:rPr>
          <w:rFonts w:eastAsiaTheme="minorEastAsia" w:cs="Times New Roman" w:hint="eastAsia"/>
          <w:sz w:val="20"/>
          <w:szCs w:val="20"/>
          <w:lang w:eastAsia="zh-CN"/>
        </w:rPr>
        <w:t>:</w:t>
      </w:r>
      <w:r w:rsidR="00CE2735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Background: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Cancer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results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from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accumulation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of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molecular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events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that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fundamentally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change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normal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properties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of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cells.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Mitochondria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play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important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roles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cellular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energy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metabolism,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free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radical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generation,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and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apoptosis.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There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increasing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evidence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that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mitochondrial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gene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mutations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are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associated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with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various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cancers.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mitochondrial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DNA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(</w:t>
      </w:r>
      <w:proofErr w:type="spellStart"/>
      <w:r w:rsidR="00B40F56" w:rsidRPr="00CE2735">
        <w:rPr>
          <w:rFonts w:cs="Times New Roman"/>
          <w:b w:val="0"/>
          <w:sz w:val="20"/>
          <w:szCs w:val="20"/>
        </w:rPr>
        <w:t>mtDNA</w:t>
      </w:r>
      <w:proofErr w:type="spellEnd"/>
      <w:r w:rsidR="00B40F56" w:rsidRPr="00CE2735">
        <w:rPr>
          <w:rFonts w:cs="Times New Roman"/>
          <w:b w:val="0"/>
          <w:sz w:val="20"/>
          <w:szCs w:val="20"/>
        </w:rPr>
        <w:t>)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4977-bp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deletion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(DmtDNA4977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mutation)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one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of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most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frequently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observed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="00B40F56" w:rsidRPr="00CE2735">
        <w:rPr>
          <w:rFonts w:cs="Times New Roman"/>
          <w:b w:val="0"/>
          <w:sz w:val="20"/>
          <w:szCs w:val="20"/>
        </w:rPr>
        <w:t>mtDNA</w:t>
      </w:r>
      <w:proofErr w:type="spellEnd"/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mutations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human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tissues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and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may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play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role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carcinogenesis.</w:t>
      </w:r>
      <w:r w:rsidR="00CE2735"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Aim: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to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study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frequency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of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DmtDNA4977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mutation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prostate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cancer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tissues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and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benign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hyperplasic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prostate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tissues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(BHP).</w:t>
      </w:r>
      <w:r w:rsidR="00CE2735"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Methods:</w:t>
      </w:r>
      <w:r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Thirty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tissue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samples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of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prostate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were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screened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for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4977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deletion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using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touchdown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PCR.</w:t>
      </w:r>
      <w:r w:rsidR="00CE2735"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Results</w:t>
      </w:r>
      <w:r w:rsidR="00B40F56" w:rsidRPr="00CE2735">
        <w:rPr>
          <w:rFonts w:cs="Times New Roman"/>
          <w:b w:val="0"/>
          <w:sz w:val="20"/>
          <w:szCs w:val="20"/>
        </w:rPr>
        <w:t>: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mtDNA4977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mutation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was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detected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both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tumor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43.5%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and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non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tumor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tissues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(56.5%).</w:t>
      </w:r>
      <w:r w:rsidR="00CE2735"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Conclusion: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DmtDNA4977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mutation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was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quite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frequent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both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malignant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and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benign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tumor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tissues.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DmtDNA4977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might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effect,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reflection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of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interplay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between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mitochondrial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genome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and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other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factors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in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the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growing</w:t>
      </w:r>
      <w:r w:rsidRPr="00CE2735">
        <w:rPr>
          <w:rFonts w:cs="Times New Roman"/>
          <w:b w:val="0"/>
          <w:sz w:val="20"/>
          <w:szCs w:val="20"/>
        </w:rPr>
        <w:t xml:space="preserve"> </w:t>
      </w:r>
      <w:r w:rsidR="00B40F56" w:rsidRPr="00CE2735">
        <w:rPr>
          <w:rFonts w:cs="Times New Roman"/>
          <w:b w:val="0"/>
          <w:sz w:val="20"/>
          <w:szCs w:val="20"/>
        </w:rPr>
        <w:t>tumor.</w:t>
      </w:r>
    </w:p>
    <w:p w:rsidR="00D432CD" w:rsidRPr="00CE2735" w:rsidRDefault="00B40F56" w:rsidP="00D432CD">
      <w:pPr>
        <w:pStyle w:val="NoSpacing"/>
        <w:snapToGrid w:val="0"/>
        <w:spacing w:before="0" w:beforeAutospacing="0" w:after="0" w:afterAutospacing="0"/>
        <w:jc w:val="both"/>
        <w:rPr>
          <w:rFonts w:hint="eastAsia"/>
          <w:color w:val="000000"/>
          <w:sz w:val="20"/>
          <w:szCs w:val="20"/>
          <w:shd w:val="clear" w:color="auto" w:fill="FFFFFF"/>
        </w:rPr>
      </w:pPr>
      <w:r w:rsidRPr="00CE2735">
        <w:rPr>
          <w:rFonts w:hint="eastAsia"/>
          <w:b/>
          <w:sz w:val="20"/>
          <w:szCs w:val="20"/>
          <w:lang w:val="en-GB"/>
        </w:rPr>
        <w:t>[</w:t>
      </w:r>
      <w:r w:rsidR="00D432CD" w:rsidRPr="00CE2735">
        <w:rPr>
          <w:sz w:val="20"/>
          <w:szCs w:val="20"/>
        </w:rPr>
        <w:t>Linda</w:t>
      </w:r>
      <w:r w:rsidR="00D432CD" w:rsidRPr="00CE2735">
        <w:rPr>
          <w:b/>
          <w:sz w:val="20"/>
          <w:szCs w:val="20"/>
        </w:rPr>
        <w:t xml:space="preserve"> </w:t>
      </w:r>
      <w:proofErr w:type="spellStart"/>
      <w:r w:rsidR="00D432CD" w:rsidRPr="00CE2735">
        <w:rPr>
          <w:sz w:val="20"/>
          <w:szCs w:val="20"/>
        </w:rPr>
        <w:t>Abdelmoniem</w:t>
      </w:r>
      <w:proofErr w:type="spellEnd"/>
      <w:r w:rsidR="00D432CD" w:rsidRPr="00CE2735">
        <w:rPr>
          <w:b/>
          <w:sz w:val="20"/>
          <w:szCs w:val="20"/>
        </w:rPr>
        <w:t xml:space="preserve"> </w:t>
      </w:r>
      <w:proofErr w:type="spellStart"/>
      <w:r w:rsidR="00D432CD" w:rsidRPr="00CE2735">
        <w:rPr>
          <w:sz w:val="20"/>
          <w:szCs w:val="20"/>
        </w:rPr>
        <w:t>Fadulalla</w:t>
      </w:r>
      <w:proofErr w:type="spellEnd"/>
      <w:r w:rsidRPr="00CE2735">
        <w:rPr>
          <w:sz w:val="20"/>
          <w:szCs w:val="20"/>
        </w:rPr>
        <w:t>.</w:t>
      </w:r>
      <w:r w:rsidR="00D432CD" w:rsidRPr="00CE2735">
        <w:rPr>
          <w:sz w:val="20"/>
          <w:szCs w:val="20"/>
        </w:rPr>
        <w:t xml:space="preserve"> </w:t>
      </w:r>
      <w:r w:rsidR="00D432CD" w:rsidRPr="00CE2735">
        <w:rPr>
          <w:b/>
          <w:sz w:val="20"/>
          <w:szCs w:val="20"/>
        </w:rPr>
        <w:t xml:space="preserve">The Potential Effect </w:t>
      </w:r>
      <w:proofErr w:type="gramStart"/>
      <w:r w:rsidR="00D432CD" w:rsidRPr="00CE2735">
        <w:rPr>
          <w:b/>
          <w:sz w:val="20"/>
          <w:szCs w:val="20"/>
        </w:rPr>
        <w:t>Of</w:t>
      </w:r>
      <w:proofErr w:type="gramEnd"/>
      <w:r w:rsidR="00D432CD" w:rsidRPr="00CE2735">
        <w:rPr>
          <w:b/>
          <w:sz w:val="20"/>
          <w:szCs w:val="20"/>
        </w:rPr>
        <w:t xml:space="preserve"> </w:t>
      </w:r>
      <w:proofErr w:type="spellStart"/>
      <w:r w:rsidR="00D432CD" w:rsidRPr="00CE2735">
        <w:rPr>
          <w:b/>
          <w:sz w:val="20"/>
          <w:szCs w:val="20"/>
        </w:rPr>
        <w:t>Mtdna</w:t>
      </w:r>
      <w:proofErr w:type="spellEnd"/>
      <w:r w:rsidR="00C82FEF" w:rsidRPr="00CE2735">
        <w:rPr>
          <w:rFonts w:hint="eastAsia"/>
          <w:b/>
          <w:sz w:val="20"/>
          <w:szCs w:val="20"/>
        </w:rPr>
        <w:t xml:space="preserve"> </w:t>
      </w:r>
      <w:r w:rsidR="00D432CD" w:rsidRPr="00CE2735">
        <w:rPr>
          <w:b/>
          <w:sz w:val="20"/>
          <w:szCs w:val="20"/>
        </w:rPr>
        <w:t xml:space="preserve">4977 Deletion In The Development Of Prostate Cancer Among Sudanese </w:t>
      </w:r>
      <w:proofErr w:type="spellStart"/>
      <w:r w:rsidR="00D432CD" w:rsidRPr="00CE2735">
        <w:rPr>
          <w:b/>
          <w:sz w:val="20"/>
          <w:szCs w:val="20"/>
        </w:rPr>
        <w:t>Peopel</w:t>
      </w:r>
      <w:proofErr w:type="spellEnd"/>
      <w:r w:rsidRPr="00CE2735">
        <w:rPr>
          <w:rFonts w:eastAsia="Times New Roman"/>
          <w:b/>
          <w:bCs/>
          <w:sz w:val="20"/>
          <w:szCs w:val="20"/>
          <w:lang w:bidi="fa-IR"/>
        </w:rPr>
        <w:t>.</w:t>
      </w:r>
      <w:r w:rsidR="00D432CD" w:rsidRPr="00CE2735">
        <w:rPr>
          <w:i/>
          <w:sz w:val="20"/>
          <w:szCs w:val="20"/>
        </w:rPr>
        <w:t xml:space="preserve"> </w:t>
      </w:r>
      <w:r w:rsidRPr="00CE2735">
        <w:rPr>
          <w:i/>
          <w:sz w:val="20"/>
          <w:szCs w:val="20"/>
        </w:rPr>
        <w:t>Cancer</w:t>
      </w:r>
      <w:r w:rsidR="00D432CD" w:rsidRPr="00CE2735">
        <w:rPr>
          <w:i/>
          <w:sz w:val="20"/>
          <w:szCs w:val="20"/>
        </w:rPr>
        <w:t xml:space="preserve"> </w:t>
      </w:r>
      <w:r w:rsidRPr="00CE2735">
        <w:rPr>
          <w:i/>
          <w:sz w:val="20"/>
          <w:szCs w:val="20"/>
        </w:rPr>
        <w:t>Biology</w:t>
      </w:r>
      <w:r w:rsidR="00D432CD" w:rsidRPr="00CE2735">
        <w:rPr>
          <w:sz w:val="20"/>
          <w:szCs w:val="20"/>
        </w:rPr>
        <w:t xml:space="preserve"> </w:t>
      </w:r>
      <w:r w:rsidRPr="00CE2735">
        <w:rPr>
          <w:sz w:val="20"/>
          <w:szCs w:val="20"/>
        </w:rPr>
        <w:t>201</w:t>
      </w:r>
      <w:r w:rsidRPr="00CE2735">
        <w:rPr>
          <w:rFonts w:hint="eastAsia"/>
          <w:sz w:val="20"/>
          <w:szCs w:val="20"/>
        </w:rPr>
        <w:t>7</w:t>
      </w:r>
      <w:proofErr w:type="gramStart"/>
      <w:r w:rsidRPr="00CE2735">
        <w:rPr>
          <w:sz w:val="20"/>
          <w:szCs w:val="20"/>
        </w:rPr>
        <w:t>;</w:t>
      </w:r>
      <w:r w:rsidRPr="00CE2735">
        <w:rPr>
          <w:rFonts w:hint="eastAsia"/>
          <w:sz w:val="20"/>
          <w:szCs w:val="20"/>
        </w:rPr>
        <w:t>7</w:t>
      </w:r>
      <w:proofErr w:type="gramEnd"/>
      <w:r w:rsidRPr="00CE2735">
        <w:rPr>
          <w:sz w:val="20"/>
          <w:szCs w:val="20"/>
        </w:rPr>
        <w:t>(</w:t>
      </w:r>
      <w:r w:rsidRPr="00CE2735">
        <w:rPr>
          <w:rFonts w:hint="eastAsia"/>
          <w:sz w:val="20"/>
          <w:szCs w:val="20"/>
        </w:rPr>
        <w:t>1</w:t>
      </w:r>
      <w:r w:rsidRPr="00CE2735">
        <w:rPr>
          <w:sz w:val="20"/>
          <w:szCs w:val="20"/>
        </w:rPr>
        <w:t>):</w:t>
      </w:r>
      <w:r w:rsidR="00247D2E" w:rsidRPr="00CE2735">
        <w:rPr>
          <w:noProof/>
          <w:color w:val="000000"/>
          <w:sz w:val="20"/>
          <w:szCs w:val="20"/>
        </w:rPr>
        <w:t>79</w:t>
      </w:r>
      <w:r w:rsidRPr="00CE2735">
        <w:rPr>
          <w:color w:val="000000"/>
          <w:sz w:val="20"/>
          <w:szCs w:val="20"/>
        </w:rPr>
        <w:t>-</w:t>
      </w:r>
      <w:r w:rsidR="00247D2E" w:rsidRPr="00CE2735">
        <w:rPr>
          <w:noProof/>
          <w:color w:val="000000"/>
          <w:sz w:val="20"/>
          <w:szCs w:val="20"/>
        </w:rPr>
        <w:t>86</w:t>
      </w:r>
      <w:r w:rsidRPr="00CE2735">
        <w:rPr>
          <w:sz w:val="20"/>
          <w:szCs w:val="20"/>
        </w:rPr>
        <w:t>].</w:t>
      </w:r>
      <w:r w:rsidR="00D432CD" w:rsidRPr="00CE2735">
        <w:rPr>
          <w:sz w:val="20"/>
          <w:szCs w:val="20"/>
        </w:rPr>
        <w:t xml:space="preserve"> </w:t>
      </w:r>
      <w:r w:rsidRPr="00CE2735">
        <w:rPr>
          <w:rStyle w:val="msonormal0"/>
          <w:rFonts w:eastAsia="宋"/>
          <w:sz w:val="20"/>
          <w:szCs w:val="20"/>
        </w:rPr>
        <w:t>ISSN:</w:t>
      </w:r>
      <w:r w:rsidR="00D432CD" w:rsidRPr="00CE2735">
        <w:rPr>
          <w:rStyle w:val="msonormal0"/>
          <w:rFonts w:eastAsia="宋"/>
          <w:sz w:val="20"/>
          <w:szCs w:val="20"/>
        </w:rPr>
        <w:t xml:space="preserve"> </w:t>
      </w:r>
      <w:r w:rsidRPr="00CE2735">
        <w:rPr>
          <w:rStyle w:val="msonormal0"/>
          <w:rFonts w:eastAsia="宋"/>
          <w:sz w:val="20"/>
          <w:szCs w:val="20"/>
        </w:rPr>
        <w:t>2150-1041</w:t>
      </w:r>
      <w:r w:rsidR="00D432CD" w:rsidRPr="00CE2735">
        <w:rPr>
          <w:rStyle w:val="msonormal0"/>
          <w:rFonts w:eastAsia="宋"/>
          <w:sz w:val="20"/>
          <w:szCs w:val="20"/>
        </w:rPr>
        <w:t xml:space="preserve"> </w:t>
      </w:r>
      <w:r w:rsidRPr="00CE2735">
        <w:rPr>
          <w:rStyle w:val="msonormal0"/>
          <w:rFonts w:eastAsia="宋"/>
          <w:sz w:val="20"/>
          <w:szCs w:val="20"/>
        </w:rPr>
        <w:t>(print);</w:t>
      </w:r>
      <w:r w:rsidR="00D432CD" w:rsidRPr="00CE2735">
        <w:rPr>
          <w:rStyle w:val="msonormal0"/>
          <w:rFonts w:eastAsia="宋"/>
          <w:sz w:val="20"/>
          <w:szCs w:val="20"/>
        </w:rPr>
        <w:t xml:space="preserve"> </w:t>
      </w:r>
      <w:r w:rsidRPr="00CE2735">
        <w:rPr>
          <w:rStyle w:val="msonormal0"/>
          <w:rFonts w:eastAsia="宋"/>
          <w:sz w:val="20"/>
          <w:szCs w:val="20"/>
        </w:rPr>
        <w:t>ISSN:</w:t>
      </w:r>
      <w:r w:rsidR="00D432CD" w:rsidRPr="00CE2735">
        <w:rPr>
          <w:rStyle w:val="msonormal0"/>
          <w:rFonts w:eastAsia="宋"/>
          <w:sz w:val="20"/>
          <w:szCs w:val="20"/>
        </w:rPr>
        <w:t xml:space="preserve"> </w:t>
      </w:r>
      <w:r w:rsidRPr="00CE2735">
        <w:rPr>
          <w:rStyle w:val="msonormal0"/>
          <w:rFonts w:eastAsia="宋"/>
          <w:sz w:val="20"/>
          <w:szCs w:val="20"/>
        </w:rPr>
        <w:t>2150-105X</w:t>
      </w:r>
      <w:r w:rsidR="00D432CD" w:rsidRPr="00CE2735">
        <w:rPr>
          <w:rStyle w:val="msonormal0"/>
          <w:rFonts w:eastAsia="宋"/>
          <w:sz w:val="20"/>
          <w:szCs w:val="20"/>
        </w:rPr>
        <w:t xml:space="preserve"> </w:t>
      </w:r>
      <w:r w:rsidRPr="00CE2735">
        <w:rPr>
          <w:rStyle w:val="msonormal0"/>
          <w:rFonts w:eastAsia="宋"/>
          <w:sz w:val="20"/>
          <w:szCs w:val="20"/>
        </w:rPr>
        <w:t>(online)</w:t>
      </w:r>
      <w:r w:rsidRPr="00CE2735">
        <w:rPr>
          <w:sz w:val="20"/>
          <w:szCs w:val="20"/>
        </w:rPr>
        <w:t>.</w:t>
      </w:r>
      <w:r w:rsidR="00D432CD" w:rsidRPr="00CE2735">
        <w:rPr>
          <w:sz w:val="20"/>
          <w:szCs w:val="20"/>
        </w:rPr>
        <w:t xml:space="preserve"> </w:t>
      </w:r>
      <w:hyperlink r:id="rId7" w:history="1">
        <w:r w:rsidRPr="00CE2735">
          <w:rPr>
            <w:rStyle w:val="Hyperlink"/>
            <w:color w:val="0000FF"/>
            <w:sz w:val="20"/>
            <w:szCs w:val="20"/>
          </w:rPr>
          <w:t>http://www.cancerbio.net</w:t>
        </w:r>
      </w:hyperlink>
      <w:r w:rsidRPr="00CE2735">
        <w:rPr>
          <w:sz w:val="20"/>
          <w:szCs w:val="20"/>
        </w:rPr>
        <w:t>.</w:t>
      </w:r>
      <w:r w:rsidR="00D432CD" w:rsidRPr="00CE2735">
        <w:rPr>
          <w:rFonts w:hint="eastAsia"/>
          <w:sz w:val="20"/>
          <w:szCs w:val="20"/>
        </w:rPr>
        <w:t xml:space="preserve"> 11</w:t>
      </w:r>
      <w:r w:rsidRPr="00CE2735">
        <w:rPr>
          <w:rFonts w:hint="eastAsia"/>
          <w:sz w:val="20"/>
          <w:szCs w:val="20"/>
        </w:rPr>
        <w:t>.</w:t>
      </w:r>
      <w:r w:rsidR="00D432CD" w:rsidRPr="00CE2735">
        <w:rPr>
          <w:rFonts w:hint="eastAsia"/>
          <w:sz w:val="20"/>
          <w:szCs w:val="20"/>
        </w:rPr>
        <w:t xml:space="preserve"> </w:t>
      </w:r>
      <w:proofErr w:type="gramStart"/>
      <w:r w:rsidRPr="00CE2735">
        <w:rPr>
          <w:color w:val="000000"/>
          <w:sz w:val="20"/>
          <w:szCs w:val="20"/>
          <w:shd w:val="clear" w:color="auto" w:fill="FFFFFF"/>
        </w:rPr>
        <w:t>doi</w:t>
      </w:r>
      <w:proofErr w:type="gramEnd"/>
      <w:r w:rsidRPr="00CE2735">
        <w:rPr>
          <w:color w:val="000000"/>
          <w:sz w:val="20"/>
          <w:szCs w:val="20"/>
          <w:shd w:val="clear" w:color="auto" w:fill="FFFFFF"/>
        </w:rPr>
        <w:t>:</w:t>
      </w:r>
      <w:hyperlink r:id="rId8" w:history="1">
        <w:r w:rsidRPr="00CE2735">
          <w:rPr>
            <w:rStyle w:val="Hyperlink"/>
            <w:color w:val="0000FF"/>
            <w:sz w:val="20"/>
            <w:szCs w:val="20"/>
            <w:shd w:val="clear" w:color="auto" w:fill="FFFFFF"/>
          </w:rPr>
          <w:t>10.7537/mars</w:t>
        </w:r>
        <w:r w:rsidRPr="00CE2735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cbj0701</w:t>
        </w:r>
        <w:r w:rsidRPr="00CE2735">
          <w:rPr>
            <w:rStyle w:val="Hyperlink"/>
            <w:color w:val="0000FF"/>
            <w:sz w:val="20"/>
            <w:szCs w:val="20"/>
            <w:shd w:val="clear" w:color="auto" w:fill="FFFFFF"/>
          </w:rPr>
          <w:t>1</w:t>
        </w:r>
        <w:r w:rsidRPr="00CE2735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7.</w:t>
        </w:r>
        <w:r w:rsidR="00D432CD" w:rsidRPr="00CE2735">
          <w:rPr>
            <w:rStyle w:val="Hyperlink"/>
            <w:rFonts w:hint="eastAsia"/>
            <w:color w:val="0000FF"/>
            <w:sz w:val="20"/>
            <w:szCs w:val="20"/>
            <w:shd w:val="clear" w:color="auto" w:fill="FFFFFF"/>
          </w:rPr>
          <w:t>11</w:t>
        </w:r>
      </w:hyperlink>
      <w:r w:rsidRPr="00CE2735">
        <w:rPr>
          <w:color w:val="000000"/>
          <w:sz w:val="20"/>
          <w:szCs w:val="20"/>
          <w:shd w:val="clear" w:color="auto" w:fill="FFFFFF"/>
        </w:rPr>
        <w:t>.</w:t>
      </w:r>
    </w:p>
    <w:p w:rsidR="00CE2735" w:rsidRPr="00CE2735" w:rsidRDefault="00CE2735" w:rsidP="00D432CD">
      <w:pPr>
        <w:pStyle w:val="NoSpacing"/>
        <w:snapToGrid w:val="0"/>
        <w:spacing w:before="0" w:beforeAutospacing="0" w:after="0" w:afterAutospacing="0"/>
        <w:jc w:val="both"/>
        <w:rPr>
          <w:rFonts w:hint="eastAsia"/>
          <w:color w:val="000000"/>
          <w:sz w:val="20"/>
          <w:szCs w:val="20"/>
          <w:shd w:val="clear" w:color="auto" w:fill="FFFFFF"/>
        </w:rPr>
      </w:pPr>
    </w:p>
    <w:p w:rsidR="00CE2735" w:rsidRPr="00CE2735" w:rsidRDefault="00CE2735" w:rsidP="00CE2735">
      <w:pPr>
        <w:pStyle w:val="Heading21"/>
        <w:snapToGrid w:val="0"/>
        <w:ind w:left="0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hint="eastAsia"/>
          <w:color w:val="000000"/>
          <w:sz w:val="20"/>
          <w:szCs w:val="20"/>
          <w:shd w:val="clear" w:color="auto" w:fill="FFFFFF"/>
        </w:rPr>
        <w:t>Keywords:</w:t>
      </w:r>
      <w:r w:rsidRPr="00CE2735">
        <w:rPr>
          <w:rFonts w:hint="eastAsi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Potential Effect</w:t>
      </w:r>
      <w:r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>;</w:t>
      </w:r>
      <w:r w:rsidRPr="00CE2735">
        <w:rPr>
          <w:rFonts w:cs="Times New Roman"/>
          <w:b w:val="0"/>
          <w:sz w:val="20"/>
          <w:szCs w:val="20"/>
        </w:rPr>
        <w:t xml:space="preserve"> Mtdna4977</w:t>
      </w:r>
      <w:r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>;</w:t>
      </w:r>
      <w:r w:rsidRPr="00CE2735">
        <w:rPr>
          <w:rFonts w:cs="Times New Roman"/>
          <w:b w:val="0"/>
          <w:sz w:val="20"/>
          <w:szCs w:val="20"/>
        </w:rPr>
        <w:t xml:space="preserve"> Deletion</w:t>
      </w:r>
      <w:r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>;</w:t>
      </w:r>
      <w:r w:rsidRPr="00CE2735">
        <w:rPr>
          <w:rFonts w:cs="Times New Roman"/>
          <w:b w:val="0"/>
          <w:sz w:val="20"/>
          <w:szCs w:val="20"/>
        </w:rPr>
        <w:t xml:space="preserve"> Development</w:t>
      </w:r>
      <w:r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>;</w:t>
      </w:r>
      <w:r w:rsidRPr="00CE2735">
        <w:rPr>
          <w:rFonts w:cs="Times New Roman"/>
          <w:b w:val="0"/>
          <w:sz w:val="20"/>
          <w:szCs w:val="20"/>
        </w:rPr>
        <w:t xml:space="preserve"> Prostate Cancer</w:t>
      </w:r>
      <w:r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>;</w:t>
      </w:r>
      <w:r w:rsidRPr="00CE2735">
        <w:rPr>
          <w:rFonts w:cs="Times New Roman"/>
          <w:b w:val="0"/>
          <w:sz w:val="20"/>
          <w:szCs w:val="20"/>
        </w:rPr>
        <w:t xml:space="preserve"> Sudanese </w:t>
      </w:r>
      <w:proofErr w:type="spellStart"/>
      <w:r w:rsidRPr="00CE2735">
        <w:rPr>
          <w:rFonts w:cs="Times New Roman"/>
          <w:b w:val="0"/>
          <w:sz w:val="20"/>
          <w:szCs w:val="20"/>
        </w:rPr>
        <w:t>Peopel</w:t>
      </w:r>
      <w:proofErr w:type="spellEnd"/>
    </w:p>
    <w:p w:rsidR="00B40F56" w:rsidRPr="00CE2735" w:rsidRDefault="00B40F56" w:rsidP="00D432CD">
      <w:pPr>
        <w:pStyle w:val="Heading11"/>
        <w:snapToGrid w:val="0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D432CD" w:rsidRPr="00CE2735" w:rsidRDefault="00D432CD" w:rsidP="00D432CD">
      <w:pPr>
        <w:pStyle w:val="Heading11"/>
        <w:snapToGrid w:val="0"/>
        <w:jc w:val="both"/>
        <w:rPr>
          <w:rFonts w:cs="Times New Roman"/>
          <w:sz w:val="20"/>
          <w:szCs w:val="20"/>
        </w:rPr>
        <w:sectPr w:rsidR="00D432CD" w:rsidRPr="00CE2735" w:rsidSect="00247D2E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79"/>
          <w:cols w:space="720"/>
          <w:docGrid w:linePitch="299"/>
        </w:sectPr>
      </w:pPr>
    </w:p>
    <w:p w:rsidR="00D432CD" w:rsidRPr="00CE2735" w:rsidRDefault="00D432CD" w:rsidP="00D432CD">
      <w:pPr>
        <w:pStyle w:val="Heading11"/>
        <w:snapToGrid w:val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cs="Times New Roman"/>
          <w:sz w:val="20"/>
          <w:szCs w:val="20"/>
        </w:rPr>
        <w:lastRenderedPageBreak/>
        <w:t>Chapter One Introduction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becoming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global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health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problem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number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sub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Saharan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Africa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rising.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African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country,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share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burden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(Mohammed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</w:t>
      </w:r>
      <w:r w:rsidRPr="00CE2735">
        <w:rPr>
          <w:rFonts w:cs="Times New Roman"/>
          <w:sz w:val="20"/>
          <w:szCs w:val="20"/>
        </w:rPr>
        <w:t>.,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2013).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According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published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data,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Elamin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factors,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include: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education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family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history.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factors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history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tobacco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alcohol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consumption,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body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index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BMI,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occupation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Hamd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Abuidris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2011)</w:t>
      </w:r>
      <w:r w:rsidR="00C82FEF" w:rsidRPr="00CE2735">
        <w:rPr>
          <w:rFonts w:cs="Times New Roman"/>
          <w:sz w:val="20"/>
          <w:szCs w:val="20"/>
        </w:rPr>
        <w:t>. W</w:t>
      </w:r>
      <w:r w:rsidRPr="00CE2735">
        <w:rPr>
          <w:rFonts w:cs="Times New Roman"/>
          <w:sz w:val="20"/>
          <w:szCs w:val="20"/>
        </w:rPr>
        <w:t>hile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population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moving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toward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cities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unhealthy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lifestyles,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resources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infrastructure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prevent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treat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behind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clinical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basic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research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Elamin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2015).</w:t>
      </w:r>
    </w:p>
    <w:p w:rsidR="00AE3C75" w:rsidRPr="00CE2735" w:rsidRDefault="00CA77BB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eastAsiaTheme="minorEastAsia" w:cs="Times New Roman" w:hint="eastAsia"/>
          <w:sz w:val="20"/>
          <w:szCs w:val="20"/>
          <w:lang w:eastAsia="zh-CN"/>
        </w:rPr>
        <w:t>1.1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carcinogenesis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accessory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gland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reproductive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organ,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orders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mammals,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McNeal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established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current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widely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accepted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concept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various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lobes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peripheral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central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transition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kan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2011).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peripheral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comprises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glandular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apex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located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posterior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capsule.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carcinoma,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chronic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prostatitis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inflammatory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atrophy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relatively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(Cohen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2008).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second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worldwide.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Occurring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world,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rates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world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(A.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S.,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lastRenderedPageBreak/>
        <w:t>2011).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family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history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African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heritage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disease;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example,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African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American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1.6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times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likely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Caucasian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Ferlay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2014).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recent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data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showed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incidence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becoming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major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medical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problem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gained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attention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urologists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Elaimam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&amp;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Sharfi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2013).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ranked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tenth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diagnosed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Registry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1978,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skin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non-Hodgkin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lymphoma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Mukhtar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1978)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representing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0.8%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investigated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Radiation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Isotope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Center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Khartoum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(RICK)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(1967–84)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Hidayatalla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1986).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Recent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comparison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decades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ago,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lately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country.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diagnosed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RICK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during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2000–2006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(Mohammed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2014).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treated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National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Institute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Gezira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University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NCI-UG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Abuidris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2010).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factors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thought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cause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Previous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pointed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towards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combination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both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environmental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factors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play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Anand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2008).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very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younger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40,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rapidly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50.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About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over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(Khan,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2011).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environmental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factors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affect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lastRenderedPageBreak/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America,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Northwestern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Europe,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Australia,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Caribbean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islands.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Asia,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Africa,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Central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America,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South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America.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example,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Asian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descent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living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United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States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lower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Americans,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similar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backgrounds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living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Asia.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seems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run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families,</w:t>
      </w:r>
      <w:r w:rsidR="00CE2735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sz w:val="20"/>
          <w:szCs w:val="20"/>
        </w:rPr>
        <w:t>which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suggests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inherited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disease.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example,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inherited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BRCA1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BRCA2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men.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Lynch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syndrome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number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(A.C.S.,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2016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a).</w:t>
      </w:r>
    </w:p>
    <w:p w:rsidR="00D432CD" w:rsidRPr="00CE2735" w:rsidRDefault="00CA77BB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eastAsiaTheme="minorEastAsia" w:cs="Times New Roman" w:hint="eastAsia"/>
          <w:sz w:val="20"/>
          <w:szCs w:val="20"/>
          <w:lang w:eastAsia="zh-CN"/>
        </w:rPr>
        <w:t>1.2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specific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antigen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(PSA)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glycoprotein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primarily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epithelial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ducts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gland.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concentrated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serum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normally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very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low.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Disruption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architecture,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inflammation,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trauma,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allows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greater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amounts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circulation.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Elevated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serum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become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important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marker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benign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hyperplasia,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prostatitis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(Ramos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</w:t>
      </w:r>
      <w:r w:rsidRPr="00CE2735">
        <w:rPr>
          <w:rFonts w:cs="Times New Roman"/>
          <w:sz w:val="20"/>
          <w:szCs w:val="20"/>
        </w:rPr>
        <w:t>.,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1999).</w:t>
      </w:r>
    </w:p>
    <w:p w:rsidR="00D432CD" w:rsidRPr="00CE2735" w:rsidRDefault="00CA77BB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eastAsiaTheme="minorEastAsia" w:cs="Times New Roman" w:hint="eastAsia"/>
          <w:sz w:val="20"/>
          <w:szCs w:val="20"/>
          <w:lang w:eastAsia="zh-CN"/>
        </w:rPr>
        <w:t>1.3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Molecular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change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majority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six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capabilities;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self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sufficiency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growth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signals,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insensitivity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anti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growth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signals,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evasion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lastRenderedPageBreak/>
        <w:t>apoptosis,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infinite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replication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ability,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sustained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angiogenesis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ability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invade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metastasis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Hanahan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Weinberg,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2000).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classified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three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categories: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Oncogenes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first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causing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identified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lead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unregulated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growth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(Ponder,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2001).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second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category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suppressor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(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p53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TP53)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usually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inactivated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function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category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responsible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repair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mechanisms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often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result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instability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leading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chromosome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numbers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breaks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Jorde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2000).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oncogenes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suppression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various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surprisingly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primary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(Gabriel,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2004).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Many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sz w:val="20"/>
          <w:szCs w:val="20"/>
        </w:rPr>
        <w:t>studies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concur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8p12-21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early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event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carcinogenesis;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homeobox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candidate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8p1-21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locus.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NKX3.1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maps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critical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8p12-21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Voeller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1997)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(Fig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eastAsiaTheme="minorEastAsia" w:cs="Times New Roman" w:hint="eastAsia"/>
          <w:sz w:val="20"/>
          <w:szCs w:val="20"/>
          <w:lang w:eastAsia="zh-CN"/>
        </w:rPr>
      </w:pP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potential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candidate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PTEN/MMAC1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maps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10q23,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carcinomas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several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carcinomas,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including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glioblastoma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breast,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endometrial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(Di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Cristofano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2001).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Besides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PTEN</w:t>
      </w:r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second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candidate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mapping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10q25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MXI1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suggested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play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maps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amplified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chromosome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8q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Bubendorf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2000).</w:t>
      </w:r>
    </w:p>
    <w:p w:rsidR="00CE2735" w:rsidRPr="00CE2735" w:rsidRDefault="00CE2735" w:rsidP="00D432CD">
      <w:pPr>
        <w:pStyle w:val="BodyText"/>
        <w:snapToGrid w:val="0"/>
        <w:ind w:left="0" w:firstLine="425"/>
        <w:jc w:val="both"/>
        <w:rPr>
          <w:rFonts w:eastAsiaTheme="minorEastAsia" w:cs="Times New Roman" w:hint="eastAsia"/>
          <w:sz w:val="20"/>
          <w:szCs w:val="20"/>
          <w:lang w:eastAsia="zh-CN"/>
        </w:rPr>
        <w:sectPr w:rsidR="00CE2735" w:rsidRPr="00CE2735" w:rsidSect="00D432C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299"/>
        </w:sectPr>
      </w:pPr>
    </w:p>
    <w:p w:rsidR="00D432CD" w:rsidRPr="00CE2735" w:rsidRDefault="00D432CD" w:rsidP="00D432CD">
      <w:pPr>
        <w:pStyle w:val="BodyText"/>
        <w:snapToGrid w:val="0"/>
        <w:ind w:left="0" w:firstLine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D432CD" w:rsidRPr="00CE2735" w:rsidRDefault="00D93CC6" w:rsidP="00D432CD">
      <w:pPr>
        <w:snapToGri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85pt;height:242.9pt;mso-position-horizontal-relative:char;mso-position-vertical-relative:line">
            <v:imagedata r:id="rId11" o:title=""/>
          </v:shape>
        </w:pict>
      </w:r>
    </w:p>
    <w:p w:rsidR="00AE3C75" w:rsidRPr="00CE2735" w:rsidRDefault="00AE3C75" w:rsidP="00D432CD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figure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adapted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Bubendorf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2000).</w:t>
      </w:r>
    </w:p>
    <w:p w:rsidR="00D432CD" w:rsidRPr="00CE2735" w:rsidRDefault="00D432CD" w:rsidP="00D432CD">
      <w:pPr>
        <w:pStyle w:val="Heading21"/>
        <w:snapToGrid w:val="0"/>
        <w:ind w:left="0"/>
        <w:jc w:val="both"/>
        <w:rPr>
          <w:rFonts w:eastAsiaTheme="minorEastAsia" w:cs="Times New Roman" w:hint="eastAsia"/>
          <w:sz w:val="20"/>
          <w:szCs w:val="20"/>
          <w:lang w:eastAsia="zh-CN"/>
        </w:rPr>
      </w:pPr>
    </w:p>
    <w:p w:rsidR="00CE2735" w:rsidRPr="00CE2735" w:rsidRDefault="00CE2735" w:rsidP="00D432CD">
      <w:pPr>
        <w:pStyle w:val="Heading21"/>
        <w:snapToGrid w:val="0"/>
        <w:ind w:left="0"/>
        <w:jc w:val="both"/>
        <w:rPr>
          <w:rFonts w:eastAsiaTheme="minorEastAsia" w:cs="Times New Roman"/>
          <w:sz w:val="20"/>
          <w:szCs w:val="20"/>
          <w:lang w:eastAsia="zh-CN"/>
        </w:rPr>
        <w:sectPr w:rsidR="00CE2735" w:rsidRPr="00CE2735" w:rsidSect="00B40F5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D432CD" w:rsidRPr="00CE2735" w:rsidRDefault="00CA77BB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eastAsiaTheme="minorEastAsia" w:cs="Times New Roman" w:hint="eastAsia"/>
          <w:sz w:val="20"/>
          <w:szCs w:val="20"/>
          <w:lang w:eastAsia="zh-CN"/>
        </w:rPr>
        <w:lastRenderedPageBreak/>
        <w:t>1.4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="00B40F56"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DNA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Mammalian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Pr="00CE2735">
        <w:rPr>
          <w:rFonts w:cs="Times New Roman"/>
          <w:sz w:val="20"/>
          <w:szCs w:val="20"/>
        </w:rPr>
        <w:t>)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have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own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Pr="00CE2735">
        <w:rPr>
          <w:rFonts w:cs="Times New Roman"/>
          <w:sz w:val="20"/>
          <w:szCs w:val="20"/>
        </w:rPr>
        <w:t>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circular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double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stranded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16.5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Kb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size.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contrast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nuclear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DNA,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naked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compact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molecule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sz w:val="20"/>
          <w:szCs w:val="20"/>
        </w:rPr>
        <w:t>without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introns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replicated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without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efficient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repair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mechanism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(Green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Reed,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1998).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Mitochondria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intracellular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organelles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responsible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adenosine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triphosphate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(ATP)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synthesis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through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coupling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oxidative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phosphorylation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(OXPHOS)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respiration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animal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involved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apoptosis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probably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tumorigenesis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(Tang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Zhang,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2005).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proofErr w:type="spellStart"/>
      <w:proofErr w:type="gramStart"/>
      <w:r w:rsidRPr="00CE2735">
        <w:rPr>
          <w:rFonts w:cs="Times New Roman"/>
          <w:sz w:val="20"/>
          <w:szCs w:val="20"/>
        </w:rPr>
        <w:t>mtDNA</w:t>
      </w:r>
      <w:proofErr w:type="spellEnd"/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types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lines.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sequence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changes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point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(mostly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transitions),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multiple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microsatellite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instability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noncoding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Czarnecka</w:t>
      </w:r>
      <w:proofErr w:type="spellEnd"/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</w:t>
      </w:r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2006).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ΔmtDNA</w:t>
      </w:r>
      <w:proofErr w:type="spellEnd"/>
      <w:r w:rsidRPr="00CE2735">
        <w:rPr>
          <w:rFonts w:cs="Times New Roman"/>
          <w:sz w:val="20"/>
          <w:szCs w:val="20"/>
        </w:rPr>
        <w:t>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mostcommon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change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detected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several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types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However,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little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known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about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hyperlink r:id="rId12">
        <w:r w:rsidR="00D432CD" w:rsidRPr="00CE2735">
          <w:rPr>
            <w:rFonts w:cs="Times New Roman"/>
            <w:sz w:val="20"/>
            <w:szCs w:val="20"/>
          </w:rPr>
          <w:t xml:space="preserve"> </w:t>
        </w:r>
        <w:r w:rsidRPr="00CE2735">
          <w:rPr>
            <w:rFonts w:cs="Times New Roman"/>
            <w:sz w:val="20"/>
            <w:szCs w:val="20"/>
          </w:rPr>
          <w:t>(</w:t>
        </w:r>
        <w:proofErr w:type="spellStart"/>
        <w:r w:rsidRPr="00CE2735">
          <w:rPr>
            <w:rFonts w:cs="Times New Roman"/>
            <w:sz w:val="20"/>
            <w:szCs w:val="20"/>
          </w:rPr>
          <w:t>Yadav</w:t>
        </w:r>
        <w:proofErr w:type="spellEnd"/>
        <w:r w:rsidR="00D432CD" w:rsidRPr="00CE2735">
          <w:rPr>
            <w:rFonts w:cs="Times New Roman"/>
            <w:sz w:val="20"/>
            <w:szCs w:val="20"/>
          </w:rPr>
          <w:t xml:space="preserve"> </w:t>
        </w:r>
      </w:hyperlink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hyperlink r:id="rId13">
        <w:r w:rsidRPr="00CE2735">
          <w:rPr>
            <w:rFonts w:cs="Times New Roman"/>
            <w:sz w:val="20"/>
            <w:szCs w:val="20"/>
          </w:rPr>
          <w:t>Chandra</w:t>
        </w:r>
      </w:hyperlink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2014).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4977-bp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occurred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two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13bp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direct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repeats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(8470-8482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13447-13459)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results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molecules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(ΔmtDNA4977)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lack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part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12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cluster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associated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pathological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phenotypes,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hearing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Bai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Seidman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2001),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(ESRD)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Rao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2009),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Kearnse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Sayre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syndrome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Mohri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1998).</w:t>
      </w:r>
    </w:p>
    <w:p w:rsidR="00D432CD" w:rsidRPr="00CE2735" w:rsidRDefault="00D432CD" w:rsidP="00D432CD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E3C75" w:rsidRPr="00CE2735" w:rsidRDefault="00C82FEF" w:rsidP="00D432CD">
      <w:pPr>
        <w:pStyle w:val="Heading11"/>
        <w:snapToGrid w:val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Chapter Two</w:t>
      </w:r>
    </w:p>
    <w:p w:rsidR="00D432CD" w:rsidRPr="00CE2735" w:rsidRDefault="00C82FEF" w:rsidP="00D432CD">
      <w:p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/>
          <w:bCs/>
          <w:sz w:val="20"/>
          <w:szCs w:val="20"/>
        </w:rPr>
        <w:t>Literature Review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happen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often,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body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normally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repair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them.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beneficial,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harmful,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make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those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lead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Usually,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takes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multiple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over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lifetime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cause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Somatic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Pr="00CE2735">
        <w:rPr>
          <w:rFonts w:cs="Times New Roman"/>
          <w:sz w:val="20"/>
          <w:szCs w:val="20"/>
        </w:rPr>
        <w:t>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increasingly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observed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primary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Chatterjee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2006).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Many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myopathies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characterized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Specifically,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work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―common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deletion‖.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portion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mtgenome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pathologic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conditions,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(Maki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2008).</w:t>
      </w:r>
    </w:p>
    <w:p w:rsidR="00D432CD" w:rsidRPr="00CE2735" w:rsidRDefault="00CA77BB" w:rsidP="00D432CD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hAnsi="Times New Roman" w:cs="Times New Roman"/>
          <w:sz w:val="20"/>
          <w:szCs w:val="20"/>
        </w:rPr>
        <w:t>mtDNA</w:t>
      </w:r>
      <w:proofErr w:type="spellEnd"/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hAnsi="Times New Roman" w:cs="Times New Roman"/>
          <w:sz w:val="20"/>
          <w:szCs w:val="20"/>
        </w:rPr>
        <w:t>bp</w:t>
      </w:r>
      <w:proofErr w:type="spellEnd"/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one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most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frequently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observed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hAnsi="Times New Roman" w:cs="Times New Roman"/>
          <w:sz w:val="20"/>
          <w:szCs w:val="20"/>
        </w:rPr>
        <w:t>mtDNA</w:t>
      </w:r>
      <w:proofErr w:type="spellEnd"/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mutations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human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tissues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may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play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role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carcinogenesis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different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types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tissues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CE2735">
        <w:rPr>
          <w:rFonts w:ascii="Times New Roman" w:hAnsi="Times New Roman" w:cs="Times New Roman"/>
          <w:sz w:val="20"/>
          <w:szCs w:val="20"/>
        </w:rPr>
        <w:t>Dimberg</w:t>
      </w:r>
      <w:proofErr w:type="spellEnd"/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D432CD" w:rsidRPr="00CE27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D432CD" w:rsidRPr="00CE27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2015).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original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article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studied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hAnsi="Times New Roman" w:cs="Times New Roman"/>
          <w:sz w:val="20"/>
          <w:szCs w:val="20"/>
        </w:rPr>
        <w:t>bp</w:t>
      </w:r>
      <w:proofErr w:type="spellEnd"/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deletions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lastRenderedPageBreak/>
        <w:t>mitochondrial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(mtDNA</w:t>
      </w:r>
      <w:r w:rsidRPr="00CE2735">
        <w:rPr>
          <w:rFonts w:ascii="Times New Roman" w:hAnsi="Times New Roman" w:cs="Times New Roman"/>
          <w:sz w:val="20"/>
          <w:szCs w:val="20"/>
          <w:vertAlign w:val="superscript"/>
        </w:rPr>
        <w:t>4977</w:t>
      </w:r>
      <w:r w:rsidRPr="00CE2735">
        <w:rPr>
          <w:rFonts w:ascii="Times New Roman" w:hAnsi="Times New Roman" w:cs="Times New Roman"/>
          <w:sz w:val="20"/>
          <w:szCs w:val="20"/>
        </w:rPr>
        <w:t>)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lung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cancer,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adjacent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hAnsi="Times New Roman" w:cs="Times New Roman"/>
          <w:sz w:val="20"/>
          <w:szCs w:val="20"/>
        </w:rPr>
        <w:t>histologically</w:t>
      </w:r>
      <w:proofErr w:type="spellEnd"/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normal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lung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tissue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its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potential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roles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development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cancer,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no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significant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difference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was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found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frequency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mtDNA4977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deletions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between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tumor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normal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lung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tissues.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Thus,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was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thought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to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reflect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environmental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aging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process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influencing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tumor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progression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(Dai</w:t>
      </w:r>
      <w:r w:rsidR="00D432CD" w:rsidRPr="00CE2735">
        <w:rPr>
          <w:rFonts w:ascii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D432CD" w:rsidRPr="00CE27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i/>
          <w:iCs/>
          <w:sz w:val="20"/>
          <w:szCs w:val="20"/>
        </w:rPr>
        <w:t>al.,</w:t>
      </w:r>
      <w:r w:rsidR="00D432CD" w:rsidRPr="00CE27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E2735">
        <w:rPr>
          <w:rFonts w:ascii="Times New Roman" w:hAnsi="Times New Roman" w:cs="Times New Roman"/>
          <w:sz w:val="20"/>
          <w:szCs w:val="20"/>
        </w:rPr>
        <w:t>2006).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shown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comparison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paired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colorectal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both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Swedish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Vietnamese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Dimberg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2014).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However,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(2011)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play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early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colorectal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implicated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alteration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cells.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color w:val="221F1F"/>
          <w:sz w:val="20"/>
          <w:szCs w:val="20"/>
        </w:rPr>
        <w:t>Similar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higher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frequency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of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deletion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normal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tissues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when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compared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to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malignant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were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observed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other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types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of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cancer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including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breast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(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Dimberg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i/>
          <w:color w:val="000000"/>
          <w:sz w:val="20"/>
          <w:szCs w:val="20"/>
        </w:rPr>
        <w:t>et</w:t>
      </w:r>
      <w:r w:rsidR="00D432CD" w:rsidRPr="00CE2735">
        <w:rPr>
          <w:rFonts w:cs="Times New Roman"/>
          <w:i/>
          <w:color w:val="000000"/>
          <w:sz w:val="20"/>
          <w:szCs w:val="20"/>
        </w:rPr>
        <w:t xml:space="preserve"> </w:t>
      </w:r>
      <w:r w:rsidRPr="00CE2735">
        <w:rPr>
          <w:rFonts w:cs="Times New Roman"/>
          <w:i/>
          <w:color w:val="000000"/>
          <w:sz w:val="20"/>
          <w:szCs w:val="20"/>
        </w:rPr>
        <w:t>al.,</w:t>
      </w:r>
      <w:r w:rsidR="00D432CD" w:rsidRPr="00CE2735">
        <w:rPr>
          <w:rFonts w:cs="Times New Roman"/>
          <w:i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2015)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and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oral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(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Shieh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i/>
          <w:color w:val="000000"/>
          <w:sz w:val="20"/>
          <w:szCs w:val="20"/>
        </w:rPr>
        <w:t>et</w:t>
      </w:r>
      <w:r w:rsidR="00D432CD" w:rsidRPr="00CE2735">
        <w:rPr>
          <w:rFonts w:cs="Times New Roman"/>
          <w:i/>
          <w:color w:val="000000"/>
          <w:sz w:val="20"/>
          <w:szCs w:val="20"/>
        </w:rPr>
        <w:t xml:space="preserve"> </w:t>
      </w:r>
      <w:r w:rsidRPr="00CE2735">
        <w:rPr>
          <w:rFonts w:cs="Times New Roman"/>
          <w:i/>
          <w:color w:val="000000"/>
          <w:sz w:val="20"/>
          <w:szCs w:val="20"/>
        </w:rPr>
        <w:t>al.,</w:t>
      </w:r>
      <w:r w:rsidR="00D432CD" w:rsidRPr="00CE2735">
        <w:rPr>
          <w:rFonts w:cs="Times New Roman"/>
          <w:i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2004)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carcinogenesis.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meta-analysis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study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of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33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publications,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in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which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total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of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1613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cancer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cases,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1516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adjacent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normal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and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638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healthy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controls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were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included,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found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that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cancerous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tissue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carried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lower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4977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deletion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frequency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than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adjacent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non-cancerous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tissue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among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various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types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of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cancer.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The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findings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of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this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study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provided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evidence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that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4977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deletion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is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more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likely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to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happen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in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cancer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patient,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but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it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is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negatively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selected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later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during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tumor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formation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of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various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types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of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cancerous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tissues</w:t>
      </w:r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(</w:t>
      </w:r>
      <w:proofErr w:type="spellStart"/>
      <w:r w:rsidRPr="00CE2735">
        <w:rPr>
          <w:rFonts w:cs="Times New Roman"/>
          <w:color w:val="000000"/>
          <w:sz w:val="20"/>
          <w:szCs w:val="20"/>
        </w:rPr>
        <w:t>Nie</w:t>
      </w:r>
      <w:proofErr w:type="spellEnd"/>
      <w:r w:rsidR="00D432CD" w:rsidRPr="00CE2735">
        <w:rPr>
          <w:rFonts w:cs="Times New Roman"/>
          <w:color w:val="000000"/>
          <w:sz w:val="20"/>
          <w:szCs w:val="20"/>
        </w:rPr>
        <w:t xml:space="preserve"> </w:t>
      </w:r>
      <w:r w:rsidRPr="00CE2735">
        <w:rPr>
          <w:rFonts w:cs="Times New Roman"/>
          <w:i/>
          <w:color w:val="000000"/>
          <w:sz w:val="20"/>
          <w:szCs w:val="20"/>
        </w:rPr>
        <w:t>et</w:t>
      </w:r>
      <w:r w:rsidR="00D432CD" w:rsidRPr="00CE2735">
        <w:rPr>
          <w:rFonts w:cs="Times New Roman"/>
          <w:i/>
          <w:color w:val="000000"/>
          <w:sz w:val="20"/>
          <w:szCs w:val="20"/>
        </w:rPr>
        <w:t xml:space="preserve"> </w:t>
      </w:r>
      <w:r w:rsidRPr="00CE2735">
        <w:rPr>
          <w:rFonts w:cs="Times New Roman"/>
          <w:i/>
          <w:color w:val="000000"/>
          <w:sz w:val="20"/>
          <w:szCs w:val="20"/>
        </w:rPr>
        <w:t>al.,</w:t>
      </w:r>
      <w:r w:rsidR="00D432CD" w:rsidRPr="00CE2735">
        <w:rPr>
          <w:rFonts w:cs="Times New Roman"/>
          <w:i/>
          <w:color w:val="000000"/>
          <w:sz w:val="20"/>
          <w:szCs w:val="20"/>
        </w:rPr>
        <w:t xml:space="preserve"> </w:t>
      </w:r>
      <w:r w:rsidRPr="00CE2735">
        <w:rPr>
          <w:rFonts w:cs="Times New Roman"/>
          <w:color w:val="000000"/>
          <w:sz w:val="20"/>
          <w:szCs w:val="20"/>
        </w:rPr>
        <w:t>2013).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color w:val="221F1F"/>
          <w:sz w:val="20"/>
          <w:szCs w:val="20"/>
        </w:rPr>
        <w:t>Other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studies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investigated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the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relationship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between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the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4977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deletion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of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the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and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chronic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cervicitis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cervix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cancer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and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patients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with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chronic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cervicitis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had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a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higher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frequent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heteroplasmic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4977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deletions.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This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finding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supported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the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hypothesis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that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increased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reactive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oxygen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species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(ROS)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production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during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chronic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inflammation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in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cervix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tissues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leads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to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color w:val="221F1F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mutations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(Kara</w:t>
      </w:r>
      <w:r w:rsidR="00D432CD" w:rsidRPr="00CE2735">
        <w:rPr>
          <w:rFonts w:cs="Times New Roman"/>
          <w:color w:val="221F1F"/>
          <w:sz w:val="20"/>
          <w:szCs w:val="20"/>
        </w:rPr>
        <w:t xml:space="preserve"> </w:t>
      </w:r>
      <w:r w:rsidRPr="00CE2735">
        <w:rPr>
          <w:rFonts w:cs="Times New Roman"/>
          <w:i/>
          <w:color w:val="221F1F"/>
          <w:sz w:val="20"/>
          <w:szCs w:val="20"/>
        </w:rPr>
        <w:t>et</w:t>
      </w:r>
      <w:r w:rsidR="00D432CD" w:rsidRPr="00CE2735">
        <w:rPr>
          <w:rFonts w:cs="Times New Roman"/>
          <w:i/>
          <w:color w:val="221F1F"/>
          <w:sz w:val="20"/>
          <w:szCs w:val="20"/>
        </w:rPr>
        <w:t xml:space="preserve"> </w:t>
      </w:r>
      <w:r w:rsidRPr="00CE2735">
        <w:rPr>
          <w:rFonts w:cs="Times New Roman"/>
          <w:i/>
          <w:color w:val="221F1F"/>
          <w:sz w:val="20"/>
          <w:szCs w:val="20"/>
        </w:rPr>
        <w:t>al.,</w:t>
      </w:r>
      <w:r w:rsidR="00D432CD" w:rsidRPr="00CE2735">
        <w:rPr>
          <w:rFonts w:cs="Times New Roman"/>
          <w:i/>
          <w:color w:val="221F1F"/>
          <w:sz w:val="20"/>
          <w:szCs w:val="20"/>
        </w:rPr>
        <w:t xml:space="preserve"> </w:t>
      </w:r>
      <w:r w:rsidRPr="00CE2735">
        <w:rPr>
          <w:rFonts w:cs="Times New Roman"/>
          <w:color w:val="221F1F"/>
          <w:sz w:val="20"/>
          <w:szCs w:val="20"/>
        </w:rPr>
        <w:t>2012).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Recently,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frequency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(D-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loop)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(mtDNA4977)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lesions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investigated.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obvious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correlation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prognostic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indicators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lesions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Badie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2015).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hand,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correlation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several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studies.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incidence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breast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(BC)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estrogen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receptor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(ER)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(ER)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negative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(BC)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Dimberg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development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hepatocellular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carcinoma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hepatocellular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nodular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hyperplasia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Shao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2004).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PCa</w:t>
      </w:r>
      <w:proofErr w:type="spellEnd"/>
      <w:r w:rsidRPr="00CE2735">
        <w:rPr>
          <w:rFonts w:cs="Times New Roman"/>
          <w:sz w:val="20"/>
          <w:szCs w:val="20"/>
        </w:rPr>
        <w:t>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thought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mediate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lastRenderedPageBreak/>
        <w:t>androgen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independence.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According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Maki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(2008),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Pr="00CE2735">
        <w:rPr>
          <w:rFonts w:cs="Times New Roman"/>
          <w:sz w:val="20"/>
          <w:szCs w:val="20"/>
        </w:rPr>
        <w:t>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useful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biomarker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management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PCa</w:t>
      </w:r>
      <w:proofErr w:type="spellEnd"/>
      <w:r w:rsidRPr="00CE2735">
        <w:rPr>
          <w:rFonts w:cs="Times New Roman"/>
          <w:sz w:val="20"/>
          <w:szCs w:val="20"/>
        </w:rPr>
        <w:t>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considered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useful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tool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detection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behaves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biosensor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suspicious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lesions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indicative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progression.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authors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useful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defining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benign,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proximal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(Maki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2008).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caused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accumulation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both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types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―</w:t>
      </w:r>
      <w:proofErr w:type="spellStart"/>
      <w:r w:rsidRPr="00CE2735">
        <w:rPr>
          <w:rFonts w:cs="Times New Roman"/>
          <w:sz w:val="20"/>
          <w:szCs w:val="20"/>
        </w:rPr>
        <w:t>nucleur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mitochondrial‖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leading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unrestrained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proliferation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neoplasm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formation.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unique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maternal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inheritance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pattern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Pr="00CE2735">
        <w:rPr>
          <w:rFonts w:cs="Times New Roman"/>
          <w:sz w:val="20"/>
          <w:szCs w:val="20"/>
        </w:rPr>
        <w:t>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small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size,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lack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recombination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during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gametogenesis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multiple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copy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number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characteristics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suggest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undergo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detectable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modifications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associated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progression.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major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common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associated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variety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Several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examined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association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deletion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Pr="00CE2735">
        <w:rPr>
          <w:rFonts w:cs="Times New Roman"/>
          <w:sz w:val="20"/>
          <w:szCs w:val="20"/>
        </w:rPr>
        <w:t>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human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sperm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dysfunction,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investigated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research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indented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examine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relationship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ΔmtDNA4977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patients.</w:t>
      </w:r>
    </w:p>
    <w:p w:rsidR="00D432CD" w:rsidRPr="00CE2735" w:rsidRDefault="00B40F56" w:rsidP="00D432CD">
      <w:pPr>
        <w:pStyle w:val="Heading21"/>
        <w:snapToGrid w:val="0"/>
        <w:ind w:left="0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CE2735">
        <w:rPr>
          <w:rFonts w:cs="Times New Roman"/>
          <w:sz w:val="20"/>
          <w:szCs w:val="20"/>
        </w:rPr>
        <w:t>Objective</w:t>
      </w:r>
    </w:p>
    <w:p w:rsidR="00D432CD" w:rsidRPr="00CE2735" w:rsidRDefault="00CA77BB" w:rsidP="00D432CD">
      <w:pPr>
        <w:pStyle w:val="Heading21"/>
        <w:snapToGrid w:val="0"/>
        <w:ind w:left="0" w:firstLine="425"/>
        <w:jc w:val="both"/>
        <w:rPr>
          <w:rFonts w:eastAsiaTheme="minorEastAsia" w:cs="Times New Roman"/>
          <w:b w:val="0"/>
          <w:sz w:val="20"/>
          <w:szCs w:val="20"/>
          <w:lang w:eastAsia="zh-CN"/>
        </w:rPr>
      </w:pPr>
      <w:r w:rsidRPr="00CE2735">
        <w:rPr>
          <w:rFonts w:cs="Times New Roman"/>
          <w:b w:val="0"/>
          <w:sz w:val="20"/>
          <w:szCs w:val="20"/>
        </w:rPr>
        <w:t>1-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To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detect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the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4977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deletions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of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mitochondrial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DNA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(ΔmtDNA</w:t>
      </w:r>
      <w:r w:rsidRPr="00CE2735">
        <w:rPr>
          <w:rFonts w:cs="Times New Roman"/>
          <w:b w:val="0"/>
          <w:sz w:val="20"/>
          <w:szCs w:val="20"/>
          <w:vertAlign w:val="superscript"/>
        </w:rPr>
        <w:t>4977</w:t>
      </w:r>
      <w:r w:rsidRPr="00CE2735">
        <w:rPr>
          <w:rFonts w:cs="Times New Roman"/>
          <w:b w:val="0"/>
          <w:sz w:val="20"/>
          <w:szCs w:val="20"/>
        </w:rPr>
        <w:t>)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in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malignant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benign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prostate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tissues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from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Sudanese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patients.</w:t>
      </w:r>
    </w:p>
    <w:p w:rsidR="00CA77BB" w:rsidRPr="00CE2735" w:rsidRDefault="00CA77BB" w:rsidP="00D432CD">
      <w:pPr>
        <w:pStyle w:val="Heading21"/>
        <w:snapToGrid w:val="0"/>
        <w:ind w:left="0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AE3C75" w:rsidRPr="00CE2735" w:rsidRDefault="00C82FEF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cs="Times New Roman"/>
          <w:sz w:val="20"/>
          <w:szCs w:val="20"/>
        </w:rPr>
        <w:t xml:space="preserve">Chapter Three Materials </w:t>
      </w:r>
      <w:proofErr w:type="gramStart"/>
      <w:r w:rsidRPr="00CE2735">
        <w:rPr>
          <w:rFonts w:cs="Times New Roman"/>
          <w:sz w:val="20"/>
          <w:szCs w:val="20"/>
        </w:rPr>
        <w:t>And</w:t>
      </w:r>
      <w:proofErr w:type="gramEnd"/>
      <w:r w:rsidRPr="00CE2735">
        <w:rPr>
          <w:rFonts w:cs="Times New Roman"/>
          <w:sz w:val="20"/>
          <w:szCs w:val="20"/>
        </w:rPr>
        <w:t xml:space="preserve"> Methods</w:t>
      </w:r>
    </w:p>
    <w:p w:rsidR="00D432CD" w:rsidRPr="00CE2735" w:rsidRDefault="00CA77BB" w:rsidP="00D432CD">
      <w:p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3.1</w:t>
      </w:r>
      <w:r w:rsidR="00D432CD" w:rsidRPr="00CE2735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/>
          <w:bCs/>
          <w:sz w:val="20"/>
          <w:szCs w:val="20"/>
        </w:rPr>
        <w:t>Subjects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enrolled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specimens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adult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moderate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specific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antigen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(PSA)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undergoing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prostoctomy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biopsy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Ibn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Sena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hospital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November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January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2016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agreed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participants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informed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about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inform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consent.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Ethical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approval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obtained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Faculty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Science.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isolated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biopsy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Nucleic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Acid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Extraction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according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manufactures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protocol.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firstly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prepared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grinding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liquid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nitrogen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mortar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pistil.</w:t>
      </w:r>
    </w:p>
    <w:p w:rsidR="00D432CD" w:rsidRPr="00CE2735" w:rsidRDefault="00CA77BB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eastAsiaTheme="minorEastAsia" w:cs="Times New Roman" w:hint="eastAsia"/>
          <w:sz w:val="20"/>
          <w:szCs w:val="20"/>
          <w:lang w:eastAsia="zh-CN"/>
        </w:rPr>
        <w:t>3.2</w:t>
      </w:r>
      <w:r w:rsidR="00D432CD" w:rsidRPr="00CE2735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40F56" w:rsidRPr="00CE2735">
        <w:rPr>
          <w:rFonts w:cs="Times New Roman"/>
          <w:sz w:val="20"/>
          <w:szCs w:val="20"/>
        </w:rPr>
        <w:t>Polymerase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chain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reaction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="00B40F56" w:rsidRPr="00CE2735">
        <w:rPr>
          <w:rFonts w:cs="Times New Roman"/>
          <w:sz w:val="20"/>
          <w:szCs w:val="20"/>
        </w:rPr>
        <w:t>(PCR)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Samples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screened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first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cytochrome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oxidase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(COI)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specific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assess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quality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(internal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control).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master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mix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[</w:t>
      </w:r>
      <w:proofErr w:type="spellStart"/>
      <w:r w:rsidRPr="00CE2735">
        <w:rPr>
          <w:rFonts w:cs="Times New Roman"/>
          <w:sz w:val="20"/>
          <w:szCs w:val="20"/>
        </w:rPr>
        <w:t>amaxime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premix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i</w:t>
      </w:r>
      <w:proofErr w:type="spellEnd"/>
      <w:r w:rsidRPr="00CE2735">
        <w:rPr>
          <w:rFonts w:cs="Times New Roman"/>
          <w:sz w:val="20"/>
          <w:szCs w:val="20"/>
        </w:rPr>
        <w:t>-tag)-(</w:t>
      </w:r>
      <w:proofErr w:type="spellStart"/>
      <w:r w:rsidRPr="00CE2735">
        <w:rPr>
          <w:rFonts w:cs="Times New Roman"/>
          <w:sz w:val="20"/>
          <w:szCs w:val="20"/>
        </w:rPr>
        <w:t>iNtRON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Biotechnology</w:t>
      </w:r>
      <w:r w:rsidR="00C82FEF" w:rsidRPr="00CE2735">
        <w:rPr>
          <w:rFonts w:cs="Times New Roman"/>
          <w:sz w:val="20"/>
          <w:szCs w:val="20"/>
        </w:rPr>
        <w:t>, I</w:t>
      </w:r>
      <w:r w:rsidRPr="00CE2735">
        <w:rPr>
          <w:rFonts w:cs="Times New Roman"/>
          <w:sz w:val="20"/>
          <w:szCs w:val="20"/>
        </w:rPr>
        <w:t>NC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(containing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lastRenderedPageBreak/>
        <w:t>already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dNTPs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MgCl2,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buffer,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Taq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polymerase)]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performed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volume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µl,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containing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1µl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1µl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each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(10µM)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(Table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amplification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performed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following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touchdown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programme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preheating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90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°C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mins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followed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cycles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of: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94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°C,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annealing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extension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72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°C,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ended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mins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72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°C.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Annealing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temperature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°C,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decreasing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degree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cycle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cycles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until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annealing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temperature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58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°C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reached.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programme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continued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final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temperature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annealing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step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during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remaining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cycles.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run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%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agarose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electrophoresis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visualized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under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UV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light.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screen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previous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condition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following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touchdown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programme</w:t>
      </w:r>
      <w:proofErr w:type="spellEnd"/>
      <w:r w:rsidRPr="00CE2735">
        <w:rPr>
          <w:rFonts w:cs="Times New Roman"/>
          <w:sz w:val="20"/>
          <w:szCs w:val="20"/>
        </w:rPr>
        <w:t>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Final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then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electrophoresed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3%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agarose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gel.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presence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indicated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appearance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358-bp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band.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detection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performed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amplification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experiments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negative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control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template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DNA.</w:t>
      </w:r>
    </w:p>
    <w:p w:rsidR="00D432CD" w:rsidRPr="00CE2735" w:rsidRDefault="00D432CD" w:rsidP="00D432CD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E3C75" w:rsidRPr="00CE2735" w:rsidRDefault="00B40F56" w:rsidP="00D432CD">
      <w:pPr>
        <w:pStyle w:val="BodyText"/>
        <w:snapToGrid w:val="0"/>
        <w:ind w:left="0"/>
        <w:jc w:val="center"/>
        <w:rPr>
          <w:rFonts w:cs="Times New Roman"/>
          <w:sz w:val="20"/>
          <w:szCs w:val="20"/>
        </w:rPr>
      </w:pPr>
      <w:r w:rsidRPr="00CE2735">
        <w:rPr>
          <w:rFonts w:cs="Times New Roman"/>
          <w:b/>
          <w:bCs/>
          <w:sz w:val="20"/>
          <w:szCs w:val="20"/>
        </w:rPr>
        <w:t>Table1.</w:t>
      </w:r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sequences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</w:p>
    <w:tbl>
      <w:tblPr>
        <w:tblStyle w:val="TableNormal1"/>
        <w:tblW w:w="5000" w:type="pct"/>
        <w:jc w:val="center"/>
        <w:tblLook w:val="01E0"/>
      </w:tblPr>
      <w:tblGrid>
        <w:gridCol w:w="1246"/>
        <w:gridCol w:w="3171"/>
      </w:tblGrid>
      <w:tr w:rsidR="00AE3C75" w:rsidRPr="00CE2735" w:rsidTr="00CE2735">
        <w:trPr>
          <w:jc w:val="center"/>
        </w:trPr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Primer</w:t>
            </w:r>
            <w:r w:rsidR="00D432CD"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Primers</w:t>
            </w:r>
            <w:r w:rsidR="00D432CD"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sequences</w:t>
            </w:r>
          </w:p>
        </w:tc>
      </w:tr>
      <w:tr w:rsidR="00AE3C75" w:rsidRPr="00CE2735" w:rsidTr="00CE2735">
        <w:trPr>
          <w:jc w:val="center"/>
        </w:trPr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 w:rsidR="00D432CD"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D432CD"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3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CTAACAGACCGCAACCTCAA</w:t>
            </w:r>
          </w:p>
        </w:tc>
      </w:tr>
      <w:tr w:rsidR="00AE3C75" w:rsidRPr="00CE2735" w:rsidTr="00CE2735">
        <w:trPr>
          <w:jc w:val="center"/>
        </w:trPr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 w:rsidR="00D432CD"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D432CD"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3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TACCTATGTATCCAAATGGT</w:t>
            </w:r>
          </w:p>
        </w:tc>
      </w:tr>
      <w:tr w:rsidR="00AE3C75" w:rsidRPr="00CE2735" w:rsidTr="00CE2735">
        <w:trPr>
          <w:jc w:val="center"/>
        </w:trPr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DelF</w:t>
            </w:r>
            <w:proofErr w:type="spellEnd"/>
          </w:p>
        </w:tc>
        <w:tc>
          <w:tcPr>
            <w:tcW w:w="3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ACCCTATTGCACCCCCTCTAC</w:t>
            </w:r>
          </w:p>
        </w:tc>
      </w:tr>
      <w:tr w:rsidR="00AE3C75" w:rsidRPr="00CE2735" w:rsidTr="00CE2735">
        <w:trPr>
          <w:jc w:val="center"/>
        </w:trPr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DelR</w:t>
            </w:r>
            <w:proofErr w:type="spellEnd"/>
          </w:p>
        </w:tc>
        <w:tc>
          <w:tcPr>
            <w:tcW w:w="35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E3C75" w:rsidRPr="00CE2735" w:rsidRDefault="00B40F56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CTTGTCAGGGAGGTAGCGATG</w:t>
            </w:r>
          </w:p>
        </w:tc>
      </w:tr>
    </w:tbl>
    <w:p w:rsidR="00AE3C75" w:rsidRPr="00CE2735" w:rsidRDefault="00AE3C75" w:rsidP="00D432CD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AE3C75" w:rsidRPr="00CE2735" w:rsidRDefault="00C82FEF" w:rsidP="00D432CD">
      <w:pPr>
        <w:pStyle w:val="Heading11"/>
        <w:snapToGrid w:val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cs="Times New Roman"/>
          <w:sz w:val="20"/>
          <w:szCs w:val="20"/>
        </w:rPr>
        <w:t xml:space="preserve">Chapter Four Results </w:t>
      </w:r>
      <w:proofErr w:type="gramStart"/>
      <w:r w:rsidRPr="00CE2735">
        <w:rPr>
          <w:rFonts w:cs="Times New Roman"/>
          <w:sz w:val="20"/>
          <w:szCs w:val="20"/>
        </w:rPr>
        <w:t>And</w:t>
      </w:r>
      <w:proofErr w:type="gramEnd"/>
      <w:r w:rsidRPr="00CE2735">
        <w:rPr>
          <w:rFonts w:cs="Times New Roman"/>
          <w:sz w:val="20"/>
          <w:szCs w:val="20"/>
        </w:rPr>
        <w:t xml:space="preserve"> Discussion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investigated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subjects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varying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ranging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69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undergoing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prostoctomy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biopsy.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39%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(n=13)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biopsies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61%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(n=17)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benign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hyperplasic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(BHP).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older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(mean=71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years)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BHP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(mean=63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years)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range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85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years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respectively.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However,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observed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regarding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presentation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two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groups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value=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0.17)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(Table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relationship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addressed.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adopted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after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(2011)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expected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358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(Fig.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absence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negative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results)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considered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true-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amplification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internal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control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successfully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189bp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size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further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lastRenderedPageBreak/>
        <w:t>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analysis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(Fig.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3).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23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(73.33%)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showed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Of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43.5%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(n=10)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while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slightly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(56.5%,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n=13)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presentation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benign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observed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(Fig.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Looking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frequency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previous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types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proportion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nasopharyngeal,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esophageal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stomach,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thyroid,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salivary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gland,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hepatocellular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Shen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</w:t>
      </w:r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2011).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current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frequency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rather,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almost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similar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benign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BHP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(76.9%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76.4%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respectively).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However,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recent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studies,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decreased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proportion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corresponding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non-</w:t>
      </w:r>
      <w:proofErr w:type="spellStart"/>
      <w:r w:rsidRPr="00CE2735">
        <w:rPr>
          <w:rFonts w:cs="Times New Roman"/>
          <w:sz w:val="20"/>
          <w:szCs w:val="20"/>
        </w:rPr>
        <w:t>tumorous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observed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gastric,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hepatocellular</w:t>
      </w:r>
      <w:proofErr w:type="spellEnd"/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oral,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skin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Chuanzhong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</w:t>
      </w:r>
      <w:r w:rsidRPr="00CE2735">
        <w:rPr>
          <w:rFonts w:cs="Times New Roman"/>
          <w:sz w:val="20"/>
          <w:szCs w:val="20"/>
        </w:rPr>
        <w:t>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2008).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possible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explanation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differences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existence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tissue-specific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turnover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rates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various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environmental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influences.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very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mutagenic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early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either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exposure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carcinogenic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substances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conditions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because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lack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repair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mechanism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Yusoff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occurrence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large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surprising.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Also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presence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BHP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our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justified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those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support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Zhang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(2015)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Δmt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copy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number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facilitated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progression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thus,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primary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cause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related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factor,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together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genetic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abnormalities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lead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emergence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clinical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manifestations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including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lastRenderedPageBreak/>
        <w:t>Some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authors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further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suspected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ΔmtDNA4977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accumulate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from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birth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earlier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likely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plays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development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mitochondrial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r w:rsidRPr="00CE2735">
        <w:rPr>
          <w:rFonts w:cs="Times New Roman"/>
          <w:i/>
          <w:sz w:val="20"/>
          <w:szCs w:val="20"/>
        </w:rPr>
        <w:t>Zhang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2015).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agreement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suggestion,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current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differences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subjects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presence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r w:rsidRPr="00CE2735">
        <w:rPr>
          <w:rFonts w:cs="Times New Roman"/>
          <w:i/>
          <w:sz w:val="20"/>
          <w:szCs w:val="20"/>
        </w:rPr>
        <w:t>P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value=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0.12</w:t>
      </w:r>
      <w:r w:rsidRPr="00CE2735">
        <w:rPr>
          <w:rFonts w:eastAsia="Calibri" w:cs="Times New Roman"/>
          <w:i/>
          <w:sz w:val="20"/>
          <w:szCs w:val="20"/>
        </w:rPr>
        <w:t>)</w:t>
      </w:r>
      <w:r w:rsidR="00D432CD" w:rsidRPr="00CE2735">
        <w:rPr>
          <w:rFonts w:eastAsia="Calibri"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(Table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speculated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ΔmtDNA4977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play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critical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early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stages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Yusoff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(2015)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only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certain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stages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types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sensitive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effects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Changes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disturb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several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processes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lead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function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important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features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abnormality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cell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Grzybowska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al.,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2012).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Elevated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serum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important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marker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many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diseases,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thus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thought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large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might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correlated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However,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affected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presence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mean=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51)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absence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mean=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41)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r w:rsidRPr="00CE2735">
        <w:rPr>
          <w:rFonts w:cs="Times New Roman"/>
          <w:i/>
          <w:sz w:val="20"/>
          <w:szCs w:val="20"/>
        </w:rPr>
        <w:t>p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value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=0.65</w:t>
      </w:r>
      <w:r w:rsidRPr="00CE2735">
        <w:rPr>
          <w:rFonts w:cs="Times New Roman"/>
          <w:sz w:val="20"/>
          <w:szCs w:val="20"/>
        </w:rPr>
        <w:t>).</w:t>
      </w: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Nevertheless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expected,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relationship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between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demonstrated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value=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0.00)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supporting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increase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risk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high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recorded</w:t>
      </w:r>
      <w:r w:rsidR="00C82FEF" w:rsidRPr="00CE2735">
        <w:rPr>
          <w:rFonts w:cs="Times New Roman"/>
          <w:sz w:val="20"/>
          <w:szCs w:val="20"/>
        </w:rPr>
        <w:t>.</w:t>
      </w:r>
    </w:p>
    <w:p w:rsidR="00AE3C75" w:rsidRPr="00CE2735" w:rsidRDefault="00B40F56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86%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subjects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with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71%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those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negative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Reports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more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chance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having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over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50%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(A.C.S.,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2016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b).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Similar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raised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levels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were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found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by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Elamin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et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i/>
          <w:sz w:val="20"/>
          <w:szCs w:val="20"/>
        </w:rPr>
        <w:t>al.</w:t>
      </w:r>
      <w:r w:rsidR="00D432CD" w:rsidRPr="00CE2735">
        <w:rPr>
          <w:rFonts w:cs="Times New Roman"/>
          <w:i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(2015)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among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Sudanese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comparison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normal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subjects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indicating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could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useful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marker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cancer.</w:t>
      </w:r>
    </w:p>
    <w:p w:rsidR="00D432CD" w:rsidRPr="00CE2735" w:rsidRDefault="00D432CD" w:rsidP="00D432CD">
      <w:pPr>
        <w:pStyle w:val="Heading21"/>
        <w:snapToGrid w:val="0"/>
        <w:ind w:left="0"/>
        <w:jc w:val="both"/>
        <w:rPr>
          <w:rFonts w:cs="Times New Roman"/>
          <w:color w:val="FFFFFF"/>
          <w:sz w:val="20"/>
          <w:szCs w:val="20"/>
        </w:rPr>
        <w:sectPr w:rsidR="00D432CD" w:rsidRPr="00CE2735" w:rsidSect="00D432C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299"/>
        </w:sectPr>
      </w:pPr>
    </w:p>
    <w:p w:rsidR="00C82FEF" w:rsidRPr="00CE2735" w:rsidRDefault="00C82FEF" w:rsidP="00D432CD">
      <w:pPr>
        <w:snapToGrid w:val="0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432CD" w:rsidRPr="00CE2735" w:rsidRDefault="00CA77BB" w:rsidP="00D432CD">
      <w:pPr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CE2735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5133395" cy="1971924"/>
            <wp:effectExtent l="19050" t="0" r="0" b="0"/>
            <wp:docPr id="476" name="图片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95" cy="197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CD" w:rsidRDefault="00B40F56" w:rsidP="00D432CD">
      <w:pPr>
        <w:pStyle w:val="BodyText"/>
        <w:snapToGrid w:val="0"/>
        <w:ind w:left="0"/>
        <w:jc w:val="both"/>
        <w:rPr>
          <w:rFonts w:eastAsiaTheme="minorEastAsia" w:cs="Times New Roman" w:hint="eastAsia"/>
          <w:sz w:val="20"/>
          <w:szCs w:val="20"/>
          <w:lang w:eastAsia="zh-CN"/>
        </w:rPr>
      </w:pPr>
      <w:proofErr w:type="gramStart"/>
      <w:r w:rsidRPr="00CE2735">
        <w:rPr>
          <w:rFonts w:cs="Times New Roman"/>
          <w:b/>
          <w:bCs/>
          <w:sz w:val="20"/>
          <w:szCs w:val="20"/>
        </w:rPr>
        <w:t>Figure</w:t>
      </w:r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b/>
          <w:bCs/>
          <w:sz w:val="20"/>
          <w:szCs w:val="20"/>
        </w:rPr>
        <w:t>2</w:t>
      </w:r>
      <w:r w:rsidRPr="00CE2735">
        <w:rPr>
          <w:rFonts w:cs="Times New Roman"/>
          <w:sz w:val="20"/>
          <w:szCs w:val="20"/>
        </w:rPr>
        <w:t>.</w:t>
      </w:r>
      <w:proofErr w:type="gram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%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agarose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electrophoresis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PCR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products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COX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amplification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9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indicate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results,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100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sz w:val="20"/>
          <w:szCs w:val="20"/>
        </w:rPr>
        <w:t>ladder</w:t>
      </w:r>
      <w:proofErr w:type="gramEnd"/>
      <w:r w:rsidRPr="00CE2735">
        <w:rPr>
          <w:rFonts w:cs="Times New Roman"/>
          <w:sz w:val="20"/>
          <w:szCs w:val="20"/>
        </w:rPr>
        <w:t>.</w:t>
      </w:r>
    </w:p>
    <w:p w:rsidR="00CE2735" w:rsidRPr="00CE2735" w:rsidRDefault="00CE2735" w:rsidP="00D432CD">
      <w:pPr>
        <w:pStyle w:val="BodyText"/>
        <w:snapToGrid w:val="0"/>
        <w:ind w:left="0"/>
        <w:jc w:val="both"/>
        <w:rPr>
          <w:rFonts w:eastAsiaTheme="minorEastAsia" w:cs="Times New Roman" w:hint="eastAsia"/>
          <w:sz w:val="20"/>
          <w:szCs w:val="20"/>
          <w:lang w:eastAsia="zh-CN"/>
        </w:rPr>
      </w:pPr>
    </w:p>
    <w:p w:rsidR="00D432CD" w:rsidRPr="00CE2735" w:rsidRDefault="00CA77BB" w:rsidP="00D432CD">
      <w:pPr>
        <w:pStyle w:val="BodyText"/>
        <w:snapToGrid w:val="0"/>
        <w:ind w:left="0"/>
        <w:jc w:val="center"/>
        <w:rPr>
          <w:rFonts w:eastAsiaTheme="minorEastAsia" w:cs="Times New Roman"/>
          <w:b/>
          <w:bCs/>
          <w:sz w:val="20"/>
          <w:szCs w:val="20"/>
          <w:lang w:eastAsia="zh-CN"/>
        </w:rPr>
      </w:pPr>
      <w:r w:rsidRPr="00CE2735">
        <w:rPr>
          <w:rFonts w:eastAsiaTheme="minorEastAsia" w:cs="Times New Roman" w:hint="eastAsia"/>
          <w:b/>
          <w:b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5674084" cy="1731827"/>
            <wp:effectExtent l="19050" t="0" r="2816" b="0"/>
            <wp:docPr id="477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72" cy="173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CD" w:rsidRPr="00CE2735" w:rsidRDefault="00B40F56" w:rsidP="00D432CD">
      <w:pPr>
        <w:pStyle w:val="BodyText"/>
        <w:snapToGrid w:val="0"/>
        <w:ind w:left="0"/>
        <w:jc w:val="both"/>
        <w:rPr>
          <w:rFonts w:cs="Times New Roman"/>
          <w:sz w:val="20"/>
          <w:szCs w:val="20"/>
        </w:rPr>
      </w:pPr>
      <w:proofErr w:type="gramStart"/>
      <w:r w:rsidRPr="00CE2735">
        <w:rPr>
          <w:rFonts w:cs="Times New Roman"/>
          <w:b/>
          <w:bCs/>
          <w:sz w:val="20"/>
          <w:szCs w:val="20"/>
        </w:rPr>
        <w:t>Figure</w:t>
      </w:r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b/>
          <w:bCs/>
          <w:sz w:val="20"/>
          <w:szCs w:val="20"/>
        </w:rPr>
        <w:t>3.</w:t>
      </w:r>
      <w:proofErr w:type="gramEnd"/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Gel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electrophoresis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results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DmtDNA4977.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100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DNA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ladder.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Lanes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2,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5,9</w:t>
      </w:r>
      <w:r w:rsidR="00C82FEF" w:rsidRPr="00CE2735">
        <w:rPr>
          <w:rFonts w:cs="Times New Roman"/>
          <w:sz w:val="20"/>
          <w:szCs w:val="20"/>
        </w:rPr>
        <w:t>,</w:t>
      </w:r>
      <w:r w:rsidRPr="00CE2735">
        <w:rPr>
          <w:rFonts w:cs="Times New Roman"/>
          <w:sz w:val="20"/>
          <w:szCs w:val="20"/>
        </w:rPr>
        <w:t>10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11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indicate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Lane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6,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8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are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negative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358-bp</w:t>
      </w:r>
    </w:p>
    <w:p w:rsidR="00CA77BB" w:rsidRDefault="00CA77BB" w:rsidP="00CE2735">
      <w:pPr>
        <w:pStyle w:val="BodyText"/>
        <w:snapToGrid w:val="0"/>
        <w:ind w:left="0"/>
        <w:rPr>
          <w:rFonts w:eastAsiaTheme="minorEastAsia" w:cs="Times New Roman" w:hint="eastAsia"/>
          <w:b/>
          <w:bCs/>
          <w:sz w:val="20"/>
          <w:szCs w:val="20"/>
          <w:lang w:eastAsia="zh-CN"/>
        </w:rPr>
      </w:pPr>
    </w:p>
    <w:p w:rsidR="00CE2735" w:rsidRPr="00CE2735" w:rsidRDefault="00CE2735" w:rsidP="00CE2735">
      <w:pPr>
        <w:pStyle w:val="BodyText"/>
        <w:snapToGrid w:val="0"/>
        <w:ind w:left="0"/>
        <w:rPr>
          <w:rFonts w:eastAsiaTheme="minorEastAsia" w:cs="Times New Roman"/>
          <w:b/>
          <w:bCs/>
          <w:sz w:val="20"/>
          <w:szCs w:val="20"/>
          <w:lang w:eastAsia="zh-CN"/>
        </w:rPr>
      </w:pPr>
    </w:p>
    <w:p w:rsidR="00D432CD" w:rsidRPr="00CE2735" w:rsidRDefault="00D432CD" w:rsidP="00D432CD">
      <w:pPr>
        <w:pStyle w:val="BodyText"/>
        <w:snapToGrid w:val="0"/>
        <w:ind w:left="0"/>
        <w:jc w:val="center"/>
        <w:rPr>
          <w:rFonts w:cs="Times New Roman"/>
          <w:b/>
          <w:bCs/>
          <w:sz w:val="20"/>
          <w:szCs w:val="20"/>
        </w:rPr>
        <w:sectPr w:rsidR="00D432CD" w:rsidRPr="00CE2735" w:rsidSect="00B40F5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AE3C75" w:rsidRPr="00CE2735" w:rsidRDefault="00B40F56" w:rsidP="00D432CD">
      <w:pPr>
        <w:pStyle w:val="BodyText"/>
        <w:snapToGrid w:val="0"/>
        <w:ind w:left="0"/>
        <w:jc w:val="center"/>
        <w:rPr>
          <w:rFonts w:cs="Times New Roman"/>
          <w:sz w:val="20"/>
          <w:szCs w:val="20"/>
        </w:rPr>
      </w:pPr>
      <w:r w:rsidRPr="00CE2735">
        <w:rPr>
          <w:rFonts w:cs="Times New Roman"/>
          <w:b/>
          <w:bCs/>
          <w:sz w:val="20"/>
          <w:szCs w:val="20"/>
        </w:rPr>
        <w:lastRenderedPageBreak/>
        <w:t>Table</w:t>
      </w:r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b/>
          <w:bCs/>
          <w:sz w:val="20"/>
          <w:szCs w:val="20"/>
        </w:rPr>
        <w:t>2:</w:t>
      </w:r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Pathology,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PSA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population</w:t>
      </w:r>
    </w:p>
    <w:tbl>
      <w:tblPr>
        <w:tblStyle w:val="TableNormal1"/>
        <w:tblW w:w="5000" w:type="pct"/>
        <w:jc w:val="center"/>
        <w:tblLook w:val="01E0"/>
      </w:tblPr>
      <w:tblGrid>
        <w:gridCol w:w="606"/>
        <w:gridCol w:w="1133"/>
        <w:gridCol w:w="423"/>
        <w:gridCol w:w="1387"/>
        <w:gridCol w:w="868"/>
      </w:tblGrid>
      <w:tr w:rsidR="00CA77BB" w:rsidRPr="00CE2735" w:rsidTr="00C82FEF">
        <w:trPr>
          <w:jc w:val="center"/>
        </w:trPr>
        <w:tc>
          <w:tcPr>
            <w:tcW w:w="196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Tumor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Mean±S.E</w:t>
            </w:r>
            <w:proofErr w:type="spellEnd"/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D432CD"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CA77BB" w:rsidRPr="00CE2735" w:rsidTr="00C82FEF">
        <w:trPr>
          <w:jc w:val="center"/>
        </w:trPr>
        <w:tc>
          <w:tcPr>
            <w:tcW w:w="685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PSA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Benign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13.09±1.742</w:t>
            </w:r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77BB" w:rsidRPr="00CE2735" w:rsidTr="00C82FEF">
        <w:trPr>
          <w:jc w:val="center"/>
        </w:trPr>
        <w:tc>
          <w:tcPr>
            <w:tcW w:w="685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Malignant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95.9±16.28</w:t>
            </w:r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77BB" w:rsidRPr="00CE2735" w:rsidTr="00C82FEF">
        <w:trPr>
          <w:jc w:val="center"/>
        </w:trPr>
        <w:tc>
          <w:tcPr>
            <w:tcW w:w="68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48.98±10.32</w:t>
            </w:r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A77BB" w:rsidRPr="00CE2735" w:rsidTr="00C82FEF">
        <w:trPr>
          <w:jc w:val="center"/>
        </w:trPr>
        <w:tc>
          <w:tcPr>
            <w:tcW w:w="685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Benign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66±2.11</w:t>
            </w:r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77BB" w:rsidRPr="00CE2735" w:rsidTr="00C82FEF">
        <w:trPr>
          <w:jc w:val="center"/>
        </w:trPr>
        <w:tc>
          <w:tcPr>
            <w:tcW w:w="685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Malignant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71±2.56</w:t>
            </w:r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77BB" w:rsidRPr="00CE2735" w:rsidTr="00C82FEF">
        <w:trPr>
          <w:jc w:val="center"/>
        </w:trPr>
        <w:tc>
          <w:tcPr>
            <w:tcW w:w="685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79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68±1.65</w:t>
            </w:r>
          </w:p>
        </w:tc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77BB" w:rsidRPr="00CE2735" w:rsidRDefault="00CA77BB" w:rsidP="00D432CD">
            <w:pPr>
              <w:pStyle w:val="TableParagraph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</w:tbl>
    <w:p w:rsidR="00D432CD" w:rsidRPr="00CE2735" w:rsidRDefault="00B40F56" w:rsidP="00C82FEF">
      <w:p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sz w:val="20"/>
          <w:szCs w:val="20"/>
        </w:rPr>
        <w:t>**Correlation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significant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0.05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level.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S.E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=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STANDER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ERROR</w:t>
      </w:r>
    </w:p>
    <w:p w:rsidR="00D432CD" w:rsidRPr="00CE2735" w:rsidRDefault="00D432CD" w:rsidP="00D432CD">
      <w:pPr>
        <w:pStyle w:val="BodyText"/>
        <w:snapToGrid w:val="0"/>
        <w:ind w:left="0"/>
        <w:jc w:val="both"/>
        <w:rPr>
          <w:rFonts w:eastAsiaTheme="minorEastAsia" w:cs="Times New Roman"/>
          <w:b/>
          <w:bCs/>
          <w:sz w:val="20"/>
          <w:szCs w:val="20"/>
          <w:lang w:eastAsia="zh-CN"/>
        </w:rPr>
      </w:pPr>
    </w:p>
    <w:p w:rsidR="00D432CD" w:rsidRPr="00CE2735" w:rsidRDefault="00CA77BB" w:rsidP="00D432CD">
      <w:pPr>
        <w:pStyle w:val="BodyText"/>
        <w:snapToGrid w:val="0"/>
        <w:ind w:left="0"/>
        <w:jc w:val="center"/>
        <w:rPr>
          <w:rFonts w:eastAsiaTheme="minorEastAsia" w:cs="Times New Roman"/>
          <w:b/>
          <w:bCs/>
          <w:sz w:val="20"/>
          <w:szCs w:val="20"/>
          <w:lang w:eastAsia="zh-CN"/>
        </w:rPr>
      </w:pPr>
      <w:r w:rsidRPr="00CE2735">
        <w:rPr>
          <w:rFonts w:eastAsiaTheme="minorEastAsia" w:cs="Times New Roman" w:hint="eastAsia"/>
          <w:b/>
          <w:bCs/>
          <w:noProof/>
          <w:sz w:val="20"/>
          <w:szCs w:val="20"/>
          <w:lang w:eastAsia="zh-CN"/>
        </w:rPr>
        <w:drawing>
          <wp:inline distT="0" distB="0" distL="0" distR="0">
            <wp:extent cx="2927149" cy="1701579"/>
            <wp:effectExtent l="19050" t="0" r="6551" b="0"/>
            <wp:docPr id="480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8750" t="3608" r="11507" b="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49" cy="17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CD" w:rsidRPr="00CE2735" w:rsidRDefault="00D432CD" w:rsidP="00D432CD">
      <w:pPr>
        <w:pStyle w:val="BodyText"/>
        <w:snapToGrid w:val="0"/>
        <w:ind w:left="0"/>
        <w:jc w:val="both"/>
        <w:rPr>
          <w:rFonts w:eastAsiaTheme="minorEastAsia" w:cs="Times New Roman"/>
          <w:b/>
          <w:bCs/>
          <w:sz w:val="20"/>
          <w:szCs w:val="20"/>
          <w:lang w:eastAsia="zh-CN"/>
        </w:rPr>
      </w:pPr>
    </w:p>
    <w:p w:rsidR="00D432CD" w:rsidRPr="00CE2735" w:rsidRDefault="00B40F56" w:rsidP="00D432CD">
      <w:pPr>
        <w:pStyle w:val="BodyText"/>
        <w:snapToGrid w:val="0"/>
        <w:ind w:left="0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b/>
          <w:bCs/>
          <w:sz w:val="20"/>
          <w:szCs w:val="20"/>
        </w:rPr>
        <w:t>Figure</w:t>
      </w:r>
      <w:r w:rsidR="00D432CD" w:rsidRPr="00CE2735">
        <w:rPr>
          <w:rFonts w:cs="Times New Roman"/>
          <w:b/>
          <w:bCs/>
          <w:sz w:val="20"/>
          <w:szCs w:val="20"/>
        </w:rPr>
        <w:t xml:space="preserve"> </w:t>
      </w:r>
      <w:r w:rsidRPr="00CE2735">
        <w:rPr>
          <w:rFonts w:cs="Times New Roman"/>
          <w:b/>
          <w:bCs/>
          <w:sz w:val="20"/>
          <w:szCs w:val="20"/>
        </w:rPr>
        <w:t>4</w:t>
      </w:r>
      <w:r w:rsidRPr="00CE2735">
        <w:rPr>
          <w:rFonts w:cs="Times New Roman"/>
          <w:sz w:val="20"/>
          <w:szCs w:val="20"/>
        </w:rPr>
        <w:t>: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Frequency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Cancer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benign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BHP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4977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positive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samples.</w:t>
      </w:r>
    </w:p>
    <w:p w:rsidR="00D432CD" w:rsidRPr="00CE2735" w:rsidRDefault="00D432CD" w:rsidP="00D432CD">
      <w:pPr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432CD" w:rsidRPr="00CE2735" w:rsidRDefault="00B40F56" w:rsidP="00D432CD">
      <w:pPr>
        <w:pStyle w:val="BodyText"/>
        <w:snapToGrid w:val="0"/>
        <w:ind w:left="0" w:firstLine="425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conclusion,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DmtDNA4977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detected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both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non-malignant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prostate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tissue.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Despite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suggested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minor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carcinogenesis,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exact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etiological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significance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needs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further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validation.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Functional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analysis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experimental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conditions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would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clarify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possible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underplaying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mutation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carcinogenesis.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Other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large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should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studied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larger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sample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size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types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tumors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different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stages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reach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conclusion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regarding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role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large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mtDNA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deletions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carcinogenesis.</w:t>
      </w:r>
    </w:p>
    <w:p w:rsidR="00C82FEF" w:rsidRDefault="00C82FEF" w:rsidP="00D432CD">
      <w:pPr>
        <w:snapToGrid w:val="0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CE2735" w:rsidRPr="00CE2735" w:rsidRDefault="00CE2735" w:rsidP="00D432CD">
      <w:pPr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D432CD" w:rsidRPr="00CE2735" w:rsidRDefault="00CA77BB" w:rsidP="00D432CD">
      <w:p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Acknowledgment</w:t>
      </w:r>
    </w:p>
    <w:p w:rsidR="00D432CD" w:rsidRPr="00CE2735" w:rsidRDefault="00CA77BB" w:rsidP="00D432CD">
      <w:pPr>
        <w:pStyle w:val="BodyText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My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best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thanks,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regards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respect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supervisor,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Mai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Abdul</w:t>
      </w:r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Rahman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sz w:val="20"/>
          <w:szCs w:val="20"/>
        </w:rPr>
        <w:t>Masri</w:t>
      </w:r>
      <w:proofErr w:type="spellEnd"/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(</w:t>
      </w:r>
      <w:proofErr w:type="spellStart"/>
      <w:r w:rsidRPr="00CE2735">
        <w:rPr>
          <w:rFonts w:cs="Times New Roman"/>
          <w:sz w:val="20"/>
          <w:szCs w:val="20"/>
        </w:rPr>
        <w:t>Ph.D</w:t>
      </w:r>
      <w:proofErr w:type="spellEnd"/>
      <w:r w:rsidRPr="00CE2735">
        <w:rPr>
          <w:rFonts w:cs="Times New Roman"/>
          <w:sz w:val="20"/>
          <w:szCs w:val="20"/>
        </w:rPr>
        <w:t>),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Department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Zoology,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Faculty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Science,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University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Khartoum,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who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has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been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helpful,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patient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throughout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study.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am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deeply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indebted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to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family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and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my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friends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for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their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kind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support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till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the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end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of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this</w:t>
      </w:r>
      <w:r w:rsidR="00D432CD" w:rsidRPr="00CE2735">
        <w:rPr>
          <w:rFonts w:cs="Times New Roman"/>
          <w:sz w:val="20"/>
          <w:szCs w:val="20"/>
        </w:rPr>
        <w:t xml:space="preserve"> </w:t>
      </w:r>
      <w:r w:rsidRPr="00CE2735">
        <w:rPr>
          <w:rFonts w:cs="Times New Roman"/>
          <w:sz w:val="20"/>
          <w:szCs w:val="20"/>
        </w:rPr>
        <w:t>work.</w:t>
      </w:r>
    </w:p>
    <w:p w:rsidR="00D432CD" w:rsidRPr="00CE2735" w:rsidRDefault="00D432CD" w:rsidP="00D432CD">
      <w:pPr>
        <w:pStyle w:val="Heading21"/>
        <w:snapToGrid w:val="0"/>
        <w:ind w:left="0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D432CD" w:rsidRPr="00CE2735" w:rsidRDefault="00C82FEF" w:rsidP="00D432CD">
      <w:pPr>
        <w:pStyle w:val="Heading21"/>
        <w:snapToGrid w:val="0"/>
        <w:ind w:left="0"/>
        <w:jc w:val="both"/>
        <w:rPr>
          <w:rFonts w:cs="Times New Roman"/>
          <w:b w:val="0"/>
          <w:bCs w:val="0"/>
          <w:sz w:val="20"/>
          <w:szCs w:val="20"/>
        </w:rPr>
      </w:pPr>
      <w:r w:rsidRPr="00CE2735">
        <w:rPr>
          <w:rFonts w:cs="Times New Roman"/>
          <w:sz w:val="20"/>
          <w:szCs w:val="20"/>
        </w:rPr>
        <w:t>References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Abuidris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Omran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El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Gaylani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El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Haj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(2010).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impact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trus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detection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Gezira,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Sudan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Gezira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Health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Sci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:1-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9.</w:t>
      </w:r>
    </w:p>
    <w:p w:rsidR="00C82FEF" w:rsidRPr="00CE2735" w:rsidRDefault="00D93CC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7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Anand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P.;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18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Kunnumakara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A.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B.;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19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Sundaram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C.;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0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Harikumar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K.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B.;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hyperlink r:id="rId21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Tharakan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S.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T.;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hyperlink r:id="rId22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Bokyung</w:t>
        </w:r>
        <w:proofErr w:type="spellEnd"/>
        <w:r w:rsidR="00D432CD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 </w:t>
        </w:r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Sung</w:t>
        </w:r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O.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3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Aggarwal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B.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B.,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(2008).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Preventable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Requires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Major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Lifestyle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Changes</w:t>
      </w:r>
      <w:r w:rsidR="00B40F56"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i/>
          <w:sz w:val="20"/>
          <w:szCs w:val="20"/>
        </w:rPr>
        <w:t>Pharmaceutical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i/>
          <w:sz w:val="20"/>
          <w:szCs w:val="20"/>
        </w:rPr>
        <w:t>Res.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25(9):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2097–2116</w:t>
      </w:r>
      <w:r w:rsidR="00B40F56"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America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Society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Global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Fact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Figures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Edition.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Atlanta:</w:t>
      </w:r>
      <w:r w:rsidR="00C82FEF" w:rsidRP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America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Soceity</w:t>
      </w:r>
      <w:proofErr w:type="spellEnd"/>
      <w:r w:rsidRPr="00CE2735">
        <w:rPr>
          <w:rFonts w:ascii="Times New Roman" w:eastAsia="Times New Roman" w:hAnsi="Times New Roman" w:cs="Times New Roman"/>
          <w:sz w:val="20"/>
          <w:szCs w:val="20"/>
        </w:rPr>
        <w:t>;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(2011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America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Society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(2016)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 T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American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Society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qualified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501(c)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(3)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tax-exempt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organization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American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Society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(2016).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Information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Database.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gramEnd"/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BadieI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Abdelbadie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Munsoor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Khalid,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(2015).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bp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Sudanese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oral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lesions.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ejpmr</w:t>
      </w:r>
      <w:proofErr w:type="spellEnd"/>
      <w:proofErr w:type="gram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2(4</w:t>
      </w:r>
      <w:r w:rsidRPr="00CE2735">
        <w:rPr>
          <w:rFonts w:ascii="Times New Roman" w:eastAsia="Times New Roman" w:hAnsi="Times New Roman" w:cs="Times New Roman"/>
          <w:bCs/>
          <w:i/>
          <w:sz w:val="20"/>
          <w:szCs w:val="20"/>
        </w:rPr>
        <w:t>):</w:t>
      </w:r>
      <w:r w:rsidR="00D432CD" w:rsidRPr="00CE273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32-43.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Bai.U</w:t>
      </w:r>
      <w:proofErr w:type="spellEnd"/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. a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Seidman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M.D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(2001)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 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specific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(mtDNA4977)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identified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pedigree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family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hearing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loss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Hearing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Res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154(1-2):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73-80.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Chaotterjee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Mambo,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Sidransky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(2006).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mutations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Oncogene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25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4663–4674.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Chen,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He,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Shen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Fang,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Nie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</w:t>
      </w:r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; J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in,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Wei,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Xin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Jiang,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Li,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Chen,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Lu,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Bai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(2011).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bp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its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implication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copy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number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alteration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colorectal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Medical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Genetics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2011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12-8.</w:t>
      </w:r>
    </w:p>
    <w:p w:rsidR="00C82FEF" w:rsidRPr="00CE2735" w:rsidRDefault="00B40F56" w:rsidP="00C82FEF">
      <w:pPr>
        <w:pStyle w:val="Heading21"/>
        <w:numPr>
          <w:ilvl w:val="0"/>
          <w:numId w:val="3"/>
        </w:numPr>
        <w:snapToGrid w:val="0"/>
        <w:jc w:val="both"/>
        <w:rPr>
          <w:rFonts w:cs="Times New Roman"/>
          <w:b w:val="0"/>
          <w:sz w:val="20"/>
          <w:szCs w:val="20"/>
        </w:rPr>
      </w:pPr>
      <w:proofErr w:type="spellStart"/>
      <w:r w:rsidRPr="00CE2735">
        <w:rPr>
          <w:rFonts w:cs="Times New Roman"/>
          <w:b w:val="0"/>
          <w:sz w:val="20"/>
          <w:szCs w:val="20"/>
        </w:rPr>
        <w:t>Chuanzhong</w:t>
      </w:r>
      <w:proofErr w:type="spellEnd"/>
      <w:r w:rsidRPr="00CE2735">
        <w:rPr>
          <w:rFonts w:cs="Times New Roman"/>
          <w:b w:val="0"/>
          <w:sz w:val="20"/>
          <w:szCs w:val="20"/>
        </w:rPr>
        <w:t>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Ye</w:t>
      </w:r>
      <w:proofErr w:type="spellEnd"/>
      <w:r w:rsidRPr="00CE2735">
        <w:rPr>
          <w:rFonts w:cs="Times New Roman"/>
          <w:b w:val="0"/>
          <w:sz w:val="20"/>
          <w:szCs w:val="20"/>
        </w:rPr>
        <w:t>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Xiao-</w:t>
      </w:r>
      <w:proofErr w:type="spellStart"/>
      <w:r w:rsidRPr="00CE2735">
        <w:rPr>
          <w:rFonts w:cs="Times New Roman"/>
          <w:b w:val="0"/>
          <w:sz w:val="20"/>
          <w:szCs w:val="20"/>
        </w:rPr>
        <w:t>Ou</w:t>
      </w:r>
      <w:proofErr w:type="spellEnd"/>
      <w:r w:rsidR="00C82FEF" w:rsidRPr="00CE2735">
        <w:rPr>
          <w:rFonts w:cs="Times New Roman"/>
          <w:b w:val="0"/>
          <w:sz w:val="20"/>
          <w:szCs w:val="20"/>
        </w:rPr>
        <w:t>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Wanqing</w:t>
      </w:r>
      <w:proofErr w:type="spellEnd"/>
      <w:r w:rsidRPr="00CE2735">
        <w:rPr>
          <w:rFonts w:cs="Times New Roman"/>
          <w:b w:val="0"/>
          <w:sz w:val="20"/>
          <w:szCs w:val="20"/>
        </w:rPr>
        <w:t>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gramStart"/>
      <w:r w:rsidRPr="00CE2735">
        <w:rPr>
          <w:rFonts w:cs="Times New Roman"/>
          <w:b w:val="0"/>
          <w:sz w:val="20"/>
          <w:szCs w:val="20"/>
        </w:rPr>
        <w:t>w</w:t>
      </w:r>
      <w:proofErr w:type="gramEnd"/>
      <w:r w:rsidR="00C82FEF" w:rsidRPr="00CE2735">
        <w:rPr>
          <w:rFonts w:cs="Times New Roman"/>
          <w:b w:val="0"/>
          <w:sz w:val="20"/>
          <w:szCs w:val="20"/>
        </w:rPr>
        <w:t>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Larry.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Regina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Yu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Tang,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G</w:t>
      </w:r>
      <w:r w:rsidR="00C82FEF" w:rsidRPr="00CE2735">
        <w:rPr>
          <w:rFonts w:cs="Times New Roman"/>
          <w:b w:val="0"/>
          <w:bCs w:val="0"/>
          <w:sz w:val="20"/>
          <w:szCs w:val="20"/>
        </w:rPr>
        <w:t>; W</w:t>
      </w:r>
      <w:r w:rsidRPr="00CE2735">
        <w:rPr>
          <w:rFonts w:cs="Times New Roman"/>
          <w:b w:val="0"/>
          <w:bCs w:val="0"/>
          <w:sz w:val="20"/>
          <w:szCs w:val="20"/>
        </w:rPr>
        <w:t>ei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Z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and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bCs w:val="0"/>
          <w:sz w:val="20"/>
          <w:szCs w:val="20"/>
        </w:rPr>
        <w:t>Qiuyin</w:t>
      </w:r>
      <w:proofErr w:type="spellEnd"/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C.,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(2008).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Quantitative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analysis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of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mitochondrial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DNA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4977-</w:t>
      </w:r>
      <w:r w:rsidR="00C82FEF" w:rsidRPr="00CE2735">
        <w:rPr>
          <w:rFonts w:cs="Times New Roman" w:hint="eastAsia"/>
          <w:b w:val="0"/>
          <w:sz w:val="20"/>
          <w:szCs w:val="20"/>
          <w:lang w:eastAsia="zh-CN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deletion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in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sporadic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breast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cancer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benign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breast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diseases.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Breast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Cancer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Res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Treat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108</w:t>
      </w:r>
      <w:r w:rsidRPr="00CE2735">
        <w:rPr>
          <w:rFonts w:cs="Times New Roman"/>
          <w:b w:val="0"/>
          <w:sz w:val="20"/>
          <w:szCs w:val="20"/>
        </w:rPr>
        <w:t>:427–434.</w:t>
      </w:r>
      <w:r w:rsidR="00C82FEF"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 xml:space="preserve"> 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Cohen,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Shannon,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Phillips,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Moorin</w:t>
      </w:r>
      <w:proofErr w:type="spellEnd"/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Wheeler,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T.M.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Garrett,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K.L.,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(2008).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Central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zone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carcinoma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gland: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distinct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type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poor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prognostic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features.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Urol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179(5):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1762-7.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Czarnecka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Golik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Bartnik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(2006).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mutations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neoplasia</w:t>
      </w:r>
      <w:proofErr w:type="spellEnd"/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Appl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Genet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47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:67-78.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Dai,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Xiao,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Min,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Zhang,G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Q.;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Yao,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Zhou,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2006).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bP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mutations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lung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carcinoma.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Indian</w:t>
      </w:r>
      <w:r w:rsidR="00C82FEF" w:rsidRPr="00CE2735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20-25.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Di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Cristofano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De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Acetis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Koff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Cordon-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Cardo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C.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Pandolfi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P.P.,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(2001).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Cooperate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tumor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suppression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mouse.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Nat.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Genet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27: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222–224.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Dimberg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Hong,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Skarstedt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Lofgren,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Zar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N.,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Matussek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(2014).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Novel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Differential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Accumulation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Swedish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Vietnamese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Colorectal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Anticancer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Res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i/>
          <w:sz w:val="20"/>
          <w:szCs w:val="20"/>
        </w:rPr>
        <w:t>34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147-152.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DimbergI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Hong,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Nguyen,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Skarstedt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Löfgren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Matussek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(2015).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Common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bp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novel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alterations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Vietnamese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Springerplus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4: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58.</w:t>
      </w:r>
    </w:p>
    <w:p w:rsidR="00C82FEF" w:rsidRPr="00CE2735" w:rsidRDefault="00D93CC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hyperlink r:id="rId24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Elamin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5"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Ibrahim</w:t>
        </w:r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E.;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6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Abuidris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D.;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7"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Mohamed</w:t>
        </w:r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K.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E.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H.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28"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Mohammed</w:t>
        </w:r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S.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I.,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(2015).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Part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I: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Sudan—burden,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distribution,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trends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breast,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gynecological,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cancers.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i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i/>
          <w:sz w:val="20"/>
          <w:szCs w:val="20"/>
        </w:rPr>
        <w:t>Med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447–456.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Elimam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Sharfi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2013).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Incidence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Carcinoma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Normal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Specific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Antigen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Following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Prostatectomy.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Global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Journal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medical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Res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:25-29.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Ferlay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J;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Soerjomataram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I;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Ervik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M;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Dikshit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R;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Eser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S</w:t>
      </w:r>
      <w:r w:rsidR="00C82FEF" w:rsidRPr="00CE2735">
        <w:rPr>
          <w:rFonts w:ascii="Times New Roman" w:eastAsia="Calibri" w:hAnsi="Times New Roman" w:cs="Times New Roman"/>
          <w:bCs/>
          <w:sz w:val="20"/>
          <w:szCs w:val="20"/>
        </w:rPr>
        <w:t>, a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nd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Mathers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C</w:t>
      </w:r>
      <w:r w:rsidRPr="00CE2735">
        <w:rPr>
          <w:rFonts w:ascii="Times New Roman" w:eastAsia="Calibri" w:hAnsi="Times New Roman" w:cs="Times New Roman"/>
          <w:sz w:val="20"/>
          <w:szCs w:val="20"/>
        </w:rPr>
        <w:t>.,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(2014)</w:t>
      </w:r>
      <w:proofErr w:type="gramStart"/>
      <w:r w:rsidRPr="00CE2735">
        <w:rPr>
          <w:rFonts w:ascii="Times New Roman" w:eastAsia="Calibri" w:hAnsi="Times New Roman" w:cs="Times New Roman"/>
          <w:sz w:val="20"/>
          <w:szCs w:val="20"/>
        </w:rPr>
        <w:t>..</w:t>
      </w:r>
      <w:proofErr w:type="gramEnd"/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Incidence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Mortality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Worldwide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[Internet].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Cancer</w:t>
      </w:r>
      <w:r w:rsidR="00CE2735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Base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2012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v1.</w:t>
      </w:r>
      <w:r w:rsidR="00C82FEF" w:rsidRPr="00CE2735">
        <w:rPr>
          <w:rFonts w:ascii="Times New Roman" w:eastAsia="Calibri" w:hAnsi="Times New Roman" w:cs="Times New Roman"/>
          <w:bCs/>
          <w:sz w:val="20"/>
          <w:szCs w:val="20"/>
        </w:rPr>
        <w:t>0.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Gabriel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(2004)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application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biology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to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nursing.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biology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cancer.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Green,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Reed,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(1998)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apoptosis.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Science</w:t>
      </w:r>
      <w:r w:rsidR="00C82FEF" w:rsidRPr="00CE2735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CE2735">
        <w:rPr>
          <w:rFonts w:ascii="Times New Roman" w:hAnsi="Times New Roman" w:cs="Times New Roman"/>
          <w:bCs/>
          <w:sz w:val="20"/>
          <w:szCs w:val="20"/>
        </w:rPr>
        <w:t>12</w:t>
      </w:r>
      <w:r w:rsidRPr="00CE2735">
        <w:rPr>
          <w:rFonts w:ascii="Times New Roman" w:hAnsi="Times New Roman" w:cs="Times New Roman"/>
          <w:sz w:val="20"/>
          <w:szCs w:val="20"/>
        </w:rPr>
        <w:t>:281-</w:t>
      </w:r>
      <w:r w:rsidRPr="00CE2735">
        <w:rPr>
          <w:rFonts w:ascii="Times New Roman" w:hAnsi="Times New Roman" w:cs="Times New Roman"/>
          <w:sz w:val="20"/>
          <w:szCs w:val="20"/>
        </w:rPr>
        <w:lastRenderedPageBreak/>
        <w:t>1309.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Grzybowska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Zatkowska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Slaska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(2012).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Carcinogenesis.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Molecular.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Med.</w:t>
      </w:r>
      <w:r w:rsidR="00CE2735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Rep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6(5):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923-930.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Hamad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F.A.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Abuidris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D.O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(2011).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Risk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factor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Patients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among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gezira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central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Sudan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IIUM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Eng.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12(4).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Hanahan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Weinberg,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R.A.,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(2000)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hallmarks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Cell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82FEF" w:rsidRP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100(1):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57-70.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Hidayatalla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A.R.E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(1986).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Radiation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Isotope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Center,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Khartoum,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1967-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1984.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occurrence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developing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countries.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IARC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Scientific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Publications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75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82–87.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Jorde</w:t>
      </w:r>
      <w:proofErr w:type="spellEnd"/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L.B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(2000).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Medical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genetics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2nd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CE2735"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gramEnd"/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Kara,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Tatar,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Borekci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Dagli</w:t>
      </w:r>
      <w:proofErr w:type="spellEnd"/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F.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Oztas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.,</w:t>
      </w:r>
      <w:proofErr w:type="gramEnd"/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(2012).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Bp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chronic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cervicitis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cervix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BJMG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15/1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25-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29.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Khan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H.S;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Zeegers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M.P;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Schout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L.J;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Vondijk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B.A.C;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Goldbohm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R.A;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Schalken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Shajahan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Pearlman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Oddoux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Vanden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Brandt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P.A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Oster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(2011).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Genetic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Marker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Polymorphism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Chromosome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8q24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Dutch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Population.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Eurt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Hum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Genet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19(1):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118-20.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Maki,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Robinson,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Reguly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Alexander,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Wittock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(2008).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Genome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Aids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Identification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False-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True-</w:t>
      </w:r>
      <w:r w:rsidR="00C82FEF" w:rsidRP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Negative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Needle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Core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Biopsy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Specimens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Soci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for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Clin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Patho</w:t>
      </w:r>
      <w:proofErr w:type="spellEnd"/>
      <w:r w:rsidR="00C82FEF" w:rsidRPr="00CE2735">
        <w:rPr>
          <w:rFonts w:ascii="Times New Roman" w:hAnsi="Times New Roman" w:cs="Times New Roman" w:hint="eastAsia"/>
          <w:i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129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:57-66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2FEF" w:rsidRPr="00CE2735" w:rsidRDefault="00B40F56" w:rsidP="00C82FEF">
      <w:pPr>
        <w:pStyle w:val="Heading21"/>
        <w:numPr>
          <w:ilvl w:val="0"/>
          <w:numId w:val="3"/>
        </w:numPr>
        <w:snapToGrid w:val="0"/>
        <w:jc w:val="both"/>
        <w:rPr>
          <w:rFonts w:cs="Times New Roman"/>
          <w:b w:val="0"/>
          <w:sz w:val="20"/>
          <w:szCs w:val="20"/>
        </w:rPr>
      </w:pPr>
      <w:r w:rsidRPr="00CE2735">
        <w:rPr>
          <w:rFonts w:cs="Times New Roman"/>
          <w:b w:val="0"/>
          <w:sz w:val="20"/>
          <w:szCs w:val="20"/>
        </w:rPr>
        <w:t>Mohammed,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E.;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Hassan,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Abdelhadi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H.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Elsadig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G.;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Adam,</w:t>
      </w:r>
      <w:r w:rsidR="00C82FEF" w:rsidRPr="00CE2735">
        <w:rPr>
          <w:rFonts w:eastAsiaTheme="minorEastAsia" w:cs="Times New Roman" w:hint="eastAsia"/>
          <w:b w:val="0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D.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M.;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bCs w:val="0"/>
          <w:sz w:val="20"/>
          <w:szCs w:val="20"/>
        </w:rPr>
        <w:t>Elmamoun</w:t>
      </w:r>
      <w:proofErr w:type="spellEnd"/>
      <w:r w:rsidRPr="00CE2735">
        <w:rPr>
          <w:rFonts w:cs="Times New Roman"/>
          <w:b w:val="0"/>
          <w:bCs w:val="0"/>
          <w:sz w:val="20"/>
          <w:szCs w:val="20"/>
        </w:rPr>
        <w:t>,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K.,</w:t>
      </w:r>
      <w:r w:rsidR="00D432CD" w:rsidRPr="00CE2735">
        <w:rPr>
          <w:rFonts w:cs="Times New Roman"/>
          <w:b w:val="0"/>
          <w:bCs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(2014)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Burden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pattern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of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cancer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in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the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Sudan,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2000–</w:t>
      </w:r>
      <w:r w:rsidR="00C82FEF" w:rsidRPr="00CE2735">
        <w:rPr>
          <w:rFonts w:cs="Times New Roman" w:hint="eastAsia"/>
          <w:b w:val="0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2006</w:t>
      </w:r>
      <w:r w:rsidRPr="00CE2735">
        <w:rPr>
          <w:rFonts w:cs="Times New Roman"/>
          <w:b w:val="0"/>
          <w:i/>
          <w:sz w:val="20"/>
          <w:szCs w:val="20"/>
        </w:rPr>
        <w:t>.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Br.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J.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Med.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Med.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Res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4</w:t>
      </w:r>
      <w:r w:rsidRPr="00CE2735">
        <w:rPr>
          <w:rFonts w:cs="Times New Roman"/>
          <w:b w:val="0"/>
          <w:sz w:val="20"/>
          <w:szCs w:val="20"/>
        </w:rPr>
        <w:t>:1231–1243.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Mohri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I.;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Taniike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Fujimura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H.;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Matsuoka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T.;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Inui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K.;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Nagai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T.,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(1998)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case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Kearns–Sayre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syndrome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showing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constant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proportion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deleted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blood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cells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during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6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years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follow-up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J.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Neurol.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Sci</w:t>
      </w:r>
      <w:r w:rsidRPr="00CE2735">
        <w:rPr>
          <w:rFonts w:ascii="Times New Roman" w:eastAsia="Calibri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158</w:t>
      </w:r>
      <w:r w:rsidRPr="00CE2735">
        <w:rPr>
          <w:rFonts w:ascii="Times New Roman" w:eastAsia="Calibri" w:hAnsi="Times New Roman" w:cs="Times New Roman"/>
          <w:sz w:val="20"/>
          <w:szCs w:val="20"/>
        </w:rPr>
        <w:t>:106–109.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Mukhtar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B.I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(1978)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Sudan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Registry.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Parkin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DM,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editor.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occurrence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developing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countries.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IARC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Scientific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Publication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57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81–85.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Nie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Shu</w:t>
      </w:r>
      <w:proofErr w:type="spellEnd"/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Vartak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Milstein,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Mo,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Hu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Fang,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Shen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Ding,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Lu,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J;.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proofErr w:type="gramEnd"/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Bai,Y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(2013).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Common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Potential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Biomarker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Occurrence,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Selected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against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Background: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Meta-Analysis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38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Studies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29">
        <w:r w:rsidRPr="00CE2735">
          <w:rPr>
            <w:rFonts w:ascii="Times New Roman" w:eastAsia="Times New Roman" w:hAnsi="Times New Roman" w:cs="Times New Roman"/>
            <w:sz w:val="20"/>
            <w:szCs w:val="20"/>
            <w:u w:val="single" w:color="000000"/>
          </w:rPr>
          <w:t>http://dx.doi.org/10.1371/journal.pone.0067953</w:t>
        </w:r>
      </w:hyperlink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Ponder,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B.A.,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(2001)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genetics.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Nature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411(6835):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336-41.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Ramos,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Carvahal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F.;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Mager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(1999)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effect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high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grade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lastRenderedPageBreak/>
        <w:t>intraepithelial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neoplasia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serum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percentage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free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specific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antigen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levels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Urol</w:t>
      </w:r>
      <w:proofErr w:type="spellEnd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162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1587.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Calibri" w:hAnsi="Times New Roman" w:cs="Times New Roman"/>
          <w:bCs/>
          <w:sz w:val="20"/>
          <w:szCs w:val="20"/>
        </w:rPr>
        <w:t>Rao</w:t>
      </w:r>
      <w:proofErr w:type="spellEnd"/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S.N.,</w:t>
      </w:r>
      <w:r w:rsidR="00D432CD" w:rsidRPr="00CE273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CE2735">
        <w:rPr>
          <w:rFonts w:ascii="Times New Roman" w:eastAsia="Calibri" w:hAnsi="Times New Roman" w:cs="Times New Roman"/>
          <w:sz w:val="20"/>
          <w:szCs w:val="20"/>
        </w:rPr>
        <w:t>2009).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screening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end-stage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renal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sz w:val="20"/>
          <w:szCs w:val="20"/>
        </w:rPr>
        <w:t>disease.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Saudi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J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i/>
          <w:sz w:val="20"/>
          <w:szCs w:val="20"/>
        </w:rPr>
        <w:t>Kidney</w:t>
      </w:r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i/>
          <w:sz w:val="20"/>
          <w:szCs w:val="20"/>
        </w:rPr>
        <w:t>Dis</w:t>
      </w:r>
      <w:proofErr w:type="spellEnd"/>
      <w:r w:rsidR="00D432CD" w:rsidRPr="00CE273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Calibri" w:hAnsi="Times New Roman" w:cs="Times New Roman"/>
          <w:i/>
          <w:sz w:val="20"/>
          <w:szCs w:val="20"/>
        </w:rPr>
        <w:t>Transpl</w:t>
      </w:r>
      <w:proofErr w:type="spellEnd"/>
      <w:r w:rsidRPr="00CE2735">
        <w:rPr>
          <w:rFonts w:ascii="Times New Roman" w:eastAsia="Calibri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Calibri" w:hAnsi="Times New Roman" w:cs="Times New Roman"/>
          <w:bCs/>
          <w:sz w:val="20"/>
          <w:szCs w:val="20"/>
        </w:rPr>
        <w:t>20</w:t>
      </w:r>
      <w:r w:rsidRPr="00CE2735">
        <w:rPr>
          <w:rFonts w:ascii="Times New Roman" w:eastAsia="Calibri" w:hAnsi="Times New Roman" w:cs="Times New Roman"/>
          <w:sz w:val="20"/>
          <w:szCs w:val="20"/>
        </w:rPr>
        <w:t>:737–40.</w:t>
      </w:r>
    </w:p>
    <w:p w:rsidR="00AE3C75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Saeed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I.E;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Weng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H.Y;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Mohamed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K.H,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Mohamed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S.I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(2014).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Incidence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Khartoum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udan</w:t>
      </w:r>
      <w:proofErr w:type="spellEnd"/>
      <w:proofErr w:type="gramEnd"/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first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results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registry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(2009-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2010)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C82FEF" w:rsidRPr="00CE2735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Med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3(4):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1075-1080.</w:t>
      </w:r>
    </w:p>
    <w:p w:rsidR="00C82FEF" w:rsidRPr="00CE2735" w:rsidRDefault="00B40F56" w:rsidP="00C82FEF">
      <w:pPr>
        <w:pStyle w:val="Heading21"/>
        <w:numPr>
          <w:ilvl w:val="0"/>
          <w:numId w:val="3"/>
        </w:numPr>
        <w:snapToGrid w:val="0"/>
        <w:jc w:val="both"/>
        <w:rPr>
          <w:rFonts w:cs="Times New Roman"/>
          <w:b w:val="0"/>
          <w:sz w:val="20"/>
          <w:szCs w:val="20"/>
        </w:rPr>
      </w:pPr>
      <w:proofErr w:type="spellStart"/>
      <w:r w:rsidRPr="00CE2735">
        <w:rPr>
          <w:rFonts w:cs="Times New Roman"/>
          <w:b w:val="0"/>
          <w:sz w:val="20"/>
          <w:szCs w:val="20"/>
        </w:rPr>
        <w:t>Shao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J.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Gao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H.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Li,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H.;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Zhang,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Lu,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</w:t>
      </w:r>
      <w:r w:rsidR="00C82FEF" w:rsidRPr="00CE2735">
        <w:rPr>
          <w:rFonts w:cs="Times New Roman"/>
          <w:b w:val="0"/>
          <w:sz w:val="20"/>
          <w:szCs w:val="20"/>
        </w:rPr>
        <w:t>.</w:t>
      </w:r>
      <w:r w:rsidRPr="00CE2735">
        <w:rPr>
          <w:rFonts w:cs="Times New Roman"/>
          <w:b w:val="0"/>
          <w:sz w:val="20"/>
          <w:szCs w:val="20"/>
        </w:rPr>
        <w:t>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Zeng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X.,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(2004).</w:t>
      </w:r>
      <w:r w:rsidR="00C82FEF" w:rsidRPr="00CE2735">
        <w:rPr>
          <w:rFonts w:eastAsiaTheme="minorEastAsia" w:cs="Times New Roman" w:hint="eastAsia"/>
          <w:b w:val="0"/>
          <w:bCs w:val="0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Quantitative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detection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of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common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deletion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of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mitochondrial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DNA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in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hepatocellular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carcinoma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hepatocellular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nodular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hyperplasia.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World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J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Gastroenterology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10(11):</w:t>
      </w:r>
      <w:r w:rsidRPr="00CE2735">
        <w:rPr>
          <w:rFonts w:cs="Times New Roman"/>
          <w:b w:val="0"/>
          <w:sz w:val="20"/>
          <w:szCs w:val="20"/>
        </w:rPr>
        <w:t>1560-1564.</w:t>
      </w:r>
    </w:p>
    <w:p w:rsidR="00C82FEF" w:rsidRPr="00CE2735" w:rsidRDefault="00B40F56" w:rsidP="00C82FEF">
      <w:pPr>
        <w:pStyle w:val="Heading21"/>
        <w:numPr>
          <w:ilvl w:val="0"/>
          <w:numId w:val="3"/>
        </w:numPr>
        <w:snapToGrid w:val="0"/>
        <w:jc w:val="both"/>
        <w:rPr>
          <w:rFonts w:cs="Times New Roman"/>
          <w:b w:val="0"/>
          <w:sz w:val="20"/>
          <w:szCs w:val="20"/>
        </w:rPr>
      </w:pPr>
      <w:proofErr w:type="spellStart"/>
      <w:r w:rsidRPr="00CE2735">
        <w:rPr>
          <w:rFonts w:cs="Times New Roman"/>
          <w:b w:val="0"/>
          <w:sz w:val="20"/>
          <w:szCs w:val="20"/>
        </w:rPr>
        <w:t>Shieh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Chou,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W.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P.;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Wel</w:t>
      </w:r>
      <w:proofErr w:type="spellEnd"/>
      <w:r w:rsidRPr="00CE2735">
        <w:rPr>
          <w:rFonts w:cs="Times New Roman"/>
          <w:b w:val="0"/>
          <w:sz w:val="20"/>
          <w:szCs w:val="20"/>
        </w:rPr>
        <w:t>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H;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Wong,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Y;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Jin</w:t>
      </w:r>
      <w:r w:rsidRPr="00CE2735">
        <w:rPr>
          <w:rFonts w:cs="Times New Roman"/>
          <w:b w:val="0"/>
          <w:i/>
          <w:sz w:val="20"/>
          <w:szCs w:val="20"/>
        </w:rPr>
        <w:t>,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Y.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T</w:t>
      </w:r>
      <w:r w:rsidRPr="00CE2735">
        <w:rPr>
          <w:rFonts w:cs="Times New Roman"/>
          <w:b w:val="0"/>
          <w:bCs w:val="0"/>
          <w:i/>
          <w:sz w:val="20"/>
          <w:szCs w:val="20"/>
        </w:rPr>
        <w:t>.,</w:t>
      </w:r>
      <w:r w:rsidR="00CE2735">
        <w:rPr>
          <w:rFonts w:eastAsiaTheme="minorEastAsia" w:cs="Times New Roman" w:hint="eastAsia"/>
          <w:b w:val="0"/>
          <w:bCs w:val="0"/>
          <w:i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b w:val="0"/>
          <w:bCs w:val="0"/>
          <w:i/>
          <w:sz w:val="20"/>
          <w:szCs w:val="20"/>
        </w:rPr>
        <w:t>(</w:t>
      </w:r>
      <w:r w:rsidRPr="00CE2735">
        <w:rPr>
          <w:rFonts w:cs="Times New Roman"/>
          <w:b w:val="0"/>
          <w:bCs w:val="0"/>
          <w:sz w:val="20"/>
          <w:szCs w:val="20"/>
        </w:rPr>
        <w:t>2004).</w:t>
      </w:r>
      <w:r w:rsidR="00C82FEF" w:rsidRPr="00CE2735">
        <w:rPr>
          <w:rFonts w:eastAsiaTheme="minorEastAsia" w:cs="Times New Roman" w:hint="eastAsia"/>
          <w:b w:val="0"/>
          <w:bCs w:val="0"/>
          <w:sz w:val="20"/>
          <w:szCs w:val="20"/>
          <w:lang w:eastAsia="zh-CN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Mitochondrial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DNA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4977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bp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Deletion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in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Paired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Oral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Cancer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Precancerous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Lesions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Revealed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by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Laser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proofErr w:type="spellStart"/>
      <w:r w:rsidRPr="00CE2735">
        <w:rPr>
          <w:rFonts w:cs="Times New Roman"/>
          <w:b w:val="0"/>
          <w:sz w:val="20"/>
          <w:szCs w:val="20"/>
        </w:rPr>
        <w:t>Microdissection</w:t>
      </w:r>
      <w:proofErr w:type="spellEnd"/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and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Real-Time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Quantitative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PCR.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i/>
          <w:sz w:val="20"/>
          <w:szCs w:val="20"/>
        </w:rPr>
        <w:t>Science.</w:t>
      </w:r>
      <w:r w:rsidR="00D432CD" w:rsidRPr="00CE2735">
        <w:rPr>
          <w:rFonts w:cs="Times New Roman"/>
          <w:b w:val="0"/>
          <w:i/>
          <w:sz w:val="20"/>
          <w:szCs w:val="20"/>
        </w:rPr>
        <w:t xml:space="preserve"> </w:t>
      </w:r>
      <w:r w:rsidRPr="00CE2735">
        <w:rPr>
          <w:rFonts w:cs="Times New Roman"/>
          <w:b w:val="0"/>
          <w:bCs w:val="0"/>
          <w:sz w:val="20"/>
          <w:szCs w:val="20"/>
        </w:rPr>
        <w:t>1011</w:t>
      </w:r>
      <w:r w:rsidRPr="00CE2735">
        <w:rPr>
          <w:rFonts w:cs="Times New Roman"/>
          <w:b w:val="0"/>
          <w:sz w:val="20"/>
          <w:szCs w:val="20"/>
        </w:rPr>
        <w:t>:</w:t>
      </w:r>
      <w:r w:rsidR="00D432CD" w:rsidRPr="00CE2735">
        <w:rPr>
          <w:rFonts w:cs="Times New Roman"/>
          <w:b w:val="0"/>
          <w:sz w:val="20"/>
          <w:szCs w:val="20"/>
        </w:rPr>
        <w:t xml:space="preserve"> </w:t>
      </w:r>
      <w:r w:rsidRPr="00CE2735">
        <w:rPr>
          <w:rFonts w:cs="Times New Roman"/>
          <w:b w:val="0"/>
          <w:sz w:val="20"/>
          <w:szCs w:val="20"/>
        </w:rPr>
        <w:t>154–167.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Tang,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Zhang,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(2005).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are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primary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target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isothiocyanate</w:t>
      </w:r>
      <w:proofErr w:type="spellEnd"/>
      <w:r w:rsidRPr="00CE2735">
        <w:rPr>
          <w:rFonts w:ascii="Times New Roman" w:eastAsia="Times New Roman" w:hAnsi="Times New Roman" w:cs="Times New Roman"/>
          <w:sz w:val="20"/>
          <w:szCs w:val="20"/>
        </w:rPr>
        <w:t>-induced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lastRenderedPageBreak/>
        <w:t>apoptosis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bladder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cells.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Mol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Ther</w:t>
      </w:r>
      <w:proofErr w:type="spellEnd"/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:1250-9.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Thayer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R.E;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Wittock</w:t>
      </w:r>
      <w:proofErr w:type="spellEnd"/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Parr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R;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Zullo</w:t>
      </w:r>
      <w:proofErr w:type="spellEnd"/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Birch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M.A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.,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(2003).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maternalline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study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investigatingthe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4977-bp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Exp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Gerontol</w:t>
      </w:r>
      <w:proofErr w:type="spellEnd"/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2003</w:t>
      </w:r>
      <w:proofErr w:type="gramStart"/>
      <w:r w:rsidRPr="00CE2735">
        <w:rPr>
          <w:rFonts w:ascii="Times New Roman" w:eastAsia="Times New Roman" w:hAnsi="Times New Roman" w:cs="Times New Roman"/>
          <w:sz w:val="20"/>
          <w:szCs w:val="20"/>
        </w:rPr>
        <w:t>;38</w:t>
      </w:r>
      <w:proofErr w:type="gramEnd"/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567–571.</w:t>
      </w:r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Voeller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J.;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Augustus,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Madike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V.;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Bova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S.;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Carter,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K.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Gelmann</w:t>
      </w:r>
      <w:proofErr w:type="spellEnd"/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E.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(1997).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specific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homeobox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gene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E2735">
        <w:rPr>
          <w:rFonts w:ascii="Times New Roman" w:eastAsia="Times New Roman" w:hAnsi="Times New Roman" w:cs="Times New Roman"/>
          <w:sz w:val="20"/>
          <w:szCs w:val="20"/>
        </w:rPr>
        <w:t>8p21,</w:t>
      </w:r>
      <w:proofErr w:type="gram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mutated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human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prostate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cancers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Res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57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4455–4459.</w:t>
      </w:r>
    </w:p>
    <w:p w:rsidR="00C82FEF" w:rsidRPr="00CE2735" w:rsidRDefault="00D93CC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30">
        <w:proofErr w:type="spellStart"/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Yadav</w:t>
        </w:r>
        <w:proofErr w:type="spellEnd"/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N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hyperlink r:id="rId31"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Chandra</w:t>
        </w:r>
      </w:hyperlink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bCs/>
          <w:sz w:val="20"/>
          <w:szCs w:val="20"/>
        </w:rPr>
        <w:t>D.,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(2014).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mutations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breast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tumorigenesis</w:t>
      </w:r>
      <w:proofErr w:type="spellEnd"/>
      <w:r w:rsidR="00B40F56"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32">
        <w:proofErr w:type="spellStart"/>
        <w:r w:rsidR="00B40F56" w:rsidRPr="00CE2735">
          <w:rPr>
            <w:rFonts w:ascii="Times New Roman" w:eastAsia="Times New Roman" w:hAnsi="Times New Roman" w:cs="Times New Roman"/>
            <w:i/>
            <w:sz w:val="20"/>
            <w:szCs w:val="20"/>
          </w:rPr>
          <w:t>Biochim</w:t>
        </w:r>
        <w:proofErr w:type="spellEnd"/>
        <w:r w:rsidR="00D432CD" w:rsidRPr="00CE2735"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B40F56" w:rsidRPr="00CE2735">
          <w:rPr>
            <w:rFonts w:ascii="Times New Roman" w:eastAsia="Times New Roman" w:hAnsi="Times New Roman" w:cs="Times New Roman"/>
            <w:i/>
            <w:sz w:val="20"/>
            <w:szCs w:val="20"/>
          </w:rPr>
          <w:t>Biophys</w:t>
        </w:r>
        <w:proofErr w:type="spellEnd"/>
        <w:r w:rsidR="00D432CD" w:rsidRPr="00CE2735"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 </w:t>
        </w:r>
        <w:proofErr w:type="spellStart"/>
        <w:r w:rsidR="00B40F56" w:rsidRPr="00CE2735">
          <w:rPr>
            <w:rFonts w:ascii="Times New Roman" w:eastAsia="Times New Roman" w:hAnsi="Times New Roman" w:cs="Times New Roman"/>
            <w:i/>
            <w:sz w:val="20"/>
            <w:szCs w:val="20"/>
          </w:rPr>
          <w:t>Acta</w:t>
        </w:r>
        <w:proofErr w:type="spellEnd"/>
        <w:r w:rsidR="00D432CD" w:rsidRPr="00CE2735"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 </w:t>
        </w:r>
        <w:r w:rsidR="00B40F56" w:rsidRPr="00CE2735">
          <w:rPr>
            <w:rFonts w:ascii="Times New Roman" w:eastAsia="Times New Roman" w:hAnsi="Times New Roman" w:cs="Times New Roman"/>
            <w:bCs/>
            <w:sz w:val="20"/>
            <w:szCs w:val="20"/>
          </w:rPr>
          <w:t>1836(2)</w:t>
        </w:r>
        <w:r w:rsidR="00B40F56" w:rsidRPr="00CE2735">
          <w:rPr>
            <w:rFonts w:ascii="Times New Roman" w:eastAsia="Times New Roman" w:hAnsi="Times New Roman" w:cs="Times New Roman"/>
            <w:sz w:val="20"/>
            <w:szCs w:val="20"/>
          </w:rPr>
          <w:t>:</w:t>
        </w:r>
        <w:r w:rsidR="00D432CD" w:rsidRPr="00CE273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B40F56" w:rsidRPr="00CE2735">
          <w:rPr>
            <w:rFonts w:ascii="Times New Roman" w:eastAsia="Times New Roman" w:hAnsi="Times New Roman" w:cs="Times New Roman"/>
            <w:sz w:val="20"/>
            <w:szCs w:val="20"/>
          </w:rPr>
          <w:t>336–344.</w:t>
        </w:r>
      </w:hyperlink>
    </w:p>
    <w:p w:rsidR="00C82FEF" w:rsidRPr="00CE2735" w:rsidRDefault="00B40F56" w:rsidP="00C82FEF">
      <w:pPr>
        <w:pStyle w:val="ListParagraph"/>
        <w:numPr>
          <w:ilvl w:val="0"/>
          <w:numId w:val="3"/>
        </w:numPr>
        <w:snapToGri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Yousoff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A.M.,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(2015).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Role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Mitochonrial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DNA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Muttion</w:t>
      </w:r>
      <w:proofErr w:type="spellEnd"/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Brain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sz w:val="20"/>
          <w:szCs w:val="20"/>
        </w:rPr>
        <w:t>Tumers</w:t>
      </w:r>
      <w:proofErr w:type="gramStart"/>
      <w:r w:rsidRPr="00CE2735">
        <w:rPr>
          <w:rFonts w:ascii="Times New Roman" w:eastAsia="Times New Roman" w:hAnsi="Times New Roman" w:cs="Times New Roman"/>
          <w:sz w:val="20"/>
          <w:szCs w:val="20"/>
        </w:rPr>
        <w:t>:Amini</w:t>
      </w:r>
      <w:proofErr w:type="spellEnd"/>
      <w:proofErr w:type="gramEnd"/>
      <w:r w:rsidRPr="00CE2735">
        <w:rPr>
          <w:rFonts w:ascii="Times New Roman" w:eastAsia="Times New Roman" w:hAnsi="Times New Roman" w:cs="Times New Roman"/>
          <w:sz w:val="20"/>
          <w:szCs w:val="20"/>
        </w:rPr>
        <w:t>-Review.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Jo</w:t>
      </w:r>
      <w:r w:rsidR="00CE2735">
        <w:rPr>
          <w:rFonts w:ascii="Times New Roman" w:hAnsi="Times New Roman" w:cs="Times New Roman" w:hint="eastAsia"/>
          <w:i/>
          <w:sz w:val="20"/>
          <w:szCs w:val="20"/>
          <w:lang w:eastAsia="zh-CN"/>
        </w:rPr>
        <w:t>u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rnal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Cancer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Res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Ther</w:t>
      </w:r>
      <w:proofErr w:type="spellEnd"/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11(3):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535-544.</w:t>
      </w:r>
    </w:p>
    <w:p w:rsidR="00D432CD" w:rsidRPr="00CE2735" w:rsidRDefault="00B40F56" w:rsidP="00D432CD">
      <w:pPr>
        <w:pStyle w:val="ListParagraph"/>
        <w:numPr>
          <w:ilvl w:val="0"/>
          <w:numId w:val="3"/>
        </w:num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Zhang.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Ma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Bu.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D;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Liu.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</w:t>
      </w:r>
      <w:r w:rsidR="00C82FEF" w:rsidRPr="00CE2735">
        <w:rPr>
          <w:rFonts w:ascii="Times New Roman" w:eastAsia="Times New Roman" w:hAnsi="Times New Roman" w:cs="Times New Roman"/>
          <w:bCs/>
          <w:sz w:val="20"/>
          <w:szCs w:val="20"/>
        </w:rPr>
        <w:t>; X</w:t>
      </w:r>
      <w:r w:rsidR="00CE2735">
        <w:rPr>
          <w:rFonts w:ascii="Times New Roman" w:eastAsia="Times New Roman" w:hAnsi="Times New Roman" w:cs="Times New Roman"/>
          <w:bCs/>
          <w:sz w:val="20"/>
          <w:szCs w:val="20"/>
        </w:rPr>
        <w:t>ia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C;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Zang.Y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Zhu.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Pan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H;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Pi.P</w:t>
      </w:r>
      <w:proofErr w:type="spellEnd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Zhang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Wang</w:t>
      </w:r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S;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Xu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E2735">
        <w:rPr>
          <w:rFonts w:ascii="Times New Roman" w:eastAsia="Times New Roman" w:hAnsi="Times New Roman" w:cs="Times New Roman"/>
          <w:bCs/>
          <w:sz w:val="20"/>
          <w:szCs w:val="20"/>
        </w:rPr>
        <w:t>Qi</w:t>
      </w:r>
      <w:proofErr w:type="spellEnd"/>
      <w:r w:rsidR="00CE2735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 xml:space="preserve"> 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Y.,</w:t>
      </w:r>
      <w:r w:rsidR="00D432CD" w:rsidRPr="00CE273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(2015).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Deletion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4977-bp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Fragment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Genome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Is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Associated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Mitochondrial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Disease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Severity.</w:t>
      </w:r>
      <w:r w:rsidR="00D432CD" w:rsidRPr="00CE27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Plos</w:t>
      </w:r>
      <w:proofErr w:type="spellEnd"/>
      <w:r w:rsidR="00C82FEF" w:rsidRPr="00CE2735">
        <w:rPr>
          <w:rFonts w:ascii="Times New Roman" w:eastAsia="Times New Roman" w:hAnsi="Times New Roman" w:cs="Times New Roman"/>
          <w:i/>
          <w:sz w:val="20"/>
          <w:szCs w:val="20"/>
        </w:rPr>
        <w:t>. O</w:t>
      </w:r>
      <w:r w:rsidRPr="00CE2735">
        <w:rPr>
          <w:rFonts w:ascii="Times New Roman" w:eastAsia="Times New Roman" w:hAnsi="Times New Roman" w:cs="Times New Roman"/>
          <w:i/>
          <w:sz w:val="20"/>
          <w:szCs w:val="20"/>
        </w:rPr>
        <w:t>rg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E2735"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Pr="00CE2735">
        <w:rPr>
          <w:rFonts w:ascii="Times New Roman" w:eastAsia="Times New Roman" w:hAnsi="Times New Roman" w:cs="Times New Roman"/>
          <w:sz w:val="20"/>
          <w:szCs w:val="20"/>
        </w:rPr>
        <w:t>:137</w:t>
      </w:r>
      <w:r w:rsidR="00C82FEF" w:rsidRPr="00CE2735">
        <w:rPr>
          <w:rFonts w:ascii="Times New Roman" w:eastAsia="Times New Roman" w:hAnsi="Times New Roman" w:cs="Times New Roman"/>
          <w:sz w:val="20"/>
          <w:szCs w:val="20"/>
        </w:rPr>
        <w:t>1.</w:t>
      </w:r>
      <w:r w:rsidR="00CE2735" w:rsidRPr="00CE2735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D432CD" w:rsidRPr="00CE2735" w:rsidRDefault="00D432CD" w:rsidP="00D432CD">
      <w:p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D432CD" w:rsidRPr="00CE2735" w:rsidSect="00D432CD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299"/>
        </w:sectPr>
      </w:pPr>
    </w:p>
    <w:p w:rsidR="00DF0E16" w:rsidRPr="00CE2735" w:rsidRDefault="00DF0E16" w:rsidP="00D432CD">
      <w:p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82FEF" w:rsidRPr="00CE2735" w:rsidRDefault="00C82FEF" w:rsidP="00D432CD">
      <w:p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82FEF" w:rsidRPr="00CE2735" w:rsidRDefault="00C82FEF" w:rsidP="00D432CD">
      <w:p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3C75" w:rsidRPr="00CE2735" w:rsidRDefault="00DF0E16" w:rsidP="00D432CD">
      <w:pPr>
        <w:snapToGrid w:val="0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E2735">
        <w:rPr>
          <w:rFonts w:ascii="Times New Roman" w:hAnsi="Times New Roman" w:cs="Times New Roman"/>
          <w:sz w:val="20"/>
          <w:szCs w:val="20"/>
        </w:rPr>
        <w:t>3/25/2017</w:t>
      </w:r>
    </w:p>
    <w:sectPr w:rsidR="00AE3C75" w:rsidRPr="00CE2735" w:rsidSect="00B40F56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40" w:rsidRDefault="00CD1040" w:rsidP="00AE3C75">
      <w:r>
        <w:separator/>
      </w:r>
    </w:p>
  </w:endnote>
  <w:endnote w:type="continuationSeparator" w:id="0">
    <w:p w:rsidR="00CD1040" w:rsidRDefault="00CD1040" w:rsidP="00AE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CD" w:rsidRPr="00DF0E16" w:rsidRDefault="00D93CC6" w:rsidP="00DF0E16">
    <w:pPr>
      <w:jc w:val="center"/>
      <w:rPr>
        <w:rFonts w:ascii="Times New Roman" w:hAnsi="Times New Roman" w:cs="Times New Roman"/>
        <w:sz w:val="20"/>
      </w:rPr>
    </w:pPr>
    <w:r w:rsidRPr="00DF0E16">
      <w:rPr>
        <w:rFonts w:ascii="Times New Roman" w:hAnsi="Times New Roman" w:cs="Times New Roman"/>
        <w:sz w:val="20"/>
      </w:rPr>
      <w:fldChar w:fldCharType="begin"/>
    </w:r>
    <w:r w:rsidR="00D432CD" w:rsidRPr="00DF0E16">
      <w:rPr>
        <w:rFonts w:ascii="Times New Roman" w:hAnsi="Times New Roman" w:cs="Times New Roman"/>
        <w:sz w:val="20"/>
      </w:rPr>
      <w:instrText xml:space="preserve"> page </w:instrText>
    </w:r>
    <w:r w:rsidRPr="00DF0E16">
      <w:rPr>
        <w:rFonts w:ascii="Times New Roman" w:hAnsi="Times New Roman" w:cs="Times New Roman"/>
        <w:sz w:val="20"/>
      </w:rPr>
      <w:fldChar w:fldCharType="separate"/>
    </w:r>
    <w:r w:rsidR="00CE2735">
      <w:rPr>
        <w:rFonts w:ascii="Times New Roman" w:hAnsi="Times New Roman" w:cs="Times New Roman"/>
        <w:noProof/>
        <w:sz w:val="20"/>
      </w:rPr>
      <w:t>84</w:t>
    </w:r>
    <w:r w:rsidRPr="00DF0E16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40" w:rsidRDefault="00CD1040" w:rsidP="00AE3C75">
      <w:r>
        <w:separator/>
      </w:r>
    </w:p>
  </w:footnote>
  <w:footnote w:type="continuationSeparator" w:id="0">
    <w:p w:rsidR="00CD1040" w:rsidRDefault="00CD1040" w:rsidP="00AE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CD" w:rsidRPr="00DF0E16" w:rsidRDefault="00D432CD" w:rsidP="00DF0E1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color w:val="0000FF"/>
        <w:sz w:val="20"/>
      </w:rPr>
    </w:pPr>
    <w:r w:rsidRPr="00DF0E16">
      <w:rPr>
        <w:rFonts w:ascii="Times New Roman" w:hAnsi="Times New Roman" w:cs="Times New Roman" w:hint="eastAsia"/>
        <w:iCs/>
        <w:color w:val="000000"/>
        <w:sz w:val="20"/>
      </w:rPr>
      <w:tab/>
    </w:r>
    <w:r w:rsidRPr="00DF0E16">
      <w:rPr>
        <w:rFonts w:ascii="Times New Roman" w:hAnsi="Times New Roman" w:cs="Times New Roman"/>
        <w:iCs/>
        <w:color w:val="000000"/>
        <w:sz w:val="20"/>
      </w:rPr>
      <w:t xml:space="preserve">Cancer Biology </w:t>
    </w:r>
    <w:r w:rsidRPr="00DF0E16">
      <w:rPr>
        <w:rFonts w:ascii="Times New Roman" w:hAnsi="Times New Roman" w:cs="Times New Roman"/>
        <w:iCs/>
        <w:sz w:val="20"/>
      </w:rPr>
      <w:t>201</w:t>
    </w:r>
    <w:r w:rsidRPr="00DF0E16">
      <w:rPr>
        <w:rFonts w:ascii="Times New Roman" w:hAnsi="Times New Roman" w:cs="Times New Roman" w:hint="eastAsia"/>
        <w:iCs/>
        <w:sz w:val="20"/>
      </w:rPr>
      <w:t>7</w:t>
    </w:r>
    <w:proofErr w:type="gramStart"/>
    <w:r w:rsidRPr="00DF0E16">
      <w:rPr>
        <w:rFonts w:ascii="Times New Roman" w:hAnsi="Times New Roman" w:cs="Times New Roman"/>
        <w:iCs/>
        <w:sz w:val="20"/>
      </w:rPr>
      <w:t>;</w:t>
    </w:r>
    <w:r w:rsidRPr="00DF0E16">
      <w:rPr>
        <w:rFonts w:ascii="Times New Roman" w:hAnsi="Times New Roman" w:cs="Times New Roman" w:hint="eastAsia"/>
        <w:iCs/>
        <w:sz w:val="20"/>
      </w:rPr>
      <w:t>7</w:t>
    </w:r>
    <w:proofErr w:type="gramEnd"/>
    <w:r w:rsidRPr="00DF0E16">
      <w:rPr>
        <w:rFonts w:ascii="Times New Roman" w:hAnsi="Times New Roman" w:cs="Times New Roman"/>
        <w:iCs/>
        <w:sz w:val="20"/>
      </w:rPr>
      <w:t>(</w:t>
    </w:r>
    <w:r w:rsidRPr="00DF0E16">
      <w:rPr>
        <w:rFonts w:ascii="Times New Roman" w:hAnsi="Times New Roman" w:cs="Times New Roman" w:hint="eastAsia"/>
        <w:iCs/>
        <w:sz w:val="20"/>
      </w:rPr>
      <w:t>1</w:t>
    </w:r>
    <w:r w:rsidRPr="00DF0E16">
      <w:rPr>
        <w:rFonts w:ascii="Times New Roman" w:hAnsi="Times New Roman" w:cs="Times New Roman"/>
        <w:iCs/>
        <w:sz w:val="20"/>
      </w:rPr>
      <w:t xml:space="preserve">)  </w:t>
    </w:r>
    <w:r w:rsidRPr="00DF0E16">
      <w:rPr>
        <w:rFonts w:ascii="Times New Roman" w:hAnsi="Times New Roman" w:cs="Times New Roman" w:hint="eastAsia"/>
        <w:iCs/>
        <w:sz w:val="20"/>
      </w:rPr>
      <w:t xml:space="preserve">   </w:t>
    </w:r>
    <w:r w:rsidRPr="00DF0E16">
      <w:rPr>
        <w:rFonts w:ascii="Times New Roman" w:hAnsi="Times New Roman" w:cs="Times New Roman" w:hint="eastAsia"/>
        <w:iCs/>
        <w:sz w:val="20"/>
      </w:rPr>
      <w:tab/>
      <w:t xml:space="preserve">     </w:t>
    </w:r>
    <w:r w:rsidRPr="00DF0E16">
      <w:rPr>
        <w:rFonts w:ascii="Times New Roman" w:hAnsi="Times New Roman" w:cs="Times New Roman"/>
        <w:iCs/>
        <w:sz w:val="20"/>
      </w:rPr>
      <w:t xml:space="preserve"> </w:t>
    </w:r>
    <w:r w:rsidRPr="00DF0E16">
      <w:rPr>
        <w:rFonts w:ascii="Times New Roman" w:hAnsi="Times New Roman" w:cs="Times New Roman"/>
        <w:sz w:val="20"/>
      </w:rPr>
      <w:t xml:space="preserve">  </w:t>
    </w:r>
    <w:hyperlink r:id="rId1" w:history="1">
      <w:r w:rsidRPr="00DF0E16">
        <w:rPr>
          <w:rStyle w:val="Hyperlink"/>
          <w:rFonts w:ascii="Times New Roman" w:hAnsi="Times New Roman" w:cs="Times New Roman"/>
          <w:color w:val="0000FF"/>
          <w:sz w:val="20"/>
        </w:rPr>
        <w:t>http://www.cancerbio.net</w:t>
      </w:r>
    </w:hyperlink>
  </w:p>
  <w:p w:rsidR="00D432CD" w:rsidRPr="00DF0E16" w:rsidRDefault="00D432CD" w:rsidP="00DF0E16">
    <w:pP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FBE"/>
    <w:multiLevelType w:val="hybridMultilevel"/>
    <w:tmpl w:val="A6520FD2"/>
    <w:lvl w:ilvl="0" w:tplc="440CCC3A">
      <w:start w:val="1"/>
      <w:numFmt w:val="decimal"/>
      <w:lvlText w:val="%1"/>
      <w:lvlJc w:val="left"/>
      <w:pPr>
        <w:ind w:hanging="447"/>
        <w:jc w:val="left"/>
      </w:pPr>
      <w:rPr>
        <w:rFonts w:hint="default"/>
      </w:rPr>
    </w:lvl>
    <w:lvl w:ilvl="1" w:tplc="44FE17DA">
      <w:numFmt w:val="none"/>
      <w:lvlText w:val=""/>
      <w:lvlJc w:val="left"/>
      <w:pPr>
        <w:tabs>
          <w:tab w:val="num" w:pos="360"/>
        </w:tabs>
      </w:pPr>
    </w:lvl>
    <w:lvl w:ilvl="2" w:tplc="5DFC265A">
      <w:start w:val="1"/>
      <w:numFmt w:val="bullet"/>
      <w:lvlText w:val="•"/>
      <w:lvlJc w:val="left"/>
      <w:rPr>
        <w:rFonts w:hint="default"/>
      </w:rPr>
    </w:lvl>
    <w:lvl w:ilvl="3" w:tplc="B0FC234E">
      <w:start w:val="1"/>
      <w:numFmt w:val="bullet"/>
      <w:lvlText w:val="•"/>
      <w:lvlJc w:val="left"/>
      <w:rPr>
        <w:rFonts w:hint="default"/>
      </w:rPr>
    </w:lvl>
    <w:lvl w:ilvl="4" w:tplc="E0B05FDE">
      <w:start w:val="1"/>
      <w:numFmt w:val="bullet"/>
      <w:lvlText w:val="•"/>
      <w:lvlJc w:val="left"/>
      <w:rPr>
        <w:rFonts w:hint="default"/>
      </w:rPr>
    </w:lvl>
    <w:lvl w:ilvl="5" w:tplc="533E0624">
      <w:start w:val="1"/>
      <w:numFmt w:val="bullet"/>
      <w:lvlText w:val="•"/>
      <w:lvlJc w:val="left"/>
      <w:rPr>
        <w:rFonts w:hint="default"/>
      </w:rPr>
    </w:lvl>
    <w:lvl w:ilvl="6" w:tplc="0FC099BA">
      <w:start w:val="1"/>
      <w:numFmt w:val="bullet"/>
      <w:lvlText w:val="•"/>
      <w:lvlJc w:val="left"/>
      <w:rPr>
        <w:rFonts w:hint="default"/>
      </w:rPr>
    </w:lvl>
    <w:lvl w:ilvl="7" w:tplc="1C6A584C">
      <w:start w:val="1"/>
      <w:numFmt w:val="bullet"/>
      <w:lvlText w:val="•"/>
      <w:lvlJc w:val="left"/>
      <w:rPr>
        <w:rFonts w:hint="default"/>
      </w:rPr>
    </w:lvl>
    <w:lvl w:ilvl="8" w:tplc="EB6E9DE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CA2A6E"/>
    <w:multiLevelType w:val="hybridMultilevel"/>
    <w:tmpl w:val="07908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801BD9"/>
    <w:multiLevelType w:val="hybridMultilevel"/>
    <w:tmpl w:val="5BC4FA6A"/>
    <w:lvl w:ilvl="0" w:tplc="3D2C1A64">
      <w:start w:val="3"/>
      <w:numFmt w:val="decimal"/>
      <w:lvlText w:val="%1"/>
      <w:lvlJc w:val="left"/>
      <w:pPr>
        <w:ind w:hanging="447"/>
        <w:jc w:val="left"/>
      </w:pPr>
      <w:rPr>
        <w:rFonts w:hint="default"/>
      </w:rPr>
    </w:lvl>
    <w:lvl w:ilvl="1" w:tplc="B7A27724">
      <w:numFmt w:val="none"/>
      <w:lvlText w:val=""/>
      <w:lvlJc w:val="left"/>
      <w:pPr>
        <w:tabs>
          <w:tab w:val="num" w:pos="360"/>
        </w:tabs>
      </w:pPr>
    </w:lvl>
    <w:lvl w:ilvl="2" w:tplc="2CE23364">
      <w:start w:val="1"/>
      <w:numFmt w:val="bullet"/>
      <w:lvlText w:val="•"/>
      <w:lvlJc w:val="left"/>
      <w:rPr>
        <w:rFonts w:hint="default"/>
      </w:rPr>
    </w:lvl>
    <w:lvl w:ilvl="3" w:tplc="D44CE0DE">
      <w:start w:val="1"/>
      <w:numFmt w:val="bullet"/>
      <w:lvlText w:val="•"/>
      <w:lvlJc w:val="left"/>
      <w:rPr>
        <w:rFonts w:hint="default"/>
      </w:rPr>
    </w:lvl>
    <w:lvl w:ilvl="4" w:tplc="633C9548">
      <w:start w:val="1"/>
      <w:numFmt w:val="bullet"/>
      <w:lvlText w:val="•"/>
      <w:lvlJc w:val="left"/>
      <w:rPr>
        <w:rFonts w:hint="default"/>
      </w:rPr>
    </w:lvl>
    <w:lvl w:ilvl="5" w:tplc="7DDCC900">
      <w:start w:val="1"/>
      <w:numFmt w:val="bullet"/>
      <w:lvlText w:val="•"/>
      <w:lvlJc w:val="left"/>
      <w:rPr>
        <w:rFonts w:hint="default"/>
      </w:rPr>
    </w:lvl>
    <w:lvl w:ilvl="6" w:tplc="7F763888">
      <w:start w:val="1"/>
      <w:numFmt w:val="bullet"/>
      <w:lvlText w:val="•"/>
      <w:lvlJc w:val="left"/>
      <w:rPr>
        <w:rFonts w:hint="default"/>
      </w:rPr>
    </w:lvl>
    <w:lvl w:ilvl="7" w:tplc="10FCF596">
      <w:start w:val="1"/>
      <w:numFmt w:val="bullet"/>
      <w:lvlText w:val="•"/>
      <w:lvlJc w:val="left"/>
      <w:rPr>
        <w:rFonts w:hint="default"/>
      </w:rPr>
    </w:lvl>
    <w:lvl w:ilvl="8" w:tplc="403EF2F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E3C75"/>
    <w:rsid w:val="00247D2E"/>
    <w:rsid w:val="003F7C14"/>
    <w:rsid w:val="00497C6D"/>
    <w:rsid w:val="00AE3C75"/>
    <w:rsid w:val="00B40F56"/>
    <w:rsid w:val="00C82FEF"/>
    <w:rsid w:val="00CA77BB"/>
    <w:rsid w:val="00CD1040"/>
    <w:rsid w:val="00CE2735"/>
    <w:rsid w:val="00D432CD"/>
    <w:rsid w:val="00D93CC6"/>
    <w:rsid w:val="00DF0E16"/>
    <w:rsid w:val="00E4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E3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E3C75"/>
    <w:pPr>
      <w:ind w:left="100"/>
    </w:pPr>
    <w:rPr>
      <w:rFonts w:ascii="Times New Roman" w:eastAsia="Times New Roman" w:hAnsi="Times New Roman"/>
      <w:sz w:val="28"/>
      <w:szCs w:val="28"/>
    </w:rPr>
  </w:style>
  <w:style w:type="paragraph" w:customStyle="1" w:styleId="Heading11">
    <w:name w:val="Heading 11"/>
    <w:basedOn w:val="Normal"/>
    <w:uiPriority w:val="1"/>
    <w:qFormat/>
    <w:rsid w:val="00AE3C75"/>
    <w:pPr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Heading21">
    <w:name w:val="Heading 21"/>
    <w:basedOn w:val="Normal"/>
    <w:uiPriority w:val="1"/>
    <w:qFormat/>
    <w:rsid w:val="00AE3C75"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E3C75"/>
  </w:style>
  <w:style w:type="paragraph" w:customStyle="1" w:styleId="TableParagraph">
    <w:name w:val="Table Paragraph"/>
    <w:basedOn w:val="Normal"/>
    <w:uiPriority w:val="1"/>
    <w:qFormat/>
    <w:rsid w:val="00AE3C75"/>
  </w:style>
  <w:style w:type="paragraph" w:styleId="Header">
    <w:name w:val="header"/>
    <w:basedOn w:val="Normal"/>
    <w:link w:val="HeaderChar"/>
    <w:uiPriority w:val="99"/>
    <w:semiHidden/>
    <w:unhideWhenUsed/>
    <w:rsid w:val="00B40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0F5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40F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F56"/>
    <w:rPr>
      <w:sz w:val="18"/>
      <w:szCs w:val="18"/>
    </w:rPr>
  </w:style>
  <w:style w:type="character" w:styleId="Hyperlink">
    <w:name w:val="Hyperlink"/>
    <w:basedOn w:val="DefaultParagraphFont"/>
    <w:uiPriority w:val="99"/>
    <w:rsid w:val="00B40F56"/>
    <w:rPr>
      <w:color w:val="000000"/>
      <w:u w:val="single"/>
    </w:rPr>
  </w:style>
  <w:style w:type="paragraph" w:styleId="NoSpacing">
    <w:name w:val="No Spacing"/>
    <w:basedOn w:val="Normal"/>
    <w:link w:val="NoSpacingChar"/>
    <w:qFormat/>
    <w:rsid w:val="00B40F56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locked/>
    <w:rsid w:val="00B40F56"/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msonormal0">
    <w:name w:val="msonormal0"/>
    <w:basedOn w:val="DefaultParagraphFont"/>
    <w:rsid w:val="00B40F56"/>
  </w:style>
  <w:style w:type="paragraph" w:styleId="BalloonText">
    <w:name w:val="Balloon Text"/>
    <w:basedOn w:val="Normal"/>
    <w:link w:val="BalloonTextChar"/>
    <w:uiPriority w:val="99"/>
    <w:semiHidden/>
    <w:unhideWhenUsed/>
    <w:rsid w:val="00CA77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7537/marscbj070117.11" TargetMode="External"/><Relationship Id="rId13" Type="http://schemas.openxmlformats.org/officeDocument/2006/relationships/hyperlink" Target="http://www.ncbi.nlm.nih.gov/pubmed/?term=Chandra%20D%5Bauth%5D" TargetMode="External"/><Relationship Id="rId18" Type="http://schemas.openxmlformats.org/officeDocument/2006/relationships/hyperlink" Target="http://www.ncbi.nlm.nih.gov/pubmed/?term=Kunnumakara%20AB%5Bauth%5D" TargetMode="External"/><Relationship Id="rId26" Type="http://schemas.openxmlformats.org/officeDocument/2006/relationships/hyperlink" Target="http://www.ncbi.nlm.nih.gov/pubmed/?term=Abuidris%20D%5Bauth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Tharakan%20ST%5Bauth%5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ancerbio.net" TargetMode="External"/><Relationship Id="rId12" Type="http://schemas.openxmlformats.org/officeDocument/2006/relationships/hyperlink" Target="http://www.ncbi.nlm.nih.gov/pubmed/?term=Yadav%20N%5Bauth%5D" TargetMode="External"/><Relationship Id="rId17" Type="http://schemas.openxmlformats.org/officeDocument/2006/relationships/hyperlink" Target="http://www.ncbi.nlm.nih.gov/pubmed/?term=Anand%20P%5Bauth%5D" TargetMode="External"/><Relationship Id="rId25" Type="http://schemas.openxmlformats.org/officeDocument/2006/relationships/hyperlink" Target="http://www.ncbi.nlm.nih.gov/pubmed/?term=Ibrahim%20ME%5Bauth%5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ncbi.nlm.nih.gov/pubmed/?term=Harikumar%20KB%5Bauth%5D" TargetMode="External"/><Relationship Id="rId29" Type="http://schemas.openxmlformats.org/officeDocument/2006/relationships/hyperlink" Target="http://dx.doi.org/10.1371/journal.pone.00679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www.ncbi.nlm.nih.gov/pubmed/?term=Elamin%20A%5Bauth%5D" TargetMode="External"/><Relationship Id="rId32" Type="http://schemas.openxmlformats.org/officeDocument/2006/relationships/hyperlink" Target="http://www.ncbi.nlm.nih.gov/entrez/eutils/elink.fcgi?dbfrom=pubmed&amp;amp;retmode=ref&amp;amp;cmd=prlinks&amp;amp;id=2414041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ncbi.nlm.nih.gov/pubmed/?term=Aggarwal%20BB%5Bauth%5D" TargetMode="External"/><Relationship Id="rId28" Type="http://schemas.openxmlformats.org/officeDocument/2006/relationships/hyperlink" Target="http://www.ncbi.nlm.nih.gov/pubmed/?term=Mohammed%20SI%5Bauth%5D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cbi.nlm.nih.gov/pubmed/?term=Sundaram%20C%5Bauth%5D" TargetMode="External"/><Relationship Id="rId31" Type="http://schemas.openxmlformats.org/officeDocument/2006/relationships/hyperlink" Target="http://www.ncbi.nlm.nih.gov/pubmed/?term=Chandra%20D%5Bauth%5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yperlink" Target="http://www.ncbi.nlm.nih.gov/pubmed/?term=Sung%20B%5Bauth%5D" TargetMode="External"/><Relationship Id="rId27" Type="http://schemas.openxmlformats.org/officeDocument/2006/relationships/hyperlink" Target="http://www.ncbi.nlm.nih.gov/pubmed/?term=Mohamed%20KE%5Bauth%5D" TargetMode="External"/><Relationship Id="rId30" Type="http://schemas.openxmlformats.org/officeDocument/2006/relationships/hyperlink" Target="http://www.ncbi.nlm.nih.gov/pubmed/?term=Yadav%20N%5Bauth%5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4890</Words>
  <Characters>27879</Characters>
  <Application>Microsoft Office Word</Application>
  <DocSecurity>0</DocSecurity>
  <Lines>232</Lines>
  <Paragraphs>65</Paragraphs>
  <ScaleCrop>false</ScaleCrop>
  <Company/>
  <LinksUpToDate>false</LinksUpToDate>
  <CharactersWithSpaces>32704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Administrator</cp:lastModifiedBy>
  <cp:revision>3</cp:revision>
  <dcterms:created xsi:type="dcterms:W3CDTF">2017-03-28T05:52:00Z</dcterms:created>
  <dcterms:modified xsi:type="dcterms:W3CDTF">2017-03-27T05:05:00Z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LastSaved">
    <vt:filetime>2017-03-27T00:00:00Z</vt:filetime>
  </property>
</Properties>
</file>