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E0" w:rsidRPr="00931FFE" w:rsidRDefault="00D74F28" w:rsidP="00931FFE">
      <w:pPr>
        <w:shd w:val="clear" w:color="auto" w:fill="FFFFFF" w:themeFill="background1"/>
        <w:bidi w:val="0"/>
        <w:snapToGrid w:val="0"/>
        <w:spacing w:after="0" w:line="240" w:lineRule="auto"/>
        <w:jc w:val="center"/>
        <w:rPr>
          <w:rFonts w:ascii="Times New Roman" w:hAnsi="Times New Roman" w:cs="Times New Roman"/>
          <w:b/>
          <w:bCs/>
          <w:color w:val="000000" w:themeColor="text1"/>
          <w:sz w:val="20"/>
          <w:szCs w:val="20"/>
          <w:lang w:bidi="ar-EG"/>
        </w:rPr>
      </w:pPr>
      <w:r w:rsidRPr="00931FFE">
        <w:rPr>
          <w:rFonts w:ascii="Times New Roman" w:hAnsi="Times New Roman" w:cs="Times New Roman"/>
          <w:b/>
          <w:bCs/>
          <w:color w:val="000000" w:themeColor="text1"/>
          <w:sz w:val="20"/>
          <w:szCs w:val="20"/>
          <w:lang w:bidi="ar-EG"/>
        </w:rPr>
        <w:t>Use of Vinorelbine/Cisplatin regimen Versus Docetaxel/Gemcitabine regimen in Operable Locally Advanced Breast Cancer Patients</w:t>
      </w:r>
    </w:p>
    <w:p w:rsidR="00F551E0" w:rsidRPr="00931FFE" w:rsidRDefault="00F551E0" w:rsidP="00931FFE">
      <w:pPr>
        <w:shd w:val="clear" w:color="auto" w:fill="FFFFFF" w:themeFill="background1"/>
        <w:bidi w:val="0"/>
        <w:snapToGrid w:val="0"/>
        <w:spacing w:after="0" w:line="240" w:lineRule="auto"/>
        <w:jc w:val="center"/>
        <w:rPr>
          <w:rFonts w:ascii="Times New Roman" w:hAnsi="Times New Roman" w:cs="Times New Roman"/>
          <w:b/>
          <w:bCs/>
          <w:color w:val="000000" w:themeColor="text1"/>
          <w:sz w:val="20"/>
          <w:szCs w:val="20"/>
          <w:lang w:bidi="ar-EG"/>
        </w:rPr>
      </w:pPr>
    </w:p>
    <w:p w:rsidR="00F551E0" w:rsidRPr="00931FFE" w:rsidRDefault="00B072FA" w:rsidP="00931FFE">
      <w:pPr>
        <w:tabs>
          <w:tab w:val="left" w:pos="0"/>
        </w:tabs>
        <w:bidi w:val="0"/>
        <w:snapToGrid w:val="0"/>
        <w:spacing w:after="0" w:line="240" w:lineRule="auto"/>
        <w:jc w:val="center"/>
        <w:rPr>
          <w:rFonts w:ascii="Times New Roman" w:hAnsi="Times New Roman" w:cs="Times New Roman"/>
          <w:color w:val="000000" w:themeColor="text1"/>
          <w:sz w:val="20"/>
          <w:szCs w:val="20"/>
        </w:rPr>
      </w:pPr>
      <w:r w:rsidRPr="00931FFE">
        <w:rPr>
          <w:rFonts w:ascii="Times New Roman" w:hAnsi="Times New Roman" w:cs="Times New Roman"/>
          <w:color w:val="000000" w:themeColor="text1"/>
          <w:sz w:val="20"/>
          <w:szCs w:val="20"/>
        </w:rPr>
        <w:t>Muhammad Solaiman Muhammad,</w:t>
      </w:r>
      <w:r w:rsidR="006F58AB" w:rsidRPr="00931FFE">
        <w:rPr>
          <w:rFonts w:ascii="Times New Roman" w:hAnsi="Times New Roman" w:cs="Times New Roman"/>
          <w:color w:val="000000" w:themeColor="text1"/>
          <w:sz w:val="20"/>
          <w:szCs w:val="20"/>
        </w:rPr>
        <w:t xml:space="preserve"> Maha Lotfy Zamzam</w:t>
      </w:r>
      <w:r w:rsidR="0076732E" w:rsidRPr="00931FFE">
        <w:rPr>
          <w:rFonts w:ascii="Times New Roman" w:hAnsi="Times New Roman" w:cs="Times New Roman"/>
          <w:color w:val="000000" w:themeColor="text1"/>
          <w:sz w:val="20"/>
          <w:szCs w:val="20"/>
        </w:rPr>
        <w:t>,</w:t>
      </w:r>
      <w:r w:rsidR="00F551E0" w:rsidRPr="00931FFE">
        <w:rPr>
          <w:rFonts w:ascii="Times New Roman" w:hAnsi="Times New Roman" w:cs="Times New Roman"/>
          <w:color w:val="000000" w:themeColor="text1"/>
          <w:sz w:val="20"/>
          <w:szCs w:val="20"/>
        </w:rPr>
        <w:t xml:space="preserve"> </w:t>
      </w:r>
      <w:r w:rsidR="00D74F28" w:rsidRPr="00931FFE">
        <w:rPr>
          <w:rFonts w:ascii="Times New Roman" w:hAnsi="Times New Roman" w:cs="Times New Roman"/>
          <w:color w:val="000000" w:themeColor="text1"/>
          <w:sz w:val="20"/>
          <w:szCs w:val="20"/>
        </w:rPr>
        <w:t>Ahmed Mostafa Elzawawy</w:t>
      </w:r>
      <w:r w:rsidR="0076732E" w:rsidRPr="00931FFE">
        <w:rPr>
          <w:rFonts w:ascii="Times New Roman" w:hAnsi="Times New Roman" w:cs="Times New Roman"/>
          <w:color w:val="000000" w:themeColor="text1"/>
          <w:sz w:val="20"/>
          <w:szCs w:val="20"/>
        </w:rPr>
        <w:t xml:space="preserve"> and </w:t>
      </w:r>
      <w:r w:rsidRPr="00931FFE">
        <w:rPr>
          <w:rFonts w:ascii="Times New Roman" w:hAnsi="Times New Roman" w:cs="Times New Roman"/>
          <w:color w:val="000000" w:themeColor="text1"/>
          <w:sz w:val="20"/>
          <w:szCs w:val="20"/>
        </w:rPr>
        <w:t>Ehab Mohammed Hassanen</w:t>
      </w:r>
    </w:p>
    <w:p w:rsidR="00F551E0" w:rsidRPr="00931FFE" w:rsidRDefault="00F551E0" w:rsidP="00931FFE">
      <w:pPr>
        <w:tabs>
          <w:tab w:val="left" w:pos="0"/>
        </w:tabs>
        <w:bidi w:val="0"/>
        <w:snapToGrid w:val="0"/>
        <w:spacing w:after="0" w:line="240" w:lineRule="auto"/>
        <w:jc w:val="center"/>
        <w:rPr>
          <w:rFonts w:ascii="Times New Roman" w:hAnsi="Times New Roman" w:cs="Times New Roman"/>
          <w:color w:val="000000" w:themeColor="text1"/>
          <w:sz w:val="20"/>
          <w:szCs w:val="20"/>
        </w:rPr>
      </w:pPr>
    </w:p>
    <w:p w:rsidR="00B7027C" w:rsidRPr="00931FFE" w:rsidRDefault="00B7027C" w:rsidP="00931FFE">
      <w:pPr>
        <w:tabs>
          <w:tab w:val="left" w:pos="0"/>
        </w:tabs>
        <w:bidi w:val="0"/>
        <w:snapToGrid w:val="0"/>
        <w:spacing w:after="0" w:line="240" w:lineRule="auto"/>
        <w:jc w:val="center"/>
        <w:rPr>
          <w:rFonts w:ascii="Times New Roman" w:hAnsi="Times New Roman" w:cs="Times New Roman"/>
          <w:sz w:val="20"/>
          <w:szCs w:val="20"/>
          <w:lang w:bidi="ar-EG"/>
        </w:rPr>
      </w:pPr>
      <w:r w:rsidRPr="00931FFE">
        <w:rPr>
          <w:rFonts w:ascii="Times New Roman" w:hAnsi="Times New Roman" w:cs="Times New Roman"/>
          <w:sz w:val="20"/>
          <w:szCs w:val="20"/>
          <w:lang w:bidi="ar-EG"/>
        </w:rPr>
        <w:t>Clinical Oncology</w:t>
      </w:r>
      <w:r w:rsidR="00F551E0" w:rsidRPr="00931FFE">
        <w:rPr>
          <w:rFonts w:ascii="Times New Roman" w:hAnsi="Times New Roman" w:cs="Times New Roman"/>
          <w:sz w:val="20"/>
          <w:szCs w:val="20"/>
          <w:lang w:bidi="ar-EG"/>
        </w:rPr>
        <w:t xml:space="preserve"> &amp; </w:t>
      </w:r>
      <w:r w:rsidRPr="00931FFE">
        <w:rPr>
          <w:rFonts w:ascii="Times New Roman" w:hAnsi="Times New Roman" w:cs="Times New Roman"/>
          <w:sz w:val="20"/>
          <w:szCs w:val="20"/>
          <w:lang w:bidi="ar-EG"/>
        </w:rPr>
        <w:t xml:space="preserve">Nuclear </w:t>
      </w:r>
      <w:r w:rsidR="0076732E" w:rsidRPr="00931FFE">
        <w:rPr>
          <w:rFonts w:ascii="Times New Roman" w:hAnsi="Times New Roman" w:cs="Times New Roman"/>
          <w:sz w:val="20"/>
          <w:szCs w:val="20"/>
          <w:lang w:bidi="ar-EG"/>
        </w:rPr>
        <w:t>Medicine Department, Faculty of Medicine, Suez Canal University, Egypt.</w:t>
      </w:r>
    </w:p>
    <w:p w:rsidR="00F551E0" w:rsidRPr="00931FFE" w:rsidRDefault="00394BF6" w:rsidP="00931FFE">
      <w:pPr>
        <w:pStyle w:val="a3"/>
        <w:tabs>
          <w:tab w:val="left" w:pos="0"/>
        </w:tabs>
        <w:bidi w:val="0"/>
        <w:snapToGrid w:val="0"/>
        <w:spacing w:after="0" w:line="240" w:lineRule="auto"/>
        <w:ind w:left="0"/>
        <w:jc w:val="center"/>
        <w:rPr>
          <w:rFonts w:ascii="Times New Roman" w:hAnsi="Times New Roman" w:cs="Times New Roman"/>
          <w:color w:val="000000" w:themeColor="text1"/>
          <w:sz w:val="20"/>
          <w:szCs w:val="20"/>
          <w:lang w:bidi="ar-EG"/>
        </w:rPr>
      </w:pPr>
      <w:hyperlink r:id="rId8" w:history="1">
        <w:r w:rsidR="0076732E" w:rsidRPr="00931FFE">
          <w:rPr>
            <w:rStyle w:val="a4"/>
            <w:rFonts w:ascii="Times New Roman" w:hAnsi="Times New Roman" w:cs="Times New Roman"/>
            <w:sz w:val="20"/>
            <w:szCs w:val="20"/>
            <w:lang w:bidi="ar-EG"/>
          </w:rPr>
          <w:t>mahalzamzam@hotmail.com</w:t>
        </w:r>
      </w:hyperlink>
    </w:p>
    <w:p w:rsidR="00F551E0" w:rsidRPr="00931FFE" w:rsidRDefault="00F551E0" w:rsidP="00931FFE">
      <w:pPr>
        <w:pStyle w:val="a3"/>
        <w:tabs>
          <w:tab w:val="left" w:pos="0"/>
        </w:tabs>
        <w:bidi w:val="0"/>
        <w:snapToGrid w:val="0"/>
        <w:spacing w:after="0" w:line="240" w:lineRule="auto"/>
        <w:ind w:left="0"/>
        <w:jc w:val="center"/>
        <w:rPr>
          <w:rFonts w:ascii="Times New Roman" w:hAnsi="Times New Roman" w:cs="Times New Roman"/>
          <w:color w:val="000000" w:themeColor="text1"/>
          <w:sz w:val="20"/>
          <w:szCs w:val="20"/>
          <w:lang w:bidi="ar-EG"/>
        </w:rPr>
      </w:pPr>
    </w:p>
    <w:p w:rsidR="00B42039" w:rsidRPr="00931FFE" w:rsidRDefault="00484ADB" w:rsidP="00931FFE">
      <w:pPr>
        <w:pStyle w:val="a3"/>
        <w:tabs>
          <w:tab w:val="left" w:pos="0"/>
        </w:tabs>
        <w:bidi w:val="0"/>
        <w:snapToGrid w:val="0"/>
        <w:spacing w:after="0" w:line="240" w:lineRule="auto"/>
        <w:ind w:left="0"/>
        <w:jc w:val="both"/>
        <w:rPr>
          <w:rFonts w:ascii="Times New Roman" w:hAnsi="Times New Roman" w:cs="Times New Roman"/>
          <w:b/>
          <w:bCs/>
          <w:color w:val="000000" w:themeColor="text1"/>
          <w:sz w:val="20"/>
          <w:szCs w:val="20"/>
          <w:lang w:bidi="ar-EG"/>
        </w:rPr>
      </w:pPr>
      <w:r w:rsidRPr="00931FFE">
        <w:rPr>
          <w:rFonts w:ascii="Times New Roman" w:hAnsi="Times New Roman" w:cs="Times New Roman"/>
          <w:b/>
          <w:bCs/>
          <w:color w:val="000000" w:themeColor="text1"/>
          <w:sz w:val="20"/>
          <w:szCs w:val="20"/>
          <w:lang w:bidi="ar-EG"/>
        </w:rPr>
        <w:t>Abstract</w:t>
      </w:r>
      <w:r w:rsidR="0076732E" w:rsidRPr="00931FFE">
        <w:rPr>
          <w:rFonts w:ascii="Times New Roman" w:hAnsi="Times New Roman" w:cs="Times New Roman"/>
          <w:b/>
          <w:bCs/>
          <w:color w:val="000000" w:themeColor="text1"/>
          <w:sz w:val="20"/>
          <w:szCs w:val="20"/>
          <w:lang w:bidi="ar-EG"/>
        </w:rPr>
        <w:t xml:space="preserve">: </w:t>
      </w:r>
      <w:r w:rsidRPr="00931FFE">
        <w:rPr>
          <w:rFonts w:ascii="Times New Roman" w:hAnsi="Times New Roman" w:cs="Times New Roman"/>
          <w:b/>
          <w:bCs/>
          <w:sz w:val="20"/>
          <w:szCs w:val="20"/>
          <w:lang w:bidi="ar-EG"/>
        </w:rPr>
        <w:t>Background:</w:t>
      </w:r>
      <w:r w:rsidRPr="00931FFE">
        <w:rPr>
          <w:rFonts w:ascii="Times New Roman" w:hAnsi="Times New Roman" w:cs="Times New Roman"/>
          <w:sz w:val="20"/>
          <w:szCs w:val="20"/>
          <w:lang w:bidi="ar-EG"/>
        </w:rPr>
        <w:t xml:space="preserve"> </w:t>
      </w:r>
      <w:r w:rsidRPr="00931FFE">
        <w:rPr>
          <w:rFonts w:ascii="Times New Roman" w:hAnsi="Times New Roman" w:cs="Times New Roman"/>
          <w:sz w:val="20"/>
          <w:szCs w:val="20"/>
        </w:rPr>
        <w:t>Locall</w:t>
      </w:r>
      <w:r w:rsidR="005B62D3" w:rsidRPr="00931FFE">
        <w:rPr>
          <w:rFonts w:ascii="Times New Roman" w:hAnsi="Times New Roman" w:cs="Times New Roman"/>
          <w:sz w:val="20"/>
          <w:szCs w:val="20"/>
        </w:rPr>
        <w:t xml:space="preserve">y advanced breast cancer </w:t>
      </w:r>
      <w:r w:rsidRPr="00931FFE">
        <w:rPr>
          <w:rFonts w:ascii="Times New Roman" w:hAnsi="Times New Roman" w:cs="Times New Roman"/>
          <w:sz w:val="20"/>
          <w:szCs w:val="20"/>
        </w:rPr>
        <w:t xml:space="preserve">continues to be a common breast cancer presentation worldwide and to be a significant problem in </w:t>
      </w:r>
      <w:r w:rsidR="002443C3" w:rsidRPr="00931FFE">
        <w:rPr>
          <w:rFonts w:ascii="Times New Roman" w:hAnsi="Times New Roman" w:cs="Times New Roman"/>
          <w:sz w:val="20"/>
          <w:szCs w:val="20"/>
        </w:rPr>
        <w:t xml:space="preserve">Egypt. The </w:t>
      </w:r>
      <w:r w:rsidRPr="00931FFE">
        <w:rPr>
          <w:rFonts w:ascii="Times New Roman" w:hAnsi="Times New Roman" w:cs="Times New Roman"/>
          <w:sz w:val="20"/>
          <w:szCs w:val="20"/>
        </w:rPr>
        <w:t>National Cancer Institute of Cairo data showed</w:t>
      </w:r>
      <w:r w:rsidR="002443C3" w:rsidRPr="00931FFE">
        <w:rPr>
          <w:rFonts w:ascii="Times New Roman" w:hAnsi="Times New Roman" w:cs="Times New Roman"/>
          <w:sz w:val="20"/>
          <w:szCs w:val="20"/>
        </w:rPr>
        <w:t xml:space="preserve"> </w:t>
      </w:r>
      <w:r w:rsidRPr="00931FFE">
        <w:rPr>
          <w:rFonts w:ascii="Times New Roman" w:hAnsi="Times New Roman" w:cs="Times New Roman"/>
          <w:sz w:val="20"/>
          <w:szCs w:val="20"/>
        </w:rPr>
        <w:t>breast cancer stages III and IV to be around 80 - 90%</w:t>
      </w:r>
      <w:r w:rsidR="005B62D3" w:rsidRPr="00931FFE">
        <w:rPr>
          <w:rFonts w:ascii="Times New Roman" w:hAnsi="Times New Roman" w:cs="Times New Roman"/>
          <w:sz w:val="20"/>
          <w:szCs w:val="20"/>
        </w:rPr>
        <w:t>.</w:t>
      </w:r>
      <w:r w:rsidR="0076732E" w:rsidRPr="00931FFE">
        <w:rPr>
          <w:rFonts w:ascii="Times New Roman" w:hAnsi="Times New Roman" w:cs="Times New Roman"/>
          <w:sz w:val="20"/>
          <w:szCs w:val="20"/>
        </w:rPr>
        <w:t xml:space="preserve"> </w:t>
      </w:r>
      <w:r w:rsidRPr="00931FFE">
        <w:rPr>
          <w:rFonts w:ascii="Times New Roman" w:hAnsi="Times New Roman" w:cs="Times New Roman"/>
          <w:b/>
          <w:bCs/>
          <w:sz w:val="20"/>
          <w:szCs w:val="20"/>
        </w:rPr>
        <w:t>Aim of Work:</w:t>
      </w:r>
      <w:r w:rsidRPr="00931FFE">
        <w:rPr>
          <w:rFonts w:ascii="Times New Roman" w:hAnsi="Times New Roman" w:cs="Times New Roman"/>
          <w:sz w:val="20"/>
          <w:szCs w:val="20"/>
          <w:lang w:bidi="ar-EG"/>
        </w:rPr>
        <w:t xml:space="preserve"> To compare the Response Rate</w:t>
      </w:r>
      <w:r w:rsidR="00F551E0" w:rsidRPr="00931FFE">
        <w:rPr>
          <w:rFonts w:ascii="Times New Roman" w:hAnsi="Times New Roman" w:cs="Times New Roman"/>
          <w:sz w:val="20"/>
          <w:szCs w:val="20"/>
          <w:lang w:bidi="ar-EG"/>
        </w:rPr>
        <w:t xml:space="preserve"> &amp; </w:t>
      </w:r>
      <w:r w:rsidRPr="00931FFE">
        <w:rPr>
          <w:rFonts w:ascii="Times New Roman" w:hAnsi="Times New Roman" w:cs="Times New Roman"/>
          <w:sz w:val="20"/>
          <w:szCs w:val="20"/>
          <w:lang w:bidi="ar-EG"/>
        </w:rPr>
        <w:t>Toxicity of using Vinorelbine/Cisplatin</w:t>
      </w:r>
      <w:r w:rsidR="005B62D3" w:rsidRPr="00931FFE">
        <w:rPr>
          <w:rFonts w:ascii="Times New Roman" w:hAnsi="Times New Roman" w:cs="Times New Roman"/>
          <w:sz w:val="20"/>
          <w:szCs w:val="20"/>
          <w:lang w:bidi="ar-EG"/>
        </w:rPr>
        <w:t xml:space="preserve"> </w:t>
      </w:r>
      <w:r w:rsidRPr="00931FFE">
        <w:rPr>
          <w:rFonts w:ascii="Times New Roman" w:hAnsi="Times New Roman" w:cs="Times New Roman"/>
          <w:sz w:val="20"/>
          <w:szCs w:val="20"/>
          <w:lang w:bidi="ar-EG"/>
        </w:rPr>
        <w:t>regimen versus Docetaxel/Gemcitabine regimen as a tool of treatment in Operable Locally Advanced Breast Cancer patients.</w:t>
      </w:r>
      <w:r w:rsidR="0076732E" w:rsidRPr="00931FFE">
        <w:rPr>
          <w:rFonts w:ascii="Times New Roman" w:hAnsi="Times New Roman" w:cs="Times New Roman"/>
          <w:sz w:val="20"/>
          <w:szCs w:val="20"/>
          <w:lang w:bidi="ar-EG"/>
        </w:rPr>
        <w:t xml:space="preserve"> </w:t>
      </w:r>
      <w:r w:rsidRPr="00931FFE">
        <w:rPr>
          <w:rFonts w:ascii="Times New Roman" w:hAnsi="Times New Roman" w:cs="Times New Roman"/>
          <w:b/>
          <w:bCs/>
          <w:sz w:val="20"/>
          <w:szCs w:val="20"/>
          <w:lang w:bidi="ar-EG"/>
        </w:rPr>
        <w:t>Patients</w:t>
      </w:r>
      <w:r w:rsidR="00F551E0" w:rsidRPr="00931FFE">
        <w:rPr>
          <w:rFonts w:ascii="Times New Roman" w:hAnsi="Times New Roman" w:cs="Times New Roman"/>
          <w:b/>
          <w:bCs/>
          <w:sz w:val="20"/>
          <w:szCs w:val="20"/>
          <w:lang w:bidi="ar-EG"/>
        </w:rPr>
        <w:t xml:space="preserve"> &amp; </w:t>
      </w:r>
      <w:r w:rsidRPr="00931FFE">
        <w:rPr>
          <w:rFonts w:ascii="Times New Roman" w:hAnsi="Times New Roman" w:cs="Times New Roman"/>
          <w:b/>
          <w:bCs/>
          <w:sz w:val="20"/>
          <w:szCs w:val="20"/>
          <w:lang w:bidi="ar-EG"/>
        </w:rPr>
        <w:t xml:space="preserve">Methods: </w:t>
      </w:r>
      <w:r w:rsidR="002443C3" w:rsidRPr="00931FFE">
        <w:rPr>
          <w:rFonts w:ascii="Times New Roman" w:hAnsi="Times New Roman" w:cs="Times New Roman"/>
          <w:snapToGrid w:val="0"/>
          <w:sz w:val="20"/>
          <w:szCs w:val="20"/>
        </w:rPr>
        <w:t>This was</w:t>
      </w:r>
      <w:r w:rsidRPr="00931FFE">
        <w:rPr>
          <w:rFonts w:ascii="Times New Roman" w:hAnsi="Times New Roman" w:cs="Times New Roman"/>
          <w:snapToGrid w:val="0"/>
          <w:sz w:val="20"/>
          <w:szCs w:val="20"/>
        </w:rPr>
        <w:t xml:space="preserve"> a randomized clinical trial study that was conducted upon clinically, pathologically</w:t>
      </w:r>
      <w:r w:rsidR="00F551E0" w:rsidRPr="00931FFE">
        <w:rPr>
          <w:rFonts w:ascii="Times New Roman" w:hAnsi="Times New Roman" w:cs="Times New Roman"/>
          <w:snapToGrid w:val="0"/>
          <w:sz w:val="20"/>
          <w:szCs w:val="20"/>
        </w:rPr>
        <w:t xml:space="preserve"> &amp; </w:t>
      </w:r>
      <w:r w:rsidRPr="00931FFE">
        <w:rPr>
          <w:rFonts w:ascii="Times New Roman" w:hAnsi="Times New Roman" w:cs="Times New Roman"/>
          <w:snapToGrid w:val="0"/>
          <w:sz w:val="20"/>
          <w:szCs w:val="20"/>
        </w:rPr>
        <w:t>radiol</w:t>
      </w:r>
      <w:r w:rsidR="002443C3" w:rsidRPr="00931FFE">
        <w:rPr>
          <w:rFonts w:ascii="Times New Roman" w:hAnsi="Times New Roman" w:cs="Times New Roman"/>
          <w:snapToGrid w:val="0"/>
          <w:sz w:val="20"/>
          <w:szCs w:val="20"/>
        </w:rPr>
        <w:t>ogically proved patients with</w:t>
      </w:r>
      <w:r w:rsidRPr="00931FFE">
        <w:rPr>
          <w:rFonts w:ascii="Times New Roman" w:hAnsi="Times New Roman" w:cs="Times New Roman"/>
          <w:snapToGrid w:val="0"/>
          <w:sz w:val="20"/>
          <w:szCs w:val="20"/>
        </w:rPr>
        <w:t xml:space="preserve"> Locally Advanced Breast Cancer attending </w:t>
      </w:r>
      <w:r w:rsidRPr="00931FFE">
        <w:rPr>
          <w:rStyle w:val="editsection"/>
          <w:rFonts w:ascii="Times New Roman" w:hAnsi="Times New Roman" w:cs="Times New Roman"/>
          <w:sz w:val="20"/>
          <w:szCs w:val="20"/>
        </w:rPr>
        <w:t xml:space="preserve">Clinical Oncology and Nuclear Medicine Department of </w:t>
      </w:r>
      <w:r w:rsidRPr="00931FFE">
        <w:rPr>
          <w:rFonts w:ascii="Times New Roman" w:hAnsi="Times New Roman" w:cs="Times New Roman"/>
          <w:snapToGrid w:val="0"/>
          <w:sz w:val="20"/>
          <w:szCs w:val="20"/>
        </w:rPr>
        <w:t>Suez Canal University during 2013</w:t>
      </w:r>
      <w:r w:rsidR="00F551E0" w:rsidRPr="00931FFE">
        <w:rPr>
          <w:rFonts w:ascii="Times New Roman" w:hAnsi="Times New Roman" w:cs="Times New Roman"/>
          <w:snapToGrid w:val="0"/>
          <w:sz w:val="20"/>
          <w:szCs w:val="20"/>
        </w:rPr>
        <w:t xml:space="preserve"> &amp; </w:t>
      </w:r>
      <w:r w:rsidRPr="00931FFE">
        <w:rPr>
          <w:rFonts w:ascii="Times New Roman" w:hAnsi="Times New Roman" w:cs="Times New Roman"/>
          <w:snapToGrid w:val="0"/>
          <w:sz w:val="20"/>
          <w:szCs w:val="20"/>
        </w:rPr>
        <w:t>2014 at Ismailia.</w:t>
      </w:r>
      <w:r w:rsidR="005B62D3" w:rsidRPr="00931FFE">
        <w:rPr>
          <w:rFonts w:ascii="Times New Roman" w:hAnsi="Times New Roman" w:cs="Times New Roman"/>
          <w:snapToGrid w:val="0"/>
          <w:sz w:val="20"/>
          <w:szCs w:val="20"/>
        </w:rPr>
        <w:t xml:space="preserve"> </w:t>
      </w:r>
      <w:r w:rsidR="00562ED0" w:rsidRPr="00931FFE">
        <w:rPr>
          <w:rFonts w:ascii="Times New Roman" w:hAnsi="Times New Roman" w:cs="Times New Roman"/>
          <w:snapToGrid w:val="0"/>
          <w:sz w:val="20"/>
          <w:szCs w:val="20"/>
        </w:rPr>
        <w:t>Patients recruited for the study were divided into two main groups as follows:</w:t>
      </w:r>
      <w:r w:rsidR="005B62D3" w:rsidRPr="00931FFE">
        <w:rPr>
          <w:rFonts w:ascii="Times New Roman" w:hAnsi="Times New Roman" w:cs="Times New Roman"/>
          <w:snapToGrid w:val="0"/>
          <w:sz w:val="20"/>
          <w:szCs w:val="20"/>
        </w:rPr>
        <w:t xml:space="preserve"> </w:t>
      </w:r>
      <w:r w:rsidR="00562ED0" w:rsidRPr="00931FFE">
        <w:rPr>
          <w:rFonts w:ascii="Times New Roman" w:hAnsi="Times New Roman" w:cs="Times New Roman"/>
          <w:b/>
          <w:bCs/>
          <w:sz w:val="20"/>
          <w:szCs w:val="20"/>
        </w:rPr>
        <w:t xml:space="preserve">Group (1): </w:t>
      </w:r>
      <w:r w:rsidR="00562ED0" w:rsidRPr="00931FFE">
        <w:rPr>
          <w:rFonts w:ascii="Times New Roman" w:hAnsi="Times New Roman" w:cs="Times New Roman"/>
          <w:snapToGrid w:val="0"/>
          <w:sz w:val="20"/>
          <w:szCs w:val="20"/>
        </w:rPr>
        <w:t>included patients who received</w:t>
      </w:r>
      <w:r w:rsidR="00562ED0" w:rsidRPr="00931FFE">
        <w:rPr>
          <w:rFonts w:ascii="Times New Roman" w:hAnsi="Times New Roman" w:cs="Times New Roman"/>
          <w:sz w:val="20"/>
          <w:szCs w:val="20"/>
        </w:rPr>
        <w:t xml:space="preserve"> </w:t>
      </w:r>
      <w:r w:rsidR="00600625" w:rsidRPr="00931FFE">
        <w:rPr>
          <w:rFonts w:ascii="Times New Roman" w:hAnsi="Times New Roman" w:cs="Times New Roman"/>
          <w:sz w:val="20"/>
          <w:szCs w:val="20"/>
        </w:rPr>
        <w:t xml:space="preserve">4 cycles of </w:t>
      </w:r>
      <w:r w:rsidR="005B62D3" w:rsidRPr="00931FFE">
        <w:rPr>
          <w:rFonts w:ascii="Times New Roman" w:hAnsi="Times New Roman" w:cs="Times New Roman"/>
          <w:sz w:val="20"/>
          <w:szCs w:val="20"/>
        </w:rPr>
        <w:t>(</w:t>
      </w:r>
      <w:r w:rsidR="00562ED0" w:rsidRPr="00931FFE">
        <w:rPr>
          <w:rFonts w:ascii="Times New Roman" w:hAnsi="Times New Roman" w:cs="Times New Roman"/>
          <w:sz w:val="20"/>
          <w:szCs w:val="20"/>
        </w:rPr>
        <w:t>Vinorelbine</w:t>
      </w:r>
      <w:r w:rsidR="005B62D3" w:rsidRPr="00931FFE">
        <w:rPr>
          <w:rFonts w:ascii="Times New Roman" w:hAnsi="Times New Roman" w:cs="Times New Roman"/>
          <w:sz w:val="20"/>
          <w:szCs w:val="20"/>
        </w:rPr>
        <w:t xml:space="preserve">, </w:t>
      </w:r>
      <w:r w:rsidR="00562ED0" w:rsidRPr="00931FFE">
        <w:rPr>
          <w:rFonts w:ascii="Times New Roman" w:hAnsi="Times New Roman" w:cs="Times New Roman"/>
          <w:sz w:val="20"/>
          <w:szCs w:val="20"/>
        </w:rPr>
        <w:t>Cisplatin</w:t>
      </w:r>
      <w:r w:rsidR="005B62D3" w:rsidRPr="00931FFE">
        <w:rPr>
          <w:rFonts w:ascii="Times New Roman" w:hAnsi="Times New Roman" w:cs="Times New Roman"/>
          <w:sz w:val="20"/>
          <w:szCs w:val="20"/>
        </w:rPr>
        <w:t>) regimen</w:t>
      </w:r>
      <w:r w:rsidR="00562ED0" w:rsidRPr="00931FFE">
        <w:rPr>
          <w:rFonts w:ascii="Times New Roman" w:hAnsi="Times New Roman" w:cs="Times New Roman"/>
          <w:sz w:val="20"/>
          <w:szCs w:val="20"/>
        </w:rPr>
        <w:t>.</w:t>
      </w:r>
      <w:r w:rsidR="005B62D3" w:rsidRPr="00931FFE">
        <w:rPr>
          <w:rFonts w:ascii="Times New Roman" w:hAnsi="Times New Roman" w:cs="Times New Roman"/>
          <w:sz w:val="20"/>
          <w:szCs w:val="20"/>
        </w:rPr>
        <w:t xml:space="preserve"> </w:t>
      </w:r>
      <w:r w:rsidR="00562ED0" w:rsidRPr="00931FFE">
        <w:rPr>
          <w:rFonts w:ascii="Times New Roman" w:hAnsi="Times New Roman" w:cs="Times New Roman"/>
          <w:b/>
          <w:bCs/>
          <w:snapToGrid w:val="0"/>
          <w:sz w:val="20"/>
          <w:szCs w:val="20"/>
        </w:rPr>
        <w:t xml:space="preserve">Group (2): </w:t>
      </w:r>
      <w:r w:rsidR="00562ED0" w:rsidRPr="00931FFE">
        <w:rPr>
          <w:rFonts w:ascii="Times New Roman" w:hAnsi="Times New Roman" w:cs="Times New Roman"/>
          <w:snapToGrid w:val="0"/>
          <w:sz w:val="20"/>
          <w:szCs w:val="20"/>
        </w:rPr>
        <w:t>included patients who received</w:t>
      </w:r>
      <w:r w:rsidR="00562ED0" w:rsidRPr="00931FFE">
        <w:rPr>
          <w:rFonts w:ascii="Times New Roman" w:hAnsi="Times New Roman" w:cs="Times New Roman"/>
          <w:sz w:val="20"/>
          <w:szCs w:val="20"/>
        </w:rPr>
        <w:t xml:space="preserve"> </w:t>
      </w:r>
      <w:r w:rsidR="00600625" w:rsidRPr="00931FFE">
        <w:rPr>
          <w:rFonts w:ascii="Times New Roman" w:hAnsi="Times New Roman" w:cs="Times New Roman"/>
          <w:sz w:val="20"/>
          <w:szCs w:val="20"/>
        </w:rPr>
        <w:t xml:space="preserve">4 cycles of </w:t>
      </w:r>
      <w:r w:rsidR="005B62D3" w:rsidRPr="00931FFE">
        <w:rPr>
          <w:rFonts w:ascii="Times New Roman" w:hAnsi="Times New Roman" w:cs="Times New Roman"/>
          <w:sz w:val="20"/>
          <w:szCs w:val="20"/>
        </w:rPr>
        <w:t>(</w:t>
      </w:r>
      <w:r w:rsidR="00562ED0" w:rsidRPr="00931FFE">
        <w:rPr>
          <w:rFonts w:ascii="Times New Roman" w:hAnsi="Times New Roman" w:cs="Times New Roman"/>
          <w:sz w:val="20"/>
          <w:szCs w:val="20"/>
          <w:lang w:bidi="ar-EG"/>
        </w:rPr>
        <w:t>Docetaxel</w:t>
      </w:r>
      <w:r w:rsidR="005B62D3" w:rsidRPr="00931FFE">
        <w:rPr>
          <w:rFonts w:ascii="Times New Roman" w:hAnsi="Times New Roman" w:cs="Times New Roman"/>
          <w:sz w:val="20"/>
          <w:szCs w:val="20"/>
          <w:lang w:bidi="ar-EG"/>
        </w:rPr>
        <w:t xml:space="preserve">, </w:t>
      </w:r>
      <w:r w:rsidR="00562ED0" w:rsidRPr="00931FFE">
        <w:rPr>
          <w:rFonts w:ascii="Times New Roman" w:hAnsi="Times New Roman" w:cs="Times New Roman"/>
          <w:sz w:val="20"/>
          <w:szCs w:val="20"/>
          <w:lang w:bidi="ar-EG"/>
        </w:rPr>
        <w:t>Gemcitabine</w:t>
      </w:r>
      <w:r w:rsidR="005B62D3" w:rsidRPr="00931FFE">
        <w:rPr>
          <w:rFonts w:ascii="Times New Roman" w:hAnsi="Times New Roman" w:cs="Times New Roman"/>
          <w:sz w:val="20"/>
          <w:szCs w:val="20"/>
          <w:lang w:bidi="ar-EG"/>
        </w:rPr>
        <w:t>) regimen</w:t>
      </w:r>
      <w:r w:rsidR="00562ED0" w:rsidRPr="00931FFE">
        <w:rPr>
          <w:rFonts w:ascii="Times New Roman" w:hAnsi="Times New Roman" w:cs="Times New Roman"/>
          <w:sz w:val="20"/>
          <w:szCs w:val="20"/>
          <w:lang w:bidi="ar-EG"/>
        </w:rPr>
        <w:t>.</w:t>
      </w:r>
      <w:r w:rsidR="0076732E" w:rsidRPr="00931FFE">
        <w:rPr>
          <w:rFonts w:ascii="Times New Roman" w:hAnsi="Times New Roman" w:cs="Times New Roman"/>
          <w:sz w:val="20"/>
          <w:szCs w:val="20"/>
          <w:lang w:bidi="ar-EG"/>
        </w:rPr>
        <w:t xml:space="preserve"> </w:t>
      </w:r>
      <w:r w:rsidR="00B42039" w:rsidRPr="00931FFE">
        <w:rPr>
          <w:rFonts w:ascii="Times New Roman" w:hAnsi="Times New Roman" w:cs="Times New Roman"/>
          <w:b/>
          <w:bCs/>
          <w:sz w:val="20"/>
          <w:szCs w:val="20"/>
        </w:rPr>
        <w:t>Results:</w:t>
      </w:r>
      <w:r w:rsidR="00B42039" w:rsidRPr="00931FFE">
        <w:rPr>
          <w:rFonts w:ascii="Times New Roman" w:hAnsi="Times New Roman" w:cs="Times New Roman"/>
          <w:sz w:val="20"/>
          <w:szCs w:val="20"/>
        </w:rPr>
        <w:t xml:space="preserve"> (Vinorelbine, Cisplatin) regimen was more effective and well-tolerated than </w:t>
      </w:r>
      <w:r w:rsidR="00B42039" w:rsidRPr="00931FFE">
        <w:rPr>
          <w:rFonts w:ascii="Times New Roman" w:hAnsi="Times New Roman" w:cs="Times New Roman"/>
          <w:sz w:val="20"/>
          <w:szCs w:val="20"/>
          <w:lang w:bidi="ar-EG"/>
        </w:rPr>
        <w:t>(Docetaxel, Gemcitabine) regimen</w:t>
      </w:r>
      <w:r w:rsidR="00B42039" w:rsidRPr="00931FFE">
        <w:rPr>
          <w:rFonts w:ascii="Times New Roman" w:hAnsi="Times New Roman" w:cs="Times New Roman"/>
          <w:sz w:val="20"/>
          <w:szCs w:val="20"/>
        </w:rPr>
        <w:t xml:space="preserve"> in patients with Local</w:t>
      </w:r>
      <w:r w:rsidR="005B62D3" w:rsidRPr="00931FFE">
        <w:rPr>
          <w:rFonts w:ascii="Times New Roman" w:hAnsi="Times New Roman" w:cs="Times New Roman"/>
          <w:sz w:val="20"/>
          <w:szCs w:val="20"/>
        </w:rPr>
        <w:t>ly Advanced Breast Cancer with Overall Response Rate</w:t>
      </w:r>
      <w:r w:rsidR="00B42039" w:rsidRPr="00931FFE">
        <w:rPr>
          <w:rFonts w:ascii="Times New Roman" w:hAnsi="Times New Roman" w:cs="Times New Roman"/>
          <w:sz w:val="20"/>
          <w:szCs w:val="20"/>
        </w:rPr>
        <w:t>:</w:t>
      </w:r>
      <w:r w:rsidR="00F551E0" w:rsidRPr="00931FFE">
        <w:rPr>
          <w:rFonts w:ascii="Times New Roman" w:hAnsi="Times New Roman" w:cs="Times New Roman"/>
          <w:sz w:val="20"/>
          <w:szCs w:val="20"/>
        </w:rPr>
        <w:t xml:space="preserve"> </w:t>
      </w:r>
      <w:r w:rsidR="00B42039" w:rsidRPr="00931FFE">
        <w:rPr>
          <w:rFonts w:ascii="Times New Roman" w:hAnsi="Times New Roman" w:cs="Times New Roman"/>
          <w:sz w:val="20"/>
          <w:szCs w:val="20"/>
        </w:rPr>
        <w:t>(84.44%, 53.33%) respectively.</w:t>
      </w:r>
      <w:r w:rsidR="00B42039" w:rsidRPr="00931FFE">
        <w:rPr>
          <w:rFonts w:ascii="Times New Roman" w:hAnsi="Times New Roman" w:cs="Times New Roman"/>
          <w:b/>
          <w:bCs/>
          <w:sz w:val="20"/>
          <w:szCs w:val="20"/>
        </w:rPr>
        <w:t xml:space="preserve"> </w:t>
      </w:r>
      <w:r w:rsidR="00B42039" w:rsidRPr="00931FFE">
        <w:rPr>
          <w:rFonts w:ascii="Times New Roman" w:hAnsi="Times New Roman" w:cs="Times New Roman"/>
          <w:sz w:val="20"/>
          <w:szCs w:val="20"/>
        </w:rPr>
        <w:t>Disease Free Survival</w:t>
      </w:r>
      <w:r w:rsidR="00F551E0" w:rsidRPr="00931FFE">
        <w:rPr>
          <w:rFonts w:ascii="Times New Roman" w:hAnsi="Times New Roman" w:cs="Times New Roman"/>
          <w:sz w:val="20"/>
          <w:szCs w:val="20"/>
        </w:rPr>
        <w:t xml:space="preserve"> </w:t>
      </w:r>
      <w:r w:rsidR="00F551E0" w:rsidRPr="00931FFE">
        <w:rPr>
          <w:rFonts w:ascii="Times New Roman" w:hAnsi="Times New Roman" w:cs="Times New Roman"/>
          <w:sz w:val="20"/>
          <w:szCs w:val="20"/>
          <w:lang w:bidi="ar-EG"/>
        </w:rPr>
        <w:t xml:space="preserve">&amp; </w:t>
      </w:r>
      <w:r w:rsidR="00B42039" w:rsidRPr="00931FFE">
        <w:rPr>
          <w:rFonts w:ascii="Times New Roman" w:hAnsi="Times New Roman" w:cs="Times New Roman"/>
          <w:sz w:val="20"/>
          <w:szCs w:val="20"/>
          <w:lang w:bidi="ar-EG"/>
        </w:rPr>
        <w:t>Overall Survival for those who had pathological complete tumor</w:t>
      </w:r>
      <w:r w:rsidR="00F551E0" w:rsidRPr="00931FFE">
        <w:rPr>
          <w:rFonts w:ascii="Times New Roman" w:hAnsi="Times New Roman" w:cs="Times New Roman"/>
          <w:sz w:val="20"/>
          <w:szCs w:val="20"/>
          <w:lang w:bidi="ar-EG"/>
        </w:rPr>
        <w:t xml:space="preserve"> &amp; </w:t>
      </w:r>
      <w:r w:rsidR="00B42039" w:rsidRPr="00931FFE">
        <w:rPr>
          <w:rFonts w:ascii="Times New Roman" w:hAnsi="Times New Roman" w:cs="Times New Roman"/>
          <w:sz w:val="20"/>
          <w:szCs w:val="20"/>
          <w:lang w:bidi="ar-EG"/>
        </w:rPr>
        <w:t xml:space="preserve">nodal response after receiving either (Vinorelbine, Cisplatin) or (Docetaxel, Gemcitabine) regimens </w:t>
      </w:r>
      <w:r w:rsidR="00B42039" w:rsidRPr="00931FFE">
        <w:rPr>
          <w:rFonts w:ascii="Times New Roman" w:hAnsi="Times New Roman" w:cs="Times New Roman"/>
          <w:sz w:val="20"/>
          <w:szCs w:val="20"/>
        </w:rPr>
        <w:t>during</w:t>
      </w:r>
      <w:r w:rsidR="00F551E0" w:rsidRPr="00931FFE">
        <w:rPr>
          <w:rFonts w:ascii="Times New Roman" w:hAnsi="Times New Roman" w:cs="Times New Roman"/>
          <w:sz w:val="20"/>
          <w:szCs w:val="20"/>
        </w:rPr>
        <w:t xml:space="preserve"> </w:t>
      </w:r>
      <w:r w:rsidR="00B42039" w:rsidRPr="00931FFE">
        <w:rPr>
          <w:rFonts w:ascii="Times New Roman" w:hAnsi="Times New Roman" w:cs="Times New Roman"/>
          <w:sz w:val="20"/>
          <w:szCs w:val="20"/>
        </w:rPr>
        <w:t xml:space="preserve">19 months of follow-up </w:t>
      </w:r>
      <w:r w:rsidR="00B42039" w:rsidRPr="00931FFE">
        <w:rPr>
          <w:rFonts w:ascii="Times New Roman" w:hAnsi="Times New Roman" w:cs="Times New Roman"/>
          <w:sz w:val="20"/>
          <w:szCs w:val="20"/>
          <w:lang w:bidi="ar-EG"/>
        </w:rPr>
        <w:t>were (100%) with significant statistical difference.</w:t>
      </w:r>
      <w:r w:rsidR="0076732E" w:rsidRPr="00931FFE">
        <w:rPr>
          <w:rFonts w:ascii="Times New Roman" w:hAnsi="Times New Roman" w:cs="Times New Roman"/>
          <w:sz w:val="20"/>
          <w:szCs w:val="20"/>
          <w:lang w:bidi="ar-EG"/>
        </w:rPr>
        <w:t xml:space="preserve"> </w:t>
      </w:r>
      <w:r w:rsidR="00B42039" w:rsidRPr="00931FFE">
        <w:rPr>
          <w:rFonts w:ascii="Times New Roman" w:hAnsi="Times New Roman" w:cs="Times New Roman"/>
          <w:b/>
          <w:bCs/>
          <w:sz w:val="20"/>
          <w:szCs w:val="20"/>
          <w:lang w:bidi="ar-EG"/>
        </w:rPr>
        <w:t>Conclusion:</w:t>
      </w:r>
      <w:r w:rsidR="00B42039" w:rsidRPr="00931FFE">
        <w:rPr>
          <w:rFonts w:ascii="Times New Roman" w:hAnsi="Times New Roman" w:cs="Times New Roman"/>
          <w:sz w:val="20"/>
          <w:szCs w:val="20"/>
          <w:lang w:bidi="ar-EG"/>
        </w:rPr>
        <w:t xml:space="preserve"> </w:t>
      </w:r>
      <w:r w:rsidR="00B42039" w:rsidRPr="00931FFE">
        <w:rPr>
          <w:rFonts w:ascii="Times New Roman" w:hAnsi="Times New Roman" w:cs="Times New Roman"/>
          <w:sz w:val="20"/>
          <w:szCs w:val="20"/>
        </w:rPr>
        <w:t>Pathological complete remission to neoadjuvant chemotherapy has been consistently associated with improved disease free survival and overall survival</w:t>
      </w:r>
      <w:r w:rsidR="005B62D3" w:rsidRPr="00931FFE">
        <w:rPr>
          <w:rFonts w:ascii="Times New Roman" w:hAnsi="Times New Roman" w:cs="Times New Roman"/>
          <w:sz w:val="20"/>
          <w:szCs w:val="20"/>
        </w:rPr>
        <w:t>.</w:t>
      </w:r>
    </w:p>
    <w:p w:rsidR="00931FFE" w:rsidRPr="00931FFE" w:rsidRDefault="00931FFE" w:rsidP="00931FFE">
      <w:pPr>
        <w:tabs>
          <w:tab w:val="left" w:pos="0"/>
        </w:tabs>
        <w:bidi w:val="0"/>
        <w:snapToGrid w:val="0"/>
        <w:spacing w:after="0" w:line="240" w:lineRule="auto"/>
        <w:jc w:val="both"/>
        <w:rPr>
          <w:rFonts w:ascii="Times New Roman" w:hAnsi="Times New Roman" w:cs="Times New Roman"/>
          <w:color w:val="000000" w:themeColor="text1"/>
          <w:sz w:val="20"/>
          <w:szCs w:val="20"/>
        </w:rPr>
      </w:pPr>
      <w:r w:rsidRPr="00931FFE">
        <w:rPr>
          <w:rFonts w:ascii="Times New Roman" w:hAnsi="Times New Roman" w:cs="Times New Roman" w:hint="eastAsia"/>
          <w:b/>
          <w:sz w:val="20"/>
          <w:szCs w:val="20"/>
          <w:lang w:val="en-GB"/>
        </w:rPr>
        <w:t>[</w:t>
      </w:r>
      <w:r w:rsidRPr="00931FFE">
        <w:rPr>
          <w:rFonts w:ascii="Times New Roman" w:hAnsi="Times New Roman" w:cs="Times New Roman"/>
          <w:color w:val="000000" w:themeColor="text1"/>
          <w:sz w:val="20"/>
          <w:szCs w:val="20"/>
        </w:rPr>
        <w:t>Muhammad Solaiman Muhammad, Maha Lotfy Zamzam, Ahmed Mostafa Elzawawy and Ehab Mohammed Hassanen</w:t>
      </w:r>
      <w:r w:rsidRPr="00931FFE">
        <w:rPr>
          <w:rFonts w:ascii="Times New Roman" w:hAnsi="Times New Roman" w:cs="Times New Roman"/>
          <w:sz w:val="20"/>
          <w:szCs w:val="20"/>
        </w:rPr>
        <w:t xml:space="preserve">. </w:t>
      </w:r>
      <w:r w:rsidRPr="00931FFE">
        <w:rPr>
          <w:rFonts w:ascii="Times New Roman" w:hAnsi="Times New Roman" w:cs="Times New Roman"/>
          <w:b/>
          <w:bCs/>
          <w:color w:val="000000" w:themeColor="text1"/>
          <w:sz w:val="20"/>
          <w:szCs w:val="20"/>
          <w:lang w:bidi="ar-EG"/>
        </w:rPr>
        <w:t>Use of Vinorelbine/Cisplatin regimen Versus Docetaxel/Gemcitabine regimen in Operable Locally Advanced Breast Cancer Patients</w:t>
      </w:r>
      <w:r w:rsidRPr="00931FFE">
        <w:rPr>
          <w:rFonts w:ascii="Times New Roman" w:eastAsia="Times New Roman" w:hAnsi="Times New Roman" w:cs="Times New Roman"/>
          <w:b/>
          <w:bCs/>
          <w:sz w:val="20"/>
          <w:szCs w:val="20"/>
          <w:lang w:bidi="fa-IR"/>
        </w:rPr>
        <w:t>.</w:t>
      </w:r>
      <w:r w:rsidRPr="00931FFE">
        <w:rPr>
          <w:rFonts w:ascii="Times New Roman" w:hAnsi="Times New Roman" w:cs="Times New Roman"/>
          <w:i/>
          <w:sz w:val="20"/>
          <w:szCs w:val="20"/>
        </w:rPr>
        <w:t xml:space="preserve"> Cancer Biology</w:t>
      </w:r>
      <w:r w:rsidRPr="00931FFE">
        <w:rPr>
          <w:rFonts w:ascii="Times New Roman" w:hAnsi="Times New Roman" w:cs="Times New Roman"/>
          <w:sz w:val="20"/>
          <w:szCs w:val="20"/>
        </w:rPr>
        <w:t xml:space="preserve"> 201</w:t>
      </w:r>
      <w:r w:rsidRPr="00931FFE">
        <w:rPr>
          <w:rFonts w:ascii="Times New Roman" w:hAnsi="Times New Roman" w:cs="Times New Roman" w:hint="eastAsia"/>
          <w:sz w:val="20"/>
          <w:szCs w:val="20"/>
        </w:rPr>
        <w:t>7</w:t>
      </w:r>
      <w:r w:rsidRPr="00931FFE">
        <w:rPr>
          <w:rFonts w:ascii="Times New Roman" w:hAnsi="Times New Roman" w:cs="Times New Roman"/>
          <w:sz w:val="20"/>
          <w:szCs w:val="20"/>
        </w:rPr>
        <w:t>;</w:t>
      </w:r>
      <w:r w:rsidRPr="00931FFE">
        <w:rPr>
          <w:rFonts w:ascii="Times New Roman" w:hAnsi="Times New Roman" w:cs="Times New Roman" w:hint="eastAsia"/>
          <w:sz w:val="20"/>
          <w:szCs w:val="20"/>
        </w:rPr>
        <w:t>7</w:t>
      </w:r>
      <w:r w:rsidRPr="00931FFE">
        <w:rPr>
          <w:rFonts w:ascii="Times New Roman" w:hAnsi="Times New Roman" w:cs="Times New Roman"/>
          <w:sz w:val="20"/>
          <w:szCs w:val="20"/>
        </w:rPr>
        <w:t>(</w:t>
      </w:r>
      <w:r w:rsidRPr="00931FFE">
        <w:rPr>
          <w:rFonts w:ascii="Times New Roman" w:hAnsi="Times New Roman" w:cs="Times New Roman" w:hint="eastAsia"/>
          <w:sz w:val="20"/>
          <w:szCs w:val="20"/>
        </w:rPr>
        <w:t>4</w:t>
      </w:r>
      <w:r w:rsidRPr="00931FFE">
        <w:rPr>
          <w:rFonts w:ascii="Times New Roman" w:hAnsi="Times New Roman" w:cs="Times New Roman"/>
          <w:sz w:val="20"/>
          <w:szCs w:val="20"/>
        </w:rPr>
        <w:t>):</w:t>
      </w:r>
      <w:r w:rsidR="008A243C">
        <w:rPr>
          <w:rFonts w:ascii="Times New Roman" w:hAnsi="Times New Roman" w:cs="Times New Roman"/>
          <w:noProof/>
          <w:color w:val="000000"/>
          <w:sz w:val="20"/>
          <w:szCs w:val="20"/>
        </w:rPr>
        <w:t>1-10</w:t>
      </w:r>
      <w:r w:rsidRPr="00931FFE">
        <w:rPr>
          <w:rFonts w:ascii="Times New Roman" w:hAnsi="Times New Roman" w:cs="Times New Roman"/>
          <w:sz w:val="20"/>
          <w:szCs w:val="20"/>
        </w:rPr>
        <w:t xml:space="preserve">]. </w:t>
      </w:r>
      <w:r w:rsidRPr="00931FFE">
        <w:rPr>
          <w:rStyle w:val="msonormal0"/>
          <w:rFonts w:ascii="Times New Roman" w:eastAsia="宋" w:hAnsi="Times New Roman" w:cs="Times New Roman"/>
          <w:sz w:val="20"/>
          <w:szCs w:val="20"/>
        </w:rPr>
        <w:t>ISSN: 2150-1041 (print); ISSN: 2150-105X (online)</w:t>
      </w:r>
      <w:r w:rsidRPr="00931FFE">
        <w:rPr>
          <w:rFonts w:ascii="Times New Roman" w:hAnsi="Times New Roman" w:cs="Times New Roman"/>
          <w:sz w:val="20"/>
          <w:szCs w:val="20"/>
        </w:rPr>
        <w:t xml:space="preserve">. </w:t>
      </w:r>
      <w:hyperlink r:id="rId9" w:history="1">
        <w:r w:rsidRPr="00931FFE">
          <w:rPr>
            <w:rStyle w:val="a4"/>
            <w:rFonts w:ascii="Times New Roman" w:hAnsi="Times New Roman" w:cs="Times New Roman"/>
            <w:color w:val="0000FF"/>
            <w:sz w:val="20"/>
            <w:szCs w:val="20"/>
          </w:rPr>
          <w:t>http://www.cancerbio.net</w:t>
        </w:r>
      </w:hyperlink>
      <w:r w:rsidRPr="00931FFE">
        <w:rPr>
          <w:rFonts w:ascii="Times New Roman" w:hAnsi="Times New Roman" w:cs="Times New Roman"/>
          <w:sz w:val="20"/>
          <w:szCs w:val="20"/>
        </w:rPr>
        <w:t>.</w:t>
      </w:r>
      <w:r w:rsidRPr="00931FFE">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w:t>
      </w:r>
      <w:r w:rsidRPr="00931FFE">
        <w:rPr>
          <w:rFonts w:ascii="Times New Roman" w:hAnsi="Times New Roman" w:cs="Times New Roman" w:hint="eastAsia"/>
          <w:sz w:val="20"/>
          <w:szCs w:val="20"/>
        </w:rPr>
        <w:t xml:space="preserve">. </w:t>
      </w:r>
      <w:r w:rsidRPr="00931FFE">
        <w:rPr>
          <w:rFonts w:ascii="Times New Roman" w:hAnsi="Times New Roman" w:cs="Times New Roman"/>
          <w:color w:val="000000"/>
          <w:sz w:val="20"/>
          <w:szCs w:val="20"/>
          <w:shd w:val="clear" w:color="auto" w:fill="FFFFFF"/>
        </w:rPr>
        <w:t>doi:</w:t>
      </w:r>
      <w:hyperlink r:id="rId10" w:history="1">
        <w:r w:rsidRPr="00931FFE">
          <w:rPr>
            <w:rStyle w:val="a4"/>
            <w:rFonts w:ascii="Times New Roman" w:hAnsi="Times New Roman" w:cs="Times New Roman"/>
            <w:color w:val="0000FF"/>
            <w:sz w:val="20"/>
            <w:szCs w:val="20"/>
            <w:shd w:val="clear" w:color="auto" w:fill="FFFFFF"/>
          </w:rPr>
          <w:t>10.7537/mars</w:t>
        </w:r>
        <w:r w:rsidRPr="00931FFE">
          <w:rPr>
            <w:rStyle w:val="a4"/>
            <w:rFonts w:ascii="Times New Roman" w:hAnsi="Times New Roman" w:cs="Times New Roman" w:hint="eastAsia"/>
            <w:color w:val="0000FF"/>
            <w:sz w:val="20"/>
            <w:szCs w:val="20"/>
            <w:shd w:val="clear" w:color="auto" w:fill="FFFFFF"/>
          </w:rPr>
          <w:t>cbj0704</w:t>
        </w:r>
        <w:r w:rsidRPr="00931FFE">
          <w:rPr>
            <w:rStyle w:val="a4"/>
            <w:rFonts w:ascii="Times New Roman" w:hAnsi="Times New Roman" w:cs="Times New Roman"/>
            <w:color w:val="0000FF"/>
            <w:sz w:val="20"/>
            <w:szCs w:val="20"/>
            <w:shd w:val="clear" w:color="auto" w:fill="FFFFFF"/>
          </w:rPr>
          <w:t>1</w:t>
        </w:r>
        <w:r w:rsidRPr="00931FFE">
          <w:rPr>
            <w:rStyle w:val="a4"/>
            <w:rFonts w:ascii="Times New Roman" w:hAnsi="Times New Roman" w:cs="Times New Roman" w:hint="eastAsia"/>
            <w:color w:val="0000FF"/>
            <w:sz w:val="20"/>
            <w:szCs w:val="20"/>
            <w:shd w:val="clear" w:color="auto" w:fill="FFFFFF"/>
          </w:rPr>
          <w:t>7.</w:t>
        </w:r>
        <w:r w:rsidRPr="00931FFE">
          <w:rPr>
            <w:rStyle w:val="a4"/>
            <w:rFonts w:ascii="Times New Roman" w:hAnsi="Times New Roman" w:cs="Times New Roman"/>
            <w:color w:val="0000FF"/>
            <w:sz w:val="20"/>
            <w:szCs w:val="20"/>
            <w:shd w:val="clear" w:color="auto" w:fill="FFFFFF"/>
          </w:rPr>
          <w:t>0</w:t>
        </w:r>
        <w:r>
          <w:rPr>
            <w:rStyle w:val="a4"/>
            <w:rFonts w:ascii="Times New Roman" w:hAnsi="Times New Roman" w:cs="Times New Roman" w:hint="eastAsia"/>
            <w:color w:val="0000FF"/>
            <w:sz w:val="20"/>
            <w:szCs w:val="20"/>
            <w:shd w:val="clear" w:color="auto" w:fill="FFFFFF"/>
            <w:lang w:eastAsia="zh-CN"/>
          </w:rPr>
          <w:t>1</w:t>
        </w:r>
      </w:hyperlink>
      <w:r w:rsidRPr="00931FFE">
        <w:rPr>
          <w:rFonts w:ascii="Times New Roman" w:hAnsi="Times New Roman" w:cs="Times New Roman"/>
          <w:color w:val="000000"/>
          <w:sz w:val="20"/>
          <w:szCs w:val="20"/>
          <w:shd w:val="clear" w:color="auto" w:fill="FFFFFF"/>
        </w:rPr>
        <w:t>.</w:t>
      </w:r>
    </w:p>
    <w:p w:rsidR="0076732E" w:rsidRPr="00F551E0" w:rsidRDefault="0076732E" w:rsidP="00931FFE">
      <w:pPr>
        <w:pStyle w:val="a3"/>
        <w:bidi w:val="0"/>
        <w:snapToGrid w:val="0"/>
        <w:spacing w:after="0" w:line="240" w:lineRule="auto"/>
        <w:ind w:left="0"/>
        <w:jc w:val="both"/>
        <w:rPr>
          <w:rFonts w:ascii="Times New Roman" w:hAnsi="Times New Roman" w:cs="Times New Roman"/>
          <w:b/>
          <w:bCs/>
          <w:sz w:val="20"/>
          <w:szCs w:val="20"/>
        </w:rPr>
      </w:pPr>
    </w:p>
    <w:p w:rsidR="00600625" w:rsidRPr="00F551E0" w:rsidRDefault="00600625" w:rsidP="00931FFE">
      <w:pPr>
        <w:pStyle w:val="a3"/>
        <w:bidi w:val="0"/>
        <w:snapToGrid w:val="0"/>
        <w:spacing w:after="0" w:line="240" w:lineRule="auto"/>
        <w:ind w:left="0"/>
        <w:jc w:val="both"/>
        <w:rPr>
          <w:rFonts w:ascii="Times New Roman" w:hAnsi="Times New Roman" w:cs="Times New Roman"/>
          <w:noProof/>
          <w:sz w:val="20"/>
          <w:szCs w:val="20"/>
        </w:rPr>
      </w:pPr>
      <w:r w:rsidRPr="00F551E0">
        <w:rPr>
          <w:rFonts w:ascii="Times New Roman" w:hAnsi="Times New Roman" w:cs="Times New Roman"/>
          <w:b/>
          <w:bCs/>
          <w:sz w:val="20"/>
          <w:szCs w:val="20"/>
        </w:rPr>
        <w:t xml:space="preserve">Key Words: </w:t>
      </w:r>
      <w:r w:rsidR="002443C3" w:rsidRPr="00F551E0">
        <w:rPr>
          <w:rFonts w:ascii="Times New Roman" w:hAnsi="Times New Roman" w:cs="Times New Roman"/>
          <w:sz w:val="20"/>
          <w:szCs w:val="20"/>
        </w:rPr>
        <w:t>Response rate,</w:t>
      </w:r>
      <w:r w:rsidR="002443C3" w:rsidRPr="00F551E0">
        <w:rPr>
          <w:rFonts w:ascii="Times New Roman" w:hAnsi="Times New Roman" w:cs="Times New Roman"/>
          <w:b/>
          <w:bCs/>
          <w:sz w:val="20"/>
          <w:szCs w:val="20"/>
        </w:rPr>
        <w:t xml:space="preserve"> </w:t>
      </w:r>
      <w:r w:rsidR="002443C3" w:rsidRPr="00F551E0">
        <w:rPr>
          <w:rFonts w:ascii="Times New Roman" w:hAnsi="Times New Roman" w:cs="Times New Roman"/>
          <w:sz w:val="20"/>
          <w:szCs w:val="20"/>
        </w:rPr>
        <w:t>toxicity,</w:t>
      </w:r>
      <w:r w:rsidR="002443C3" w:rsidRPr="00F551E0">
        <w:rPr>
          <w:rFonts w:ascii="Times New Roman" w:hAnsi="Times New Roman" w:cs="Times New Roman"/>
          <w:b/>
          <w:bCs/>
          <w:sz w:val="20"/>
          <w:szCs w:val="20"/>
        </w:rPr>
        <w:t xml:space="preserve"> </w:t>
      </w:r>
      <w:r w:rsidRPr="00F551E0">
        <w:rPr>
          <w:rFonts w:ascii="Times New Roman" w:hAnsi="Times New Roman" w:cs="Times New Roman"/>
          <w:sz w:val="20"/>
          <w:szCs w:val="20"/>
        </w:rPr>
        <w:t>overall survival, disease free survival</w:t>
      </w:r>
      <w:r w:rsidR="00F551E0" w:rsidRPr="00F551E0">
        <w:rPr>
          <w:rFonts w:ascii="Times New Roman" w:hAnsi="Times New Roman" w:cs="Times New Roman"/>
          <w:sz w:val="20"/>
          <w:szCs w:val="20"/>
        </w:rPr>
        <w:t xml:space="preserve"> &amp; </w:t>
      </w:r>
      <w:r w:rsidRPr="00F551E0">
        <w:rPr>
          <w:rFonts w:ascii="Times New Roman" w:hAnsi="Times New Roman" w:cs="Times New Roman"/>
          <w:sz w:val="20"/>
          <w:szCs w:val="20"/>
        </w:rPr>
        <w:t>Pathological complete remission.</w:t>
      </w:r>
    </w:p>
    <w:p w:rsidR="00F551E0" w:rsidRPr="00F551E0" w:rsidRDefault="00F551E0" w:rsidP="00931FF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F551E0" w:rsidRPr="00F551E0" w:rsidRDefault="00F551E0" w:rsidP="00931FF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F551E0" w:rsidRPr="00F551E0" w:rsidSect="00F551E0">
          <w:headerReference w:type="default" r:id="rId11"/>
          <w:footerReference w:type="default" r:id="rId12"/>
          <w:type w:val="continuous"/>
          <w:pgSz w:w="12240" w:h="15840" w:code="1"/>
          <w:pgMar w:top="1440" w:right="1440" w:bottom="1440" w:left="1440" w:header="720" w:footer="720" w:gutter="0"/>
          <w:pgNumType w:start="1"/>
          <w:cols w:space="708"/>
          <w:docGrid w:linePitch="360"/>
        </w:sectPr>
      </w:pPr>
    </w:p>
    <w:p w:rsidR="008C4C8C" w:rsidRPr="00F551E0" w:rsidRDefault="0076732E" w:rsidP="00931FF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F551E0">
        <w:rPr>
          <w:rFonts w:ascii="Times New Roman" w:hAnsi="Times New Roman" w:cs="Times New Roman"/>
          <w:b/>
          <w:bCs/>
          <w:color w:val="000000"/>
          <w:sz w:val="20"/>
          <w:szCs w:val="20"/>
        </w:rPr>
        <w:lastRenderedPageBreak/>
        <w:t xml:space="preserve">1. </w:t>
      </w:r>
      <w:r w:rsidR="008C4C8C" w:rsidRPr="00F551E0">
        <w:rPr>
          <w:rFonts w:ascii="Times New Roman" w:hAnsi="Times New Roman" w:cs="Times New Roman"/>
          <w:b/>
          <w:bCs/>
          <w:color w:val="000000"/>
          <w:sz w:val="20"/>
          <w:szCs w:val="20"/>
        </w:rPr>
        <w:t>Introduction</w:t>
      </w:r>
      <w:r w:rsidR="00F551E0" w:rsidRPr="00F551E0">
        <w:rPr>
          <w:rFonts w:ascii="Times New Roman" w:hAnsi="Times New Roman" w:cs="Times New Roman"/>
          <w:b/>
          <w:bCs/>
          <w:color w:val="000000"/>
          <w:sz w:val="20"/>
          <w:szCs w:val="20"/>
        </w:rPr>
        <w:t xml:space="preserve"> &amp; </w:t>
      </w:r>
      <w:r w:rsidR="008C4C8C" w:rsidRPr="00F551E0">
        <w:rPr>
          <w:rFonts w:ascii="Times New Roman" w:hAnsi="Times New Roman" w:cs="Times New Roman"/>
          <w:b/>
          <w:bCs/>
          <w:color w:val="000000"/>
          <w:sz w:val="20"/>
          <w:szCs w:val="20"/>
        </w:rPr>
        <w:t>Rationale</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F551E0">
        <w:rPr>
          <w:rFonts w:ascii="Times New Roman" w:hAnsi="Times New Roman" w:cs="Times New Roman"/>
          <w:color w:val="000000"/>
          <w:sz w:val="20"/>
          <w:szCs w:val="20"/>
        </w:rPr>
        <w:t>Locally advanced breast cancer (LABC) continues to be a common breast cancer presentation worldwide and to be a significant problem in Egypt and the United States that National Cancer Institute of Cairo data showed breast cancer stages III and IV to be around 80 - 90%</w:t>
      </w:r>
      <w:r w:rsidR="007D4D1A" w:rsidRPr="00F551E0">
        <w:rPr>
          <w:rFonts w:ascii="Times New Roman" w:hAnsi="Times New Roman" w:cs="Times New Roman"/>
          <w:color w:val="000000"/>
          <w:sz w:val="20"/>
          <w:szCs w:val="20"/>
        </w:rPr>
        <w:t xml:space="preserve"> </w:t>
      </w:r>
      <w:r w:rsidR="007D4D1A" w:rsidRPr="00F551E0">
        <w:rPr>
          <w:rFonts w:ascii="Times New Roman" w:hAnsi="Times New Roman" w:cs="Times New Roman"/>
          <w:b/>
          <w:bCs/>
          <w:color w:val="000000"/>
          <w:sz w:val="20"/>
          <w:szCs w:val="20"/>
          <w:vertAlign w:val="superscript"/>
        </w:rPr>
        <w:t>(1)</w:t>
      </w:r>
      <w:r w:rsidRPr="00F551E0">
        <w:rPr>
          <w:rFonts w:ascii="Times New Roman" w:hAnsi="Times New Roman" w:cs="Times New Roman"/>
          <w:color w:val="000000"/>
          <w:sz w:val="20"/>
          <w:szCs w:val="20"/>
        </w:rPr>
        <w:t>. LABC generally is defined by bulky primary chest wall tumors and/or extensive adenopathy. This includes patients with T3 (</w:t>
      </w:r>
      <w:r w:rsidRPr="00F551E0">
        <w:rPr>
          <w:rFonts w:ascii="Times New Roman" w:hAnsi="Times New Roman" w:cs="Times New Roman"/>
          <w:sz w:val="20"/>
          <w:szCs w:val="20"/>
        </w:rPr>
        <w:t xml:space="preserve">&gt; </w:t>
      </w:r>
      <w:r w:rsidRPr="00F551E0">
        <w:rPr>
          <w:rFonts w:ascii="Times New Roman" w:hAnsi="Times New Roman" w:cs="Times New Roman"/>
          <w:color w:val="000000"/>
          <w:sz w:val="20"/>
          <w:szCs w:val="20"/>
        </w:rPr>
        <w:t>5 cm) or T4 tumors (chest wall fixation or skin ulceration and/or satellitosis) and N2/N3 disease (matted axillary and/or internal mammary metastases)</w:t>
      </w:r>
      <w:r w:rsidR="007D4D1A" w:rsidRPr="00F551E0">
        <w:rPr>
          <w:rFonts w:ascii="Times New Roman" w:hAnsi="Times New Roman" w:cs="Times New Roman"/>
          <w:b/>
          <w:bCs/>
          <w:color w:val="000000"/>
          <w:sz w:val="20"/>
          <w:szCs w:val="20"/>
          <w:vertAlign w:val="superscript"/>
        </w:rPr>
        <w:t xml:space="preserve"> (2)</w:t>
      </w:r>
      <w:r w:rsidRPr="00F551E0">
        <w:rPr>
          <w:rFonts w:ascii="Times New Roman" w:hAnsi="Times New Roman" w:cs="Times New Roman"/>
          <w:color w:val="000000"/>
          <w:sz w:val="20"/>
          <w:szCs w:val="20"/>
        </w:rPr>
        <w:t xml:space="preserve">. </w:t>
      </w:r>
      <w:r w:rsidR="006F58AB" w:rsidRPr="00F551E0">
        <w:rPr>
          <w:rFonts w:ascii="Times New Roman" w:hAnsi="Times New Roman" w:cs="Times New Roman"/>
          <w:color w:val="000000"/>
          <w:sz w:val="20"/>
          <w:szCs w:val="20"/>
        </w:rPr>
        <w:t>R</w:t>
      </w:r>
      <w:r w:rsidRPr="00F551E0">
        <w:rPr>
          <w:rFonts w:ascii="Times New Roman" w:hAnsi="Times New Roman" w:cs="Times New Roman"/>
          <w:color w:val="000000"/>
          <w:sz w:val="20"/>
          <w:szCs w:val="20"/>
        </w:rPr>
        <w:t xml:space="preserve">ecent studies demonstrate that prolonged survival can be achieved in patients with metastatic disease limited to the supraclavicular nodes after appropriate multimodality breast cancer treatment </w:t>
      </w:r>
      <w:r w:rsidR="007D4D1A" w:rsidRPr="00F551E0">
        <w:rPr>
          <w:rFonts w:ascii="Times New Roman" w:hAnsi="Times New Roman" w:cs="Times New Roman"/>
          <w:b/>
          <w:bCs/>
          <w:color w:val="000000"/>
          <w:sz w:val="20"/>
          <w:szCs w:val="20"/>
          <w:vertAlign w:val="superscript"/>
        </w:rPr>
        <w:t>(2), (3)</w:t>
      </w:r>
      <w:r w:rsidRPr="00F551E0">
        <w:rPr>
          <w:rFonts w:ascii="Times New Roman" w:hAnsi="Times New Roman" w:cs="Times New Roman"/>
          <w:color w:val="000000"/>
          <w:sz w:val="20"/>
          <w:szCs w:val="20"/>
        </w:rPr>
        <w:t>. As a result, the sixth edition of the American Joint Committee on Cancer (AJCC) staging system now includes isolated supraclavicular metastases in the stage III/LABC disease category</w:t>
      </w:r>
      <w:r w:rsidR="007D4D1A" w:rsidRPr="00F551E0">
        <w:rPr>
          <w:rFonts w:ascii="Times New Roman" w:hAnsi="Times New Roman" w:cs="Times New Roman"/>
          <w:color w:val="000000"/>
          <w:sz w:val="20"/>
          <w:szCs w:val="20"/>
        </w:rPr>
        <w:t xml:space="preserve"> </w:t>
      </w:r>
      <w:r w:rsidR="007D4D1A" w:rsidRPr="00F551E0">
        <w:rPr>
          <w:rFonts w:ascii="Times New Roman" w:hAnsi="Times New Roman" w:cs="Times New Roman"/>
          <w:b/>
          <w:bCs/>
          <w:color w:val="000000"/>
          <w:sz w:val="20"/>
          <w:szCs w:val="20"/>
          <w:vertAlign w:val="superscript"/>
        </w:rPr>
        <w:t>(4)</w:t>
      </w:r>
      <w:r w:rsidRPr="00F551E0">
        <w:rPr>
          <w:rFonts w:ascii="Times New Roman" w:hAnsi="Times New Roman" w:cs="Times New Roman"/>
          <w:color w:val="000000"/>
          <w:sz w:val="20"/>
          <w:szCs w:val="20"/>
        </w:rPr>
        <w:t>. According to the American College of Surgeons National Cancer Data Base, approximately 6%of breast cancers in the United States present as stage III breast cancer disease</w:t>
      </w:r>
      <w:r w:rsidR="004C1AB3" w:rsidRPr="00F551E0">
        <w:rPr>
          <w:rFonts w:ascii="Times New Roman" w:hAnsi="Times New Roman" w:cs="Times New Roman"/>
          <w:color w:val="000000"/>
          <w:sz w:val="20"/>
          <w:szCs w:val="20"/>
        </w:rPr>
        <w:t xml:space="preserve"> </w:t>
      </w:r>
      <w:r w:rsidR="004C1AB3" w:rsidRPr="00F551E0">
        <w:rPr>
          <w:rFonts w:ascii="Times New Roman" w:hAnsi="Times New Roman" w:cs="Times New Roman"/>
          <w:b/>
          <w:bCs/>
          <w:color w:val="000000"/>
          <w:sz w:val="20"/>
          <w:szCs w:val="20"/>
          <w:vertAlign w:val="superscript"/>
        </w:rPr>
        <w:t>(5)</w:t>
      </w:r>
      <w:r w:rsidRPr="00F551E0">
        <w:rPr>
          <w:rFonts w:ascii="Times New Roman" w:hAnsi="Times New Roman" w:cs="Times New Roman"/>
          <w:color w:val="000000"/>
          <w:sz w:val="20"/>
          <w:szCs w:val="20"/>
        </w:rPr>
        <w:t xml:space="preserve">. </w:t>
      </w:r>
      <w:r w:rsidRPr="00F551E0">
        <w:rPr>
          <w:rFonts w:ascii="Times New Roman" w:hAnsi="Times New Roman" w:cs="Times New Roman"/>
          <w:color w:val="000000"/>
          <w:sz w:val="20"/>
          <w:szCs w:val="20"/>
        </w:rPr>
        <w:lastRenderedPageBreak/>
        <w:t>Five-year survival for stage III breast cancer is approximately 50%, compared with 87% for stage I.</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color w:val="000000"/>
          <w:sz w:val="20"/>
          <w:szCs w:val="20"/>
        </w:rPr>
        <w:t xml:space="preserve">The extent to which LABC represents neglect and delayed diagnosis versus aggressive tumor biology is unclear. Data from the Surveillance, Epidemiology, and End Results (SEER) program reveal that the proportion of </w:t>
      </w:r>
      <w:r w:rsidR="006F58AB" w:rsidRPr="00F551E0">
        <w:rPr>
          <w:rFonts w:ascii="Times New Roman" w:hAnsi="Times New Roman" w:cs="Times New Roman"/>
          <w:color w:val="000000"/>
          <w:sz w:val="20"/>
          <w:szCs w:val="20"/>
        </w:rPr>
        <w:t xml:space="preserve">LABC is </w:t>
      </w:r>
      <w:r w:rsidRPr="00F551E0">
        <w:rPr>
          <w:rFonts w:ascii="Times New Roman" w:hAnsi="Times New Roman" w:cs="Times New Roman"/>
          <w:color w:val="000000"/>
          <w:sz w:val="20"/>
          <w:szCs w:val="20"/>
        </w:rPr>
        <w:t>higher among women of African, Hispanic, and Native American descent compared with white and Asian Americans, contributing to increased mortality in these populations. These disparities reflect socioeconomic and health care access inequalities, but parallel variations in the incidence of breast cancer based on country of origin also suggest</w:t>
      </w:r>
      <w:r w:rsidRPr="00F551E0">
        <w:rPr>
          <w:rFonts w:ascii="Times New Roman" w:hAnsi="Times New Roman" w:cs="Times New Roman"/>
          <w:sz w:val="20"/>
          <w:szCs w:val="20"/>
        </w:rPr>
        <w:t xml:space="preserve"> the existence of environmental and genetic factors </w:t>
      </w:r>
      <w:r w:rsidR="004C1AB3" w:rsidRPr="00F551E0">
        <w:rPr>
          <w:rFonts w:ascii="Times New Roman" w:hAnsi="Times New Roman" w:cs="Times New Roman"/>
          <w:b/>
          <w:bCs/>
          <w:color w:val="000000"/>
          <w:sz w:val="20"/>
          <w:szCs w:val="20"/>
          <w:vertAlign w:val="superscript"/>
        </w:rPr>
        <w:t>(5)</w:t>
      </w:r>
      <w:r w:rsidRPr="00F551E0">
        <w:rPr>
          <w:rFonts w:ascii="Times New Roman" w:hAnsi="Times New Roman" w:cs="Times New Roman"/>
          <w:sz w:val="20"/>
          <w:szCs w:val="20"/>
        </w:rPr>
        <w:t>.</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F551E0">
        <w:rPr>
          <w:rFonts w:ascii="Times New Roman" w:hAnsi="Times New Roman" w:cs="Times New Roman"/>
          <w:color w:val="000000"/>
          <w:sz w:val="20"/>
          <w:szCs w:val="20"/>
        </w:rPr>
        <w:t xml:space="preserve">Surgeons historically have been at the forefront of investigating LABC treatment. Haagensen and Stout </w:t>
      </w:r>
      <w:r w:rsidR="004C1AB3" w:rsidRPr="00F551E0">
        <w:rPr>
          <w:rFonts w:ascii="Times New Roman" w:hAnsi="Times New Roman" w:cs="Times New Roman"/>
          <w:b/>
          <w:bCs/>
          <w:color w:val="000000"/>
          <w:sz w:val="20"/>
          <w:szCs w:val="20"/>
          <w:vertAlign w:val="superscript"/>
        </w:rPr>
        <w:t>(6)</w:t>
      </w:r>
      <w:r w:rsidRPr="00F551E0">
        <w:rPr>
          <w:rFonts w:ascii="Times New Roman" w:hAnsi="Times New Roman" w:cs="Times New Roman"/>
          <w:color w:val="000000"/>
          <w:sz w:val="20"/>
          <w:szCs w:val="20"/>
        </w:rPr>
        <w:t xml:space="preserve"> at Columbia University provided early data regarding the dismal results of radical mastectomy alone as treatment for LABC over 60 years ago, reporting 5-year local recurrence and survival rates of 46% and 6%, respectively. This experience led to the definition of inoperable LABC when patients presented with extensive breast skin edema or </w:t>
      </w:r>
      <w:r w:rsidRPr="00F551E0">
        <w:rPr>
          <w:rFonts w:ascii="Times New Roman" w:hAnsi="Times New Roman" w:cs="Times New Roman"/>
          <w:color w:val="000000"/>
          <w:sz w:val="20"/>
          <w:szCs w:val="20"/>
        </w:rPr>
        <w:lastRenderedPageBreak/>
        <w:t xml:space="preserve">satellitosis, intercostal/parasternal nodules, arm edema, supraclavicular metastases, or inflammatory breast cancer. </w:t>
      </w:r>
      <w:r w:rsidR="0063174E" w:rsidRPr="00F551E0">
        <w:rPr>
          <w:rFonts w:ascii="Times New Roman" w:hAnsi="Times New Roman" w:cs="Times New Roman"/>
          <w:color w:val="000000"/>
          <w:sz w:val="20"/>
          <w:szCs w:val="20"/>
        </w:rPr>
        <w:t>G</w:t>
      </w:r>
      <w:r w:rsidRPr="00F551E0">
        <w:rPr>
          <w:rFonts w:ascii="Times New Roman" w:hAnsi="Times New Roman" w:cs="Times New Roman"/>
          <w:color w:val="000000"/>
          <w:sz w:val="20"/>
          <w:szCs w:val="20"/>
        </w:rPr>
        <w:t>rave local signs of LABC were poor prognostic features, but not contraindications to resection. These included ulceration, limited skin edema, fixation to the pectoralis muscle, and bulky axillary adenopathy. Therapeutic doses of chest wall radiation were similarly inadequate in controlling LABC. Studies from the 1970s and 1980s by the Joint Center for Radiation Therapy, Guy’s Hospital, and the Mallincrodt Institute of Radiology all revealed excessively high failure rates, with 5-year local recurrence rates ranging from 46% to 72%, and survival rates of 16% to 30%</w:t>
      </w:r>
      <w:r w:rsidR="001904BB" w:rsidRPr="00F551E0">
        <w:rPr>
          <w:rFonts w:ascii="Times New Roman" w:hAnsi="Times New Roman" w:cs="Times New Roman"/>
          <w:color w:val="000000"/>
          <w:sz w:val="20"/>
          <w:szCs w:val="20"/>
        </w:rPr>
        <w:t xml:space="preserve"> </w:t>
      </w:r>
      <w:r w:rsidR="001904BB" w:rsidRPr="00F551E0">
        <w:rPr>
          <w:rFonts w:ascii="Times New Roman" w:hAnsi="Times New Roman" w:cs="Times New Roman"/>
          <w:b/>
          <w:bCs/>
          <w:color w:val="000000"/>
          <w:sz w:val="20"/>
          <w:szCs w:val="20"/>
          <w:vertAlign w:val="superscript"/>
        </w:rPr>
        <w:t>(7), (8), (9)</w:t>
      </w:r>
      <w:r w:rsidRPr="00F551E0">
        <w:rPr>
          <w:rFonts w:ascii="Times New Roman" w:hAnsi="Times New Roman" w:cs="Times New Roman"/>
          <w:color w:val="000000"/>
          <w:sz w:val="20"/>
          <w:szCs w:val="20"/>
        </w:rPr>
        <w:t xml:space="preserve">. Combined treatment with radiation </w:t>
      </w:r>
      <w:r w:rsidR="0063174E" w:rsidRPr="00F551E0">
        <w:rPr>
          <w:rFonts w:ascii="Times New Roman" w:hAnsi="Times New Roman" w:cs="Times New Roman"/>
          <w:color w:val="000000"/>
          <w:sz w:val="20"/>
          <w:szCs w:val="20"/>
        </w:rPr>
        <w:t>and</w:t>
      </w:r>
      <w:r w:rsidRPr="00F551E0">
        <w:rPr>
          <w:rFonts w:ascii="Times New Roman" w:hAnsi="Times New Roman" w:cs="Times New Roman"/>
          <w:color w:val="000000"/>
          <w:sz w:val="20"/>
          <w:szCs w:val="20"/>
        </w:rPr>
        <w:t xml:space="preserve"> surgery was also attempted in this era</w:t>
      </w:r>
      <w:r w:rsidR="00531D83" w:rsidRPr="00F551E0">
        <w:rPr>
          <w:rFonts w:ascii="Times New Roman" w:hAnsi="Times New Roman" w:cs="Times New Roman"/>
          <w:color w:val="000000"/>
          <w:sz w:val="20"/>
          <w:szCs w:val="20"/>
        </w:rPr>
        <w:t xml:space="preserve"> </w:t>
      </w:r>
      <w:r w:rsidR="00531D83" w:rsidRPr="00F551E0">
        <w:rPr>
          <w:rFonts w:ascii="Times New Roman" w:hAnsi="Times New Roman" w:cs="Times New Roman"/>
          <w:b/>
          <w:bCs/>
          <w:color w:val="000000"/>
          <w:sz w:val="20"/>
          <w:szCs w:val="20"/>
          <w:vertAlign w:val="superscript"/>
        </w:rPr>
        <w:t>(10), (11), (12)</w:t>
      </w:r>
      <w:r w:rsidRPr="00F551E0">
        <w:rPr>
          <w:rFonts w:ascii="Times New Roman" w:hAnsi="Times New Roman" w:cs="Times New Roman"/>
          <w:color w:val="000000"/>
          <w:sz w:val="20"/>
          <w:szCs w:val="20"/>
        </w:rPr>
        <w:t xml:space="preserve">, but yielded no significant improvement in disease control. </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F551E0">
        <w:rPr>
          <w:rFonts w:ascii="Times New Roman" w:hAnsi="Times New Roman" w:cs="Times New Roman"/>
          <w:color w:val="000000"/>
          <w:sz w:val="20"/>
          <w:szCs w:val="20"/>
          <w:u w:val="single"/>
        </w:rPr>
        <w:t>Preoperative chemotherapy protocols</w:t>
      </w:r>
      <w:r w:rsidRPr="00F551E0">
        <w:rPr>
          <w:rFonts w:ascii="Times New Roman" w:hAnsi="Times New Roman" w:cs="Times New Roman"/>
          <w:color w:val="000000"/>
          <w:sz w:val="20"/>
          <w:szCs w:val="20"/>
        </w:rPr>
        <w:t xml:space="preserve"> (also known as neoadjuvant or induction chemotherapy) revolutionized LABC care</w:t>
      </w:r>
      <w:r w:rsidR="0063174E" w:rsidRPr="00F551E0">
        <w:rPr>
          <w:rFonts w:ascii="Times New Roman" w:hAnsi="Times New Roman" w:cs="Times New Roman"/>
          <w:color w:val="000000"/>
          <w:sz w:val="20"/>
          <w:szCs w:val="20"/>
        </w:rPr>
        <w:t xml:space="preserve"> and </w:t>
      </w:r>
      <w:r w:rsidRPr="00F551E0">
        <w:rPr>
          <w:rFonts w:ascii="Times New Roman" w:hAnsi="Times New Roman" w:cs="Times New Roman"/>
          <w:color w:val="000000"/>
          <w:sz w:val="20"/>
          <w:szCs w:val="20"/>
        </w:rPr>
        <w:t>this approach is now standard for patients with bulky breast and/or axillary disease. Early concerns regarding this approach were based on the potentially negative effects of preoperative chemotherapy on: surgical complication rates, the prognostic value of the axillary staging, and overall survival after delayed surgery. Clinical investigations reported during the 1980s and 1990s alleviated these concerns</w:t>
      </w:r>
      <w:r w:rsidR="004774E0" w:rsidRPr="00F551E0">
        <w:rPr>
          <w:rFonts w:ascii="Times New Roman" w:hAnsi="Times New Roman" w:cs="Times New Roman"/>
          <w:color w:val="000000"/>
          <w:sz w:val="20"/>
          <w:szCs w:val="20"/>
        </w:rPr>
        <w:t xml:space="preserve"> </w:t>
      </w:r>
      <w:r w:rsidR="004774E0" w:rsidRPr="00F551E0">
        <w:rPr>
          <w:rFonts w:ascii="Times New Roman" w:hAnsi="Times New Roman" w:cs="Times New Roman"/>
          <w:b/>
          <w:bCs/>
          <w:color w:val="000000"/>
          <w:sz w:val="20"/>
          <w:szCs w:val="20"/>
          <w:vertAlign w:val="superscript"/>
        </w:rPr>
        <w:t>(13)</w:t>
      </w:r>
      <w:r w:rsidRPr="00F551E0">
        <w:rPr>
          <w:rFonts w:ascii="Times New Roman" w:hAnsi="Times New Roman" w:cs="Times New Roman"/>
          <w:color w:val="000000"/>
          <w:sz w:val="20"/>
          <w:szCs w:val="20"/>
        </w:rPr>
        <w:t xml:space="preserve">. Currently, optimal control is achieved with preoperative chemotherapy followed by surgery and radiation. Preoperative versus postoperative chemotherapy have been directly compared in women with LABC and also in women with early stage breast cancer. These prospective clinical trials have demonstrated overall survival equivalence for the two sequences, confirming the oncologic safety of the neoadjuvant approach </w:t>
      </w:r>
      <w:r w:rsidR="004774E0" w:rsidRPr="00F551E0">
        <w:rPr>
          <w:rFonts w:ascii="Times New Roman" w:hAnsi="Times New Roman" w:cs="Times New Roman"/>
          <w:b/>
          <w:bCs/>
          <w:color w:val="000000"/>
          <w:sz w:val="20"/>
          <w:szCs w:val="20"/>
          <w:vertAlign w:val="superscript"/>
        </w:rPr>
        <w:t>(13)</w:t>
      </w:r>
      <w:r w:rsidR="004774E0" w:rsidRPr="00F551E0">
        <w:rPr>
          <w:rFonts w:ascii="Times New Roman" w:hAnsi="Times New Roman" w:cs="Times New Roman"/>
          <w:b/>
          <w:bCs/>
          <w:sz w:val="20"/>
          <w:szCs w:val="20"/>
          <w:vertAlign w:val="superscript"/>
        </w:rPr>
        <w:t xml:space="preserve">, </w:t>
      </w:r>
      <w:r w:rsidR="004774E0" w:rsidRPr="00F551E0">
        <w:rPr>
          <w:rFonts w:ascii="Times New Roman" w:hAnsi="Times New Roman" w:cs="Times New Roman"/>
          <w:b/>
          <w:bCs/>
          <w:color w:val="000000"/>
          <w:sz w:val="20"/>
          <w:szCs w:val="20"/>
          <w:vertAlign w:val="superscript"/>
        </w:rPr>
        <w:t>(14), (15), (16), (17), (18), (19), (20)</w:t>
      </w:r>
      <w:r w:rsidRPr="00F551E0">
        <w:rPr>
          <w:rFonts w:ascii="Times New Roman" w:hAnsi="Times New Roman" w:cs="Times New Roman"/>
          <w:color w:val="000000"/>
          <w:sz w:val="20"/>
          <w:szCs w:val="20"/>
        </w:rPr>
        <w:t xml:space="preserve">. </w:t>
      </w:r>
      <w:r w:rsidR="0063174E" w:rsidRPr="00F551E0">
        <w:rPr>
          <w:rFonts w:ascii="Times New Roman" w:hAnsi="Times New Roman" w:cs="Times New Roman"/>
          <w:color w:val="000000"/>
          <w:sz w:val="20"/>
          <w:szCs w:val="20"/>
        </w:rPr>
        <w:t>As</w:t>
      </w:r>
      <w:r w:rsidRPr="00F551E0">
        <w:rPr>
          <w:rFonts w:ascii="Times New Roman" w:hAnsi="Times New Roman" w:cs="Times New Roman"/>
          <w:color w:val="000000"/>
          <w:sz w:val="20"/>
          <w:szCs w:val="20"/>
        </w:rPr>
        <w:t xml:space="preserve"> patients with LABC benefit from the tumor downstaging and improved resectability that can be achieved with neoadjuvant chemotherapy, this sequence has become the preferred approach for patients with bulky, locally advanced disease at time of diagnosis </w:t>
      </w:r>
      <w:r w:rsidR="004774E0" w:rsidRPr="00F551E0">
        <w:rPr>
          <w:rFonts w:ascii="Times New Roman" w:hAnsi="Times New Roman" w:cs="Times New Roman"/>
          <w:b/>
          <w:bCs/>
          <w:color w:val="000000"/>
          <w:sz w:val="20"/>
          <w:szCs w:val="20"/>
          <w:vertAlign w:val="superscript"/>
        </w:rPr>
        <w:t>(13), (14), (15), (16), (17), (18), (19), (20)</w:t>
      </w:r>
      <w:r w:rsidRPr="00F551E0">
        <w:rPr>
          <w:rFonts w:ascii="Times New Roman" w:hAnsi="Times New Roman" w:cs="Times New Roman"/>
          <w:color w:val="000000"/>
          <w:sz w:val="20"/>
          <w:szCs w:val="20"/>
        </w:rPr>
        <w:t>.</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rPr>
        <w:t>Establishing a tissue diagnosis is the initial priority on presentation of LABC. In many patients, core biopsy of the tumor, either freehand or under ultrasound guidance</w:t>
      </w:r>
      <w:r w:rsidR="00F551E0" w:rsidRPr="00F551E0">
        <w:rPr>
          <w:rFonts w:ascii="Times New Roman" w:hAnsi="Times New Roman" w:cs="Times New Roman"/>
          <w:sz w:val="20"/>
          <w:szCs w:val="20"/>
        </w:rPr>
        <w:t xml:space="preserve"> </w:t>
      </w:r>
      <w:r w:rsidRPr="00F551E0">
        <w:rPr>
          <w:rFonts w:ascii="Times New Roman" w:hAnsi="Times New Roman" w:cs="Times New Roman"/>
          <w:sz w:val="20"/>
          <w:szCs w:val="20"/>
        </w:rPr>
        <w:t xml:space="preserve">is diagnostic. Core needle is preferred over fine needle aspiration, as cytology is insufficient to confirm invasion. </w:t>
      </w:r>
      <w:r w:rsidR="0063174E" w:rsidRPr="00F551E0">
        <w:rPr>
          <w:rFonts w:ascii="Times New Roman" w:hAnsi="Times New Roman" w:cs="Times New Roman"/>
          <w:sz w:val="20"/>
          <w:szCs w:val="20"/>
        </w:rPr>
        <w:t>M</w:t>
      </w:r>
      <w:r w:rsidRPr="00F551E0">
        <w:rPr>
          <w:rFonts w:ascii="Times New Roman" w:hAnsi="Times New Roman" w:cs="Times New Roman"/>
          <w:sz w:val="20"/>
          <w:szCs w:val="20"/>
        </w:rPr>
        <w:t xml:space="preserve">ultiple cores should be extracted to confirm invasive cancer and to evaluate hormone receptor status and HER2/neu expression. This is critical, because palpable ductal carcinoma in situ (DCIS) does exist, and induction chemotherapy is inappropriate for DCIS, even with microinvasion </w:t>
      </w:r>
      <w:r w:rsidR="004774E0" w:rsidRPr="00F551E0">
        <w:rPr>
          <w:rFonts w:ascii="Times New Roman" w:hAnsi="Times New Roman" w:cs="Times New Roman"/>
          <w:b/>
          <w:bCs/>
          <w:color w:val="000000"/>
          <w:sz w:val="20"/>
          <w:szCs w:val="20"/>
          <w:vertAlign w:val="superscript"/>
        </w:rPr>
        <w:t>(21)</w:t>
      </w:r>
      <w:r w:rsidRPr="00F551E0">
        <w:rPr>
          <w:rFonts w:ascii="Times New Roman" w:hAnsi="Times New Roman" w:cs="Times New Roman"/>
          <w:sz w:val="20"/>
          <w:szCs w:val="20"/>
        </w:rPr>
        <w:t xml:space="preserve">. </w:t>
      </w:r>
      <w:r w:rsidR="0063174E" w:rsidRPr="00F551E0">
        <w:rPr>
          <w:rFonts w:ascii="Times New Roman" w:hAnsi="Times New Roman" w:cs="Times New Roman"/>
          <w:sz w:val="20"/>
          <w:szCs w:val="20"/>
        </w:rPr>
        <w:t>After</w:t>
      </w:r>
      <w:r w:rsidRPr="00F551E0">
        <w:rPr>
          <w:rFonts w:ascii="Times New Roman" w:hAnsi="Times New Roman" w:cs="Times New Roman"/>
          <w:sz w:val="20"/>
          <w:szCs w:val="20"/>
        </w:rPr>
        <w:t xml:space="preserve"> a tissue diagnosis is established, LABC patients should undergo </w:t>
      </w:r>
      <w:r w:rsidRPr="00F551E0">
        <w:rPr>
          <w:rFonts w:ascii="Times New Roman" w:hAnsi="Times New Roman" w:cs="Times New Roman"/>
          <w:sz w:val="20"/>
          <w:szCs w:val="20"/>
        </w:rPr>
        <w:lastRenderedPageBreak/>
        <w:t xml:space="preserve">multidisciplinary review before treatment. The multidisciplinary team should include surgical, medical and radiation oncologists, pathologists, radiologists, and plastic surgeons, creating a unified treatment proposal and thereby minimizing the possibility that inconsistent messages will be delivered to the patient by the various specialists involved with the management plan. A baseline bone scan, and chest, abdominal, and pelvic CT scans are recommended for detection of metastatic disease. Directed radiographs to sites of new bone pain, or a head CT scan for new neurologic symptoms are also </w:t>
      </w:r>
      <w:r w:rsidR="00924A06" w:rsidRPr="00F551E0">
        <w:rPr>
          <w:rFonts w:ascii="Times New Roman" w:hAnsi="Times New Roman" w:cs="Times New Roman"/>
          <w:sz w:val="20"/>
          <w:szCs w:val="20"/>
        </w:rPr>
        <w:t>recommended</w:t>
      </w:r>
      <w:r w:rsidRPr="00F551E0">
        <w:rPr>
          <w:rFonts w:ascii="Times New Roman" w:hAnsi="Times New Roman" w:cs="Times New Roman"/>
          <w:sz w:val="20"/>
          <w:szCs w:val="20"/>
        </w:rPr>
        <w:t xml:space="preserve"> in selected cases </w:t>
      </w:r>
      <w:r w:rsidR="004774E0" w:rsidRPr="00F551E0">
        <w:rPr>
          <w:rFonts w:ascii="Times New Roman" w:hAnsi="Times New Roman" w:cs="Times New Roman"/>
          <w:b/>
          <w:bCs/>
          <w:sz w:val="20"/>
          <w:szCs w:val="20"/>
          <w:vertAlign w:val="superscript"/>
        </w:rPr>
        <w:t>(22)</w:t>
      </w:r>
      <w:r w:rsidRPr="00F551E0">
        <w:rPr>
          <w:rFonts w:ascii="Times New Roman" w:hAnsi="Times New Roman" w:cs="Times New Roman"/>
          <w:sz w:val="20"/>
          <w:szCs w:val="20"/>
        </w:rPr>
        <w:t>. Patients receiving preoperative chemotherapy should be reassessed after one or two cycles and again at the completion of therapy to document response and explore surgical options</w:t>
      </w:r>
      <w:r w:rsidR="00924A06" w:rsidRPr="00F551E0">
        <w:rPr>
          <w:rFonts w:ascii="Times New Roman" w:hAnsi="Times New Roman" w:cs="Times New Roman"/>
          <w:sz w:val="20"/>
          <w:szCs w:val="20"/>
        </w:rPr>
        <w:t>. Imaging may be repeated</w:t>
      </w:r>
      <w:r w:rsidRPr="00F551E0">
        <w:rPr>
          <w:rFonts w:ascii="Times New Roman" w:hAnsi="Times New Roman" w:cs="Times New Roman"/>
          <w:sz w:val="20"/>
          <w:szCs w:val="20"/>
        </w:rPr>
        <w:t xml:space="preserve"> at the interim evaluation. If minimal or no response is observed after the initial cycles a decision should be made to either proceed with surgery or to cross over to a different systemic therapy. Salvage surgery allows for a full pathologic evaluation</w:t>
      </w:r>
      <w:r w:rsidR="00924A06" w:rsidRPr="00F551E0">
        <w:rPr>
          <w:rFonts w:ascii="Times New Roman" w:hAnsi="Times New Roman" w:cs="Times New Roman"/>
          <w:sz w:val="20"/>
          <w:szCs w:val="20"/>
        </w:rPr>
        <w:t xml:space="preserve"> and facilitate</w:t>
      </w:r>
      <w:r w:rsidRPr="00F551E0">
        <w:rPr>
          <w:rFonts w:ascii="Times New Roman" w:hAnsi="Times New Roman" w:cs="Times New Roman"/>
          <w:sz w:val="20"/>
          <w:szCs w:val="20"/>
        </w:rPr>
        <w:t xml:space="preserve"> decisions on adjuvant therapy. If an alternative regimen is selected, reassessment after two cycles of the crossover treatment is necessary. Follow-up imaging is essential after complete delivery of neoadjuvant therapy for final preoperative surgical planning </w:t>
      </w:r>
      <w:r w:rsidR="004774E0" w:rsidRPr="00F551E0">
        <w:rPr>
          <w:rFonts w:ascii="Times New Roman" w:hAnsi="Times New Roman" w:cs="Times New Roman"/>
          <w:b/>
          <w:bCs/>
          <w:sz w:val="20"/>
          <w:szCs w:val="20"/>
          <w:vertAlign w:val="superscript"/>
        </w:rPr>
        <w:t>(22)</w:t>
      </w:r>
      <w:r w:rsidRPr="00F551E0">
        <w:rPr>
          <w:rFonts w:ascii="Times New Roman" w:hAnsi="Times New Roman" w:cs="Times New Roman"/>
          <w:sz w:val="20"/>
          <w:szCs w:val="20"/>
        </w:rPr>
        <w:t>.</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F551E0">
        <w:rPr>
          <w:rFonts w:ascii="Times New Roman" w:hAnsi="Times New Roman" w:cs="Times New Roman"/>
          <w:color w:val="000000"/>
          <w:sz w:val="20"/>
          <w:szCs w:val="20"/>
        </w:rPr>
        <w:t xml:space="preserve">Currently, doxorubicin-based chemotherapy is the most widely-studied induction regimen, and it results in at least 50% tumor shrinkage in more than 75% of cases. The NSABP B-27 protocol randomized patients with resectable breast cancer to one of three neoadjuvant treatment arms: (1) doxorubicin and Cytoxan alone; (2) doxorubicin, Cytoxan, and docetaxel; or (3) preoperative doxorubicin and Cytoxan followed by postoperative docetaxel. Preliminary data </w:t>
      </w:r>
      <w:r w:rsidR="00201B8C" w:rsidRPr="00F551E0">
        <w:rPr>
          <w:rFonts w:ascii="Times New Roman" w:hAnsi="Times New Roman" w:cs="Times New Roman"/>
          <w:b/>
          <w:bCs/>
          <w:color w:val="000000"/>
          <w:sz w:val="20"/>
          <w:szCs w:val="20"/>
          <w:vertAlign w:val="superscript"/>
        </w:rPr>
        <w:t>(23)</w:t>
      </w:r>
      <w:r w:rsidRPr="00F551E0">
        <w:rPr>
          <w:rFonts w:ascii="Times New Roman" w:hAnsi="Times New Roman" w:cs="Times New Roman"/>
          <w:b/>
          <w:bCs/>
          <w:color w:val="000000"/>
          <w:sz w:val="20"/>
          <w:szCs w:val="20"/>
          <w:vertAlign w:val="superscript"/>
        </w:rPr>
        <w:t xml:space="preserve"> </w:t>
      </w:r>
      <w:r w:rsidRPr="00F551E0">
        <w:rPr>
          <w:rFonts w:ascii="Times New Roman" w:hAnsi="Times New Roman" w:cs="Times New Roman"/>
          <w:color w:val="000000"/>
          <w:sz w:val="20"/>
          <w:szCs w:val="20"/>
        </w:rPr>
        <w:t>reveal</w:t>
      </w:r>
      <w:r w:rsidR="00924A06" w:rsidRPr="00F551E0">
        <w:rPr>
          <w:rFonts w:ascii="Times New Roman" w:hAnsi="Times New Roman" w:cs="Times New Roman"/>
          <w:color w:val="000000"/>
          <w:sz w:val="20"/>
          <w:szCs w:val="20"/>
        </w:rPr>
        <w:t>ed</w:t>
      </w:r>
      <w:r w:rsidRPr="00F551E0">
        <w:rPr>
          <w:rFonts w:ascii="Times New Roman" w:hAnsi="Times New Roman" w:cs="Times New Roman"/>
          <w:color w:val="000000"/>
          <w:sz w:val="20"/>
          <w:szCs w:val="20"/>
        </w:rPr>
        <w:t xml:space="preserve"> a pCR rate of 26% associated with the addition of docetaxel to the preoperative regimen</w:t>
      </w:r>
      <w:r w:rsidR="007F4590" w:rsidRPr="00F551E0">
        <w:rPr>
          <w:rFonts w:ascii="Times New Roman" w:hAnsi="Times New Roman" w:cs="Times New Roman"/>
          <w:color w:val="000000"/>
          <w:sz w:val="20"/>
          <w:szCs w:val="20"/>
        </w:rPr>
        <w:t>.</w:t>
      </w:r>
      <w:r w:rsidR="007F4590">
        <w:rPr>
          <w:rFonts w:ascii="Times New Roman" w:hAnsi="Times New Roman" w:cs="Times New Roman"/>
          <w:color w:val="000000"/>
          <w:sz w:val="20"/>
          <w:szCs w:val="20"/>
        </w:rPr>
        <w:t xml:space="preserve"> </w:t>
      </w:r>
      <w:r w:rsidR="007F4590" w:rsidRPr="00F551E0">
        <w:rPr>
          <w:rFonts w:ascii="Times New Roman" w:hAnsi="Times New Roman" w:cs="Times New Roman"/>
          <w:color w:val="000000"/>
          <w:sz w:val="20"/>
          <w:szCs w:val="20"/>
        </w:rPr>
        <w:t>A</w:t>
      </w:r>
      <w:r w:rsidR="00924A06" w:rsidRPr="00F551E0">
        <w:rPr>
          <w:rFonts w:ascii="Times New Roman" w:hAnsi="Times New Roman" w:cs="Times New Roman"/>
          <w:color w:val="000000"/>
          <w:sz w:val="20"/>
          <w:szCs w:val="20"/>
        </w:rPr>
        <w:t>lso</w:t>
      </w:r>
      <w:r w:rsidRPr="00F551E0">
        <w:rPr>
          <w:rFonts w:ascii="Times New Roman" w:hAnsi="Times New Roman" w:cs="Times New Roman"/>
          <w:color w:val="000000"/>
          <w:sz w:val="20"/>
          <w:szCs w:val="20"/>
        </w:rPr>
        <w:t xml:space="preserve">, the University of Texas M.D. Anderson Cancer Center </w:t>
      </w:r>
      <w:r w:rsidR="00201B8C" w:rsidRPr="00F551E0">
        <w:rPr>
          <w:rFonts w:ascii="Times New Roman" w:hAnsi="Times New Roman" w:cs="Times New Roman"/>
          <w:b/>
          <w:bCs/>
          <w:sz w:val="20"/>
          <w:szCs w:val="20"/>
          <w:vertAlign w:val="superscript"/>
        </w:rPr>
        <w:t>(24)</w:t>
      </w:r>
      <w:r w:rsidRPr="00F551E0">
        <w:rPr>
          <w:rFonts w:ascii="Times New Roman" w:hAnsi="Times New Roman" w:cs="Times New Roman"/>
          <w:b/>
          <w:bCs/>
          <w:color w:val="000000"/>
          <w:sz w:val="20"/>
          <w:szCs w:val="20"/>
          <w:vertAlign w:val="superscript"/>
        </w:rPr>
        <w:t xml:space="preserve"> </w:t>
      </w:r>
      <w:r w:rsidRPr="00F551E0">
        <w:rPr>
          <w:rFonts w:ascii="Times New Roman" w:hAnsi="Times New Roman" w:cs="Times New Roman"/>
          <w:color w:val="000000"/>
          <w:sz w:val="20"/>
          <w:szCs w:val="20"/>
        </w:rPr>
        <w:t>has reported a pCR rate of nearly 30% in patients treated with pre</w:t>
      </w:r>
      <w:r w:rsidR="00594162" w:rsidRPr="00F551E0">
        <w:rPr>
          <w:rFonts w:ascii="Times New Roman" w:hAnsi="Times New Roman" w:cs="Times New Roman"/>
          <w:color w:val="000000"/>
          <w:sz w:val="20"/>
          <w:szCs w:val="20"/>
        </w:rPr>
        <w:t>operative doxorubicin, Cytoxan,</w:t>
      </w:r>
      <w:r w:rsidRPr="00F551E0">
        <w:rPr>
          <w:rFonts w:ascii="Times New Roman" w:hAnsi="Times New Roman" w:cs="Times New Roman"/>
          <w:color w:val="000000"/>
          <w:sz w:val="20"/>
          <w:szCs w:val="20"/>
        </w:rPr>
        <w:t>5-fluorouracil, and weekly Taxol.</w:t>
      </w:r>
    </w:p>
    <w:p w:rsidR="008C4C8C" w:rsidRPr="00F551E0" w:rsidRDefault="008C4C8C" w:rsidP="00931FF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F551E0">
        <w:rPr>
          <w:rFonts w:ascii="Times New Roman" w:hAnsi="Times New Roman" w:cs="Times New Roman"/>
          <w:color w:val="000000"/>
          <w:sz w:val="20"/>
          <w:szCs w:val="20"/>
        </w:rPr>
        <w:t xml:space="preserve">Neoadjuvant endocrine therapy for estrogen receptor-positive LABC also </w:t>
      </w:r>
      <w:r w:rsidR="00924A06" w:rsidRPr="00F551E0">
        <w:rPr>
          <w:rFonts w:ascii="Times New Roman" w:hAnsi="Times New Roman" w:cs="Times New Roman"/>
          <w:color w:val="000000"/>
          <w:sz w:val="20"/>
          <w:szCs w:val="20"/>
        </w:rPr>
        <w:t>carries</w:t>
      </w:r>
      <w:r w:rsidRPr="00F551E0">
        <w:rPr>
          <w:rFonts w:ascii="Times New Roman" w:hAnsi="Times New Roman" w:cs="Times New Roman"/>
          <w:color w:val="000000"/>
          <w:sz w:val="20"/>
          <w:szCs w:val="20"/>
        </w:rPr>
        <w:t xml:space="preserve"> great promise. Three-to-four months of therapy are preferred for an adequate response assessment, and preliminary studies suggest that aromatase inhibitors such as letrozole are more effective than Tamoxifen </w:t>
      </w:r>
      <w:r w:rsidR="00201B8C" w:rsidRPr="00F551E0">
        <w:rPr>
          <w:rFonts w:ascii="Times New Roman" w:hAnsi="Times New Roman" w:cs="Times New Roman"/>
          <w:b/>
          <w:bCs/>
          <w:sz w:val="20"/>
          <w:szCs w:val="20"/>
          <w:vertAlign w:val="superscript"/>
        </w:rPr>
        <w:t>(25), (26)</w:t>
      </w:r>
      <w:r w:rsidR="00201B8C" w:rsidRPr="00F551E0">
        <w:rPr>
          <w:rFonts w:ascii="Times New Roman" w:hAnsi="Times New Roman" w:cs="Times New Roman"/>
          <w:sz w:val="20"/>
          <w:szCs w:val="20"/>
        </w:rPr>
        <w:t>.</w:t>
      </w:r>
      <w:r w:rsidRPr="00F551E0">
        <w:rPr>
          <w:rFonts w:ascii="Times New Roman" w:hAnsi="Times New Roman" w:cs="Times New Roman"/>
          <w:b/>
          <w:bCs/>
          <w:sz w:val="20"/>
          <w:szCs w:val="20"/>
        </w:rPr>
        <w:t xml:space="preserve"> </w:t>
      </w:r>
      <w:r w:rsidRPr="00F551E0">
        <w:rPr>
          <w:rFonts w:ascii="Times New Roman" w:hAnsi="Times New Roman" w:cs="Times New Roman"/>
          <w:color w:val="000000"/>
          <w:sz w:val="20"/>
          <w:szCs w:val="20"/>
        </w:rPr>
        <w:t>Other neoadjuvant regimens had been evaluated include trastuzumab, Navelbine, capecitabine, and gemcitabine.</w:t>
      </w:r>
    </w:p>
    <w:p w:rsidR="008C4C8C" w:rsidRPr="00F551E0" w:rsidRDefault="008C4C8C" w:rsidP="00931FFE">
      <w:pPr>
        <w:pStyle w:val="Default"/>
        <w:snapToGrid w:val="0"/>
        <w:ind w:firstLine="425"/>
        <w:jc w:val="both"/>
        <w:rPr>
          <w:sz w:val="20"/>
          <w:szCs w:val="20"/>
          <w:shd w:val="clear" w:color="auto" w:fill="FFFFFF"/>
        </w:rPr>
      </w:pPr>
      <w:r w:rsidRPr="00F551E0">
        <w:rPr>
          <w:sz w:val="20"/>
          <w:szCs w:val="20"/>
        </w:rPr>
        <w:t xml:space="preserve">A clinical phase II study of </w:t>
      </w:r>
      <w:r w:rsidRPr="00F551E0">
        <w:rPr>
          <w:b/>
          <w:bCs/>
          <w:sz w:val="20"/>
          <w:szCs w:val="20"/>
        </w:rPr>
        <w:t xml:space="preserve">Cisplatinum </w:t>
      </w:r>
      <w:r w:rsidRPr="00F551E0">
        <w:rPr>
          <w:sz w:val="20"/>
          <w:szCs w:val="20"/>
        </w:rPr>
        <w:t xml:space="preserve">and </w:t>
      </w:r>
      <w:r w:rsidRPr="00F551E0">
        <w:rPr>
          <w:b/>
          <w:bCs/>
          <w:sz w:val="20"/>
          <w:szCs w:val="20"/>
        </w:rPr>
        <w:t>Vinorelbine (PVn)</w:t>
      </w:r>
      <w:r w:rsidRPr="00F551E0">
        <w:rPr>
          <w:sz w:val="20"/>
          <w:szCs w:val="20"/>
        </w:rPr>
        <w:t xml:space="preserve"> in advanced breast carcinoma (ABC) was done </w:t>
      </w:r>
      <w:r w:rsidRPr="00F551E0">
        <w:rPr>
          <w:color w:val="auto"/>
          <w:sz w:val="20"/>
          <w:szCs w:val="20"/>
        </w:rPr>
        <w:t xml:space="preserve">by </w:t>
      </w:r>
      <w:hyperlink r:id="rId13" w:history="1">
        <w:r w:rsidRPr="00F551E0">
          <w:rPr>
            <w:rStyle w:val="a4"/>
            <w:color w:val="auto"/>
            <w:sz w:val="20"/>
            <w:szCs w:val="20"/>
            <w:u w:val="none"/>
            <w:bdr w:val="none" w:sz="0" w:space="0" w:color="auto" w:frame="1"/>
          </w:rPr>
          <w:t>Shamseddine A</w:t>
        </w:r>
      </w:hyperlink>
      <w:r w:rsidRPr="00F551E0">
        <w:rPr>
          <w:sz w:val="20"/>
          <w:szCs w:val="20"/>
        </w:rPr>
        <w:t xml:space="preserve"> et al and was published in the American Journal of Clinical </w:t>
      </w:r>
      <w:r w:rsidRPr="00F551E0">
        <w:rPr>
          <w:sz w:val="20"/>
          <w:szCs w:val="20"/>
        </w:rPr>
        <w:lastRenderedPageBreak/>
        <w:t xml:space="preserve">Oncology at 2005 and stated that </w:t>
      </w:r>
      <w:r w:rsidRPr="00F551E0">
        <w:rPr>
          <w:sz w:val="20"/>
          <w:szCs w:val="20"/>
          <w:shd w:val="clear" w:color="auto" w:fill="FFFFFF"/>
        </w:rPr>
        <w:t>PVn was effective as first line treatment of advanced breast cancer with overall response rate of 64% in metastatic breast cancer and 92.3% in locally advanced breast cancer, and</w:t>
      </w:r>
      <w:r w:rsidR="00924A06" w:rsidRPr="00F551E0">
        <w:rPr>
          <w:sz w:val="20"/>
          <w:szCs w:val="20"/>
          <w:shd w:val="clear" w:color="auto" w:fill="FFFFFF"/>
        </w:rPr>
        <w:t xml:space="preserve"> had</w:t>
      </w:r>
      <w:r w:rsidRPr="00F551E0">
        <w:rPr>
          <w:sz w:val="20"/>
          <w:szCs w:val="20"/>
          <w:shd w:val="clear" w:color="auto" w:fill="FFFFFF"/>
        </w:rPr>
        <w:t xml:space="preserve"> acceptable toxicity </w:t>
      </w:r>
      <w:r w:rsidR="0001722E" w:rsidRPr="00F551E0">
        <w:rPr>
          <w:b/>
          <w:bCs/>
          <w:color w:val="auto"/>
          <w:sz w:val="20"/>
          <w:szCs w:val="20"/>
          <w:vertAlign w:val="superscript"/>
        </w:rPr>
        <w:t>(27)</w:t>
      </w:r>
      <w:r w:rsidRPr="00F551E0">
        <w:rPr>
          <w:sz w:val="20"/>
          <w:szCs w:val="20"/>
          <w:shd w:val="clear" w:color="auto" w:fill="FFFFFF"/>
        </w:rPr>
        <w:t>.</w:t>
      </w:r>
    </w:p>
    <w:p w:rsidR="008C4C8C" w:rsidRPr="00F551E0" w:rsidRDefault="008C4C8C" w:rsidP="00931FFE">
      <w:pPr>
        <w:pStyle w:val="Default"/>
        <w:snapToGrid w:val="0"/>
        <w:ind w:firstLine="425"/>
        <w:jc w:val="both"/>
        <w:rPr>
          <w:sz w:val="20"/>
          <w:szCs w:val="20"/>
        </w:rPr>
      </w:pPr>
      <w:r w:rsidRPr="00F551E0">
        <w:rPr>
          <w:sz w:val="20"/>
          <w:szCs w:val="20"/>
        </w:rPr>
        <w:t>Among several different promising new cytotoxic agents currently undergoing clinical evaluation in Advanced Breast Cancer (ABC)</w:t>
      </w:r>
      <w:r w:rsidRPr="00F551E0">
        <w:rPr>
          <w:sz w:val="20"/>
          <w:szCs w:val="20"/>
          <w:vertAlign w:val="superscript"/>
        </w:rPr>
        <w:t xml:space="preserve"> </w:t>
      </w:r>
      <w:r w:rsidR="0001722E" w:rsidRPr="00F551E0">
        <w:rPr>
          <w:sz w:val="20"/>
          <w:szCs w:val="20"/>
          <w:vertAlign w:val="superscript"/>
        </w:rPr>
        <w:t>(28)</w:t>
      </w:r>
      <w:r w:rsidRPr="00F551E0">
        <w:rPr>
          <w:sz w:val="20"/>
          <w:szCs w:val="20"/>
        </w:rPr>
        <w:t xml:space="preserve"> is the novel nucleoside analogue of deoxycytidine Gemcitabine</w:t>
      </w:r>
      <w:r w:rsidR="00F551E0" w:rsidRPr="00F551E0">
        <w:rPr>
          <w:sz w:val="20"/>
          <w:szCs w:val="20"/>
        </w:rPr>
        <w:t>.</w:t>
      </w:r>
      <w:r w:rsidRPr="00F551E0">
        <w:rPr>
          <w:sz w:val="20"/>
          <w:szCs w:val="20"/>
        </w:rPr>
        <w:t xml:space="preserve"> </w:t>
      </w:r>
      <w:r w:rsidR="000A39AD" w:rsidRPr="00F551E0">
        <w:rPr>
          <w:sz w:val="20"/>
          <w:szCs w:val="20"/>
        </w:rPr>
        <w:t xml:space="preserve">It </w:t>
      </w:r>
      <w:r w:rsidRPr="00F551E0">
        <w:rPr>
          <w:sz w:val="20"/>
          <w:szCs w:val="20"/>
        </w:rPr>
        <w:t>possesses a broad range of activity against various solid tumors, and is characterized by a favorable toxicity profile</w:t>
      </w:r>
      <w:r w:rsidRPr="00F551E0">
        <w:rPr>
          <w:rStyle w:val="apple-converted-space"/>
          <w:sz w:val="20"/>
          <w:szCs w:val="20"/>
        </w:rPr>
        <w:t> </w:t>
      </w:r>
      <w:r w:rsidR="0001722E" w:rsidRPr="00F551E0">
        <w:rPr>
          <w:rStyle w:val="apple-converted-space"/>
          <w:sz w:val="20"/>
          <w:szCs w:val="20"/>
          <w:vertAlign w:val="superscript"/>
        </w:rPr>
        <w:t>(29), (30), (31), (32), (33), (34)</w:t>
      </w:r>
      <w:r w:rsidR="007F4590" w:rsidRPr="00F551E0">
        <w:rPr>
          <w:sz w:val="20"/>
          <w:szCs w:val="20"/>
        </w:rPr>
        <w:t>.</w:t>
      </w:r>
      <w:r w:rsidR="007F4590">
        <w:rPr>
          <w:sz w:val="20"/>
          <w:szCs w:val="20"/>
        </w:rPr>
        <w:t xml:space="preserve"> </w:t>
      </w:r>
      <w:r w:rsidR="007F4590" w:rsidRPr="00F551E0">
        <w:rPr>
          <w:sz w:val="20"/>
          <w:szCs w:val="20"/>
        </w:rPr>
        <w:t>G</w:t>
      </w:r>
      <w:r w:rsidR="000A39AD" w:rsidRPr="00F551E0">
        <w:rPr>
          <w:sz w:val="20"/>
          <w:szCs w:val="20"/>
        </w:rPr>
        <w:t>emcitabine whether</w:t>
      </w:r>
      <w:r w:rsidRPr="00F551E0">
        <w:rPr>
          <w:sz w:val="20"/>
          <w:szCs w:val="20"/>
        </w:rPr>
        <w:t xml:space="preserve"> </w:t>
      </w:r>
      <w:r w:rsidR="000A39AD" w:rsidRPr="00F551E0">
        <w:rPr>
          <w:sz w:val="20"/>
          <w:szCs w:val="20"/>
        </w:rPr>
        <w:t>u</w:t>
      </w:r>
      <w:r w:rsidRPr="00F551E0">
        <w:rPr>
          <w:sz w:val="20"/>
          <w:szCs w:val="20"/>
        </w:rPr>
        <w:t xml:space="preserve">sed as single agent or in combination regimens, </w:t>
      </w:r>
      <w:r w:rsidR="000A39AD" w:rsidRPr="00F551E0">
        <w:rPr>
          <w:sz w:val="20"/>
          <w:szCs w:val="20"/>
        </w:rPr>
        <w:t xml:space="preserve">it </w:t>
      </w:r>
      <w:r w:rsidRPr="00F551E0">
        <w:rPr>
          <w:sz w:val="20"/>
          <w:szCs w:val="20"/>
        </w:rPr>
        <w:t>showed an objective response rate of 25–46% in ABC patients, depending on whether this drug was used as first- or second-line treatment</w:t>
      </w:r>
      <w:r w:rsidRPr="00F551E0">
        <w:rPr>
          <w:rStyle w:val="apple-converted-space"/>
          <w:sz w:val="20"/>
          <w:szCs w:val="20"/>
        </w:rPr>
        <w:t> </w:t>
      </w:r>
      <w:r w:rsidR="00D15F2D" w:rsidRPr="00F551E0">
        <w:rPr>
          <w:rStyle w:val="apple-converted-space"/>
          <w:sz w:val="20"/>
          <w:szCs w:val="20"/>
          <w:vertAlign w:val="superscript"/>
        </w:rPr>
        <w:t>(35), (36), (37)</w:t>
      </w:r>
      <w:r w:rsidR="00D15F2D" w:rsidRPr="00F551E0">
        <w:rPr>
          <w:rStyle w:val="apple-converted-space"/>
          <w:sz w:val="20"/>
          <w:szCs w:val="20"/>
        </w:rPr>
        <w:t>.</w:t>
      </w:r>
    </w:p>
    <w:p w:rsidR="008C4C8C" w:rsidRPr="00F551E0" w:rsidRDefault="008C4C8C" w:rsidP="00931FFE">
      <w:pPr>
        <w:pStyle w:val="Default"/>
        <w:snapToGrid w:val="0"/>
        <w:ind w:firstLine="425"/>
        <w:jc w:val="both"/>
        <w:rPr>
          <w:sz w:val="20"/>
          <w:szCs w:val="20"/>
        </w:rPr>
      </w:pPr>
      <w:r w:rsidRPr="00F551E0">
        <w:rPr>
          <w:sz w:val="20"/>
          <w:szCs w:val="20"/>
        </w:rPr>
        <w:t>Docetaxel is another anticancer agent of the taxanes class that has also been demonstrated to be highly effective when given as a single agent or when combined with other drugs</w:t>
      </w:r>
      <w:r w:rsidRPr="00F551E0">
        <w:rPr>
          <w:rStyle w:val="apple-converted-space"/>
          <w:sz w:val="20"/>
          <w:szCs w:val="20"/>
        </w:rPr>
        <w:t> </w:t>
      </w:r>
      <w:r w:rsidR="00D15F2D" w:rsidRPr="00F551E0">
        <w:rPr>
          <w:b/>
          <w:bCs/>
          <w:sz w:val="20"/>
          <w:szCs w:val="20"/>
          <w:vertAlign w:val="superscript"/>
        </w:rPr>
        <w:t>(38), (39)</w:t>
      </w:r>
      <w:r w:rsidR="00D15F2D" w:rsidRPr="00F551E0">
        <w:rPr>
          <w:sz w:val="20"/>
          <w:szCs w:val="20"/>
        </w:rPr>
        <w:t>.</w:t>
      </w:r>
      <w:r w:rsidRPr="00F551E0">
        <w:rPr>
          <w:sz w:val="20"/>
          <w:szCs w:val="20"/>
        </w:rPr>
        <w:t xml:space="preserve"> Docetaxel promotes tubulin assembly into microtubules, stabilizes microtubules, and inhibits depolymerization to free tubulin</w:t>
      </w:r>
      <w:r w:rsidRPr="00F551E0">
        <w:rPr>
          <w:rStyle w:val="apple-converted-space"/>
          <w:sz w:val="20"/>
          <w:szCs w:val="20"/>
        </w:rPr>
        <w:t> </w:t>
      </w:r>
      <w:r w:rsidR="00D15F2D" w:rsidRPr="00F551E0">
        <w:rPr>
          <w:b/>
          <w:bCs/>
          <w:sz w:val="20"/>
          <w:szCs w:val="20"/>
          <w:vertAlign w:val="superscript"/>
        </w:rPr>
        <w:t>(39)</w:t>
      </w:r>
      <w:r w:rsidRPr="00F551E0">
        <w:rPr>
          <w:rStyle w:val="apple-converted-space"/>
          <w:sz w:val="20"/>
          <w:szCs w:val="20"/>
        </w:rPr>
        <w:t>.</w:t>
      </w:r>
      <w:r w:rsidRPr="00F551E0">
        <w:rPr>
          <w:sz w:val="20"/>
          <w:szCs w:val="20"/>
        </w:rPr>
        <w:t xml:space="preserve"> </w:t>
      </w:r>
      <w:r w:rsidR="000A39AD" w:rsidRPr="00F551E0">
        <w:rPr>
          <w:sz w:val="20"/>
          <w:szCs w:val="20"/>
        </w:rPr>
        <w:t>Recently, f</w:t>
      </w:r>
      <w:r w:rsidRPr="00F551E0">
        <w:rPr>
          <w:sz w:val="20"/>
          <w:szCs w:val="20"/>
        </w:rPr>
        <w:t>avorable results have been reported when these two drugs were used in combination for the treatment of advanced non-small cell lung cancer</w:t>
      </w:r>
      <w:r w:rsidRPr="00F551E0">
        <w:rPr>
          <w:rStyle w:val="apple-converted-space"/>
          <w:sz w:val="20"/>
          <w:szCs w:val="20"/>
        </w:rPr>
        <w:t> </w:t>
      </w:r>
      <w:r w:rsidR="00D15F2D" w:rsidRPr="00F551E0">
        <w:rPr>
          <w:b/>
          <w:bCs/>
          <w:sz w:val="20"/>
          <w:szCs w:val="20"/>
          <w:vertAlign w:val="superscript"/>
        </w:rPr>
        <w:t>(40), (41)</w:t>
      </w:r>
      <w:r w:rsidRPr="00F551E0">
        <w:rPr>
          <w:b/>
          <w:bCs/>
          <w:sz w:val="20"/>
          <w:szCs w:val="20"/>
        </w:rPr>
        <w:t xml:space="preserve"> </w:t>
      </w:r>
      <w:r w:rsidRPr="00F551E0">
        <w:rPr>
          <w:sz w:val="20"/>
          <w:szCs w:val="20"/>
        </w:rPr>
        <w:t>and in two Phase II trials of chemorefractory ABC, yielding an objective response rate as high as 54%</w:t>
      </w:r>
      <w:r w:rsidRPr="00F551E0">
        <w:rPr>
          <w:rStyle w:val="apple-converted-space"/>
          <w:sz w:val="20"/>
          <w:szCs w:val="20"/>
        </w:rPr>
        <w:t> </w:t>
      </w:r>
      <w:r w:rsidR="008B2C2D" w:rsidRPr="00F551E0">
        <w:rPr>
          <w:b/>
          <w:bCs/>
          <w:sz w:val="20"/>
          <w:szCs w:val="20"/>
          <w:vertAlign w:val="superscript"/>
        </w:rPr>
        <w:t>(42), (43)</w:t>
      </w:r>
      <w:r w:rsidRPr="00F551E0">
        <w:rPr>
          <w:sz w:val="20"/>
          <w:szCs w:val="20"/>
        </w:rPr>
        <w:t>.</w:t>
      </w:r>
    </w:p>
    <w:p w:rsidR="00272250" w:rsidRPr="00F551E0" w:rsidRDefault="00272250" w:rsidP="00931FFE">
      <w:pPr>
        <w:pStyle w:val="Default"/>
        <w:snapToGrid w:val="0"/>
        <w:ind w:firstLine="425"/>
        <w:jc w:val="both"/>
        <w:rPr>
          <w:sz w:val="20"/>
          <w:szCs w:val="20"/>
        </w:rPr>
      </w:pPr>
    </w:p>
    <w:p w:rsidR="002E7D94" w:rsidRPr="00F551E0" w:rsidRDefault="0076732E" w:rsidP="00931FFE">
      <w:pPr>
        <w:pStyle w:val="a3"/>
        <w:autoSpaceDE w:val="0"/>
        <w:autoSpaceDN w:val="0"/>
        <w:bidi w:val="0"/>
        <w:adjustRightInd w:val="0"/>
        <w:snapToGrid w:val="0"/>
        <w:spacing w:after="0" w:line="240" w:lineRule="auto"/>
        <w:ind w:left="0"/>
        <w:jc w:val="both"/>
        <w:rPr>
          <w:rFonts w:ascii="Times New Roman" w:hAnsi="Times New Roman" w:cs="Times New Roman"/>
          <w:b/>
          <w:bCs/>
          <w:sz w:val="20"/>
          <w:szCs w:val="20"/>
          <w:lang w:bidi="ar-EG"/>
        </w:rPr>
      </w:pPr>
      <w:r w:rsidRPr="00F551E0">
        <w:rPr>
          <w:rFonts w:ascii="Times New Roman" w:hAnsi="Times New Roman" w:cs="Times New Roman"/>
          <w:b/>
          <w:bCs/>
          <w:sz w:val="20"/>
          <w:szCs w:val="20"/>
          <w:lang w:bidi="ar-EG"/>
        </w:rPr>
        <w:t xml:space="preserve">2. </w:t>
      </w:r>
      <w:r w:rsidR="002E7D94" w:rsidRPr="00F551E0">
        <w:rPr>
          <w:rFonts w:ascii="Times New Roman" w:hAnsi="Times New Roman" w:cs="Times New Roman"/>
          <w:b/>
          <w:bCs/>
          <w:sz w:val="20"/>
          <w:szCs w:val="20"/>
          <w:lang w:bidi="ar-EG"/>
        </w:rPr>
        <w:t>Patients</w:t>
      </w:r>
      <w:r w:rsidR="00F551E0" w:rsidRPr="00F551E0">
        <w:rPr>
          <w:rFonts w:ascii="Times New Roman" w:hAnsi="Times New Roman" w:cs="Times New Roman"/>
          <w:b/>
          <w:bCs/>
          <w:sz w:val="20"/>
          <w:szCs w:val="20"/>
          <w:lang w:bidi="ar-EG"/>
        </w:rPr>
        <w:t xml:space="preserve"> &amp; </w:t>
      </w:r>
      <w:r w:rsidR="002E7D94" w:rsidRPr="00F551E0">
        <w:rPr>
          <w:rFonts w:ascii="Times New Roman" w:hAnsi="Times New Roman" w:cs="Times New Roman"/>
          <w:b/>
          <w:bCs/>
          <w:sz w:val="20"/>
          <w:szCs w:val="20"/>
          <w:lang w:bidi="ar-EG"/>
        </w:rPr>
        <w:t>Methods</w:t>
      </w:r>
    </w:p>
    <w:p w:rsidR="00594162" w:rsidRPr="00F551E0" w:rsidRDefault="002E7D94" w:rsidP="00931FFE">
      <w:pPr>
        <w:pStyle w:val="2"/>
        <w:snapToGrid w:val="0"/>
        <w:spacing w:before="0" w:beforeAutospacing="0" w:after="0" w:afterAutospacing="0"/>
        <w:ind w:firstLine="425"/>
        <w:jc w:val="both"/>
        <w:rPr>
          <w:snapToGrid w:val="0"/>
          <w:sz w:val="20"/>
          <w:szCs w:val="20"/>
          <w:u w:val="single"/>
        </w:rPr>
      </w:pPr>
      <w:r w:rsidRPr="00F551E0">
        <w:rPr>
          <w:b w:val="0"/>
          <w:bCs w:val="0"/>
          <w:snapToGrid w:val="0"/>
          <w:sz w:val="20"/>
          <w:szCs w:val="20"/>
        </w:rPr>
        <w:t>It is a randomized clinical trial study that was conducted upon clinically, pathologically</w:t>
      </w:r>
      <w:r w:rsidR="00F551E0" w:rsidRPr="00F551E0">
        <w:rPr>
          <w:b w:val="0"/>
          <w:bCs w:val="0"/>
          <w:snapToGrid w:val="0"/>
          <w:sz w:val="20"/>
          <w:szCs w:val="20"/>
        </w:rPr>
        <w:t xml:space="preserve"> &amp; </w:t>
      </w:r>
      <w:r w:rsidRPr="00F551E0">
        <w:rPr>
          <w:b w:val="0"/>
          <w:bCs w:val="0"/>
          <w:snapToGrid w:val="0"/>
          <w:sz w:val="20"/>
          <w:szCs w:val="20"/>
        </w:rPr>
        <w:t xml:space="preserve">radiologically proved patients to have Locally Advanced Breast Cancer attending </w:t>
      </w:r>
      <w:r w:rsidRPr="00F551E0">
        <w:rPr>
          <w:rStyle w:val="editsection"/>
          <w:b w:val="0"/>
          <w:bCs w:val="0"/>
          <w:sz w:val="20"/>
          <w:szCs w:val="20"/>
        </w:rPr>
        <w:t xml:space="preserve">Clinical Oncology and Nuclear Medicine Department of </w:t>
      </w:r>
      <w:r w:rsidRPr="00F551E0">
        <w:rPr>
          <w:b w:val="0"/>
          <w:bCs w:val="0"/>
          <w:snapToGrid w:val="0"/>
          <w:sz w:val="20"/>
          <w:szCs w:val="20"/>
        </w:rPr>
        <w:t>Suez Canal University during 2013</w:t>
      </w:r>
      <w:r w:rsidR="00F551E0" w:rsidRPr="00F551E0">
        <w:rPr>
          <w:b w:val="0"/>
          <w:bCs w:val="0"/>
          <w:snapToGrid w:val="0"/>
          <w:sz w:val="20"/>
          <w:szCs w:val="20"/>
        </w:rPr>
        <w:t xml:space="preserve"> &amp; </w:t>
      </w:r>
      <w:r w:rsidRPr="00F551E0">
        <w:rPr>
          <w:b w:val="0"/>
          <w:bCs w:val="0"/>
          <w:snapToGrid w:val="0"/>
          <w:sz w:val="20"/>
          <w:szCs w:val="20"/>
        </w:rPr>
        <w:t xml:space="preserve">2014 at Ismailia. Patients recruited for the study were divided into two main groups as follows: </w:t>
      </w:r>
      <w:r w:rsidRPr="00F551E0">
        <w:rPr>
          <w:color w:val="000000"/>
          <w:sz w:val="20"/>
          <w:szCs w:val="20"/>
        </w:rPr>
        <w:t xml:space="preserve">Group (1): </w:t>
      </w:r>
      <w:r w:rsidRPr="00F551E0">
        <w:rPr>
          <w:b w:val="0"/>
          <w:bCs w:val="0"/>
          <w:snapToGrid w:val="0"/>
          <w:sz w:val="20"/>
          <w:szCs w:val="20"/>
        </w:rPr>
        <w:t>included patients who received</w:t>
      </w:r>
      <w:r w:rsidRPr="00F551E0">
        <w:rPr>
          <w:b w:val="0"/>
          <w:bCs w:val="0"/>
          <w:color w:val="000000"/>
          <w:sz w:val="20"/>
          <w:szCs w:val="20"/>
        </w:rPr>
        <w:t xml:space="preserve"> </w:t>
      </w:r>
      <w:r w:rsidRPr="00F551E0">
        <w:rPr>
          <w:color w:val="000000"/>
          <w:sz w:val="20"/>
          <w:szCs w:val="20"/>
        </w:rPr>
        <w:t xml:space="preserve">4 cycles </w:t>
      </w:r>
      <w:r w:rsidRPr="00F551E0">
        <w:rPr>
          <w:b w:val="0"/>
          <w:bCs w:val="0"/>
          <w:color w:val="000000"/>
          <w:sz w:val="20"/>
          <w:szCs w:val="20"/>
        </w:rPr>
        <w:t xml:space="preserve">of (Vinorelbine, Cisplatin) regimen: </w:t>
      </w:r>
      <w:r w:rsidRPr="00F551E0">
        <w:rPr>
          <w:color w:val="000000"/>
          <w:sz w:val="20"/>
          <w:szCs w:val="20"/>
        </w:rPr>
        <w:t xml:space="preserve">Vinorelbine </w:t>
      </w:r>
      <w:r w:rsidRPr="00F551E0">
        <w:rPr>
          <w:b w:val="0"/>
          <w:bCs w:val="0"/>
          <w:color w:val="000000"/>
          <w:sz w:val="20"/>
          <w:szCs w:val="20"/>
        </w:rPr>
        <w:t>30 mg/m</w:t>
      </w:r>
      <w:r w:rsidRPr="00F551E0">
        <w:rPr>
          <w:b w:val="0"/>
          <w:bCs w:val="0"/>
          <w:color w:val="000000"/>
          <w:sz w:val="20"/>
          <w:szCs w:val="20"/>
          <w:vertAlign w:val="superscript"/>
        </w:rPr>
        <w:t xml:space="preserve">2 </w:t>
      </w:r>
      <w:r w:rsidRPr="00F551E0">
        <w:rPr>
          <w:b w:val="0"/>
          <w:bCs w:val="0"/>
          <w:color w:val="000000"/>
          <w:sz w:val="20"/>
          <w:szCs w:val="20"/>
        </w:rPr>
        <w:t>on days 1 and 8 /</w:t>
      </w:r>
      <w:r w:rsidRPr="00F551E0">
        <w:rPr>
          <w:color w:val="000000"/>
          <w:sz w:val="20"/>
          <w:szCs w:val="20"/>
        </w:rPr>
        <w:t xml:space="preserve"> Cisplatin </w:t>
      </w:r>
      <w:r w:rsidRPr="00F551E0">
        <w:rPr>
          <w:b w:val="0"/>
          <w:bCs w:val="0"/>
          <w:color w:val="000000"/>
          <w:sz w:val="20"/>
          <w:szCs w:val="20"/>
        </w:rPr>
        <w:t>75 mg/m</w:t>
      </w:r>
      <w:r w:rsidRPr="00F551E0">
        <w:rPr>
          <w:b w:val="0"/>
          <w:bCs w:val="0"/>
          <w:color w:val="000000"/>
          <w:sz w:val="20"/>
          <w:szCs w:val="20"/>
          <w:vertAlign w:val="superscript"/>
        </w:rPr>
        <w:t>2</w:t>
      </w:r>
      <w:r w:rsidRPr="00F551E0">
        <w:rPr>
          <w:b w:val="0"/>
          <w:bCs w:val="0"/>
          <w:color w:val="000000"/>
          <w:sz w:val="20"/>
          <w:szCs w:val="20"/>
        </w:rPr>
        <w:t xml:space="preserve"> on day 1</w:t>
      </w:r>
      <w:r w:rsidRPr="00F551E0">
        <w:rPr>
          <w:color w:val="000000"/>
          <w:sz w:val="20"/>
          <w:szCs w:val="20"/>
        </w:rPr>
        <w:t xml:space="preserve"> </w:t>
      </w:r>
      <w:r w:rsidRPr="00F551E0">
        <w:rPr>
          <w:b w:val="0"/>
          <w:bCs w:val="0"/>
          <w:color w:val="000000"/>
          <w:sz w:val="20"/>
          <w:szCs w:val="20"/>
        </w:rPr>
        <w:t>regimen of a 21 day cycle.</w:t>
      </w:r>
      <w:r w:rsidR="00CE697F" w:rsidRPr="00F551E0">
        <w:rPr>
          <w:color w:val="000000"/>
          <w:sz w:val="20"/>
          <w:szCs w:val="20"/>
        </w:rPr>
        <w:t xml:space="preserve"> </w:t>
      </w:r>
      <w:r w:rsidRPr="00F551E0">
        <w:rPr>
          <w:snapToGrid w:val="0"/>
          <w:sz w:val="20"/>
          <w:szCs w:val="20"/>
        </w:rPr>
        <w:t xml:space="preserve">Group (2): </w:t>
      </w:r>
      <w:r w:rsidRPr="00F551E0">
        <w:rPr>
          <w:b w:val="0"/>
          <w:bCs w:val="0"/>
          <w:snapToGrid w:val="0"/>
          <w:sz w:val="20"/>
          <w:szCs w:val="20"/>
        </w:rPr>
        <w:t>included patients who received</w:t>
      </w:r>
      <w:r w:rsidRPr="00F551E0">
        <w:rPr>
          <w:color w:val="000000"/>
          <w:sz w:val="20"/>
          <w:szCs w:val="20"/>
        </w:rPr>
        <w:t xml:space="preserve"> 4 cycles </w:t>
      </w:r>
      <w:r w:rsidRPr="00F551E0">
        <w:rPr>
          <w:b w:val="0"/>
          <w:bCs w:val="0"/>
          <w:color w:val="000000"/>
          <w:sz w:val="20"/>
          <w:szCs w:val="20"/>
        </w:rPr>
        <w:t>of (</w:t>
      </w:r>
      <w:r w:rsidRPr="00F551E0">
        <w:rPr>
          <w:b w:val="0"/>
          <w:bCs w:val="0"/>
          <w:sz w:val="20"/>
          <w:szCs w:val="20"/>
          <w:lang w:bidi="ar-EG"/>
        </w:rPr>
        <w:t xml:space="preserve">Docetaxel, Gemcitabine) regimen: </w:t>
      </w:r>
      <w:r w:rsidRPr="00F551E0">
        <w:rPr>
          <w:sz w:val="20"/>
          <w:szCs w:val="20"/>
          <w:lang w:bidi="ar-EG"/>
        </w:rPr>
        <w:t>Docetaxel</w:t>
      </w:r>
      <w:r w:rsidRPr="00F551E0">
        <w:rPr>
          <w:b w:val="0"/>
          <w:bCs w:val="0"/>
          <w:sz w:val="20"/>
          <w:szCs w:val="20"/>
          <w:lang w:bidi="ar-EG"/>
        </w:rPr>
        <w:t xml:space="preserve"> 75 mg/m</w:t>
      </w:r>
      <w:r w:rsidRPr="00F551E0">
        <w:rPr>
          <w:b w:val="0"/>
          <w:bCs w:val="0"/>
          <w:sz w:val="20"/>
          <w:szCs w:val="20"/>
          <w:vertAlign w:val="superscript"/>
          <w:lang w:bidi="ar-EG"/>
        </w:rPr>
        <w:t>2</w:t>
      </w:r>
      <w:r w:rsidRPr="00F551E0">
        <w:rPr>
          <w:b w:val="0"/>
          <w:bCs w:val="0"/>
          <w:sz w:val="20"/>
          <w:szCs w:val="20"/>
          <w:lang w:bidi="ar-EG"/>
        </w:rPr>
        <w:t xml:space="preserve"> on day 1/ </w:t>
      </w:r>
      <w:r w:rsidRPr="00F551E0">
        <w:rPr>
          <w:sz w:val="20"/>
          <w:szCs w:val="20"/>
          <w:lang w:bidi="ar-EG"/>
        </w:rPr>
        <w:t>Gemcitabine</w:t>
      </w:r>
      <w:r w:rsidR="00F551E0" w:rsidRPr="00F551E0">
        <w:rPr>
          <w:sz w:val="20"/>
          <w:szCs w:val="20"/>
          <w:lang w:bidi="ar-EG"/>
        </w:rPr>
        <w:t xml:space="preserve"> </w:t>
      </w:r>
      <w:r w:rsidRPr="00F551E0">
        <w:rPr>
          <w:b w:val="0"/>
          <w:bCs w:val="0"/>
          <w:sz w:val="20"/>
          <w:szCs w:val="20"/>
          <w:lang w:bidi="ar-EG"/>
        </w:rPr>
        <w:t>1 gm/m</w:t>
      </w:r>
      <w:r w:rsidRPr="00F551E0">
        <w:rPr>
          <w:b w:val="0"/>
          <w:bCs w:val="0"/>
          <w:sz w:val="20"/>
          <w:szCs w:val="20"/>
          <w:vertAlign w:val="superscript"/>
          <w:lang w:bidi="ar-EG"/>
        </w:rPr>
        <w:t>2</w:t>
      </w:r>
      <w:r w:rsidRPr="00F551E0">
        <w:rPr>
          <w:b w:val="0"/>
          <w:bCs w:val="0"/>
          <w:sz w:val="20"/>
          <w:szCs w:val="20"/>
          <w:lang w:bidi="ar-EG"/>
        </w:rPr>
        <w:t xml:space="preserve"> on day 1 and 8</w:t>
      </w:r>
      <w:r w:rsidRPr="00F551E0">
        <w:rPr>
          <w:sz w:val="20"/>
          <w:szCs w:val="20"/>
          <w:lang w:bidi="ar-EG"/>
        </w:rPr>
        <w:t xml:space="preserve"> </w:t>
      </w:r>
      <w:r w:rsidRPr="00F551E0">
        <w:rPr>
          <w:b w:val="0"/>
          <w:bCs w:val="0"/>
          <w:sz w:val="20"/>
          <w:szCs w:val="20"/>
          <w:lang w:bidi="ar-EG"/>
        </w:rPr>
        <w:t>regimen of 21 day cycle.</w:t>
      </w:r>
      <w:r w:rsidRPr="00F551E0">
        <w:rPr>
          <w:sz w:val="20"/>
          <w:szCs w:val="20"/>
          <w:lang w:bidi="ar-EG"/>
        </w:rPr>
        <w:t xml:space="preserve"> </w:t>
      </w:r>
    </w:p>
    <w:p w:rsidR="00594162" w:rsidRPr="00F551E0" w:rsidRDefault="002E7D94" w:rsidP="00931FFE">
      <w:pPr>
        <w:pStyle w:val="2"/>
        <w:snapToGrid w:val="0"/>
        <w:spacing w:before="0" w:beforeAutospacing="0" w:after="0" w:afterAutospacing="0"/>
        <w:ind w:firstLine="425"/>
        <w:jc w:val="both"/>
        <w:rPr>
          <w:snapToGrid w:val="0"/>
          <w:sz w:val="20"/>
          <w:szCs w:val="20"/>
        </w:rPr>
      </w:pPr>
      <w:r w:rsidRPr="00F551E0">
        <w:rPr>
          <w:snapToGrid w:val="0"/>
          <w:sz w:val="20"/>
          <w:szCs w:val="20"/>
        </w:rPr>
        <w:t>Inclusion criteria:</w:t>
      </w:r>
      <w:r w:rsidRPr="00F551E0">
        <w:rPr>
          <w:b w:val="0"/>
          <w:bCs w:val="0"/>
          <w:snapToGrid w:val="0"/>
          <w:sz w:val="20"/>
          <w:szCs w:val="20"/>
        </w:rPr>
        <w:t xml:space="preserve"> Patients were selected when they fulfill the following criteria: Patients aged more than 18 years and less than 80, clinically, pathologically</w:t>
      </w:r>
      <w:r w:rsidR="00F551E0" w:rsidRPr="00F551E0">
        <w:rPr>
          <w:b w:val="0"/>
          <w:bCs w:val="0"/>
          <w:snapToGrid w:val="0"/>
          <w:sz w:val="20"/>
          <w:szCs w:val="20"/>
        </w:rPr>
        <w:t xml:space="preserve"> &amp; </w:t>
      </w:r>
      <w:r w:rsidRPr="00F551E0">
        <w:rPr>
          <w:b w:val="0"/>
          <w:bCs w:val="0"/>
          <w:snapToGrid w:val="0"/>
          <w:sz w:val="20"/>
          <w:szCs w:val="20"/>
        </w:rPr>
        <w:t>radiologically proved patients with Operable Locally Advanced Breast Cancer, Study participants will be counseled, and an informed written consent will be obtained.</w:t>
      </w:r>
      <w:r w:rsidRPr="00F551E0">
        <w:rPr>
          <w:snapToGrid w:val="0"/>
          <w:sz w:val="20"/>
          <w:szCs w:val="20"/>
        </w:rPr>
        <w:t xml:space="preserve"> </w:t>
      </w:r>
    </w:p>
    <w:p w:rsidR="002E7D94" w:rsidRPr="00F551E0" w:rsidRDefault="002E7D94" w:rsidP="00931FFE">
      <w:pPr>
        <w:pStyle w:val="2"/>
        <w:snapToGrid w:val="0"/>
        <w:spacing w:before="0" w:beforeAutospacing="0" w:after="0" w:afterAutospacing="0"/>
        <w:ind w:firstLine="425"/>
        <w:jc w:val="both"/>
        <w:rPr>
          <w:rStyle w:val="editsection"/>
          <w:b w:val="0"/>
          <w:bCs w:val="0"/>
          <w:sz w:val="20"/>
          <w:szCs w:val="20"/>
        </w:rPr>
      </w:pPr>
      <w:r w:rsidRPr="00F551E0">
        <w:rPr>
          <w:snapToGrid w:val="0"/>
          <w:sz w:val="20"/>
          <w:szCs w:val="20"/>
        </w:rPr>
        <w:lastRenderedPageBreak/>
        <w:t>Exclusion criteria:</w:t>
      </w:r>
      <w:r w:rsidRPr="00F551E0">
        <w:rPr>
          <w:b w:val="0"/>
          <w:bCs w:val="0"/>
          <w:snapToGrid w:val="0"/>
          <w:sz w:val="20"/>
          <w:szCs w:val="20"/>
        </w:rPr>
        <w:t xml:space="preserve"> Patients with performance status more than II, Patients with (double pathology) another cancer in the body, Patients with contraindication for chemotherapy as pancytopenia, impaired liver function and renal function, Refusal of participation in the study or failure to obtain an informed consent.</w:t>
      </w:r>
      <w:r w:rsidRPr="00F551E0">
        <w:rPr>
          <w:rStyle w:val="editsection"/>
          <w:b w:val="0"/>
          <w:bCs w:val="0"/>
          <w:sz w:val="20"/>
          <w:szCs w:val="20"/>
        </w:rPr>
        <w:t xml:space="preserve"> Doing Physical</w:t>
      </w:r>
      <w:r w:rsidR="00F551E0" w:rsidRPr="00F551E0">
        <w:rPr>
          <w:rStyle w:val="editsection"/>
          <w:b w:val="0"/>
          <w:bCs w:val="0"/>
          <w:sz w:val="20"/>
          <w:szCs w:val="20"/>
        </w:rPr>
        <w:t xml:space="preserve"> &amp; </w:t>
      </w:r>
      <w:r w:rsidRPr="00F551E0">
        <w:rPr>
          <w:rStyle w:val="editsection"/>
          <w:b w:val="0"/>
          <w:bCs w:val="0"/>
          <w:sz w:val="20"/>
          <w:szCs w:val="20"/>
        </w:rPr>
        <w:t>Clinical examination of the affected, the contralateral breasts</w:t>
      </w:r>
      <w:r w:rsidR="00F551E0" w:rsidRPr="00F551E0">
        <w:rPr>
          <w:rStyle w:val="editsection"/>
          <w:b w:val="0"/>
          <w:bCs w:val="0"/>
          <w:sz w:val="20"/>
          <w:szCs w:val="20"/>
        </w:rPr>
        <w:t xml:space="preserve"> &amp; </w:t>
      </w:r>
      <w:r w:rsidRPr="00F551E0">
        <w:rPr>
          <w:rStyle w:val="editsection"/>
          <w:b w:val="0"/>
          <w:bCs w:val="0"/>
          <w:sz w:val="20"/>
          <w:szCs w:val="20"/>
        </w:rPr>
        <w:t>the regional lymphatics, Complete Blood Count, Liver and Renal function tests, Chest X-ray and Pelvi-Abdominal Ultrasonography were done after finishing the course of treatment which is (</w:t>
      </w:r>
      <w:r w:rsidRPr="00F551E0">
        <w:rPr>
          <w:rStyle w:val="editsection"/>
          <w:sz w:val="20"/>
          <w:szCs w:val="20"/>
        </w:rPr>
        <w:t xml:space="preserve">4) cycles </w:t>
      </w:r>
      <w:r w:rsidRPr="00F551E0">
        <w:rPr>
          <w:rStyle w:val="editsection"/>
          <w:b w:val="0"/>
          <w:bCs w:val="0"/>
          <w:sz w:val="20"/>
          <w:szCs w:val="20"/>
        </w:rPr>
        <w:t xml:space="preserve">of one the pre specified regimens of chemotherapy comparing the results with the previous one before starting the treatment. Once </w:t>
      </w:r>
      <w:r w:rsidRPr="00F551E0">
        <w:rPr>
          <w:rStyle w:val="editsection"/>
          <w:sz w:val="20"/>
          <w:szCs w:val="20"/>
        </w:rPr>
        <w:t>clinical complete tumor response</w:t>
      </w:r>
      <w:r w:rsidRPr="00F551E0">
        <w:rPr>
          <w:rStyle w:val="editsection"/>
          <w:b w:val="0"/>
          <w:bCs w:val="0"/>
          <w:sz w:val="20"/>
          <w:szCs w:val="20"/>
        </w:rPr>
        <w:t xml:space="preserve"> </w:t>
      </w:r>
      <w:r w:rsidRPr="00F551E0">
        <w:rPr>
          <w:rStyle w:val="editsection"/>
          <w:sz w:val="20"/>
          <w:szCs w:val="20"/>
        </w:rPr>
        <w:t xml:space="preserve">(cCR) </w:t>
      </w:r>
      <w:r w:rsidRPr="00F551E0">
        <w:rPr>
          <w:rStyle w:val="editsection"/>
          <w:b w:val="0"/>
          <w:bCs w:val="0"/>
          <w:sz w:val="20"/>
          <w:szCs w:val="20"/>
        </w:rPr>
        <w:t>had happened after</w:t>
      </w:r>
      <w:r w:rsidR="00F551E0" w:rsidRPr="00F551E0">
        <w:rPr>
          <w:rStyle w:val="editsection"/>
          <w:b w:val="0"/>
          <w:bCs w:val="0"/>
          <w:sz w:val="20"/>
          <w:szCs w:val="20"/>
        </w:rPr>
        <w:t xml:space="preserve"> </w:t>
      </w:r>
      <w:r w:rsidRPr="00F551E0">
        <w:rPr>
          <w:rStyle w:val="editsection"/>
          <w:b w:val="0"/>
          <w:bCs w:val="0"/>
          <w:sz w:val="20"/>
          <w:szCs w:val="20"/>
        </w:rPr>
        <w:t>(</w:t>
      </w:r>
      <w:r w:rsidRPr="00F551E0">
        <w:rPr>
          <w:rStyle w:val="editsection"/>
          <w:sz w:val="20"/>
          <w:szCs w:val="20"/>
        </w:rPr>
        <w:t>4) cycles</w:t>
      </w:r>
      <w:r w:rsidRPr="00F551E0">
        <w:rPr>
          <w:rStyle w:val="editsection"/>
          <w:b w:val="0"/>
          <w:bCs w:val="0"/>
          <w:sz w:val="20"/>
          <w:szCs w:val="20"/>
        </w:rPr>
        <w:t xml:space="preserve"> of any of the pre specified regimens of chemotherapy, the patient was referred to do surgery. If there was </w:t>
      </w:r>
      <w:r w:rsidRPr="00F551E0">
        <w:rPr>
          <w:rStyle w:val="editsection"/>
          <w:sz w:val="20"/>
          <w:szCs w:val="20"/>
        </w:rPr>
        <w:t>clinical partial tumor response</w:t>
      </w:r>
      <w:r w:rsidRPr="00F551E0">
        <w:rPr>
          <w:rStyle w:val="editsection"/>
          <w:b w:val="0"/>
          <w:bCs w:val="0"/>
          <w:sz w:val="20"/>
          <w:szCs w:val="20"/>
        </w:rPr>
        <w:t xml:space="preserve"> </w:t>
      </w:r>
      <w:r w:rsidRPr="00F551E0">
        <w:rPr>
          <w:rStyle w:val="editsection"/>
          <w:sz w:val="20"/>
          <w:szCs w:val="20"/>
        </w:rPr>
        <w:t>(cPR)</w:t>
      </w:r>
      <w:r w:rsidRPr="00F551E0">
        <w:rPr>
          <w:rStyle w:val="editsection"/>
          <w:b w:val="0"/>
          <w:bCs w:val="0"/>
          <w:sz w:val="20"/>
          <w:szCs w:val="20"/>
        </w:rPr>
        <w:t xml:space="preserve"> after having (</w:t>
      </w:r>
      <w:r w:rsidRPr="00F551E0">
        <w:rPr>
          <w:rStyle w:val="editsection"/>
          <w:sz w:val="20"/>
          <w:szCs w:val="20"/>
        </w:rPr>
        <w:t>4) cycles</w:t>
      </w:r>
      <w:r w:rsidRPr="00F551E0">
        <w:rPr>
          <w:rStyle w:val="editsection"/>
          <w:b w:val="0"/>
          <w:bCs w:val="0"/>
          <w:sz w:val="20"/>
          <w:szCs w:val="20"/>
        </w:rPr>
        <w:t xml:space="preserve"> of one the pre specified regimens of chemotherapy, the patient had (</w:t>
      </w:r>
      <w:r w:rsidRPr="00F551E0">
        <w:rPr>
          <w:rStyle w:val="editsection"/>
          <w:sz w:val="20"/>
          <w:szCs w:val="20"/>
        </w:rPr>
        <w:t>2) more additional cycles</w:t>
      </w:r>
      <w:r w:rsidRPr="00F551E0">
        <w:rPr>
          <w:rStyle w:val="editsection"/>
          <w:b w:val="0"/>
          <w:bCs w:val="0"/>
          <w:sz w:val="20"/>
          <w:szCs w:val="20"/>
        </w:rPr>
        <w:t xml:space="preserve"> of chemotherapy of the same regimen given before. If there was </w:t>
      </w:r>
      <w:r w:rsidRPr="00F551E0">
        <w:rPr>
          <w:rStyle w:val="editsection"/>
          <w:sz w:val="20"/>
          <w:szCs w:val="20"/>
        </w:rPr>
        <w:t>no response</w:t>
      </w:r>
      <w:r w:rsidRPr="00F551E0">
        <w:rPr>
          <w:rStyle w:val="editsection"/>
          <w:b w:val="0"/>
          <w:bCs w:val="0"/>
          <w:sz w:val="20"/>
          <w:szCs w:val="20"/>
        </w:rPr>
        <w:t xml:space="preserve"> after having</w:t>
      </w:r>
      <w:r w:rsidR="00F551E0" w:rsidRPr="00F551E0">
        <w:rPr>
          <w:rStyle w:val="editsection"/>
          <w:b w:val="0"/>
          <w:bCs w:val="0"/>
          <w:sz w:val="20"/>
          <w:szCs w:val="20"/>
        </w:rPr>
        <w:t xml:space="preserve"> </w:t>
      </w:r>
      <w:r w:rsidRPr="00F551E0">
        <w:rPr>
          <w:rStyle w:val="editsection"/>
          <w:b w:val="0"/>
          <w:bCs w:val="0"/>
          <w:sz w:val="20"/>
          <w:szCs w:val="20"/>
        </w:rPr>
        <w:t>(</w:t>
      </w:r>
      <w:r w:rsidRPr="00F551E0">
        <w:rPr>
          <w:rStyle w:val="editsection"/>
          <w:sz w:val="20"/>
          <w:szCs w:val="20"/>
        </w:rPr>
        <w:t>4) cycles</w:t>
      </w:r>
      <w:r w:rsidRPr="00F551E0">
        <w:rPr>
          <w:rStyle w:val="editsection"/>
          <w:b w:val="0"/>
          <w:bCs w:val="0"/>
          <w:sz w:val="20"/>
          <w:szCs w:val="20"/>
        </w:rPr>
        <w:t xml:space="preserve"> of any of the pre specified regimens of chemotherapy, the patient was switched to have the other regimen of chemotherapy for another</w:t>
      </w:r>
      <w:r w:rsidR="00661883" w:rsidRPr="00F551E0">
        <w:rPr>
          <w:rStyle w:val="editsection"/>
          <w:b w:val="0"/>
          <w:bCs w:val="0"/>
          <w:sz w:val="20"/>
          <w:szCs w:val="20"/>
        </w:rPr>
        <w:t xml:space="preserve"> </w:t>
      </w:r>
      <w:r w:rsidRPr="00F551E0">
        <w:rPr>
          <w:rStyle w:val="editsection"/>
          <w:b w:val="0"/>
          <w:bCs w:val="0"/>
          <w:sz w:val="20"/>
          <w:szCs w:val="20"/>
        </w:rPr>
        <w:t>(</w:t>
      </w:r>
      <w:r w:rsidRPr="00F551E0">
        <w:rPr>
          <w:rStyle w:val="editsection"/>
          <w:sz w:val="20"/>
          <w:szCs w:val="20"/>
        </w:rPr>
        <w:t>4) cycles</w:t>
      </w:r>
      <w:r w:rsidRPr="00F551E0">
        <w:rPr>
          <w:rStyle w:val="editsection"/>
          <w:b w:val="0"/>
          <w:bCs w:val="0"/>
          <w:sz w:val="20"/>
          <w:szCs w:val="20"/>
        </w:rPr>
        <w:t xml:space="preserve"> then the tumor was reassessed clinically. The study aims to make the locally advanced breast cancer patients reach surgery, so that all the patients who reached clinical complete response were referred to do surgery and all the patients who reached clinical partial tumor response</w:t>
      </w:r>
      <w:r w:rsidR="00F551E0" w:rsidRPr="00F551E0">
        <w:rPr>
          <w:rStyle w:val="editsection"/>
          <w:b w:val="0"/>
          <w:bCs w:val="0"/>
          <w:sz w:val="20"/>
          <w:szCs w:val="20"/>
        </w:rPr>
        <w:t xml:space="preserve"> &amp; </w:t>
      </w:r>
      <w:r w:rsidRPr="00F551E0">
        <w:rPr>
          <w:rStyle w:val="editsection"/>
          <w:b w:val="0"/>
          <w:bCs w:val="0"/>
          <w:sz w:val="20"/>
          <w:szCs w:val="20"/>
        </w:rPr>
        <w:t>clinical stable disease also were referred to do surgery.</w:t>
      </w:r>
    </w:p>
    <w:p w:rsidR="00272250" w:rsidRPr="00F551E0" w:rsidRDefault="00272250" w:rsidP="00931FFE">
      <w:pPr>
        <w:pStyle w:val="2"/>
        <w:snapToGrid w:val="0"/>
        <w:spacing w:before="0" w:beforeAutospacing="0" w:after="0" w:afterAutospacing="0"/>
        <w:ind w:firstLine="425"/>
        <w:jc w:val="both"/>
        <w:rPr>
          <w:b w:val="0"/>
          <w:bCs w:val="0"/>
          <w:sz w:val="20"/>
          <w:szCs w:val="20"/>
        </w:rPr>
      </w:pPr>
    </w:p>
    <w:p w:rsidR="008A201B" w:rsidRPr="00F551E0" w:rsidRDefault="0076732E" w:rsidP="00931FFE">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F551E0">
        <w:rPr>
          <w:rFonts w:ascii="Times New Roman" w:hAnsi="Times New Roman" w:cs="Times New Roman"/>
          <w:b/>
          <w:bCs/>
          <w:sz w:val="20"/>
          <w:szCs w:val="20"/>
          <w:lang w:bidi="ar-EG"/>
        </w:rPr>
        <w:t xml:space="preserve">3. </w:t>
      </w:r>
      <w:r w:rsidR="00661883" w:rsidRPr="00F551E0">
        <w:rPr>
          <w:rFonts w:ascii="Times New Roman" w:hAnsi="Times New Roman" w:cs="Times New Roman"/>
          <w:b/>
          <w:bCs/>
          <w:sz w:val="20"/>
          <w:szCs w:val="20"/>
          <w:lang w:bidi="ar-EG"/>
        </w:rPr>
        <w:t>Results</w:t>
      </w:r>
    </w:p>
    <w:p w:rsidR="004C4E07" w:rsidRPr="00F551E0" w:rsidRDefault="004C4E07"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t>Diagram (1) shows that the Clinical Complete Tumor Response (cCR) for those who had received (Vinorelbine, Cisplatin) was superior to those who had received (Docetaxel, Gemcitabine): (42.22%</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17.77% respectively). Clinical Partial Tumor Response (cPR) for those who had received (Vinorelbine, Cisplatin) was superior to those who had received (Docetaxel, Gemcitabine): (42.22%</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35.55% respectively).</w:t>
      </w:r>
    </w:p>
    <w:p w:rsidR="004C4E07" w:rsidRPr="00F551E0" w:rsidRDefault="004C4E07"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t>Overall Response Rate (OR) for those who had received (Vinorelbine, Cisplatin) was superior to those who had received (Docetaxel, Gemcitabine): (84.44%</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53.33% respectively) with significant statistical difference.</w:t>
      </w:r>
    </w:p>
    <w:p w:rsidR="00931FFE" w:rsidRPr="00F551E0" w:rsidRDefault="00931FFE" w:rsidP="00931FFE">
      <w:pPr>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t xml:space="preserve">Diagram (2) shows that the </w:t>
      </w:r>
      <w:r w:rsidRPr="00F551E0">
        <w:rPr>
          <w:rFonts w:ascii="Times New Roman" w:hAnsi="Times New Roman" w:cs="Times New Roman"/>
          <w:b/>
          <w:bCs/>
          <w:sz w:val="20"/>
          <w:szCs w:val="20"/>
          <w:lang w:bidi="ar-EG"/>
        </w:rPr>
        <w:t>Clinical Complete Nodal Response (cCR)</w:t>
      </w:r>
      <w:r w:rsidRPr="00F551E0">
        <w:rPr>
          <w:rFonts w:ascii="Times New Roman" w:hAnsi="Times New Roman" w:cs="Times New Roman"/>
          <w:sz w:val="20"/>
          <w:szCs w:val="20"/>
          <w:lang w:bidi="ar-EG"/>
        </w:rPr>
        <w:t xml:space="preserve"> for those who had </w:t>
      </w:r>
      <w:r w:rsidRPr="00F551E0">
        <w:rPr>
          <w:rFonts w:ascii="Times New Roman" w:hAnsi="Times New Roman" w:cs="Times New Roman"/>
          <w:b/>
          <w:bCs/>
          <w:sz w:val="20"/>
          <w:szCs w:val="20"/>
          <w:lang w:bidi="ar-EG"/>
        </w:rPr>
        <w:t>+ve clinical lymphadenopathy</w:t>
      </w:r>
      <w:r w:rsidRPr="00F551E0">
        <w:rPr>
          <w:rFonts w:ascii="Times New Roman" w:hAnsi="Times New Roman" w:cs="Times New Roman"/>
          <w:sz w:val="20"/>
          <w:szCs w:val="20"/>
          <w:lang w:bidi="ar-EG"/>
        </w:rPr>
        <w:t xml:space="preserve"> at entry &amp; had received </w:t>
      </w:r>
      <w:r w:rsidRPr="00F551E0">
        <w:rPr>
          <w:rFonts w:ascii="Times New Roman" w:hAnsi="Times New Roman" w:cs="Times New Roman"/>
          <w:b/>
          <w:bCs/>
          <w:sz w:val="20"/>
          <w:szCs w:val="20"/>
          <w:lang w:bidi="ar-EG"/>
        </w:rPr>
        <w:t xml:space="preserve">(Docetaxel, Gemcitabine) </w:t>
      </w:r>
      <w:r w:rsidRPr="00F551E0">
        <w:rPr>
          <w:rFonts w:ascii="Times New Roman" w:hAnsi="Times New Roman" w:cs="Times New Roman"/>
          <w:sz w:val="20"/>
          <w:szCs w:val="20"/>
          <w:lang w:bidi="ar-EG"/>
        </w:rPr>
        <w:t xml:space="preserve">was superior to those who had received </w:t>
      </w:r>
      <w:r w:rsidRPr="00F551E0">
        <w:rPr>
          <w:rFonts w:ascii="Times New Roman" w:hAnsi="Times New Roman" w:cs="Times New Roman"/>
          <w:b/>
          <w:bCs/>
          <w:sz w:val="20"/>
          <w:szCs w:val="20"/>
          <w:lang w:bidi="ar-EG"/>
        </w:rPr>
        <w:t>(Vinorelbine, Cisplatin)</w:t>
      </w:r>
      <w:r w:rsidRPr="00F551E0">
        <w:rPr>
          <w:rFonts w:ascii="Times New Roman" w:hAnsi="Times New Roman" w:cs="Times New Roman"/>
          <w:sz w:val="20"/>
          <w:szCs w:val="20"/>
          <w:lang w:bidi="ar-EG"/>
        </w:rPr>
        <w:t>: (</w:t>
      </w:r>
      <w:r w:rsidRPr="00F551E0">
        <w:rPr>
          <w:rFonts w:ascii="Times New Roman" w:hAnsi="Times New Roman" w:cs="Times New Roman"/>
          <w:b/>
          <w:bCs/>
          <w:sz w:val="20"/>
          <w:szCs w:val="20"/>
          <w:lang w:bidi="ar-EG"/>
        </w:rPr>
        <w:t>76.66%</w:t>
      </w:r>
      <w:r w:rsidRPr="00F551E0">
        <w:rPr>
          <w:rFonts w:ascii="Times New Roman" w:hAnsi="Times New Roman" w:cs="Times New Roman"/>
          <w:sz w:val="20"/>
          <w:szCs w:val="20"/>
          <w:lang w:bidi="ar-EG"/>
        </w:rPr>
        <w:t xml:space="preserve"> &amp; </w:t>
      </w:r>
      <w:r w:rsidRPr="00F551E0">
        <w:rPr>
          <w:rFonts w:ascii="Times New Roman" w:hAnsi="Times New Roman" w:cs="Times New Roman"/>
          <w:b/>
          <w:bCs/>
          <w:sz w:val="20"/>
          <w:szCs w:val="20"/>
          <w:lang w:bidi="ar-EG"/>
        </w:rPr>
        <w:t>63.33%</w:t>
      </w:r>
      <w:r w:rsidRPr="00F551E0">
        <w:rPr>
          <w:rFonts w:ascii="Times New Roman" w:hAnsi="Times New Roman" w:cs="Times New Roman"/>
          <w:sz w:val="20"/>
          <w:szCs w:val="20"/>
          <w:lang w:bidi="ar-EG"/>
        </w:rPr>
        <w:t xml:space="preserve"> respectively) with significant statistical difference.</w:t>
      </w:r>
    </w:p>
    <w:p w:rsidR="00931FFE" w:rsidRPr="00F551E0" w:rsidRDefault="00931FFE" w:rsidP="00931FFE">
      <w:pPr>
        <w:tabs>
          <w:tab w:val="left" w:pos="977"/>
        </w:tabs>
        <w:bidi w:val="0"/>
        <w:snapToGrid w:val="0"/>
        <w:spacing w:after="0" w:line="240" w:lineRule="auto"/>
        <w:ind w:firstLine="425"/>
        <w:jc w:val="both"/>
        <w:rPr>
          <w:rFonts w:ascii="Times New Roman" w:hAnsi="Times New Roman" w:cs="Times New Roman"/>
          <w:sz w:val="20"/>
          <w:szCs w:val="20"/>
          <w:lang w:eastAsia="zh-CN" w:bidi="ar-EG"/>
        </w:rPr>
        <w:sectPr w:rsidR="00931FFE" w:rsidRPr="00F551E0" w:rsidSect="00931FFE">
          <w:headerReference w:type="default" r:id="rId14"/>
          <w:type w:val="continuous"/>
          <w:pgSz w:w="12240" w:h="15840" w:code="1"/>
          <w:pgMar w:top="1440" w:right="1440" w:bottom="1440" w:left="1440" w:header="720" w:footer="720" w:gutter="0"/>
          <w:cols w:num="2" w:space="550"/>
          <w:docGrid w:linePitch="360"/>
        </w:sectPr>
      </w:pPr>
    </w:p>
    <w:p w:rsidR="00931FFE" w:rsidRDefault="00931FFE" w:rsidP="00931FFE">
      <w:pPr>
        <w:tabs>
          <w:tab w:val="left" w:pos="977"/>
        </w:tabs>
        <w:bidi w:val="0"/>
        <w:snapToGrid w:val="0"/>
        <w:spacing w:after="0" w:line="240" w:lineRule="auto"/>
        <w:jc w:val="center"/>
        <w:rPr>
          <w:rFonts w:ascii="Times New Roman" w:hAnsi="Times New Roman" w:cs="Times New Roman"/>
          <w:sz w:val="20"/>
          <w:szCs w:val="20"/>
          <w:lang w:eastAsia="zh-CN" w:bidi="ar-EG"/>
        </w:rPr>
      </w:pPr>
    </w:p>
    <w:p w:rsidR="00931FFE" w:rsidRDefault="00931FFE" w:rsidP="00931FFE">
      <w:pPr>
        <w:tabs>
          <w:tab w:val="left" w:pos="977"/>
        </w:tabs>
        <w:bidi w:val="0"/>
        <w:snapToGrid w:val="0"/>
        <w:spacing w:after="0" w:line="240" w:lineRule="auto"/>
        <w:jc w:val="center"/>
        <w:rPr>
          <w:rFonts w:ascii="Times New Roman" w:hAnsi="Times New Roman" w:cs="Times New Roman"/>
          <w:sz w:val="20"/>
          <w:szCs w:val="20"/>
          <w:lang w:eastAsia="zh-CN" w:bidi="ar-EG"/>
        </w:rPr>
      </w:pPr>
    </w:p>
    <w:p w:rsidR="00931FFE" w:rsidRDefault="00931FFE" w:rsidP="00931FFE">
      <w:pPr>
        <w:tabs>
          <w:tab w:val="left" w:pos="977"/>
        </w:tabs>
        <w:bidi w:val="0"/>
        <w:snapToGrid w:val="0"/>
        <w:spacing w:after="0" w:line="240" w:lineRule="auto"/>
        <w:jc w:val="center"/>
        <w:rPr>
          <w:rFonts w:ascii="Times New Roman" w:hAnsi="Times New Roman" w:cs="Times New Roman"/>
          <w:sz w:val="20"/>
          <w:szCs w:val="20"/>
          <w:lang w:eastAsia="zh-CN" w:bidi="ar-EG"/>
        </w:rPr>
      </w:pPr>
    </w:p>
    <w:p w:rsidR="00931FFE" w:rsidRDefault="00931FFE" w:rsidP="00931FFE">
      <w:pPr>
        <w:tabs>
          <w:tab w:val="left" w:pos="977"/>
        </w:tabs>
        <w:bidi w:val="0"/>
        <w:snapToGrid w:val="0"/>
        <w:spacing w:after="0" w:line="240" w:lineRule="auto"/>
        <w:jc w:val="center"/>
        <w:rPr>
          <w:rFonts w:ascii="Times New Roman" w:hAnsi="Times New Roman" w:cs="Times New Roman"/>
          <w:sz w:val="20"/>
          <w:szCs w:val="20"/>
          <w:lang w:eastAsia="zh-CN" w:bidi="ar-EG"/>
        </w:rPr>
      </w:pPr>
    </w:p>
    <w:p w:rsidR="00931FFE" w:rsidRDefault="00931FFE" w:rsidP="00931FFE">
      <w:pPr>
        <w:tabs>
          <w:tab w:val="left" w:pos="977"/>
        </w:tabs>
        <w:bidi w:val="0"/>
        <w:snapToGrid w:val="0"/>
        <w:spacing w:after="0" w:line="240" w:lineRule="auto"/>
        <w:jc w:val="center"/>
        <w:rPr>
          <w:rFonts w:ascii="Times New Roman" w:hAnsi="Times New Roman" w:cs="Times New Roman"/>
          <w:sz w:val="20"/>
          <w:szCs w:val="20"/>
          <w:lang w:eastAsia="zh-CN" w:bidi="ar-EG"/>
        </w:rPr>
      </w:pPr>
    </w:p>
    <w:p w:rsidR="008A201B" w:rsidRPr="00F551E0" w:rsidRDefault="008A201B" w:rsidP="00931FFE">
      <w:pPr>
        <w:tabs>
          <w:tab w:val="left" w:pos="977"/>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drawing>
          <wp:inline distT="0" distB="0" distL="0" distR="0">
            <wp:extent cx="5288280" cy="3459480"/>
            <wp:effectExtent l="19050" t="0" r="26670" b="7620"/>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E07" w:rsidRPr="00F551E0" w:rsidRDefault="004C4E07" w:rsidP="00931FFE">
      <w:pPr>
        <w:tabs>
          <w:tab w:val="left" w:pos="977"/>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b/>
          <w:bCs/>
          <w:sz w:val="20"/>
          <w:szCs w:val="20"/>
        </w:rPr>
        <w:t>Diagram (1): Distribution of Clinical</w:t>
      </w:r>
      <w:r w:rsidR="00F551E0" w:rsidRPr="00F551E0">
        <w:rPr>
          <w:rFonts w:ascii="Times New Roman" w:hAnsi="Times New Roman" w:cs="Times New Roman"/>
          <w:b/>
          <w:bCs/>
          <w:sz w:val="20"/>
          <w:szCs w:val="20"/>
        </w:rPr>
        <w:t xml:space="preserve"> &amp; </w:t>
      </w:r>
      <w:r w:rsidRPr="00F551E0">
        <w:rPr>
          <w:rFonts w:ascii="Times New Roman" w:hAnsi="Times New Roman" w:cs="Times New Roman"/>
          <w:b/>
          <w:bCs/>
          <w:sz w:val="20"/>
          <w:szCs w:val="20"/>
        </w:rPr>
        <w:t>Overall Response rate among both study groups:</w:t>
      </w:r>
    </w:p>
    <w:p w:rsidR="004C4E07" w:rsidRDefault="004C4E07" w:rsidP="00931FFE">
      <w:pPr>
        <w:tabs>
          <w:tab w:val="left" w:pos="977"/>
        </w:tabs>
        <w:bidi w:val="0"/>
        <w:snapToGrid w:val="0"/>
        <w:spacing w:after="0" w:line="240" w:lineRule="auto"/>
        <w:ind w:firstLine="425"/>
        <w:jc w:val="both"/>
        <w:rPr>
          <w:rFonts w:ascii="Times New Roman" w:hAnsi="Times New Roman" w:cs="Times New Roman"/>
          <w:sz w:val="20"/>
          <w:szCs w:val="20"/>
          <w:lang w:eastAsia="zh-CN" w:bidi="ar-EG"/>
        </w:rPr>
      </w:pPr>
    </w:p>
    <w:p w:rsidR="00931FFE" w:rsidRPr="00931FFE" w:rsidRDefault="00931FFE" w:rsidP="00931FFE">
      <w:pPr>
        <w:tabs>
          <w:tab w:val="left" w:pos="977"/>
        </w:tabs>
        <w:bidi w:val="0"/>
        <w:snapToGrid w:val="0"/>
        <w:spacing w:after="0" w:line="240" w:lineRule="auto"/>
        <w:ind w:firstLine="425"/>
        <w:jc w:val="both"/>
        <w:rPr>
          <w:rFonts w:ascii="Times New Roman" w:hAnsi="Times New Roman" w:cs="Times New Roman"/>
          <w:sz w:val="20"/>
          <w:szCs w:val="20"/>
          <w:lang w:eastAsia="zh-CN" w:bidi="ar-EG"/>
        </w:rPr>
      </w:pPr>
    </w:p>
    <w:p w:rsidR="008A201B" w:rsidRPr="00F551E0" w:rsidRDefault="004C4E07" w:rsidP="00931FFE">
      <w:pPr>
        <w:tabs>
          <w:tab w:val="left" w:pos="977"/>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drawing>
          <wp:inline distT="0" distB="0" distL="0" distR="0">
            <wp:extent cx="4918710" cy="274010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924331" cy="2743236"/>
                    </a:xfrm>
                    <a:prstGeom prst="rect">
                      <a:avLst/>
                    </a:prstGeom>
                    <a:noFill/>
                    <a:ln w="9525">
                      <a:noFill/>
                      <a:miter lim="800000"/>
                      <a:headEnd/>
                      <a:tailEnd/>
                    </a:ln>
                  </pic:spPr>
                </pic:pic>
              </a:graphicData>
            </a:graphic>
          </wp:inline>
        </w:drawing>
      </w:r>
    </w:p>
    <w:p w:rsidR="008A201B" w:rsidRPr="00F551E0" w:rsidRDefault="00167C20" w:rsidP="00931FFE">
      <w:pPr>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lastRenderedPageBreak/>
        <w:drawing>
          <wp:inline distT="0" distB="0" distL="0" distR="0">
            <wp:extent cx="5147310" cy="2867378"/>
            <wp:effectExtent l="19050" t="0" r="15240" b="9172"/>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51E0" w:rsidRPr="00F551E0" w:rsidRDefault="00931FFE" w:rsidP="00931FFE">
      <w:pPr>
        <w:bidi w:val="0"/>
        <w:snapToGrid w:val="0"/>
        <w:spacing w:after="0" w:line="240" w:lineRule="auto"/>
        <w:jc w:val="center"/>
        <w:rPr>
          <w:rFonts w:ascii="Times New Roman" w:hAnsi="Times New Roman" w:cs="Times New Roman"/>
          <w:sz w:val="20"/>
          <w:szCs w:val="20"/>
          <w:lang w:eastAsia="zh-CN" w:bidi="ar-EG"/>
        </w:rPr>
      </w:pPr>
      <w:r w:rsidRPr="00F551E0">
        <w:rPr>
          <w:rFonts w:ascii="Times New Roman" w:hAnsi="Times New Roman" w:cs="Times New Roman"/>
          <w:b/>
          <w:bCs/>
          <w:sz w:val="20"/>
          <w:szCs w:val="20"/>
        </w:rPr>
        <w:t>Diagram (</w:t>
      </w:r>
      <w:r>
        <w:rPr>
          <w:rFonts w:ascii="Times New Roman" w:hAnsi="Times New Roman" w:cs="Times New Roman" w:hint="eastAsia"/>
          <w:b/>
          <w:bCs/>
          <w:sz w:val="20"/>
          <w:szCs w:val="20"/>
          <w:lang w:eastAsia="zh-CN"/>
        </w:rPr>
        <w:t>2</w:t>
      </w:r>
      <w:r w:rsidRPr="00F551E0">
        <w:rPr>
          <w:rFonts w:ascii="Times New Roman" w:hAnsi="Times New Roman" w:cs="Times New Roman"/>
          <w:b/>
          <w:bCs/>
          <w:sz w:val="20"/>
          <w:szCs w:val="20"/>
        </w:rPr>
        <w:t>)</w:t>
      </w:r>
    </w:p>
    <w:p w:rsidR="00661FB6" w:rsidRPr="00F551E0" w:rsidRDefault="00661FB6" w:rsidP="00931FFE">
      <w:pPr>
        <w:bidi w:val="0"/>
        <w:snapToGrid w:val="0"/>
        <w:spacing w:after="0" w:line="240" w:lineRule="auto"/>
        <w:ind w:firstLine="425"/>
        <w:jc w:val="both"/>
        <w:rPr>
          <w:rFonts w:ascii="Times New Roman" w:hAnsi="Times New Roman" w:cs="Times New Roman"/>
          <w:sz w:val="20"/>
          <w:szCs w:val="20"/>
          <w:lang w:bidi="ar-EG"/>
        </w:rPr>
      </w:pPr>
    </w:p>
    <w:p w:rsidR="008A201B" w:rsidRPr="00F551E0" w:rsidRDefault="008A201B" w:rsidP="00931FFE">
      <w:pPr>
        <w:tabs>
          <w:tab w:val="left" w:pos="1165"/>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highlight w:val="lightGray"/>
          <w:lang w:eastAsia="zh-CN"/>
        </w:rPr>
        <w:drawing>
          <wp:inline distT="0" distB="0" distL="0" distR="0">
            <wp:extent cx="5356694" cy="4073940"/>
            <wp:effectExtent l="19050" t="0" r="15406" b="276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51E0" w:rsidRPr="00F551E0" w:rsidRDefault="00F551E0"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p>
    <w:p w:rsidR="00F551E0" w:rsidRPr="00F551E0" w:rsidRDefault="00F551E0" w:rsidP="00931FFE">
      <w:pPr>
        <w:tabs>
          <w:tab w:val="left" w:pos="977"/>
        </w:tabs>
        <w:bidi w:val="0"/>
        <w:snapToGrid w:val="0"/>
        <w:spacing w:after="0" w:line="240" w:lineRule="auto"/>
        <w:ind w:firstLine="425"/>
        <w:jc w:val="both"/>
        <w:rPr>
          <w:rFonts w:ascii="Times New Roman" w:hAnsi="Times New Roman" w:cs="Times New Roman"/>
          <w:sz w:val="20"/>
          <w:szCs w:val="20"/>
          <w:lang w:bidi="ar-EG"/>
        </w:rPr>
        <w:sectPr w:rsidR="00F551E0" w:rsidRPr="00F551E0" w:rsidSect="00F551E0">
          <w:headerReference w:type="default" r:id="rId19"/>
          <w:type w:val="continuous"/>
          <w:pgSz w:w="12240" w:h="15840" w:code="1"/>
          <w:pgMar w:top="1440" w:right="1440" w:bottom="1440" w:left="1440" w:header="720" w:footer="720" w:gutter="0"/>
          <w:cols w:space="708"/>
          <w:docGrid w:linePitch="360"/>
        </w:sectPr>
      </w:pPr>
    </w:p>
    <w:p w:rsidR="00931FFE" w:rsidRDefault="004C4E07" w:rsidP="00931FFE">
      <w:pPr>
        <w:tabs>
          <w:tab w:val="left" w:pos="977"/>
        </w:tabs>
        <w:bidi w:val="0"/>
        <w:snapToGrid w:val="0"/>
        <w:spacing w:after="0" w:line="240" w:lineRule="auto"/>
        <w:jc w:val="both"/>
        <w:rPr>
          <w:rFonts w:ascii="Times New Roman" w:hAnsi="Times New Roman" w:cs="Times New Roman"/>
          <w:b/>
          <w:bCs/>
          <w:sz w:val="20"/>
          <w:szCs w:val="20"/>
        </w:rPr>
      </w:pPr>
      <w:r w:rsidRPr="00F551E0">
        <w:rPr>
          <w:rFonts w:ascii="Times New Roman" w:hAnsi="Times New Roman" w:cs="Times New Roman"/>
          <w:b/>
          <w:bCs/>
          <w:sz w:val="20"/>
          <w:szCs w:val="20"/>
        </w:rPr>
        <w:lastRenderedPageBreak/>
        <w:t>Diagram (3): Distribution of Pathological Tumor Response rate for those who had Clinical Complete Tumor Response (cCR) among both study groups:</w:t>
      </w:r>
    </w:p>
    <w:p w:rsidR="00931FFE" w:rsidRDefault="00931FFE">
      <w:pPr>
        <w:bidi w:val="0"/>
        <w:rPr>
          <w:rFonts w:ascii="Times New Roman" w:hAnsi="Times New Roman" w:cs="Times New Roman"/>
          <w:b/>
          <w:bCs/>
          <w:sz w:val="20"/>
          <w:szCs w:val="20"/>
        </w:rPr>
      </w:pPr>
      <w:r>
        <w:rPr>
          <w:rFonts w:ascii="Times New Roman" w:hAnsi="Times New Roman" w:cs="Times New Roman"/>
          <w:b/>
          <w:bCs/>
          <w:sz w:val="20"/>
          <w:szCs w:val="20"/>
        </w:rPr>
        <w:br w:type="page"/>
      </w:r>
    </w:p>
    <w:p w:rsidR="00F551E0" w:rsidRPr="00F551E0" w:rsidRDefault="00F551E0" w:rsidP="00931FFE">
      <w:pPr>
        <w:tabs>
          <w:tab w:val="left" w:pos="977"/>
        </w:tabs>
        <w:bidi w:val="0"/>
        <w:snapToGrid w:val="0"/>
        <w:spacing w:after="0" w:line="240" w:lineRule="auto"/>
        <w:ind w:firstLine="425"/>
        <w:jc w:val="both"/>
        <w:rPr>
          <w:rFonts w:ascii="Times New Roman" w:hAnsi="Times New Roman" w:cs="Times New Roman"/>
          <w:sz w:val="20"/>
          <w:szCs w:val="20"/>
          <w:lang w:bidi="ar-EG"/>
        </w:rPr>
        <w:sectPr w:rsidR="00F551E0" w:rsidRPr="00F551E0" w:rsidSect="00F551E0">
          <w:headerReference w:type="default" r:id="rId20"/>
          <w:type w:val="continuous"/>
          <w:pgSz w:w="12240" w:h="15840" w:code="1"/>
          <w:pgMar w:top="1440" w:right="1440" w:bottom="1440" w:left="1440" w:header="720" w:footer="720" w:gutter="0"/>
          <w:cols w:space="708"/>
          <w:docGrid w:linePitch="360"/>
        </w:sectPr>
      </w:pPr>
    </w:p>
    <w:p w:rsidR="008A201B" w:rsidRPr="00F551E0" w:rsidRDefault="008A201B"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lastRenderedPageBreak/>
        <w:t>Diagram (</w:t>
      </w:r>
      <w:r w:rsidR="00661FB6" w:rsidRPr="00F551E0">
        <w:rPr>
          <w:rFonts w:ascii="Times New Roman" w:hAnsi="Times New Roman" w:cs="Times New Roman"/>
          <w:sz w:val="20"/>
          <w:szCs w:val="20"/>
          <w:lang w:bidi="ar-EG"/>
        </w:rPr>
        <w:t>3</w:t>
      </w:r>
      <w:r w:rsidRPr="00F551E0">
        <w:rPr>
          <w:rFonts w:ascii="Times New Roman" w:hAnsi="Times New Roman" w:cs="Times New Roman"/>
          <w:sz w:val="20"/>
          <w:szCs w:val="20"/>
          <w:lang w:bidi="ar-EG"/>
        </w:rPr>
        <w:t xml:space="preserve">) shows that the </w:t>
      </w:r>
      <w:r w:rsidRPr="00F551E0">
        <w:rPr>
          <w:rFonts w:ascii="Times New Roman" w:hAnsi="Times New Roman" w:cs="Times New Roman"/>
          <w:b/>
          <w:bCs/>
          <w:sz w:val="20"/>
          <w:szCs w:val="20"/>
          <w:lang w:bidi="ar-EG"/>
        </w:rPr>
        <w:t>Pathological Complete Tumor Response (pCR)</w:t>
      </w:r>
      <w:r w:rsidRPr="00F551E0">
        <w:rPr>
          <w:rFonts w:ascii="Times New Roman" w:hAnsi="Times New Roman" w:cs="Times New Roman"/>
          <w:sz w:val="20"/>
          <w:szCs w:val="20"/>
          <w:lang w:bidi="ar-EG"/>
        </w:rPr>
        <w:t xml:space="preserve"> </w:t>
      </w:r>
      <w:r w:rsidRPr="00F551E0">
        <w:rPr>
          <w:rFonts w:ascii="Times New Roman" w:hAnsi="Times New Roman" w:cs="Times New Roman"/>
          <w:b/>
          <w:bCs/>
          <w:sz w:val="20"/>
          <w:szCs w:val="20"/>
          <w:lang w:bidi="ar-EG"/>
        </w:rPr>
        <w:t>(No Residual Tumor + Pathologic Non Invasive Disease)</w:t>
      </w:r>
      <w:r w:rsidRPr="00F551E0">
        <w:rPr>
          <w:rFonts w:ascii="Times New Roman" w:hAnsi="Times New Roman" w:cs="Times New Roman"/>
          <w:sz w:val="20"/>
          <w:szCs w:val="20"/>
          <w:lang w:bidi="ar-EG"/>
        </w:rPr>
        <w:t xml:space="preserve"> after doing Modified Radical Mastectomy for those who </w:t>
      </w:r>
      <w:r w:rsidRPr="00F551E0">
        <w:rPr>
          <w:rFonts w:ascii="Times New Roman" w:hAnsi="Times New Roman" w:cs="Times New Roman"/>
          <w:sz w:val="20"/>
          <w:szCs w:val="20"/>
          <w:lang w:bidi="ar-EG"/>
        </w:rPr>
        <w:lastRenderedPageBreak/>
        <w:t xml:space="preserve">had received </w:t>
      </w:r>
      <w:r w:rsidRPr="00F551E0">
        <w:rPr>
          <w:rFonts w:ascii="Times New Roman" w:hAnsi="Times New Roman" w:cs="Times New Roman"/>
          <w:b/>
          <w:bCs/>
          <w:sz w:val="20"/>
          <w:szCs w:val="20"/>
          <w:lang w:bidi="ar-EG"/>
        </w:rPr>
        <w:t>(Vinorelbine, Cisplatin)</w:t>
      </w:r>
      <w:r w:rsidRPr="00F551E0">
        <w:rPr>
          <w:rFonts w:ascii="Times New Roman" w:hAnsi="Times New Roman" w:cs="Times New Roman"/>
          <w:sz w:val="20"/>
          <w:szCs w:val="20"/>
          <w:lang w:bidi="ar-EG"/>
        </w:rPr>
        <w:t xml:space="preserve"> was superior to those who had received </w:t>
      </w:r>
      <w:r w:rsidRPr="00F551E0">
        <w:rPr>
          <w:rFonts w:ascii="Times New Roman" w:hAnsi="Times New Roman" w:cs="Times New Roman"/>
          <w:b/>
          <w:bCs/>
          <w:sz w:val="20"/>
          <w:szCs w:val="20"/>
          <w:lang w:bidi="ar-EG"/>
        </w:rPr>
        <w:t>(Docetaxel, Gemcitabine)</w:t>
      </w:r>
      <w:r w:rsidRPr="00F551E0">
        <w:rPr>
          <w:rFonts w:ascii="Times New Roman" w:hAnsi="Times New Roman" w:cs="Times New Roman"/>
          <w:sz w:val="20"/>
          <w:szCs w:val="20"/>
          <w:lang w:bidi="ar-EG"/>
        </w:rPr>
        <w:t>: (</w:t>
      </w:r>
      <w:r w:rsidRPr="00F551E0">
        <w:rPr>
          <w:rFonts w:ascii="Times New Roman" w:hAnsi="Times New Roman" w:cs="Times New Roman"/>
          <w:b/>
          <w:bCs/>
          <w:sz w:val="20"/>
          <w:szCs w:val="20"/>
          <w:lang w:bidi="ar-EG"/>
        </w:rPr>
        <w:t>17.77%</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b/>
          <w:bCs/>
          <w:sz w:val="20"/>
          <w:szCs w:val="20"/>
          <w:lang w:bidi="ar-EG"/>
        </w:rPr>
        <w:t>8.88%</w:t>
      </w:r>
      <w:r w:rsidRPr="00F551E0">
        <w:rPr>
          <w:rFonts w:ascii="Times New Roman" w:hAnsi="Times New Roman" w:cs="Times New Roman"/>
          <w:sz w:val="20"/>
          <w:szCs w:val="20"/>
          <w:lang w:bidi="ar-EG"/>
        </w:rPr>
        <w:t xml:space="preserve"> respectively) with significant statistical difference. </w:t>
      </w:r>
    </w:p>
    <w:p w:rsidR="00F551E0" w:rsidRPr="00F551E0" w:rsidRDefault="00F551E0" w:rsidP="00931FFE">
      <w:pPr>
        <w:tabs>
          <w:tab w:val="left" w:pos="1165"/>
        </w:tabs>
        <w:bidi w:val="0"/>
        <w:snapToGrid w:val="0"/>
        <w:spacing w:after="0" w:line="240" w:lineRule="auto"/>
        <w:ind w:firstLine="425"/>
        <w:jc w:val="both"/>
        <w:rPr>
          <w:rFonts w:ascii="Times New Roman" w:hAnsi="Times New Roman" w:cs="Times New Roman"/>
          <w:sz w:val="20"/>
          <w:szCs w:val="20"/>
          <w:lang w:bidi="ar-EG"/>
        </w:rPr>
        <w:sectPr w:rsidR="00F551E0" w:rsidRPr="00F551E0" w:rsidSect="00931FFE">
          <w:headerReference w:type="default" r:id="rId21"/>
          <w:type w:val="continuous"/>
          <w:pgSz w:w="12240" w:h="15840" w:code="1"/>
          <w:pgMar w:top="1440" w:right="1440" w:bottom="1440" w:left="1440" w:header="720" w:footer="720" w:gutter="0"/>
          <w:cols w:num="2" w:space="550"/>
          <w:docGrid w:linePitch="360"/>
        </w:sectPr>
      </w:pPr>
    </w:p>
    <w:p w:rsidR="008A201B" w:rsidRPr="00F551E0" w:rsidRDefault="008A201B" w:rsidP="00931FFE">
      <w:pPr>
        <w:tabs>
          <w:tab w:val="left" w:pos="1165"/>
        </w:tabs>
        <w:bidi w:val="0"/>
        <w:snapToGrid w:val="0"/>
        <w:spacing w:after="0" w:line="240" w:lineRule="auto"/>
        <w:ind w:firstLine="425"/>
        <w:jc w:val="both"/>
        <w:rPr>
          <w:rFonts w:ascii="Times New Roman" w:hAnsi="Times New Roman" w:cs="Times New Roman"/>
          <w:sz w:val="20"/>
          <w:szCs w:val="20"/>
          <w:lang w:bidi="ar-EG"/>
        </w:rPr>
      </w:pPr>
    </w:p>
    <w:p w:rsidR="008A201B" w:rsidRPr="00F551E0" w:rsidRDefault="004C4E07" w:rsidP="00931FFE">
      <w:pPr>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drawing>
          <wp:inline distT="0" distB="0" distL="0" distR="0">
            <wp:extent cx="4505574" cy="3124863"/>
            <wp:effectExtent l="19050" t="0" r="927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515907" cy="3132030"/>
                    </a:xfrm>
                    <a:prstGeom prst="rect">
                      <a:avLst/>
                    </a:prstGeom>
                    <a:noFill/>
                    <a:ln w="9525">
                      <a:noFill/>
                      <a:miter lim="800000"/>
                      <a:headEnd/>
                      <a:tailEnd/>
                    </a:ln>
                  </pic:spPr>
                </pic:pic>
              </a:graphicData>
            </a:graphic>
          </wp:inline>
        </w:drawing>
      </w:r>
    </w:p>
    <w:p w:rsidR="008A201B" w:rsidRPr="00F551E0" w:rsidRDefault="00931FFE" w:rsidP="00931FFE">
      <w:pPr>
        <w:tabs>
          <w:tab w:val="left" w:pos="7425"/>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sz w:val="20"/>
          <w:szCs w:val="20"/>
          <w:lang w:bidi="ar-EG"/>
        </w:rPr>
        <w:t>Diagram (4)</w:t>
      </w:r>
    </w:p>
    <w:p w:rsidR="00F551E0" w:rsidRPr="00F551E0" w:rsidRDefault="00F551E0" w:rsidP="00931FFE">
      <w:pPr>
        <w:bidi w:val="0"/>
        <w:snapToGrid w:val="0"/>
        <w:spacing w:after="0" w:line="240" w:lineRule="auto"/>
        <w:ind w:firstLine="425"/>
        <w:jc w:val="both"/>
        <w:rPr>
          <w:rFonts w:ascii="Times New Roman" w:hAnsi="Times New Roman" w:cs="Times New Roman"/>
          <w:sz w:val="20"/>
          <w:szCs w:val="20"/>
          <w:lang w:bidi="ar-EG"/>
        </w:rPr>
      </w:pPr>
    </w:p>
    <w:p w:rsidR="00F551E0" w:rsidRPr="00F551E0" w:rsidRDefault="00F551E0" w:rsidP="00931FFE">
      <w:pPr>
        <w:bidi w:val="0"/>
        <w:snapToGrid w:val="0"/>
        <w:spacing w:after="0" w:line="240" w:lineRule="auto"/>
        <w:ind w:firstLine="425"/>
        <w:jc w:val="both"/>
        <w:rPr>
          <w:rFonts w:ascii="Times New Roman" w:hAnsi="Times New Roman" w:cs="Times New Roman"/>
          <w:sz w:val="20"/>
          <w:szCs w:val="20"/>
          <w:lang w:bidi="ar-EG"/>
        </w:rPr>
        <w:sectPr w:rsidR="00F551E0" w:rsidRPr="00F551E0" w:rsidSect="00F551E0">
          <w:headerReference w:type="default" r:id="rId23"/>
          <w:type w:val="continuous"/>
          <w:pgSz w:w="12240" w:h="15840" w:code="1"/>
          <w:pgMar w:top="1440" w:right="1440" w:bottom="1440" w:left="1440" w:header="720" w:footer="720" w:gutter="0"/>
          <w:cols w:space="708"/>
          <w:docGrid w:linePitch="360"/>
        </w:sectPr>
      </w:pPr>
    </w:p>
    <w:p w:rsidR="008A201B" w:rsidRPr="00F551E0" w:rsidRDefault="008A201B" w:rsidP="00931FFE">
      <w:pPr>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lastRenderedPageBreak/>
        <w:t>Diagram (</w:t>
      </w:r>
      <w:r w:rsidR="00661FB6" w:rsidRPr="00F551E0">
        <w:rPr>
          <w:rFonts w:ascii="Times New Roman" w:hAnsi="Times New Roman" w:cs="Times New Roman"/>
          <w:sz w:val="20"/>
          <w:szCs w:val="20"/>
          <w:lang w:bidi="ar-EG"/>
        </w:rPr>
        <w:t>4</w:t>
      </w:r>
      <w:r w:rsidRPr="00F551E0">
        <w:rPr>
          <w:rFonts w:ascii="Times New Roman" w:hAnsi="Times New Roman" w:cs="Times New Roman"/>
          <w:sz w:val="20"/>
          <w:szCs w:val="20"/>
          <w:lang w:bidi="ar-EG"/>
        </w:rPr>
        <w:t xml:space="preserve">) shows that the </w:t>
      </w:r>
      <w:r w:rsidRPr="00F551E0">
        <w:rPr>
          <w:rFonts w:ascii="Times New Roman" w:hAnsi="Times New Roman" w:cs="Times New Roman"/>
          <w:b/>
          <w:bCs/>
          <w:sz w:val="20"/>
          <w:szCs w:val="20"/>
          <w:lang w:bidi="ar-EG"/>
        </w:rPr>
        <w:t xml:space="preserve">Pathological Complete Nodal Response (pCR) </w:t>
      </w:r>
      <w:r w:rsidRPr="00F551E0">
        <w:rPr>
          <w:rFonts w:ascii="Times New Roman" w:hAnsi="Times New Roman" w:cs="Times New Roman"/>
          <w:sz w:val="20"/>
          <w:szCs w:val="20"/>
          <w:lang w:bidi="ar-EG"/>
        </w:rPr>
        <w:t xml:space="preserve">for those who had </w:t>
      </w:r>
      <w:r w:rsidRPr="00F551E0">
        <w:rPr>
          <w:rFonts w:ascii="Times New Roman" w:hAnsi="Times New Roman" w:cs="Times New Roman"/>
          <w:b/>
          <w:bCs/>
          <w:sz w:val="20"/>
          <w:szCs w:val="20"/>
          <w:lang w:bidi="ar-EG"/>
        </w:rPr>
        <w:t xml:space="preserve">Clinical Complete Nodal Response </w:t>
      </w:r>
      <w:r w:rsidRPr="00F551E0">
        <w:rPr>
          <w:rFonts w:ascii="Times New Roman" w:hAnsi="Times New Roman" w:cs="Times New Roman"/>
          <w:sz w:val="20"/>
          <w:szCs w:val="20"/>
          <w:lang w:bidi="ar-EG"/>
        </w:rPr>
        <w:t>after having</w:t>
      </w:r>
      <w:r w:rsidRPr="00F551E0">
        <w:rPr>
          <w:rFonts w:ascii="Times New Roman" w:hAnsi="Times New Roman" w:cs="Times New Roman"/>
          <w:b/>
          <w:bCs/>
          <w:sz w:val="20"/>
          <w:szCs w:val="20"/>
          <w:lang w:bidi="ar-EG"/>
        </w:rPr>
        <w:t xml:space="preserve"> </w:t>
      </w:r>
      <w:r w:rsidRPr="00F551E0">
        <w:rPr>
          <w:rFonts w:ascii="Times New Roman" w:hAnsi="Times New Roman" w:cs="Times New Roman"/>
          <w:b/>
          <w:bCs/>
          <w:sz w:val="20"/>
          <w:szCs w:val="20"/>
          <w:lang w:bidi="ar-EG"/>
        </w:rPr>
        <w:lastRenderedPageBreak/>
        <w:t xml:space="preserve">(Vinorelbine, Cisplatin) </w:t>
      </w:r>
      <w:r w:rsidRPr="00F551E0">
        <w:rPr>
          <w:rFonts w:ascii="Times New Roman" w:hAnsi="Times New Roman" w:cs="Times New Roman"/>
          <w:sz w:val="20"/>
          <w:szCs w:val="20"/>
          <w:lang w:bidi="ar-EG"/>
        </w:rPr>
        <w:t>regimen</w:t>
      </w:r>
      <w:r w:rsidRPr="00F551E0">
        <w:rPr>
          <w:rFonts w:ascii="Times New Roman" w:hAnsi="Times New Roman" w:cs="Times New Roman"/>
          <w:b/>
          <w:bCs/>
          <w:sz w:val="20"/>
          <w:szCs w:val="20"/>
          <w:lang w:bidi="ar-EG"/>
        </w:rPr>
        <w:t xml:space="preserve"> </w:t>
      </w:r>
      <w:r w:rsidRPr="00F551E0">
        <w:rPr>
          <w:rFonts w:ascii="Times New Roman" w:hAnsi="Times New Roman" w:cs="Times New Roman"/>
          <w:sz w:val="20"/>
          <w:szCs w:val="20"/>
          <w:lang w:bidi="ar-EG"/>
        </w:rPr>
        <w:t xml:space="preserve">was </w:t>
      </w:r>
      <w:r w:rsidRPr="00F551E0">
        <w:rPr>
          <w:rFonts w:ascii="Times New Roman" w:hAnsi="Times New Roman" w:cs="Times New Roman"/>
          <w:b/>
          <w:bCs/>
          <w:sz w:val="20"/>
          <w:szCs w:val="20"/>
          <w:lang w:bidi="ar-EG"/>
        </w:rPr>
        <w:t xml:space="preserve">36.84% </w:t>
      </w:r>
      <w:r w:rsidRPr="00F551E0">
        <w:rPr>
          <w:rFonts w:ascii="Times New Roman" w:hAnsi="Times New Roman" w:cs="Times New Roman"/>
          <w:sz w:val="20"/>
          <w:szCs w:val="20"/>
          <w:lang w:bidi="ar-EG"/>
        </w:rPr>
        <w:t>with significant statistical difference.</w:t>
      </w:r>
    </w:p>
    <w:p w:rsidR="00F551E0" w:rsidRPr="00F551E0" w:rsidRDefault="00F551E0" w:rsidP="00931FFE">
      <w:pPr>
        <w:tabs>
          <w:tab w:val="left" w:pos="1640"/>
        </w:tabs>
        <w:bidi w:val="0"/>
        <w:snapToGrid w:val="0"/>
        <w:spacing w:after="0" w:line="240" w:lineRule="auto"/>
        <w:ind w:firstLine="425"/>
        <w:jc w:val="both"/>
        <w:rPr>
          <w:rFonts w:ascii="Times New Roman" w:hAnsi="Times New Roman" w:cs="Times New Roman"/>
          <w:sz w:val="20"/>
          <w:szCs w:val="20"/>
          <w:lang w:bidi="ar-EG"/>
        </w:rPr>
        <w:sectPr w:rsidR="00F551E0" w:rsidRPr="00F551E0" w:rsidSect="00931FFE">
          <w:headerReference w:type="default" r:id="rId24"/>
          <w:type w:val="continuous"/>
          <w:pgSz w:w="12240" w:h="15840" w:code="1"/>
          <w:pgMar w:top="1440" w:right="1440" w:bottom="1440" w:left="1440" w:header="720" w:footer="720" w:gutter="0"/>
          <w:cols w:num="2" w:space="550"/>
          <w:docGrid w:linePitch="360"/>
        </w:sectPr>
      </w:pPr>
    </w:p>
    <w:p w:rsidR="008A201B" w:rsidRPr="00F551E0" w:rsidRDefault="008A201B" w:rsidP="00931FFE">
      <w:pPr>
        <w:tabs>
          <w:tab w:val="left" w:pos="1640"/>
        </w:tabs>
        <w:bidi w:val="0"/>
        <w:snapToGrid w:val="0"/>
        <w:spacing w:after="0" w:line="240" w:lineRule="auto"/>
        <w:ind w:firstLine="425"/>
        <w:jc w:val="both"/>
        <w:rPr>
          <w:rFonts w:ascii="Times New Roman" w:hAnsi="Times New Roman" w:cs="Times New Roman"/>
          <w:sz w:val="20"/>
          <w:szCs w:val="20"/>
          <w:lang w:bidi="ar-EG"/>
        </w:rPr>
      </w:pPr>
    </w:p>
    <w:p w:rsidR="008A201B" w:rsidRPr="00F551E0" w:rsidRDefault="004C4E07" w:rsidP="00931FFE">
      <w:pPr>
        <w:tabs>
          <w:tab w:val="left" w:pos="1165"/>
        </w:tabs>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drawing>
          <wp:inline distT="0" distB="0" distL="0" distR="0">
            <wp:extent cx="4672220" cy="299764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688667" cy="3008193"/>
                    </a:xfrm>
                    <a:prstGeom prst="rect">
                      <a:avLst/>
                    </a:prstGeom>
                    <a:noFill/>
                    <a:ln w="9525">
                      <a:noFill/>
                      <a:miter lim="800000"/>
                      <a:headEnd/>
                      <a:tailEnd/>
                    </a:ln>
                  </pic:spPr>
                </pic:pic>
              </a:graphicData>
            </a:graphic>
          </wp:inline>
        </w:drawing>
      </w:r>
    </w:p>
    <w:p w:rsidR="008A201B" w:rsidRPr="00F551E0" w:rsidRDefault="008A201B" w:rsidP="00931FFE">
      <w:pPr>
        <w:bidi w:val="0"/>
        <w:snapToGrid w:val="0"/>
        <w:spacing w:after="0" w:line="240" w:lineRule="auto"/>
        <w:jc w:val="both"/>
        <w:rPr>
          <w:rFonts w:ascii="Times New Roman" w:hAnsi="Times New Roman" w:cs="Times New Roman"/>
          <w:sz w:val="20"/>
          <w:szCs w:val="20"/>
          <w:lang w:bidi="ar-EG"/>
        </w:rPr>
      </w:pPr>
      <w:r w:rsidRPr="00F551E0">
        <w:rPr>
          <w:rFonts w:ascii="Times New Roman" w:hAnsi="Times New Roman" w:cs="Times New Roman"/>
          <w:sz w:val="20"/>
          <w:szCs w:val="20"/>
          <w:lang w:bidi="ar-EG"/>
        </w:rPr>
        <w:t>Diagram (</w:t>
      </w:r>
      <w:r w:rsidR="00661FB6" w:rsidRPr="00F551E0">
        <w:rPr>
          <w:rFonts w:ascii="Times New Roman" w:hAnsi="Times New Roman" w:cs="Times New Roman"/>
          <w:sz w:val="20"/>
          <w:szCs w:val="20"/>
          <w:lang w:bidi="ar-EG"/>
        </w:rPr>
        <w:t>5</w:t>
      </w:r>
      <w:r w:rsidRPr="00F551E0">
        <w:rPr>
          <w:rFonts w:ascii="Times New Roman" w:hAnsi="Times New Roman" w:cs="Times New Roman"/>
          <w:sz w:val="20"/>
          <w:szCs w:val="20"/>
          <w:lang w:bidi="ar-EG"/>
        </w:rPr>
        <w:t>)</w:t>
      </w:r>
      <w:r w:rsidR="00931FFE">
        <w:rPr>
          <w:rFonts w:ascii="Times New Roman" w:hAnsi="Times New Roman" w:cs="Times New Roman" w:hint="eastAsia"/>
          <w:sz w:val="20"/>
          <w:szCs w:val="20"/>
          <w:lang w:eastAsia="zh-CN" w:bidi="ar-EG"/>
        </w:rPr>
        <w:t xml:space="preserve">: </w:t>
      </w:r>
      <w:r w:rsidRPr="00F551E0">
        <w:rPr>
          <w:rFonts w:ascii="Times New Roman" w:hAnsi="Times New Roman" w:cs="Times New Roman"/>
          <w:b/>
          <w:bCs/>
          <w:sz w:val="20"/>
          <w:szCs w:val="20"/>
          <w:lang w:bidi="ar-EG"/>
        </w:rPr>
        <w:t>Pathological Complete Nodal Response (pCR)</w:t>
      </w:r>
      <w:r w:rsidRPr="00F551E0">
        <w:rPr>
          <w:rFonts w:ascii="Times New Roman" w:hAnsi="Times New Roman" w:cs="Times New Roman"/>
          <w:sz w:val="20"/>
          <w:szCs w:val="20"/>
          <w:lang w:bidi="ar-EG"/>
        </w:rPr>
        <w:t xml:space="preserve"> for those who had </w:t>
      </w:r>
      <w:r w:rsidRPr="00F551E0">
        <w:rPr>
          <w:rFonts w:ascii="Times New Roman" w:hAnsi="Times New Roman" w:cs="Times New Roman"/>
          <w:b/>
          <w:bCs/>
          <w:sz w:val="20"/>
          <w:szCs w:val="20"/>
          <w:lang w:bidi="ar-EG"/>
        </w:rPr>
        <w:t xml:space="preserve">Clinical Complete Nodal Response </w:t>
      </w:r>
      <w:r w:rsidRPr="00F551E0">
        <w:rPr>
          <w:rFonts w:ascii="Times New Roman" w:hAnsi="Times New Roman" w:cs="Times New Roman"/>
          <w:sz w:val="20"/>
          <w:szCs w:val="20"/>
          <w:lang w:bidi="ar-EG"/>
        </w:rPr>
        <w:t>after having</w:t>
      </w:r>
      <w:r w:rsidRPr="00F551E0">
        <w:rPr>
          <w:rFonts w:ascii="Times New Roman" w:hAnsi="Times New Roman" w:cs="Times New Roman"/>
          <w:b/>
          <w:bCs/>
          <w:sz w:val="20"/>
          <w:szCs w:val="20"/>
          <w:lang w:bidi="ar-EG"/>
        </w:rPr>
        <w:t xml:space="preserve"> (Docetaxel, Gemcitabine) </w:t>
      </w:r>
      <w:r w:rsidRPr="00F551E0">
        <w:rPr>
          <w:rFonts w:ascii="Times New Roman" w:hAnsi="Times New Roman" w:cs="Times New Roman"/>
          <w:sz w:val="20"/>
          <w:szCs w:val="20"/>
          <w:lang w:bidi="ar-EG"/>
        </w:rPr>
        <w:t>regimen</w:t>
      </w:r>
      <w:r w:rsidRPr="00F551E0">
        <w:rPr>
          <w:rFonts w:ascii="Times New Roman" w:hAnsi="Times New Roman" w:cs="Times New Roman"/>
          <w:b/>
          <w:bCs/>
          <w:sz w:val="20"/>
          <w:szCs w:val="20"/>
          <w:lang w:bidi="ar-EG"/>
        </w:rPr>
        <w:t xml:space="preserve"> </w:t>
      </w:r>
      <w:r w:rsidRPr="00F551E0">
        <w:rPr>
          <w:rFonts w:ascii="Times New Roman" w:hAnsi="Times New Roman" w:cs="Times New Roman"/>
          <w:sz w:val="20"/>
          <w:szCs w:val="20"/>
          <w:lang w:bidi="ar-EG"/>
        </w:rPr>
        <w:t xml:space="preserve">was </w:t>
      </w:r>
      <w:r w:rsidRPr="00F551E0">
        <w:rPr>
          <w:rFonts w:ascii="Times New Roman" w:hAnsi="Times New Roman" w:cs="Times New Roman"/>
          <w:b/>
          <w:bCs/>
          <w:sz w:val="20"/>
          <w:szCs w:val="20"/>
          <w:lang w:bidi="ar-EG"/>
        </w:rPr>
        <w:t xml:space="preserve">47.82% </w:t>
      </w:r>
      <w:r w:rsidRPr="00F551E0">
        <w:rPr>
          <w:rFonts w:ascii="Times New Roman" w:hAnsi="Times New Roman" w:cs="Times New Roman"/>
          <w:sz w:val="20"/>
          <w:szCs w:val="20"/>
          <w:lang w:bidi="ar-EG"/>
        </w:rPr>
        <w:t>with significant statistical difference.</w:t>
      </w:r>
    </w:p>
    <w:p w:rsidR="008A201B" w:rsidRPr="00F551E0" w:rsidRDefault="008A201B" w:rsidP="00931FFE">
      <w:pPr>
        <w:bidi w:val="0"/>
        <w:snapToGrid w:val="0"/>
        <w:spacing w:after="0" w:line="240" w:lineRule="auto"/>
        <w:ind w:firstLine="425"/>
        <w:jc w:val="both"/>
        <w:rPr>
          <w:rFonts w:ascii="Times New Roman" w:hAnsi="Times New Roman" w:cs="Times New Roman"/>
          <w:sz w:val="20"/>
          <w:szCs w:val="20"/>
          <w:lang w:bidi="ar-EG"/>
        </w:rPr>
      </w:pPr>
    </w:p>
    <w:p w:rsidR="004C4E07" w:rsidRPr="00F551E0" w:rsidRDefault="004C4E07" w:rsidP="00931FFE">
      <w:pPr>
        <w:bidi w:val="0"/>
        <w:snapToGrid w:val="0"/>
        <w:spacing w:after="0" w:line="240" w:lineRule="auto"/>
        <w:jc w:val="center"/>
        <w:rPr>
          <w:rFonts w:ascii="Times New Roman" w:hAnsi="Times New Roman" w:cs="Times New Roman"/>
          <w:sz w:val="20"/>
          <w:szCs w:val="20"/>
          <w:lang w:bidi="ar-EG"/>
        </w:rPr>
      </w:pPr>
      <w:r w:rsidRPr="00F551E0">
        <w:rPr>
          <w:rFonts w:ascii="Times New Roman" w:hAnsi="Times New Roman" w:cs="Times New Roman"/>
          <w:noProof/>
          <w:sz w:val="20"/>
          <w:szCs w:val="20"/>
          <w:lang w:eastAsia="zh-CN"/>
        </w:rPr>
        <w:lastRenderedPageBreak/>
        <w:drawing>
          <wp:inline distT="0" distB="0" distL="0" distR="0">
            <wp:extent cx="4290557" cy="90256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4300091" cy="904567"/>
                    </a:xfrm>
                    <a:prstGeom prst="rect">
                      <a:avLst/>
                    </a:prstGeom>
                    <a:noFill/>
                    <a:ln w="9525">
                      <a:noFill/>
                      <a:miter lim="800000"/>
                      <a:headEnd/>
                      <a:tailEnd/>
                    </a:ln>
                  </pic:spPr>
                </pic:pic>
              </a:graphicData>
            </a:graphic>
          </wp:inline>
        </w:drawing>
      </w:r>
    </w:p>
    <w:p w:rsidR="004C4E07" w:rsidRPr="00F551E0" w:rsidRDefault="004C4E07" w:rsidP="00931FFE">
      <w:pPr>
        <w:bidi w:val="0"/>
        <w:snapToGrid w:val="0"/>
        <w:spacing w:after="0" w:line="240" w:lineRule="auto"/>
        <w:jc w:val="center"/>
        <w:rPr>
          <w:rFonts w:ascii="Times New Roman" w:hAnsi="Times New Roman" w:cs="Times New Roman"/>
          <w:sz w:val="20"/>
          <w:szCs w:val="20"/>
          <w:lang w:bidi="ar-EG"/>
        </w:rPr>
      </w:pPr>
    </w:p>
    <w:p w:rsidR="00167C20" w:rsidRPr="00F551E0" w:rsidRDefault="00167C20" w:rsidP="00931FFE">
      <w:pPr>
        <w:bidi w:val="0"/>
        <w:snapToGrid w:val="0"/>
        <w:spacing w:after="0" w:line="240" w:lineRule="auto"/>
        <w:jc w:val="center"/>
        <w:rPr>
          <w:rFonts w:ascii="Times New Roman" w:hAnsi="Times New Roman" w:cs="Times New Roman"/>
          <w:sz w:val="20"/>
          <w:szCs w:val="18"/>
          <w:lang w:bidi="ar-EG"/>
        </w:rPr>
      </w:pPr>
      <w:r w:rsidRPr="00F551E0">
        <w:rPr>
          <w:rFonts w:ascii="Times New Roman" w:hAnsi="Times New Roman" w:cs="Times New Roman"/>
          <w:b/>
          <w:bCs/>
          <w:sz w:val="20"/>
          <w:szCs w:val="18"/>
        </w:rPr>
        <w:t xml:space="preserve">Table (1): </w:t>
      </w:r>
      <w:r w:rsidRPr="00F551E0">
        <w:rPr>
          <w:rFonts w:ascii="Times New Roman" w:hAnsi="Times New Roman" w:cs="Times New Roman"/>
          <w:b/>
          <w:bCs/>
          <w:sz w:val="20"/>
          <w:szCs w:val="18"/>
          <w:u w:val="single"/>
        </w:rPr>
        <w:t>Toxicity Profile among both study groups:</w:t>
      </w:r>
    </w:p>
    <w:tbl>
      <w:tblPr>
        <w:tblStyle w:val="LightGrid-Accent11"/>
        <w:tblW w:w="0" w:type="auto"/>
        <w:jc w:val="center"/>
        <w:tblCellMar>
          <w:left w:w="57" w:type="dxa"/>
          <w:right w:w="57" w:type="dxa"/>
        </w:tblCellMar>
        <w:tblLook w:val="04A0"/>
      </w:tblPr>
      <w:tblGrid>
        <w:gridCol w:w="1564"/>
        <w:gridCol w:w="1895"/>
        <w:gridCol w:w="990"/>
        <w:gridCol w:w="1762"/>
        <w:gridCol w:w="335"/>
        <w:gridCol w:w="335"/>
        <w:gridCol w:w="555"/>
        <w:gridCol w:w="1319"/>
        <w:gridCol w:w="719"/>
      </w:tblGrid>
      <w:tr w:rsidR="00F551E0" w:rsidRPr="00931FFE" w:rsidTr="00931FFE">
        <w:trPr>
          <w:cnfStyle w:val="100000000000"/>
          <w:jc w:val="center"/>
        </w:trPr>
        <w:tc>
          <w:tcPr>
            <w:cnfStyle w:val="001000000000"/>
            <w:tcW w:w="0" w:type="auto"/>
            <w:shd w:val="clear" w:color="auto" w:fill="8064A2" w:themeFill="accent4"/>
            <w:vAlign w:val="center"/>
          </w:tcPr>
          <w:p w:rsidR="00167C20" w:rsidRPr="00931FFE" w:rsidRDefault="00167C20" w:rsidP="00931FFE">
            <w:pPr>
              <w:bidi w:val="0"/>
              <w:snapToGrid w:val="0"/>
              <w:jc w:val="both"/>
              <w:rPr>
                <w:rFonts w:ascii="Times New Roman" w:hAnsi="Times New Roman" w:cs="Times New Roman"/>
                <w:sz w:val="18"/>
                <w:szCs w:val="18"/>
              </w:rPr>
            </w:pPr>
          </w:p>
        </w:tc>
        <w:tc>
          <w:tcPr>
            <w:tcW w:w="0" w:type="auto"/>
            <w:gridSpan w:val="2"/>
            <w:shd w:val="clear" w:color="auto" w:fill="8064A2" w:themeFill="accent4"/>
            <w:vAlign w:val="center"/>
          </w:tcPr>
          <w:p w:rsidR="00167C20" w:rsidRPr="00931FFE" w:rsidRDefault="00167C20" w:rsidP="00931FFE">
            <w:pPr>
              <w:bidi w:val="0"/>
              <w:snapToGrid w:val="0"/>
              <w:jc w:val="both"/>
              <w:cnfStyle w:val="100000000000"/>
              <w:rPr>
                <w:rFonts w:ascii="Times New Roman" w:hAnsi="Times New Roman" w:cs="Times New Roman"/>
                <w:sz w:val="18"/>
                <w:szCs w:val="18"/>
              </w:rPr>
            </w:pPr>
          </w:p>
        </w:tc>
        <w:tc>
          <w:tcPr>
            <w:tcW w:w="0" w:type="auto"/>
            <w:gridSpan w:val="2"/>
            <w:shd w:val="clear" w:color="auto" w:fill="8064A2" w:themeFill="accent4"/>
            <w:vAlign w:val="center"/>
          </w:tcPr>
          <w:p w:rsidR="00167C20" w:rsidRPr="00931FFE" w:rsidRDefault="00167C20" w:rsidP="00931FFE">
            <w:pPr>
              <w:bidi w:val="0"/>
              <w:snapToGrid w:val="0"/>
              <w:jc w:val="both"/>
              <w:cnfStyle w:val="100000000000"/>
              <w:rPr>
                <w:rFonts w:ascii="Times New Roman" w:hAnsi="Times New Roman" w:cs="Times New Roman"/>
                <w:color w:val="F8F8F8"/>
                <w:sz w:val="18"/>
                <w:szCs w:val="18"/>
              </w:rPr>
            </w:pPr>
            <w:r w:rsidRPr="00931FFE">
              <w:rPr>
                <w:rFonts w:ascii="Times New Roman" w:hAnsi="Times New Roman" w:cs="Times New Roman"/>
                <w:color w:val="F8F8F8"/>
                <w:sz w:val="18"/>
                <w:szCs w:val="18"/>
              </w:rPr>
              <w:t>Vinorelbine, Cisplatin</w:t>
            </w:r>
          </w:p>
          <w:p w:rsidR="00167C20" w:rsidRPr="00931FFE" w:rsidRDefault="00167C20" w:rsidP="00931FFE">
            <w:pPr>
              <w:bidi w:val="0"/>
              <w:snapToGrid w:val="0"/>
              <w:jc w:val="both"/>
              <w:cnfStyle w:val="100000000000"/>
              <w:rPr>
                <w:rFonts w:ascii="Times New Roman" w:hAnsi="Times New Roman" w:cs="Times New Roman"/>
                <w:color w:val="F8F8F8"/>
                <w:sz w:val="18"/>
                <w:szCs w:val="18"/>
              </w:rPr>
            </w:pPr>
            <w:r w:rsidRPr="00931FFE">
              <w:rPr>
                <w:rFonts w:ascii="Times New Roman" w:hAnsi="Times New Roman" w:cs="Times New Roman"/>
                <w:color w:val="F8F8F8"/>
                <w:sz w:val="18"/>
                <w:szCs w:val="18"/>
              </w:rPr>
              <w:t>(n=66)</w:t>
            </w:r>
          </w:p>
        </w:tc>
        <w:tc>
          <w:tcPr>
            <w:tcW w:w="0" w:type="auto"/>
            <w:gridSpan w:val="3"/>
            <w:shd w:val="clear" w:color="auto" w:fill="8064A2" w:themeFill="accent4"/>
            <w:vAlign w:val="center"/>
          </w:tcPr>
          <w:p w:rsidR="00167C20" w:rsidRPr="00931FFE" w:rsidRDefault="00167C20" w:rsidP="00931FFE">
            <w:pPr>
              <w:bidi w:val="0"/>
              <w:snapToGrid w:val="0"/>
              <w:jc w:val="both"/>
              <w:cnfStyle w:val="100000000000"/>
              <w:rPr>
                <w:rFonts w:ascii="Times New Roman" w:hAnsi="Times New Roman" w:cs="Times New Roman"/>
                <w:color w:val="F8F8F8"/>
                <w:sz w:val="18"/>
                <w:szCs w:val="18"/>
              </w:rPr>
            </w:pPr>
            <w:r w:rsidRPr="00931FFE">
              <w:rPr>
                <w:rFonts w:ascii="Times New Roman" w:hAnsi="Times New Roman" w:cs="Times New Roman"/>
                <w:color w:val="F8F8F8"/>
                <w:sz w:val="18"/>
                <w:szCs w:val="18"/>
              </w:rPr>
              <w:t>Docetaxel, Gemcitabine</w:t>
            </w:r>
          </w:p>
          <w:p w:rsidR="00167C20" w:rsidRPr="00931FFE" w:rsidRDefault="00167C20" w:rsidP="00931FFE">
            <w:pPr>
              <w:bidi w:val="0"/>
              <w:snapToGrid w:val="0"/>
              <w:jc w:val="both"/>
              <w:cnfStyle w:val="100000000000"/>
              <w:rPr>
                <w:rFonts w:ascii="Times New Roman" w:hAnsi="Times New Roman" w:cs="Times New Roman"/>
                <w:color w:val="F8F8F8"/>
                <w:sz w:val="18"/>
                <w:szCs w:val="18"/>
              </w:rPr>
            </w:pPr>
            <w:r w:rsidRPr="00931FFE">
              <w:rPr>
                <w:rFonts w:ascii="Times New Roman" w:hAnsi="Times New Roman" w:cs="Times New Roman"/>
                <w:color w:val="F8F8F8"/>
                <w:sz w:val="18"/>
                <w:szCs w:val="18"/>
              </w:rPr>
              <w:t>(n=52)</w:t>
            </w:r>
          </w:p>
        </w:tc>
        <w:tc>
          <w:tcPr>
            <w:tcW w:w="0" w:type="auto"/>
            <w:shd w:val="clear" w:color="auto" w:fill="8064A2" w:themeFill="accent4"/>
            <w:vAlign w:val="center"/>
          </w:tcPr>
          <w:p w:rsidR="00167C20" w:rsidRPr="00931FFE" w:rsidRDefault="00167C20" w:rsidP="00931FFE">
            <w:pPr>
              <w:bidi w:val="0"/>
              <w:snapToGrid w:val="0"/>
              <w:jc w:val="both"/>
              <w:cnfStyle w:val="100000000000"/>
              <w:rPr>
                <w:rFonts w:ascii="Times New Roman" w:hAnsi="Times New Roman" w:cs="Times New Roman"/>
                <w:color w:val="F8F8F8"/>
                <w:sz w:val="18"/>
                <w:szCs w:val="18"/>
              </w:rPr>
            </w:pPr>
            <w:r w:rsidRPr="00931FFE">
              <w:rPr>
                <w:rFonts w:ascii="Times New Roman" w:hAnsi="Times New Roman" w:cs="Times New Roman"/>
                <w:color w:val="F8F8F8"/>
                <w:sz w:val="18"/>
                <w:szCs w:val="18"/>
              </w:rPr>
              <w:t>P-value</w:t>
            </w:r>
          </w:p>
        </w:tc>
      </w:tr>
      <w:tr w:rsidR="00F551E0" w:rsidRPr="00931FFE" w:rsidTr="00931FFE">
        <w:trPr>
          <w:cnfStyle w:val="000000100000"/>
          <w:jc w:val="center"/>
        </w:trPr>
        <w:tc>
          <w:tcPr>
            <w:cnfStyle w:val="001000000000"/>
            <w:tcW w:w="0" w:type="auto"/>
            <w:vMerge w:val="restart"/>
            <w:vAlign w:val="center"/>
          </w:tcPr>
          <w:p w:rsidR="00167C20" w:rsidRPr="00931FFE" w:rsidRDefault="00167C20" w:rsidP="00931FFE">
            <w:pPr>
              <w:bidi w:val="0"/>
              <w:snapToGrid w:val="0"/>
              <w:jc w:val="both"/>
              <w:rPr>
                <w:rFonts w:ascii="Times New Roman" w:hAnsi="Times New Roman" w:cs="Times New Roman"/>
                <w:sz w:val="18"/>
                <w:szCs w:val="18"/>
              </w:rPr>
            </w:pPr>
            <w:r w:rsidRPr="00931FFE">
              <w:rPr>
                <w:rFonts w:ascii="Times New Roman" w:hAnsi="Times New Roman" w:cs="Times New Roman"/>
                <w:sz w:val="18"/>
                <w:szCs w:val="18"/>
              </w:rPr>
              <w:t>Hematological</w:t>
            </w:r>
          </w:p>
          <w:p w:rsidR="00167C20" w:rsidRPr="00931FFE" w:rsidRDefault="00167C20" w:rsidP="00931FFE">
            <w:pPr>
              <w:bidi w:val="0"/>
              <w:snapToGrid w:val="0"/>
              <w:jc w:val="both"/>
              <w:rPr>
                <w:rFonts w:ascii="Times New Roman" w:hAnsi="Times New Roman" w:cs="Times New Roman"/>
                <w:sz w:val="18"/>
                <w:szCs w:val="18"/>
              </w:rPr>
            </w:pPr>
            <w:r w:rsidRPr="00931FFE">
              <w:rPr>
                <w:rFonts w:ascii="Times New Roman" w:hAnsi="Times New Roman" w:cs="Times New Roman"/>
                <w:sz w:val="18"/>
                <w:szCs w:val="18"/>
              </w:rPr>
              <w:t>Side effects</w:t>
            </w:r>
          </w:p>
        </w:tc>
        <w:tc>
          <w:tcPr>
            <w:tcW w:w="1895" w:type="dxa"/>
            <w:vMerge w:val="restart"/>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 xml:space="preserve">Anemia </w:t>
            </w: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10</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15.5%</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21</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40.38%</w:t>
            </w:r>
          </w:p>
        </w:tc>
        <w:tc>
          <w:tcPr>
            <w:tcW w:w="0" w:type="auto"/>
            <w:vMerge w:val="restart"/>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0.01*</w:t>
            </w: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sz w:val="18"/>
                <w:szCs w:val="18"/>
              </w:rPr>
            </w:pPr>
          </w:p>
        </w:tc>
        <w:tc>
          <w:tcPr>
            <w:tcW w:w="1895" w:type="dxa"/>
            <w:vMerge/>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2</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3.03%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1.91%</w:t>
            </w:r>
          </w:p>
        </w:tc>
        <w:tc>
          <w:tcPr>
            <w:tcW w:w="0" w:type="auto"/>
            <w:vMerge/>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sz w:val="18"/>
                <w:szCs w:val="18"/>
              </w:rPr>
            </w:pPr>
          </w:p>
        </w:tc>
        <w:tc>
          <w:tcPr>
            <w:tcW w:w="1895" w:type="dxa"/>
            <w:vMerge w:val="restart"/>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 xml:space="preserve">Neutropenia </w:t>
            </w: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7</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10.06%</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20</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38.4%</w:t>
            </w:r>
          </w:p>
        </w:tc>
        <w:tc>
          <w:tcPr>
            <w:tcW w:w="0" w:type="auto"/>
            <w:vMerge w:val="restart"/>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0.05*</w:t>
            </w: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sz w:val="18"/>
                <w:szCs w:val="18"/>
              </w:rPr>
            </w:pPr>
          </w:p>
        </w:tc>
        <w:tc>
          <w:tcPr>
            <w:tcW w:w="1895" w:type="dxa"/>
            <w:vMerge/>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2</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3.03%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11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21.1%</w:t>
            </w:r>
          </w:p>
        </w:tc>
        <w:tc>
          <w:tcPr>
            <w:tcW w:w="0" w:type="auto"/>
            <w:vMerge/>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sz w:val="18"/>
                <w:szCs w:val="18"/>
              </w:rPr>
            </w:pPr>
          </w:p>
        </w:tc>
        <w:tc>
          <w:tcPr>
            <w:tcW w:w="1895"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Low platelet</w:t>
            </w:r>
            <w:r w:rsidR="00594162" w:rsidRPr="00931FFE">
              <w:rPr>
                <w:rFonts w:ascii="Times New Roman" w:hAnsi="Times New Roman" w:cs="Times New Roman"/>
                <w:b/>
                <w:bCs/>
                <w:sz w:val="18"/>
                <w:szCs w:val="18"/>
              </w:rPr>
              <w:t xml:space="preserve"> </w:t>
            </w:r>
            <w:r w:rsidRPr="00931FFE">
              <w:rPr>
                <w:rFonts w:ascii="Times New Roman" w:hAnsi="Times New Roman" w:cs="Times New Roman"/>
                <w:b/>
                <w:bCs/>
                <w:sz w:val="18"/>
                <w:szCs w:val="18"/>
              </w:rPr>
              <w:t>count</w:t>
            </w: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5.7%</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0.2</w:t>
            </w:r>
            <w:r w:rsidR="00F551E0" w:rsidRPr="00931FFE">
              <w:rPr>
                <w:rFonts w:ascii="Times New Roman" w:hAnsi="Times New Roman" w:cs="Times New Roman"/>
                <w:b/>
                <w:bCs/>
                <w:sz w:val="18"/>
                <w:szCs w:val="18"/>
              </w:rPr>
              <w:t xml:space="preserve"> </w:t>
            </w:r>
            <w:r w:rsidRPr="00931FFE">
              <w:rPr>
                <w:rFonts w:ascii="Times New Roman" w:hAnsi="Times New Roman" w:cs="Times New Roman"/>
                <w:b/>
                <w:bCs/>
                <w:sz w:val="18"/>
                <w:szCs w:val="18"/>
              </w:rPr>
              <w:t>(NS)</w:t>
            </w:r>
          </w:p>
        </w:tc>
      </w:tr>
      <w:tr w:rsidR="00F551E0" w:rsidRPr="00931FFE" w:rsidTr="00931FFE">
        <w:trPr>
          <w:cnfStyle w:val="000000010000"/>
          <w:jc w:val="center"/>
        </w:trPr>
        <w:tc>
          <w:tcPr>
            <w:cnfStyle w:val="001000000000"/>
            <w:tcW w:w="0" w:type="auto"/>
            <w:vMerge w:val="restart"/>
            <w:vAlign w:val="center"/>
          </w:tcPr>
          <w:p w:rsidR="00167C20" w:rsidRPr="00931FFE" w:rsidRDefault="00167C20" w:rsidP="00931FFE">
            <w:pPr>
              <w:bidi w:val="0"/>
              <w:snapToGrid w:val="0"/>
              <w:jc w:val="both"/>
              <w:rPr>
                <w:rFonts w:ascii="Times New Roman" w:hAnsi="Times New Roman" w:cs="Times New Roman"/>
                <w:sz w:val="18"/>
                <w:szCs w:val="18"/>
              </w:rPr>
            </w:pPr>
            <w:r w:rsidRPr="00931FFE">
              <w:rPr>
                <w:rFonts w:ascii="Times New Roman" w:hAnsi="Times New Roman" w:cs="Times New Roman"/>
                <w:sz w:val="18"/>
                <w:szCs w:val="18"/>
              </w:rPr>
              <w:t>Non Hematological</w:t>
            </w:r>
          </w:p>
          <w:p w:rsidR="00167C20" w:rsidRPr="00931FFE" w:rsidRDefault="00167C20" w:rsidP="00931FFE">
            <w:pPr>
              <w:bidi w:val="0"/>
              <w:snapToGrid w:val="0"/>
              <w:jc w:val="both"/>
              <w:rPr>
                <w:rFonts w:ascii="Times New Roman" w:hAnsi="Times New Roman" w:cs="Times New Roman"/>
                <w:sz w:val="18"/>
                <w:szCs w:val="18"/>
              </w:rPr>
            </w:pPr>
            <w:r w:rsidRPr="00931FFE">
              <w:rPr>
                <w:rFonts w:ascii="Times New Roman" w:hAnsi="Times New Roman" w:cs="Times New Roman"/>
                <w:sz w:val="18"/>
                <w:szCs w:val="18"/>
              </w:rPr>
              <w:t>Side effects</w:t>
            </w:r>
          </w:p>
        </w:tc>
        <w:tc>
          <w:tcPr>
            <w:tcW w:w="1895" w:type="dxa"/>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Nausea</w:t>
            </w:r>
            <w:r w:rsidR="00F551E0" w:rsidRPr="00931FFE">
              <w:rPr>
                <w:rFonts w:ascii="Times New Roman" w:hAnsi="Times New Roman" w:cs="Times New Roman"/>
                <w:b/>
                <w:bCs/>
                <w:sz w:val="18"/>
                <w:szCs w:val="18"/>
              </w:rPr>
              <w:t xml:space="preserve"> &amp; </w:t>
            </w:r>
            <w:r w:rsidRPr="00931FFE">
              <w:rPr>
                <w:rFonts w:ascii="Times New Roman" w:hAnsi="Times New Roman" w:cs="Times New Roman"/>
                <w:b/>
                <w:bCs/>
                <w:sz w:val="18"/>
                <w:szCs w:val="18"/>
              </w:rPr>
              <w:t>vomiting</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21</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31.8%</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5</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9.6%</w:t>
            </w:r>
          </w:p>
        </w:tc>
        <w:tc>
          <w:tcPr>
            <w:tcW w:w="0" w:type="auto"/>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0.04*</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1.5%</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Neuropathy</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20</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30.3%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20</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38.4%</w:t>
            </w:r>
          </w:p>
        </w:tc>
        <w:tc>
          <w:tcPr>
            <w:tcW w:w="0" w:type="auto"/>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0.1 (NS)</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4</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6%</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11</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21.1%</w:t>
            </w:r>
          </w:p>
        </w:tc>
        <w:tc>
          <w:tcPr>
            <w:tcW w:w="0" w:type="auto"/>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Fatigue</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11</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16.6%</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61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30.7%</w:t>
            </w:r>
          </w:p>
        </w:tc>
        <w:tc>
          <w:tcPr>
            <w:tcW w:w="0" w:type="auto"/>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0.6 (NS)</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1.5%</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5.7%</w:t>
            </w:r>
          </w:p>
        </w:tc>
        <w:tc>
          <w:tcPr>
            <w:tcW w:w="0" w:type="auto"/>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 xml:space="preserve">Stomatitis </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15</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22.7%</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17</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32.6%</w:t>
            </w:r>
          </w:p>
        </w:tc>
        <w:tc>
          <w:tcPr>
            <w:tcW w:w="0" w:type="auto"/>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0.3 (NS)</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1.5%</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4</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7.6%</w:t>
            </w:r>
          </w:p>
        </w:tc>
        <w:tc>
          <w:tcPr>
            <w:tcW w:w="0" w:type="auto"/>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Elevated</w:t>
            </w:r>
            <w:r w:rsidR="00F551E0" w:rsidRPr="00931FFE">
              <w:rPr>
                <w:rFonts w:ascii="Times New Roman" w:hAnsi="Times New Roman" w:cs="Times New Roman"/>
                <w:b/>
                <w:bCs/>
                <w:sz w:val="18"/>
                <w:szCs w:val="18"/>
              </w:rPr>
              <w:t xml:space="preserve"> </w:t>
            </w:r>
            <w:r w:rsidRPr="00931FFE">
              <w:rPr>
                <w:rFonts w:ascii="Times New Roman" w:hAnsi="Times New Roman" w:cs="Times New Roman"/>
                <w:b/>
                <w:bCs/>
                <w:sz w:val="18"/>
                <w:szCs w:val="18"/>
              </w:rPr>
              <w:t>Serum</w:t>
            </w:r>
            <w:r w:rsidR="00F551E0" w:rsidRPr="00931FFE">
              <w:rPr>
                <w:rFonts w:ascii="Times New Roman" w:hAnsi="Times New Roman" w:cs="Times New Roman"/>
                <w:b/>
                <w:bCs/>
                <w:sz w:val="18"/>
                <w:szCs w:val="18"/>
              </w:rPr>
              <w:t xml:space="preserve"> </w:t>
            </w:r>
            <w:r w:rsidRPr="00931FFE">
              <w:rPr>
                <w:rFonts w:ascii="Times New Roman" w:hAnsi="Times New Roman" w:cs="Times New Roman"/>
                <w:b/>
                <w:bCs/>
                <w:sz w:val="18"/>
                <w:szCs w:val="18"/>
              </w:rPr>
              <w:t>Creatinine</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2</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3.03%</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1.9%</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0.8 (NS)</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Infusion related reactions</w:t>
            </w: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2</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3.03%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5</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9.6%</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0.01*</w:t>
            </w:r>
          </w:p>
        </w:tc>
      </w:tr>
      <w:tr w:rsidR="00F551E0" w:rsidRPr="00931FFE" w:rsidTr="00931FFE">
        <w:trPr>
          <w:cnfStyle w:val="00000001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Thrombophlebitis</w:t>
            </w:r>
          </w:p>
        </w:tc>
        <w:tc>
          <w:tcPr>
            <w:tcW w:w="990" w:type="dxa"/>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Grade 2</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34</w:t>
            </w:r>
          </w:p>
        </w:tc>
        <w:tc>
          <w:tcPr>
            <w:tcW w:w="0" w:type="auto"/>
            <w:gridSpan w:val="2"/>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51.5%</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w:t>
            </w:r>
          </w:p>
        </w:tc>
        <w:tc>
          <w:tcPr>
            <w:tcW w:w="0" w:type="auto"/>
            <w:vAlign w:val="center"/>
          </w:tcPr>
          <w:p w:rsidR="00167C20" w:rsidRPr="00931FFE" w:rsidRDefault="00167C20" w:rsidP="00931FFE">
            <w:pPr>
              <w:bidi w:val="0"/>
              <w:snapToGrid w:val="0"/>
              <w:jc w:val="both"/>
              <w:cnfStyle w:val="000000010000"/>
              <w:rPr>
                <w:rFonts w:ascii="Times New Roman" w:hAnsi="Times New Roman" w:cs="Times New Roman"/>
                <w:sz w:val="18"/>
                <w:szCs w:val="18"/>
              </w:rPr>
            </w:pPr>
            <w:r w:rsidRPr="00931FFE">
              <w:rPr>
                <w:rFonts w:ascii="Times New Roman" w:hAnsi="Times New Roman" w:cs="Times New Roman"/>
                <w:sz w:val="18"/>
                <w:szCs w:val="18"/>
              </w:rPr>
              <w:t>1.9%</w:t>
            </w:r>
          </w:p>
        </w:tc>
        <w:tc>
          <w:tcPr>
            <w:tcW w:w="0" w:type="auto"/>
            <w:vMerge w:val="restart"/>
            <w:vAlign w:val="center"/>
          </w:tcPr>
          <w:p w:rsidR="00167C20" w:rsidRPr="00931FFE" w:rsidRDefault="00167C20" w:rsidP="00931FFE">
            <w:pPr>
              <w:bidi w:val="0"/>
              <w:snapToGrid w:val="0"/>
              <w:jc w:val="both"/>
              <w:cnfStyle w:val="000000010000"/>
              <w:rPr>
                <w:rFonts w:ascii="Times New Roman" w:hAnsi="Times New Roman" w:cs="Times New Roman"/>
                <w:b/>
                <w:bCs/>
                <w:sz w:val="18"/>
                <w:szCs w:val="18"/>
              </w:rPr>
            </w:pPr>
            <w:r w:rsidRPr="00931FFE">
              <w:rPr>
                <w:rFonts w:ascii="Times New Roman" w:hAnsi="Times New Roman" w:cs="Times New Roman"/>
                <w:b/>
                <w:bCs/>
                <w:sz w:val="18"/>
                <w:szCs w:val="18"/>
              </w:rPr>
              <w:t>0.01*</w:t>
            </w:r>
          </w:p>
        </w:tc>
      </w:tr>
      <w:tr w:rsidR="00F551E0" w:rsidRPr="00931FFE" w:rsidTr="00931FFE">
        <w:trPr>
          <w:cnfStyle w:val="000000100000"/>
          <w:jc w:val="center"/>
        </w:trPr>
        <w:tc>
          <w:tcPr>
            <w:cnfStyle w:val="001000000000"/>
            <w:tcW w:w="0" w:type="auto"/>
            <w:vMerge/>
            <w:vAlign w:val="center"/>
          </w:tcPr>
          <w:p w:rsidR="00167C20" w:rsidRPr="00931FFE" w:rsidRDefault="00167C20" w:rsidP="00931FFE">
            <w:pPr>
              <w:bidi w:val="0"/>
              <w:snapToGrid w:val="0"/>
              <w:jc w:val="both"/>
              <w:rPr>
                <w:rFonts w:ascii="Times New Roman" w:hAnsi="Times New Roman" w:cs="Times New Roman"/>
                <w:b w:val="0"/>
                <w:bCs w:val="0"/>
                <w:sz w:val="18"/>
                <w:szCs w:val="18"/>
              </w:rPr>
            </w:pPr>
          </w:p>
        </w:tc>
        <w:tc>
          <w:tcPr>
            <w:tcW w:w="1895" w:type="dxa"/>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c>
          <w:tcPr>
            <w:tcW w:w="990" w:type="dxa"/>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r w:rsidRPr="00931FFE">
              <w:rPr>
                <w:rFonts w:ascii="Times New Roman" w:hAnsi="Times New Roman" w:cs="Times New Roman"/>
                <w:b/>
                <w:bCs/>
                <w:sz w:val="18"/>
                <w:szCs w:val="18"/>
              </w:rPr>
              <w:t>Grade 3</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4</w:t>
            </w:r>
          </w:p>
        </w:tc>
        <w:tc>
          <w:tcPr>
            <w:tcW w:w="0" w:type="auto"/>
            <w:gridSpan w:val="2"/>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6%</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vAlign w:val="center"/>
          </w:tcPr>
          <w:p w:rsidR="00167C20" w:rsidRPr="00931FFE" w:rsidRDefault="00167C20" w:rsidP="00931FFE">
            <w:pPr>
              <w:bidi w:val="0"/>
              <w:snapToGrid w:val="0"/>
              <w:jc w:val="both"/>
              <w:cnfStyle w:val="000000100000"/>
              <w:rPr>
                <w:rFonts w:ascii="Times New Roman" w:hAnsi="Times New Roman" w:cs="Times New Roman"/>
                <w:sz w:val="18"/>
                <w:szCs w:val="18"/>
              </w:rPr>
            </w:pPr>
            <w:r w:rsidRPr="00931FFE">
              <w:rPr>
                <w:rFonts w:ascii="Times New Roman" w:hAnsi="Times New Roman" w:cs="Times New Roman"/>
                <w:sz w:val="18"/>
                <w:szCs w:val="18"/>
              </w:rPr>
              <w:t>0%</w:t>
            </w:r>
          </w:p>
        </w:tc>
        <w:tc>
          <w:tcPr>
            <w:tcW w:w="0" w:type="auto"/>
            <w:vMerge/>
            <w:vAlign w:val="center"/>
          </w:tcPr>
          <w:p w:rsidR="00167C20" w:rsidRPr="00931FFE" w:rsidRDefault="00167C20" w:rsidP="00931FFE">
            <w:pPr>
              <w:bidi w:val="0"/>
              <w:snapToGrid w:val="0"/>
              <w:jc w:val="both"/>
              <w:cnfStyle w:val="000000100000"/>
              <w:rPr>
                <w:rFonts w:ascii="Times New Roman" w:hAnsi="Times New Roman" w:cs="Times New Roman"/>
                <w:b/>
                <w:bCs/>
                <w:sz w:val="18"/>
                <w:szCs w:val="18"/>
              </w:rPr>
            </w:pPr>
          </w:p>
        </w:tc>
      </w:tr>
    </w:tbl>
    <w:p w:rsidR="00167C20" w:rsidRPr="00931FFE" w:rsidRDefault="00167C20" w:rsidP="00931FFE">
      <w:pPr>
        <w:bidi w:val="0"/>
        <w:snapToGrid w:val="0"/>
        <w:spacing w:after="0" w:line="240" w:lineRule="auto"/>
        <w:jc w:val="both"/>
        <w:rPr>
          <w:rFonts w:ascii="Times New Roman" w:hAnsi="Times New Roman" w:cs="Times New Roman"/>
          <w:sz w:val="18"/>
          <w:szCs w:val="18"/>
          <w:lang w:bidi="ar-EG"/>
        </w:rPr>
      </w:pPr>
      <w:r w:rsidRPr="00931FFE">
        <w:rPr>
          <w:rFonts w:ascii="Times New Roman" w:hAnsi="Times New Roman" w:cs="Times New Roman"/>
          <w:b/>
          <w:bCs/>
          <w:sz w:val="18"/>
          <w:szCs w:val="18"/>
          <w:lang w:bidi="ar-EG"/>
        </w:rPr>
        <w:t>*:</w:t>
      </w:r>
      <w:r w:rsidRPr="00931FFE">
        <w:rPr>
          <w:rFonts w:ascii="Times New Roman" w:hAnsi="Times New Roman" w:cs="Times New Roman"/>
          <w:sz w:val="18"/>
          <w:szCs w:val="18"/>
          <w:lang w:bidi="ar-EG"/>
        </w:rPr>
        <w:t xml:space="preserve"> statistically significant difference. </w:t>
      </w:r>
      <w:r w:rsidRPr="00931FFE">
        <w:rPr>
          <w:rFonts w:ascii="Times New Roman" w:hAnsi="Times New Roman" w:cs="Times New Roman"/>
          <w:b/>
          <w:bCs/>
          <w:sz w:val="18"/>
          <w:szCs w:val="18"/>
        </w:rPr>
        <w:t xml:space="preserve">N.S: </w:t>
      </w:r>
      <w:r w:rsidRPr="00931FFE">
        <w:rPr>
          <w:rFonts w:ascii="Times New Roman" w:hAnsi="Times New Roman" w:cs="Times New Roman"/>
          <w:sz w:val="18"/>
          <w:szCs w:val="18"/>
          <w:lang w:bidi="ar-EG"/>
        </w:rPr>
        <w:t>no statistically significant difference</w:t>
      </w:r>
    </w:p>
    <w:p w:rsidR="00F551E0" w:rsidRPr="00F551E0" w:rsidRDefault="00F551E0" w:rsidP="00931FFE">
      <w:pPr>
        <w:tabs>
          <w:tab w:val="left" w:pos="8306"/>
        </w:tabs>
        <w:bidi w:val="0"/>
        <w:snapToGrid w:val="0"/>
        <w:spacing w:after="0" w:line="240" w:lineRule="auto"/>
        <w:ind w:firstLine="425"/>
        <w:jc w:val="both"/>
        <w:rPr>
          <w:rFonts w:ascii="Times New Roman" w:hAnsi="Times New Roman" w:cs="Times New Roman"/>
          <w:sz w:val="20"/>
          <w:szCs w:val="20"/>
        </w:rPr>
      </w:pPr>
    </w:p>
    <w:p w:rsidR="00F551E0" w:rsidRPr="00F551E0" w:rsidRDefault="00F551E0" w:rsidP="00931FFE">
      <w:pPr>
        <w:tabs>
          <w:tab w:val="left" w:pos="8306"/>
        </w:tabs>
        <w:bidi w:val="0"/>
        <w:snapToGrid w:val="0"/>
        <w:spacing w:after="0" w:line="240" w:lineRule="auto"/>
        <w:ind w:firstLine="425"/>
        <w:jc w:val="both"/>
        <w:rPr>
          <w:rFonts w:ascii="Times New Roman" w:hAnsi="Times New Roman" w:cs="Times New Roman"/>
          <w:sz w:val="20"/>
          <w:szCs w:val="20"/>
        </w:rPr>
        <w:sectPr w:rsidR="00F551E0" w:rsidRPr="00F551E0" w:rsidSect="00F551E0">
          <w:headerReference w:type="default" r:id="rId27"/>
          <w:type w:val="continuous"/>
          <w:pgSz w:w="12240" w:h="15840" w:code="1"/>
          <w:pgMar w:top="1440" w:right="1440" w:bottom="1440" w:left="1440" w:header="720" w:footer="720" w:gutter="0"/>
          <w:cols w:space="708"/>
          <w:docGrid w:linePitch="360"/>
        </w:sectPr>
      </w:pPr>
    </w:p>
    <w:p w:rsidR="00167C20" w:rsidRPr="00F551E0" w:rsidRDefault="00167C20" w:rsidP="00931FFE">
      <w:pPr>
        <w:tabs>
          <w:tab w:val="left" w:pos="8306"/>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rPr>
        <w:lastRenderedPageBreak/>
        <w:t xml:space="preserve">Table (1) shows that </w:t>
      </w:r>
      <w:r w:rsidRPr="00F551E0">
        <w:rPr>
          <w:rFonts w:ascii="Times New Roman" w:hAnsi="Times New Roman" w:cs="Times New Roman"/>
          <w:b/>
          <w:bCs/>
          <w:sz w:val="20"/>
          <w:szCs w:val="20"/>
        </w:rPr>
        <w:t>Haematological Side Effects</w:t>
      </w:r>
      <w:r w:rsidRPr="00F551E0">
        <w:rPr>
          <w:rFonts w:ascii="Times New Roman" w:hAnsi="Times New Roman" w:cs="Times New Roman"/>
          <w:sz w:val="20"/>
          <w:szCs w:val="20"/>
        </w:rPr>
        <w:t xml:space="preserve"> more commonly happened with the patients who received </w:t>
      </w:r>
      <w:r w:rsidRPr="00F551E0">
        <w:rPr>
          <w:rFonts w:ascii="Times New Roman" w:hAnsi="Times New Roman" w:cs="Times New Roman"/>
          <w:b/>
          <w:bCs/>
          <w:sz w:val="20"/>
          <w:szCs w:val="20"/>
        </w:rPr>
        <w:t>(Docetaxel, Gemcitabine)</w:t>
      </w:r>
      <w:r w:rsidRPr="00F551E0">
        <w:rPr>
          <w:rFonts w:ascii="Times New Roman" w:hAnsi="Times New Roman" w:cs="Times New Roman"/>
          <w:sz w:val="20"/>
          <w:szCs w:val="20"/>
        </w:rPr>
        <w:t xml:space="preserve"> in comparison to those received </w:t>
      </w:r>
      <w:r w:rsidRPr="00F551E0">
        <w:rPr>
          <w:rFonts w:ascii="Times New Roman" w:hAnsi="Times New Roman" w:cs="Times New Roman"/>
          <w:b/>
          <w:bCs/>
          <w:sz w:val="20"/>
          <w:szCs w:val="20"/>
        </w:rPr>
        <w:t>(Vinorelbine, Cisplatin)</w:t>
      </w:r>
      <w:r w:rsidRPr="00F551E0">
        <w:rPr>
          <w:rFonts w:ascii="Times New Roman" w:hAnsi="Times New Roman" w:cs="Times New Roman"/>
          <w:sz w:val="20"/>
          <w:szCs w:val="20"/>
        </w:rPr>
        <w:t xml:space="preserve">. The most significant Haematological Side Effects occurred for the patients who had received </w:t>
      </w:r>
      <w:r w:rsidRPr="00F551E0">
        <w:rPr>
          <w:rFonts w:ascii="Times New Roman" w:hAnsi="Times New Roman" w:cs="Times New Roman"/>
          <w:b/>
          <w:bCs/>
          <w:sz w:val="20"/>
          <w:szCs w:val="20"/>
        </w:rPr>
        <w:t>(Docetaxel, Gemcitabine)</w:t>
      </w:r>
      <w:r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21(40.38%)</w:t>
      </w:r>
      <w:r w:rsidRPr="00F551E0">
        <w:rPr>
          <w:rFonts w:ascii="Times New Roman" w:hAnsi="Times New Roman" w:cs="Times New Roman"/>
          <w:sz w:val="20"/>
          <w:szCs w:val="20"/>
        </w:rPr>
        <w:t xml:space="preserve"> patients had </w:t>
      </w:r>
      <w:r w:rsidRPr="00F551E0">
        <w:rPr>
          <w:rFonts w:ascii="Times New Roman" w:hAnsi="Times New Roman" w:cs="Times New Roman"/>
          <w:b/>
          <w:bCs/>
          <w:sz w:val="20"/>
          <w:szCs w:val="20"/>
        </w:rPr>
        <w:t>Grade 2 Anemia</w:t>
      </w:r>
      <w:r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20 (38.4%)</w:t>
      </w:r>
      <w:r w:rsidRPr="00F551E0">
        <w:rPr>
          <w:rFonts w:ascii="Times New Roman" w:hAnsi="Times New Roman" w:cs="Times New Roman"/>
          <w:sz w:val="20"/>
          <w:szCs w:val="20"/>
        </w:rPr>
        <w:t xml:space="preserve"> patients had </w:t>
      </w:r>
      <w:r w:rsidRPr="00F551E0">
        <w:rPr>
          <w:rFonts w:ascii="Times New Roman" w:hAnsi="Times New Roman" w:cs="Times New Roman"/>
          <w:b/>
          <w:bCs/>
          <w:sz w:val="20"/>
          <w:szCs w:val="20"/>
        </w:rPr>
        <w:t>Grade 2 Neutropenia</w:t>
      </w:r>
      <w:r w:rsidRPr="00F551E0">
        <w:rPr>
          <w:rFonts w:ascii="Times New Roman" w:hAnsi="Times New Roman" w:cs="Times New Roman"/>
          <w:sz w:val="20"/>
          <w:szCs w:val="20"/>
        </w:rPr>
        <w:t xml:space="preserve">, and </w:t>
      </w:r>
      <w:r w:rsidRPr="00F551E0">
        <w:rPr>
          <w:rFonts w:ascii="Times New Roman" w:hAnsi="Times New Roman" w:cs="Times New Roman"/>
          <w:b/>
          <w:bCs/>
          <w:sz w:val="20"/>
          <w:szCs w:val="20"/>
        </w:rPr>
        <w:t>11 (21.1%)</w:t>
      </w:r>
      <w:r w:rsidRPr="00F551E0">
        <w:rPr>
          <w:rFonts w:ascii="Times New Roman" w:hAnsi="Times New Roman" w:cs="Times New Roman"/>
          <w:sz w:val="20"/>
          <w:szCs w:val="20"/>
        </w:rPr>
        <w:t xml:space="preserve"> patients had </w:t>
      </w:r>
      <w:r w:rsidRPr="00F551E0">
        <w:rPr>
          <w:rFonts w:ascii="Times New Roman" w:hAnsi="Times New Roman" w:cs="Times New Roman"/>
          <w:b/>
          <w:bCs/>
          <w:sz w:val="20"/>
          <w:szCs w:val="20"/>
        </w:rPr>
        <w:t>Grade 3 Neutropenia</w:t>
      </w:r>
      <w:r w:rsidRPr="00F551E0">
        <w:rPr>
          <w:rFonts w:ascii="Times New Roman" w:hAnsi="Times New Roman" w:cs="Times New Roman"/>
          <w:sz w:val="20"/>
          <w:szCs w:val="20"/>
          <w:lang w:bidi="ar-EG"/>
        </w:rPr>
        <w:t xml:space="preserve"> with significant statistical difference</w:t>
      </w:r>
      <w:r w:rsidRPr="00F551E0">
        <w:rPr>
          <w:rFonts w:ascii="Times New Roman" w:hAnsi="Times New Roman" w:cs="Times New Roman"/>
          <w:sz w:val="20"/>
          <w:szCs w:val="20"/>
        </w:rPr>
        <w:t>.</w:t>
      </w:r>
    </w:p>
    <w:p w:rsidR="00167C20" w:rsidRPr="00F551E0" w:rsidRDefault="00167C20" w:rsidP="00931FFE">
      <w:pPr>
        <w:tabs>
          <w:tab w:val="left" w:pos="8306"/>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rPr>
        <w:t xml:space="preserve">The most common Non Haematological Side Effects happened for those who had </w:t>
      </w:r>
      <w:r w:rsidRPr="00F551E0">
        <w:rPr>
          <w:rFonts w:ascii="Times New Roman" w:hAnsi="Times New Roman" w:cs="Times New Roman"/>
          <w:b/>
          <w:bCs/>
          <w:sz w:val="20"/>
          <w:szCs w:val="20"/>
        </w:rPr>
        <w:t xml:space="preserve">(Vinorelbine, </w:t>
      </w:r>
      <w:r w:rsidRPr="00F551E0">
        <w:rPr>
          <w:rFonts w:ascii="Times New Roman" w:hAnsi="Times New Roman" w:cs="Times New Roman"/>
          <w:b/>
          <w:bCs/>
          <w:sz w:val="20"/>
          <w:szCs w:val="20"/>
        </w:rPr>
        <w:lastRenderedPageBreak/>
        <w:t>Cisplatin)</w:t>
      </w:r>
      <w:r w:rsidRPr="00F551E0">
        <w:rPr>
          <w:rFonts w:ascii="Times New Roman" w:hAnsi="Times New Roman" w:cs="Times New Roman"/>
          <w:sz w:val="20"/>
          <w:szCs w:val="20"/>
        </w:rPr>
        <w:t xml:space="preserve"> were: (</w:t>
      </w:r>
      <w:r w:rsidRPr="00F551E0">
        <w:rPr>
          <w:rFonts w:ascii="Times New Roman" w:hAnsi="Times New Roman" w:cs="Times New Roman"/>
          <w:b/>
          <w:bCs/>
          <w:sz w:val="20"/>
          <w:szCs w:val="20"/>
        </w:rPr>
        <w:t>Grade 2 Nausea</w:t>
      </w:r>
      <w:r w:rsidR="00F551E0" w:rsidRPr="00F551E0">
        <w:rPr>
          <w:rFonts w:ascii="Times New Roman" w:hAnsi="Times New Roman" w:cs="Times New Roman"/>
          <w:b/>
          <w:bCs/>
          <w:sz w:val="20"/>
          <w:szCs w:val="20"/>
        </w:rPr>
        <w:t xml:space="preserve"> &amp; </w:t>
      </w:r>
      <w:r w:rsidRPr="00F551E0">
        <w:rPr>
          <w:rFonts w:ascii="Times New Roman" w:hAnsi="Times New Roman" w:cs="Times New Roman"/>
          <w:b/>
          <w:bCs/>
          <w:sz w:val="20"/>
          <w:szCs w:val="20"/>
        </w:rPr>
        <w:t>vomiting</w:t>
      </w:r>
      <w:r w:rsidRPr="00F551E0">
        <w:rPr>
          <w:rFonts w:ascii="Times New Roman" w:hAnsi="Times New Roman" w:cs="Times New Roman"/>
          <w:sz w:val="20"/>
          <w:szCs w:val="20"/>
        </w:rPr>
        <w:t xml:space="preserve"> in </w:t>
      </w:r>
      <w:r w:rsidRPr="00F551E0">
        <w:rPr>
          <w:rFonts w:ascii="Times New Roman" w:hAnsi="Times New Roman" w:cs="Times New Roman"/>
          <w:b/>
          <w:bCs/>
          <w:sz w:val="20"/>
          <w:szCs w:val="20"/>
        </w:rPr>
        <w:t xml:space="preserve">21 (31.8%) </w:t>
      </w:r>
      <w:r w:rsidRPr="00F551E0">
        <w:rPr>
          <w:rFonts w:ascii="Times New Roman" w:hAnsi="Times New Roman" w:cs="Times New Roman"/>
          <w:sz w:val="20"/>
          <w:szCs w:val="20"/>
        </w:rPr>
        <w:t xml:space="preserve">patients, </w:t>
      </w:r>
      <w:r w:rsidRPr="00F551E0">
        <w:rPr>
          <w:rFonts w:ascii="Times New Roman" w:hAnsi="Times New Roman" w:cs="Times New Roman"/>
          <w:b/>
          <w:bCs/>
          <w:sz w:val="20"/>
          <w:szCs w:val="20"/>
        </w:rPr>
        <w:t xml:space="preserve">Grade 1 Neuropathy </w:t>
      </w:r>
      <w:r w:rsidRPr="00F551E0">
        <w:rPr>
          <w:rFonts w:ascii="Times New Roman" w:hAnsi="Times New Roman" w:cs="Times New Roman"/>
          <w:sz w:val="20"/>
          <w:szCs w:val="20"/>
        </w:rPr>
        <w:t xml:space="preserve">in </w:t>
      </w:r>
      <w:r w:rsidRPr="00F551E0">
        <w:rPr>
          <w:rFonts w:ascii="Times New Roman" w:hAnsi="Times New Roman" w:cs="Times New Roman"/>
          <w:b/>
          <w:bCs/>
          <w:sz w:val="20"/>
          <w:szCs w:val="20"/>
        </w:rPr>
        <w:t xml:space="preserve">20 (30.3%) </w:t>
      </w:r>
      <w:r w:rsidRPr="00F551E0">
        <w:rPr>
          <w:rFonts w:ascii="Times New Roman" w:hAnsi="Times New Roman" w:cs="Times New Roman"/>
          <w:sz w:val="20"/>
          <w:szCs w:val="20"/>
        </w:rPr>
        <w:t xml:space="preserve">patients and </w:t>
      </w:r>
      <w:r w:rsidRPr="00F551E0">
        <w:rPr>
          <w:rFonts w:ascii="Times New Roman" w:hAnsi="Times New Roman" w:cs="Times New Roman"/>
          <w:b/>
          <w:bCs/>
          <w:sz w:val="20"/>
          <w:szCs w:val="20"/>
        </w:rPr>
        <w:t>Grade 2 Thrombophlebitis</w:t>
      </w:r>
      <w:r w:rsidRPr="00F551E0">
        <w:rPr>
          <w:rFonts w:ascii="Times New Roman" w:hAnsi="Times New Roman" w:cs="Times New Roman"/>
          <w:sz w:val="20"/>
          <w:szCs w:val="20"/>
        </w:rPr>
        <w:t xml:space="preserve"> in</w:t>
      </w:r>
      <w:r w:rsidR="00117699"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34</w:t>
      </w:r>
      <w:r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(51.5%)</w:t>
      </w:r>
      <w:r w:rsidRPr="00F551E0">
        <w:rPr>
          <w:rFonts w:ascii="Times New Roman" w:hAnsi="Times New Roman" w:cs="Times New Roman"/>
          <w:sz w:val="20"/>
          <w:szCs w:val="20"/>
        </w:rPr>
        <w:t xml:space="preserve"> patients)</w:t>
      </w:r>
      <w:r w:rsidRPr="00F551E0">
        <w:rPr>
          <w:rFonts w:ascii="Times New Roman" w:hAnsi="Times New Roman" w:cs="Times New Roman"/>
          <w:sz w:val="20"/>
          <w:szCs w:val="20"/>
          <w:lang w:bidi="ar-EG"/>
        </w:rPr>
        <w:t xml:space="preserve"> with significant statistical difference</w:t>
      </w:r>
      <w:r w:rsidRPr="00F551E0">
        <w:rPr>
          <w:rFonts w:ascii="Times New Roman" w:hAnsi="Times New Roman" w:cs="Times New Roman"/>
          <w:sz w:val="20"/>
          <w:szCs w:val="20"/>
        </w:rPr>
        <w:t>.</w:t>
      </w:r>
      <w:r w:rsidR="00F551E0" w:rsidRPr="00F551E0">
        <w:rPr>
          <w:rFonts w:ascii="Times New Roman" w:hAnsi="Times New Roman" w:cs="Times New Roman"/>
          <w:sz w:val="20"/>
          <w:szCs w:val="20"/>
        </w:rPr>
        <w:t xml:space="preserve"> </w:t>
      </w:r>
    </w:p>
    <w:p w:rsidR="00167C20" w:rsidRPr="00F551E0" w:rsidRDefault="00167C20" w:rsidP="00931FFE">
      <w:pPr>
        <w:tabs>
          <w:tab w:val="left" w:pos="8306"/>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rPr>
        <w:t xml:space="preserve">The most common Non Haematological Side Effects happened for those who had </w:t>
      </w:r>
      <w:r w:rsidRPr="00F551E0">
        <w:rPr>
          <w:rFonts w:ascii="Times New Roman" w:hAnsi="Times New Roman" w:cs="Times New Roman"/>
          <w:b/>
          <w:bCs/>
          <w:sz w:val="20"/>
          <w:szCs w:val="20"/>
        </w:rPr>
        <w:t>(Docetaxel, Gemcitabine)</w:t>
      </w:r>
      <w:r w:rsidRPr="00F551E0">
        <w:rPr>
          <w:rFonts w:ascii="Times New Roman" w:hAnsi="Times New Roman" w:cs="Times New Roman"/>
          <w:sz w:val="20"/>
          <w:szCs w:val="20"/>
        </w:rPr>
        <w:t xml:space="preserve"> were: (</w:t>
      </w:r>
      <w:r w:rsidRPr="00F551E0">
        <w:rPr>
          <w:rFonts w:ascii="Times New Roman" w:hAnsi="Times New Roman" w:cs="Times New Roman"/>
          <w:b/>
          <w:bCs/>
          <w:sz w:val="20"/>
          <w:szCs w:val="20"/>
        </w:rPr>
        <w:t xml:space="preserve">Grade 1 Neuropathy </w:t>
      </w:r>
      <w:r w:rsidRPr="00F551E0">
        <w:rPr>
          <w:rFonts w:ascii="Times New Roman" w:hAnsi="Times New Roman" w:cs="Times New Roman"/>
          <w:sz w:val="20"/>
          <w:szCs w:val="20"/>
        </w:rPr>
        <w:t xml:space="preserve">in </w:t>
      </w:r>
      <w:r w:rsidRPr="00F551E0">
        <w:rPr>
          <w:rFonts w:ascii="Times New Roman" w:hAnsi="Times New Roman" w:cs="Times New Roman"/>
          <w:b/>
          <w:bCs/>
          <w:sz w:val="20"/>
          <w:szCs w:val="20"/>
        </w:rPr>
        <w:t xml:space="preserve">20 (38.4%) </w:t>
      </w:r>
      <w:r w:rsidRPr="00F551E0">
        <w:rPr>
          <w:rFonts w:ascii="Times New Roman" w:hAnsi="Times New Roman" w:cs="Times New Roman"/>
          <w:sz w:val="20"/>
          <w:szCs w:val="20"/>
        </w:rPr>
        <w:t>patients,</w:t>
      </w:r>
      <w:r w:rsidR="00F551E0"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 xml:space="preserve">Grade 2 Neuropathy </w:t>
      </w:r>
      <w:r w:rsidRPr="00F551E0">
        <w:rPr>
          <w:rFonts w:ascii="Times New Roman" w:hAnsi="Times New Roman" w:cs="Times New Roman"/>
          <w:sz w:val="20"/>
          <w:szCs w:val="20"/>
        </w:rPr>
        <w:t xml:space="preserve">in </w:t>
      </w:r>
      <w:r w:rsidRPr="00F551E0">
        <w:rPr>
          <w:rFonts w:ascii="Times New Roman" w:hAnsi="Times New Roman" w:cs="Times New Roman"/>
          <w:b/>
          <w:bCs/>
          <w:sz w:val="20"/>
          <w:szCs w:val="20"/>
        </w:rPr>
        <w:t xml:space="preserve">11 (21.1%) </w:t>
      </w:r>
      <w:r w:rsidRPr="00F551E0">
        <w:rPr>
          <w:rFonts w:ascii="Times New Roman" w:hAnsi="Times New Roman" w:cs="Times New Roman"/>
          <w:sz w:val="20"/>
          <w:szCs w:val="20"/>
        </w:rPr>
        <w:t xml:space="preserve">patients, </w:t>
      </w:r>
      <w:r w:rsidRPr="00F551E0">
        <w:rPr>
          <w:rFonts w:ascii="Times New Roman" w:hAnsi="Times New Roman" w:cs="Times New Roman"/>
          <w:b/>
          <w:bCs/>
          <w:sz w:val="20"/>
          <w:szCs w:val="20"/>
        </w:rPr>
        <w:t>Grade 1</w:t>
      </w:r>
      <w:r w:rsidRPr="00F551E0">
        <w:rPr>
          <w:rFonts w:ascii="Times New Roman" w:hAnsi="Times New Roman" w:cs="Times New Roman"/>
          <w:sz w:val="20"/>
          <w:szCs w:val="20"/>
        </w:rPr>
        <w:t xml:space="preserve"> </w:t>
      </w:r>
      <w:r w:rsidRPr="00F551E0">
        <w:rPr>
          <w:rFonts w:ascii="Times New Roman" w:hAnsi="Times New Roman" w:cs="Times New Roman"/>
          <w:b/>
          <w:bCs/>
          <w:sz w:val="20"/>
          <w:szCs w:val="20"/>
        </w:rPr>
        <w:t>Fatigue</w:t>
      </w:r>
      <w:r w:rsidRPr="00F551E0">
        <w:rPr>
          <w:rFonts w:ascii="Times New Roman" w:hAnsi="Times New Roman" w:cs="Times New Roman"/>
          <w:sz w:val="20"/>
          <w:szCs w:val="20"/>
        </w:rPr>
        <w:t xml:space="preserve"> in </w:t>
      </w:r>
      <w:r w:rsidRPr="00F551E0">
        <w:rPr>
          <w:rFonts w:ascii="Times New Roman" w:hAnsi="Times New Roman" w:cs="Times New Roman"/>
          <w:b/>
          <w:bCs/>
          <w:sz w:val="20"/>
          <w:szCs w:val="20"/>
        </w:rPr>
        <w:t>16 (30.7%)</w:t>
      </w:r>
      <w:r w:rsidRPr="00F551E0">
        <w:rPr>
          <w:rFonts w:ascii="Times New Roman" w:hAnsi="Times New Roman" w:cs="Times New Roman"/>
          <w:sz w:val="20"/>
          <w:szCs w:val="20"/>
        </w:rPr>
        <w:t xml:space="preserve"> patients and </w:t>
      </w:r>
      <w:r w:rsidRPr="00F551E0">
        <w:rPr>
          <w:rFonts w:ascii="Times New Roman" w:hAnsi="Times New Roman" w:cs="Times New Roman"/>
          <w:b/>
          <w:bCs/>
          <w:sz w:val="20"/>
          <w:szCs w:val="20"/>
        </w:rPr>
        <w:t>Grade 2 Stomatitis</w:t>
      </w:r>
      <w:r w:rsidRPr="00F551E0">
        <w:rPr>
          <w:rFonts w:ascii="Times New Roman" w:hAnsi="Times New Roman" w:cs="Times New Roman"/>
          <w:sz w:val="20"/>
          <w:szCs w:val="20"/>
        </w:rPr>
        <w:t xml:space="preserve"> in </w:t>
      </w:r>
      <w:r w:rsidRPr="00F551E0">
        <w:rPr>
          <w:rFonts w:ascii="Times New Roman" w:hAnsi="Times New Roman" w:cs="Times New Roman"/>
          <w:b/>
          <w:bCs/>
          <w:sz w:val="20"/>
          <w:szCs w:val="20"/>
        </w:rPr>
        <w:t>17 (32.6%)</w:t>
      </w:r>
      <w:r w:rsidRPr="00F551E0">
        <w:rPr>
          <w:rFonts w:ascii="Times New Roman" w:hAnsi="Times New Roman" w:cs="Times New Roman"/>
          <w:sz w:val="20"/>
          <w:szCs w:val="20"/>
        </w:rPr>
        <w:t xml:space="preserve"> patients).</w:t>
      </w:r>
    </w:p>
    <w:p w:rsidR="00F551E0" w:rsidRPr="00F551E0" w:rsidRDefault="00F551E0" w:rsidP="00931FFE">
      <w:pPr>
        <w:tabs>
          <w:tab w:val="left" w:pos="8306"/>
        </w:tabs>
        <w:bidi w:val="0"/>
        <w:snapToGrid w:val="0"/>
        <w:spacing w:after="0" w:line="240" w:lineRule="auto"/>
        <w:jc w:val="both"/>
        <w:rPr>
          <w:rFonts w:ascii="Times New Roman" w:hAnsi="Times New Roman" w:cs="Times New Roman"/>
          <w:b/>
          <w:bCs/>
          <w:sz w:val="20"/>
          <w:szCs w:val="20"/>
        </w:rPr>
      </w:pPr>
    </w:p>
    <w:p w:rsidR="00F551E0" w:rsidRPr="00F551E0" w:rsidRDefault="00F551E0" w:rsidP="00931FFE">
      <w:pPr>
        <w:tabs>
          <w:tab w:val="left" w:pos="8306"/>
        </w:tabs>
        <w:bidi w:val="0"/>
        <w:snapToGrid w:val="0"/>
        <w:spacing w:after="0" w:line="240" w:lineRule="auto"/>
        <w:jc w:val="both"/>
        <w:rPr>
          <w:rFonts w:ascii="Times New Roman" w:hAnsi="Times New Roman" w:cs="Times New Roman"/>
          <w:b/>
          <w:bCs/>
          <w:sz w:val="20"/>
          <w:szCs w:val="20"/>
        </w:rPr>
        <w:sectPr w:rsidR="00F551E0" w:rsidRPr="00F551E0" w:rsidSect="00931FFE">
          <w:headerReference w:type="default" r:id="rId28"/>
          <w:type w:val="continuous"/>
          <w:pgSz w:w="12240" w:h="15840" w:code="1"/>
          <w:pgMar w:top="1440" w:right="1440" w:bottom="1440" w:left="1440" w:header="720" w:footer="720" w:gutter="0"/>
          <w:cols w:num="2" w:space="550"/>
          <w:docGrid w:linePitch="360"/>
        </w:sectPr>
      </w:pPr>
    </w:p>
    <w:p w:rsidR="00F551E0" w:rsidRPr="00F551E0" w:rsidRDefault="00F551E0" w:rsidP="00931FFE">
      <w:pPr>
        <w:tabs>
          <w:tab w:val="left" w:pos="8306"/>
        </w:tabs>
        <w:bidi w:val="0"/>
        <w:snapToGrid w:val="0"/>
        <w:spacing w:after="0" w:line="240" w:lineRule="auto"/>
        <w:jc w:val="both"/>
        <w:rPr>
          <w:rFonts w:ascii="Times New Roman" w:hAnsi="Times New Roman" w:cs="Times New Roman"/>
          <w:b/>
          <w:bCs/>
          <w:sz w:val="20"/>
          <w:szCs w:val="20"/>
        </w:rPr>
      </w:pPr>
    </w:p>
    <w:p w:rsidR="002F154E" w:rsidRPr="00F551E0" w:rsidRDefault="002F154E" w:rsidP="00931FFE">
      <w:pPr>
        <w:tabs>
          <w:tab w:val="left" w:pos="8306"/>
        </w:tabs>
        <w:bidi w:val="0"/>
        <w:snapToGrid w:val="0"/>
        <w:spacing w:after="0" w:line="240" w:lineRule="auto"/>
        <w:jc w:val="center"/>
        <w:rPr>
          <w:rFonts w:ascii="Times New Roman" w:hAnsi="Times New Roman" w:cs="Times New Roman"/>
          <w:b/>
          <w:bCs/>
          <w:sz w:val="20"/>
          <w:szCs w:val="20"/>
        </w:rPr>
      </w:pPr>
      <w:r w:rsidRPr="00F551E0">
        <w:rPr>
          <w:rFonts w:ascii="Times New Roman" w:hAnsi="Times New Roman" w:cs="Times New Roman"/>
          <w:b/>
          <w:bCs/>
          <w:noProof/>
          <w:sz w:val="20"/>
          <w:szCs w:val="20"/>
          <w:lang w:eastAsia="zh-CN"/>
        </w:rPr>
        <w:drawing>
          <wp:inline distT="0" distB="0" distL="0" distR="0">
            <wp:extent cx="4902906" cy="812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4926508" cy="816713"/>
                    </a:xfrm>
                    <a:prstGeom prst="rect">
                      <a:avLst/>
                    </a:prstGeom>
                    <a:noFill/>
                    <a:ln w="9525">
                      <a:noFill/>
                      <a:miter lim="800000"/>
                      <a:headEnd/>
                      <a:tailEnd/>
                    </a:ln>
                  </pic:spPr>
                </pic:pic>
              </a:graphicData>
            </a:graphic>
          </wp:inline>
        </w:drawing>
      </w:r>
    </w:p>
    <w:p w:rsidR="00167C20" w:rsidRPr="00F551E0" w:rsidRDefault="00167C20" w:rsidP="00931FFE">
      <w:pPr>
        <w:tabs>
          <w:tab w:val="left" w:pos="8306"/>
        </w:tabs>
        <w:bidi w:val="0"/>
        <w:snapToGrid w:val="0"/>
        <w:spacing w:after="0" w:line="240" w:lineRule="auto"/>
        <w:jc w:val="both"/>
        <w:rPr>
          <w:rFonts w:ascii="Times New Roman" w:hAnsi="Times New Roman" w:cs="Times New Roman"/>
          <w:b/>
          <w:bCs/>
          <w:sz w:val="20"/>
          <w:szCs w:val="20"/>
        </w:rPr>
      </w:pPr>
      <w:r w:rsidRPr="00F551E0">
        <w:rPr>
          <w:rFonts w:ascii="Times New Roman" w:hAnsi="Times New Roman" w:cs="Times New Roman"/>
          <w:b/>
          <w:bCs/>
          <w:sz w:val="20"/>
          <w:szCs w:val="20"/>
        </w:rPr>
        <w:t>Table (2): Survival Profile for Pathological Complete tumor</w:t>
      </w:r>
      <w:r w:rsidR="00F551E0" w:rsidRPr="00F551E0">
        <w:rPr>
          <w:rFonts w:ascii="Times New Roman" w:hAnsi="Times New Roman" w:cs="Times New Roman"/>
          <w:b/>
          <w:bCs/>
          <w:sz w:val="20"/>
          <w:szCs w:val="20"/>
        </w:rPr>
        <w:t xml:space="preserve"> &amp; </w:t>
      </w:r>
      <w:r w:rsidRPr="00F551E0">
        <w:rPr>
          <w:rFonts w:ascii="Times New Roman" w:hAnsi="Times New Roman" w:cs="Times New Roman"/>
          <w:b/>
          <w:bCs/>
          <w:sz w:val="20"/>
          <w:szCs w:val="20"/>
        </w:rPr>
        <w:t>Nodal Responders among both study groups in general:</w:t>
      </w:r>
    </w:p>
    <w:tbl>
      <w:tblPr>
        <w:tblStyle w:val="LightList-Accent11"/>
        <w:tblW w:w="5000" w:type="pct"/>
        <w:jc w:val="center"/>
        <w:tblCellMar>
          <w:left w:w="57" w:type="dxa"/>
          <w:right w:w="57" w:type="dxa"/>
        </w:tblCellMar>
        <w:tblLook w:val="0000"/>
      </w:tblPr>
      <w:tblGrid>
        <w:gridCol w:w="2617"/>
        <w:gridCol w:w="1696"/>
        <w:gridCol w:w="1110"/>
        <w:gridCol w:w="1882"/>
        <w:gridCol w:w="1108"/>
        <w:gridCol w:w="1061"/>
      </w:tblGrid>
      <w:tr w:rsidR="00F551E0" w:rsidRPr="00F551E0" w:rsidTr="00F551E0">
        <w:trPr>
          <w:cnfStyle w:val="000000100000"/>
          <w:jc w:val="center"/>
        </w:trPr>
        <w:tc>
          <w:tcPr>
            <w:cnfStyle w:val="000010000000"/>
            <w:tcW w:w="1381" w:type="pct"/>
            <w:shd w:val="clear" w:color="auto" w:fill="8064A2" w:themeFill="accent4"/>
            <w:vAlign w:val="center"/>
          </w:tcPr>
          <w:p w:rsidR="00167C20" w:rsidRPr="00F551E0" w:rsidRDefault="00167C20" w:rsidP="00931FFE">
            <w:pPr>
              <w:bidi w:val="0"/>
              <w:snapToGrid w:val="0"/>
              <w:jc w:val="both"/>
              <w:rPr>
                <w:rFonts w:ascii="Times New Roman" w:hAnsi="Times New Roman" w:cs="Times New Roman"/>
                <w:b/>
                <w:bCs/>
                <w:color w:val="FFFFFF" w:themeColor="background1"/>
                <w:sz w:val="20"/>
                <w:szCs w:val="20"/>
                <w:u w:val="single"/>
              </w:rPr>
            </w:pPr>
            <w:r w:rsidRPr="00F551E0">
              <w:rPr>
                <w:rFonts w:ascii="Times New Roman" w:hAnsi="Times New Roman" w:cs="Times New Roman"/>
                <w:b/>
                <w:bCs/>
                <w:color w:val="FFFFFF" w:themeColor="background1"/>
                <w:sz w:val="20"/>
                <w:szCs w:val="20"/>
                <w:u w:val="single"/>
              </w:rPr>
              <w:t>19 months follow up</w:t>
            </w:r>
          </w:p>
        </w:tc>
        <w:tc>
          <w:tcPr>
            <w:tcW w:w="1480" w:type="pct"/>
            <w:gridSpan w:val="2"/>
            <w:shd w:val="clear" w:color="auto" w:fill="8064A2" w:themeFill="accent4"/>
            <w:vAlign w:val="center"/>
          </w:tcPr>
          <w:p w:rsidR="00167C20" w:rsidRPr="00F551E0" w:rsidRDefault="00167C20" w:rsidP="00931FFE">
            <w:pPr>
              <w:bidi w:val="0"/>
              <w:snapToGrid w:val="0"/>
              <w:jc w:val="both"/>
              <w:cnfStyle w:val="000000100000"/>
              <w:rPr>
                <w:rFonts w:ascii="Times New Roman" w:hAnsi="Times New Roman" w:cs="Times New Roman"/>
                <w:b/>
                <w:bCs/>
                <w:color w:val="FFFFFF" w:themeColor="background1"/>
                <w:sz w:val="20"/>
                <w:szCs w:val="20"/>
                <w:u w:val="single"/>
              </w:rPr>
            </w:pPr>
            <w:r w:rsidRPr="00F551E0">
              <w:rPr>
                <w:rFonts w:ascii="Times New Roman" w:hAnsi="Times New Roman" w:cs="Times New Roman"/>
                <w:b/>
                <w:bCs/>
                <w:color w:val="FFFFFF" w:themeColor="background1"/>
                <w:sz w:val="20"/>
                <w:szCs w:val="20"/>
                <w:u w:val="single"/>
              </w:rPr>
              <w:t>Vinorelbine, Cisplatin</w:t>
            </w:r>
          </w:p>
        </w:tc>
        <w:tc>
          <w:tcPr>
            <w:cnfStyle w:val="000010000000"/>
            <w:tcW w:w="1578" w:type="pct"/>
            <w:gridSpan w:val="2"/>
            <w:shd w:val="clear" w:color="auto" w:fill="8064A2" w:themeFill="accent4"/>
            <w:vAlign w:val="center"/>
          </w:tcPr>
          <w:p w:rsidR="00167C20" w:rsidRPr="00F551E0" w:rsidRDefault="00167C20" w:rsidP="00931FFE">
            <w:pPr>
              <w:bidi w:val="0"/>
              <w:snapToGrid w:val="0"/>
              <w:jc w:val="both"/>
              <w:rPr>
                <w:rFonts w:ascii="Times New Roman" w:hAnsi="Times New Roman" w:cs="Times New Roman"/>
                <w:b/>
                <w:bCs/>
                <w:color w:val="FFFFFF" w:themeColor="background1"/>
                <w:sz w:val="20"/>
                <w:szCs w:val="20"/>
                <w:u w:val="single"/>
              </w:rPr>
            </w:pPr>
            <w:r w:rsidRPr="00F551E0">
              <w:rPr>
                <w:rFonts w:ascii="Times New Roman" w:hAnsi="Times New Roman" w:cs="Times New Roman"/>
                <w:b/>
                <w:bCs/>
                <w:color w:val="FFFFFF" w:themeColor="background1"/>
                <w:sz w:val="20"/>
                <w:szCs w:val="20"/>
                <w:u w:val="single"/>
              </w:rPr>
              <w:t>Docetaxel, Gemcitabine</w:t>
            </w:r>
          </w:p>
        </w:tc>
        <w:tc>
          <w:tcPr>
            <w:tcW w:w="561" w:type="pct"/>
            <w:shd w:val="clear" w:color="auto" w:fill="8064A2" w:themeFill="accent4"/>
            <w:vAlign w:val="center"/>
          </w:tcPr>
          <w:p w:rsidR="00167C20" w:rsidRPr="00F551E0" w:rsidRDefault="00167C20" w:rsidP="00931FFE">
            <w:pPr>
              <w:bidi w:val="0"/>
              <w:snapToGrid w:val="0"/>
              <w:jc w:val="both"/>
              <w:cnfStyle w:val="000000100000"/>
              <w:rPr>
                <w:rFonts w:ascii="Times New Roman" w:hAnsi="Times New Roman" w:cs="Times New Roman"/>
                <w:b/>
                <w:bCs/>
                <w:color w:val="FFFFFF" w:themeColor="background1"/>
                <w:sz w:val="20"/>
                <w:szCs w:val="20"/>
                <w:u w:val="single"/>
              </w:rPr>
            </w:pPr>
            <w:r w:rsidRPr="00F551E0">
              <w:rPr>
                <w:rFonts w:ascii="Times New Roman" w:hAnsi="Times New Roman" w:cs="Times New Roman"/>
                <w:b/>
                <w:bCs/>
                <w:color w:val="FFFFFF" w:themeColor="background1"/>
                <w:sz w:val="20"/>
                <w:szCs w:val="20"/>
                <w:u w:val="single"/>
              </w:rPr>
              <w:t>P-value</w:t>
            </w:r>
          </w:p>
        </w:tc>
      </w:tr>
      <w:tr w:rsidR="00F551E0" w:rsidRPr="00F551E0" w:rsidTr="00F551E0">
        <w:trPr>
          <w:jc w:val="center"/>
        </w:trPr>
        <w:tc>
          <w:tcPr>
            <w:cnfStyle w:val="000010000000"/>
            <w:tcW w:w="1381" w:type="pct"/>
            <w:shd w:val="clear" w:color="auto" w:fill="8DB3E2" w:themeFill="text2" w:themeFillTint="66"/>
            <w:vAlign w:val="center"/>
          </w:tcPr>
          <w:p w:rsidR="00167C20" w:rsidRPr="00F551E0" w:rsidRDefault="00167C20" w:rsidP="00931FFE">
            <w:pPr>
              <w:bidi w:val="0"/>
              <w:snapToGrid w:val="0"/>
              <w:jc w:val="both"/>
              <w:rPr>
                <w:rFonts w:ascii="Times New Roman" w:hAnsi="Times New Roman" w:cs="Times New Roman"/>
                <w:b/>
                <w:bCs/>
                <w:sz w:val="20"/>
                <w:szCs w:val="20"/>
              </w:rPr>
            </w:pPr>
            <w:r w:rsidRPr="00F551E0">
              <w:rPr>
                <w:rFonts w:ascii="Times New Roman" w:hAnsi="Times New Roman" w:cs="Times New Roman"/>
                <w:b/>
                <w:bCs/>
                <w:sz w:val="20"/>
                <w:szCs w:val="20"/>
              </w:rPr>
              <w:t>Disease free survival</w:t>
            </w:r>
            <w:r w:rsidR="00F551E0" w:rsidRPr="00F551E0">
              <w:rPr>
                <w:rFonts w:ascii="Times New Roman" w:hAnsi="Times New Roman" w:cs="Times New Roman"/>
                <w:b/>
                <w:bCs/>
                <w:sz w:val="20"/>
                <w:szCs w:val="20"/>
              </w:rPr>
              <w:t xml:space="preserve"> </w:t>
            </w:r>
          </w:p>
        </w:tc>
        <w:tc>
          <w:tcPr>
            <w:tcW w:w="895" w:type="pct"/>
            <w:vAlign w:val="center"/>
          </w:tcPr>
          <w:p w:rsidR="00167C20" w:rsidRPr="00F551E0" w:rsidRDefault="00167C20" w:rsidP="00931FFE">
            <w:pPr>
              <w:bidi w:val="0"/>
              <w:snapToGrid w:val="0"/>
              <w:jc w:val="both"/>
              <w:cnfStyle w:val="000000000000"/>
              <w:rPr>
                <w:rFonts w:ascii="Times New Roman" w:hAnsi="Times New Roman" w:cs="Times New Roman"/>
                <w:sz w:val="20"/>
                <w:szCs w:val="20"/>
              </w:rPr>
            </w:pPr>
            <w:r w:rsidRPr="00F551E0">
              <w:rPr>
                <w:rFonts w:ascii="Times New Roman" w:hAnsi="Times New Roman" w:cs="Times New Roman"/>
                <w:sz w:val="20"/>
                <w:szCs w:val="20"/>
              </w:rPr>
              <w:t>8 patients</w:t>
            </w:r>
          </w:p>
        </w:tc>
        <w:tc>
          <w:tcPr>
            <w:cnfStyle w:val="000010000000"/>
            <w:tcW w:w="586" w:type="pct"/>
            <w:vAlign w:val="center"/>
          </w:tcPr>
          <w:p w:rsidR="00167C20" w:rsidRPr="00F551E0" w:rsidRDefault="00167C20" w:rsidP="00931FFE">
            <w:pPr>
              <w:bidi w:val="0"/>
              <w:snapToGrid w:val="0"/>
              <w:jc w:val="both"/>
              <w:rPr>
                <w:rFonts w:ascii="Times New Roman" w:hAnsi="Times New Roman" w:cs="Times New Roman"/>
                <w:sz w:val="20"/>
                <w:szCs w:val="20"/>
              </w:rPr>
            </w:pPr>
            <w:r w:rsidRPr="00F551E0">
              <w:rPr>
                <w:rFonts w:ascii="Times New Roman" w:hAnsi="Times New Roman" w:cs="Times New Roman"/>
                <w:sz w:val="20"/>
                <w:szCs w:val="20"/>
              </w:rPr>
              <w:t>100%</w:t>
            </w:r>
          </w:p>
        </w:tc>
        <w:tc>
          <w:tcPr>
            <w:tcW w:w="993" w:type="pct"/>
            <w:vAlign w:val="center"/>
          </w:tcPr>
          <w:p w:rsidR="00167C20" w:rsidRPr="00F551E0" w:rsidRDefault="00167C20" w:rsidP="00931FFE">
            <w:pPr>
              <w:bidi w:val="0"/>
              <w:snapToGrid w:val="0"/>
              <w:jc w:val="both"/>
              <w:cnfStyle w:val="000000000000"/>
              <w:rPr>
                <w:rFonts w:ascii="Times New Roman" w:hAnsi="Times New Roman" w:cs="Times New Roman"/>
                <w:sz w:val="20"/>
                <w:szCs w:val="20"/>
              </w:rPr>
            </w:pPr>
            <w:r w:rsidRPr="00F551E0">
              <w:rPr>
                <w:rFonts w:ascii="Times New Roman" w:hAnsi="Times New Roman" w:cs="Times New Roman"/>
                <w:sz w:val="20"/>
                <w:szCs w:val="20"/>
              </w:rPr>
              <w:t>11 patients</w:t>
            </w:r>
          </w:p>
        </w:tc>
        <w:tc>
          <w:tcPr>
            <w:cnfStyle w:val="000010000000"/>
            <w:tcW w:w="584" w:type="pct"/>
            <w:vAlign w:val="center"/>
          </w:tcPr>
          <w:p w:rsidR="00167C20" w:rsidRPr="00F551E0" w:rsidRDefault="00167C20" w:rsidP="00931FFE">
            <w:pPr>
              <w:bidi w:val="0"/>
              <w:snapToGrid w:val="0"/>
              <w:jc w:val="both"/>
              <w:rPr>
                <w:rFonts w:ascii="Times New Roman" w:hAnsi="Times New Roman" w:cs="Times New Roman"/>
                <w:sz w:val="20"/>
                <w:szCs w:val="20"/>
              </w:rPr>
            </w:pPr>
            <w:r w:rsidRPr="00F551E0">
              <w:rPr>
                <w:rFonts w:ascii="Times New Roman" w:hAnsi="Times New Roman" w:cs="Times New Roman"/>
                <w:sz w:val="20"/>
                <w:szCs w:val="20"/>
              </w:rPr>
              <w:t>100%</w:t>
            </w:r>
          </w:p>
        </w:tc>
        <w:tc>
          <w:tcPr>
            <w:tcW w:w="561" w:type="pct"/>
            <w:vAlign w:val="center"/>
          </w:tcPr>
          <w:p w:rsidR="00167C20" w:rsidRPr="00F551E0" w:rsidRDefault="00167C20" w:rsidP="00931FFE">
            <w:pPr>
              <w:bidi w:val="0"/>
              <w:snapToGrid w:val="0"/>
              <w:jc w:val="both"/>
              <w:cnfStyle w:val="000000000000"/>
              <w:rPr>
                <w:rFonts w:ascii="Times New Roman" w:hAnsi="Times New Roman" w:cs="Times New Roman"/>
                <w:b/>
                <w:bCs/>
                <w:sz w:val="20"/>
                <w:szCs w:val="20"/>
              </w:rPr>
            </w:pPr>
            <w:r w:rsidRPr="00F551E0">
              <w:rPr>
                <w:rFonts w:ascii="Times New Roman" w:hAnsi="Times New Roman" w:cs="Times New Roman"/>
                <w:b/>
                <w:bCs/>
                <w:sz w:val="20"/>
                <w:szCs w:val="20"/>
              </w:rPr>
              <w:t>0.02*</w:t>
            </w:r>
          </w:p>
        </w:tc>
      </w:tr>
    </w:tbl>
    <w:p w:rsidR="00F551E0" w:rsidRPr="00F551E0" w:rsidRDefault="00167C20" w:rsidP="00931FFE">
      <w:pPr>
        <w:bidi w:val="0"/>
        <w:snapToGrid w:val="0"/>
        <w:spacing w:after="0" w:line="240" w:lineRule="auto"/>
        <w:jc w:val="both"/>
        <w:rPr>
          <w:rFonts w:ascii="Times New Roman" w:hAnsi="Times New Roman" w:cs="Times New Roman"/>
          <w:b/>
          <w:bCs/>
          <w:sz w:val="20"/>
          <w:szCs w:val="20"/>
          <w:lang w:bidi="ar-EG"/>
        </w:rPr>
      </w:pPr>
      <w:r w:rsidRPr="00F551E0">
        <w:rPr>
          <w:rFonts w:ascii="Times New Roman" w:hAnsi="Times New Roman" w:cs="Times New Roman"/>
          <w:b/>
          <w:bCs/>
          <w:sz w:val="20"/>
          <w:szCs w:val="20"/>
          <w:lang w:bidi="ar-EG"/>
        </w:rPr>
        <w:t>*:</w:t>
      </w:r>
      <w:r w:rsidRPr="00F551E0">
        <w:rPr>
          <w:rFonts w:ascii="Times New Roman" w:hAnsi="Times New Roman" w:cs="Times New Roman"/>
          <w:sz w:val="20"/>
          <w:szCs w:val="20"/>
          <w:lang w:bidi="ar-EG"/>
        </w:rPr>
        <w:t xml:space="preserve"> statistically significant difference.</w:t>
      </w:r>
    </w:p>
    <w:p w:rsidR="00F551E0" w:rsidRPr="00F551E0" w:rsidRDefault="00F551E0" w:rsidP="00931FFE">
      <w:pPr>
        <w:bidi w:val="0"/>
        <w:snapToGrid w:val="0"/>
        <w:spacing w:after="0" w:line="240" w:lineRule="auto"/>
        <w:jc w:val="both"/>
        <w:rPr>
          <w:rFonts w:ascii="Times New Roman" w:hAnsi="Times New Roman" w:cs="Times New Roman"/>
          <w:b/>
          <w:bCs/>
          <w:sz w:val="20"/>
          <w:szCs w:val="20"/>
          <w:lang w:bidi="ar-EG"/>
        </w:rPr>
        <w:sectPr w:rsidR="00F551E0" w:rsidRPr="00F551E0" w:rsidSect="00F551E0">
          <w:headerReference w:type="default" r:id="rId30"/>
          <w:type w:val="continuous"/>
          <w:pgSz w:w="12240" w:h="15840" w:code="1"/>
          <w:pgMar w:top="1440" w:right="1440" w:bottom="1440" w:left="1440" w:header="720" w:footer="720" w:gutter="0"/>
          <w:cols w:space="708"/>
          <w:docGrid w:linePitch="360"/>
        </w:sectPr>
      </w:pPr>
    </w:p>
    <w:p w:rsidR="002F154E" w:rsidRPr="00F551E0" w:rsidRDefault="002F154E" w:rsidP="00931FFE">
      <w:pPr>
        <w:pStyle w:val="a3"/>
        <w:bidi w:val="0"/>
        <w:snapToGrid w:val="0"/>
        <w:spacing w:after="0" w:line="240" w:lineRule="auto"/>
        <w:ind w:left="0" w:firstLine="425"/>
        <w:jc w:val="both"/>
        <w:rPr>
          <w:rFonts w:ascii="Times New Roman" w:hAnsi="Times New Roman" w:cs="Times New Roman"/>
          <w:sz w:val="20"/>
          <w:szCs w:val="20"/>
          <w:lang w:bidi="ar-EG"/>
        </w:rPr>
      </w:pPr>
      <w:r w:rsidRPr="00F551E0">
        <w:rPr>
          <w:rFonts w:ascii="Times New Roman" w:hAnsi="Times New Roman" w:cs="Times New Roman"/>
          <w:noProof/>
          <w:sz w:val="20"/>
          <w:szCs w:val="20"/>
        </w:rPr>
        <w:lastRenderedPageBreak/>
        <w:t xml:space="preserve">Table (2) shows that the </w:t>
      </w:r>
      <w:r w:rsidRPr="00F551E0">
        <w:rPr>
          <w:rFonts w:ascii="Times New Roman" w:hAnsi="Times New Roman" w:cs="Times New Roman"/>
          <w:b/>
          <w:bCs/>
          <w:sz w:val="20"/>
          <w:szCs w:val="20"/>
        </w:rPr>
        <w:t>Disease Free Survival (DFS)</w:t>
      </w:r>
      <w:r w:rsidRPr="00F551E0">
        <w:rPr>
          <w:rFonts w:ascii="Times New Roman" w:hAnsi="Times New Roman" w:cs="Times New Roman"/>
          <w:sz w:val="20"/>
          <w:szCs w:val="20"/>
          <w:lang w:bidi="ar-EG"/>
        </w:rPr>
        <w:t xml:space="preserve"> for those who had pathological complete tumor</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 xml:space="preserve">nodal response after receiving either </w:t>
      </w:r>
      <w:r w:rsidRPr="00F551E0">
        <w:rPr>
          <w:rFonts w:ascii="Times New Roman" w:hAnsi="Times New Roman" w:cs="Times New Roman"/>
          <w:b/>
          <w:bCs/>
          <w:sz w:val="20"/>
          <w:szCs w:val="20"/>
          <w:lang w:bidi="ar-EG"/>
        </w:rPr>
        <w:t>(Vinorelbine, Cisplatin)</w:t>
      </w:r>
      <w:r w:rsidRPr="00F551E0">
        <w:rPr>
          <w:rFonts w:ascii="Times New Roman" w:hAnsi="Times New Roman" w:cs="Times New Roman"/>
          <w:sz w:val="20"/>
          <w:szCs w:val="20"/>
          <w:lang w:bidi="ar-EG"/>
        </w:rPr>
        <w:t xml:space="preserve"> or </w:t>
      </w:r>
      <w:r w:rsidRPr="00F551E0">
        <w:rPr>
          <w:rFonts w:ascii="Times New Roman" w:hAnsi="Times New Roman" w:cs="Times New Roman"/>
          <w:b/>
          <w:bCs/>
          <w:sz w:val="20"/>
          <w:szCs w:val="20"/>
          <w:lang w:bidi="ar-EG"/>
        </w:rPr>
        <w:t>(Docetaxel, Gemcitabine)</w:t>
      </w:r>
      <w:r w:rsidRPr="00F551E0">
        <w:rPr>
          <w:rFonts w:ascii="Times New Roman" w:hAnsi="Times New Roman" w:cs="Times New Roman"/>
          <w:sz w:val="20"/>
          <w:szCs w:val="20"/>
          <w:lang w:bidi="ar-EG"/>
        </w:rPr>
        <w:t xml:space="preserve"> regimens</w:t>
      </w:r>
      <w:r w:rsidRPr="00F551E0">
        <w:rPr>
          <w:rFonts w:ascii="Times New Roman" w:hAnsi="Times New Roman" w:cs="Times New Roman"/>
          <w:sz w:val="20"/>
          <w:szCs w:val="20"/>
        </w:rPr>
        <w:t xml:space="preserve"> during 19 months of follow-up</w:t>
      </w:r>
      <w:r w:rsidRPr="00F551E0">
        <w:rPr>
          <w:rFonts w:ascii="Times New Roman" w:hAnsi="Times New Roman" w:cs="Times New Roman"/>
          <w:sz w:val="20"/>
          <w:szCs w:val="20"/>
          <w:lang w:bidi="ar-EG"/>
        </w:rPr>
        <w:t xml:space="preserve"> was 100% with significant statistical difference.</w:t>
      </w:r>
    </w:p>
    <w:p w:rsidR="002F154E" w:rsidRPr="00F551E0" w:rsidRDefault="002F154E" w:rsidP="00931FFE">
      <w:pPr>
        <w:bidi w:val="0"/>
        <w:snapToGrid w:val="0"/>
        <w:spacing w:after="0" w:line="240" w:lineRule="auto"/>
        <w:jc w:val="both"/>
        <w:rPr>
          <w:rFonts w:ascii="Times New Roman" w:hAnsi="Times New Roman" w:cs="Times New Roman"/>
          <w:b/>
          <w:bCs/>
          <w:sz w:val="20"/>
          <w:szCs w:val="20"/>
          <w:lang w:bidi="ar-EG"/>
        </w:rPr>
      </w:pPr>
    </w:p>
    <w:p w:rsidR="008A201B" w:rsidRPr="00F551E0" w:rsidRDefault="00594162" w:rsidP="00931FFE">
      <w:pPr>
        <w:bidi w:val="0"/>
        <w:snapToGrid w:val="0"/>
        <w:spacing w:after="0" w:line="240" w:lineRule="auto"/>
        <w:jc w:val="both"/>
        <w:rPr>
          <w:rFonts w:ascii="Times New Roman" w:hAnsi="Times New Roman" w:cs="Times New Roman"/>
          <w:b/>
          <w:bCs/>
          <w:sz w:val="20"/>
          <w:szCs w:val="20"/>
          <w:lang w:bidi="ar-EG"/>
        </w:rPr>
      </w:pPr>
      <w:r w:rsidRPr="00F551E0">
        <w:rPr>
          <w:rFonts w:ascii="Times New Roman" w:hAnsi="Times New Roman" w:cs="Times New Roman"/>
          <w:b/>
          <w:bCs/>
          <w:sz w:val="20"/>
          <w:szCs w:val="20"/>
          <w:lang w:bidi="ar-EG"/>
        </w:rPr>
        <w:t xml:space="preserve">4. </w:t>
      </w:r>
      <w:r w:rsidR="00975423" w:rsidRPr="00F551E0">
        <w:rPr>
          <w:rFonts w:ascii="Times New Roman" w:hAnsi="Times New Roman" w:cs="Times New Roman"/>
          <w:b/>
          <w:bCs/>
          <w:sz w:val="20"/>
          <w:szCs w:val="20"/>
          <w:lang w:bidi="ar-EG"/>
        </w:rPr>
        <w:t>Discussion</w:t>
      </w:r>
    </w:p>
    <w:p w:rsidR="00A24B90" w:rsidRPr="00F551E0" w:rsidRDefault="00975423"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rPr>
        <w:t xml:space="preserve">This study revealed that </w:t>
      </w:r>
      <w:r w:rsidRPr="00F551E0">
        <w:rPr>
          <w:rFonts w:ascii="Times New Roman" w:hAnsi="Times New Roman" w:cs="Times New Roman"/>
          <w:sz w:val="20"/>
          <w:szCs w:val="20"/>
          <w:lang w:bidi="ar-EG"/>
        </w:rPr>
        <w:t xml:space="preserve">45 patients were randomized to have (4) cycles of (Vinorelbine, Cisplatin) and Clinical Tumor Response was assessed after that, and revealed that: 15 (33.33%) patients had Clinical Complete Tumor Response (cCR) to which they did Modified Radical Mastectomy (MRM). 23 (51.11%) patients had Clinical Partial Tumor Response (cPR) to which they received (2) additional cycles of the same regimen to which 4 more patients had reached Clinical Complete Tumor Response (cCR) and 19 (42.22%) patients remained partially responded to chemotherapy given (Partial Maintained). So that Clinical Complete Tumor Response (cCR) was achieved in 19 (42.22%) patients </w:t>
      </w:r>
      <w:r w:rsidRPr="00F551E0">
        <w:rPr>
          <w:rFonts w:ascii="Times New Roman" w:hAnsi="Times New Roman" w:cs="Times New Roman"/>
          <w:sz w:val="20"/>
          <w:szCs w:val="20"/>
        </w:rPr>
        <w:t xml:space="preserve">(P &lt; 0.01) </w:t>
      </w:r>
      <w:r w:rsidRPr="00F551E0">
        <w:rPr>
          <w:rFonts w:ascii="Times New Roman" w:hAnsi="Times New Roman" w:cs="Times New Roman"/>
          <w:sz w:val="20"/>
          <w:szCs w:val="20"/>
          <w:lang w:bidi="ar-EG"/>
        </w:rPr>
        <w:t xml:space="preserve">after having (Vinorelbine, Cisplatin) regimen which was more superior to what was stated by other studies previously listed in the research. </w:t>
      </w:r>
      <w:r w:rsidRPr="00F551E0">
        <w:rPr>
          <w:rFonts w:ascii="Times New Roman" w:hAnsi="Times New Roman" w:cs="Times New Roman"/>
          <w:sz w:val="20"/>
          <w:szCs w:val="20"/>
        </w:rPr>
        <w:t>The Response Rate (RR) for the (Vinorelbine, Cisplatin) regimen as 1</w:t>
      </w:r>
      <w:r w:rsidRPr="00F551E0">
        <w:rPr>
          <w:rFonts w:ascii="Times New Roman" w:hAnsi="Times New Roman" w:cs="Times New Roman"/>
          <w:sz w:val="20"/>
          <w:szCs w:val="20"/>
          <w:vertAlign w:val="superscript"/>
        </w:rPr>
        <w:t>st</w:t>
      </w:r>
      <w:r w:rsidRPr="00F551E0">
        <w:rPr>
          <w:rFonts w:ascii="Times New Roman" w:hAnsi="Times New Roman" w:cs="Times New Roman"/>
          <w:sz w:val="20"/>
          <w:szCs w:val="20"/>
        </w:rPr>
        <w:t xml:space="preserve"> line treatment was (84.44%)</w:t>
      </w:r>
      <w:r w:rsidR="00D12008" w:rsidRPr="00F551E0">
        <w:rPr>
          <w:rFonts w:ascii="Times New Roman" w:hAnsi="Times New Roman" w:cs="Times New Roman"/>
          <w:sz w:val="20"/>
          <w:szCs w:val="20"/>
        </w:rPr>
        <w:t xml:space="preserve"> </w:t>
      </w:r>
      <w:r w:rsidRPr="00F551E0">
        <w:rPr>
          <w:rFonts w:ascii="Times New Roman" w:hAnsi="Times New Roman" w:cs="Times New Roman"/>
          <w:sz w:val="20"/>
          <w:szCs w:val="20"/>
        </w:rPr>
        <w:t xml:space="preserve">(P &lt; 0.01) which was comparable to what was stated by </w:t>
      </w:r>
      <w:r w:rsidRPr="00F551E0">
        <w:rPr>
          <w:rFonts w:ascii="Times New Roman" w:hAnsi="Times New Roman" w:cs="Times New Roman"/>
          <w:sz w:val="20"/>
          <w:szCs w:val="20"/>
          <w:lang w:bidi="ar-EG"/>
        </w:rPr>
        <w:t>other studies previously listed in the research</w:t>
      </w:r>
      <w:r w:rsidRPr="00F551E0">
        <w:rPr>
          <w:rFonts w:ascii="Times New Roman" w:hAnsi="Times New Roman" w:cs="Times New Roman"/>
          <w:sz w:val="20"/>
          <w:szCs w:val="20"/>
        </w:rPr>
        <w:t>.</w:t>
      </w:r>
      <w:r w:rsidRPr="00F551E0">
        <w:rPr>
          <w:rFonts w:ascii="Times New Roman" w:hAnsi="Times New Roman" w:cs="Times New Roman"/>
          <w:sz w:val="20"/>
          <w:szCs w:val="20"/>
          <w:lang w:bidi="ar-EG"/>
        </w:rPr>
        <w:t xml:space="preserve"> Clinical Complete Nodal Response (cCR) for those who had +ve clinical lymphadenopathy at entry</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had received</w:t>
      </w:r>
      <w:r w:rsidRPr="00F551E0">
        <w:rPr>
          <w:rFonts w:ascii="Times New Roman" w:hAnsi="Times New Roman" w:cs="Times New Roman"/>
          <w:sz w:val="20"/>
          <w:szCs w:val="20"/>
        </w:rPr>
        <w:t xml:space="preserve"> </w:t>
      </w:r>
      <w:r w:rsidRPr="00F551E0">
        <w:rPr>
          <w:rFonts w:ascii="Times New Roman" w:hAnsi="Times New Roman" w:cs="Times New Roman"/>
          <w:sz w:val="20"/>
          <w:szCs w:val="20"/>
          <w:lang w:bidi="ar-EG"/>
        </w:rPr>
        <w:t>(Vinorelbine, Cisplatin) was 19 (63.33%) patients</w:t>
      </w:r>
      <w:r w:rsidR="00F551E0" w:rsidRPr="00F551E0">
        <w:rPr>
          <w:rFonts w:ascii="Times New Roman" w:hAnsi="Times New Roman" w:cs="Times New Roman"/>
          <w:sz w:val="20"/>
          <w:szCs w:val="20"/>
          <w:lang w:bidi="ar-EG"/>
        </w:rPr>
        <w:t xml:space="preserve"> </w:t>
      </w:r>
      <w:r w:rsidRPr="00F551E0">
        <w:rPr>
          <w:rFonts w:ascii="Times New Roman" w:hAnsi="Times New Roman" w:cs="Times New Roman"/>
          <w:sz w:val="20"/>
          <w:szCs w:val="20"/>
          <w:lang w:bidi="ar-EG"/>
        </w:rPr>
        <w:t>(P &lt; 0.01).</w:t>
      </w:r>
      <w:r w:rsidR="00A75FA0" w:rsidRPr="00F551E0">
        <w:rPr>
          <w:rFonts w:ascii="Times New Roman" w:hAnsi="Times New Roman" w:cs="Times New Roman"/>
          <w:sz w:val="20"/>
          <w:szCs w:val="20"/>
          <w:lang w:bidi="ar-EG"/>
        </w:rPr>
        <w:t xml:space="preserve"> </w:t>
      </w:r>
    </w:p>
    <w:p w:rsidR="00A24B90" w:rsidRPr="00F551E0" w:rsidRDefault="00A75FA0" w:rsidP="00931FFE">
      <w:pPr>
        <w:tabs>
          <w:tab w:val="left" w:pos="977"/>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lang w:bidi="ar-EG"/>
        </w:rPr>
        <w:t>8 (17.77%) patients had Pathological Complete</w:t>
      </w:r>
      <w:r w:rsidR="008E5239" w:rsidRPr="00F551E0">
        <w:rPr>
          <w:rFonts w:ascii="Times New Roman" w:hAnsi="Times New Roman" w:cs="Times New Roman"/>
          <w:sz w:val="20"/>
          <w:szCs w:val="20"/>
          <w:lang w:bidi="ar-EG"/>
        </w:rPr>
        <w:t xml:space="preserve"> Tumor</w:t>
      </w:r>
      <w:r w:rsidRPr="00F551E0">
        <w:rPr>
          <w:rFonts w:ascii="Times New Roman" w:hAnsi="Times New Roman" w:cs="Times New Roman"/>
          <w:sz w:val="20"/>
          <w:szCs w:val="20"/>
          <w:lang w:bidi="ar-EG"/>
        </w:rPr>
        <w:t xml:space="preserve"> Response (pCR)</w:t>
      </w:r>
      <w:r w:rsidR="008E5239" w:rsidRPr="00F551E0">
        <w:rPr>
          <w:rFonts w:ascii="Times New Roman" w:hAnsi="Times New Roman" w:cs="Times New Roman"/>
          <w:sz w:val="20"/>
          <w:szCs w:val="20"/>
          <w:lang w:bidi="ar-EG"/>
        </w:rPr>
        <w:t xml:space="preserve"> </w:t>
      </w:r>
      <w:r w:rsidRPr="00F551E0">
        <w:rPr>
          <w:rFonts w:ascii="Times New Roman" w:hAnsi="Times New Roman" w:cs="Times New Roman"/>
          <w:sz w:val="20"/>
          <w:szCs w:val="20"/>
          <w:lang w:bidi="ar-EG"/>
        </w:rPr>
        <w:t xml:space="preserve">(P &lt; 0.01) out of 19 patients who had Clinical Complete </w:t>
      </w:r>
      <w:r w:rsidR="008E5239" w:rsidRPr="00F551E0">
        <w:rPr>
          <w:rFonts w:ascii="Times New Roman" w:hAnsi="Times New Roman" w:cs="Times New Roman"/>
          <w:sz w:val="20"/>
          <w:szCs w:val="20"/>
          <w:lang w:bidi="ar-EG"/>
        </w:rPr>
        <w:t xml:space="preserve">Tumor </w:t>
      </w:r>
      <w:r w:rsidRPr="00F551E0">
        <w:rPr>
          <w:rFonts w:ascii="Times New Roman" w:hAnsi="Times New Roman" w:cs="Times New Roman"/>
          <w:sz w:val="20"/>
          <w:szCs w:val="20"/>
          <w:lang w:bidi="ar-EG"/>
        </w:rPr>
        <w:t>Response (cCR)</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out of 45 patients who had received (Vinorelbine, Cisplatin) regimen</w:t>
      </w:r>
      <w:r w:rsidR="008E5239" w:rsidRPr="00F551E0">
        <w:rPr>
          <w:rFonts w:ascii="Times New Roman" w:hAnsi="Times New Roman" w:cs="Times New Roman"/>
          <w:sz w:val="20"/>
          <w:szCs w:val="20"/>
          <w:lang w:bidi="ar-EG"/>
        </w:rPr>
        <w:t xml:space="preserve"> which was more superior</w:t>
      </w:r>
      <w:r w:rsidR="00F551E0" w:rsidRPr="00F551E0">
        <w:rPr>
          <w:rFonts w:ascii="Times New Roman" w:hAnsi="Times New Roman" w:cs="Times New Roman"/>
          <w:sz w:val="20"/>
          <w:szCs w:val="20"/>
          <w:lang w:bidi="ar-EG"/>
        </w:rPr>
        <w:t xml:space="preserve"> &amp; </w:t>
      </w:r>
      <w:r w:rsidR="008E5239" w:rsidRPr="00F551E0">
        <w:rPr>
          <w:rFonts w:ascii="Times New Roman" w:hAnsi="Times New Roman" w:cs="Times New Roman"/>
          <w:sz w:val="20"/>
          <w:szCs w:val="20"/>
          <w:lang w:bidi="ar-EG"/>
        </w:rPr>
        <w:t>comparable to what was stated by other studies previously listed in the research</w:t>
      </w:r>
      <w:r w:rsidRPr="00F551E0">
        <w:rPr>
          <w:rFonts w:ascii="Times New Roman" w:hAnsi="Times New Roman" w:cs="Times New Roman"/>
          <w:sz w:val="20"/>
          <w:szCs w:val="20"/>
          <w:lang w:bidi="ar-EG"/>
        </w:rPr>
        <w:t>, but 11 (24.44%) patients had Pathological Invasive Disease after doing Modified Radical Mastectomy.</w:t>
      </w:r>
      <w:r w:rsidR="008E5239" w:rsidRPr="00F551E0">
        <w:rPr>
          <w:rFonts w:ascii="Times New Roman" w:hAnsi="Times New Roman" w:cs="Times New Roman"/>
          <w:sz w:val="20"/>
          <w:szCs w:val="20"/>
          <w:lang w:bidi="ar-EG"/>
        </w:rPr>
        <w:t xml:space="preserve"> Pathological Complete Nodal Response (pCR) for those who had Clinical Complete Nodal Response after having (Vinorelbine, Cisplatin) regimen was 7 (36.84%) </w:t>
      </w:r>
      <w:r w:rsidR="00A24B90" w:rsidRPr="00F551E0">
        <w:rPr>
          <w:rFonts w:ascii="Times New Roman" w:hAnsi="Times New Roman" w:cs="Times New Roman"/>
          <w:sz w:val="20"/>
          <w:szCs w:val="20"/>
          <w:lang w:bidi="ar-EG"/>
        </w:rPr>
        <w:t xml:space="preserve">patients </w:t>
      </w:r>
      <w:r w:rsidR="008E5239" w:rsidRPr="00F551E0">
        <w:rPr>
          <w:rFonts w:ascii="Times New Roman" w:hAnsi="Times New Roman" w:cs="Times New Roman"/>
          <w:sz w:val="20"/>
          <w:szCs w:val="20"/>
        </w:rPr>
        <w:t>(P = 0.02)</w:t>
      </w:r>
      <w:r w:rsidR="008E5239" w:rsidRPr="00F551E0">
        <w:rPr>
          <w:rFonts w:ascii="Times New Roman" w:hAnsi="Times New Roman" w:cs="Times New Roman"/>
          <w:sz w:val="20"/>
          <w:szCs w:val="20"/>
          <w:lang w:bidi="ar-EG"/>
        </w:rPr>
        <w:t xml:space="preserve"> which was more superior</w:t>
      </w:r>
      <w:r w:rsidR="00F551E0" w:rsidRPr="00F551E0">
        <w:rPr>
          <w:rFonts w:ascii="Times New Roman" w:hAnsi="Times New Roman" w:cs="Times New Roman"/>
          <w:sz w:val="20"/>
          <w:szCs w:val="20"/>
          <w:lang w:bidi="ar-EG"/>
        </w:rPr>
        <w:t xml:space="preserve"> &amp; </w:t>
      </w:r>
      <w:r w:rsidR="008E5239" w:rsidRPr="00F551E0">
        <w:rPr>
          <w:rFonts w:ascii="Times New Roman" w:hAnsi="Times New Roman" w:cs="Times New Roman"/>
          <w:sz w:val="20"/>
          <w:szCs w:val="20"/>
          <w:lang w:bidi="ar-EG"/>
        </w:rPr>
        <w:t>comparable to what was stated by other studies previously listed in the research.</w:t>
      </w:r>
      <w:r w:rsidR="008E5239" w:rsidRPr="00F551E0">
        <w:rPr>
          <w:rFonts w:ascii="Times New Roman" w:hAnsi="Times New Roman" w:cs="Times New Roman"/>
          <w:sz w:val="20"/>
          <w:szCs w:val="20"/>
        </w:rPr>
        <w:t xml:space="preserve"> </w:t>
      </w:r>
    </w:p>
    <w:p w:rsidR="00A24B90" w:rsidRPr="00F551E0" w:rsidRDefault="008E5239"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rPr>
        <w:t>The Haematological Side Effects happened for those who had (Vinorelbine, Cisplatin) were uncommon that Neutropenia Grade 2</w:t>
      </w:r>
      <w:r w:rsidR="00F551E0" w:rsidRPr="00F551E0">
        <w:rPr>
          <w:rFonts w:ascii="Times New Roman" w:hAnsi="Times New Roman" w:cs="Times New Roman"/>
          <w:sz w:val="20"/>
          <w:szCs w:val="20"/>
        </w:rPr>
        <w:t xml:space="preserve"> &amp; </w:t>
      </w:r>
      <w:r w:rsidRPr="00F551E0">
        <w:rPr>
          <w:rFonts w:ascii="Times New Roman" w:hAnsi="Times New Roman" w:cs="Times New Roman"/>
          <w:sz w:val="20"/>
          <w:szCs w:val="20"/>
        </w:rPr>
        <w:t>Grade 3 occurred in 7 (10.06%) patients, 2 (3.03%) patients respectively which was comparable to what was stated</w:t>
      </w:r>
      <w:r w:rsidRPr="00F551E0">
        <w:rPr>
          <w:rFonts w:ascii="Times New Roman" w:hAnsi="Times New Roman" w:cs="Times New Roman"/>
          <w:sz w:val="20"/>
          <w:szCs w:val="20"/>
          <w:lang w:bidi="ar-EG"/>
        </w:rPr>
        <w:t xml:space="preserve"> other studies previously listed in the research.</w:t>
      </w:r>
      <w:r w:rsidR="00D12008" w:rsidRPr="00F551E0">
        <w:rPr>
          <w:rFonts w:ascii="Times New Roman" w:hAnsi="Times New Roman" w:cs="Times New Roman"/>
          <w:sz w:val="20"/>
          <w:szCs w:val="20"/>
        </w:rPr>
        <w:t xml:space="preserve"> No Progressive Disease had happened to any of the studied patients at all which was in agreement with </w:t>
      </w:r>
      <w:r w:rsidR="00D12008" w:rsidRPr="00F551E0">
        <w:rPr>
          <w:rFonts w:ascii="Times New Roman" w:hAnsi="Times New Roman" w:cs="Times New Roman"/>
          <w:sz w:val="20"/>
          <w:szCs w:val="20"/>
        </w:rPr>
        <w:lastRenderedPageBreak/>
        <w:t>what was stated</w:t>
      </w:r>
      <w:r w:rsidR="00D12008" w:rsidRPr="00F551E0">
        <w:rPr>
          <w:rFonts w:ascii="Times New Roman" w:hAnsi="Times New Roman" w:cs="Times New Roman"/>
          <w:sz w:val="20"/>
          <w:szCs w:val="20"/>
          <w:lang w:bidi="ar-EG"/>
        </w:rPr>
        <w:t xml:space="preserve"> </w:t>
      </w:r>
      <w:r w:rsidR="00BB587F" w:rsidRPr="00F551E0">
        <w:rPr>
          <w:rFonts w:ascii="Times New Roman" w:hAnsi="Times New Roman" w:cs="Times New Roman"/>
          <w:sz w:val="20"/>
          <w:szCs w:val="20"/>
          <w:lang w:bidi="ar-EG"/>
        </w:rPr>
        <w:t xml:space="preserve">by </w:t>
      </w:r>
      <w:r w:rsidR="00D12008" w:rsidRPr="00F551E0">
        <w:rPr>
          <w:rFonts w:ascii="Times New Roman" w:hAnsi="Times New Roman" w:cs="Times New Roman"/>
          <w:sz w:val="20"/>
          <w:szCs w:val="20"/>
          <w:lang w:bidi="ar-EG"/>
        </w:rPr>
        <w:t>other studies previously listed in the research.</w:t>
      </w:r>
      <w:r w:rsidR="00D12008" w:rsidRPr="00F551E0">
        <w:rPr>
          <w:rFonts w:ascii="Times New Roman" w:hAnsi="Times New Roman" w:cs="Times New Roman"/>
          <w:sz w:val="20"/>
          <w:szCs w:val="20"/>
        </w:rPr>
        <w:t xml:space="preserve"> </w:t>
      </w:r>
    </w:p>
    <w:p w:rsidR="00A24B90" w:rsidRPr="00F551E0" w:rsidRDefault="00D12008"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rPr>
        <w:t xml:space="preserve">This study revealed that </w:t>
      </w:r>
      <w:r w:rsidRPr="00F551E0">
        <w:rPr>
          <w:rFonts w:ascii="Times New Roman" w:hAnsi="Times New Roman" w:cs="Times New Roman"/>
          <w:sz w:val="20"/>
          <w:szCs w:val="20"/>
          <w:lang w:bidi="ar-EG"/>
        </w:rPr>
        <w:t xml:space="preserve">45 patients were randomized to have (4) cycles of (Docetaxel, Gemcitabine) and Clinical Tumor Response was assessed after that, and revealed that: 7 (15.55%) patients had Clinical Complete Tumor Response (cCR) to which they did Modified Radical Mastectomy (MRM). 17 (37.77%) patients had Clinical Partial Tumor Response (cPR) to which they received (2) additional cycles of the same regimen to which 1 more patient had reached Clinical Complete Tumor Response (cCR) and 16 (35.55%) patients remained partially responded to chemotherapy given (Partial Maintained). So that Clinical Complete Tumor Response (cCR) was achieved in 8 (17.77%) </w:t>
      </w:r>
      <w:r w:rsidRPr="00F551E0">
        <w:rPr>
          <w:rFonts w:ascii="Times New Roman" w:hAnsi="Times New Roman" w:cs="Times New Roman"/>
          <w:sz w:val="20"/>
          <w:szCs w:val="20"/>
        </w:rPr>
        <w:t xml:space="preserve">(P &lt; 0.01) </w:t>
      </w:r>
      <w:r w:rsidRPr="00F551E0">
        <w:rPr>
          <w:rFonts w:ascii="Times New Roman" w:hAnsi="Times New Roman" w:cs="Times New Roman"/>
          <w:sz w:val="20"/>
          <w:szCs w:val="20"/>
          <w:lang w:bidi="ar-EG"/>
        </w:rPr>
        <w:t>patients after having (Docetaxel, Gemcitabine) regimen which was comparable to what was stated</w:t>
      </w:r>
      <w:r w:rsidR="00BB587F" w:rsidRPr="00F551E0">
        <w:rPr>
          <w:rFonts w:ascii="Times New Roman" w:hAnsi="Times New Roman" w:cs="Times New Roman"/>
          <w:sz w:val="20"/>
          <w:szCs w:val="20"/>
          <w:lang w:bidi="ar-EG"/>
        </w:rPr>
        <w:t xml:space="preserve"> by other studies previously listed in the research.</w:t>
      </w:r>
      <w:r w:rsidR="00BB587F" w:rsidRPr="00F551E0">
        <w:rPr>
          <w:rFonts w:ascii="Times New Roman" w:hAnsi="Times New Roman" w:cs="Times New Roman"/>
          <w:sz w:val="20"/>
          <w:szCs w:val="20"/>
        </w:rPr>
        <w:t xml:space="preserve"> The Response Rate (RR) for the </w:t>
      </w:r>
      <w:r w:rsidR="00BB587F" w:rsidRPr="00F551E0">
        <w:rPr>
          <w:rFonts w:ascii="Times New Roman" w:hAnsi="Times New Roman" w:cs="Times New Roman"/>
          <w:sz w:val="20"/>
          <w:szCs w:val="20"/>
          <w:lang w:bidi="ar-EG"/>
        </w:rPr>
        <w:t>(Docetaxel, Gemcitabine)</w:t>
      </w:r>
      <w:r w:rsidR="00BB587F" w:rsidRPr="00F551E0">
        <w:rPr>
          <w:rFonts w:ascii="Times New Roman" w:hAnsi="Times New Roman" w:cs="Times New Roman"/>
          <w:sz w:val="20"/>
          <w:szCs w:val="20"/>
        </w:rPr>
        <w:t xml:space="preserve"> regimen as 1</w:t>
      </w:r>
      <w:r w:rsidR="00BB587F" w:rsidRPr="00F551E0">
        <w:rPr>
          <w:rFonts w:ascii="Times New Roman" w:hAnsi="Times New Roman" w:cs="Times New Roman"/>
          <w:sz w:val="20"/>
          <w:szCs w:val="20"/>
          <w:vertAlign w:val="superscript"/>
        </w:rPr>
        <w:t>st</w:t>
      </w:r>
      <w:r w:rsidR="00BB587F" w:rsidRPr="00F551E0">
        <w:rPr>
          <w:rFonts w:ascii="Times New Roman" w:hAnsi="Times New Roman" w:cs="Times New Roman"/>
          <w:sz w:val="20"/>
          <w:szCs w:val="20"/>
        </w:rPr>
        <w:t xml:space="preserve"> line treatment was (53.33%) (P &lt; 0.01) which was comparable to what was stated</w:t>
      </w:r>
      <w:r w:rsidR="00BB587F" w:rsidRPr="00F551E0">
        <w:rPr>
          <w:rFonts w:ascii="Times New Roman" w:hAnsi="Times New Roman" w:cs="Times New Roman"/>
          <w:sz w:val="20"/>
          <w:szCs w:val="20"/>
          <w:lang w:bidi="ar-EG"/>
        </w:rPr>
        <w:t xml:space="preserve"> by other studies previously listed in the research. Clinical Complete Nodal Response (cCR) for those who had +ve clinical lymphadenopathy at entry</w:t>
      </w:r>
      <w:r w:rsidR="00F551E0" w:rsidRPr="00F551E0">
        <w:rPr>
          <w:rFonts w:ascii="Times New Roman" w:hAnsi="Times New Roman" w:cs="Times New Roman"/>
          <w:sz w:val="20"/>
          <w:szCs w:val="20"/>
          <w:lang w:bidi="ar-EG"/>
        </w:rPr>
        <w:t xml:space="preserve"> &amp; </w:t>
      </w:r>
      <w:r w:rsidR="00BB587F" w:rsidRPr="00F551E0">
        <w:rPr>
          <w:rFonts w:ascii="Times New Roman" w:hAnsi="Times New Roman" w:cs="Times New Roman"/>
          <w:sz w:val="20"/>
          <w:szCs w:val="20"/>
          <w:lang w:bidi="ar-EG"/>
        </w:rPr>
        <w:t>had received</w:t>
      </w:r>
      <w:r w:rsidR="00BB587F" w:rsidRPr="00F551E0">
        <w:rPr>
          <w:rFonts w:ascii="Times New Roman" w:hAnsi="Times New Roman" w:cs="Times New Roman"/>
          <w:sz w:val="20"/>
          <w:szCs w:val="20"/>
        </w:rPr>
        <w:t xml:space="preserve"> </w:t>
      </w:r>
      <w:r w:rsidR="00BB587F" w:rsidRPr="00F551E0">
        <w:rPr>
          <w:rFonts w:ascii="Times New Roman" w:hAnsi="Times New Roman" w:cs="Times New Roman"/>
          <w:sz w:val="20"/>
          <w:szCs w:val="20"/>
          <w:lang w:bidi="ar-EG"/>
        </w:rPr>
        <w:t>(Docetaxel, Gemcitabine) was 23 (76.66%) patients</w:t>
      </w:r>
      <w:r w:rsidR="00F551E0" w:rsidRPr="00F551E0">
        <w:rPr>
          <w:rFonts w:ascii="Times New Roman" w:hAnsi="Times New Roman" w:cs="Times New Roman"/>
          <w:sz w:val="20"/>
          <w:szCs w:val="20"/>
          <w:lang w:bidi="ar-EG"/>
        </w:rPr>
        <w:t xml:space="preserve"> </w:t>
      </w:r>
      <w:r w:rsidR="00BB587F" w:rsidRPr="00F551E0">
        <w:rPr>
          <w:rFonts w:ascii="Times New Roman" w:hAnsi="Times New Roman" w:cs="Times New Roman"/>
          <w:sz w:val="20"/>
          <w:szCs w:val="20"/>
          <w:lang w:bidi="ar-EG"/>
        </w:rPr>
        <w:t xml:space="preserve">(P &lt; 0.01). </w:t>
      </w:r>
    </w:p>
    <w:p w:rsidR="00A24B90" w:rsidRPr="00F551E0" w:rsidRDefault="00BB587F" w:rsidP="00931FFE">
      <w:pPr>
        <w:tabs>
          <w:tab w:val="left" w:pos="977"/>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lang w:bidi="ar-EG"/>
        </w:rPr>
        <w:t>4 (8.88%) patients had Pathological Complete Response (pCR) (P &lt; 0.01) out of 8 patients who had Clinical Complete Response (cCR)</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 xml:space="preserve">out of 45 patients who had received (Docetaxel, Gemcitabine) regimen, but 4 (8.88%) patients had Pathological Invasive Disease after doing Modified Radical Mastectomy. Pathological Complete Nodal Response (pCR) for those who had Clinical Complete Nodal Response after having </w:t>
      </w:r>
      <w:r w:rsidRPr="00F551E0">
        <w:rPr>
          <w:rFonts w:ascii="Times New Roman" w:hAnsi="Times New Roman" w:cs="Times New Roman"/>
          <w:sz w:val="20"/>
          <w:szCs w:val="20"/>
        </w:rPr>
        <w:t>(Docetaxel, Gemcitabine)</w:t>
      </w:r>
      <w:r w:rsidRPr="00F551E0">
        <w:rPr>
          <w:rFonts w:ascii="Times New Roman" w:hAnsi="Times New Roman" w:cs="Times New Roman"/>
          <w:sz w:val="20"/>
          <w:szCs w:val="20"/>
          <w:lang w:bidi="ar-EG"/>
        </w:rPr>
        <w:t xml:space="preserve"> regimen was 11 (47.82%) patients (P = 0.02).</w:t>
      </w:r>
      <w:r w:rsidR="00A24B90" w:rsidRPr="00F551E0">
        <w:rPr>
          <w:rFonts w:ascii="Times New Roman" w:hAnsi="Times New Roman" w:cs="Times New Roman"/>
          <w:sz w:val="20"/>
          <w:szCs w:val="20"/>
        </w:rPr>
        <w:t xml:space="preserve"> </w:t>
      </w:r>
    </w:p>
    <w:p w:rsidR="00A24B90" w:rsidRPr="00F551E0" w:rsidRDefault="00A24B90" w:rsidP="00931FFE">
      <w:pPr>
        <w:tabs>
          <w:tab w:val="left" w:pos="977"/>
        </w:tabs>
        <w:bidi w:val="0"/>
        <w:snapToGrid w:val="0"/>
        <w:spacing w:after="0" w:line="240" w:lineRule="auto"/>
        <w:ind w:firstLine="425"/>
        <w:jc w:val="both"/>
        <w:rPr>
          <w:rFonts w:ascii="Times New Roman" w:hAnsi="Times New Roman" w:cs="Times New Roman"/>
          <w:sz w:val="20"/>
          <w:szCs w:val="20"/>
          <w:lang w:bidi="ar-EG"/>
        </w:rPr>
      </w:pPr>
      <w:r w:rsidRPr="00F551E0">
        <w:rPr>
          <w:rFonts w:ascii="Times New Roman" w:hAnsi="Times New Roman" w:cs="Times New Roman"/>
          <w:sz w:val="20"/>
          <w:szCs w:val="20"/>
        </w:rPr>
        <w:t>The Haematological Side Effects were more commonly happened with the patients who received (Docetaxel, Gemcitabine) in comparison to those received (Vinorelbine, Cisplatin). The most significant Haematological Side Effects occurred for the patients who had received (Docetaxel, Gemcitabine): 21(40.38%) patients had Grade 2 Anemia, 20 (38.4%) patients had Grade 2 Neutropenia. 11 (21.1%) patients had Grade 3 Neutropenia. which was comparable to what was stated</w:t>
      </w:r>
      <w:r w:rsidRPr="00F551E0">
        <w:rPr>
          <w:rFonts w:ascii="Times New Roman" w:hAnsi="Times New Roman" w:cs="Times New Roman"/>
          <w:sz w:val="20"/>
          <w:szCs w:val="20"/>
          <w:lang w:bidi="ar-EG"/>
        </w:rPr>
        <w:t xml:space="preserve"> other studies previously listed in the research.</w:t>
      </w:r>
    </w:p>
    <w:p w:rsidR="00117699" w:rsidRPr="00F551E0" w:rsidRDefault="00A24B90" w:rsidP="00931FFE">
      <w:pPr>
        <w:tabs>
          <w:tab w:val="left" w:pos="977"/>
        </w:tabs>
        <w:bidi w:val="0"/>
        <w:snapToGrid w:val="0"/>
        <w:spacing w:after="0" w:line="240" w:lineRule="auto"/>
        <w:ind w:firstLine="425"/>
        <w:jc w:val="both"/>
        <w:rPr>
          <w:rFonts w:ascii="Times New Roman" w:hAnsi="Times New Roman" w:cs="Times New Roman"/>
          <w:sz w:val="20"/>
          <w:szCs w:val="20"/>
        </w:rPr>
      </w:pPr>
      <w:r w:rsidRPr="00F551E0">
        <w:rPr>
          <w:rFonts w:ascii="Times New Roman" w:hAnsi="Times New Roman" w:cs="Times New Roman"/>
          <w:sz w:val="20"/>
          <w:szCs w:val="20"/>
        </w:rPr>
        <w:t>This study revealed that Disease Free Survival (DFS)</w:t>
      </w:r>
      <w:r w:rsidRPr="00F551E0">
        <w:rPr>
          <w:rFonts w:ascii="Times New Roman" w:hAnsi="Times New Roman" w:cs="Times New Roman"/>
          <w:sz w:val="20"/>
          <w:szCs w:val="20"/>
          <w:lang w:bidi="ar-EG"/>
        </w:rPr>
        <w:t xml:space="preserve"> for those who had pathological complete tumor</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 xml:space="preserve">nodal response after receiving either (Vinorelbine, Cisplatin) or (Docetaxel, Gemcitabine) regimens </w:t>
      </w:r>
      <w:r w:rsidRPr="00F551E0">
        <w:rPr>
          <w:rFonts w:ascii="Times New Roman" w:hAnsi="Times New Roman" w:cs="Times New Roman"/>
          <w:sz w:val="20"/>
          <w:szCs w:val="20"/>
        </w:rPr>
        <w:t>during</w:t>
      </w:r>
      <w:r w:rsidR="00F551E0" w:rsidRPr="00F551E0">
        <w:rPr>
          <w:rFonts w:ascii="Times New Roman" w:hAnsi="Times New Roman" w:cs="Times New Roman"/>
          <w:sz w:val="20"/>
          <w:szCs w:val="20"/>
        </w:rPr>
        <w:t xml:space="preserve"> </w:t>
      </w:r>
      <w:r w:rsidRPr="00F551E0">
        <w:rPr>
          <w:rFonts w:ascii="Times New Roman" w:hAnsi="Times New Roman" w:cs="Times New Roman"/>
          <w:sz w:val="20"/>
          <w:szCs w:val="20"/>
        </w:rPr>
        <w:t xml:space="preserve">19 months of follow-up </w:t>
      </w:r>
      <w:r w:rsidRPr="00F551E0">
        <w:rPr>
          <w:rFonts w:ascii="Times New Roman" w:hAnsi="Times New Roman" w:cs="Times New Roman"/>
          <w:sz w:val="20"/>
          <w:szCs w:val="20"/>
          <w:lang w:bidi="ar-EG"/>
        </w:rPr>
        <w:t>was 100% with significant statistical difference.</w:t>
      </w:r>
      <w:r w:rsidRPr="00F551E0">
        <w:rPr>
          <w:rFonts w:ascii="Times New Roman" w:hAnsi="Times New Roman" w:cs="Times New Roman"/>
          <w:noProof/>
          <w:sz w:val="20"/>
          <w:szCs w:val="20"/>
        </w:rPr>
        <w:t xml:space="preserve"> </w:t>
      </w:r>
      <w:r w:rsidRPr="00F551E0">
        <w:rPr>
          <w:rFonts w:ascii="Times New Roman" w:hAnsi="Times New Roman" w:cs="Times New Roman"/>
          <w:sz w:val="20"/>
          <w:szCs w:val="20"/>
        </w:rPr>
        <w:t xml:space="preserve">Overall Survival (OS) during 19 months of follow-up for Responders in general at both study groups was 100% with good </w:t>
      </w:r>
      <w:r w:rsidRPr="00F551E0">
        <w:rPr>
          <w:rFonts w:ascii="Times New Roman" w:hAnsi="Times New Roman" w:cs="Times New Roman"/>
          <w:sz w:val="20"/>
          <w:szCs w:val="20"/>
        </w:rPr>
        <w:lastRenderedPageBreak/>
        <w:t>performance status (P = 0.02) with significant statistical difference.</w:t>
      </w:r>
    </w:p>
    <w:p w:rsidR="002F154E" w:rsidRPr="00F551E0" w:rsidRDefault="007F4590" w:rsidP="00931FFE">
      <w:pPr>
        <w:tabs>
          <w:tab w:val="left" w:pos="977"/>
        </w:tabs>
        <w:bidi w:val="0"/>
        <w:snapToGrid w:val="0"/>
        <w:spacing w:after="0" w:line="240" w:lineRule="auto"/>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 xml:space="preserve"> </w:t>
      </w:r>
    </w:p>
    <w:p w:rsidR="00A24B90" w:rsidRPr="00F551E0" w:rsidRDefault="00666E50" w:rsidP="00931FFE">
      <w:pPr>
        <w:tabs>
          <w:tab w:val="left" w:pos="977"/>
        </w:tabs>
        <w:bidi w:val="0"/>
        <w:snapToGrid w:val="0"/>
        <w:spacing w:after="0" w:line="240" w:lineRule="auto"/>
        <w:jc w:val="both"/>
        <w:rPr>
          <w:rFonts w:ascii="Times New Roman" w:hAnsi="Times New Roman" w:cs="Times New Roman"/>
          <w:b/>
          <w:bCs/>
          <w:sz w:val="20"/>
          <w:szCs w:val="20"/>
        </w:rPr>
      </w:pPr>
      <w:r w:rsidRPr="00F551E0">
        <w:rPr>
          <w:rFonts w:ascii="Times New Roman" w:hAnsi="Times New Roman" w:cs="Times New Roman"/>
          <w:b/>
          <w:bCs/>
          <w:sz w:val="20"/>
          <w:szCs w:val="20"/>
        </w:rPr>
        <w:t>Conclusion</w:t>
      </w:r>
    </w:p>
    <w:p w:rsidR="00117699" w:rsidRPr="00F551E0" w:rsidRDefault="00666E50" w:rsidP="00931FFE">
      <w:pPr>
        <w:bidi w:val="0"/>
        <w:snapToGrid w:val="0"/>
        <w:spacing w:after="0" w:line="240" w:lineRule="auto"/>
        <w:ind w:firstLine="425"/>
        <w:jc w:val="both"/>
        <w:rPr>
          <w:rFonts w:ascii="Times New Roman" w:hAnsi="Times New Roman" w:cs="Times New Roman"/>
          <w:sz w:val="20"/>
          <w:szCs w:val="20"/>
        </w:rPr>
      </w:pPr>
      <w:r w:rsidRPr="00F551E0">
        <w:rPr>
          <w:rFonts w:ascii="Times New Roman" w:eastAsia="Calibri" w:hAnsi="Times New Roman" w:cs="Times New Roman"/>
          <w:sz w:val="20"/>
          <w:szCs w:val="20"/>
        </w:rPr>
        <w:t>(Vinorelbine, Cisplatin) regimen was effective and well-tolerated in patients with Locally Advanced Breast Cancer (LABC) with Overall Response Rate (RR):</w:t>
      </w:r>
      <w:r w:rsidR="00F551E0" w:rsidRPr="00F551E0">
        <w:rPr>
          <w:rFonts w:ascii="Times New Roman" w:eastAsia="Calibri" w:hAnsi="Times New Roman" w:cs="Times New Roman"/>
          <w:sz w:val="20"/>
          <w:szCs w:val="20"/>
        </w:rPr>
        <w:t xml:space="preserve"> </w:t>
      </w:r>
      <w:r w:rsidRPr="00F551E0">
        <w:rPr>
          <w:rFonts w:ascii="Times New Roman" w:eastAsia="Calibri" w:hAnsi="Times New Roman" w:cs="Times New Roman"/>
          <w:sz w:val="20"/>
          <w:szCs w:val="20"/>
        </w:rPr>
        <w:t>(84.44%</w:t>
      </w:r>
      <w:r w:rsidR="00117699" w:rsidRPr="00F551E0">
        <w:rPr>
          <w:rFonts w:ascii="Times New Roman" w:hAnsi="Times New Roman" w:cs="Times New Roman"/>
          <w:sz w:val="20"/>
          <w:szCs w:val="20"/>
        </w:rPr>
        <w:t xml:space="preserve">). </w:t>
      </w:r>
      <w:r w:rsidRPr="00F551E0">
        <w:rPr>
          <w:rFonts w:ascii="Times New Roman" w:eastAsia="Calibri" w:hAnsi="Times New Roman" w:cs="Times New Roman"/>
          <w:sz w:val="20"/>
          <w:szCs w:val="20"/>
        </w:rPr>
        <w:t>(Docetaxel, Gemcitabine) regimen is an effective and fairly well-tolerated regimen for the treatment of Locally Advanced Breast Cancer (LABC) with Overall Response Rate (RR):</w:t>
      </w:r>
      <w:r w:rsidR="00F551E0" w:rsidRPr="00F551E0">
        <w:rPr>
          <w:rFonts w:ascii="Times New Roman" w:eastAsia="Calibri" w:hAnsi="Times New Roman" w:cs="Times New Roman"/>
          <w:sz w:val="20"/>
          <w:szCs w:val="20"/>
        </w:rPr>
        <w:t xml:space="preserve"> </w:t>
      </w:r>
      <w:r w:rsidRPr="00F551E0">
        <w:rPr>
          <w:rFonts w:ascii="Times New Roman" w:eastAsia="Calibri" w:hAnsi="Times New Roman" w:cs="Times New Roman"/>
          <w:sz w:val="20"/>
          <w:szCs w:val="20"/>
        </w:rPr>
        <w:t>(53.33%), but was lower than what was achieved with (Vinorelbine, Cisplatin) in this study.</w:t>
      </w:r>
    </w:p>
    <w:p w:rsidR="00117699" w:rsidRPr="00F551E0" w:rsidRDefault="00117699" w:rsidP="00931FFE">
      <w:pPr>
        <w:bidi w:val="0"/>
        <w:snapToGrid w:val="0"/>
        <w:spacing w:after="0" w:line="240" w:lineRule="auto"/>
        <w:ind w:firstLine="425"/>
        <w:jc w:val="both"/>
        <w:rPr>
          <w:rFonts w:ascii="Times New Roman" w:hAnsi="Times New Roman" w:cs="Times New Roman"/>
          <w:sz w:val="20"/>
          <w:szCs w:val="20"/>
        </w:rPr>
      </w:pPr>
      <w:r w:rsidRPr="00F551E0">
        <w:rPr>
          <w:rFonts w:ascii="Times New Roman" w:eastAsia="Calibri" w:hAnsi="Times New Roman" w:cs="Times New Roman"/>
          <w:sz w:val="20"/>
          <w:szCs w:val="20"/>
        </w:rPr>
        <w:t>Disease Free Survival (DFS)</w:t>
      </w:r>
      <w:r w:rsidR="00F551E0" w:rsidRPr="00F551E0">
        <w:rPr>
          <w:rFonts w:ascii="Times New Roman" w:eastAsia="Calibri" w:hAnsi="Times New Roman" w:cs="Times New Roman"/>
          <w:sz w:val="20"/>
          <w:szCs w:val="20"/>
          <w:lang w:bidi="ar-EG"/>
        </w:rPr>
        <w:t xml:space="preserve"> &amp; </w:t>
      </w:r>
      <w:r w:rsidRPr="00F551E0">
        <w:rPr>
          <w:rFonts w:ascii="Times New Roman" w:eastAsia="Calibri" w:hAnsi="Times New Roman" w:cs="Times New Roman"/>
          <w:sz w:val="20"/>
          <w:szCs w:val="20"/>
        </w:rPr>
        <w:t>Overall Survival (OS)</w:t>
      </w:r>
      <w:r w:rsidRPr="00F551E0">
        <w:rPr>
          <w:rFonts w:ascii="Times New Roman" w:eastAsia="Calibri" w:hAnsi="Times New Roman" w:cs="Times New Roman"/>
          <w:sz w:val="20"/>
          <w:szCs w:val="20"/>
          <w:lang w:bidi="ar-EG"/>
        </w:rPr>
        <w:t xml:space="preserve"> for those who had pathological complete tumor</w:t>
      </w:r>
      <w:r w:rsidR="00F551E0" w:rsidRPr="00F551E0">
        <w:rPr>
          <w:rFonts w:ascii="Times New Roman" w:eastAsia="Calibri" w:hAnsi="Times New Roman" w:cs="Times New Roman"/>
          <w:sz w:val="20"/>
          <w:szCs w:val="20"/>
          <w:lang w:bidi="ar-EG"/>
        </w:rPr>
        <w:t xml:space="preserve"> &amp; </w:t>
      </w:r>
      <w:r w:rsidRPr="00F551E0">
        <w:rPr>
          <w:rFonts w:ascii="Times New Roman" w:eastAsia="Calibri" w:hAnsi="Times New Roman" w:cs="Times New Roman"/>
          <w:sz w:val="20"/>
          <w:szCs w:val="20"/>
          <w:lang w:bidi="ar-EG"/>
        </w:rPr>
        <w:t xml:space="preserve">nodal response after receiving either (Vinorelbine, Cisplatin) or (Docetaxel, Gemcitabine) regimens </w:t>
      </w:r>
      <w:r w:rsidRPr="00F551E0">
        <w:rPr>
          <w:rFonts w:ascii="Times New Roman" w:eastAsia="Calibri" w:hAnsi="Times New Roman" w:cs="Times New Roman"/>
          <w:sz w:val="20"/>
          <w:szCs w:val="20"/>
        </w:rPr>
        <w:t xml:space="preserve">during 19 months of follow-up </w:t>
      </w:r>
      <w:r w:rsidRPr="00F551E0">
        <w:rPr>
          <w:rFonts w:ascii="Times New Roman" w:eastAsia="Calibri" w:hAnsi="Times New Roman" w:cs="Times New Roman"/>
          <w:sz w:val="20"/>
          <w:szCs w:val="20"/>
          <w:lang w:bidi="ar-EG"/>
        </w:rPr>
        <w:t xml:space="preserve">were (100%) </w:t>
      </w:r>
      <w:r w:rsidRPr="00F551E0">
        <w:rPr>
          <w:rFonts w:ascii="Times New Roman" w:eastAsia="Calibri" w:hAnsi="Times New Roman" w:cs="Times New Roman"/>
          <w:sz w:val="20"/>
          <w:szCs w:val="20"/>
        </w:rPr>
        <w:t>with significant statistical difference</w:t>
      </w:r>
      <w:r w:rsidRPr="00F551E0">
        <w:rPr>
          <w:rFonts w:ascii="Times New Roman" w:eastAsia="Calibri" w:hAnsi="Times New Roman" w:cs="Times New Roman"/>
          <w:sz w:val="20"/>
          <w:szCs w:val="20"/>
          <w:lang w:bidi="ar-EG"/>
        </w:rPr>
        <w:t>.</w:t>
      </w:r>
    </w:p>
    <w:p w:rsidR="00117699" w:rsidRPr="00F551E0" w:rsidRDefault="00117699" w:rsidP="00931FFE">
      <w:pPr>
        <w:bidi w:val="0"/>
        <w:snapToGrid w:val="0"/>
        <w:spacing w:after="0" w:line="240" w:lineRule="auto"/>
        <w:ind w:firstLine="425"/>
        <w:jc w:val="both"/>
        <w:rPr>
          <w:rFonts w:ascii="Times New Roman" w:eastAsia="Calibri" w:hAnsi="Times New Roman" w:cs="Times New Roman"/>
          <w:sz w:val="20"/>
          <w:szCs w:val="20"/>
        </w:rPr>
      </w:pPr>
      <w:r w:rsidRPr="00F551E0">
        <w:rPr>
          <w:rFonts w:ascii="Times New Roman" w:eastAsia="Calibri" w:hAnsi="Times New Roman" w:cs="Times New Roman"/>
          <w:sz w:val="20"/>
          <w:szCs w:val="20"/>
        </w:rPr>
        <w:t>Pathological complete remission (pCR) to neoadjuvant chemotherapy (NCT) has been consistently associated with improved disease free survival (DFS) and overall survival (OS) and early clinical response usually correlates with high probability for pCR.</w:t>
      </w:r>
    </w:p>
    <w:p w:rsidR="0076732E" w:rsidRPr="00F551E0" w:rsidRDefault="0076732E" w:rsidP="00931FFE">
      <w:pPr>
        <w:tabs>
          <w:tab w:val="left" w:pos="977"/>
        </w:tabs>
        <w:bidi w:val="0"/>
        <w:snapToGrid w:val="0"/>
        <w:spacing w:after="0" w:line="240" w:lineRule="auto"/>
        <w:jc w:val="both"/>
        <w:rPr>
          <w:rFonts w:ascii="Times New Roman" w:hAnsi="Times New Roman" w:cs="Times New Roman"/>
          <w:b/>
          <w:bCs/>
          <w:sz w:val="20"/>
          <w:szCs w:val="20"/>
          <w:lang w:bidi="ar-EG"/>
        </w:rPr>
      </w:pPr>
    </w:p>
    <w:p w:rsidR="0076732E" w:rsidRPr="00F551E0" w:rsidRDefault="0076732E" w:rsidP="00931FFE">
      <w:pPr>
        <w:pStyle w:val="a3"/>
        <w:tabs>
          <w:tab w:val="left" w:pos="0"/>
        </w:tabs>
        <w:bidi w:val="0"/>
        <w:snapToGrid w:val="0"/>
        <w:spacing w:after="0" w:line="240" w:lineRule="auto"/>
        <w:ind w:left="0"/>
        <w:jc w:val="both"/>
        <w:rPr>
          <w:rFonts w:ascii="Times New Roman" w:hAnsi="Times New Roman" w:cs="Times New Roman"/>
          <w:b/>
          <w:bCs/>
          <w:sz w:val="20"/>
          <w:szCs w:val="20"/>
          <w:lang w:bidi="ar-EG"/>
        </w:rPr>
      </w:pPr>
      <w:r w:rsidRPr="00F551E0">
        <w:rPr>
          <w:rFonts w:ascii="Times New Roman" w:hAnsi="Times New Roman" w:cs="Times New Roman"/>
          <w:b/>
          <w:bCs/>
          <w:sz w:val="20"/>
          <w:szCs w:val="20"/>
          <w:lang w:bidi="ar-EG"/>
        </w:rPr>
        <w:t xml:space="preserve">Corresponding Author: </w:t>
      </w:r>
    </w:p>
    <w:p w:rsidR="0076732E" w:rsidRPr="00F551E0" w:rsidRDefault="0076732E" w:rsidP="00931FFE">
      <w:pPr>
        <w:pStyle w:val="a3"/>
        <w:tabs>
          <w:tab w:val="left" w:pos="0"/>
        </w:tabs>
        <w:bidi w:val="0"/>
        <w:snapToGrid w:val="0"/>
        <w:spacing w:after="0" w:line="240" w:lineRule="auto"/>
        <w:ind w:left="0"/>
        <w:jc w:val="both"/>
        <w:rPr>
          <w:rFonts w:ascii="Times New Roman" w:hAnsi="Times New Roman" w:cs="Times New Roman"/>
          <w:color w:val="000000" w:themeColor="text1"/>
          <w:sz w:val="20"/>
          <w:szCs w:val="20"/>
          <w:lang w:bidi="ar-EG"/>
        </w:rPr>
      </w:pPr>
      <w:r w:rsidRPr="00F551E0">
        <w:rPr>
          <w:rFonts w:ascii="Times New Roman" w:hAnsi="Times New Roman" w:cs="Times New Roman"/>
          <w:bCs/>
          <w:sz w:val="20"/>
          <w:szCs w:val="20"/>
          <w:lang w:bidi="ar-EG"/>
        </w:rPr>
        <w:t xml:space="preserve">Name: Dr. </w:t>
      </w:r>
      <w:r w:rsidRPr="00F551E0">
        <w:rPr>
          <w:rFonts w:ascii="Times New Roman" w:hAnsi="Times New Roman" w:cs="Times New Roman"/>
          <w:sz w:val="20"/>
          <w:szCs w:val="20"/>
          <w:lang w:bidi="ar-EG"/>
        </w:rPr>
        <w:t>Maha Lotfy Zamzam</w:t>
      </w:r>
      <w:r w:rsidRPr="00F551E0">
        <w:rPr>
          <w:rFonts w:ascii="Times New Roman" w:hAnsi="Times New Roman" w:cs="Times New Roman"/>
          <w:color w:val="000000" w:themeColor="text1"/>
          <w:sz w:val="20"/>
          <w:szCs w:val="20"/>
          <w:lang w:bidi="ar-EG"/>
        </w:rPr>
        <w:t xml:space="preserve"> </w:t>
      </w:r>
    </w:p>
    <w:p w:rsidR="0076732E" w:rsidRPr="00F551E0" w:rsidRDefault="0076732E" w:rsidP="00931FFE">
      <w:pPr>
        <w:tabs>
          <w:tab w:val="left" w:pos="0"/>
        </w:tabs>
        <w:bidi w:val="0"/>
        <w:snapToGrid w:val="0"/>
        <w:spacing w:after="0" w:line="240" w:lineRule="auto"/>
        <w:jc w:val="both"/>
        <w:rPr>
          <w:rFonts w:ascii="Times New Roman" w:hAnsi="Times New Roman" w:cs="Times New Roman"/>
          <w:sz w:val="20"/>
          <w:szCs w:val="20"/>
          <w:lang w:bidi="ar-EG"/>
        </w:rPr>
      </w:pPr>
      <w:r w:rsidRPr="00F551E0">
        <w:rPr>
          <w:rFonts w:ascii="Times New Roman" w:hAnsi="Times New Roman" w:cs="Times New Roman"/>
          <w:bCs/>
          <w:sz w:val="20"/>
          <w:szCs w:val="20"/>
          <w:lang w:bidi="ar-EG"/>
        </w:rPr>
        <w:t>Address:</w:t>
      </w:r>
      <w:r w:rsidRPr="00F551E0">
        <w:rPr>
          <w:rFonts w:ascii="Times New Roman" w:hAnsi="Times New Roman" w:cs="Times New Roman"/>
          <w:sz w:val="20"/>
          <w:szCs w:val="20"/>
          <w:lang w:bidi="ar-EG"/>
        </w:rPr>
        <w:t xml:space="preserve"> Clinical Oncology</w:t>
      </w:r>
      <w:r w:rsidR="00F551E0" w:rsidRPr="00F551E0">
        <w:rPr>
          <w:rFonts w:ascii="Times New Roman" w:hAnsi="Times New Roman" w:cs="Times New Roman"/>
          <w:sz w:val="20"/>
          <w:szCs w:val="20"/>
          <w:lang w:bidi="ar-EG"/>
        </w:rPr>
        <w:t xml:space="preserve"> &amp; </w:t>
      </w:r>
      <w:r w:rsidRPr="00F551E0">
        <w:rPr>
          <w:rFonts w:ascii="Times New Roman" w:hAnsi="Times New Roman" w:cs="Times New Roman"/>
          <w:sz w:val="20"/>
          <w:szCs w:val="20"/>
          <w:lang w:bidi="ar-EG"/>
        </w:rPr>
        <w:t>Nuclear Medicine Department –, Faculty of Medicine. Suez Canal University, Egypt.</w:t>
      </w:r>
    </w:p>
    <w:p w:rsidR="0076732E" w:rsidRPr="00F551E0" w:rsidRDefault="0076732E" w:rsidP="00931FFE">
      <w:pPr>
        <w:pStyle w:val="a3"/>
        <w:tabs>
          <w:tab w:val="left" w:pos="0"/>
        </w:tabs>
        <w:bidi w:val="0"/>
        <w:snapToGrid w:val="0"/>
        <w:spacing w:after="0" w:line="240" w:lineRule="auto"/>
        <w:ind w:left="0"/>
        <w:jc w:val="both"/>
        <w:rPr>
          <w:rFonts w:ascii="Times New Roman" w:hAnsi="Times New Roman" w:cs="Times New Roman"/>
          <w:color w:val="000000" w:themeColor="text1"/>
          <w:sz w:val="20"/>
          <w:szCs w:val="20"/>
          <w:lang w:bidi="ar-EG"/>
        </w:rPr>
      </w:pPr>
      <w:r w:rsidRPr="00F551E0">
        <w:rPr>
          <w:rFonts w:ascii="Times New Roman" w:hAnsi="Times New Roman" w:cs="Times New Roman"/>
          <w:color w:val="000000" w:themeColor="text1"/>
          <w:sz w:val="20"/>
          <w:szCs w:val="20"/>
          <w:lang w:bidi="ar-EG"/>
        </w:rPr>
        <w:t xml:space="preserve">Email: </w:t>
      </w:r>
      <w:hyperlink r:id="rId31" w:history="1">
        <w:r w:rsidRPr="00F551E0">
          <w:rPr>
            <w:rStyle w:val="a4"/>
            <w:rFonts w:ascii="Times New Roman" w:hAnsi="Times New Roman" w:cs="Times New Roman"/>
            <w:sz w:val="20"/>
            <w:szCs w:val="20"/>
            <w:lang w:bidi="ar-EG"/>
          </w:rPr>
          <w:t>mahalzamzam@hotmail.com</w:t>
        </w:r>
      </w:hyperlink>
    </w:p>
    <w:p w:rsidR="0076732E" w:rsidRPr="00F551E0" w:rsidRDefault="0076732E" w:rsidP="00931FFE">
      <w:pPr>
        <w:tabs>
          <w:tab w:val="left" w:pos="977"/>
        </w:tabs>
        <w:bidi w:val="0"/>
        <w:snapToGrid w:val="0"/>
        <w:spacing w:after="0" w:line="240" w:lineRule="auto"/>
        <w:jc w:val="both"/>
        <w:rPr>
          <w:rFonts w:ascii="Times New Roman" w:hAnsi="Times New Roman" w:cs="Times New Roman"/>
          <w:b/>
          <w:bCs/>
          <w:sz w:val="20"/>
          <w:szCs w:val="20"/>
          <w:lang w:bidi="ar-EG"/>
        </w:rPr>
      </w:pPr>
    </w:p>
    <w:p w:rsidR="00BB587F" w:rsidRPr="00931FFE" w:rsidRDefault="000371DC" w:rsidP="00931FFE">
      <w:pPr>
        <w:tabs>
          <w:tab w:val="left" w:pos="977"/>
        </w:tabs>
        <w:bidi w:val="0"/>
        <w:snapToGrid w:val="0"/>
        <w:spacing w:after="0" w:line="240" w:lineRule="auto"/>
        <w:jc w:val="both"/>
        <w:rPr>
          <w:rFonts w:ascii="Times New Roman" w:hAnsi="Times New Roman" w:cs="Times New Roman"/>
          <w:bCs/>
          <w:sz w:val="18"/>
          <w:szCs w:val="18"/>
          <w:lang w:bidi="ar-EG"/>
        </w:rPr>
      </w:pPr>
      <w:r w:rsidRPr="00F551E0">
        <w:rPr>
          <w:rFonts w:ascii="Times New Roman" w:hAnsi="Times New Roman" w:cs="Times New Roman"/>
          <w:b/>
          <w:bCs/>
          <w:sz w:val="20"/>
          <w:szCs w:val="20"/>
          <w:lang w:bidi="ar-EG"/>
        </w:rPr>
        <w:t>References</w:t>
      </w:r>
    </w:p>
    <w:p w:rsidR="007D4D1A" w:rsidRPr="00931FFE" w:rsidRDefault="007D4D1A"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Boulos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Gadallah</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Neguib</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screening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emerging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world: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High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prevalence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Cairo.</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2005;</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14:340e6.</w:t>
      </w:r>
    </w:p>
    <w:p w:rsidR="007D4D1A" w:rsidRPr="00931FFE" w:rsidRDefault="007D4D1A"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Olivotto</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IA,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Chua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Allan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SJ</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Long-term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survival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patients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supraclavicular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metastases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diagnosis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2003;</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21:851–4.</w:t>
      </w:r>
    </w:p>
    <w:p w:rsidR="007D4D1A" w:rsidRPr="00931FFE" w:rsidRDefault="007D4D1A"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Brito</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RA,</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Valero</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V,</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Buzdar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AU</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Long-term</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results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combined-modality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therapy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for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locally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advanced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with</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ipsilateral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supraclavicular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metastases: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University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Texas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M.D.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Anderson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Center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experience.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Clin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Oncol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2001;</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19:628–33.</w:t>
      </w:r>
    </w:p>
    <w:p w:rsidR="007D4D1A" w:rsidRPr="00931FFE" w:rsidRDefault="007D4D1A"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Singletary</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SE,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Allred</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Ashley</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P</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Revision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American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Joint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Committee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staging</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system</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for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Clin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Oncol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2002;</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20:3628–36.</w:t>
      </w:r>
    </w:p>
    <w:p w:rsidR="004C1AB3" w:rsidRPr="00931FFE" w:rsidRDefault="004C1AB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National</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Cancer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Data</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Base</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1998–2004.</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Available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sz w:val="18"/>
          <w:szCs w:val="18"/>
        </w:rPr>
        <w:t>http://web.facs.org/ncdbbmr/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ncdbbenchmarks8.cfm.</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Accessed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March</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2007.</w:t>
      </w:r>
    </w:p>
    <w:p w:rsidR="004C1AB3" w:rsidRPr="00931FFE" w:rsidRDefault="004C1AB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Haagensen</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Stout</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Carcinoma</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II.</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Criteria</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operability.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Ann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Surg</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1943;</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118:859.</w:t>
      </w:r>
    </w:p>
    <w:p w:rsidR="001904BB" w:rsidRPr="00931FFE" w:rsidRDefault="001904BB"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Harris</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JR,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Sawicka</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J,</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Gelman</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R</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Management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locally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advanced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carcinoma</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primary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radiation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therapy.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Radiat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Oncol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Biol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Phys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1983;</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9:345–9.</w:t>
      </w:r>
    </w:p>
    <w:p w:rsidR="007D4D1A" w:rsidRPr="00931FFE" w:rsidRDefault="001904BB"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lastRenderedPageBreak/>
        <w:t>Rao</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DV,</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Bedwinek</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J,</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Perez</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Prognostic</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indicators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stage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III</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and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localized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stage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IV</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1982;</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50:2037–43.</w:t>
      </w:r>
    </w:p>
    <w:p w:rsidR="001904BB" w:rsidRPr="00931FFE" w:rsidRDefault="001904BB"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Rubens</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RD,</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Armitage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P,</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Winter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PJ</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Prognosis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inoperable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stage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III</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carcinoma</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Eur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1977;</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13:805–11.</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Townsend</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CMJr,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Abston</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S,</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Fish</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JC</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Surgical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adjuvant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treatment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locally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advanced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Ann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Surg</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1985;</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201:604–10.</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Arnold</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DJ,</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Lesnick</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GJ</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Survival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following</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mastectomy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for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stage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III</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Am</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J</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Surg</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1979;</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137:362–6.</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Montague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ED,</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Fletcher</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GH</w:t>
      </w:r>
      <w:r w:rsidRPr="00931FFE">
        <w:rPr>
          <w:rFonts w:ascii="Times New Roman" w:hAnsi="Times New Roman" w:cs="Times New Roman"/>
          <w:color w:val="000000"/>
          <w:sz w:val="18"/>
          <w:szCs w:val="18"/>
        </w:rPr>
        <w: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Local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regional</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effectiveness</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surgery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and</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radiation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therapy</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in</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the</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treatment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of</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breast</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Cancer</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1985;</w:t>
      </w:r>
      <w:r w:rsidR="00F551E0" w:rsidRPr="00931FFE">
        <w:rPr>
          <w:rFonts w:ascii="Times New Roman" w:hAnsi="Times New Roman" w:cs="Times New Roman"/>
          <w:color w:val="000000"/>
          <w:sz w:val="18"/>
          <w:szCs w:val="18"/>
        </w:rPr>
        <w:t xml:space="preserve"> </w:t>
      </w:r>
      <w:r w:rsidRPr="00931FFE">
        <w:rPr>
          <w:rFonts w:ascii="Times New Roman" w:hAnsi="Times New Roman" w:cs="Times New Roman"/>
          <w:color w:val="000000"/>
          <w:sz w:val="18"/>
          <w:szCs w:val="18"/>
        </w:rPr>
        <w:t>55:2266–72.</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Wolmark</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Wang</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J,</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Mamounas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E</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Preoperative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patients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operable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nine-year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results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from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National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Bowel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Project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B-18.</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Natl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Monogr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2001;</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96–102.</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Mauriac</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Durand</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Avril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Effects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primary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conservative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treatment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patients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operable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tumors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larger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3</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Results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randomized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single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centre.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1991;</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2:347–54.</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Mauriac</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MacGrogan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Avril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Neoadjuvant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operable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carcinoma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larger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3</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unicentre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randomized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124-month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median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follow-up.</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Institut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Bergonie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Bordeaux</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Groupe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Sein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(IBBGS).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1999;</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10:47–52.</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Schwartz</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GF,</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Birchansky</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CA,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Komarnicky</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LT</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Induction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followed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conservation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locally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advanced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carcinoma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1994;</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73:362–9.</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Schwartz</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GF,</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Lange</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AK,</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Topham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AK</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conservation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following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induction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locally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advanced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carcinoma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(stages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IIB</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III).</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perspective.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1995;</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4:657–69.</w:t>
      </w:r>
    </w:p>
    <w:p w:rsidR="004774E0" w:rsidRPr="00931FFE" w:rsidRDefault="004774E0"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Powles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TJ,</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Hickish</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TF,</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Makris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Randomized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endocrine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started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before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after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surgery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treatment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primary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1995;</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13:547–52.</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Makris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Powles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TJ,</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Ashley</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SE</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reduction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requirements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mastectomy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randomized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neoadjuvant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chemoendocrine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primary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1998;</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9:1179–84.</w:t>
      </w:r>
    </w:p>
    <w:p w:rsidR="00531D83" w:rsidRPr="00931FFE" w:rsidRDefault="00531D83"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Fisher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Brown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Mamounas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E</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Effect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preoperative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chemotherapy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local–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regional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disease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women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operable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findings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from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National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Bowel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Project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B-18.</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1997;</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15:2483–93.</w:t>
      </w:r>
    </w:p>
    <w:p w:rsidR="004774E0" w:rsidRPr="00931FFE" w:rsidRDefault="004774E0"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color w:val="000000"/>
          <w:sz w:val="18"/>
          <w:szCs w:val="18"/>
        </w:rPr>
        <w:t>Marie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Catherine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Lee,</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Lisa</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A.</w:t>
      </w:r>
      <w:r w:rsidR="00F551E0" w:rsidRPr="00931FFE">
        <w:rPr>
          <w:rFonts w:ascii="Times New Roman" w:hAnsi="Times New Roman" w:cs="Times New Roman"/>
          <w:bCs/>
          <w:color w:val="000000"/>
          <w:sz w:val="18"/>
          <w:szCs w:val="18"/>
        </w:rPr>
        <w:t xml:space="preserve"> </w:t>
      </w:r>
      <w:r w:rsidRPr="00931FFE">
        <w:rPr>
          <w:rFonts w:ascii="Times New Roman" w:hAnsi="Times New Roman" w:cs="Times New Roman"/>
          <w:bCs/>
          <w:color w:val="000000"/>
          <w:sz w:val="18"/>
          <w:szCs w:val="18"/>
        </w:rPr>
        <w:t>Newman</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Management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Patients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Locally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Advanced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2007,</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87,</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379–398.</w:t>
      </w:r>
    </w:p>
    <w:p w:rsidR="004774E0" w:rsidRPr="00931FFE" w:rsidRDefault="004774E0"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Samant</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Ganguly</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P</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Staging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investigations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patients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with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role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bone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scans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liver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imaging.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Arch</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1999;</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134:551–3.</w:t>
      </w:r>
    </w:p>
    <w:p w:rsidR="004774E0" w:rsidRPr="00931FFE" w:rsidRDefault="004774E0"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Mamounas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E</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Preliminary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results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NSABP</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B-27</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Presented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Antonio</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Symposium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December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2001.</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Antonio</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(TX).</w:t>
      </w:r>
    </w:p>
    <w:p w:rsidR="004774E0" w:rsidRPr="00931FFE" w:rsidRDefault="004774E0"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lastRenderedPageBreak/>
        <w:t>Green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Buzdar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AU</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Results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from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prospective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neoadjuvant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paclitaxel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doxorubicin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Presented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American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Society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Oncology</w:t>
      </w:r>
      <w:r w:rsidR="00F551E0" w:rsidRPr="00931FFE">
        <w:rPr>
          <w:rFonts w:ascii="Times New Roman" w:hAnsi="Times New Roman" w:cs="Times New Roman"/>
          <w:sz w:val="18"/>
          <w:szCs w:val="18"/>
        </w:rPr>
        <w:t xml:space="preserve"> </w:t>
      </w:r>
      <w:r w:rsidR="00201B8C" w:rsidRPr="00931FFE">
        <w:rPr>
          <w:rFonts w:ascii="Times New Roman" w:hAnsi="Times New Roman" w:cs="Times New Roman"/>
          <w:sz w:val="18"/>
          <w:szCs w:val="18"/>
        </w:rPr>
        <w:t>May</w:t>
      </w:r>
      <w:r w:rsidR="00F551E0" w:rsidRPr="00931FFE">
        <w:rPr>
          <w:rFonts w:ascii="Times New Roman" w:hAnsi="Times New Roman" w:cs="Times New Roman"/>
          <w:sz w:val="18"/>
          <w:szCs w:val="18"/>
        </w:rPr>
        <w:t xml:space="preserve"> </w:t>
      </w:r>
      <w:r w:rsidR="00201B8C" w:rsidRPr="00931FFE">
        <w:rPr>
          <w:rFonts w:ascii="Times New Roman" w:hAnsi="Times New Roman" w:cs="Times New Roman"/>
          <w:sz w:val="18"/>
          <w:szCs w:val="18"/>
        </w:rPr>
        <w:t>2002</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Symposium.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Orlando</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(FL).</w:t>
      </w:r>
    </w:p>
    <w:p w:rsidR="00201B8C" w:rsidRPr="00931FFE" w:rsidRDefault="00201B8C"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Dixon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JM,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Anderson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TJ,</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Miller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WR</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Neoadjuvant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endocrine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surgical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perspective.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Eur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2002;</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38:2214–21.</w:t>
      </w:r>
    </w:p>
    <w:p w:rsidR="001904BB" w:rsidRPr="00931FFE" w:rsidRDefault="00201B8C"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Ellis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Coop</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Singh</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Letrozole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is</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more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effective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neoadjuvant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endocrine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therapy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than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tamoxifen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ErbB-1</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and/or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ErbB-2-positive,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estrogen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receptor-positive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primary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cancer:</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evidence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from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phase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III</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randomized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trial.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2001;</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19:3808–16.</w:t>
      </w:r>
    </w:p>
    <w:p w:rsidR="00201B8C" w:rsidRPr="00931FFE" w:rsidRDefault="00201B8C" w:rsidP="00931FFE">
      <w:pPr>
        <w:pStyle w:val="a3"/>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931FFE">
        <w:rPr>
          <w:rFonts w:ascii="Times New Roman" w:hAnsi="Times New Roman" w:cs="Times New Roman"/>
          <w:bCs/>
          <w:sz w:val="18"/>
          <w:szCs w:val="18"/>
        </w:rPr>
        <w:t>Shamseddine</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Khalifeh</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Chehal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Saliba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Mourad</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YA,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Taher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Jalloul</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Bitar</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N,</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Dandashi</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Abbas</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J,</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Geara</w:t>
      </w:r>
      <w:r w:rsidR="00F551E0" w:rsidRPr="00931FFE">
        <w:rPr>
          <w:rFonts w:ascii="Times New Roman" w:hAnsi="Times New Roman" w:cs="Times New Roman"/>
          <w:bCs/>
          <w:sz w:val="18"/>
          <w:szCs w:val="18"/>
        </w:rPr>
        <w:t xml:space="preserve"> </w:t>
      </w:r>
      <w:r w:rsidRPr="00931FFE">
        <w:rPr>
          <w:rFonts w:ascii="Times New Roman" w:hAnsi="Times New Roman" w:cs="Times New Roman"/>
          <w:bCs/>
          <w:sz w:val="18"/>
          <w:szCs w:val="18"/>
        </w:rPr>
        <w:t>FB</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clinical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phase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II</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study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cisplatinum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and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vinorelbine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(PVn)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advanced</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breast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carcinoma</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(ABC):</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Department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Internal</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Medicine,</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American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University</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of</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Beirut,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Beirut,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Lebanon.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as04@aub.edu.lb:</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Am</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J</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Clin</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Oncol.</w:t>
      </w:r>
      <w:r w:rsidR="00F551E0" w:rsidRPr="00931FFE">
        <w:rPr>
          <w:rFonts w:ascii="Times New Roman" w:hAnsi="Times New Roman" w:cs="Times New Roman"/>
          <w:sz w:val="18"/>
          <w:szCs w:val="18"/>
        </w:rPr>
        <w:t xml:space="preserve"> </w:t>
      </w:r>
      <w:r w:rsidR="0001722E" w:rsidRPr="00931FFE">
        <w:rPr>
          <w:rFonts w:ascii="Times New Roman" w:hAnsi="Times New Roman" w:cs="Times New Roman"/>
          <w:sz w:val="18"/>
          <w:szCs w:val="18"/>
        </w:rPr>
        <w:t>2005</w:t>
      </w:r>
      <w:r w:rsidR="00F551E0" w:rsidRPr="00931FFE">
        <w:rPr>
          <w:rFonts w:ascii="Times New Roman" w:hAnsi="Times New Roman" w:cs="Times New Roman"/>
          <w:sz w:val="18"/>
          <w:szCs w:val="18"/>
        </w:rPr>
        <w:t xml:space="preserve"> </w:t>
      </w:r>
      <w:r w:rsidR="0001722E" w:rsidRPr="00931FFE">
        <w:rPr>
          <w:rFonts w:ascii="Times New Roman" w:hAnsi="Times New Roman" w:cs="Times New Roman"/>
          <w:sz w:val="18"/>
          <w:szCs w:val="18"/>
        </w:rPr>
        <w:t>Aug</w:t>
      </w:r>
      <w:r w:rsidRPr="00931FFE">
        <w:rPr>
          <w:rFonts w:ascii="Times New Roman" w:hAnsi="Times New Roman" w:cs="Times New Roman"/>
          <w:sz w:val="18"/>
          <w:szCs w:val="18"/>
        </w:rPr>
        <w:t>;</w:t>
      </w:r>
      <w:r w:rsidR="00F551E0" w:rsidRPr="00931FFE">
        <w:rPr>
          <w:rFonts w:ascii="Times New Roman" w:hAnsi="Times New Roman" w:cs="Times New Roman"/>
          <w:sz w:val="18"/>
          <w:szCs w:val="18"/>
        </w:rPr>
        <w:t xml:space="preserve"> </w:t>
      </w:r>
      <w:r w:rsidRPr="00931FFE">
        <w:rPr>
          <w:rFonts w:ascii="Times New Roman" w:hAnsi="Times New Roman" w:cs="Times New Roman"/>
          <w:sz w:val="18"/>
          <w:szCs w:val="18"/>
        </w:rPr>
        <w:t>28(4):393-8.</w:t>
      </w:r>
    </w:p>
    <w:p w:rsidR="00201B8C" w:rsidRPr="00931FFE" w:rsidRDefault="00201B8C" w:rsidP="00931FFE">
      <w:pPr>
        <w:pStyle w:val="Default"/>
        <w:numPr>
          <w:ilvl w:val="0"/>
          <w:numId w:val="16"/>
        </w:numPr>
        <w:snapToGrid w:val="0"/>
        <w:ind w:left="425" w:hanging="425"/>
        <w:jc w:val="both"/>
        <w:rPr>
          <w:sz w:val="18"/>
          <w:szCs w:val="18"/>
        </w:rPr>
      </w:pPr>
      <w:r w:rsidRPr="00931FFE">
        <w:rPr>
          <w:bCs/>
          <w:sz w:val="18"/>
          <w:szCs w:val="18"/>
        </w:rPr>
        <w:t>Del</w:t>
      </w:r>
      <w:r w:rsidR="00F551E0" w:rsidRPr="00931FFE">
        <w:rPr>
          <w:bCs/>
          <w:sz w:val="18"/>
          <w:szCs w:val="18"/>
        </w:rPr>
        <w:t xml:space="preserve"> </w:t>
      </w:r>
      <w:r w:rsidRPr="00931FFE">
        <w:rPr>
          <w:bCs/>
          <w:sz w:val="18"/>
          <w:szCs w:val="18"/>
        </w:rPr>
        <w:t>Mastro</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Venturini</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Lionetto</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Carnino</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Guarneri</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Gallo</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Contu</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Pronzato</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Vesentini</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Bergaglio</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Comis</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Rosso</w:t>
      </w:r>
      <w:r w:rsidR="00F551E0" w:rsidRPr="00931FFE">
        <w:rPr>
          <w:bCs/>
          <w:sz w:val="18"/>
          <w:szCs w:val="18"/>
        </w:rPr>
        <w:t xml:space="preserve"> </w:t>
      </w:r>
      <w:r w:rsidRPr="00931FFE">
        <w:rPr>
          <w:bCs/>
          <w:sz w:val="18"/>
          <w:szCs w:val="18"/>
        </w:rPr>
        <w:t>R</w:t>
      </w:r>
      <w:r w:rsidRPr="00931FFE">
        <w:rPr>
          <w:sz w:val="18"/>
          <w:szCs w:val="18"/>
        </w:rPr>
        <w:t>.,</w:t>
      </w:r>
      <w:r w:rsidR="00F551E0" w:rsidRPr="00931FFE">
        <w:rPr>
          <w:sz w:val="18"/>
          <w:szCs w:val="18"/>
        </w:rPr>
        <w:t xml:space="preserve"> </w:t>
      </w:r>
      <w:r w:rsidRPr="00931FFE">
        <w:rPr>
          <w:sz w:val="18"/>
          <w:szCs w:val="18"/>
        </w:rPr>
        <w:t>Accelerated-intensified</w:t>
      </w:r>
      <w:r w:rsidR="00F551E0" w:rsidRPr="00931FFE">
        <w:rPr>
          <w:sz w:val="18"/>
          <w:szCs w:val="18"/>
        </w:rPr>
        <w:t xml:space="preserve"> </w:t>
      </w:r>
      <w:r w:rsidRPr="00931FFE">
        <w:rPr>
          <w:sz w:val="18"/>
          <w:szCs w:val="18"/>
        </w:rPr>
        <w:t>cyclophosphamide,</w:t>
      </w:r>
      <w:r w:rsidR="00F551E0" w:rsidRPr="00931FFE">
        <w:rPr>
          <w:sz w:val="18"/>
          <w:szCs w:val="18"/>
        </w:rPr>
        <w:t xml:space="preserve"> </w:t>
      </w:r>
      <w:r w:rsidRPr="00931FFE">
        <w:rPr>
          <w:sz w:val="18"/>
          <w:szCs w:val="18"/>
        </w:rPr>
        <w:t>epirubicin,</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fluorouracil</w:t>
      </w:r>
      <w:r w:rsidR="00F551E0" w:rsidRPr="00931FFE">
        <w:rPr>
          <w:sz w:val="18"/>
          <w:szCs w:val="18"/>
        </w:rPr>
        <w:t xml:space="preserve"> </w:t>
      </w:r>
      <w:r w:rsidRPr="00931FFE">
        <w:rPr>
          <w:sz w:val="18"/>
          <w:szCs w:val="18"/>
        </w:rPr>
        <w:t>(CEF)</w:t>
      </w:r>
      <w:r w:rsidR="00F551E0" w:rsidRPr="00931FFE">
        <w:rPr>
          <w:sz w:val="18"/>
          <w:szCs w:val="18"/>
        </w:rPr>
        <w:t xml:space="preserve"> </w:t>
      </w:r>
      <w:r w:rsidRPr="00931FFE">
        <w:rPr>
          <w:sz w:val="18"/>
          <w:szCs w:val="18"/>
        </w:rPr>
        <w:t>compared</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standard</w:t>
      </w:r>
      <w:r w:rsidR="00F551E0" w:rsidRPr="00931FFE">
        <w:rPr>
          <w:sz w:val="18"/>
          <w:szCs w:val="18"/>
        </w:rPr>
        <w:t xml:space="preserve"> </w:t>
      </w:r>
      <w:r w:rsidRPr="00931FFE">
        <w:rPr>
          <w:sz w:val="18"/>
          <w:szCs w:val="18"/>
        </w:rPr>
        <w:t>CEF</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metastatic</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patients:</w:t>
      </w:r>
      <w:r w:rsidR="00F551E0" w:rsidRPr="00931FFE">
        <w:rPr>
          <w:sz w:val="18"/>
          <w:szCs w:val="18"/>
        </w:rPr>
        <w:t xml:space="preserve"> </w:t>
      </w:r>
      <w:r w:rsidRPr="00931FFE">
        <w:rPr>
          <w:sz w:val="18"/>
          <w:szCs w:val="18"/>
        </w:rPr>
        <w:t>results</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multicenter,</w:t>
      </w:r>
      <w:r w:rsidR="00F551E0" w:rsidRPr="00931FFE">
        <w:rPr>
          <w:sz w:val="18"/>
          <w:szCs w:val="18"/>
        </w:rPr>
        <w:t xml:space="preserve"> </w:t>
      </w:r>
      <w:r w:rsidRPr="00931FFE">
        <w:rPr>
          <w:sz w:val="18"/>
          <w:szCs w:val="18"/>
        </w:rPr>
        <w:t>randomized</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III</w:t>
      </w:r>
      <w:r w:rsidR="00F551E0" w:rsidRPr="00931FFE">
        <w:rPr>
          <w:sz w:val="18"/>
          <w:szCs w:val="18"/>
        </w:rPr>
        <w:t xml:space="preserve"> </w:t>
      </w:r>
      <w:r w:rsidRPr="00931FFE">
        <w:rPr>
          <w:sz w:val="18"/>
          <w:szCs w:val="18"/>
        </w:rPr>
        <w:t>study</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the</w:t>
      </w:r>
      <w:r w:rsidR="00F551E0" w:rsidRPr="00931FFE">
        <w:rPr>
          <w:sz w:val="18"/>
          <w:szCs w:val="18"/>
        </w:rPr>
        <w:t xml:space="preserve"> </w:t>
      </w:r>
      <w:r w:rsidRPr="00931FFE">
        <w:rPr>
          <w:sz w:val="18"/>
          <w:szCs w:val="18"/>
        </w:rPr>
        <w:t>Italian</w:t>
      </w:r>
      <w:r w:rsidR="00F551E0" w:rsidRPr="00931FFE">
        <w:rPr>
          <w:sz w:val="18"/>
          <w:szCs w:val="18"/>
        </w:rPr>
        <w:t xml:space="preserve"> </w:t>
      </w:r>
      <w:r w:rsidRPr="00931FFE">
        <w:rPr>
          <w:sz w:val="18"/>
          <w:szCs w:val="18"/>
        </w:rPr>
        <w:t>Gruppo</w:t>
      </w:r>
      <w:r w:rsidR="00F551E0" w:rsidRPr="00931FFE">
        <w:rPr>
          <w:sz w:val="18"/>
          <w:szCs w:val="18"/>
        </w:rPr>
        <w:t xml:space="preserve"> </w:t>
      </w:r>
      <w:r w:rsidRPr="00931FFE">
        <w:rPr>
          <w:sz w:val="18"/>
          <w:szCs w:val="18"/>
        </w:rPr>
        <w:t>Oncologico</w:t>
      </w:r>
      <w:r w:rsidR="00F551E0" w:rsidRPr="00931FFE">
        <w:rPr>
          <w:sz w:val="18"/>
          <w:szCs w:val="18"/>
        </w:rPr>
        <w:t xml:space="preserve"> </w:t>
      </w:r>
      <w:r w:rsidRPr="00931FFE">
        <w:rPr>
          <w:sz w:val="18"/>
          <w:szCs w:val="18"/>
        </w:rPr>
        <w:t>Nord-Ouest-Mammella</w:t>
      </w:r>
      <w:r w:rsidR="00F551E0" w:rsidRPr="00931FFE">
        <w:rPr>
          <w:sz w:val="18"/>
          <w:szCs w:val="18"/>
        </w:rPr>
        <w:t xml:space="preserve"> </w:t>
      </w:r>
      <w:r w:rsidRPr="00931FFE">
        <w:rPr>
          <w:sz w:val="18"/>
          <w:szCs w:val="18"/>
        </w:rPr>
        <w:t>Inter</w:t>
      </w:r>
      <w:r w:rsidR="00F551E0" w:rsidRPr="00931FFE">
        <w:rPr>
          <w:sz w:val="18"/>
          <w:szCs w:val="18"/>
        </w:rPr>
        <w:t xml:space="preserve"> </w:t>
      </w:r>
      <w:r w:rsidRPr="00931FFE">
        <w:rPr>
          <w:sz w:val="18"/>
          <w:szCs w:val="18"/>
        </w:rPr>
        <w:t>Gruppo</w:t>
      </w:r>
      <w:r w:rsidR="00F551E0" w:rsidRPr="00931FFE">
        <w:rPr>
          <w:sz w:val="18"/>
          <w:szCs w:val="18"/>
        </w:rPr>
        <w:t xml:space="preserve"> </w:t>
      </w:r>
      <w:r w:rsidRPr="00931FFE">
        <w:rPr>
          <w:sz w:val="18"/>
          <w:szCs w:val="18"/>
        </w:rPr>
        <w:t>Group.</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Clin.</w:t>
      </w:r>
      <w:r w:rsidR="00F551E0" w:rsidRPr="00931FFE">
        <w:rPr>
          <w:sz w:val="18"/>
          <w:szCs w:val="18"/>
        </w:rPr>
        <w:t xml:space="preserve"> </w:t>
      </w:r>
      <w:r w:rsidRPr="00931FFE">
        <w:rPr>
          <w:sz w:val="18"/>
          <w:szCs w:val="18"/>
        </w:rPr>
        <w:t>Oncol.</w:t>
      </w:r>
      <w:r w:rsidR="00F551E0" w:rsidRPr="00931FFE">
        <w:rPr>
          <w:sz w:val="18"/>
          <w:szCs w:val="18"/>
        </w:rPr>
        <w:t xml:space="preserve"> </w:t>
      </w:r>
      <w:r w:rsidR="0001722E" w:rsidRPr="00931FFE">
        <w:rPr>
          <w:sz w:val="18"/>
          <w:szCs w:val="18"/>
        </w:rPr>
        <w:t>2001</w:t>
      </w:r>
      <w:r w:rsidRPr="00931FFE">
        <w:rPr>
          <w:sz w:val="18"/>
          <w:szCs w:val="18"/>
        </w:rPr>
        <w:t>,</w:t>
      </w:r>
      <w:r w:rsidR="00F551E0" w:rsidRPr="00931FFE">
        <w:rPr>
          <w:sz w:val="18"/>
          <w:szCs w:val="18"/>
        </w:rPr>
        <w:t xml:space="preserve"> </w:t>
      </w:r>
      <w:r w:rsidRPr="00931FFE">
        <w:rPr>
          <w:sz w:val="18"/>
          <w:szCs w:val="18"/>
        </w:rPr>
        <w:t>19</w:t>
      </w:r>
      <w:r w:rsidRPr="00931FFE">
        <w:rPr>
          <w:i/>
          <w:iCs/>
          <w:sz w:val="18"/>
          <w:szCs w:val="18"/>
        </w:rPr>
        <w:t>:</w:t>
      </w:r>
      <w:r w:rsidR="00F551E0" w:rsidRPr="00931FFE">
        <w:rPr>
          <w:i/>
          <w:iCs/>
          <w:sz w:val="18"/>
          <w:szCs w:val="18"/>
        </w:rPr>
        <w:t xml:space="preserve"> </w:t>
      </w:r>
      <w:r w:rsidRPr="00931FFE">
        <w:rPr>
          <w:sz w:val="18"/>
          <w:szCs w:val="18"/>
        </w:rPr>
        <w:t>2213-2221.</w:t>
      </w:r>
      <w:r w:rsidR="00F551E0" w:rsidRPr="00931FFE">
        <w:rPr>
          <w:sz w:val="18"/>
          <w:szCs w:val="18"/>
        </w:rPr>
        <w:t xml:space="preserve"> </w:t>
      </w:r>
    </w:p>
    <w:p w:rsidR="00201B8C" w:rsidRPr="00931FFE" w:rsidRDefault="00201B8C" w:rsidP="00931FFE">
      <w:pPr>
        <w:pStyle w:val="Default"/>
        <w:numPr>
          <w:ilvl w:val="0"/>
          <w:numId w:val="16"/>
        </w:numPr>
        <w:snapToGrid w:val="0"/>
        <w:ind w:left="425" w:hanging="425"/>
        <w:jc w:val="both"/>
        <w:rPr>
          <w:sz w:val="18"/>
          <w:szCs w:val="18"/>
        </w:rPr>
      </w:pPr>
      <w:r w:rsidRPr="00931FFE">
        <w:rPr>
          <w:bCs/>
          <w:sz w:val="18"/>
          <w:szCs w:val="18"/>
        </w:rPr>
        <w:t>Piccart</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Awada</w:t>
      </w:r>
      <w:r w:rsidR="00F551E0" w:rsidRPr="00931FFE">
        <w:rPr>
          <w:bCs/>
          <w:sz w:val="18"/>
          <w:szCs w:val="18"/>
        </w:rPr>
        <w:t xml:space="preserve"> </w:t>
      </w:r>
      <w:r w:rsidRPr="00931FFE">
        <w:rPr>
          <w:bCs/>
          <w:sz w:val="18"/>
          <w:szCs w:val="18"/>
        </w:rPr>
        <w:t>A</w:t>
      </w:r>
      <w:r w:rsidRPr="00931FFE">
        <w:rPr>
          <w:sz w:val="18"/>
          <w:szCs w:val="18"/>
        </w:rPr>
        <w:t>.,</w:t>
      </w:r>
      <w:r w:rsidR="00F551E0" w:rsidRPr="00931FFE">
        <w:rPr>
          <w:sz w:val="18"/>
          <w:szCs w:val="18"/>
        </w:rPr>
        <w:t xml:space="preserve"> </w:t>
      </w:r>
      <w:r w:rsidRPr="00931FFE">
        <w:rPr>
          <w:sz w:val="18"/>
          <w:szCs w:val="18"/>
        </w:rPr>
        <w:t>State-of-the-art</w:t>
      </w:r>
      <w:r w:rsidR="00F551E0" w:rsidRPr="00931FFE">
        <w:rPr>
          <w:sz w:val="18"/>
          <w:szCs w:val="18"/>
        </w:rPr>
        <w:t xml:space="preserve"> </w:t>
      </w:r>
      <w:r w:rsidRPr="00931FFE">
        <w:rPr>
          <w:sz w:val="18"/>
          <w:szCs w:val="18"/>
        </w:rPr>
        <w:t>chemotherapy</w:t>
      </w:r>
      <w:r w:rsidR="00F551E0" w:rsidRPr="00931FFE">
        <w:rPr>
          <w:sz w:val="18"/>
          <w:szCs w:val="18"/>
        </w:rPr>
        <w:t xml:space="preserve"> </w:t>
      </w:r>
      <w:r w:rsidRPr="00931FFE">
        <w:rPr>
          <w:sz w:val="18"/>
          <w:szCs w:val="18"/>
        </w:rPr>
        <w:t>for</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Semin.</w:t>
      </w:r>
      <w:r w:rsidR="00F551E0" w:rsidRPr="00931FFE">
        <w:rPr>
          <w:sz w:val="18"/>
          <w:szCs w:val="18"/>
        </w:rPr>
        <w:t xml:space="preserve"> </w:t>
      </w:r>
      <w:r w:rsidRPr="00931FFE">
        <w:rPr>
          <w:sz w:val="18"/>
          <w:szCs w:val="18"/>
        </w:rPr>
        <w:t>Oncol.</w:t>
      </w:r>
      <w:r w:rsidR="00F551E0" w:rsidRPr="00931FFE">
        <w:rPr>
          <w:sz w:val="18"/>
          <w:szCs w:val="18"/>
        </w:rPr>
        <w:t xml:space="preserve"> </w:t>
      </w:r>
      <w:r w:rsidR="0001722E" w:rsidRPr="00931FFE">
        <w:rPr>
          <w:sz w:val="18"/>
          <w:szCs w:val="18"/>
        </w:rPr>
        <w:t>2000</w:t>
      </w:r>
      <w:r w:rsidRPr="00931FFE">
        <w:rPr>
          <w:sz w:val="18"/>
          <w:szCs w:val="18"/>
        </w:rPr>
        <w:t>,</w:t>
      </w:r>
      <w:r w:rsidR="00F551E0" w:rsidRPr="00931FFE">
        <w:rPr>
          <w:sz w:val="18"/>
          <w:szCs w:val="18"/>
        </w:rPr>
        <w:t xml:space="preserve"> </w:t>
      </w:r>
      <w:r w:rsidRPr="00931FFE">
        <w:rPr>
          <w:sz w:val="18"/>
          <w:szCs w:val="18"/>
        </w:rPr>
        <w:t>27</w:t>
      </w:r>
      <w:r w:rsidR="00F551E0" w:rsidRPr="00931FFE">
        <w:rPr>
          <w:sz w:val="18"/>
          <w:szCs w:val="18"/>
        </w:rPr>
        <w:t xml:space="preserve"> </w:t>
      </w:r>
      <w:r w:rsidRPr="00931FFE">
        <w:rPr>
          <w:sz w:val="18"/>
          <w:szCs w:val="18"/>
        </w:rPr>
        <w:t>(Suppl.</w:t>
      </w:r>
      <w:r w:rsidR="00F551E0" w:rsidRPr="00931FFE">
        <w:rPr>
          <w:sz w:val="18"/>
          <w:szCs w:val="18"/>
        </w:rPr>
        <w:t xml:space="preserve"> </w:t>
      </w:r>
      <w:r w:rsidRPr="00931FFE">
        <w:rPr>
          <w:sz w:val="18"/>
          <w:szCs w:val="18"/>
        </w:rPr>
        <w:t>9)</w:t>
      </w:r>
      <w:r w:rsidRPr="00931FFE">
        <w:rPr>
          <w:i/>
          <w:iCs/>
          <w:sz w:val="18"/>
          <w:szCs w:val="18"/>
        </w:rPr>
        <w:t>:</w:t>
      </w:r>
      <w:r w:rsidR="00F551E0" w:rsidRPr="00931FFE">
        <w:rPr>
          <w:i/>
          <w:iCs/>
          <w:sz w:val="18"/>
          <w:szCs w:val="18"/>
        </w:rPr>
        <w:t xml:space="preserve"> </w:t>
      </w:r>
      <w:r w:rsidRPr="00931FFE">
        <w:rPr>
          <w:sz w:val="18"/>
          <w:szCs w:val="18"/>
        </w:rPr>
        <w:t>3-12.</w:t>
      </w:r>
      <w:r w:rsidR="00F551E0" w:rsidRPr="00931FFE">
        <w:rPr>
          <w:sz w:val="18"/>
          <w:szCs w:val="18"/>
        </w:rPr>
        <w:t xml:space="preserve"> </w:t>
      </w:r>
    </w:p>
    <w:p w:rsidR="00201B8C" w:rsidRPr="00931FFE" w:rsidRDefault="00201B8C" w:rsidP="00931FFE">
      <w:pPr>
        <w:pStyle w:val="Default"/>
        <w:numPr>
          <w:ilvl w:val="0"/>
          <w:numId w:val="16"/>
        </w:numPr>
        <w:snapToGrid w:val="0"/>
        <w:ind w:left="425" w:hanging="425"/>
        <w:jc w:val="both"/>
        <w:rPr>
          <w:sz w:val="18"/>
          <w:szCs w:val="18"/>
        </w:rPr>
      </w:pPr>
      <w:r w:rsidRPr="00931FFE">
        <w:rPr>
          <w:bCs/>
          <w:sz w:val="18"/>
          <w:szCs w:val="18"/>
        </w:rPr>
        <w:t>Slamon</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Leyland-Jones</w:t>
      </w:r>
      <w:r w:rsidR="00F551E0" w:rsidRPr="00931FFE">
        <w:rPr>
          <w:bCs/>
          <w:sz w:val="18"/>
          <w:szCs w:val="18"/>
        </w:rPr>
        <w:t xml:space="preserve"> </w:t>
      </w:r>
      <w:r w:rsidRPr="00931FFE">
        <w:rPr>
          <w:bCs/>
          <w:sz w:val="18"/>
          <w:szCs w:val="18"/>
        </w:rPr>
        <w:t>B.,</w:t>
      </w:r>
      <w:r w:rsidR="00F551E0" w:rsidRPr="00931FFE">
        <w:rPr>
          <w:bCs/>
          <w:sz w:val="18"/>
          <w:szCs w:val="18"/>
        </w:rPr>
        <w:t xml:space="preserve"> </w:t>
      </w:r>
      <w:r w:rsidRPr="00931FFE">
        <w:rPr>
          <w:bCs/>
          <w:sz w:val="18"/>
          <w:szCs w:val="18"/>
        </w:rPr>
        <w:t>Shak</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Fuchs</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Paton</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Bajamonde</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Flemming</w:t>
      </w:r>
      <w:r w:rsidR="00F551E0" w:rsidRPr="00931FFE">
        <w:rPr>
          <w:bCs/>
          <w:sz w:val="18"/>
          <w:szCs w:val="18"/>
        </w:rPr>
        <w:t xml:space="preserve"> </w:t>
      </w:r>
      <w:r w:rsidRPr="00931FFE">
        <w:rPr>
          <w:bCs/>
          <w:sz w:val="18"/>
          <w:szCs w:val="18"/>
        </w:rPr>
        <w:t>T.,</w:t>
      </w:r>
      <w:r w:rsidR="00F551E0" w:rsidRPr="00931FFE">
        <w:rPr>
          <w:bCs/>
          <w:sz w:val="18"/>
          <w:szCs w:val="18"/>
        </w:rPr>
        <w:t xml:space="preserve"> </w:t>
      </w:r>
      <w:r w:rsidRPr="00931FFE">
        <w:rPr>
          <w:bCs/>
          <w:sz w:val="18"/>
          <w:szCs w:val="18"/>
        </w:rPr>
        <w:t>Eiermann</w:t>
      </w:r>
      <w:r w:rsidR="00F551E0" w:rsidRPr="00931FFE">
        <w:rPr>
          <w:bCs/>
          <w:sz w:val="18"/>
          <w:szCs w:val="18"/>
        </w:rPr>
        <w:t xml:space="preserve"> </w:t>
      </w:r>
      <w:r w:rsidRPr="00931FFE">
        <w:rPr>
          <w:bCs/>
          <w:sz w:val="18"/>
          <w:szCs w:val="18"/>
        </w:rPr>
        <w:t>W.,</w:t>
      </w:r>
      <w:r w:rsidR="00F551E0" w:rsidRPr="00931FFE">
        <w:rPr>
          <w:bCs/>
          <w:sz w:val="18"/>
          <w:szCs w:val="18"/>
        </w:rPr>
        <w:t xml:space="preserve"> </w:t>
      </w:r>
      <w:r w:rsidRPr="00931FFE">
        <w:rPr>
          <w:bCs/>
          <w:sz w:val="18"/>
          <w:szCs w:val="18"/>
        </w:rPr>
        <w:t>Wolter</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Pegram</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Baselga</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Norton</w:t>
      </w:r>
      <w:r w:rsidR="00F551E0" w:rsidRPr="00931FFE">
        <w:rPr>
          <w:bCs/>
          <w:sz w:val="18"/>
          <w:szCs w:val="18"/>
        </w:rPr>
        <w:t xml:space="preserve"> </w:t>
      </w:r>
      <w:r w:rsidRPr="00931FFE">
        <w:rPr>
          <w:bCs/>
          <w:sz w:val="18"/>
          <w:szCs w:val="18"/>
        </w:rPr>
        <w:t>L</w:t>
      </w:r>
      <w:r w:rsidRPr="00931FFE">
        <w:rPr>
          <w:sz w:val="18"/>
          <w:szCs w:val="18"/>
        </w:rPr>
        <w:t>.,</w:t>
      </w:r>
      <w:r w:rsidR="00F551E0" w:rsidRPr="00931FFE">
        <w:rPr>
          <w:sz w:val="18"/>
          <w:szCs w:val="18"/>
        </w:rPr>
        <w:t xml:space="preserve"> </w:t>
      </w:r>
      <w:r w:rsidRPr="00931FFE">
        <w:rPr>
          <w:sz w:val="18"/>
          <w:szCs w:val="18"/>
        </w:rPr>
        <w:t>Use</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chemotherapy</w:t>
      </w:r>
      <w:r w:rsidR="00F551E0" w:rsidRPr="00931FFE">
        <w:rPr>
          <w:sz w:val="18"/>
          <w:szCs w:val="18"/>
        </w:rPr>
        <w:t xml:space="preserve"> </w:t>
      </w:r>
      <w:r w:rsidRPr="00931FFE">
        <w:rPr>
          <w:sz w:val="18"/>
          <w:szCs w:val="18"/>
        </w:rPr>
        <w:t>plus</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monoclonal</w:t>
      </w:r>
      <w:r w:rsidR="00F551E0" w:rsidRPr="00931FFE">
        <w:rPr>
          <w:sz w:val="18"/>
          <w:szCs w:val="18"/>
        </w:rPr>
        <w:t xml:space="preserve"> </w:t>
      </w:r>
      <w:r w:rsidRPr="00931FFE">
        <w:rPr>
          <w:sz w:val="18"/>
          <w:szCs w:val="18"/>
        </w:rPr>
        <w:t>antibody</w:t>
      </w:r>
      <w:r w:rsidR="00F551E0" w:rsidRPr="00931FFE">
        <w:rPr>
          <w:sz w:val="18"/>
          <w:szCs w:val="18"/>
        </w:rPr>
        <w:t xml:space="preserve"> </w:t>
      </w:r>
      <w:r w:rsidRPr="00931FFE">
        <w:rPr>
          <w:sz w:val="18"/>
          <w:szCs w:val="18"/>
        </w:rPr>
        <w:t>against</w:t>
      </w:r>
      <w:r w:rsidR="00F551E0" w:rsidRPr="00931FFE">
        <w:rPr>
          <w:sz w:val="18"/>
          <w:szCs w:val="18"/>
        </w:rPr>
        <w:t xml:space="preserve"> </w:t>
      </w:r>
      <w:r w:rsidRPr="00931FFE">
        <w:rPr>
          <w:sz w:val="18"/>
          <w:szCs w:val="18"/>
        </w:rPr>
        <w:t>HER2</w:t>
      </w:r>
      <w:r w:rsidR="00F551E0" w:rsidRPr="00931FFE">
        <w:rPr>
          <w:sz w:val="18"/>
          <w:szCs w:val="18"/>
        </w:rPr>
        <w:t xml:space="preserve"> </w:t>
      </w:r>
      <w:r w:rsidRPr="00931FFE">
        <w:rPr>
          <w:sz w:val="18"/>
          <w:szCs w:val="18"/>
        </w:rPr>
        <w:t>for</w:t>
      </w:r>
      <w:r w:rsidR="00F551E0" w:rsidRPr="00931FFE">
        <w:rPr>
          <w:sz w:val="18"/>
          <w:szCs w:val="18"/>
        </w:rPr>
        <w:t xml:space="preserve"> </w:t>
      </w:r>
      <w:r w:rsidRPr="00931FFE">
        <w:rPr>
          <w:sz w:val="18"/>
          <w:szCs w:val="18"/>
        </w:rPr>
        <w:t>metastatic</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that</w:t>
      </w:r>
      <w:r w:rsidR="00F551E0" w:rsidRPr="00931FFE">
        <w:rPr>
          <w:sz w:val="18"/>
          <w:szCs w:val="18"/>
        </w:rPr>
        <w:t xml:space="preserve"> </w:t>
      </w:r>
      <w:r w:rsidRPr="00931FFE">
        <w:rPr>
          <w:sz w:val="18"/>
          <w:szCs w:val="18"/>
        </w:rPr>
        <w:t>over-expresses</w:t>
      </w:r>
      <w:r w:rsidR="00F551E0" w:rsidRPr="00931FFE">
        <w:rPr>
          <w:sz w:val="18"/>
          <w:szCs w:val="18"/>
        </w:rPr>
        <w:t xml:space="preserve"> </w:t>
      </w:r>
      <w:r w:rsidRPr="00931FFE">
        <w:rPr>
          <w:sz w:val="18"/>
          <w:szCs w:val="18"/>
        </w:rPr>
        <w:t>HER2.</w:t>
      </w:r>
      <w:r w:rsidR="00F551E0" w:rsidRPr="00931FFE">
        <w:rPr>
          <w:sz w:val="18"/>
          <w:szCs w:val="18"/>
        </w:rPr>
        <w:t xml:space="preserve"> </w:t>
      </w:r>
      <w:r w:rsidRPr="00931FFE">
        <w:rPr>
          <w:sz w:val="18"/>
          <w:szCs w:val="18"/>
        </w:rPr>
        <w:t>N.</w:t>
      </w:r>
      <w:r w:rsidR="00F551E0" w:rsidRPr="00931FFE">
        <w:rPr>
          <w:sz w:val="18"/>
          <w:szCs w:val="18"/>
        </w:rPr>
        <w:t xml:space="preserve"> </w:t>
      </w:r>
      <w:r w:rsidRPr="00931FFE">
        <w:rPr>
          <w:sz w:val="18"/>
          <w:szCs w:val="18"/>
        </w:rPr>
        <w:t>Engl.</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Med.</w:t>
      </w:r>
      <w:r w:rsidR="00F551E0" w:rsidRPr="00931FFE">
        <w:rPr>
          <w:sz w:val="18"/>
          <w:szCs w:val="18"/>
        </w:rPr>
        <w:t xml:space="preserve"> </w:t>
      </w:r>
      <w:r w:rsidR="0001722E" w:rsidRPr="00931FFE">
        <w:rPr>
          <w:sz w:val="18"/>
          <w:szCs w:val="18"/>
        </w:rPr>
        <w:t>2001</w:t>
      </w:r>
      <w:r w:rsidRPr="00931FFE">
        <w:rPr>
          <w:sz w:val="18"/>
          <w:szCs w:val="18"/>
        </w:rPr>
        <w:t>,</w:t>
      </w:r>
      <w:r w:rsidR="00F551E0" w:rsidRPr="00931FFE">
        <w:rPr>
          <w:sz w:val="18"/>
          <w:szCs w:val="18"/>
        </w:rPr>
        <w:t xml:space="preserve"> </w:t>
      </w:r>
      <w:r w:rsidRPr="00931FFE">
        <w:rPr>
          <w:sz w:val="18"/>
          <w:szCs w:val="18"/>
        </w:rPr>
        <w:t>344</w:t>
      </w:r>
      <w:r w:rsidRPr="00931FFE">
        <w:rPr>
          <w:i/>
          <w:iCs/>
          <w:sz w:val="18"/>
          <w:szCs w:val="18"/>
        </w:rPr>
        <w:t>:</w:t>
      </w:r>
      <w:r w:rsidR="00F551E0" w:rsidRPr="00931FFE">
        <w:rPr>
          <w:i/>
          <w:iCs/>
          <w:sz w:val="18"/>
          <w:szCs w:val="18"/>
        </w:rPr>
        <w:t xml:space="preserve"> </w:t>
      </w:r>
      <w:r w:rsidRPr="00931FFE">
        <w:rPr>
          <w:sz w:val="18"/>
          <w:szCs w:val="18"/>
        </w:rPr>
        <w:t>783-792.</w:t>
      </w:r>
      <w:r w:rsidR="00F551E0" w:rsidRPr="00931FFE">
        <w:rPr>
          <w:sz w:val="18"/>
          <w:szCs w:val="18"/>
        </w:rPr>
        <w:t xml:space="preserve"> </w:t>
      </w:r>
    </w:p>
    <w:p w:rsidR="0001722E" w:rsidRPr="00931FFE" w:rsidRDefault="00201B8C" w:rsidP="00931FFE">
      <w:pPr>
        <w:pStyle w:val="Default"/>
        <w:numPr>
          <w:ilvl w:val="0"/>
          <w:numId w:val="16"/>
        </w:numPr>
        <w:snapToGrid w:val="0"/>
        <w:ind w:left="425" w:hanging="425"/>
        <w:jc w:val="both"/>
        <w:rPr>
          <w:sz w:val="18"/>
          <w:szCs w:val="18"/>
        </w:rPr>
      </w:pPr>
      <w:r w:rsidRPr="00931FFE">
        <w:rPr>
          <w:bCs/>
          <w:sz w:val="18"/>
          <w:szCs w:val="18"/>
        </w:rPr>
        <w:t>Anderson</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Lund</w:t>
      </w:r>
      <w:r w:rsidR="00F551E0" w:rsidRPr="00931FFE">
        <w:rPr>
          <w:bCs/>
          <w:sz w:val="18"/>
          <w:szCs w:val="18"/>
        </w:rPr>
        <w:t xml:space="preserve"> </w:t>
      </w:r>
      <w:r w:rsidRPr="00931FFE">
        <w:rPr>
          <w:bCs/>
          <w:sz w:val="18"/>
          <w:szCs w:val="18"/>
        </w:rPr>
        <w:t>B.,</w:t>
      </w:r>
      <w:r w:rsidR="00F551E0" w:rsidRPr="00931FFE">
        <w:rPr>
          <w:bCs/>
          <w:sz w:val="18"/>
          <w:szCs w:val="18"/>
        </w:rPr>
        <w:t xml:space="preserve"> </w:t>
      </w:r>
      <w:r w:rsidRPr="00931FFE">
        <w:rPr>
          <w:bCs/>
          <w:sz w:val="18"/>
          <w:szCs w:val="18"/>
        </w:rPr>
        <w:t>Bach</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Thatcher</w:t>
      </w:r>
      <w:r w:rsidR="00F551E0" w:rsidRPr="00931FFE">
        <w:rPr>
          <w:bCs/>
          <w:sz w:val="18"/>
          <w:szCs w:val="18"/>
        </w:rPr>
        <w:t xml:space="preserve"> </w:t>
      </w:r>
      <w:r w:rsidRPr="00931FFE">
        <w:rPr>
          <w:bCs/>
          <w:sz w:val="18"/>
          <w:szCs w:val="18"/>
        </w:rPr>
        <w:t>N.,</w:t>
      </w:r>
      <w:r w:rsidR="00F551E0" w:rsidRPr="00931FFE">
        <w:rPr>
          <w:bCs/>
          <w:sz w:val="18"/>
          <w:szCs w:val="18"/>
        </w:rPr>
        <w:t xml:space="preserve"> </w:t>
      </w:r>
      <w:r w:rsidRPr="00931FFE">
        <w:rPr>
          <w:bCs/>
          <w:sz w:val="18"/>
          <w:szCs w:val="18"/>
        </w:rPr>
        <w:t>Walling</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Hansen</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H</w:t>
      </w:r>
      <w:r w:rsidRPr="00931FFE">
        <w:rPr>
          <w:sz w:val="18"/>
          <w:szCs w:val="18"/>
        </w:rPr>
        <w:t>.,</w:t>
      </w:r>
      <w:r w:rsidR="00F551E0" w:rsidRPr="00931FFE">
        <w:rPr>
          <w:sz w:val="18"/>
          <w:szCs w:val="18"/>
        </w:rPr>
        <w:t xml:space="preserve"> </w:t>
      </w:r>
      <w:r w:rsidRPr="00931FFE">
        <w:rPr>
          <w:sz w:val="18"/>
          <w:szCs w:val="18"/>
        </w:rPr>
        <w:t>Single-agent</w:t>
      </w:r>
      <w:r w:rsidR="00F551E0" w:rsidRPr="00931FFE">
        <w:rPr>
          <w:sz w:val="18"/>
          <w:szCs w:val="18"/>
        </w:rPr>
        <w:t xml:space="preserve"> </w:t>
      </w:r>
      <w:r w:rsidRPr="00931FFE">
        <w:rPr>
          <w:sz w:val="18"/>
          <w:szCs w:val="18"/>
        </w:rPr>
        <w:t>activity</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weekly</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non-small-cell</w:t>
      </w:r>
      <w:r w:rsidR="00F551E0" w:rsidRPr="00931FFE">
        <w:rPr>
          <w:sz w:val="18"/>
          <w:szCs w:val="18"/>
        </w:rPr>
        <w:t xml:space="preserve"> </w:t>
      </w:r>
      <w:r w:rsidRPr="00931FFE">
        <w:rPr>
          <w:sz w:val="18"/>
          <w:szCs w:val="18"/>
        </w:rPr>
        <w:t>lung</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study.</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Clin.</w:t>
      </w:r>
      <w:r w:rsidR="00F551E0" w:rsidRPr="00931FFE">
        <w:rPr>
          <w:sz w:val="18"/>
          <w:szCs w:val="18"/>
        </w:rPr>
        <w:t xml:space="preserve"> </w:t>
      </w:r>
      <w:r w:rsidRPr="00931FFE">
        <w:rPr>
          <w:sz w:val="18"/>
          <w:szCs w:val="18"/>
        </w:rPr>
        <w:t>Oncol.</w:t>
      </w:r>
      <w:r w:rsidR="00F551E0" w:rsidRPr="00931FFE">
        <w:rPr>
          <w:sz w:val="18"/>
          <w:szCs w:val="18"/>
        </w:rPr>
        <w:t xml:space="preserve"> </w:t>
      </w:r>
      <w:r w:rsidR="0001722E" w:rsidRPr="00931FFE">
        <w:rPr>
          <w:sz w:val="18"/>
          <w:szCs w:val="18"/>
        </w:rPr>
        <w:t>1994</w:t>
      </w:r>
      <w:r w:rsidRPr="00931FFE">
        <w:rPr>
          <w:sz w:val="18"/>
          <w:szCs w:val="18"/>
        </w:rPr>
        <w:t>,</w:t>
      </w:r>
      <w:r w:rsidR="00F551E0" w:rsidRPr="00931FFE">
        <w:rPr>
          <w:sz w:val="18"/>
          <w:szCs w:val="18"/>
        </w:rPr>
        <w:t xml:space="preserve"> </w:t>
      </w:r>
      <w:r w:rsidRPr="00931FFE">
        <w:rPr>
          <w:sz w:val="18"/>
          <w:szCs w:val="18"/>
        </w:rPr>
        <w:t>12</w:t>
      </w:r>
      <w:r w:rsidRPr="00931FFE">
        <w:rPr>
          <w:i/>
          <w:iCs/>
          <w:sz w:val="18"/>
          <w:szCs w:val="18"/>
        </w:rPr>
        <w:t>:</w:t>
      </w:r>
      <w:r w:rsidR="00F551E0" w:rsidRPr="00931FFE">
        <w:rPr>
          <w:i/>
          <w:iCs/>
          <w:sz w:val="18"/>
          <w:szCs w:val="18"/>
        </w:rPr>
        <w:t xml:space="preserve"> </w:t>
      </w:r>
      <w:r w:rsidRPr="00931FFE">
        <w:rPr>
          <w:sz w:val="18"/>
          <w:szCs w:val="18"/>
        </w:rPr>
        <w:t>1821-1826.</w:t>
      </w:r>
    </w:p>
    <w:p w:rsidR="00201B8C" w:rsidRPr="00931FFE" w:rsidRDefault="0001722E" w:rsidP="00931FFE">
      <w:pPr>
        <w:pStyle w:val="Default"/>
        <w:numPr>
          <w:ilvl w:val="0"/>
          <w:numId w:val="16"/>
        </w:numPr>
        <w:snapToGrid w:val="0"/>
        <w:ind w:left="425" w:hanging="425"/>
        <w:jc w:val="both"/>
        <w:rPr>
          <w:sz w:val="18"/>
          <w:szCs w:val="18"/>
        </w:rPr>
      </w:pPr>
      <w:r w:rsidRPr="00931FFE">
        <w:rPr>
          <w:bCs/>
          <w:sz w:val="18"/>
          <w:szCs w:val="18"/>
        </w:rPr>
        <w:t>Carmichael</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Fink</w:t>
      </w:r>
      <w:r w:rsidR="00F551E0" w:rsidRPr="00931FFE">
        <w:rPr>
          <w:bCs/>
          <w:sz w:val="18"/>
          <w:szCs w:val="18"/>
        </w:rPr>
        <w:t xml:space="preserve"> </w:t>
      </w:r>
      <w:r w:rsidRPr="00931FFE">
        <w:rPr>
          <w:bCs/>
          <w:sz w:val="18"/>
          <w:szCs w:val="18"/>
        </w:rPr>
        <w:t>U.,</w:t>
      </w:r>
      <w:r w:rsidR="00F551E0" w:rsidRPr="00931FFE">
        <w:rPr>
          <w:bCs/>
          <w:sz w:val="18"/>
          <w:szCs w:val="18"/>
        </w:rPr>
        <w:t xml:space="preserve"> </w:t>
      </w:r>
      <w:r w:rsidRPr="00931FFE">
        <w:rPr>
          <w:bCs/>
          <w:sz w:val="18"/>
          <w:szCs w:val="18"/>
        </w:rPr>
        <w:t>Russell</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Spiettle</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Harris</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Spiessi</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Blatter</w:t>
      </w:r>
      <w:r w:rsidR="00F551E0" w:rsidRPr="00931FFE">
        <w:rPr>
          <w:bCs/>
          <w:sz w:val="18"/>
          <w:szCs w:val="18"/>
        </w:rPr>
        <w:t xml:space="preserve"> </w:t>
      </w:r>
      <w:r w:rsidRPr="00931FFE">
        <w:rPr>
          <w:bCs/>
          <w:sz w:val="18"/>
          <w:szCs w:val="18"/>
        </w:rPr>
        <w:t>J</w:t>
      </w:r>
      <w:r w:rsidRPr="00931FFE">
        <w:rPr>
          <w:sz w:val="18"/>
          <w:szCs w:val="18"/>
        </w:rPr>
        <w:t>.,</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study</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patients</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pancreatic</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Br.</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1996,</w:t>
      </w:r>
      <w:r w:rsidR="00F551E0" w:rsidRPr="00931FFE">
        <w:rPr>
          <w:sz w:val="18"/>
          <w:szCs w:val="18"/>
        </w:rPr>
        <w:t xml:space="preserve"> </w:t>
      </w:r>
      <w:r w:rsidRPr="00931FFE">
        <w:rPr>
          <w:sz w:val="18"/>
          <w:szCs w:val="18"/>
        </w:rPr>
        <w:t>73:</w:t>
      </w:r>
      <w:r w:rsidR="00F551E0" w:rsidRPr="00931FFE">
        <w:rPr>
          <w:i/>
          <w:iCs/>
          <w:sz w:val="18"/>
          <w:szCs w:val="18"/>
        </w:rPr>
        <w:t xml:space="preserve"> </w:t>
      </w:r>
      <w:r w:rsidRPr="00931FFE">
        <w:rPr>
          <w:sz w:val="18"/>
          <w:szCs w:val="18"/>
        </w:rPr>
        <w:t>101-105.</w:t>
      </w:r>
      <w:r w:rsidR="00F551E0" w:rsidRPr="00931FFE">
        <w:rPr>
          <w:sz w:val="18"/>
          <w:szCs w:val="18"/>
        </w:rPr>
        <w:t xml:space="preserve"> </w:t>
      </w:r>
    </w:p>
    <w:p w:rsidR="00201B8C" w:rsidRPr="00931FFE" w:rsidRDefault="00201B8C" w:rsidP="00931FFE">
      <w:pPr>
        <w:pStyle w:val="Default"/>
        <w:numPr>
          <w:ilvl w:val="0"/>
          <w:numId w:val="16"/>
        </w:numPr>
        <w:snapToGrid w:val="0"/>
        <w:ind w:left="425" w:hanging="425"/>
        <w:jc w:val="both"/>
        <w:rPr>
          <w:sz w:val="18"/>
          <w:szCs w:val="18"/>
        </w:rPr>
      </w:pPr>
      <w:r w:rsidRPr="00931FFE">
        <w:rPr>
          <w:bCs/>
          <w:sz w:val="18"/>
          <w:szCs w:val="18"/>
        </w:rPr>
        <w:t>Ulrich-Pur</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Kornek</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Raderer</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Haider</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Kwasny</w:t>
      </w:r>
      <w:r w:rsidR="00F551E0" w:rsidRPr="00931FFE">
        <w:rPr>
          <w:bCs/>
          <w:sz w:val="18"/>
          <w:szCs w:val="18"/>
        </w:rPr>
        <w:t xml:space="preserve"> </w:t>
      </w:r>
      <w:r w:rsidRPr="00931FFE">
        <w:rPr>
          <w:bCs/>
          <w:sz w:val="18"/>
          <w:szCs w:val="18"/>
        </w:rPr>
        <w:t>W.,</w:t>
      </w:r>
      <w:r w:rsidR="00F551E0" w:rsidRPr="00931FFE">
        <w:rPr>
          <w:bCs/>
          <w:sz w:val="18"/>
          <w:szCs w:val="18"/>
        </w:rPr>
        <w:t xml:space="preserve"> </w:t>
      </w:r>
      <w:r w:rsidRPr="00931FFE">
        <w:rPr>
          <w:bCs/>
          <w:sz w:val="18"/>
          <w:szCs w:val="18"/>
        </w:rPr>
        <w:t>Depisch</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Greul</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Schneeweiss</w:t>
      </w:r>
      <w:r w:rsidR="00F551E0" w:rsidRPr="00931FFE">
        <w:rPr>
          <w:bCs/>
          <w:sz w:val="18"/>
          <w:szCs w:val="18"/>
        </w:rPr>
        <w:t xml:space="preserve"> </w:t>
      </w:r>
      <w:r w:rsidRPr="00931FFE">
        <w:rPr>
          <w:bCs/>
          <w:sz w:val="18"/>
          <w:szCs w:val="18"/>
        </w:rPr>
        <w:t>B.,</w:t>
      </w:r>
      <w:r w:rsidR="00F551E0" w:rsidRPr="00931FFE">
        <w:rPr>
          <w:bCs/>
          <w:sz w:val="18"/>
          <w:szCs w:val="18"/>
        </w:rPr>
        <w:t xml:space="preserve"> </w:t>
      </w:r>
      <w:r w:rsidRPr="00931FFE">
        <w:rPr>
          <w:bCs/>
          <w:sz w:val="18"/>
          <w:szCs w:val="18"/>
        </w:rPr>
        <w:t>Krauss</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Funovic</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Scheithauer</w:t>
      </w:r>
      <w:r w:rsidR="00F551E0" w:rsidRPr="00931FFE">
        <w:rPr>
          <w:bCs/>
          <w:sz w:val="18"/>
          <w:szCs w:val="18"/>
        </w:rPr>
        <w:t xml:space="preserve"> </w:t>
      </w:r>
      <w:r w:rsidRPr="00931FFE">
        <w:rPr>
          <w:bCs/>
          <w:sz w:val="18"/>
          <w:szCs w:val="18"/>
        </w:rPr>
        <w:t>W</w:t>
      </w:r>
      <w:r w:rsidRPr="00931FFE">
        <w:rPr>
          <w:sz w:val="18"/>
          <w:szCs w:val="18"/>
        </w:rPr>
        <w:t>.,</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trial</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biweekly</w:t>
      </w:r>
      <w:r w:rsidR="00F551E0" w:rsidRPr="00931FFE">
        <w:rPr>
          <w:sz w:val="18"/>
          <w:szCs w:val="18"/>
        </w:rPr>
        <w:t xml:space="preserve"> </w:t>
      </w:r>
      <w:r w:rsidRPr="00931FFE">
        <w:rPr>
          <w:sz w:val="18"/>
          <w:szCs w:val="18"/>
        </w:rPr>
        <w:t>high</w:t>
      </w:r>
      <w:r w:rsidR="00F551E0" w:rsidRPr="00931FFE">
        <w:rPr>
          <w:sz w:val="18"/>
          <w:szCs w:val="18"/>
        </w:rPr>
        <w:t xml:space="preserve"> </w:t>
      </w:r>
      <w:r w:rsidRPr="00931FFE">
        <w:rPr>
          <w:sz w:val="18"/>
          <w:szCs w:val="18"/>
        </w:rPr>
        <w:t>dose</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for</w:t>
      </w:r>
      <w:r w:rsidR="00F551E0" w:rsidRPr="00931FFE">
        <w:rPr>
          <w:sz w:val="18"/>
          <w:szCs w:val="18"/>
        </w:rPr>
        <w:t xml:space="preserve"> </w:t>
      </w:r>
      <w:r w:rsidRPr="00931FFE">
        <w:rPr>
          <w:sz w:val="18"/>
          <w:szCs w:val="18"/>
        </w:rPr>
        <w:t>patients</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metastatic</w:t>
      </w:r>
      <w:r w:rsidR="00F551E0" w:rsidRPr="00931FFE">
        <w:rPr>
          <w:sz w:val="18"/>
          <w:szCs w:val="18"/>
        </w:rPr>
        <w:t xml:space="preserve"> </w:t>
      </w:r>
      <w:r w:rsidRPr="00931FFE">
        <w:rPr>
          <w:sz w:val="18"/>
          <w:szCs w:val="18"/>
        </w:rPr>
        <w:t>pancreatic</w:t>
      </w:r>
      <w:r w:rsidR="00F551E0" w:rsidRPr="00931FFE">
        <w:rPr>
          <w:sz w:val="18"/>
          <w:szCs w:val="18"/>
        </w:rPr>
        <w:t xml:space="preserve"> </w:t>
      </w:r>
      <w:r w:rsidRPr="00931FFE">
        <w:rPr>
          <w:sz w:val="18"/>
          <w:szCs w:val="18"/>
        </w:rPr>
        <w:t>adenocarcinoma.</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(Phila.)</w:t>
      </w:r>
      <w:r w:rsidR="00F551E0" w:rsidRPr="00931FFE">
        <w:rPr>
          <w:sz w:val="18"/>
          <w:szCs w:val="18"/>
        </w:rPr>
        <w:t xml:space="preserve"> </w:t>
      </w:r>
      <w:r w:rsidR="0001722E" w:rsidRPr="00931FFE">
        <w:rPr>
          <w:sz w:val="18"/>
          <w:szCs w:val="18"/>
        </w:rPr>
        <w:t>2000</w:t>
      </w:r>
      <w:r w:rsidRPr="00931FFE">
        <w:rPr>
          <w:sz w:val="18"/>
          <w:szCs w:val="18"/>
        </w:rPr>
        <w:t>,</w:t>
      </w:r>
      <w:r w:rsidR="00F551E0" w:rsidRPr="00931FFE">
        <w:rPr>
          <w:sz w:val="18"/>
          <w:szCs w:val="18"/>
        </w:rPr>
        <w:t xml:space="preserve"> </w:t>
      </w:r>
      <w:r w:rsidRPr="00931FFE">
        <w:rPr>
          <w:sz w:val="18"/>
          <w:szCs w:val="18"/>
        </w:rPr>
        <w:t>88:</w:t>
      </w:r>
      <w:r w:rsidR="00F551E0" w:rsidRPr="00931FFE">
        <w:rPr>
          <w:i/>
          <w:iCs/>
          <w:sz w:val="18"/>
          <w:szCs w:val="18"/>
        </w:rPr>
        <w:t xml:space="preserve"> </w:t>
      </w:r>
      <w:r w:rsidRPr="00931FFE">
        <w:rPr>
          <w:sz w:val="18"/>
          <w:szCs w:val="18"/>
        </w:rPr>
        <w:t>2505-2511.</w:t>
      </w:r>
      <w:r w:rsidR="00F551E0" w:rsidRPr="00931FFE">
        <w:rPr>
          <w:sz w:val="18"/>
          <w:szCs w:val="18"/>
        </w:rPr>
        <w:t xml:space="preserve"> </w:t>
      </w:r>
    </w:p>
    <w:p w:rsidR="0001722E" w:rsidRPr="00931FFE" w:rsidRDefault="0001722E" w:rsidP="00931FFE">
      <w:pPr>
        <w:pStyle w:val="Default"/>
        <w:numPr>
          <w:ilvl w:val="0"/>
          <w:numId w:val="16"/>
        </w:numPr>
        <w:snapToGrid w:val="0"/>
        <w:ind w:left="425" w:hanging="425"/>
        <w:jc w:val="both"/>
        <w:rPr>
          <w:sz w:val="18"/>
          <w:szCs w:val="18"/>
        </w:rPr>
      </w:pPr>
      <w:r w:rsidRPr="00931FFE">
        <w:rPr>
          <w:bCs/>
          <w:sz w:val="18"/>
          <w:szCs w:val="18"/>
        </w:rPr>
        <w:t>Lund</w:t>
      </w:r>
      <w:r w:rsidR="00F551E0" w:rsidRPr="00931FFE">
        <w:rPr>
          <w:bCs/>
          <w:sz w:val="18"/>
          <w:szCs w:val="18"/>
        </w:rPr>
        <w:t xml:space="preserve"> </w:t>
      </w:r>
      <w:r w:rsidRPr="00931FFE">
        <w:rPr>
          <w:bCs/>
          <w:sz w:val="18"/>
          <w:szCs w:val="18"/>
        </w:rPr>
        <w:t>B.,</w:t>
      </w:r>
      <w:r w:rsidR="00F551E0" w:rsidRPr="00931FFE">
        <w:rPr>
          <w:bCs/>
          <w:sz w:val="18"/>
          <w:szCs w:val="18"/>
        </w:rPr>
        <w:t xml:space="preserve"> </w:t>
      </w:r>
      <w:r w:rsidRPr="00931FFE">
        <w:rPr>
          <w:bCs/>
          <w:sz w:val="18"/>
          <w:szCs w:val="18"/>
        </w:rPr>
        <w:t>Hansen</w:t>
      </w:r>
      <w:r w:rsidR="00F551E0" w:rsidRPr="00931FFE">
        <w:rPr>
          <w:bCs/>
          <w:sz w:val="18"/>
          <w:szCs w:val="18"/>
        </w:rPr>
        <w:t xml:space="preserve"> </w:t>
      </w:r>
      <w:r w:rsidRPr="00931FFE">
        <w:rPr>
          <w:bCs/>
          <w:sz w:val="18"/>
          <w:szCs w:val="18"/>
        </w:rPr>
        <w:t>O.</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Theilade</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Hansen</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Neijt</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P</w:t>
      </w:r>
      <w:r w:rsidRPr="00931FFE">
        <w:rPr>
          <w:sz w:val="18"/>
          <w:szCs w:val="18"/>
        </w:rPr>
        <w:t>.,</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study</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(2′,</w:t>
      </w:r>
      <w:r w:rsidR="00F551E0" w:rsidRPr="00931FFE">
        <w:rPr>
          <w:sz w:val="18"/>
          <w:szCs w:val="18"/>
        </w:rPr>
        <w:t xml:space="preserve"> </w:t>
      </w:r>
      <w:r w:rsidRPr="00931FFE">
        <w:rPr>
          <w:sz w:val="18"/>
          <w:szCs w:val="18"/>
        </w:rPr>
        <w:t>2′-</w:t>
      </w:r>
      <w:r w:rsidRPr="00931FFE">
        <w:rPr>
          <w:sz w:val="18"/>
          <w:szCs w:val="18"/>
        </w:rPr>
        <w:lastRenderedPageBreak/>
        <w:t>difluorodeoxycytidine)</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previously</w:t>
      </w:r>
      <w:r w:rsidR="00F551E0" w:rsidRPr="00931FFE">
        <w:rPr>
          <w:sz w:val="18"/>
          <w:szCs w:val="18"/>
        </w:rPr>
        <w:t xml:space="preserve"> </w:t>
      </w:r>
      <w:r w:rsidRPr="00931FFE">
        <w:rPr>
          <w:sz w:val="18"/>
          <w:szCs w:val="18"/>
        </w:rPr>
        <w:t>treated</w:t>
      </w:r>
      <w:r w:rsidR="00F551E0" w:rsidRPr="00931FFE">
        <w:rPr>
          <w:sz w:val="18"/>
          <w:szCs w:val="18"/>
        </w:rPr>
        <w:t xml:space="preserve"> </w:t>
      </w:r>
      <w:r w:rsidRPr="00931FFE">
        <w:rPr>
          <w:sz w:val="18"/>
          <w:szCs w:val="18"/>
        </w:rPr>
        <w:t>ovarian</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Natl.</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Inst.</w:t>
      </w:r>
      <w:r w:rsidR="00F551E0" w:rsidRPr="00931FFE">
        <w:rPr>
          <w:sz w:val="18"/>
          <w:szCs w:val="18"/>
        </w:rPr>
        <w:t xml:space="preserve"> </w:t>
      </w:r>
      <w:r w:rsidRPr="00931FFE">
        <w:rPr>
          <w:sz w:val="18"/>
          <w:szCs w:val="18"/>
        </w:rPr>
        <w:t>1994,</w:t>
      </w:r>
      <w:r w:rsidR="00F551E0" w:rsidRPr="00931FFE">
        <w:rPr>
          <w:sz w:val="18"/>
          <w:szCs w:val="18"/>
        </w:rPr>
        <w:t xml:space="preserve"> </w:t>
      </w:r>
      <w:r w:rsidRPr="00931FFE">
        <w:rPr>
          <w:sz w:val="18"/>
          <w:szCs w:val="18"/>
        </w:rPr>
        <w:t>86</w:t>
      </w:r>
      <w:r w:rsidRPr="00931FFE">
        <w:rPr>
          <w:i/>
          <w:iCs/>
          <w:sz w:val="18"/>
          <w:szCs w:val="18"/>
        </w:rPr>
        <w:t>:</w:t>
      </w:r>
      <w:r w:rsidR="00F551E0" w:rsidRPr="00931FFE">
        <w:rPr>
          <w:i/>
          <w:iCs/>
          <w:sz w:val="18"/>
          <w:szCs w:val="18"/>
        </w:rPr>
        <w:t xml:space="preserve"> </w:t>
      </w:r>
      <w:r w:rsidRPr="00931FFE">
        <w:rPr>
          <w:sz w:val="18"/>
          <w:szCs w:val="18"/>
        </w:rPr>
        <w:t>1530-1533.</w:t>
      </w:r>
      <w:r w:rsidR="00F551E0" w:rsidRPr="00931FFE">
        <w:rPr>
          <w:sz w:val="18"/>
          <w:szCs w:val="18"/>
        </w:rPr>
        <w:t xml:space="preserve"> </w:t>
      </w:r>
    </w:p>
    <w:p w:rsidR="0001722E" w:rsidRPr="00931FFE" w:rsidRDefault="0001722E" w:rsidP="00931FFE">
      <w:pPr>
        <w:pStyle w:val="Default"/>
        <w:numPr>
          <w:ilvl w:val="0"/>
          <w:numId w:val="16"/>
        </w:numPr>
        <w:snapToGrid w:val="0"/>
        <w:ind w:left="425" w:hanging="425"/>
        <w:jc w:val="both"/>
        <w:rPr>
          <w:sz w:val="18"/>
          <w:szCs w:val="18"/>
        </w:rPr>
      </w:pPr>
      <w:r w:rsidRPr="00931FFE">
        <w:rPr>
          <w:bCs/>
          <w:sz w:val="18"/>
          <w:szCs w:val="18"/>
        </w:rPr>
        <w:t>Haider</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Kornek</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Kwasny</w:t>
      </w:r>
      <w:r w:rsidR="00F551E0" w:rsidRPr="00931FFE">
        <w:rPr>
          <w:bCs/>
          <w:sz w:val="18"/>
          <w:szCs w:val="18"/>
        </w:rPr>
        <w:t xml:space="preserve"> </w:t>
      </w:r>
      <w:r w:rsidRPr="00931FFE">
        <w:rPr>
          <w:bCs/>
          <w:sz w:val="18"/>
          <w:szCs w:val="18"/>
        </w:rPr>
        <w:t>W.,</w:t>
      </w:r>
      <w:r w:rsidR="00F551E0" w:rsidRPr="00931FFE">
        <w:rPr>
          <w:bCs/>
          <w:sz w:val="18"/>
          <w:szCs w:val="18"/>
        </w:rPr>
        <w:t xml:space="preserve"> </w:t>
      </w:r>
      <w:r w:rsidRPr="00931FFE">
        <w:rPr>
          <w:bCs/>
          <w:sz w:val="18"/>
          <w:szCs w:val="18"/>
        </w:rPr>
        <w:t>Weinländer</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Valencak</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Lang</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Püribauer</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Kovats</w:t>
      </w:r>
      <w:r w:rsidR="00F551E0" w:rsidRPr="00931FFE">
        <w:rPr>
          <w:bCs/>
          <w:sz w:val="18"/>
          <w:szCs w:val="18"/>
        </w:rPr>
        <w:t xml:space="preserve"> </w:t>
      </w:r>
      <w:r w:rsidRPr="00931FFE">
        <w:rPr>
          <w:bCs/>
          <w:sz w:val="18"/>
          <w:szCs w:val="18"/>
        </w:rPr>
        <w:t>E.,</w:t>
      </w:r>
      <w:r w:rsidR="00F551E0" w:rsidRPr="00931FFE">
        <w:rPr>
          <w:bCs/>
          <w:sz w:val="18"/>
          <w:szCs w:val="18"/>
        </w:rPr>
        <w:t xml:space="preserve"> </w:t>
      </w:r>
      <w:r w:rsidRPr="00931FFE">
        <w:rPr>
          <w:bCs/>
          <w:sz w:val="18"/>
          <w:szCs w:val="18"/>
        </w:rPr>
        <w:t>Depisch</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Scheithauer</w:t>
      </w:r>
      <w:r w:rsidR="00F551E0" w:rsidRPr="00931FFE">
        <w:rPr>
          <w:bCs/>
          <w:sz w:val="18"/>
          <w:szCs w:val="18"/>
        </w:rPr>
        <w:t xml:space="preserve"> </w:t>
      </w:r>
      <w:r w:rsidRPr="00931FFE">
        <w:rPr>
          <w:bCs/>
          <w:sz w:val="18"/>
          <w:szCs w:val="18"/>
        </w:rPr>
        <w:t>W</w:t>
      </w:r>
      <w:r w:rsidRPr="00931FFE">
        <w:rPr>
          <w:sz w:val="18"/>
          <w:szCs w:val="18"/>
        </w:rPr>
        <w:t>.,</w:t>
      </w:r>
      <w:r w:rsidR="00F551E0" w:rsidRPr="00931FFE">
        <w:rPr>
          <w:sz w:val="18"/>
          <w:szCs w:val="18"/>
        </w:rPr>
        <w:t xml:space="preserve"> </w:t>
      </w:r>
      <w:r w:rsidRPr="00931FFE">
        <w:rPr>
          <w:sz w:val="18"/>
          <w:szCs w:val="18"/>
        </w:rPr>
        <w:t>Treatment</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vinorelbine</w:t>
      </w:r>
      <w:r w:rsidR="00F551E0" w:rsidRPr="00931FFE">
        <w:rPr>
          <w:sz w:val="18"/>
          <w:szCs w:val="18"/>
        </w:rPr>
        <w:t xml:space="preserve"> </w:t>
      </w:r>
      <w:r w:rsidRPr="00931FFE">
        <w:rPr>
          <w:sz w:val="18"/>
          <w:szCs w:val="18"/>
        </w:rPr>
        <w:t>plus</w:t>
      </w:r>
      <w:r w:rsidR="00F551E0" w:rsidRPr="00931FFE">
        <w:rPr>
          <w:sz w:val="18"/>
          <w:szCs w:val="18"/>
        </w:rPr>
        <w:t xml:space="preserve"> </w:t>
      </w:r>
      <w:r w:rsidRPr="00931FFE">
        <w:rPr>
          <w:sz w:val="18"/>
          <w:szCs w:val="18"/>
        </w:rPr>
        <w:t>human</w:t>
      </w:r>
      <w:r w:rsidR="00F551E0" w:rsidRPr="00931FFE">
        <w:rPr>
          <w:sz w:val="18"/>
          <w:szCs w:val="18"/>
        </w:rPr>
        <w:t xml:space="preserve"> </w:t>
      </w:r>
      <w:r w:rsidRPr="00931FFE">
        <w:rPr>
          <w:sz w:val="18"/>
          <w:szCs w:val="18"/>
        </w:rPr>
        <w:t>granulocyte</w:t>
      </w:r>
      <w:r w:rsidR="00F551E0" w:rsidRPr="00931FFE">
        <w:rPr>
          <w:sz w:val="18"/>
          <w:szCs w:val="18"/>
        </w:rPr>
        <w:t xml:space="preserve"> </w:t>
      </w:r>
      <w:r w:rsidRPr="00931FFE">
        <w:rPr>
          <w:sz w:val="18"/>
          <w:szCs w:val="18"/>
        </w:rPr>
        <w:t>colony-stimulating</w:t>
      </w:r>
      <w:r w:rsidR="00F551E0" w:rsidRPr="00931FFE">
        <w:rPr>
          <w:sz w:val="18"/>
          <w:szCs w:val="18"/>
        </w:rPr>
        <w:t xml:space="preserve"> </w:t>
      </w:r>
      <w:r w:rsidRPr="00931FFE">
        <w:rPr>
          <w:sz w:val="18"/>
          <w:szCs w:val="18"/>
        </w:rPr>
        <w:t>factor.</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Res.</w:t>
      </w:r>
      <w:r w:rsidR="00F551E0" w:rsidRPr="00931FFE">
        <w:rPr>
          <w:sz w:val="18"/>
          <w:szCs w:val="18"/>
        </w:rPr>
        <w:t xml:space="preserve"> </w:t>
      </w:r>
      <w:r w:rsidRPr="00931FFE">
        <w:rPr>
          <w:sz w:val="18"/>
          <w:szCs w:val="18"/>
        </w:rPr>
        <w:t>Treat.</w:t>
      </w:r>
      <w:r w:rsidR="00F551E0" w:rsidRPr="00931FFE">
        <w:rPr>
          <w:sz w:val="18"/>
          <w:szCs w:val="18"/>
        </w:rPr>
        <w:t xml:space="preserve"> </w:t>
      </w:r>
      <w:r w:rsidR="00D15F2D" w:rsidRPr="00931FFE">
        <w:rPr>
          <w:sz w:val="18"/>
          <w:szCs w:val="18"/>
        </w:rPr>
        <w:t>1999</w:t>
      </w:r>
      <w:r w:rsidRPr="00931FFE">
        <w:rPr>
          <w:sz w:val="18"/>
          <w:szCs w:val="18"/>
        </w:rPr>
        <w:t>,</w:t>
      </w:r>
      <w:r w:rsidR="00F551E0" w:rsidRPr="00931FFE">
        <w:rPr>
          <w:sz w:val="18"/>
          <w:szCs w:val="18"/>
        </w:rPr>
        <w:t xml:space="preserve"> </w:t>
      </w:r>
      <w:r w:rsidRPr="00931FFE">
        <w:rPr>
          <w:sz w:val="18"/>
          <w:szCs w:val="18"/>
        </w:rPr>
        <w:t>55</w:t>
      </w:r>
      <w:r w:rsidRPr="00931FFE">
        <w:rPr>
          <w:i/>
          <w:iCs/>
          <w:sz w:val="18"/>
          <w:szCs w:val="18"/>
        </w:rPr>
        <w:t>:</w:t>
      </w:r>
      <w:r w:rsidR="00F551E0" w:rsidRPr="00931FFE">
        <w:rPr>
          <w:i/>
          <w:iCs/>
          <w:sz w:val="18"/>
          <w:szCs w:val="18"/>
        </w:rPr>
        <w:t xml:space="preserve"> </w:t>
      </w:r>
      <w:r w:rsidRPr="00931FFE">
        <w:rPr>
          <w:sz w:val="18"/>
          <w:szCs w:val="18"/>
        </w:rPr>
        <w:t>203-211.</w:t>
      </w:r>
      <w:r w:rsidR="00F551E0" w:rsidRPr="00931FFE">
        <w:rPr>
          <w:sz w:val="18"/>
          <w:szCs w:val="18"/>
        </w:rPr>
        <w:t xml:space="preserve"> </w:t>
      </w:r>
    </w:p>
    <w:p w:rsidR="0001722E" w:rsidRPr="00931FFE" w:rsidRDefault="0001722E" w:rsidP="00931FFE">
      <w:pPr>
        <w:pStyle w:val="Default"/>
        <w:numPr>
          <w:ilvl w:val="0"/>
          <w:numId w:val="16"/>
        </w:numPr>
        <w:snapToGrid w:val="0"/>
        <w:ind w:left="425" w:hanging="425"/>
        <w:jc w:val="both"/>
        <w:rPr>
          <w:sz w:val="18"/>
          <w:szCs w:val="18"/>
        </w:rPr>
      </w:pPr>
      <w:r w:rsidRPr="00931FFE">
        <w:rPr>
          <w:bCs/>
          <w:sz w:val="18"/>
          <w:szCs w:val="18"/>
        </w:rPr>
        <w:t>Carmichael</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Possinger</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Philip</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Beykirch</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Kerr</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Walling</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Harris</w:t>
      </w:r>
      <w:r w:rsidR="00F551E0" w:rsidRPr="00931FFE">
        <w:rPr>
          <w:bCs/>
          <w:sz w:val="18"/>
          <w:szCs w:val="18"/>
        </w:rPr>
        <w:t xml:space="preserve"> </w:t>
      </w:r>
      <w:r w:rsidRPr="00931FFE">
        <w:rPr>
          <w:bCs/>
          <w:sz w:val="18"/>
          <w:szCs w:val="18"/>
        </w:rPr>
        <w:t>AL</w:t>
      </w:r>
      <w:r w:rsidRPr="00931FFE">
        <w:rPr>
          <w:sz w:val="18"/>
          <w:szCs w:val="18"/>
        </w:rPr>
        <w:t>.,</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trial</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Clin.</w:t>
      </w:r>
      <w:r w:rsidR="00F551E0" w:rsidRPr="00931FFE">
        <w:rPr>
          <w:sz w:val="18"/>
          <w:szCs w:val="18"/>
        </w:rPr>
        <w:t xml:space="preserve"> </w:t>
      </w:r>
      <w:r w:rsidRPr="00931FFE">
        <w:rPr>
          <w:sz w:val="18"/>
          <w:szCs w:val="18"/>
        </w:rPr>
        <w:t>Oncol.</w:t>
      </w:r>
      <w:r w:rsidR="00F551E0" w:rsidRPr="00931FFE">
        <w:rPr>
          <w:sz w:val="18"/>
          <w:szCs w:val="18"/>
        </w:rPr>
        <w:t xml:space="preserve"> </w:t>
      </w:r>
      <w:r w:rsidR="00D15F2D" w:rsidRPr="00931FFE">
        <w:rPr>
          <w:sz w:val="18"/>
          <w:szCs w:val="18"/>
        </w:rPr>
        <w:t>1995</w:t>
      </w:r>
      <w:r w:rsidRPr="00931FFE">
        <w:rPr>
          <w:sz w:val="18"/>
          <w:szCs w:val="18"/>
        </w:rPr>
        <w:t>,</w:t>
      </w:r>
      <w:r w:rsidR="00F551E0" w:rsidRPr="00931FFE">
        <w:rPr>
          <w:sz w:val="18"/>
          <w:szCs w:val="18"/>
        </w:rPr>
        <w:t xml:space="preserve"> </w:t>
      </w:r>
      <w:r w:rsidRPr="00931FFE">
        <w:rPr>
          <w:sz w:val="18"/>
          <w:szCs w:val="18"/>
        </w:rPr>
        <w:t>13</w:t>
      </w:r>
      <w:r w:rsidRPr="00931FFE">
        <w:rPr>
          <w:i/>
          <w:iCs/>
          <w:sz w:val="18"/>
          <w:szCs w:val="18"/>
        </w:rPr>
        <w:t>:</w:t>
      </w:r>
      <w:r w:rsidR="00F551E0" w:rsidRPr="00931FFE">
        <w:rPr>
          <w:i/>
          <w:iCs/>
          <w:sz w:val="18"/>
          <w:szCs w:val="18"/>
        </w:rPr>
        <w:t xml:space="preserve"> </w:t>
      </w:r>
      <w:r w:rsidRPr="00931FFE">
        <w:rPr>
          <w:sz w:val="18"/>
          <w:szCs w:val="18"/>
        </w:rPr>
        <w:t>2731-2736.</w:t>
      </w:r>
      <w:r w:rsidR="00F551E0" w:rsidRPr="00931FFE">
        <w:rPr>
          <w:sz w:val="18"/>
          <w:szCs w:val="18"/>
        </w:rPr>
        <w:t xml:space="preserve"> </w:t>
      </w:r>
    </w:p>
    <w:p w:rsidR="00F551E0" w:rsidRPr="00931FFE" w:rsidRDefault="0001722E" w:rsidP="00931FFE">
      <w:pPr>
        <w:pStyle w:val="Default"/>
        <w:numPr>
          <w:ilvl w:val="0"/>
          <w:numId w:val="16"/>
        </w:numPr>
        <w:snapToGrid w:val="0"/>
        <w:ind w:left="425" w:hanging="425"/>
        <w:jc w:val="both"/>
        <w:rPr>
          <w:sz w:val="18"/>
          <w:szCs w:val="18"/>
        </w:rPr>
      </w:pPr>
      <w:r w:rsidRPr="00931FFE">
        <w:rPr>
          <w:bCs/>
          <w:sz w:val="18"/>
          <w:szCs w:val="18"/>
        </w:rPr>
        <w:t>Spielmann</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Llombart-Cussac</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Kalla</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Espie</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Namer</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Ferrero</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Dieras</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Fomoleau</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Cuvier</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Perrocheau</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Ponzio</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Kayitalire</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Pouillart</w:t>
      </w:r>
      <w:r w:rsidR="00F551E0" w:rsidRPr="00931FFE">
        <w:rPr>
          <w:bCs/>
          <w:sz w:val="18"/>
          <w:szCs w:val="18"/>
        </w:rPr>
        <w:t xml:space="preserve"> </w:t>
      </w:r>
      <w:r w:rsidRPr="00931FFE">
        <w:rPr>
          <w:bCs/>
          <w:sz w:val="18"/>
          <w:szCs w:val="18"/>
        </w:rPr>
        <w:t>P</w:t>
      </w:r>
      <w:r w:rsidRPr="00931FFE">
        <w:rPr>
          <w:sz w:val="18"/>
          <w:szCs w:val="18"/>
        </w:rPr>
        <w:t>.,</w:t>
      </w:r>
      <w:r w:rsidR="00F551E0" w:rsidRPr="00931FFE">
        <w:rPr>
          <w:sz w:val="18"/>
          <w:szCs w:val="18"/>
        </w:rPr>
        <w:t xml:space="preserve"> </w:t>
      </w:r>
      <w:r w:rsidRPr="00931FFE">
        <w:rPr>
          <w:sz w:val="18"/>
          <w:szCs w:val="18"/>
        </w:rPr>
        <w:t>Single-agent</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is</w:t>
      </w:r>
      <w:r w:rsidR="00F551E0" w:rsidRPr="00931FFE">
        <w:rPr>
          <w:sz w:val="18"/>
          <w:szCs w:val="18"/>
        </w:rPr>
        <w:t xml:space="preserve"> </w:t>
      </w:r>
      <w:r w:rsidRPr="00931FFE">
        <w:rPr>
          <w:sz w:val="18"/>
          <w:szCs w:val="18"/>
        </w:rPr>
        <w:t>active</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previously</w:t>
      </w:r>
      <w:r w:rsidR="00F551E0" w:rsidRPr="00931FFE">
        <w:rPr>
          <w:sz w:val="18"/>
          <w:szCs w:val="18"/>
        </w:rPr>
        <w:t xml:space="preserve"> </w:t>
      </w:r>
      <w:r w:rsidRPr="00931FFE">
        <w:rPr>
          <w:sz w:val="18"/>
          <w:szCs w:val="18"/>
        </w:rPr>
        <w:t>treated</w:t>
      </w:r>
      <w:r w:rsidR="00F551E0" w:rsidRPr="00931FFE">
        <w:rPr>
          <w:sz w:val="18"/>
          <w:szCs w:val="18"/>
        </w:rPr>
        <w:t xml:space="preserve"> </w:t>
      </w:r>
      <w:r w:rsidRPr="00931FFE">
        <w:rPr>
          <w:sz w:val="18"/>
          <w:szCs w:val="18"/>
        </w:rPr>
        <w:t>metastatic</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Oncology</w:t>
      </w:r>
      <w:r w:rsidR="00F551E0" w:rsidRPr="00931FFE">
        <w:rPr>
          <w:sz w:val="18"/>
          <w:szCs w:val="18"/>
        </w:rPr>
        <w:t xml:space="preserve"> </w:t>
      </w:r>
      <w:r w:rsidR="00D15F2D" w:rsidRPr="00931FFE">
        <w:rPr>
          <w:sz w:val="18"/>
          <w:szCs w:val="18"/>
        </w:rPr>
        <w:t>2001</w:t>
      </w:r>
      <w:r w:rsidRPr="00931FFE">
        <w:rPr>
          <w:sz w:val="18"/>
          <w:szCs w:val="18"/>
        </w:rPr>
        <w:t>,</w:t>
      </w:r>
      <w:r w:rsidR="00F551E0" w:rsidRPr="00931FFE">
        <w:rPr>
          <w:sz w:val="18"/>
          <w:szCs w:val="18"/>
        </w:rPr>
        <w:t xml:space="preserve"> </w:t>
      </w:r>
      <w:r w:rsidRPr="00931FFE">
        <w:rPr>
          <w:sz w:val="18"/>
          <w:szCs w:val="18"/>
        </w:rPr>
        <w:t>60</w:t>
      </w:r>
      <w:r w:rsidRPr="00931FFE">
        <w:rPr>
          <w:i/>
          <w:iCs/>
          <w:sz w:val="18"/>
          <w:szCs w:val="18"/>
        </w:rPr>
        <w:t>:</w:t>
      </w:r>
      <w:r w:rsidR="00F551E0" w:rsidRPr="00931FFE">
        <w:rPr>
          <w:i/>
          <w:iCs/>
          <w:sz w:val="18"/>
          <w:szCs w:val="18"/>
        </w:rPr>
        <w:t xml:space="preserve"> </w:t>
      </w:r>
      <w:r w:rsidRPr="00931FFE">
        <w:rPr>
          <w:sz w:val="18"/>
          <w:szCs w:val="18"/>
        </w:rPr>
        <w:t>303-307.</w:t>
      </w:r>
    </w:p>
    <w:p w:rsidR="0001722E" w:rsidRPr="00931FFE" w:rsidRDefault="00F551E0" w:rsidP="00931FFE">
      <w:pPr>
        <w:pStyle w:val="Default"/>
        <w:numPr>
          <w:ilvl w:val="0"/>
          <w:numId w:val="16"/>
        </w:numPr>
        <w:snapToGrid w:val="0"/>
        <w:ind w:left="425" w:hanging="425"/>
        <w:jc w:val="both"/>
        <w:rPr>
          <w:sz w:val="18"/>
          <w:szCs w:val="18"/>
        </w:rPr>
      </w:pPr>
      <w:r w:rsidRPr="00931FFE">
        <w:rPr>
          <w:bCs/>
          <w:sz w:val="18"/>
          <w:szCs w:val="18"/>
        </w:rPr>
        <w:t>N</w:t>
      </w:r>
      <w:r w:rsidR="00D15F2D" w:rsidRPr="00931FFE">
        <w:rPr>
          <w:bCs/>
          <w:sz w:val="18"/>
          <w:szCs w:val="18"/>
        </w:rPr>
        <w:t>abholtz</w:t>
      </w:r>
      <w:r w:rsidRPr="00931FFE">
        <w:rPr>
          <w:bCs/>
          <w:sz w:val="18"/>
          <w:szCs w:val="18"/>
        </w:rPr>
        <w:t xml:space="preserve"> </w:t>
      </w:r>
      <w:r w:rsidR="00D15F2D" w:rsidRPr="00931FFE">
        <w:rPr>
          <w:bCs/>
          <w:sz w:val="18"/>
          <w:szCs w:val="18"/>
        </w:rPr>
        <w:t>J.</w:t>
      </w:r>
      <w:r w:rsidRPr="00931FFE">
        <w:rPr>
          <w:bCs/>
          <w:sz w:val="18"/>
          <w:szCs w:val="18"/>
        </w:rPr>
        <w:t xml:space="preserve"> </w:t>
      </w:r>
      <w:r w:rsidR="00D15F2D" w:rsidRPr="00931FFE">
        <w:rPr>
          <w:bCs/>
          <w:sz w:val="18"/>
          <w:szCs w:val="18"/>
        </w:rPr>
        <w:t>M</w:t>
      </w:r>
      <w:r w:rsidR="00D15F2D" w:rsidRPr="00931FFE">
        <w:rPr>
          <w:sz w:val="18"/>
          <w:szCs w:val="18"/>
        </w:rPr>
        <w:t>.,</w:t>
      </w:r>
      <w:r w:rsidRPr="00931FFE">
        <w:rPr>
          <w:sz w:val="18"/>
          <w:szCs w:val="18"/>
        </w:rPr>
        <w:t xml:space="preserve"> </w:t>
      </w:r>
      <w:r w:rsidR="00D15F2D" w:rsidRPr="00931FFE">
        <w:rPr>
          <w:sz w:val="18"/>
          <w:szCs w:val="18"/>
        </w:rPr>
        <w:t>The</w:t>
      </w:r>
      <w:r w:rsidRPr="00931FFE">
        <w:rPr>
          <w:sz w:val="18"/>
          <w:szCs w:val="18"/>
        </w:rPr>
        <w:t xml:space="preserve"> </w:t>
      </w:r>
      <w:r w:rsidR="00D15F2D" w:rsidRPr="00931FFE">
        <w:rPr>
          <w:sz w:val="18"/>
          <w:szCs w:val="18"/>
        </w:rPr>
        <w:t>role</w:t>
      </w:r>
      <w:r w:rsidRPr="00931FFE">
        <w:rPr>
          <w:sz w:val="18"/>
          <w:szCs w:val="18"/>
        </w:rPr>
        <w:t xml:space="preserve"> </w:t>
      </w:r>
      <w:r w:rsidR="00D15F2D" w:rsidRPr="00931FFE">
        <w:rPr>
          <w:sz w:val="18"/>
          <w:szCs w:val="18"/>
        </w:rPr>
        <w:t>of</w:t>
      </w:r>
      <w:r w:rsidRPr="00931FFE">
        <w:rPr>
          <w:sz w:val="18"/>
          <w:szCs w:val="18"/>
        </w:rPr>
        <w:t xml:space="preserve"> </w:t>
      </w:r>
      <w:r w:rsidR="00D15F2D" w:rsidRPr="00931FFE">
        <w:rPr>
          <w:sz w:val="18"/>
          <w:szCs w:val="18"/>
        </w:rPr>
        <w:t>taxanes</w:t>
      </w:r>
      <w:r w:rsidRPr="00931FFE">
        <w:rPr>
          <w:sz w:val="18"/>
          <w:szCs w:val="18"/>
        </w:rPr>
        <w:t xml:space="preserve"> </w:t>
      </w:r>
      <w:r w:rsidR="00D15F2D" w:rsidRPr="00931FFE">
        <w:rPr>
          <w:sz w:val="18"/>
          <w:szCs w:val="18"/>
        </w:rPr>
        <w:t>in</w:t>
      </w:r>
      <w:r w:rsidRPr="00931FFE">
        <w:rPr>
          <w:sz w:val="18"/>
          <w:szCs w:val="18"/>
        </w:rPr>
        <w:t xml:space="preserve"> </w:t>
      </w:r>
      <w:r w:rsidR="00D15F2D" w:rsidRPr="00931FFE">
        <w:rPr>
          <w:sz w:val="18"/>
          <w:szCs w:val="18"/>
        </w:rPr>
        <w:t>the</w:t>
      </w:r>
      <w:r w:rsidRPr="00931FFE">
        <w:rPr>
          <w:sz w:val="18"/>
          <w:szCs w:val="18"/>
        </w:rPr>
        <w:t xml:space="preserve"> </w:t>
      </w:r>
      <w:r w:rsidR="00D15F2D" w:rsidRPr="00931FFE">
        <w:rPr>
          <w:sz w:val="18"/>
          <w:szCs w:val="18"/>
        </w:rPr>
        <w:t>management</w:t>
      </w:r>
      <w:r w:rsidRPr="00931FFE">
        <w:rPr>
          <w:sz w:val="18"/>
          <w:szCs w:val="18"/>
        </w:rPr>
        <w:t xml:space="preserve"> </w:t>
      </w:r>
      <w:r w:rsidR="00D15F2D" w:rsidRPr="00931FFE">
        <w:rPr>
          <w:sz w:val="18"/>
          <w:szCs w:val="18"/>
        </w:rPr>
        <w:t>of</w:t>
      </w:r>
      <w:r w:rsidRPr="00931FFE">
        <w:rPr>
          <w:sz w:val="18"/>
          <w:szCs w:val="18"/>
        </w:rPr>
        <w:t xml:space="preserve"> </w:t>
      </w:r>
      <w:r w:rsidR="00D15F2D" w:rsidRPr="00931FFE">
        <w:rPr>
          <w:sz w:val="18"/>
          <w:szCs w:val="18"/>
        </w:rPr>
        <w:t>breast</w:t>
      </w:r>
      <w:r w:rsidRPr="00931FFE">
        <w:rPr>
          <w:sz w:val="18"/>
          <w:szCs w:val="18"/>
        </w:rPr>
        <w:t xml:space="preserve"> </w:t>
      </w:r>
      <w:r w:rsidR="00D15F2D" w:rsidRPr="00931FFE">
        <w:rPr>
          <w:sz w:val="18"/>
          <w:szCs w:val="18"/>
        </w:rPr>
        <w:t>cancer.</w:t>
      </w:r>
      <w:r w:rsidRPr="00931FFE">
        <w:rPr>
          <w:sz w:val="18"/>
          <w:szCs w:val="18"/>
        </w:rPr>
        <w:t xml:space="preserve"> </w:t>
      </w:r>
      <w:r w:rsidR="00D15F2D" w:rsidRPr="00931FFE">
        <w:rPr>
          <w:sz w:val="18"/>
          <w:szCs w:val="18"/>
        </w:rPr>
        <w:t>Semin.</w:t>
      </w:r>
      <w:r w:rsidRPr="00931FFE">
        <w:rPr>
          <w:sz w:val="18"/>
          <w:szCs w:val="18"/>
        </w:rPr>
        <w:t xml:space="preserve"> </w:t>
      </w:r>
      <w:r w:rsidR="00D15F2D" w:rsidRPr="00931FFE">
        <w:rPr>
          <w:sz w:val="18"/>
          <w:szCs w:val="18"/>
        </w:rPr>
        <w:t>Oncol.</w:t>
      </w:r>
      <w:r w:rsidRPr="00931FFE">
        <w:rPr>
          <w:sz w:val="18"/>
          <w:szCs w:val="18"/>
        </w:rPr>
        <w:t xml:space="preserve"> </w:t>
      </w:r>
      <w:r w:rsidR="00D15F2D" w:rsidRPr="00931FFE">
        <w:rPr>
          <w:sz w:val="18"/>
          <w:szCs w:val="18"/>
        </w:rPr>
        <w:t>1999,</w:t>
      </w:r>
      <w:r w:rsidRPr="00931FFE">
        <w:rPr>
          <w:sz w:val="18"/>
          <w:szCs w:val="18"/>
        </w:rPr>
        <w:t xml:space="preserve"> </w:t>
      </w:r>
      <w:r w:rsidR="00D15F2D" w:rsidRPr="00931FFE">
        <w:rPr>
          <w:sz w:val="18"/>
          <w:szCs w:val="18"/>
        </w:rPr>
        <w:t>26</w:t>
      </w:r>
      <w:r w:rsidRPr="00931FFE">
        <w:rPr>
          <w:sz w:val="18"/>
          <w:szCs w:val="18"/>
        </w:rPr>
        <w:t xml:space="preserve"> </w:t>
      </w:r>
      <w:r w:rsidR="00D15F2D" w:rsidRPr="00931FFE">
        <w:rPr>
          <w:sz w:val="18"/>
          <w:szCs w:val="18"/>
        </w:rPr>
        <w:t>(Suppl.</w:t>
      </w:r>
      <w:r w:rsidRPr="00931FFE">
        <w:rPr>
          <w:sz w:val="18"/>
          <w:szCs w:val="18"/>
        </w:rPr>
        <w:t xml:space="preserve"> </w:t>
      </w:r>
      <w:r w:rsidR="00D15F2D" w:rsidRPr="00931FFE">
        <w:rPr>
          <w:sz w:val="18"/>
          <w:szCs w:val="18"/>
        </w:rPr>
        <w:t>8)</w:t>
      </w:r>
      <w:r w:rsidR="00D15F2D" w:rsidRPr="00931FFE">
        <w:rPr>
          <w:i/>
          <w:iCs/>
          <w:sz w:val="18"/>
          <w:szCs w:val="18"/>
        </w:rPr>
        <w:t>:</w:t>
      </w:r>
      <w:r w:rsidRPr="00931FFE">
        <w:rPr>
          <w:i/>
          <w:iCs/>
          <w:sz w:val="18"/>
          <w:szCs w:val="18"/>
        </w:rPr>
        <w:t xml:space="preserve"> </w:t>
      </w:r>
      <w:r w:rsidR="00D15F2D" w:rsidRPr="00931FFE">
        <w:rPr>
          <w:sz w:val="18"/>
          <w:szCs w:val="18"/>
        </w:rPr>
        <w:t>1-3.</w:t>
      </w:r>
      <w:r w:rsidRPr="00931FFE">
        <w:rPr>
          <w:sz w:val="18"/>
          <w:szCs w:val="18"/>
        </w:rPr>
        <w:t xml:space="preserve"> </w:t>
      </w:r>
    </w:p>
    <w:p w:rsidR="00D15F2D" w:rsidRPr="00931FFE" w:rsidRDefault="00D15F2D" w:rsidP="00931FFE">
      <w:pPr>
        <w:pStyle w:val="Default"/>
        <w:numPr>
          <w:ilvl w:val="0"/>
          <w:numId w:val="16"/>
        </w:numPr>
        <w:snapToGrid w:val="0"/>
        <w:ind w:left="425" w:hanging="425"/>
        <w:jc w:val="both"/>
        <w:rPr>
          <w:sz w:val="18"/>
          <w:szCs w:val="18"/>
        </w:rPr>
      </w:pPr>
      <w:r w:rsidRPr="00931FFE">
        <w:rPr>
          <w:bCs/>
          <w:sz w:val="18"/>
          <w:szCs w:val="18"/>
        </w:rPr>
        <w:t>Rowinsky</w:t>
      </w:r>
      <w:r w:rsidR="00F551E0" w:rsidRPr="00931FFE">
        <w:rPr>
          <w:bCs/>
          <w:sz w:val="18"/>
          <w:szCs w:val="18"/>
        </w:rPr>
        <w:t xml:space="preserve"> </w:t>
      </w:r>
      <w:r w:rsidRPr="00931FFE">
        <w:rPr>
          <w:bCs/>
          <w:sz w:val="18"/>
          <w:szCs w:val="18"/>
        </w:rPr>
        <w:t>E.</w:t>
      </w:r>
      <w:r w:rsidR="00F551E0" w:rsidRPr="00931FFE">
        <w:rPr>
          <w:bCs/>
          <w:sz w:val="18"/>
          <w:szCs w:val="18"/>
        </w:rPr>
        <w:t xml:space="preserve"> </w:t>
      </w:r>
      <w:r w:rsidRPr="00931FFE">
        <w:rPr>
          <w:bCs/>
          <w:sz w:val="18"/>
          <w:szCs w:val="18"/>
        </w:rPr>
        <w:t>K</w:t>
      </w:r>
      <w:r w:rsidRPr="00931FFE">
        <w:rPr>
          <w:sz w:val="18"/>
          <w:szCs w:val="18"/>
        </w:rPr>
        <w:t>.,</w:t>
      </w:r>
      <w:r w:rsidR="00F551E0" w:rsidRPr="00931FFE">
        <w:rPr>
          <w:sz w:val="18"/>
          <w:szCs w:val="18"/>
        </w:rPr>
        <w:t xml:space="preserve"> </w:t>
      </w:r>
      <w:r w:rsidRPr="00931FFE">
        <w:rPr>
          <w:sz w:val="18"/>
          <w:szCs w:val="18"/>
        </w:rPr>
        <w:t>The</w:t>
      </w:r>
      <w:r w:rsidR="00F551E0" w:rsidRPr="00931FFE">
        <w:rPr>
          <w:sz w:val="18"/>
          <w:szCs w:val="18"/>
        </w:rPr>
        <w:t xml:space="preserve"> </w:t>
      </w:r>
      <w:r w:rsidRPr="00931FFE">
        <w:rPr>
          <w:sz w:val="18"/>
          <w:szCs w:val="18"/>
        </w:rPr>
        <w:t>development</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clinical</w:t>
      </w:r>
      <w:r w:rsidR="00F551E0" w:rsidRPr="00931FFE">
        <w:rPr>
          <w:sz w:val="18"/>
          <w:szCs w:val="18"/>
        </w:rPr>
        <w:t xml:space="preserve"> </w:t>
      </w:r>
      <w:r w:rsidRPr="00931FFE">
        <w:rPr>
          <w:sz w:val="18"/>
          <w:szCs w:val="18"/>
        </w:rPr>
        <w:t>utility</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the</w:t>
      </w:r>
      <w:r w:rsidR="00F551E0" w:rsidRPr="00931FFE">
        <w:rPr>
          <w:sz w:val="18"/>
          <w:szCs w:val="18"/>
        </w:rPr>
        <w:t xml:space="preserve"> </w:t>
      </w:r>
      <w:r w:rsidRPr="00931FFE">
        <w:rPr>
          <w:sz w:val="18"/>
          <w:szCs w:val="18"/>
        </w:rPr>
        <w:t>taxane</w:t>
      </w:r>
      <w:r w:rsidR="00F551E0" w:rsidRPr="00931FFE">
        <w:rPr>
          <w:sz w:val="18"/>
          <w:szCs w:val="18"/>
        </w:rPr>
        <w:t xml:space="preserve"> </w:t>
      </w:r>
      <w:r w:rsidRPr="00931FFE">
        <w:rPr>
          <w:sz w:val="18"/>
          <w:szCs w:val="18"/>
        </w:rPr>
        <w:t>class</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anti</w:t>
      </w:r>
      <w:r w:rsidR="00F551E0" w:rsidRPr="00931FFE">
        <w:rPr>
          <w:sz w:val="18"/>
          <w:szCs w:val="18"/>
        </w:rPr>
        <w:t xml:space="preserve"> </w:t>
      </w:r>
      <w:r w:rsidRPr="00931FFE">
        <w:rPr>
          <w:sz w:val="18"/>
          <w:szCs w:val="18"/>
        </w:rPr>
        <w:t>microtubule</w:t>
      </w:r>
      <w:r w:rsidR="00F551E0" w:rsidRPr="00931FFE">
        <w:rPr>
          <w:sz w:val="18"/>
          <w:szCs w:val="18"/>
        </w:rPr>
        <w:t xml:space="preserve"> </w:t>
      </w:r>
      <w:r w:rsidRPr="00931FFE">
        <w:rPr>
          <w:sz w:val="18"/>
          <w:szCs w:val="18"/>
        </w:rPr>
        <w:t>chemotherapy</w:t>
      </w:r>
      <w:r w:rsidR="00F551E0" w:rsidRPr="00931FFE">
        <w:rPr>
          <w:sz w:val="18"/>
          <w:szCs w:val="18"/>
        </w:rPr>
        <w:t xml:space="preserve"> </w:t>
      </w:r>
      <w:r w:rsidRPr="00931FFE">
        <w:rPr>
          <w:sz w:val="18"/>
          <w:szCs w:val="18"/>
        </w:rPr>
        <w:t>agents.</w:t>
      </w:r>
      <w:r w:rsidR="00F551E0" w:rsidRPr="00931FFE">
        <w:rPr>
          <w:sz w:val="18"/>
          <w:szCs w:val="18"/>
        </w:rPr>
        <w:t xml:space="preserve"> </w:t>
      </w:r>
      <w:r w:rsidRPr="00931FFE">
        <w:rPr>
          <w:sz w:val="18"/>
          <w:szCs w:val="18"/>
        </w:rPr>
        <w:t>Annu.</w:t>
      </w:r>
      <w:r w:rsidR="00F551E0" w:rsidRPr="00931FFE">
        <w:rPr>
          <w:sz w:val="18"/>
          <w:szCs w:val="18"/>
        </w:rPr>
        <w:t xml:space="preserve"> </w:t>
      </w:r>
      <w:r w:rsidRPr="00931FFE">
        <w:rPr>
          <w:sz w:val="18"/>
          <w:szCs w:val="18"/>
        </w:rPr>
        <w:t>Rev.</w:t>
      </w:r>
      <w:r w:rsidR="00F551E0" w:rsidRPr="00931FFE">
        <w:rPr>
          <w:sz w:val="18"/>
          <w:szCs w:val="18"/>
        </w:rPr>
        <w:t xml:space="preserve"> </w:t>
      </w:r>
      <w:r w:rsidRPr="00931FFE">
        <w:rPr>
          <w:sz w:val="18"/>
          <w:szCs w:val="18"/>
        </w:rPr>
        <w:t>Med.</w:t>
      </w:r>
      <w:r w:rsidR="00F551E0" w:rsidRPr="00931FFE">
        <w:rPr>
          <w:sz w:val="18"/>
          <w:szCs w:val="18"/>
        </w:rPr>
        <w:t xml:space="preserve"> </w:t>
      </w:r>
      <w:r w:rsidRPr="00931FFE">
        <w:rPr>
          <w:sz w:val="18"/>
          <w:szCs w:val="18"/>
        </w:rPr>
        <w:t>1997,</w:t>
      </w:r>
      <w:r w:rsidR="00F551E0" w:rsidRPr="00931FFE">
        <w:rPr>
          <w:sz w:val="18"/>
          <w:szCs w:val="18"/>
        </w:rPr>
        <w:t xml:space="preserve"> </w:t>
      </w:r>
      <w:r w:rsidRPr="00931FFE">
        <w:rPr>
          <w:sz w:val="18"/>
          <w:szCs w:val="18"/>
        </w:rPr>
        <w:t>48:</w:t>
      </w:r>
      <w:r w:rsidR="00F551E0" w:rsidRPr="00931FFE">
        <w:rPr>
          <w:i/>
          <w:iCs/>
          <w:sz w:val="18"/>
          <w:szCs w:val="18"/>
        </w:rPr>
        <w:t xml:space="preserve"> </w:t>
      </w:r>
      <w:r w:rsidRPr="00931FFE">
        <w:rPr>
          <w:sz w:val="18"/>
          <w:szCs w:val="18"/>
        </w:rPr>
        <w:t>353-374.</w:t>
      </w:r>
      <w:r w:rsidR="00F551E0" w:rsidRPr="00931FFE">
        <w:rPr>
          <w:sz w:val="18"/>
          <w:szCs w:val="18"/>
        </w:rPr>
        <w:t xml:space="preserve"> </w:t>
      </w:r>
    </w:p>
    <w:p w:rsidR="00D15F2D" w:rsidRPr="00931FFE" w:rsidRDefault="00D15F2D" w:rsidP="00931FFE">
      <w:pPr>
        <w:pStyle w:val="Default"/>
        <w:numPr>
          <w:ilvl w:val="0"/>
          <w:numId w:val="16"/>
        </w:numPr>
        <w:snapToGrid w:val="0"/>
        <w:ind w:left="425" w:hanging="425"/>
        <w:jc w:val="both"/>
        <w:rPr>
          <w:sz w:val="18"/>
          <w:szCs w:val="18"/>
        </w:rPr>
      </w:pPr>
      <w:r w:rsidRPr="00931FFE">
        <w:rPr>
          <w:bCs/>
          <w:sz w:val="18"/>
          <w:szCs w:val="18"/>
        </w:rPr>
        <w:t>Hejna</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Kornek</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Raderer</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Ulrich-Pur</w:t>
      </w:r>
      <w:r w:rsidR="00F551E0" w:rsidRPr="00931FFE">
        <w:rPr>
          <w:bCs/>
          <w:sz w:val="18"/>
          <w:szCs w:val="18"/>
        </w:rPr>
        <w:t xml:space="preserve"> </w:t>
      </w:r>
      <w:r w:rsidRPr="00931FFE">
        <w:rPr>
          <w:bCs/>
          <w:sz w:val="18"/>
          <w:szCs w:val="18"/>
        </w:rPr>
        <w:t>H.,</w:t>
      </w:r>
      <w:r w:rsidR="00F551E0" w:rsidRPr="00931FFE">
        <w:rPr>
          <w:bCs/>
          <w:sz w:val="18"/>
          <w:szCs w:val="18"/>
        </w:rPr>
        <w:t xml:space="preserve"> </w:t>
      </w:r>
      <w:r w:rsidRPr="00931FFE">
        <w:rPr>
          <w:bCs/>
          <w:sz w:val="18"/>
          <w:szCs w:val="18"/>
        </w:rPr>
        <w:t>Fiebiger</w:t>
      </w:r>
      <w:r w:rsidR="00F551E0" w:rsidRPr="00931FFE">
        <w:rPr>
          <w:bCs/>
          <w:sz w:val="18"/>
          <w:szCs w:val="18"/>
        </w:rPr>
        <w:t xml:space="preserve"> </w:t>
      </w:r>
      <w:r w:rsidRPr="00931FFE">
        <w:rPr>
          <w:bCs/>
          <w:sz w:val="18"/>
          <w:szCs w:val="18"/>
        </w:rPr>
        <w:t>W.,</w:t>
      </w:r>
      <w:r w:rsidR="00F551E0" w:rsidRPr="00931FFE">
        <w:rPr>
          <w:bCs/>
          <w:sz w:val="18"/>
          <w:szCs w:val="18"/>
        </w:rPr>
        <w:t xml:space="preserve"> </w:t>
      </w:r>
      <w:r w:rsidRPr="00931FFE">
        <w:rPr>
          <w:bCs/>
          <w:sz w:val="18"/>
          <w:szCs w:val="18"/>
        </w:rPr>
        <w:t>Marosi</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Schneeweiss</w:t>
      </w:r>
      <w:r w:rsidR="00F551E0" w:rsidRPr="00931FFE">
        <w:rPr>
          <w:bCs/>
          <w:sz w:val="18"/>
          <w:szCs w:val="18"/>
        </w:rPr>
        <w:t xml:space="preserve"> </w:t>
      </w:r>
      <w:r w:rsidRPr="00931FFE">
        <w:rPr>
          <w:bCs/>
          <w:sz w:val="18"/>
          <w:szCs w:val="18"/>
        </w:rPr>
        <w:t>B.,</w:t>
      </w:r>
      <w:r w:rsidR="00F551E0" w:rsidRPr="00931FFE">
        <w:rPr>
          <w:bCs/>
          <w:sz w:val="18"/>
          <w:szCs w:val="18"/>
        </w:rPr>
        <w:t xml:space="preserve"> </w:t>
      </w:r>
      <w:r w:rsidRPr="00931FFE">
        <w:rPr>
          <w:bCs/>
          <w:sz w:val="18"/>
          <w:szCs w:val="18"/>
        </w:rPr>
        <w:t>Greul</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Scheithauer</w:t>
      </w:r>
      <w:r w:rsidR="00F551E0" w:rsidRPr="00931FFE">
        <w:rPr>
          <w:bCs/>
          <w:sz w:val="18"/>
          <w:szCs w:val="18"/>
        </w:rPr>
        <w:t xml:space="preserve"> </w:t>
      </w:r>
      <w:r w:rsidRPr="00931FFE">
        <w:rPr>
          <w:bCs/>
          <w:sz w:val="18"/>
          <w:szCs w:val="18"/>
        </w:rPr>
        <w:t>W</w:t>
      </w:r>
      <w:r w:rsidRPr="00931FFE">
        <w:rPr>
          <w:sz w:val="18"/>
          <w:szCs w:val="18"/>
        </w:rPr>
        <w:t>.,</w:t>
      </w:r>
      <w:r w:rsidR="00F551E0" w:rsidRPr="00931FFE">
        <w:rPr>
          <w:sz w:val="18"/>
          <w:szCs w:val="18"/>
        </w:rPr>
        <w:t xml:space="preserve"> </w:t>
      </w:r>
      <w:r w:rsidRPr="00931FFE">
        <w:rPr>
          <w:sz w:val="18"/>
          <w:szCs w:val="18"/>
        </w:rPr>
        <w:t>Treatment</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patients</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non-small-cell</w:t>
      </w:r>
      <w:r w:rsidR="00F551E0" w:rsidRPr="00931FFE">
        <w:rPr>
          <w:sz w:val="18"/>
          <w:szCs w:val="18"/>
        </w:rPr>
        <w:t xml:space="preserve"> </w:t>
      </w:r>
      <w:r w:rsidRPr="00931FFE">
        <w:rPr>
          <w:sz w:val="18"/>
          <w:szCs w:val="18"/>
        </w:rPr>
        <w:t>lung</w:t>
      </w:r>
      <w:r w:rsidR="00F551E0" w:rsidRPr="00931FFE">
        <w:rPr>
          <w:sz w:val="18"/>
          <w:szCs w:val="18"/>
        </w:rPr>
        <w:t xml:space="preserve"> </w:t>
      </w:r>
      <w:r w:rsidRPr="00931FFE">
        <w:rPr>
          <w:sz w:val="18"/>
          <w:szCs w:val="18"/>
        </w:rPr>
        <w:t>carcinoma</w:t>
      </w:r>
      <w:r w:rsidR="00F551E0" w:rsidRPr="00931FFE">
        <w:rPr>
          <w:sz w:val="18"/>
          <w:szCs w:val="18"/>
        </w:rPr>
        <w:t xml:space="preserve"> </w:t>
      </w:r>
      <w:r w:rsidRPr="00931FFE">
        <w:rPr>
          <w:sz w:val="18"/>
          <w:szCs w:val="18"/>
        </w:rPr>
        <w:t>using</w:t>
      </w:r>
      <w:r w:rsidR="00F551E0" w:rsidRPr="00931FFE">
        <w:rPr>
          <w:sz w:val="18"/>
          <w:szCs w:val="18"/>
        </w:rPr>
        <w:t xml:space="preserve"> </w:t>
      </w:r>
      <w:r w:rsidRPr="00931FFE">
        <w:rPr>
          <w:sz w:val="18"/>
          <w:szCs w:val="18"/>
        </w:rPr>
        <w:t>docetaxel</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plus</w:t>
      </w:r>
      <w:r w:rsidR="00F551E0" w:rsidRPr="00931FFE">
        <w:rPr>
          <w:sz w:val="18"/>
          <w:szCs w:val="18"/>
        </w:rPr>
        <w:t xml:space="preserve"> </w:t>
      </w:r>
      <w:r w:rsidRPr="00931FFE">
        <w:rPr>
          <w:sz w:val="18"/>
          <w:szCs w:val="18"/>
        </w:rPr>
        <w:t>granulocyte-colony</w:t>
      </w:r>
      <w:r w:rsidR="00F551E0" w:rsidRPr="00931FFE">
        <w:rPr>
          <w:sz w:val="18"/>
          <w:szCs w:val="18"/>
        </w:rPr>
        <w:t xml:space="preserve"> </w:t>
      </w:r>
      <w:r w:rsidRPr="00931FFE">
        <w:rPr>
          <w:sz w:val="18"/>
          <w:szCs w:val="18"/>
        </w:rPr>
        <w:t>stimulating</w:t>
      </w:r>
      <w:r w:rsidR="00F551E0" w:rsidRPr="00931FFE">
        <w:rPr>
          <w:sz w:val="18"/>
          <w:szCs w:val="18"/>
        </w:rPr>
        <w:t xml:space="preserve"> </w:t>
      </w:r>
      <w:r w:rsidRPr="00931FFE">
        <w:rPr>
          <w:sz w:val="18"/>
          <w:szCs w:val="18"/>
        </w:rPr>
        <w:t>factor.</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(Phila.)</w:t>
      </w:r>
      <w:r w:rsidR="00F551E0" w:rsidRPr="00931FFE">
        <w:rPr>
          <w:sz w:val="18"/>
          <w:szCs w:val="18"/>
        </w:rPr>
        <w:t xml:space="preserve"> </w:t>
      </w:r>
      <w:r w:rsidRPr="00931FFE">
        <w:rPr>
          <w:sz w:val="18"/>
          <w:szCs w:val="18"/>
        </w:rPr>
        <w:t>2000,</w:t>
      </w:r>
      <w:r w:rsidR="00F551E0" w:rsidRPr="00931FFE">
        <w:rPr>
          <w:sz w:val="18"/>
          <w:szCs w:val="18"/>
        </w:rPr>
        <w:t xml:space="preserve"> </w:t>
      </w:r>
      <w:r w:rsidRPr="00931FFE">
        <w:rPr>
          <w:sz w:val="18"/>
          <w:szCs w:val="18"/>
        </w:rPr>
        <w:t>89</w:t>
      </w:r>
      <w:r w:rsidRPr="00931FFE">
        <w:rPr>
          <w:i/>
          <w:iCs/>
          <w:sz w:val="18"/>
          <w:szCs w:val="18"/>
        </w:rPr>
        <w:t>:</w:t>
      </w:r>
      <w:r w:rsidR="00F551E0" w:rsidRPr="00931FFE">
        <w:rPr>
          <w:i/>
          <w:iCs/>
          <w:sz w:val="18"/>
          <w:szCs w:val="18"/>
        </w:rPr>
        <w:t xml:space="preserve"> </w:t>
      </w:r>
      <w:r w:rsidRPr="00931FFE">
        <w:rPr>
          <w:sz w:val="18"/>
          <w:szCs w:val="18"/>
        </w:rPr>
        <w:t>516-522.</w:t>
      </w:r>
      <w:r w:rsidR="00F551E0" w:rsidRPr="00931FFE">
        <w:rPr>
          <w:sz w:val="18"/>
          <w:szCs w:val="18"/>
        </w:rPr>
        <w:t xml:space="preserve"> </w:t>
      </w:r>
    </w:p>
    <w:p w:rsidR="00D15F2D" w:rsidRPr="00931FFE" w:rsidRDefault="00D15F2D" w:rsidP="00931FFE">
      <w:pPr>
        <w:pStyle w:val="Default"/>
        <w:numPr>
          <w:ilvl w:val="0"/>
          <w:numId w:val="16"/>
        </w:numPr>
        <w:snapToGrid w:val="0"/>
        <w:ind w:left="425" w:hanging="425"/>
        <w:jc w:val="both"/>
        <w:rPr>
          <w:sz w:val="18"/>
          <w:szCs w:val="18"/>
        </w:rPr>
      </w:pPr>
      <w:r w:rsidRPr="00931FFE">
        <w:rPr>
          <w:bCs/>
          <w:sz w:val="18"/>
          <w:szCs w:val="18"/>
        </w:rPr>
        <w:t>Georgoulias</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Kouroussis</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Androulakis</w:t>
      </w:r>
      <w:r w:rsidR="00F551E0" w:rsidRPr="00931FFE">
        <w:rPr>
          <w:bCs/>
          <w:sz w:val="18"/>
          <w:szCs w:val="18"/>
        </w:rPr>
        <w:t xml:space="preserve"> </w:t>
      </w:r>
      <w:r w:rsidRPr="00931FFE">
        <w:rPr>
          <w:bCs/>
          <w:sz w:val="18"/>
          <w:szCs w:val="18"/>
        </w:rPr>
        <w:t>N.,</w:t>
      </w:r>
      <w:r w:rsidR="00F551E0" w:rsidRPr="00931FFE">
        <w:rPr>
          <w:bCs/>
          <w:sz w:val="18"/>
          <w:szCs w:val="18"/>
        </w:rPr>
        <w:t xml:space="preserve"> </w:t>
      </w:r>
      <w:r w:rsidRPr="00931FFE">
        <w:rPr>
          <w:bCs/>
          <w:sz w:val="18"/>
          <w:szCs w:val="18"/>
        </w:rPr>
        <w:t>Kakolyris</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Dimopoulus</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Papadakis</w:t>
      </w:r>
      <w:r w:rsidR="00F551E0" w:rsidRPr="00931FFE">
        <w:rPr>
          <w:bCs/>
          <w:sz w:val="18"/>
          <w:szCs w:val="18"/>
        </w:rPr>
        <w:t xml:space="preserve"> </w:t>
      </w:r>
      <w:r w:rsidRPr="00931FFE">
        <w:rPr>
          <w:bCs/>
          <w:sz w:val="18"/>
          <w:szCs w:val="18"/>
        </w:rPr>
        <w:t>E.,</w:t>
      </w:r>
      <w:r w:rsidR="00F551E0" w:rsidRPr="00931FFE">
        <w:rPr>
          <w:bCs/>
          <w:sz w:val="18"/>
          <w:szCs w:val="18"/>
        </w:rPr>
        <w:t xml:space="preserve"> </w:t>
      </w:r>
      <w:r w:rsidRPr="00931FFE">
        <w:rPr>
          <w:bCs/>
          <w:sz w:val="18"/>
          <w:szCs w:val="18"/>
        </w:rPr>
        <w:t>Bouros</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Apostolopoulou</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Papadimitriou</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Agelidou</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Hatzakis</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Kalbakis</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Kotsakis</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Vardakis</w:t>
      </w:r>
      <w:r w:rsidR="00F551E0" w:rsidRPr="00931FFE">
        <w:rPr>
          <w:bCs/>
          <w:sz w:val="18"/>
          <w:szCs w:val="18"/>
        </w:rPr>
        <w:t xml:space="preserve"> </w:t>
      </w:r>
      <w:r w:rsidRPr="00931FFE">
        <w:rPr>
          <w:bCs/>
          <w:sz w:val="18"/>
          <w:szCs w:val="18"/>
        </w:rPr>
        <w:t>N.,</w:t>
      </w:r>
      <w:r w:rsidR="00F551E0" w:rsidRPr="00931FFE">
        <w:rPr>
          <w:bCs/>
          <w:sz w:val="18"/>
          <w:szCs w:val="18"/>
        </w:rPr>
        <w:t xml:space="preserve"> </w:t>
      </w:r>
      <w:r w:rsidRPr="00931FFE">
        <w:rPr>
          <w:bCs/>
          <w:sz w:val="18"/>
          <w:szCs w:val="18"/>
        </w:rPr>
        <w:t>Vlachonicolis</w:t>
      </w:r>
      <w:r w:rsidR="00F551E0" w:rsidRPr="00931FFE">
        <w:rPr>
          <w:bCs/>
          <w:sz w:val="18"/>
          <w:szCs w:val="18"/>
        </w:rPr>
        <w:t xml:space="preserve"> </w:t>
      </w:r>
      <w:r w:rsidRPr="00931FFE">
        <w:rPr>
          <w:bCs/>
          <w:sz w:val="18"/>
          <w:szCs w:val="18"/>
        </w:rPr>
        <w:t>J</w:t>
      </w:r>
      <w:r w:rsidRPr="00931FFE">
        <w:rPr>
          <w:sz w:val="18"/>
          <w:szCs w:val="18"/>
        </w:rPr>
        <w:t>.,</w:t>
      </w:r>
      <w:r w:rsidR="00F551E0" w:rsidRPr="00931FFE">
        <w:rPr>
          <w:sz w:val="18"/>
          <w:szCs w:val="18"/>
        </w:rPr>
        <w:t xml:space="preserve"> </w:t>
      </w:r>
      <w:r w:rsidRPr="00931FFE">
        <w:rPr>
          <w:sz w:val="18"/>
          <w:szCs w:val="18"/>
        </w:rPr>
        <w:t>Front-line</w:t>
      </w:r>
      <w:r w:rsidR="00F551E0" w:rsidRPr="00931FFE">
        <w:rPr>
          <w:sz w:val="18"/>
          <w:szCs w:val="18"/>
        </w:rPr>
        <w:t xml:space="preserve"> </w:t>
      </w:r>
      <w:r w:rsidRPr="00931FFE">
        <w:rPr>
          <w:sz w:val="18"/>
          <w:szCs w:val="18"/>
        </w:rPr>
        <w:t>treatment</w:t>
      </w:r>
      <w:r w:rsidR="00F551E0" w:rsidRPr="00931FFE">
        <w:rPr>
          <w:sz w:val="18"/>
          <w:szCs w:val="18"/>
        </w:rPr>
        <w:t xml:space="preserve"> </w:t>
      </w:r>
      <w:r w:rsidRPr="00931FFE">
        <w:rPr>
          <w:sz w:val="18"/>
          <w:szCs w:val="18"/>
        </w:rPr>
        <w:t>of</w:t>
      </w:r>
      <w:r w:rsidR="00F551E0" w:rsidRPr="00931FFE">
        <w:rPr>
          <w:sz w:val="18"/>
          <w:szCs w:val="18"/>
        </w:rPr>
        <w:t xml:space="preserve"> </w:t>
      </w:r>
      <w:r w:rsidRPr="00931FFE">
        <w:rPr>
          <w:sz w:val="18"/>
          <w:szCs w:val="18"/>
        </w:rPr>
        <w:t>advanced</w:t>
      </w:r>
      <w:r w:rsidR="00F551E0" w:rsidRPr="00931FFE">
        <w:rPr>
          <w:sz w:val="18"/>
          <w:szCs w:val="18"/>
        </w:rPr>
        <w:t xml:space="preserve"> </w:t>
      </w:r>
      <w:r w:rsidRPr="00931FFE">
        <w:rPr>
          <w:sz w:val="18"/>
          <w:szCs w:val="18"/>
        </w:rPr>
        <w:t>non-small</w:t>
      </w:r>
      <w:r w:rsidR="00F551E0" w:rsidRPr="00931FFE">
        <w:rPr>
          <w:sz w:val="18"/>
          <w:szCs w:val="18"/>
        </w:rPr>
        <w:t xml:space="preserve"> </w:t>
      </w:r>
      <w:r w:rsidRPr="00931FFE">
        <w:rPr>
          <w:sz w:val="18"/>
          <w:szCs w:val="18"/>
        </w:rPr>
        <w:t>cell</w:t>
      </w:r>
      <w:r w:rsidR="00F551E0" w:rsidRPr="00931FFE">
        <w:rPr>
          <w:sz w:val="18"/>
          <w:szCs w:val="18"/>
        </w:rPr>
        <w:t xml:space="preserve"> </w:t>
      </w:r>
      <w:r w:rsidRPr="00931FFE">
        <w:rPr>
          <w:sz w:val="18"/>
          <w:szCs w:val="18"/>
        </w:rPr>
        <w:t>lung</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docetaxel</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multicenter</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trial.</w:t>
      </w:r>
      <w:r w:rsidR="00F551E0" w:rsidRPr="00931FFE">
        <w:rPr>
          <w:sz w:val="18"/>
          <w:szCs w:val="18"/>
        </w:rPr>
        <w:t xml:space="preserve"> </w:t>
      </w:r>
      <w:r w:rsidRPr="00931FFE">
        <w:rPr>
          <w:sz w:val="18"/>
          <w:szCs w:val="18"/>
        </w:rPr>
        <w:t>J.</w:t>
      </w:r>
      <w:r w:rsidR="00F551E0" w:rsidRPr="00931FFE">
        <w:rPr>
          <w:sz w:val="18"/>
          <w:szCs w:val="18"/>
        </w:rPr>
        <w:t xml:space="preserve"> </w:t>
      </w:r>
      <w:r w:rsidRPr="00931FFE">
        <w:rPr>
          <w:sz w:val="18"/>
          <w:szCs w:val="18"/>
        </w:rPr>
        <w:t>Clin.</w:t>
      </w:r>
      <w:r w:rsidR="00F551E0" w:rsidRPr="00931FFE">
        <w:rPr>
          <w:sz w:val="18"/>
          <w:szCs w:val="18"/>
        </w:rPr>
        <w:t xml:space="preserve"> </w:t>
      </w:r>
      <w:r w:rsidRPr="00931FFE">
        <w:rPr>
          <w:sz w:val="18"/>
          <w:szCs w:val="18"/>
        </w:rPr>
        <w:t>Oncol.</w:t>
      </w:r>
      <w:r w:rsidR="00F551E0" w:rsidRPr="00931FFE">
        <w:rPr>
          <w:sz w:val="18"/>
          <w:szCs w:val="18"/>
        </w:rPr>
        <w:t xml:space="preserve"> </w:t>
      </w:r>
      <w:r w:rsidRPr="00931FFE">
        <w:rPr>
          <w:sz w:val="18"/>
          <w:szCs w:val="18"/>
        </w:rPr>
        <w:t>1999,</w:t>
      </w:r>
      <w:r w:rsidR="00F551E0" w:rsidRPr="00931FFE">
        <w:rPr>
          <w:sz w:val="18"/>
          <w:szCs w:val="18"/>
        </w:rPr>
        <w:t xml:space="preserve"> </w:t>
      </w:r>
      <w:r w:rsidRPr="00931FFE">
        <w:rPr>
          <w:sz w:val="18"/>
          <w:szCs w:val="18"/>
        </w:rPr>
        <w:t>17</w:t>
      </w:r>
      <w:r w:rsidRPr="00931FFE">
        <w:rPr>
          <w:i/>
          <w:iCs/>
          <w:sz w:val="18"/>
          <w:szCs w:val="18"/>
        </w:rPr>
        <w:t>:</w:t>
      </w:r>
      <w:r w:rsidR="00F551E0" w:rsidRPr="00931FFE">
        <w:rPr>
          <w:i/>
          <w:iCs/>
          <w:sz w:val="18"/>
          <w:szCs w:val="18"/>
        </w:rPr>
        <w:t xml:space="preserve"> </w:t>
      </w:r>
      <w:r w:rsidRPr="00931FFE">
        <w:rPr>
          <w:sz w:val="18"/>
          <w:szCs w:val="18"/>
        </w:rPr>
        <w:t>914-920.</w:t>
      </w:r>
    </w:p>
    <w:p w:rsidR="00D15F2D" w:rsidRPr="00931FFE" w:rsidRDefault="00D15F2D" w:rsidP="00931FFE">
      <w:pPr>
        <w:pStyle w:val="Default"/>
        <w:numPr>
          <w:ilvl w:val="0"/>
          <w:numId w:val="16"/>
        </w:numPr>
        <w:snapToGrid w:val="0"/>
        <w:ind w:left="425" w:hanging="425"/>
        <w:jc w:val="both"/>
        <w:rPr>
          <w:sz w:val="18"/>
          <w:szCs w:val="18"/>
        </w:rPr>
      </w:pPr>
      <w:r w:rsidRPr="00931FFE">
        <w:rPr>
          <w:bCs/>
          <w:sz w:val="18"/>
          <w:szCs w:val="18"/>
        </w:rPr>
        <w:t>Mavroudis</w:t>
      </w:r>
      <w:r w:rsidR="00F551E0" w:rsidRPr="00931FFE">
        <w:rPr>
          <w:bCs/>
          <w:sz w:val="18"/>
          <w:szCs w:val="18"/>
        </w:rPr>
        <w:t xml:space="preserve"> </w:t>
      </w:r>
      <w:r w:rsidRPr="00931FFE">
        <w:rPr>
          <w:bCs/>
          <w:sz w:val="18"/>
          <w:szCs w:val="18"/>
        </w:rPr>
        <w:t>D.,</w:t>
      </w:r>
      <w:r w:rsidR="00F551E0" w:rsidRPr="00931FFE">
        <w:rPr>
          <w:bCs/>
          <w:sz w:val="18"/>
          <w:szCs w:val="18"/>
        </w:rPr>
        <w:t xml:space="preserve"> </w:t>
      </w:r>
      <w:r w:rsidRPr="00931FFE">
        <w:rPr>
          <w:bCs/>
          <w:sz w:val="18"/>
          <w:szCs w:val="18"/>
        </w:rPr>
        <w:t>Malamos</w:t>
      </w:r>
      <w:r w:rsidR="00F551E0" w:rsidRPr="00931FFE">
        <w:rPr>
          <w:bCs/>
          <w:sz w:val="18"/>
          <w:szCs w:val="18"/>
        </w:rPr>
        <w:t xml:space="preserve"> </w:t>
      </w:r>
      <w:r w:rsidRPr="00931FFE">
        <w:rPr>
          <w:bCs/>
          <w:sz w:val="18"/>
          <w:szCs w:val="18"/>
        </w:rPr>
        <w:t>N.,</w:t>
      </w:r>
      <w:r w:rsidR="00F551E0" w:rsidRPr="00931FFE">
        <w:rPr>
          <w:bCs/>
          <w:sz w:val="18"/>
          <w:szCs w:val="18"/>
        </w:rPr>
        <w:t xml:space="preserve"> </w:t>
      </w:r>
      <w:r w:rsidRPr="00931FFE">
        <w:rPr>
          <w:bCs/>
          <w:sz w:val="18"/>
          <w:szCs w:val="18"/>
        </w:rPr>
        <w:t>Alexopoulus</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Kourousis</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Agelaki</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Sarra</w:t>
      </w:r>
      <w:r w:rsidR="00F551E0" w:rsidRPr="00931FFE">
        <w:rPr>
          <w:bCs/>
          <w:sz w:val="18"/>
          <w:szCs w:val="18"/>
        </w:rPr>
        <w:t xml:space="preserve"> </w:t>
      </w:r>
      <w:r w:rsidRPr="00931FFE">
        <w:rPr>
          <w:bCs/>
          <w:sz w:val="18"/>
          <w:szCs w:val="18"/>
        </w:rPr>
        <w:t>E.,</w:t>
      </w:r>
      <w:r w:rsidR="00F551E0" w:rsidRPr="00931FFE">
        <w:rPr>
          <w:bCs/>
          <w:sz w:val="18"/>
          <w:szCs w:val="18"/>
        </w:rPr>
        <w:t xml:space="preserve"> </w:t>
      </w:r>
      <w:r w:rsidRPr="00931FFE">
        <w:rPr>
          <w:bCs/>
          <w:sz w:val="18"/>
          <w:szCs w:val="18"/>
        </w:rPr>
        <w:t>Potamianou</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Kosmas</w:t>
      </w:r>
      <w:r w:rsidR="00F551E0" w:rsidRPr="00931FFE">
        <w:rPr>
          <w:bCs/>
          <w:sz w:val="18"/>
          <w:szCs w:val="18"/>
        </w:rPr>
        <w:t xml:space="preserve"> </w:t>
      </w:r>
      <w:r w:rsidRPr="00931FFE">
        <w:rPr>
          <w:bCs/>
          <w:sz w:val="18"/>
          <w:szCs w:val="18"/>
        </w:rPr>
        <w:t>C.,</w:t>
      </w:r>
      <w:r w:rsidR="00F551E0" w:rsidRPr="00931FFE">
        <w:rPr>
          <w:bCs/>
          <w:sz w:val="18"/>
          <w:szCs w:val="18"/>
        </w:rPr>
        <w:t xml:space="preserve"> </w:t>
      </w:r>
      <w:r w:rsidRPr="00931FFE">
        <w:rPr>
          <w:bCs/>
          <w:sz w:val="18"/>
          <w:szCs w:val="18"/>
        </w:rPr>
        <w:t>Rigatos</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Giannakakis</w:t>
      </w:r>
      <w:r w:rsidR="00F551E0" w:rsidRPr="00931FFE">
        <w:rPr>
          <w:bCs/>
          <w:sz w:val="18"/>
          <w:szCs w:val="18"/>
        </w:rPr>
        <w:t xml:space="preserve"> </w:t>
      </w:r>
      <w:r w:rsidRPr="00931FFE">
        <w:rPr>
          <w:bCs/>
          <w:sz w:val="18"/>
          <w:szCs w:val="18"/>
        </w:rPr>
        <w:t>T.,</w:t>
      </w:r>
      <w:r w:rsidR="00F551E0" w:rsidRPr="00931FFE">
        <w:rPr>
          <w:bCs/>
          <w:sz w:val="18"/>
          <w:szCs w:val="18"/>
        </w:rPr>
        <w:t xml:space="preserve"> </w:t>
      </w:r>
      <w:r w:rsidRPr="00931FFE">
        <w:rPr>
          <w:bCs/>
          <w:sz w:val="18"/>
          <w:szCs w:val="18"/>
        </w:rPr>
        <w:t>Kalbakis</w:t>
      </w:r>
      <w:r w:rsidR="00F551E0" w:rsidRPr="00931FFE">
        <w:rPr>
          <w:bCs/>
          <w:sz w:val="18"/>
          <w:szCs w:val="18"/>
        </w:rPr>
        <w:t xml:space="preserve"> </w:t>
      </w:r>
      <w:r w:rsidRPr="00931FFE">
        <w:rPr>
          <w:bCs/>
          <w:sz w:val="18"/>
          <w:szCs w:val="18"/>
        </w:rPr>
        <w:t>K.,</w:t>
      </w:r>
      <w:r w:rsidR="00F551E0" w:rsidRPr="00931FFE">
        <w:rPr>
          <w:bCs/>
          <w:sz w:val="18"/>
          <w:szCs w:val="18"/>
        </w:rPr>
        <w:t xml:space="preserve"> </w:t>
      </w:r>
      <w:r w:rsidRPr="00931FFE">
        <w:rPr>
          <w:bCs/>
          <w:sz w:val="18"/>
          <w:szCs w:val="18"/>
        </w:rPr>
        <w:t>Apostolaki</w:t>
      </w:r>
      <w:r w:rsidR="00F551E0" w:rsidRPr="00931FFE">
        <w:rPr>
          <w:bCs/>
          <w:sz w:val="18"/>
          <w:szCs w:val="18"/>
        </w:rPr>
        <w:t xml:space="preserve"> </w:t>
      </w:r>
      <w:r w:rsidRPr="00931FFE">
        <w:rPr>
          <w:bCs/>
          <w:sz w:val="18"/>
          <w:szCs w:val="18"/>
        </w:rPr>
        <w:t>F.,</w:t>
      </w:r>
      <w:r w:rsidR="00F551E0" w:rsidRPr="00931FFE">
        <w:rPr>
          <w:bCs/>
          <w:sz w:val="18"/>
          <w:szCs w:val="18"/>
        </w:rPr>
        <w:t xml:space="preserve"> </w:t>
      </w:r>
      <w:r w:rsidRPr="00931FFE">
        <w:rPr>
          <w:bCs/>
          <w:sz w:val="18"/>
          <w:szCs w:val="18"/>
        </w:rPr>
        <w:t>Vlachonicolis</w:t>
      </w:r>
      <w:r w:rsidR="00F551E0" w:rsidRPr="00931FFE">
        <w:rPr>
          <w:bCs/>
          <w:sz w:val="18"/>
          <w:szCs w:val="18"/>
        </w:rPr>
        <w:t xml:space="preserve"> </w:t>
      </w:r>
      <w:r w:rsidRPr="00931FFE">
        <w:rPr>
          <w:bCs/>
          <w:sz w:val="18"/>
          <w:szCs w:val="18"/>
        </w:rPr>
        <w:t>J.,</w:t>
      </w:r>
      <w:r w:rsidR="00F551E0" w:rsidRPr="00931FFE">
        <w:rPr>
          <w:bCs/>
          <w:sz w:val="18"/>
          <w:szCs w:val="18"/>
        </w:rPr>
        <w:t xml:space="preserve"> </w:t>
      </w:r>
      <w:r w:rsidRPr="00931FFE">
        <w:rPr>
          <w:bCs/>
          <w:sz w:val="18"/>
          <w:szCs w:val="18"/>
        </w:rPr>
        <w:t>Kakolyris</w:t>
      </w:r>
      <w:r w:rsidR="00F551E0" w:rsidRPr="00931FFE">
        <w:rPr>
          <w:bCs/>
          <w:sz w:val="18"/>
          <w:szCs w:val="18"/>
        </w:rPr>
        <w:t xml:space="preserve"> </w:t>
      </w:r>
      <w:r w:rsidRPr="00931FFE">
        <w:rPr>
          <w:bCs/>
          <w:sz w:val="18"/>
          <w:szCs w:val="18"/>
        </w:rPr>
        <w:t>S.,</w:t>
      </w:r>
      <w:r w:rsidR="00F551E0" w:rsidRPr="00931FFE">
        <w:rPr>
          <w:bCs/>
          <w:sz w:val="18"/>
          <w:szCs w:val="18"/>
        </w:rPr>
        <w:t xml:space="preserve"> </w:t>
      </w:r>
      <w:r w:rsidRPr="00931FFE">
        <w:rPr>
          <w:bCs/>
          <w:sz w:val="18"/>
          <w:szCs w:val="18"/>
        </w:rPr>
        <w:t>Samonis</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Georgoulias</w:t>
      </w:r>
      <w:r w:rsidR="00F551E0" w:rsidRPr="00931FFE">
        <w:rPr>
          <w:bCs/>
          <w:sz w:val="18"/>
          <w:szCs w:val="18"/>
        </w:rPr>
        <w:t xml:space="preserve"> </w:t>
      </w:r>
      <w:r w:rsidRPr="00931FFE">
        <w:rPr>
          <w:bCs/>
          <w:sz w:val="18"/>
          <w:szCs w:val="18"/>
        </w:rPr>
        <w:t>V</w:t>
      </w:r>
      <w:r w:rsidRPr="00931FFE">
        <w:rPr>
          <w:sz w:val="18"/>
          <w:szCs w:val="18"/>
        </w:rPr>
        <w:t>.,</w:t>
      </w:r>
      <w:r w:rsidR="00F551E0" w:rsidRPr="00931FFE">
        <w:rPr>
          <w:sz w:val="18"/>
          <w:szCs w:val="18"/>
        </w:rPr>
        <w:t xml:space="preserve"> </w:t>
      </w:r>
      <w:r w:rsidRPr="00931FFE">
        <w:rPr>
          <w:sz w:val="18"/>
          <w:szCs w:val="18"/>
        </w:rPr>
        <w:t>Salvage</w:t>
      </w:r>
      <w:r w:rsidR="00F551E0" w:rsidRPr="00931FFE">
        <w:rPr>
          <w:sz w:val="18"/>
          <w:szCs w:val="18"/>
        </w:rPr>
        <w:t xml:space="preserve"> </w:t>
      </w:r>
      <w:r w:rsidRPr="00931FFE">
        <w:rPr>
          <w:sz w:val="18"/>
          <w:szCs w:val="18"/>
        </w:rPr>
        <w:t>therapy</w:t>
      </w:r>
      <w:r w:rsidR="00F551E0" w:rsidRPr="00931FFE">
        <w:rPr>
          <w:sz w:val="18"/>
          <w:szCs w:val="18"/>
        </w:rPr>
        <w:t xml:space="preserve"> </w:t>
      </w:r>
      <w:r w:rsidRPr="00931FFE">
        <w:rPr>
          <w:sz w:val="18"/>
          <w:szCs w:val="18"/>
        </w:rPr>
        <w:t>in</w:t>
      </w:r>
      <w:r w:rsidR="00F551E0" w:rsidRPr="00931FFE">
        <w:rPr>
          <w:sz w:val="18"/>
          <w:szCs w:val="18"/>
        </w:rPr>
        <w:t xml:space="preserve"> </w:t>
      </w:r>
      <w:r w:rsidRPr="00931FFE">
        <w:rPr>
          <w:sz w:val="18"/>
          <w:szCs w:val="18"/>
        </w:rPr>
        <w:t>anthracycline-pretreated</w:t>
      </w:r>
      <w:r w:rsidR="00F551E0" w:rsidRPr="00931FFE">
        <w:rPr>
          <w:sz w:val="18"/>
          <w:szCs w:val="18"/>
        </w:rPr>
        <w:t xml:space="preserve"> </w:t>
      </w:r>
      <w:r w:rsidRPr="00931FFE">
        <w:rPr>
          <w:sz w:val="18"/>
          <w:szCs w:val="18"/>
        </w:rPr>
        <w:t>metastatic</w:t>
      </w:r>
      <w:r w:rsidR="00F551E0" w:rsidRPr="00931FFE">
        <w:rPr>
          <w:sz w:val="18"/>
          <w:szCs w:val="18"/>
        </w:rPr>
        <w:t xml:space="preserve"> </w:t>
      </w:r>
      <w:r w:rsidRPr="00931FFE">
        <w:rPr>
          <w:sz w:val="18"/>
          <w:szCs w:val="18"/>
        </w:rPr>
        <w:t>breast</w:t>
      </w:r>
      <w:r w:rsidR="00F551E0" w:rsidRPr="00931FFE">
        <w:rPr>
          <w:sz w:val="18"/>
          <w:szCs w:val="18"/>
        </w:rPr>
        <w:t xml:space="preserve"> </w:t>
      </w:r>
      <w:r w:rsidRPr="00931FFE">
        <w:rPr>
          <w:sz w:val="18"/>
          <w:szCs w:val="18"/>
        </w:rPr>
        <w:t>cancer</w:t>
      </w:r>
      <w:r w:rsidR="00F551E0" w:rsidRPr="00931FFE">
        <w:rPr>
          <w:sz w:val="18"/>
          <w:szCs w:val="18"/>
        </w:rPr>
        <w:t xml:space="preserve"> </w:t>
      </w:r>
      <w:r w:rsidRPr="00931FFE">
        <w:rPr>
          <w:sz w:val="18"/>
          <w:szCs w:val="18"/>
        </w:rPr>
        <w:t>patients</w:t>
      </w:r>
      <w:r w:rsidR="00F551E0" w:rsidRPr="00931FFE">
        <w:rPr>
          <w:sz w:val="18"/>
          <w:szCs w:val="18"/>
        </w:rPr>
        <w:t xml:space="preserve"> </w:t>
      </w:r>
      <w:r w:rsidRPr="00931FFE">
        <w:rPr>
          <w:sz w:val="18"/>
          <w:szCs w:val="18"/>
        </w:rPr>
        <w:t>with</w:t>
      </w:r>
      <w:r w:rsidR="00F551E0" w:rsidRPr="00931FFE">
        <w:rPr>
          <w:sz w:val="18"/>
          <w:szCs w:val="18"/>
        </w:rPr>
        <w:t xml:space="preserve"> </w:t>
      </w:r>
      <w:r w:rsidRPr="00931FFE">
        <w:rPr>
          <w:sz w:val="18"/>
          <w:szCs w:val="18"/>
        </w:rPr>
        <w:t>docetaxel</w:t>
      </w:r>
      <w:r w:rsidR="00F551E0" w:rsidRPr="00931FFE">
        <w:rPr>
          <w:sz w:val="18"/>
          <w:szCs w:val="18"/>
        </w:rPr>
        <w:t xml:space="preserve"> </w:t>
      </w:r>
      <w:r w:rsidRPr="00931FFE">
        <w:rPr>
          <w:sz w:val="18"/>
          <w:szCs w:val="18"/>
        </w:rPr>
        <w:t>and</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a</w:t>
      </w:r>
      <w:r w:rsidR="00F551E0" w:rsidRPr="00931FFE">
        <w:rPr>
          <w:sz w:val="18"/>
          <w:szCs w:val="18"/>
        </w:rPr>
        <w:t xml:space="preserve"> </w:t>
      </w:r>
      <w:r w:rsidRPr="00931FFE">
        <w:rPr>
          <w:sz w:val="18"/>
          <w:szCs w:val="18"/>
        </w:rPr>
        <w:t>multicenter</w:t>
      </w:r>
      <w:r w:rsidR="00F551E0" w:rsidRPr="00931FFE">
        <w:rPr>
          <w:sz w:val="18"/>
          <w:szCs w:val="18"/>
        </w:rPr>
        <w:t xml:space="preserve"> </w:t>
      </w:r>
      <w:r w:rsidRPr="00931FFE">
        <w:rPr>
          <w:sz w:val="18"/>
          <w:szCs w:val="18"/>
        </w:rPr>
        <w:t>Phase</w:t>
      </w:r>
      <w:r w:rsidR="00F551E0" w:rsidRPr="00931FFE">
        <w:rPr>
          <w:sz w:val="18"/>
          <w:szCs w:val="18"/>
        </w:rPr>
        <w:t xml:space="preserve"> </w:t>
      </w:r>
      <w:r w:rsidRPr="00931FFE">
        <w:rPr>
          <w:sz w:val="18"/>
          <w:szCs w:val="18"/>
        </w:rPr>
        <w:t>II</w:t>
      </w:r>
      <w:r w:rsidR="00F551E0" w:rsidRPr="00931FFE">
        <w:rPr>
          <w:sz w:val="18"/>
          <w:szCs w:val="18"/>
        </w:rPr>
        <w:t xml:space="preserve"> </w:t>
      </w:r>
      <w:r w:rsidRPr="00931FFE">
        <w:rPr>
          <w:sz w:val="18"/>
          <w:szCs w:val="18"/>
        </w:rPr>
        <w:t>trial.</w:t>
      </w:r>
      <w:r w:rsidR="00F551E0" w:rsidRPr="00931FFE">
        <w:rPr>
          <w:sz w:val="18"/>
          <w:szCs w:val="18"/>
        </w:rPr>
        <w:t xml:space="preserve"> </w:t>
      </w:r>
      <w:r w:rsidRPr="00931FFE">
        <w:rPr>
          <w:sz w:val="18"/>
          <w:szCs w:val="18"/>
        </w:rPr>
        <w:t>Ann.</w:t>
      </w:r>
      <w:r w:rsidR="00F551E0" w:rsidRPr="00931FFE">
        <w:rPr>
          <w:sz w:val="18"/>
          <w:szCs w:val="18"/>
        </w:rPr>
        <w:t xml:space="preserve"> </w:t>
      </w:r>
      <w:r w:rsidRPr="00931FFE">
        <w:rPr>
          <w:sz w:val="18"/>
          <w:szCs w:val="18"/>
        </w:rPr>
        <w:t>Oncol.</w:t>
      </w:r>
      <w:r w:rsidR="00F551E0" w:rsidRPr="00931FFE">
        <w:rPr>
          <w:sz w:val="18"/>
          <w:szCs w:val="18"/>
        </w:rPr>
        <w:t xml:space="preserve"> </w:t>
      </w:r>
      <w:r w:rsidRPr="00931FFE">
        <w:rPr>
          <w:sz w:val="18"/>
          <w:szCs w:val="18"/>
        </w:rPr>
        <w:t>1999,</w:t>
      </w:r>
      <w:r w:rsidR="00F551E0" w:rsidRPr="00931FFE">
        <w:rPr>
          <w:sz w:val="18"/>
          <w:szCs w:val="18"/>
        </w:rPr>
        <w:t xml:space="preserve"> </w:t>
      </w:r>
      <w:r w:rsidRPr="00931FFE">
        <w:rPr>
          <w:sz w:val="18"/>
          <w:szCs w:val="18"/>
        </w:rPr>
        <w:t>10</w:t>
      </w:r>
      <w:r w:rsidRPr="00931FFE">
        <w:rPr>
          <w:i/>
          <w:iCs/>
          <w:sz w:val="18"/>
          <w:szCs w:val="18"/>
        </w:rPr>
        <w:t>:</w:t>
      </w:r>
      <w:r w:rsidR="00F551E0" w:rsidRPr="00931FFE">
        <w:rPr>
          <w:i/>
          <w:iCs/>
          <w:sz w:val="18"/>
          <w:szCs w:val="18"/>
        </w:rPr>
        <w:t xml:space="preserve"> </w:t>
      </w:r>
      <w:r w:rsidRPr="00931FFE">
        <w:rPr>
          <w:sz w:val="18"/>
          <w:szCs w:val="18"/>
        </w:rPr>
        <w:t>211-215.</w:t>
      </w:r>
      <w:r w:rsidR="00F551E0" w:rsidRPr="00931FFE">
        <w:rPr>
          <w:sz w:val="18"/>
          <w:szCs w:val="18"/>
        </w:rPr>
        <w:t xml:space="preserve"> </w:t>
      </w:r>
    </w:p>
    <w:p w:rsidR="002F154E" w:rsidRPr="00931FFE" w:rsidRDefault="00D15F2D" w:rsidP="00931FFE">
      <w:pPr>
        <w:pStyle w:val="Default"/>
        <w:numPr>
          <w:ilvl w:val="0"/>
          <w:numId w:val="16"/>
        </w:numPr>
        <w:snapToGrid w:val="0"/>
        <w:ind w:left="425" w:hanging="425"/>
        <w:jc w:val="both"/>
        <w:rPr>
          <w:sz w:val="18"/>
          <w:szCs w:val="18"/>
        </w:rPr>
      </w:pPr>
      <w:r w:rsidRPr="00931FFE">
        <w:rPr>
          <w:bCs/>
          <w:sz w:val="18"/>
          <w:szCs w:val="18"/>
        </w:rPr>
        <w:t>Frasci</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Comella</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D’Aiouto</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Thomas</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Capasso</w:t>
      </w:r>
      <w:r w:rsidR="00F551E0" w:rsidRPr="00931FFE">
        <w:rPr>
          <w:bCs/>
          <w:sz w:val="18"/>
          <w:szCs w:val="18"/>
        </w:rPr>
        <w:t xml:space="preserve"> </w:t>
      </w:r>
      <w:r w:rsidRPr="00931FFE">
        <w:rPr>
          <w:bCs/>
          <w:sz w:val="18"/>
          <w:szCs w:val="18"/>
        </w:rPr>
        <w:t>I.,</w:t>
      </w:r>
      <w:r w:rsidR="00F551E0" w:rsidRPr="00931FFE">
        <w:rPr>
          <w:bCs/>
          <w:sz w:val="18"/>
          <w:szCs w:val="18"/>
        </w:rPr>
        <w:t xml:space="preserve"> </w:t>
      </w:r>
      <w:r w:rsidRPr="00931FFE">
        <w:rPr>
          <w:bCs/>
          <w:sz w:val="18"/>
          <w:szCs w:val="18"/>
        </w:rPr>
        <w:t>Elmo</w:t>
      </w:r>
      <w:r w:rsidR="00F551E0" w:rsidRPr="00931FFE">
        <w:rPr>
          <w:bCs/>
          <w:sz w:val="18"/>
          <w:szCs w:val="18"/>
        </w:rPr>
        <w:t xml:space="preserve"> </w:t>
      </w:r>
      <w:r w:rsidRPr="00931FFE">
        <w:rPr>
          <w:bCs/>
          <w:sz w:val="18"/>
          <w:szCs w:val="18"/>
        </w:rPr>
        <w:t>M.,</w:t>
      </w:r>
      <w:r w:rsidR="00F551E0" w:rsidRPr="00931FFE">
        <w:rPr>
          <w:bCs/>
          <w:sz w:val="18"/>
          <w:szCs w:val="18"/>
        </w:rPr>
        <w:t xml:space="preserve"> </w:t>
      </w:r>
      <w:r w:rsidRPr="00931FFE">
        <w:rPr>
          <w:bCs/>
          <w:sz w:val="18"/>
          <w:szCs w:val="18"/>
        </w:rPr>
        <w:t>Botti</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Cortino</w:t>
      </w:r>
      <w:r w:rsidR="00F551E0" w:rsidRPr="00931FFE">
        <w:rPr>
          <w:bCs/>
          <w:sz w:val="18"/>
          <w:szCs w:val="18"/>
        </w:rPr>
        <w:t xml:space="preserve"> </w:t>
      </w:r>
      <w:r w:rsidRPr="00931FFE">
        <w:rPr>
          <w:bCs/>
          <w:sz w:val="18"/>
          <w:szCs w:val="18"/>
        </w:rPr>
        <w:t>G.</w:t>
      </w:r>
      <w:r w:rsidR="00F551E0" w:rsidRPr="00931FFE">
        <w:rPr>
          <w:bCs/>
          <w:sz w:val="18"/>
          <w:szCs w:val="18"/>
        </w:rPr>
        <w:t xml:space="preserve"> </w:t>
      </w:r>
      <w:r w:rsidRPr="00931FFE">
        <w:rPr>
          <w:bCs/>
          <w:sz w:val="18"/>
          <w:szCs w:val="18"/>
        </w:rPr>
        <w:t>R.,</w:t>
      </w:r>
      <w:r w:rsidR="00F551E0" w:rsidRPr="00931FFE">
        <w:rPr>
          <w:bCs/>
          <w:sz w:val="18"/>
          <w:szCs w:val="18"/>
        </w:rPr>
        <w:t xml:space="preserve"> </w:t>
      </w:r>
      <w:r w:rsidRPr="00931FFE">
        <w:rPr>
          <w:bCs/>
          <w:sz w:val="18"/>
          <w:szCs w:val="18"/>
        </w:rPr>
        <w:t>Lapenta</w:t>
      </w:r>
      <w:r w:rsidR="00F551E0" w:rsidRPr="00931FFE">
        <w:rPr>
          <w:bCs/>
          <w:sz w:val="18"/>
          <w:szCs w:val="18"/>
        </w:rPr>
        <w:t xml:space="preserve"> </w:t>
      </w:r>
      <w:r w:rsidRPr="00931FFE">
        <w:rPr>
          <w:bCs/>
          <w:sz w:val="18"/>
          <w:szCs w:val="18"/>
        </w:rPr>
        <w:t>L.,</w:t>
      </w:r>
      <w:r w:rsidR="00F551E0" w:rsidRPr="00931FFE">
        <w:rPr>
          <w:bCs/>
          <w:sz w:val="18"/>
          <w:szCs w:val="18"/>
        </w:rPr>
        <w:t xml:space="preserve"> </w:t>
      </w:r>
      <w:r w:rsidRPr="00931FFE">
        <w:rPr>
          <w:bCs/>
          <w:sz w:val="18"/>
          <w:szCs w:val="18"/>
        </w:rPr>
        <w:t>De</w:t>
      </w:r>
      <w:r w:rsidR="00F551E0" w:rsidRPr="00931FFE">
        <w:rPr>
          <w:bCs/>
          <w:sz w:val="18"/>
          <w:szCs w:val="18"/>
        </w:rPr>
        <w:t xml:space="preserve"> </w:t>
      </w:r>
      <w:r w:rsidRPr="00931FFE">
        <w:rPr>
          <w:bCs/>
          <w:sz w:val="18"/>
          <w:szCs w:val="18"/>
        </w:rPr>
        <w:t>Rosa</w:t>
      </w:r>
      <w:r w:rsidR="00F551E0" w:rsidRPr="00931FFE">
        <w:rPr>
          <w:bCs/>
          <w:sz w:val="18"/>
          <w:szCs w:val="18"/>
        </w:rPr>
        <w:t xml:space="preserve"> </w:t>
      </w:r>
      <w:r w:rsidRPr="00931FFE">
        <w:rPr>
          <w:bCs/>
          <w:sz w:val="18"/>
          <w:szCs w:val="18"/>
        </w:rPr>
        <w:t>V.,</w:t>
      </w:r>
      <w:r w:rsidR="00F551E0" w:rsidRPr="00931FFE">
        <w:rPr>
          <w:bCs/>
          <w:sz w:val="18"/>
          <w:szCs w:val="18"/>
        </w:rPr>
        <w:t xml:space="preserve"> </w:t>
      </w:r>
      <w:r w:rsidRPr="00931FFE">
        <w:rPr>
          <w:bCs/>
          <w:sz w:val="18"/>
          <w:szCs w:val="18"/>
        </w:rPr>
        <w:t>Vallone</w:t>
      </w:r>
      <w:r w:rsidR="00F551E0" w:rsidRPr="00931FFE">
        <w:rPr>
          <w:bCs/>
          <w:sz w:val="18"/>
          <w:szCs w:val="18"/>
        </w:rPr>
        <w:t xml:space="preserve"> </w:t>
      </w:r>
      <w:r w:rsidRPr="00931FFE">
        <w:rPr>
          <w:bCs/>
          <w:sz w:val="18"/>
          <w:szCs w:val="18"/>
        </w:rPr>
        <w:t>P.,</w:t>
      </w:r>
      <w:r w:rsidR="00F551E0" w:rsidRPr="00931FFE">
        <w:rPr>
          <w:bCs/>
          <w:sz w:val="18"/>
          <w:szCs w:val="18"/>
        </w:rPr>
        <w:t xml:space="preserve"> </w:t>
      </w:r>
      <w:r w:rsidRPr="00931FFE">
        <w:rPr>
          <w:bCs/>
          <w:sz w:val="18"/>
          <w:szCs w:val="18"/>
        </w:rPr>
        <w:t>Petrillo</w:t>
      </w:r>
      <w:r w:rsidR="00F551E0" w:rsidRPr="00931FFE">
        <w:rPr>
          <w:bCs/>
          <w:sz w:val="18"/>
          <w:szCs w:val="18"/>
        </w:rPr>
        <w:t xml:space="preserve"> </w:t>
      </w:r>
      <w:r w:rsidRPr="00931FFE">
        <w:rPr>
          <w:bCs/>
          <w:sz w:val="18"/>
          <w:szCs w:val="18"/>
        </w:rPr>
        <w:t>A.,</w:t>
      </w:r>
      <w:r w:rsidR="00F551E0" w:rsidRPr="00931FFE">
        <w:rPr>
          <w:bCs/>
          <w:sz w:val="18"/>
          <w:szCs w:val="18"/>
        </w:rPr>
        <w:t xml:space="preserve"> </w:t>
      </w:r>
      <w:r w:rsidRPr="00931FFE">
        <w:rPr>
          <w:bCs/>
          <w:sz w:val="18"/>
          <w:szCs w:val="18"/>
        </w:rPr>
        <w:t>Comella</w:t>
      </w:r>
      <w:r w:rsidR="00F551E0" w:rsidRPr="00931FFE">
        <w:rPr>
          <w:bCs/>
          <w:sz w:val="18"/>
          <w:szCs w:val="18"/>
        </w:rPr>
        <w:t xml:space="preserve"> </w:t>
      </w:r>
      <w:r w:rsidRPr="00931FFE">
        <w:rPr>
          <w:bCs/>
          <w:sz w:val="18"/>
          <w:szCs w:val="18"/>
        </w:rPr>
        <w:t>G</w:t>
      </w:r>
      <w:r w:rsidRPr="00931FFE">
        <w:rPr>
          <w:sz w:val="18"/>
          <w:szCs w:val="18"/>
        </w:rPr>
        <w:t>.,</w:t>
      </w:r>
      <w:r w:rsidR="00F551E0" w:rsidRPr="00931FFE">
        <w:rPr>
          <w:sz w:val="18"/>
          <w:szCs w:val="18"/>
        </w:rPr>
        <w:t xml:space="preserve"> </w:t>
      </w:r>
      <w:r w:rsidRPr="00931FFE">
        <w:rPr>
          <w:sz w:val="18"/>
          <w:szCs w:val="18"/>
        </w:rPr>
        <w:t>Weekly</w:t>
      </w:r>
      <w:r w:rsidR="00F551E0" w:rsidRPr="00931FFE">
        <w:rPr>
          <w:sz w:val="18"/>
          <w:szCs w:val="18"/>
        </w:rPr>
        <w:t xml:space="preserve"> </w:t>
      </w:r>
      <w:r w:rsidRPr="00931FFE">
        <w:rPr>
          <w:sz w:val="18"/>
          <w:szCs w:val="18"/>
        </w:rPr>
        <w:t>docetaxel</w:t>
      </w:r>
      <w:r w:rsidR="00F551E0" w:rsidRPr="00931FFE">
        <w:rPr>
          <w:sz w:val="18"/>
          <w:szCs w:val="18"/>
        </w:rPr>
        <w:t xml:space="preserve"> </w:t>
      </w:r>
      <w:r w:rsidRPr="00931FFE">
        <w:rPr>
          <w:sz w:val="18"/>
          <w:szCs w:val="18"/>
        </w:rPr>
        <w:t>plus</w:t>
      </w:r>
      <w:r w:rsidR="00F551E0" w:rsidRPr="00931FFE">
        <w:rPr>
          <w:sz w:val="18"/>
          <w:szCs w:val="18"/>
        </w:rPr>
        <w:t xml:space="preserve"> </w:t>
      </w:r>
      <w:r w:rsidRPr="00931FFE">
        <w:rPr>
          <w:sz w:val="18"/>
          <w:szCs w:val="18"/>
        </w:rPr>
        <w:t>gemcitabine</w:t>
      </w:r>
      <w:r w:rsidR="00F551E0" w:rsidRPr="00931FFE">
        <w:rPr>
          <w:sz w:val="18"/>
          <w:szCs w:val="18"/>
        </w:rPr>
        <w:t xml:space="preserve"> </w:t>
      </w:r>
      <w:r w:rsidRPr="00931FFE">
        <w:rPr>
          <w:sz w:val="18"/>
          <w:szCs w:val="18"/>
        </w:rPr>
        <w:t>or</w:t>
      </w:r>
      <w:r w:rsidR="00F551E0" w:rsidRPr="00931FFE">
        <w:rPr>
          <w:sz w:val="18"/>
          <w:szCs w:val="18"/>
        </w:rPr>
        <w:t xml:space="preserve"> </w:t>
      </w:r>
      <w:r w:rsidRPr="00931FFE">
        <w:rPr>
          <w:sz w:val="18"/>
          <w:szCs w:val="18"/>
        </w:rPr>
        <w:t>vinorelbin</w:t>
      </w:r>
      <w:r w:rsidR="00F551E0" w:rsidRPr="00931FFE">
        <w:rPr>
          <w:sz w:val="18"/>
          <w:szCs w:val="18"/>
        </w:rPr>
        <w:t xml:space="preserve"> </w:t>
      </w:r>
      <w:r w:rsidR="002F154E" w:rsidRPr="00931FFE">
        <w:rPr>
          <w:sz w:val="18"/>
          <w:szCs w:val="18"/>
        </w:rPr>
        <w:t>e</w:t>
      </w:r>
      <w:r w:rsidR="00F551E0" w:rsidRPr="00931FFE">
        <w:rPr>
          <w:sz w:val="18"/>
          <w:szCs w:val="18"/>
        </w:rPr>
        <w:t xml:space="preserve"> </w:t>
      </w:r>
      <w:r w:rsidR="002F154E" w:rsidRPr="00931FFE">
        <w:rPr>
          <w:sz w:val="18"/>
          <w:szCs w:val="18"/>
        </w:rPr>
        <w:t>in</w:t>
      </w:r>
      <w:r w:rsidR="00F551E0" w:rsidRPr="00931FFE">
        <w:rPr>
          <w:sz w:val="18"/>
          <w:szCs w:val="18"/>
        </w:rPr>
        <w:t xml:space="preserve"> </w:t>
      </w:r>
      <w:r w:rsidR="002F154E" w:rsidRPr="00931FFE">
        <w:rPr>
          <w:sz w:val="18"/>
          <w:szCs w:val="18"/>
        </w:rPr>
        <w:t>refractory</w:t>
      </w:r>
      <w:r w:rsidR="00F551E0" w:rsidRPr="00931FFE">
        <w:rPr>
          <w:sz w:val="18"/>
          <w:szCs w:val="18"/>
        </w:rPr>
        <w:t xml:space="preserve"> </w:t>
      </w:r>
      <w:r w:rsidR="002F154E" w:rsidRPr="00931FFE">
        <w:rPr>
          <w:sz w:val="18"/>
          <w:szCs w:val="18"/>
        </w:rPr>
        <w:t>advanced</w:t>
      </w:r>
      <w:r w:rsidR="00F551E0" w:rsidRPr="00931FFE">
        <w:rPr>
          <w:sz w:val="18"/>
          <w:szCs w:val="18"/>
        </w:rPr>
        <w:t xml:space="preserve"> </w:t>
      </w:r>
      <w:r w:rsidR="002F154E" w:rsidRPr="00931FFE">
        <w:rPr>
          <w:sz w:val="18"/>
          <w:szCs w:val="18"/>
        </w:rPr>
        <w:t>breast</w:t>
      </w:r>
      <w:r w:rsidR="00F551E0" w:rsidRPr="00931FFE">
        <w:rPr>
          <w:sz w:val="18"/>
          <w:szCs w:val="18"/>
        </w:rPr>
        <w:t xml:space="preserve"> </w:t>
      </w:r>
      <w:r w:rsidR="002F154E" w:rsidRPr="00931FFE">
        <w:rPr>
          <w:sz w:val="18"/>
          <w:szCs w:val="18"/>
        </w:rPr>
        <w:t>cancer</w:t>
      </w:r>
      <w:r w:rsidR="00F551E0" w:rsidRPr="00931FFE">
        <w:rPr>
          <w:sz w:val="18"/>
          <w:szCs w:val="18"/>
        </w:rPr>
        <w:t xml:space="preserve"> </w:t>
      </w:r>
      <w:r w:rsidR="002F154E" w:rsidRPr="00931FFE">
        <w:rPr>
          <w:sz w:val="18"/>
          <w:szCs w:val="18"/>
        </w:rPr>
        <w:t>patients:</w:t>
      </w:r>
      <w:r w:rsidR="00F551E0" w:rsidRPr="00931FFE">
        <w:rPr>
          <w:sz w:val="18"/>
          <w:szCs w:val="18"/>
        </w:rPr>
        <w:t xml:space="preserve"> </w:t>
      </w:r>
      <w:r w:rsidR="002F154E" w:rsidRPr="00931FFE">
        <w:rPr>
          <w:sz w:val="18"/>
          <w:szCs w:val="18"/>
        </w:rPr>
        <w:t>a</w:t>
      </w:r>
      <w:r w:rsidR="00F551E0" w:rsidRPr="00931FFE">
        <w:rPr>
          <w:sz w:val="18"/>
          <w:szCs w:val="18"/>
        </w:rPr>
        <w:t xml:space="preserve"> </w:t>
      </w:r>
      <w:r w:rsidR="002F154E" w:rsidRPr="00931FFE">
        <w:rPr>
          <w:sz w:val="18"/>
          <w:szCs w:val="18"/>
        </w:rPr>
        <w:t>parallel</w:t>
      </w:r>
      <w:r w:rsidR="00F551E0" w:rsidRPr="00931FFE">
        <w:rPr>
          <w:sz w:val="18"/>
          <w:szCs w:val="18"/>
        </w:rPr>
        <w:t xml:space="preserve"> </w:t>
      </w:r>
      <w:r w:rsidR="002F154E" w:rsidRPr="00931FFE">
        <w:rPr>
          <w:sz w:val="18"/>
          <w:szCs w:val="18"/>
        </w:rPr>
        <w:t>dose-finding</w:t>
      </w:r>
      <w:r w:rsidR="00F551E0" w:rsidRPr="00931FFE">
        <w:rPr>
          <w:sz w:val="18"/>
          <w:szCs w:val="18"/>
        </w:rPr>
        <w:t xml:space="preserve"> </w:t>
      </w:r>
      <w:r w:rsidR="002F154E" w:rsidRPr="00931FFE">
        <w:rPr>
          <w:sz w:val="18"/>
          <w:szCs w:val="18"/>
        </w:rPr>
        <w:t>study.</w:t>
      </w:r>
      <w:r w:rsidR="00F551E0" w:rsidRPr="00931FFE">
        <w:rPr>
          <w:sz w:val="18"/>
          <w:szCs w:val="18"/>
        </w:rPr>
        <w:t xml:space="preserve"> </w:t>
      </w:r>
      <w:r w:rsidR="002F154E" w:rsidRPr="00931FFE">
        <w:rPr>
          <w:sz w:val="18"/>
          <w:szCs w:val="18"/>
        </w:rPr>
        <w:t>Ann.</w:t>
      </w:r>
      <w:r w:rsidR="00F551E0" w:rsidRPr="00931FFE">
        <w:rPr>
          <w:sz w:val="18"/>
          <w:szCs w:val="18"/>
        </w:rPr>
        <w:t xml:space="preserve"> </w:t>
      </w:r>
      <w:r w:rsidR="002F154E" w:rsidRPr="00931FFE">
        <w:rPr>
          <w:sz w:val="18"/>
          <w:szCs w:val="18"/>
        </w:rPr>
        <w:t>Oncol.</w:t>
      </w:r>
      <w:r w:rsidR="00F551E0" w:rsidRPr="00931FFE">
        <w:rPr>
          <w:sz w:val="18"/>
          <w:szCs w:val="18"/>
        </w:rPr>
        <w:t xml:space="preserve"> </w:t>
      </w:r>
      <w:r w:rsidR="002F154E" w:rsidRPr="00931FFE">
        <w:rPr>
          <w:sz w:val="18"/>
          <w:szCs w:val="18"/>
        </w:rPr>
        <w:t>2000,</w:t>
      </w:r>
      <w:r w:rsidR="00F551E0" w:rsidRPr="00931FFE">
        <w:rPr>
          <w:sz w:val="18"/>
          <w:szCs w:val="18"/>
        </w:rPr>
        <w:t xml:space="preserve"> </w:t>
      </w:r>
      <w:r w:rsidR="002F154E" w:rsidRPr="00931FFE">
        <w:rPr>
          <w:sz w:val="18"/>
          <w:szCs w:val="18"/>
        </w:rPr>
        <w:t>11</w:t>
      </w:r>
      <w:r w:rsidR="002F154E" w:rsidRPr="00931FFE">
        <w:rPr>
          <w:i/>
          <w:iCs/>
          <w:sz w:val="18"/>
          <w:szCs w:val="18"/>
        </w:rPr>
        <w:t>:</w:t>
      </w:r>
      <w:r w:rsidR="00F551E0" w:rsidRPr="00931FFE">
        <w:rPr>
          <w:i/>
          <w:iCs/>
          <w:sz w:val="18"/>
          <w:szCs w:val="18"/>
        </w:rPr>
        <w:t xml:space="preserve"> </w:t>
      </w:r>
      <w:r w:rsidR="002F154E" w:rsidRPr="00931FFE">
        <w:rPr>
          <w:sz w:val="18"/>
          <w:szCs w:val="18"/>
        </w:rPr>
        <w:t>367-371.</w:t>
      </w:r>
    </w:p>
    <w:p w:rsidR="00F551E0" w:rsidRPr="00931FFE" w:rsidRDefault="00F551E0" w:rsidP="00931FFE">
      <w:pPr>
        <w:pStyle w:val="Default"/>
        <w:snapToGrid w:val="0"/>
        <w:ind w:left="425"/>
        <w:jc w:val="both"/>
        <w:rPr>
          <w:sz w:val="18"/>
          <w:szCs w:val="18"/>
        </w:rPr>
      </w:pPr>
    </w:p>
    <w:p w:rsidR="00F551E0" w:rsidRPr="00931FFE" w:rsidRDefault="00F551E0" w:rsidP="00931FFE">
      <w:pPr>
        <w:pStyle w:val="Default"/>
        <w:numPr>
          <w:ilvl w:val="0"/>
          <w:numId w:val="16"/>
        </w:numPr>
        <w:snapToGrid w:val="0"/>
        <w:ind w:left="425" w:hanging="425"/>
        <w:jc w:val="both"/>
        <w:rPr>
          <w:sz w:val="18"/>
          <w:szCs w:val="18"/>
        </w:rPr>
        <w:sectPr w:rsidR="00F551E0" w:rsidRPr="00931FFE" w:rsidSect="00931FFE">
          <w:headerReference w:type="default" r:id="rId32"/>
          <w:type w:val="continuous"/>
          <w:pgSz w:w="12240" w:h="15840" w:code="1"/>
          <w:pgMar w:top="1440" w:right="1440" w:bottom="1440" w:left="1440" w:header="720" w:footer="720" w:gutter="0"/>
          <w:cols w:num="2" w:space="550"/>
          <w:docGrid w:linePitch="360"/>
        </w:sectPr>
      </w:pPr>
    </w:p>
    <w:p w:rsidR="00201B8C" w:rsidRPr="00F551E0" w:rsidRDefault="00201B8C" w:rsidP="00931FFE">
      <w:pPr>
        <w:pStyle w:val="Default"/>
        <w:snapToGrid w:val="0"/>
        <w:ind w:left="425" w:hanging="425"/>
        <w:jc w:val="both"/>
        <w:rPr>
          <w:sz w:val="20"/>
          <w:szCs w:val="20"/>
        </w:rPr>
      </w:pPr>
    </w:p>
    <w:p w:rsidR="00F551E0" w:rsidRDefault="007F4590" w:rsidP="00931FFE">
      <w:pPr>
        <w:pStyle w:val="a3"/>
        <w:tabs>
          <w:tab w:val="left" w:pos="977"/>
        </w:tabs>
        <w:bidi w:val="0"/>
        <w:snapToGrid w:val="0"/>
        <w:spacing w:after="0" w:line="240" w:lineRule="auto"/>
        <w:ind w:left="425" w:hanging="425"/>
        <w:jc w:val="both"/>
        <w:rPr>
          <w:rFonts w:ascii="Times New Roman" w:hAnsi="Times New Roman" w:cs="Times New Roman"/>
          <w:b/>
          <w:bCs/>
          <w:sz w:val="20"/>
          <w:szCs w:val="20"/>
          <w:lang w:eastAsia="zh-CN" w:bidi="ar-EG"/>
        </w:rPr>
      </w:pPr>
      <w:r>
        <w:rPr>
          <w:rFonts w:ascii="Times New Roman" w:hAnsi="Times New Roman" w:cs="Times New Roman" w:hint="eastAsia"/>
          <w:b/>
          <w:bCs/>
          <w:sz w:val="20"/>
          <w:szCs w:val="20"/>
          <w:lang w:eastAsia="zh-CN" w:bidi="ar-EG"/>
        </w:rPr>
        <w:t xml:space="preserve"> </w:t>
      </w:r>
    </w:p>
    <w:p w:rsidR="00931FFE" w:rsidRPr="00F551E0" w:rsidRDefault="00931FFE" w:rsidP="00931FFE">
      <w:pPr>
        <w:pStyle w:val="a3"/>
        <w:tabs>
          <w:tab w:val="left" w:pos="977"/>
        </w:tabs>
        <w:bidi w:val="0"/>
        <w:snapToGrid w:val="0"/>
        <w:spacing w:after="0" w:line="240" w:lineRule="auto"/>
        <w:ind w:left="425" w:hanging="425"/>
        <w:jc w:val="both"/>
        <w:rPr>
          <w:rFonts w:ascii="Times New Roman" w:hAnsi="Times New Roman" w:cs="Times New Roman"/>
          <w:b/>
          <w:bCs/>
          <w:sz w:val="20"/>
          <w:szCs w:val="20"/>
          <w:lang w:eastAsia="zh-CN" w:bidi="ar-EG"/>
        </w:rPr>
      </w:pPr>
    </w:p>
    <w:p w:rsidR="00BB587F" w:rsidRPr="00931FFE" w:rsidRDefault="00F551E0" w:rsidP="00931FFE">
      <w:pPr>
        <w:pStyle w:val="a3"/>
        <w:tabs>
          <w:tab w:val="left" w:pos="977"/>
        </w:tabs>
        <w:bidi w:val="0"/>
        <w:snapToGrid w:val="0"/>
        <w:spacing w:after="0" w:line="240" w:lineRule="auto"/>
        <w:ind w:left="425" w:hanging="425"/>
        <w:jc w:val="both"/>
        <w:rPr>
          <w:rFonts w:ascii="Times New Roman" w:hAnsi="Times New Roman" w:cs="Times New Roman"/>
          <w:bCs/>
          <w:sz w:val="20"/>
          <w:szCs w:val="20"/>
          <w:lang w:bidi="ar-EG"/>
        </w:rPr>
      </w:pPr>
      <w:r w:rsidRPr="00931FFE">
        <w:rPr>
          <w:rFonts w:ascii="Times New Roman" w:hAnsi="Times New Roman" w:cs="Times New Roman"/>
          <w:bCs/>
          <w:sz w:val="20"/>
          <w:szCs w:val="20"/>
          <w:lang w:bidi="ar-EG"/>
        </w:rPr>
        <w:t>11/19/2017</w:t>
      </w:r>
    </w:p>
    <w:sectPr w:rsidR="00BB587F" w:rsidRPr="00931FFE" w:rsidSect="00F551E0">
      <w:headerReference w:type="default" r:id="rId33"/>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B4A" w:rsidRDefault="00977B4A" w:rsidP="00167C20">
      <w:pPr>
        <w:spacing w:after="0" w:line="240" w:lineRule="auto"/>
      </w:pPr>
      <w:r>
        <w:separator/>
      </w:r>
    </w:p>
  </w:endnote>
  <w:endnote w:type="continuationSeparator" w:id="1">
    <w:p w:rsidR="00977B4A" w:rsidRDefault="00977B4A" w:rsidP="00167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GeezaPro-Bold">
    <w:altName w:val="Times New Roman"/>
    <w:panose1 w:val="00000000000000000000"/>
    <w:charset w:val="B2"/>
    <w:family w:val="auto"/>
    <w:notTrueType/>
    <w:pitch w:val="default"/>
    <w:sig w:usb0="00002001" w:usb1="00000000" w:usb2="00000000"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FE" w:rsidRPr="00441980" w:rsidRDefault="00394BF6" w:rsidP="00441980">
    <w:pPr>
      <w:bidi w:val="0"/>
      <w:spacing w:after="0" w:line="240" w:lineRule="auto"/>
      <w:jc w:val="center"/>
      <w:rPr>
        <w:rFonts w:ascii="Times New Roman" w:hAnsi="Times New Roman" w:cs="Times New Roman"/>
        <w:sz w:val="20"/>
      </w:rPr>
    </w:pPr>
    <w:r w:rsidRPr="00441980">
      <w:rPr>
        <w:rFonts w:ascii="Times New Roman" w:hAnsi="Times New Roman" w:cs="Times New Roman"/>
        <w:sz w:val="20"/>
      </w:rPr>
      <w:fldChar w:fldCharType="begin"/>
    </w:r>
    <w:r w:rsidR="00441980" w:rsidRPr="00441980">
      <w:rPr>
        <w:rFonts w:ascii="Times New Roman" w:hAnsi="Times New Roman" w:cs="Times New Roman"/>
        <w:sz w:val="20"/>
      </w:rPr>
      <w:instrText xml:space="preserve"> page </w:instrText>
    </w:r>
    <w:r w:rsidRPr="00441980">
      <w:rPr>
        <w:rFonts w:ascii="Times New Roman" w:hAnsi="Times New Roman" w:cs="Times New Roman"/>
        <w:sz w:val="20"/>
      </w:rPr>
      <w:fldChar w:fldCharType="separate"/>
    </w:r>
    <w:r w:rsidR="008A243C">
      <w:rPr>
        <w:rFonts w:ascii="Times New Roman" w:hAnsi="Times New Roman" w:cs="Times New Roman"/>
        <w:noProof/>
        <w:sz w:val="20"/>
      </w:rPr>
      <w:t>1</w:t>
    </w:r>
    <w:r w:rsidRPr="0044198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B4A" w:rsidRDefault="00977B4A" w:rsidP="00167C20">
      <w:pPr>
        <w:spacing w:after="0" w:line="240" w:lineRule="auto"/>
      </w:pPr>
      <w:r>
        <w:separator/>
      </w:r>
    </w:p>
  </w:footnote>
  <w:footnote w:type="continuationSeparator" w:id="1">
    <w:p w:rsidR="00977B4A" w:rsidRDefault="00977B4A" w:rsidP="00167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E0" w:rsidRPr="00A80C5A" w:rsidRDefault="00F551E0"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F551E0" w:rsidRPr="002F154E" w:rsidRDefault="00F551E0">
    <w:pPr>
      <w:pStyle w:val="a6"/>
      <w:rPr>
        <w:lang w:bidi="ar-EG"/>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4E" w:rsidRPr="00A80C5A" w:rsidRDefault="002F154E"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2F154E" w:rsidRPr="002F154E" w:rsidRDefault="002F154E">
    <w:pPr>
      <w:pStyle w:val="a6"/>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E0" w:rsidRPr="00A80C5A" w:rsidRDefault="00F551E0"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F551E0" w:rsidRPr="002F154E" w:rsidRDefault="00F551E0">
    <w:pPr>
      <w:pStyle w:val="a6"/>
      <w:rPr>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E0" w:rsidRPr="00A80C5A" w:rsidRDefault="00F551E0"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F551E0" w:rsidRPr="002F154E" w:rsidRDefault="00F551E0">
    <w:pPr>
      <w:pStyle w:val="a6"/>
      <w:rPr>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E0" w:rsidRPr="00A80C5A" w:rsidRDefault="00F551E0"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F551E0" w:rsidRPr="002F154E" w:rsidRDefault="00F551E0">
    <w:pPr>
      <w:pStyle w:val="a6"/>
      <w:rPr>
        <w:lang w:bidi="ar-EG"/>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80" w:rsidRPr="00441980" w:rsidRDefault="00441980" w:rsidP="004419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41980">
      <w:rPr>
        <w:rFonts w:ascii="Times New Roman" w:hAnsi="Times New Roman" w:cs="Times New Roman" w:hint="eastAsia"/>
        <w:iCs/>
        <w:color w:val="000000"/>
        <w:sz w:val="20"/>
      </w:rPr>
      <w:tab/>
    </w:r>
    <w:r w:rsidRPr="00441980">
      <w:rPr>
        <w:rFonts w:ascii="Times New Roman" w:hAnsi="Times New Roman" w:cs="Times New Roman"/>
        <w:iCs/>
        <w:color w:val="000000"/>
        <w:sz w:val="20"/>
      </w:rPr>
      <w:t xml:space="preserve">Cancer Biology </w:t>
    </w:r>
    <w:r w:rsidRPr="00441980">
      <w:rPr>
        <w:rFonts w:ascii="Times New Roman" w:hAnsi="Times New Roman" w:cs="Times New Roman"/>
        <w:iCs/>
        <w:sz w:val="20"/>
      </w:rPr>
      <w:t>201</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7</w:t>
    </w:r>
    <w:r w:rsidRPr="00441980">
      <w:rPr>
        <w:rFonts w:ascii="Times New Roman" w:hAnsi="Times New Roman" w:cs="Times New Roman"/>
        <w:iCs/>
        <w:sz w:val="20"/>
      </w:rPr>
      <w:t>(</w:t>
    </w:r>
    <w:r w:rsidRPr="00441980">
      <w:rPr>
        <w:rFonts w:ascii="Times New Roman" w:hAnsi="Times New Roman" w:cs="Times New Roman" w:hint="eastAsia"/>
        <w:iCs/>
        <w:sz w:val="20"/>
      </w:rPr>
      <w:t>4</w:t>
    </w:r>
    <w:r w:rsidRPr="00441980">
      <w:rPr>
        <w:rFonts w:ascii="Times New Roman" w:hAnsi="Times New Roman" w:cs="Times New Roman"/>
        <w:iCs/>
        <w:sz w:val="20"/>
      </w:rPr>
      <w:t xml:space="preserve">)  </w:t>
    </w:r>
    <w:r w:rsidRPr="00441980">
      <w:rPr>
        <w:rFonts w:ascii="Times New Roman" w:hAnsi="Times New Roman" w:cs="Times New Roman" w:hint="eastAsia"/>
        <w:iCs/>
        <w:sz w:val="20"/>
      </w:rPr>
      <w:t xml:space="preserve">   </w:t>
    </w:r>
    <w:r w:rsidRPr="00441980">
      <w:rPr>
        <w:rFonts w:ascii="Times New Roman" w:hAnsi="Times New Roman" w:cs="Times New Roman" w:hint="eastAsia"/>
        <w:iCs/>
        <w:sz w:val="20"/>
      </w:rPr>
      <w:tab/>
      <w:t xml:space="preserve">     </w:t>
    </w:r>
    <w:r w:rsidRPr="00441980">
      <w:rPr>
        <w:rFonts w:ascii="Times New Roman" w:hAnsi="Times New Roman" w:cs="Times New Roman"/>
        <w:iCs/>
        <w:sz w:val="20"/>
      </w:rPr>
      <w:t xml:space="preserve"> </w:t>
    </w:r>
    <w:r w:rsidRPr="00441980">
      <w:rPr>
        <w:rFonts w:ascii="Times New Roman" w:hAnsi="Times New Roman" w:cs="Times New Roman"/>
        <w:sz w:val="20"/>
      </w:rPr>
      <w:t xml:space="preserve">  </w:t>
    </w:r>
    <w:hyperlink r:id="rId1" w:history="1">
      <w:r w:rsidRPr="00441980">
        <w:rPr>
          <w:rStyle w:val="a4"/>
          <w:rFonts w:ascii="Times New Roman" w:hAnsi="Times New Roman" w:cs="Times New Roman"/>
          <w:color w:val="0000FF"/>
          <w:sz w:val="20"/>
        </w:rPr>
        <w:t>http://www.cancerbio.net</w:t>
      </w:r>
    </w:hyperlink>
  </w:p>
  <w:p w:rsidR="00441980" w:rsidRPr="00441980" w:rsidRDefault="00441980" w:rsidP="004419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E0" w:rsidRPr="00A80C5A" w:rsidRDefault="00F551E0" w:rsidP="002F154E">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F551E0" w:rsidRPr="002F154E" w:rsidRDefault="00F551E0">
    <w:pPr>
      <w:pStyle w:val="a6"/>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4B98"/>
      </v:shape>
    </w:pict>
  </w:numPicBullet>
  <w:abstractNum w:abstractNumId="0">
    <w:nsid w:val="026210A1"/>
    <w:multiLevelType w:val="hybridMultilevel"/>
    <w:tmpl w:val="38A0AB3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nsid w:val="02DD0D1D"/>
    <w:multiLevelType w:val="hybridMultilevel"/>
    <w:tmpl w:val="80EA1346"/>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0BFD104D"/>
    <w:multiLevelType w:val="hybridMultilevel"/>
    <w:tmpl w:val="01A69CA6"/>
    <w:lvl w:ilvl="0" w:tplc="0F6CF9C2">
      <w:numFmt w:val="bullet"/>
      <w:lvlText w:val="-"/>
      <w:lvlJc w:val="left"/>
      <w:pPr>
        <w:ind w:left="1004" w:hanging="360"/>
      </w:pPr>
      <w:rPr>
        <w:rFonts w:ascii="Calibri" w:eastAsia="SimSun"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496028E"/>
    <w:multiLevelType w:val="hybridMultilevel"/>
    <w:tmpl w:val="68864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6754C1F"/>
    <w:multiLevelType w:val="hybridMultilevel"/>
    <w:tmpl w:val="2332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76939"/>
    <w:multiLevelType w:val="hybridMultilevel"/>
    <w:tmpl w:val="D88291FC"/>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nsid w:val="32791806"/>
    <w:multiLevelType w:val="hybridMultilevel"/>
    <w:tmpl w:val="32E25FD8"/>
    <w:lvl w:ilvl="0" w:tplc="7C960F6A">
      <w:start w:val="1"/>
      <w:numFmt w:val="decimal"/>
      <w:lvlText w:val="%1."/>
      <w:lvlJc w:val="left"/>
      <w:pPr>
        <w:ind w:left="-491" w:hanging="360"/>
      </w:pPr>
      <w:rPr>
        <w:rFonts w:hint="eastAsia"/>
        <w:b w:val="0"/>
        <w:bCs w:val="0"/>
        <w:sz w:val="18"/>
        <w:szCs w:val="18"/>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7">
    <w:nsid w:val="42173F03"/>
    <w:multiLevelType w:val="hybridMultilevel"/>
    <w:tmpl w:val="346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B1F28"/>
    <w:multiLevelType w:val="hybridMultilevel"/>
    <w:tmpl w:val="57FCDDD0"/>
    <w:lvl w:ilvl="0" w:tplc="04090005">
      <w:start w:val="1"/>
      <w:numFmt w:val="bullet"/>
      <w:lvlText w:val=""/>
      <w:lvlJc w:val="left"/>
      <w:pPr>
        <w:ind w:left="-54" w:hanging="360"/>
      </w:pPr>
      <w:rPr>
        <w:rFonts w:ascii="Wingdings" w:hAnsi="Wingding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9">
    <w:nsid w:val="4CA63B5A"/>
    <w:multiLevelType w:val="hybridMultilevel"/>
    <w:tmpl w:val="CCD8FC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E738D"/>
    <w:multiLevelType w:val="hybridMultilevel"/>
    <w:tmpl w:val="7A3CD408"/>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FA63133"/>
    <w:multiLevelType w:val="hybridMultilevel"/>
    <w:tmpl w:val="E0CCA382"/>
    <w:lvl w:ilvl="0" w:tplc="D7BE43D0">
      <w:start w:val="1"/>
      <w:numFmt w:val="decimal"/>
      <w:lvlText w:val="(%1)"/>
      <w:lvlJc w:val="left"/>
      <w:pPr>
        <w:ind w:left="720" w:hanging="360"/>
      </w:pPr>
      <w:rPr>
        <w:rFonts w:ascii="GeezaPro-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904EA"/>
    <w:multiLevelType w:val="hybridMultilevel"/>
    <w:tmpl w:val="4CB8C5B2"/>
    <w:lvl w:ilvl="0" w:tplc="04090005">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3">
    <w:nsid w:val="6B9030B2"/>
    <w:multiLevelType w:val="hybridMultilevel"/>
    <w:tmpl w:val="D24E7C7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0C21D28"/>
    <w:multiLevelType w:val="hybridMultilevel"/>
    <w:tmpl w:val="6D1AE31E"/>
    <w:lvl w:ilvl="0" w:tplc="04090007">
      <w:start w:val="1"/>
      <w:numFmt w:val="bullet"/>
      <w:lvlText w:val=""/>
      <w:lvlPicBulletId w:val="0"/>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nsid w:val="751F7D7A"/>
    <w:multiLevelType w:val="hybridMultilevel"/>
    <w:tmpl w:val="42BA618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F6098"/>
    <w:multiLevelType w:val="hybridMultilevel"/>
    <w:tmpl w:val="FF4E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D572EA"/>
    <w:multiLevelType w:val="hybridMultilevel"/>
    <w:tmpl w:val="71E6E15A"/>
    <w:lvl w:ilvl="0" w:tplc="DC2AE2B2">
      <w:start w:val="1"/>
      <w:numFmt w:val="decimal"/>
      <w:lvlText w:val="(%1)"/>
      <w:lvlJc w:val="left"/>
      <w:pPr>
        <w:ind w:left="1080" w:hanging="720"/>
      </w:pPr>
      <w:rPr>
        <w:rFonts w:asciiTheme="majorBidi" w:hAnsi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7"/>
  </w:num>
  <w:num w:numId="4">
    <w:abstractNumId w:val="12"/>
  </w:num>
  <w:num w:numId="5">
    <w:abstractNumId w:val="15"/>
  </w:num>
  <w:num w:numId="6">
    <w:abstractNumId w:val="5"/>
  </w:num>
  <w:num w:numId="7">
    <w:abstractNumId w:val="1"/>
  </w:num>
  <w:num w:numId="8">
    <w:abstractNumId w:val="4"/>
  </w:num>
  <w:num w:numId="9">
    <w:abstractNumId w:val="2"/>
  </w:num>
  <w:num w:numId="10">
    <w:abstractNumId w:val="9"/>
  </w:num>
  <w:num w:numId="11">
    <w:abstractNumId w:val="3"/>
  </w:num>
  <w:num w:numId="12">
    <w:abstractNumId w:val="10"/>
  </w:num>
  <w:num w:numId="13">
    <w:abstractNumId w:val="16"/>
  </w:num>
  <w:num w:numId="14">
    <w:abstractNumId w:val="14"/>
  </w:num>
  <w:num w:numId="15">
    <w:abstractNumId w:val="13"/>
  </w:num>
  <w:num w:numId="16">
    <w:abstractNumId w:val="6"/>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D74F28"/>
    <w:rsid w:val="0001722E"/>
    <w:rsid w:val="000371DC"/>
    <w:rsid w:val="000A39AD"/>
    <w:rsid w:val="00104A80"/>
    <w:rsid w:val="00111390"/>
    <w:rsid w:val="00117699"/>
    <w:rsid w:val="00167C20"/>
    <w:rsid w:val="00171AF0"/>
    <w:rsid w:val="001904BB"/>
    <w:rsid w:val="001B16AB"/>
    <w:rsid w:val="001E7771"/>
    <w:rsid w:val="001F3C1D"/>
    <w:rsid w:val="00201B8C"/>
    <w:rsid w:val="002443C3"/>
    <w:rsid w:val="00272250"/>
    <w:rsid w:val="0029512B"/>
    <w:rsid w:val="002B4862"/>
    <w:rsid w:val="002B6E54"/>
    <w:rsid w:val="002E7D94"/>
    <w:rsid w:val="002F154E"/>
    <w:rsid w:val="00360EE5"/>
    <w:rsid w:val="00394BF6"/>
    <w:rsid w:val="003A7F4C"/>
    <w:rsid w:val="00413689"/>
    <w:rsid w:val="00441980"/>
    <w:rsid w:val="00454D41"/>
    <w:rsid w:val="004774E0"/>
    <w:rsid w:val="00484ADB"/>
    <w:rsid w:val="004C1AB3"/>
    <w:rsid w:val="004C4E07"/>
    <w:rsid w:val="0051765F"/>
    <w:rsid w:val="00531D83"/>
    <w:rsid w:val="00542491"/>
    <w:rsid w:val="00562ED0"/>
    <w:rsid w:val="00594162"/>
    <w:rsid w:val="005A5729"/>
    <w:rsid w:val="005A76E3"/>
    <w:rsid w:val="005B62D3"/>
    <w:rsid w:val="00600625"/>
    <w:rsid w:val="0063174E"/>
    <w:rsid w:val="00661883"/>
    <w:rsid w:val="00661FB6"/>
    <w:rsid w:val="00666E50"/>
    <w:rsid w:val="006E6E60"/>
    <w:rsid w:val="006F58AB"/>
    <w:rsid w:val="00701E73"/>
    <w:rsid w:val="00730B9B"/>
    <w:rsid w:val="00731CEE"/>
    <w:rsid w:val="0076732E"/>
    <w:rsid w:val="00770AD2"/>
    <w:rsid w:val="007B4A5E"/>
    <w:rsid w:val="007D4D1A"/>
    <w:rsid w:val="007F4590"/>
    <w:rsid w:val="008A201B"/>
    <w:rsid w:val="008A243C"/>
    <w:rsid w:val="008B2C2D"/>
    <w:rsid w:val="008C4C8C"/>
    <w:rsid w:val="008E38BC"/>
    <w:rsid w:val="008E5239"/>
    <w:rsid w:val="00924A06"/>
    <w:rsid w:val="00926980"/>
    <w:rsid w:val="00931FFE"/>
    <w:rsid w:val="00975423"/>
    <w:rsid w:val="00977B4A"/>
    <w:rsid w:val="009C2CCF"/>
    <w:rsid w:val="00A24B90"/>
    <w:rsid w:val="00A75FA0"/>
    <w:rsid w:val="00AD734E"/>
    <w:rsid w:val="00B072FA"/>
    <w:rsid w:val="00B42039"/>
    <w:rsid w:val="00B50828"/>
    <w:rsid w:val="00B7027C"/>
    <w:rsid w:val="00BA53AB"/>
    <w:rsid w:val="00BB587F"/>
    <w:rsid w:val="00CA3F94"/>
    <w:rsid w:val="00CE697F"/>
    <w:rsid w:val="00D12008"/>
    <w:rsid w:val="00D15F2D"/>
    <w:rsid w:val="00D232A5"/>
    <w:rsid w:val="00D74F28"/>
    <w:rsid w:val="00D75875"/>
    <w:rsid w:val="00F53889"/>
    <w:rsid w:val="00F551E0"/>
    <w:rsid w:val="00FA590C"/>
    <w:rsid w:val="00FF4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28"/>
    <w:pPr>
      <w:bidi/>
    </w:pPr>
  </w:style>
  <w:style w:type="paragraph" w:styleId="1">
    <w:name w:val="heading 1"/>
    <w:basedOn w:val="a"/>
    <w:next w:val="a"/>
    <w:link w:val="1Char"/>
    <w:uiPriority w:val="9"/>
    <w:qFormat/>
    <w:rsid w:val="00D75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2E7D9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27C"/>
    <w:pPr>
      <w:ind w:left="720"/>
      <w:contextualSpacing/>
    </w:pPr>
  </w:style>
  <w:style w:type="character" w:styleId="a4">
    <w:name w:val="Hyperlink"/>
    <w:basedOn w:val="a0"/>
    <w:uiPriority w:val="99"/>
    <w:unhideWhenUsed/>
    <w:rsid w:val="00484ADB"/>
    <w:rPr>
      <w:color w:val="0000FF" w:themeColor="hyperlink"/>
      <w:u w:val="single"/>
    </w:rPr>
  </w:style>
  <w:style w:type="character" w:customStyle="1" w:styleId="editsection">
    <w:name w:val="editsection"/>
    <w:basedOn w:val="a0"/>
    <w:rsid w:val="00484ADB"/>
  </w:style>
  <w:style w:type="paragraph" w:customStyle="1" w:styleId="Default">
    <w:name w:val="Default"/>
    <w:rsid w:val="00562E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8C4C8C"/>
  </w:style>
  <w:style w:type="character" w:customStyle="1" w:styleId="2Char">
    <w:name w:val="标题 2 Char"/>
    <w:basedOn w:val="a0"/>
    <w:link w:val="2"/>
    <w:rsid w:val="002E7D94"/>
    <w:rPr>
      <w:rFonts w:ascii="Times New Roman" w:eastAsia="Times New Roman" w:hAnsi="Times New Roman" w:cs="Times New Roman"/>
      <w:b/>
      <w:bCs/>
      <w:sz w:val="36"/>
      <w:szCs w:val="36"/>
    </w:rPr>
  </w:style>
  <w:style w:type="paragraph" w:styleId="a5">
    <w:name w:val="Balloon Text"/>
    <w:basedOn w:val="a"/>
    <w:link w:val="Char"/>
    <w:uiPriority w:val="99"/>
    <w:semiHidden/>
    <w:unhideWhenUsed/>
    <w:rsid w:val="00661883"/>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661883"/>
    <w:rPr>
      <w:rFonts w:ascii="Tahoma" w:hAnsi="Tahoma" w:cs="Tahoma"/>
      <w:sz w:val="16"/>
      <w:szCs w:val="16"/>
    </w:rPr>
  </w:style>
  <w:style w:type="table" w:customStyle="1" w:styleId="LightList-Accent11">
    <w:name w:val="Light List - Accent 11"/>
    <w:basedOn w:val="a1"/>
    <w:uiPriority w:val="61"/>
    <w:rsid w:val="00167C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a1"/>
    <w:uiPriority w:val="62"/>
    <w:rsid w:val="00167C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header"/>
    <w:basedOn w:val="a"/>
    <w:link w:val="Char0"/>
    <w:uiPriority w:val="99"/>
    <w:unhideWhenUsed/>
    <w:rsid w:val="00167C20"/>
    <w:pPr>
      <w:tabs>
        <w:tab w:val="center" w:pos="4320"/>
        <w:tab w:val="right" w:pos="8640"/>
      </w:tabs>
      <w:spacing w:after="0" w:line="240" w:lineRule="auto"/>
    </w:pPr>
  </w:style>
  <w:style w:type="character" w:customStyle="1" w:styleId="Char0">
    <w:name w:val="页眉 Char"/>
    <w:basedOn w:val="a0"/>
    <w:link w:val="a6"/>
    <w:uiPriority w:val="99"/>
    <w:rsid w:val="00167C20"/>
  </w:style>
  <w:style w:type="paragraph" w:styleId="a7">
    <w:name w:val="footer"/>
    <w:basedOn w:val="a"/>
    <w:link w:val="Char1"/>
    <w:uiPriority w:val="99"/>
    <w:semiHidden/>
    <w:unhideWhenUsed/>
    <w:rsid w:val="00167C20"/>
    <w:pPr>
      <w:tabs>
        <w:tab w:val="center" w:pos="4320"/>
        <w:tab w:val="right" w:pos="8640"/>
      </w:tabs>
      <w:spacing w:after="0" w:line="240" w:lineRule="auto"/>
    </w:pPr>
  </w:style>
  <w:style w:type="character" w:customStyle="1" w:styleId="Char1">
    <w:name w:val="页脚 Char"/>
    <w:basedOn w:val="a0"/>
    <w:link w:val="a7"/>
    <w:uiPriority w:val="99"/>
    <w:semiHidden/>
    <w:rsid w:val="00167C20"/>
  </w:style>
  <w:style w:type="character" w:customStyle="1" w:styleId="1Char">
    <w:name w:val="标题 1 Char"/>
    <w:basedOn w:val="a0"/>
    <w:link w:val="1"/>
    <w:rsid w:val="00D75875"/>
    <w:rPr>
      <w:rFonts w:asciiTheme="majorHAnsi" w:eastAsiaTheme="majorEastAsia" w:hAnsiTheme="majorHAnsi" w:cstheme="majorBidi"/>
      <w:b/>
      <w:bCs/>
      <w:color w:val="365F91" w:themeColor="accent1" w:themeShade="BF"/>
      <w:sz w:val="28"/>
      <w:szCs w:val="28"/>
    </w:rPr>
  </w:style>
  <w:style w:type="paragraph" w:styleId="a8">
    <w:name w:val="No Spacing"/>
    <w:basedOn w:val="a"/>
    <w:link w:val="Char2"/>
    <w:qFormat/>
    <w:rsid w:val="00931FFE"/>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Char2">
    <w:name w:val="无间隔 Char"/>
    <w:basedOn w:val="a0"/>
    <w:link w:val="a8"/>
    <w:locked/>
    <w:rsid w:val="00931FFE"/>
    <w:rPr>
      <w:rFonts w:ascii="Times New Roman" w:eastAsia="宋体" w:hAnsi="Times New Roman" w:cs="Times New Roman"/>
      <w:sz w:val="24"/>
      <w:szCs w:val="24"/>
      <w:lang w:eastAsia="zh-CN"/>
    </w:rPr>
  </w:style>
  <w:style w:type="character" w:customStyle="1" w:styleId="msonormal0">
    <w:name w:val="msonormal0"/>
    <w:basedOn w:val="a0"/>
    <w:rsid w:val="00931F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lzamzam@hotmail.com" TargetMode="External"/><Relationship Id="rId13" Type="http://schemas.openxmlformats.org/officeDocument/2006/relationships/hyperlink" Target="http://www.ncbi.nlm.nih.gov/pubmed?term=Shamseddine%20A%5BAuthor%5D&amp;cauthor=true&amp;cauthor_uid=16062082" TargetMode="External"/><Relationship Id="rId18" Type="http://schemas.openxmlformats.org/officeDocument/2006/relationships/chart" Target="charts/chart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4.emf"/><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http://www.dx.doi.org/10.7537/marscbj070417.01" TargetMode="External"/><Relationship Id="rId19" Type="http://schemas.openxmlformats.org/officeDocument/2006/relationships/header" Target="header3.xml"/><Relationship Id="rId31" Type="http://schemas.openxmlformats.org/officeDocument/2006/relationships/hyperlink" Target="mailto:mahalzamzam@hotmail.com"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esktop\exce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c\Desktop\exce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c\Desktop\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otY val="340"/>
      <c:rAngAx val="1"/>
    </c:view3D>
    <c:plotArea>
      <c:layout>
        <c:manualLayout>
          <c:layoutTarget val="inner"/>
          <c:xMode val="edge"/>
          <c:yMode val="edge"/>
          <c:x val="2.1989005497251416E-2"/>
          <c:y val="2.5331030512377749E-2"/>
          <c:w val="0.84105331095908165"/>
          <c:h val="0.79905234201494046"/>
        </c:manualLayout>
      </c:layout>
      <c:bar3DChart>
        <c:barDir val="col"/>
        <c:grouping val="clustered"/>
        <c:ser>
          <c:idx val="0"/>
          <c:order val="0"/>
          <c:tx>
            <c:strRef>
              <c:f>Sheet1!$B$180</c:f>
              <c:strCache>
                <c:ptCount val="1"/>
                <c:pt idx="0">
                  <c:v>Vinorelbine, Cisplatin</c:v>
                </c:pt>
              </c:strCache>
            </c:strRef>
          </c:tx>
          <c:dLbls>
            <c:dLbl>
              <c:idx val="0"/>
              <c:layout>
                <c:manualLayout>
                  <c:x val="1.0327182766138743E-2"/>
                  <c:y val="0.11868131868131868"/>
                </c:manualLayout>
              </c:layout>
              <c:showVal val="1"/>
            </c:dLbl>
            <c:dLbl>
              <c:idx val="1"/>
              <c:layout>
                <c:manualLayout>
                  <c:x val="-1.4457665560022098E-2"/>
                  <c:y val="0.1010989010989011"/>
                </c:manualLayout>
              </c:layout>
              <c:showVal val="1"/>
            </c:dLbl>
            <c:dLbl>
              <c:idx val="2"/>
              <c:layout>
                <c:manualLayout>
                  <c:x val="-1.0326532245185541E-2"/>
                  <c:y val="7.6923076923077011E-2"/>
                </c:manualLayout>
              </c:layout>
              <c:showVal val="1"/>
            </c:dLbl>
            <c:dLbl>
              <c:idx val="3"/>
              <c:layout>
                <c:manualLayout>
                  <c:x val="1.4457828190260483E-2"/>
                  <c:y val="0.14725274725274726"/>
                </c:manualLayout>
              </c:layout>
              <c:showVal val="1"/>
            </c:dLbl>
            <c:spPr>
              <a:solidFill>
                <a:schemeClr val="bg1"/>
              </a:solidFill>
            </c:spPr>
            <c:txPr>
              <a:bodyPr/>
              <a:lstStyle/>
              <a:p>
                <a:pPr>
                  <a:defRPr lang="en-US"/>
                </a:pPr>
                <a:endParaRPr lang="zh-CN"/>
              </a:p>
            </c:txPr>
            <c:showVal val="1"/>
          </c:dLbls>
          <c:cat>
            <c:strRef>
              <c:f>Sheet1!$A$181:$A$184</c:f>
              <c:strCache>
                <c:ptCount val="4"/>
                <c:pt idx="0">
                  <c:v>cCR</c:v>
                </c:pt>
                <c:pt idx="1">
                  <c:v>cPR</c:v>
                </c:pt>
                <c:pt idx="2">
                  <c:v>cNR</c:v>
                </c:pt>
                <c:pt idx="3">
                  <c:v>Overall Response Rate</c:v>
                </c:pt>
              </c:strCache>
            </c:strRef>
          </c:cat>
          <c:val>
            <c:numRef>
              <c:f>Sheet1!$B$181:$B$184</c:f>
              <c:numCache>
                <c:formatCode>0.00%</c:formatCode>
                <c:ptCount val="4"/>
                <c:pt idx="0">
                  <c:v>0.42220000000000002</c:v>
                </c:pt>
                <c:pt idx="1">
                  <c:v>0.42220000000000002</c:v>
                </c:pt>
                <c:pt idx="2">
                  <c:v>0.15550000000000044</c:v>
                </c:pt>
                <c:pt idx="3">
                  <c:v>0.84440000000000004</c:v>
                </c:pt>
              </c:numCache>
            </c:numRef>
          </c:val>
        </c:ser>
        <c:ser>
          <c:idx val="1"/>
          <c:order val="1"/>
          <c:tx>
            <c:strRef>
              <c:f>Sheet1!$C$180</c:f>
              <c:strCache>
                <c:ptCount val="1"/>
                <c:pt idx="0">
                  <c:v>Docetaxel, Gemcitabine</c:v>
                </c:pt>
              </c:strCache>
            </c:strRef>
          </c:tx>
          <c:spPr>
            <a:solidFill>
              <a:srgbClr val="FF0000"/>
            </a:solidFill>
          </c:spPr>
          <c:dLbls>
            <c:dLbl>
              <c:idx val="0"/>
              <c:layout>
                <c:manualLayout>
                  <c:x val="3.5112193722537849E-2"/>
                  <c:y val="6.5934065934065963E-2"/>
                </c:manualLayout>
              </c:layout>
              <c:showVal val="1"/>
            </c:dLbl>
            <c:dLbl>
              <c:idx val="1"/>
              <c:layout>
                <c:manualLayout>
                  <c:x val="3.5112356352776215E-2"/>
                  <c:y val="0.10109872804361192"/>
                </c:manualLayout>
              </c:layout>
              <c:showVal val="1"/>
            </c:dLbl>
            <c:dLbl>
              <c:idx val="2"/>
              <c:layout>
                <c:manualLayout>
                  <c:x val="2.2719444298980727E-2"/>
                  <c:y val="0.17142857142857137"/>
                </c:manualLayout>
              </c:layout>
              <c:showVal val="1"/>
            </c:dLbl>
            <c:dLbl>
              <c:idx val="3"/>
              <c:layout>
                <c:manualLayout>
                  <c:x val="3.5112031092299489E-2"/>
                  <c:y val="0.19780219780220054"/>
                </c:manualLayout>
              </c:layout>
              <c:showVal val="1"/>
            </c:dLbl>
            <c:spPr>
              <a:solidFill>
                <a:schemeClr val="bg1"/>
              </a:solidFill>
            </c:spPr>
            <c:txPr>
              <a:bodyPr/>
              <a:lstStyle/>
              <a:p>
                <a:pPr>
                  <a:defRPr lang="en-US"/>
                </a:pPr>
                <a:endParaRPr lang="zh-CN"/>
              </a:p>
            </c:txPr>
            <c:showVal val="1"/>
          </c:dLbls>
          <c:cat>
            <c:strRef>
              <c:f>Sheet1!$A$181:$A$184</c:f>
              <c:strCache>
                <c:ptCount val="4"/>
                <c:pt idx="0">
                  <c:v>cCR</c:v>
                </c:pt>
                <c:pt idx="1">
                  <c:v>cPR</c:v>
                </c:pt>
                <c:pt idx="2">
                  <c:v>cNR</c:v>
                </c:pt>
                <c:pt idx="3">
                  <c:v>Overall Response Rate</c:v>
                </c:pt>
              </c:strCache>
            </c:strRef>
          </c:cat>
          <c:val>
            <c:numRef>
              <c:f>Sheet1!$C$181:$C$184</c:f>
              <c:numCache>
                <c:formatCode>0.00%</c:formatCode>
                <c:ptCount val="4"/>
                <c:pt idx="0">
                  <c:v>0.17770000000000041</c:v>
                </c:pt>
                <c:pt idx="1">
                  <c:v>0.35550000000000032</c:v>
                </c:pt>
                <c:pt idx="2">
                  <c:v>0.46660000000000001</c:v>
                </c:pt>
                <c:pt idx="3">
                  <c:v>0.5333</c:v>
                </c:pt>
              </c:numCache>
            </c:numRef>
          </c:val>
        </c:ser>
        <c:dLbls>
          <c:showVal val="1"/>
        </c:dLbls>
        <c:gapWidth val="75"/>
        <c:shape val="cylinder"/>
        <c:axId val="123958784"/>
        <c:axId val="123960320"/>
        <c:axId val="0"/>
      </c:bar3DChart>
      <c:catAx>
        <c:axId val="123958784"/>
        <c:scaling>
          <c:orientation val="maxMin"/>
        </c:scaling>
        <c:axPos val="b"/>
        <c:majorTickMark val="none"/>
        <c:tickLblPos val="nextTo"/>
        <c:txPr>
          <a:bodyPr/>
          <a:lstStyle/>
          <a:p>
            <a:pPr>
              <a:defRPr lang="en-US"/>
            </a:pPr>
            <a:endParaRPr lang="zh-CN"/>
          </a:p>
        </c:txPr>
        <c:crossAx val="123960320"/>
        <c:crosses val="autoZero"/>
        <c:auto val="1"/>
        <c:lblAlgn val="ctr"/>
        <c:lblOffset val="100"/>
      </c:catAx>
      <c:valAx>
        <c:axId val="123960320"/>
        <c:scaling>
          <c:orientation val="minMax"/>
        </c:scaling>
        <c:axPos val="r"/>
        <c:numFmt formatCode="0.00%" sourceLinked="1"/>
        <c:majorTickMark val="none"/>
        <c:tickLblPos val="nextTo"/>
        <c:txPr>
          <a:bodyPr/>
          <a:lstStyle/>
          <a:p>
            <a:pPr>
              <a:defRPr lang="en-US"/>
            </a:pPr>
            <a:endParaRPr lang="zh-CN"/>
          </a:p>
        </c:txPr>
        <c:crossAx val="123958784"/>
        <c:crosses val="autoZero"/>
        <c:crossBetween val="between"/>
      </c:valAx>
    </c:plotArea>
    <c:legend>
      <c:legendPos val="b"/>
      <c:layout/>
      <c:txPr>
        <a:bodyPr/>
        <a:lstStyle/>
        <a:p>
          <a:pPr>
            <a:defRPr lang="en-US"/>
          </a:pPr>
          <a:endParaRPr lang="zh-CN"/>
        </a:p>
      </c:txPr>
    </c:legend>
    <c:plotVisOnly val="1"/>
  </c:chart>
  <c:txPr>
    <a:bodyPr/>
    <a:lstStyle/>
    <a:p>
      <a:pPr>
        <a:defRPr sz="800">
          <a:cs typeface="+mj-cs"/>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rotY val="360"/>
      <c:perspective val="30"/>
    </c:view3D>
    <c:plotArea>
      <c:layout/>
      <c:pie3DChart>
        <c:varyColors val="1"/>
        <c:ser>
          <c:idx val="0"/>
          <c:order val="0"/>
          <c:explosion val="25"/>
          <c:dPt>
            <c:idx val="1"/>
            <c:spPr>
              <a:solidFill>
                <a:srgbClr val="FF0000"/>
              </a:solidFill>
            </c:spPr>
          </c:dPt>
          <c:cat>
            <c:strRef>
              <c:f>Sheet1!$A$52:$A$53</c:f>
              <c:strCache>
                <c:ptCount val="2"/>
                <c:pt idx="0">
                  <c:v>Vinorelbine plus Cisplatin</c:v>
                </c:pt>
                <c:pt idx="1">
                  <c:v>Docetaxel plus Gemcitabine</c:v>
                </c:pt>
              </c:strCache>
            </c:strRef>
          </c:cat>
          <c:val>
            <c:numRef>
              <c:f>Sheet1!$B$52:$B$53</c:f>
              <c:numCache>
                <c:formatCode>0.00%</c:formatCode>
                <c:ptCount val="2"/>
                <c:pt idx="0">
                  <c:v>0.63330000000000064</c:v>
                </c:pt>
                <c:pt idx="1">
                  <c:v>0.76659999999999995</c:v>
                </c:pt>
              </c:numCache>
            </c:numRef>
          </c:val>
        </c:ser>
      </c:pie3DChart>
    </c:plotArea>
    <c:legend>
      <c:legendPos val="b"/>
      <c:layout/>
      <c:txPr>
        <a:bodyPr/>
        <a:lstStyle/>
        <a:p>
          <a:pPr>
            <a:defRPr lang="en-US"/>
          </a:pPr>
          <a:endParaRPr lang="zh-CN"/>
        </a:p>
      </c:txPr>
    </c:legend>
    <c:plotVisOnly val="1"/>
  </c:chart>
  <c:txPr>
    <a:bodyPr/>
    <a:lstStyle/>
    <a:p>
      <a:pPr>
        <a:defRPr sz="800">
          <a:cs typeface="+mj-cs"/>
        </a:defRPr>
      </a:pPr>
      <a:endParaRPr lang="zh-CN"/>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otY val="340"/>
      <c:rAngAx val="1"/>
    </c:view3D>
    <c:plotArea>
      <c:layout/>
      <c:bar3DChart>
        <c:barDir val="col"/>
        <c:grouping val="stacked"/>
        <c:ser>
          <c:idx val="0"/>
          <c:order val="0"/>
          <c:tx>
            <c:strRef>
              <c:f>Sheet1!$A$173</c:f>
              <c:strCache>
                <c:ptCount val="1"/>
                <c:pt idx="0">
                  <c:v>No Tumor</c:v>
                </c:pt>
              </c:strCache>
            </c:strRef>
          </c:tx>
          <c:dLbls>
            <c:dLbl>
              <c:idx val="0"/>
              <c:layout>
                <c:manualLayout>
                  <c:x val="2.4111285191377306E-2"/>
                  <c:y val="-4.1237106707182666E-3"/>
                </c:manualLayout>
              </c:layout>
              <c:showVal val="1"/>
            </c:dLbl>
            <c:dLbl>
              <c:idx val="1"/>
              <c:layout>
                <c:manualLayout>
                  <c:x val="2.7820713682358812E-2"/>
                  <c:y val="4.1237106707182666E-3"/>
                </c:manualLayout>
              </c:layout>
              <c:showVal val="1"/>
            </c:dLbl>
            <c:spPr>
              <a:solidFill>
                <a:sysClr val="window" lastClr="FFFFFF"/>
              </a:solidFill>
            </c:spPr>
            <c:txPr>
              <a:bodyPr/>
              <a:lstStyle/>
              <a:p>
                <a:pPr>
                  <a:defRPr lang="en-US"/>
                </a:pPr>
                <a:endParaRPr lang="zh-CN"/>
              </a:p>
            </c:txPr>
            <c:showVal val="1"/>
          </c:dLbls>
          <c:cat>
            <c:strRef>
              <c:f>Sheet1!$B$172:$C$172</c:f>
              <c:strCache>
                <c:ptCount val="2"/>
                <c:pt idx="0">
                  <c:v>Vinorelbine, Cisplatin</c:v>
                </c:pt>
                <c:pt idx="1">
                  <c:v>Docetaxel, Gemcitabine</c:v>
                </c:pt>
              </c:strCache>
            </c:strRef>
          </c:cat>
          <c:val>
            <c:numRef>
              <c:f>Sheet1!$B$173:$C$173</c:f>
              <c:numCache>
                <c:formatCode>0.00%</c:formatCode>
                <c:ptCount val="2"/>
                <c:pt idx="0">
                  <c:v>6.6600000000000006E-2</c:v>
                </c:pt>
                <c:pt idx="1">
                  <c:v>2.2200000000000056E-2</c:v>
                </c:pt>
              </c:numCache>
            </c:numRef>
          </c:val>
        </c:ser>
        <c:ser>
          <c:idx val="1"/>
          <c:order val="1"/>
          <c:tx>
            <c:strRef>
              <c:f>Sheet1!$A$174</c:f>
              <c:strCache>
                <c:ptCount val="1"/>
                <c:pt idx="0">
                  <c:v>p Non Invasive Disease </c:v>
                </c:pt>
              </c:strCache>
            </c:strRef>
          </c:tx>
          <c:spPr>
            <a:solidFill>
              <a:srgbClr val="FF0000"/>
            </a:solidFill>
          </c:spPr>
          <c:dLbls>
            <c:dLbl>
              <c:idx val="0"/>
              <c:layout>
                <c:manualLayout>
                  <c:x val="2.5965999436867795E-2"/>
                  <c:y val="-1.8556698018232325E-2"/>
                </c:manualLayout>
              </c:layout>
              <c:showVal val="1"/>
            </c:dLbl>
            <c:dLbl>
              <c:idx val="1"/>
              <c:layout>
                <c:manualLayout>
                  <c:x val="3.1530142173340187E-2"/>
                  <c:y val="-1.030927667679573E-2"/>
                </c:manualLayout>
              </c:layout>
              <c:showVal val="1"/>
            </c:dLbl>
            <c:spPr>
              <a:solidFill>
                <a:sysClr val="window" lastClr="FFFFFF"/>
              </a:solidFill>
            </c:spPr>
            <c:txPr>
              <a:bodyPr/>
              <a:lstStyle/>
              <a:p>
                <a:pPr>
                  <a:defRPr lang="en-US"/>
                </a:pPr>
                <a:endParaRPr lang="zh-CN"/>
              </a:p>
            </c:txPr>
            <c:showVal val="1"/>
          </c:dLbls>
          <c:cat>
            <c:strRef>
              <c:f>Sheet1!$B$172:$C$172</c:f>
              <c:strCache>
                <c:ptCount val="2"/>
                <c:pt idx="0">
                  <c:v>Vinorelbine, Cisplatin</c:v>
                </c:pt>
                <c:pt idx="1">
                  <c:v>Docetaxel, Gemcitabine</c:v>
                </c:pt>
              </c:strCache>
            </c:strRef>
          </c:cat>
          <c:val>
            <c:numRef>
              <c:f>Sheet1!$B$174:$C$174</c:f>
              <c:numCache>
                <c:formatCode>0.00%</c:formatCode>
                <c:ptCount val="2"/>
                <c:pt idx="0">
                  <c:v>0.1111</c:v>
                </c:pt>
                <c:pt idx="1">
                  <c:v>6.6600000000000006E-2</c:v>
                </c:pt>
              </c:numCache>
            </c:numRef>
          </c:val>
        </c:ser>
        <c:ser>
          <c:idx val="2"/>
          <c:order val="2"/>
          <c:tx>
            <c:strRef>
              <c:f>Sheet1!$A$175</c:f>
              <c:strCache>
                <c:ptCount val="1"/>
                <c:pt idx="0">
                  <c:v>p Invasive Disease </c:v>
                </c:pt>
              </c:strCache>
            </c:strRef>
          </c:tx>
          <c:spPr>
            <a:solidFill>
              <a:schemeClr val="accent3">
                <a:lumMod val="75000"/>
              </a:schemeClr>
            </a:solidFill>
          </c:spPr>
          <c:dLbls>
            <c:dLbl>
              <c:idx val="0"/>
              <c:layout>
                <c:manualLayout>
                  <c:x val="2.7820713682358812E-2"/>
                  <c:y val="0"/>
                </c:manualLayout>
              </c:layout>
              <c:showVal val="1"/>
            </c:dLbl>
            <c:dLbl>
              <c:idx val="1"/>
              <c:layout>
                <c:manualLayout>
                  <c:x val="3.7094284909811231E-2"/>
                  <c:y val="-4.1237106707182666E-3"/>
                </c:manualLayout>
              </c:layout>
              <c:tx>
                <c:rich>
                  <a:bodyPr/>
                  <a:lstStyle/>
                  <a:p>
                    <a:r>
                      <a:rPr lang="en-US">
                        <a:solidFill>
                          <a:schemeClr val="accent3">
                            <a:lumMod val="75000"/>
                          </a:schemeClr>
                        </a:solidFill>
                      </a:rPr>
                      <a:t>8.88%</a:t>
                    </a:r>
                  </a:p>
                </c:rich>
              </c:tx>
              <c:showVal val="1"/>
            </c:dLbl>
            <c:spPr>
              <a:solidFill>
                <a:sysClr val="window" lastClr="FFFFFF"/>
              </a:solidFill>
            </c:spPr>
            <c:txPr>
              <a:bodyPr/>
              <a:lstStyle/>
              <a:p>
                <a:pPr>
                  <a:defRPr lang="en-US"/>
                </a:pPr>
                <a:endParaRPr lang="zh-CN"/>
              </a:p>
            </c:txPr>
            <c:showVal val="1"/>
          </c:dLbls>
          <c:cat>
            <c:strRef>
              <c:f>Sheet1!$B$172:$C$172</c:f>
              <c:strCache>
                <c:ptCount val="2"/>
                <c:pt idx="0">
                  <c:v>Vinorelbine, Cisplatin</c:v>
                </c:pt>
                <c:pt idx="1">
                  <c:v>Docetaxel, Gemcitabine</c:v>
                </c:pt>
              </c:strCache>
            </c:strRef>
          </c:cat>
          <c:val>
            <c:numRef>
              <c:f>Sheet1!$B$175:$C$175</c:f>
              <c:numCache>
                <c:formatCode>0.00%</c:formatCode>
                <c:ptCount val="2"/>
                <c:pt idx="0">
                  <c:v>0.24440000000000217</c:v>
                </c:pt>
                <c:pt idx="1">
                  <c:v>8.8800000000000226E-2</c:v>
                </c:pt>
              </c:numCache>
            </c:numRef>
          </c:val>
        </c:ser>
        <c:dLbls>
          <c:showVal val="1"/>
        </c:dLbls>
        <c:gapWidth val="75"/>
        <c:shape val="cylinder"/>
        <c:axId val="131387392"/>
        <c:axId val="131388928"/>
        <c:axId val="0"/>
      </c:bar3DChart>
      <c:catAx>
        <c:axId val="131387392"/>
        <c:scaling>
          <c:orientation val="maxMin"/>
        </c:scaling>
        <c:axPos val="b"/>
        <c:majorTickMark val="none"/>
        <c:tickLblPos val="nextTo"/>
        <c:txPr>
          <a:bodyPr/>
          <a:lstStyle/>
          <a:p>
            <a:pPr>
              <a:defRPr lang="en-US"/>
            </a:pPr>
            <a:endParaRPr lang="zh-CN"/>
          </a:p>
        </c:txPr>
        <c:crossAx val="131388928"/>
        <c:crosses val="autoZero"/>
        <c:auto val="1"/>
        <c:lblAlgn val="ctr"/>
        <c:lblOffset val="100"/>
      </c:catAx>
      <c:valAx>
        <c:axId val="131388928"/>
        <c:scaling>
          <c:orientation val="minMax"/>
        </c:scaling>
        <c:axPos val="r"/>
        <c:numFmt formatCode="0.00%" sourceLinked="1"/>
        <c:majorTickMark val="none"/>
        <c:tickLblPos val="nextTo"/>
        <c:txPr>
          <a:bodyPr/>
          <a:lstStyle/>
          <a:p>
            <a:pPr>
              <a:defRPr lang="en-US"/>
            </a:pPr>
            <a:endParaRPr lang="zh-CN"/>
          </a:p>
        </c:txPr>
        <c:crossAx val="131387392"/>
        <c:crosses val="autoZero"/>
        <c:crossBetween val="between"/>
      </c:valAx>
    </c:plotArea>
    <c:legend>
      <c:legendPos val="b"/>
      <c:layout/>
      <c:txPr>
        <a:bodyPr/>
        <a:lstStyle/>
        <a:p>
          <a:pPr>
            <a:defRPr lang="en-US"/>
          </a:pPr>
          <a:endParaRPr lang="zh-CN"/>
        </a:p>
      </c:txPr>
    </c:legend>
    <c:plotVisOnly val="1"/>
  </c:chart>
  <c:txPr>
    <a:bodyPr/>
    <a:lstStyle/>
    <a:p>
      <a:pPr>
        <a:defRPr sz="1000">
          <a:cs typeface="+mj-cs"/>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0.71964</cdr:x>
      <cdr:y>0.02418</cdr:y>
    </cdr:from>
    <cdr:to>
      <cdr:x>0.88306</cdr:x>
      <cdr:y>0.09154</cdr:y>
    </cdr:to>
    <cdr:sp macro="" textlink="">
      <cdr:nvSpPr>
        <cdr:cNvPr id="2" name="Rectangle 1"/>
        <cdr:cNvSpPr/>
      </cdr:nvSpPr>
      <cdr:spPr>
        <a:xfrm xmlns:a="http://schemas.openxmlformats.org/drawingml/2006/main">
          <a:off x="4572000" y="133350"/>
          <a:ext cx="1038226" cy="371475"/>
        </a:xfrm>
        <a:prstGeom xmlns:a="http://schemas.openxmlformats.org/drawingml/2006/main" prst="rect">
          <a:avLst/>
        </a:prstGeom>
        <a:solidFill xmlns:a="http://schemas.openxmlformats.org/drawingml/2006/main">
          <a:schemeClr val="bg1">
            <a:lumMod val="75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900" b="1">
              <a:solidFill>
                <a:sysClr val="windowText" lastClr="000000"/>
              </a:solidFill>
              <a:latin typeface="+mj-lt"/>
              <a:cs typeface="+mj-cs"/>
            </a:rPr>
            <a:t>(P</a:t>
          </a:r>
          <a:r>
            <a:rPr lang="en-US" sz="900" b="1" baseline="0">
              <a:solidFill>
                <a:sysClr val="windowText" lastClr="000000"/>
              </a:solidFill>
              <a:latin typeface="+mj-lt"/>
              <a:cs typeface="+mj-cs"/>
            </a:rPr>
            <a:t> &lt; 0.01)</a:t>
          </a:r>
          <a:endParaRPr lang="en-US" sz="900" b="1">
            <a:solidFill>
              <a:sysClr val="windowText" lastClr="000000"/>
            </a:solidFill>
            <a:latin typeface="+mj-lt"/>
            <a:cs typeface="+mj-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0.19512</cdr:x>
      <cdr:y>0.34311</cdr:y>
    </cdr:from>
    <cdr:to>
      <cdr:x>0.37321</cdr:x>
      <cdr:y>0.43175</cdr:y>
    </cdr:to>
    <cdr:sp macro="" textlink="">
      <cdr:nvSpPr>
        <cdr:cNvPr id="2" name="TextBox 1"/>
        <cdr:cNvSpPr txBox="1"/>
      </cdr:nvSpPr>
      <cdr:spPr>
        <a:xfrm xmlns:a="http://schemas.openxmlformats.org/drawingml/2006/main">
          <a:off x="912513" y="983692"/>
          <a:ext cx="832887" cy="25413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000" b="1">
              <a:solidFill>
                <a:srgbClr val="FF0000"/>
              </a:solidFill>
              <a:latin typeface="+mj-lt"/>
            </a:rPr>
            <a:t>76.66%</a:t>
          </a:r>
        </a:p>
      </cdr:txBody>
    </cdr:sp>
  </cdr:relSizeAnchor>
  <cdr:relSizeAnchor xmlns:cdr="http://schemas.openxmlformats.org/drawingml/2006/chartDrawing">
    <cdr:from>
      <cdr:x>0.68432</cdr:x>
      <cdr:y>0.26087</cdr:y>
    </cdr:from>
    <cdr:to>
      <cdr:x>0.86111</cdr:x>
      <cdr:y>0.35435</cdr:y>
    </cdr:to>
    <cdr:sp macro="" textlink="">
      <cdr:nvSpPr>
        <cdr:cNvPr id="3" name="TextBox 2"/>
        <cdr:cNvSpPr txBox="1"/>
      </cdr:nvSpPr>
      <cdr:spPr>
        <a:xfrm xmlns:a="http://schemas.openxmlformats.org/drawingml/2006/main">
          <a:off x="3200400" y="827434"/>
          <a:ext cx="826818" cy="29651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000" b="1">
              <a:solidFill>
                <a:schemeClr val="accent1"/>
              </a:solidFill>
              <a:latin typeface="+mj-lt"/>
            </a:rPr>
            <a:t>63.33%</a:t>
          </a:r>
        </a:p>
      </cdr:txBody>
    </cdr:sp>
  </cdr:relSizeAnchor>
</c:userShapes>
</file>

<file path=word/drawings/drawing3.xml><?xml version="1.0" encoding="utf-8"?>
<c:userShapes xmlns:c="http://schemas.openxmlformats.org/drawingml/2006/chart">
  <cdr:relSizeAnchor xmlns:cdr="http://schemas.openxmlformats.org/drawingml/2006/chartDrawing">
    <cdr:from>
      <cdr:x>0.4761</cdr:x>
      <cdr:y>0.5566</cdr:y>
    </cdr:from>
    <cdr:to>
      <cdr:x>0.52973</cdr:x>
      <cdr:y>0.73701</cdr:y>
    </cdr:to>
    <cdr:sp macro="" textlink="">
      <cdr:nvSpPr>
        <cdr:cNvPr id="2" name="Right Brace 1"/>
        <cdr:cNvSpPr/>
      </cdr:nvSpPr>
      <cdr:spPr>
        <a:xfrm xmlns:a="http://schemas.openxmlformats.org/drawingml/2006/main" flipH="1">
          <a:off x="2644638" y="2266145"/>
          <a:ext cx="297932" cy="734521"/>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0.14453</cdr:x>
      <cdr:y>0.68132</cdr:y>
    </cdr:from>
    <cdr:to>
      <cdr:x>0.18421</cdr:x>
      <cdr:y>0.76723</cdr:y>
    </cdr:to>
    <cdr:sp macro="" textlink="">
      <cdr:nvSpPr>
        <cdr:cNvPr id="3" name="Left Brace 2"/>
        <cdr:cNvSpPr/>
      </cdr:nvSpPr>
      <cdr:spPr>
        <a:xfrm xmlns:a="http://schemas.openxmlformats.org/drawingml/2006/main">
          <a:off x="931964" y="4068987"/>
          <a:ext cx="255873" cy="513069"/>
        </a:xfrm>
        <a:prstGeom xmlns:a="http://schemas.openxmlformats.org/drawingml/2006/main" prst="lef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0.80291</cdr:x>
      <cdr:y>0.66151</cdr:y>
    </cdr:from>
    <cdr:to>
      <cdr:x>0.91138</cdr:x>
      <cdr:y>0.811</cdr:y>
    </cdr:to>
    <cdr:sp macro="" textlink="">
      <cdr:nvSpPr>
        <cdr:cNvPr id="4" name="TextBox 3"/>
        <cdr:cNvSpPr txBox="1"/>
      </cdr:nvSpPr>
      <cdr:spPr>
        <a:xfrm xmlns:a="http://schemas.openxmlformats.org/drawingml/2006/main">
          <a:off x="6424083" y="4074585"/>
          <a:ext cx="867834" cy="920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0.3764</cdr:x>
      <cdr:y>0.55789</cdr:y>
    </cdr:from>
    <cdr:to>
      <cdr:x>0.49471</cdr:x>
      <cdr:y>0.76541</cdr:y>
    </cdr:to>
    <cdr:sp macro="" textlink="">
      <cdr:nvSpPr>
        <cdr:cNvPr id="5" name="TextBox 4"/>
        <cdr:cNvSpPr txBox="1"/>
      </cdr:nvSpPr>
      <cdr:spPr>
        <a:xfrm xmlns:a="http://schemas.openxmlformats.org/drawingml/2006/main">
          <a:off x="2090819" y="2271410"/>
          <a:ext cx="657185" cy="844897"/>
        </a:xfrm>
        <a:prstGeom xmlns:a="http://schemas.openxmlformats.org/drawingml/2006/main" prst="rect">
          <a:avLst/>
        </a:prstGeom>
        <a:solidFill xmlns:a="http://schemas.openxmlformats.org/drawingml/2006/main">
          <a:schemeClr val="bg1">
            <a:lumMod val="85000"/>
          </a:schemeClr>
        </a:solidFill>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US" sz="800" b="1">
              <a:latin typeface="+mj-lt"/>
              <a:cs typeface="+mj-cs"/>
            </a:rPr>
            <a:t>pCR: 17.77%</a:t>
          </a:r>
        </a:p>
        <a:p xmlns:a="http://schemas.openxmlformats.org/drawingml/2006/main">
          <a:pPr algn="ctr"/>
          <a:endParaRPr lang="en-US" sz="800" b="1">
            <a:latin typeface="+mj-lt"/>
            <a:cs typeface="+mj-cs"/>
          </a:endParaRPr>
        </a:p>
        <a:p xmlns:a="http://schemas.openxmlformats.org/drawingml/2006/main">
          <a:pPr algn="ctr"/>
          <a:r>
            <a:rPr lang="en-US" sz="800" b="1">
              <a:latin typeface="+mj-lt"/>
              <a:cs typeface="+mj-cs"/>
            </a:rPr>
            <a:t>(8) Patients</a:t>
          </a:r>
        </a:p>
      </cdr:txBody>
    </cdr:sp>
  </cdr:relSizeAnchor>
  <cdr:relSizeAnchor xmlns:cdr="http://schemas.openxmlformats.org/drawingml/2006/chartDrawing">
    <cdr:from>
      <cdr:x>0.06614</cdr:x>
      <cdr:y>0.68557</cdr:y>
    </cdr:from>
    <cdr:to>
      <cdr:x>0.1455</cdr:x>
      <cdr:y>0.79725</cdr:y>
    </cdr:to>
    <cdr:sp macro="" textlink="">
      <cdr:nvSpPr>
        <cdr:cNvPr id="6" name="TextBox 5"/>
        <cdr:cNvSpPr txBox="1"/>
      </cdr:nvSpPr>
      <cdr:spPr>
        <a:xfrm xmlns:a="http://schemas.openxmlformats.org/drawingml/2006/main">
          <a:off x="529167" y="4222751"/>
          <a:ext cx="635000" cy="687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0.06349</cdr:x>
      <cdr:y>0.66667</cdr:y>
    </cdr:from>
    <cdr:to>
      <cdr:x>0.15079</cdr:x>
      <cdr:y>0.78522</cdr:y>
    </cdr:to>
    <cdr:sp macro="" textlink="">
      <cdr:nvSpPr>
        <cdr:cNvPr id="7" name="TextBox 6"/>
        <cdr:cNvSpPr txBox="1"/>
      </cdr:nvSpPr>
      <cdr:spPr>
        <a:xfrm xmlns:a="http://schemas.openxmlformats.org/drawingml/2006/main">
          <a:off x="508000" y="4106335"/>
          <a:ext cx="698500" cy="730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0.0074</cdr:x>
      <cdr:y>0.61456</cdr:y>
    </cdr:from>
    <cdr:to>
      <cdr:x>0.12683</cdr:x>
      <cdr:y>0.82049</cdr:y>
    </cdr:to>
    <cdr:sp macro="" textlink="">
      <cdr:nvSpPr>
        <cdr:cNvPr id="8" name="TextBox 7"/>
        <cdr:cNvSpPr txBox="1"/>
      </cdr:nvSpPr>
      <cdr:spPr>
        <a:xfrm xmlns:a="http://schemas.openxmlformats.org/drawingml/2006/main">
          <a:off x="41106" y="2502119"/>
          <a:ext cx="663412" cy="838423"/>
        </a:xfrm>
        <a:prstGeom xmlns:a="http://schemas.openxmlformats.org/drawingml/2006/main" prst="rect">
          <a:avLst/>
        </a:prstGeom>
        <a:solidFill xmlns:a="http://schemas.openxmlformats.org/drawingml/2006/main">
          <a:schemeClr val="bg1">
            <a:lumMod val="85000"/>
          </a:schemeClr>
        </a:solidFill>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US" sz="1000" b="1">
              <a:latin typeface="+mj-lt"/>
            </a:rPr>
            <a:t>pCR: 8.88%</a:t>
          </a:r>
        </a:p>
        <a:p xmlns:a="http://schemas.openxmlformats.org/drawingml/2006/main">
          <a:pPr algn="ctr"/>
          <a:endParaRPr lang="en-US" sz="1000" b="1">
            <a:latin typeface="+mj-lt"/>
          </a:endParaRPr>
        </a:p>
        <a:p xmlns:a="http://schemas.openxmlformats.org/drawingml/2006/main">
          <a:pPr algn="ctr"/>
          <a:r>
            <a:rPr lang="en-US" sz="1000" b="1">
              <a:latin typeface="+mj-lt"/>
            </a:rPr>
            <a:t>(4)</a:t>
          </a:r>
          <a:r>
            <a:rPr lang="en-US" sz="1000" b="1" baseline="0">
              <a:latin typeface="+mj-lt"/>
            </a:rPr>
            <a:t> Patients</a:t>
          </a:r>
          <a:endParaRPr lang="en-US" sz="1000" b="1">
            <a:latin typeface="+mj-lt"/>
          </a:endParaRPr>
        </a:p>
      </cdr:txBody>
    </cdr:sp>
  </cdr:relSizeAnchor>
  <cdr:relSizeAnchor xmlns:cdr="http://schemas.openxmlformats.org/drawingml/2006/chartDrawing">
    <cdr:from>
      <cdr:x>0.07132</cdr:x>
      <cdr:y>0.04837</cdr:y>
    </cdr:from>
    <cdr:to>
      <cdr:x>0.2279</cdr:x>
      <cdr:y>0.10738</cdr:y>
    </cdr:to>
    <cdr:sp macro="" textlink="">
      <cdr:nvSpPr>
        <cdr:cNvPr id="9" name="Rectangle 8"/>
        <cdr:cNvSpPr/>
      </cdr:nvSpPr>
      <cdr:spPr>
        <a:xfrm xmlns:a="http://schemas.openxmlformats.org/drawingml/2006/main">
          <a:off x="377953" y="196812"/>
          <a:ext cx="829829" cy="240117"/>
        </a:xfrm>
        <a:prstGeom xmlns:a="http://schemas.openxmlformats.org/drawingml/2006/main" prst="rect">
          <a:avLst/>
        </a:prstGeom>
        <a:solidFill xmlns:a="http://schemas.openxmlformats.org/drawingml/2006/main">
          <a:schemeClr val="bg1">
            <a:lumMod val="75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1000" b="1">
              <a:solidFill>
                <a:sysClr val="windowText" lastClr="000000"/>
              </a:solidFill>
              <a:latin typeface="+mj-lt"/>
            </a:rPr>
            <a:t>(P &lt; 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19F04-461D-421C-935D-681DC48C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cp:lastModifiedBy>
  <cp:revision>2</cp:revision>
  <dcterms:created xsi:type="dcterms:W3CDTF">2017-11-21T13:34:00Z</dcterms:created>
  <dcterms:modified xsi:type="dcterms:W3CDTF">2017-11-21T13:34:00Z</dcterms:modified>
</cp:coreProperties>
</file>