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95" w:rsidRPr="00C439DC" w:rsidRDefault="00E05433" w:rsidP="00C439DC">
      <w:pPr>
        <w:tabs>
          <w:tab w:val="left" w:pos="7114"/>
          <w:tab w:val="right" w:pos="8306"/>
        </w:tabs>
        <w:bidi w:val="0"/>
        <w:snapToGrid w:val="0"/>
        <w:spacing w:after="0" w:line="240" w:lineRule="auto"/>
        <w:jc w:val="center"/>
        <w:rPr>
          <w:rFonts w:ascii="Times New Roman" w:hAnsi="Times New Roman" w:cs="Times New Roman"/>
          <w:b/>
          <w:bCs/>
          <w:sz w:val="20"/>
          <w:szCs w:val="20"/>
          <w:lang w:bidi="ar-EG"/>
        </w:rPr>
      </w:pPr>
      <w:r w:rsidRPr="00C439DC">
        <w:rPr>
          <w:rFonts w:ascii="Times New Roman" w:hAnsi="Times New Roman" w:cs="Times New Roman"/>
          <w:b/>
          <w:bCs/>
          <w:sz w:val="20"/>
          <w:szCs w:val="20"/>
          <w:lang w:bidi="ar-EG"/>
        </w:rPr>
        <w:t xml:space="preserve">Phase II trial: </w:t>
      </w:r>
      <w:proofErr w:type="spellStart"/>
      <w:r w:rsidRPr="00C439DC">
        <w:rPr>
          <w:rFonts w:ascii="Times New Roman" w:hAnsi="Times New Roman" w:cs="Times New Roman"/>
          <w:b/>
          <w:bCs/>
          <w:sz w:val="20"/>
          <w:szCs w:val="20"/>
          <w:lang w:bidi="ar-EG"/>
        </w:rPr>
        <w:t>perioperative</w:t>
      </w:r>
      <w:proofErr w:type="spellEnd"/>
      <w:r w:rsidRPr="00C439DC">
        <w:rPr>
          <w:rFonts w:ascii="Times New Roman" w:hAnsi="Times New Roman" w:cs="Times New Roman"/>
          <w:b/>
          <w:bCs/>
          <w:sz w:val="20"/>
          <w:szCs w:val="20"/>
          <w:lang w:bidi="ar-EG"/>
        </w:rPr>
        <w:t xml:space="preserve"> chemotherapy with surgical resection in initially res</w:t>
      </w:r>
      <w:r w:rsidR="00382ED5">
        <w:rPr>
          <w:rFonts w:ascii="Times New Roman" w:hAnsi="Times New Roman" w:cs="Times New Roman" w:hint="eastAsia"/>
          <w:b/>
          <w:bCs/>
          <w:sz w:val="20"/>
          <w:szCs w:val="20"/>
          <w:lang w:eastAsia="zh-CN" w:bidi="ar-EG"/>
        </w:rPr>
        <w:t>p</w:t>
      </w:r>
      <w:r w:rsidRPr="00C439DC">
        <w:rPr>
          <w:rFonts w:ascii="Times New Roman" w:hAnsi="Times New Roman" w:cs="Times New Roman"/>
          <w:b/>
          <w:bCs/>
          <w:sz w:val="20"/>
          <w:szCs w:val="20"/>
          <w:lang w:bidi="ar-EG"/>
        </w:rPr>
        <w:t>ectable</w:t>
      </w:r>
      <w:r w:rsidR="00A90664" w:rsidRPr="00C439DC">
        <w:rPr>
          <w:rFonts w:ascii="Times New Roman" w:hAnsi="Times New Roman" w:cs="Times New Roman" w:hint="eastAsia"/>
          <w:b/>
          <w:bCs/>
          <w:sz w:val="20"/>
          <w:szCs w:val="20"/>
          <w:lang w:eastAsia="zh-CN" w:bidi="ar-EG"/>
        </w:rPr>
        <w:t xml:space="preserve"> </w:t>
      </w:r>
      <w:proofErr w:type="spellStart"/>
      <w:r w:rsidRPr="00C439DC">
        <w:rPr>
          <w:rFonts w:ascii="Times New Roman" w:hAnsi="Times New Roman" w:cs="Times New Roman"/>
          <w:b/>
          <w:bCs/>
          <w:sz w:val="20"/>
          <w:szCs w:val="20"/>
          <w:lang w:bidi="ar-EG"/>
        </w:rPr>
        <w:t>prognostically</w:t>
      </w:r>
      <w:proofErr w:type="spellEnd"/>
      <w:r w:rsidRPr="00C439DC">
        <w:rPr>
          <w:rFonts w:ascii="Times New Roman" w:hAnsi="Times New Roman" w:cs="Times New Roman"/>
          <w:b/>
          <w:bCs/>
          <w:sz w:val="20"/>
          <w:szCs w:val="20"/>
          <w:lang w:bidi="ar-EG"/>
        </w:rPr>
        <w:t xml:space="preserve"> unfavorable colorectal liver metastases</w:t>
      </w:r>
    </w:p>
    <w:p w:rsidR="00777C95" w:rsidRPr="00C439DC" w:rsidRDefault="00777C95" w:rsidP="00C439DC">
      <w:pPr>
        <w:tabs>
          <w:tab w:val="left" w:pos="7114"/>
          <w:tab w:val="right" w:pos="8306"/>
        </w:tabs>
        <w:bidi w:val="0"/>
        <w:snapToGrid w:val="0"/>
        <w:spacing w:after="0" w:line="240" w:lineRule="auto"/>
        <w:jc w:val="center"/>
        <w:rPr>
          <w:rFonts w:ascii="Times New Roman" w:hAnsi="Times New Roman" w:cs="Times New Roman"/>
          <w:b/>
          <w:bCs/>
          <w:sz w:val="20"/>
          <w:szCs w:val="20"/>
          <w:lang w:bidi="ar-EG"/>
        </w:rPr>
      </w:pPr>
    </w:p>
    <w:p w:rsidR="00777C95" w:rsidRPr="00C439DC" w:rsidRDefault="005D15F5" w:rsidP="00C439DC">
      <w:pPr>
        <w:bidi w:val="0"/>
        <w:snapToGrid w:val="0"/>
        <w:spacing w:after="0" w:line="240" w:lineRule="auto"/>
        <w:jc w:val="center"/>
        <w:rPr>
          <w:rFonts w:ascii="Times New Roman" w:hAnsi="Times New Roman" w:cs="Times New Roman"/>
          <w:sz w:val="20"/>
          <w:szCs w:val="20"/>
          <w:lang w:eastAsia="zh-CN" w:bidi="ar-EG"/>
        </w:rPr>
      </w:pPr>
      <w:proofErr w:type="spellStart"/>
      <w:r w:rsidRPr="00C439DC">
        <w:rPr>
          <w:rFonts w:ascii="Times New Roman" w:eastAsia="Times New Roman" w:hAnsi="Times New Roman" w:cs="Times New Roman"/>
          <w:sz w:val="20"/>
          <w:szCs w:val="20"/>
          <w:lang w:bidi="ar-EG"/>
        </w:rPr>
        <w:t>Esam</w:t>
      </w:r>
      <w:proofErr w:type="spellEnd"/>
      <w:r w:rsidRPr="00C439DC">
        <w:rPr>
          <w:rFonts w:ascii="Times New Roman" w:eastAsia="Times New Roman" w:hAnsi="Times New Roman" w:cs="Times New Roman"/>
          <w:sz w:val="20"/>
          <w:szCs w:val="20"/>
          <w:lang w:bidi="ar-EG"/>
        </w:rPr>
        <w:t xml:space="preserve"> A. </w:t>
      </w:r>
      <w:proofErr w:type="spellStart"/>
      <w:r w:rsidRPr="00C439DC">
        <w:rPr>
          <w:rFonts w:ascii="Times New Roman" w:eastAsia="Times New Roman" w:hAnsi="Times New Roman" w:cs="Times New Roman"/>
          <w:sz w:val="20"/>
          <w:szCs w:val="20"/>
          <w:lang w:bidi="ar-EG"/>
        </w:rPr>
        <w:t>Abo-Zena</w:t>
      </w:r>
      <w:proofErr w:type="spellEnd"/>
      <w:r w:rsidR="00C439DC" w:rsidRPr="00C439DC">
        <w:rPr>
          <w:rFonts w:ascii="Times New Roman" w:eastAsia="Times New Roman" w:hAnsi="Times New Roman" w:cs="Times New Roman"/>
          <w:sz w:val="20"/>
          <w:szCs w:val="20"/>
          <w:lang w:bidi="ar-EG"/>
        </w:rPr>
        <w:t>,</w:t>
      </w:r>
      <w:r w:rsidR="00C439DC">
        <w:rPr>
          <w:rFonts w:ascii="Times New Roman" w:eastAsia="Times New Roman" w:hAnsi="Times New Roman" w:cs="Times New Roman"/>
          <w:sz w:val="20"/>
          <w:szCs w:val="20"/>
          <w:lang w:bidi="ar-EG"/>
        </w:rPr>
        <w:t xml:space="preserve"> </w:t>
      </w:r>
      <w:r w:rsidR="00C439DC" w:rsidRPr="00C439DC">
        <w:rPr>
          <w:rFonts w:ascii="Times New Roman" w:eastAsia="Times New Roman" w:hAnsi="Times New Roman" w:cs="Times New Roman"/>
          <w:sz w:val="20"/>
          <w:szCs w:val="20"/>
          <w:lang w:bidi="ar-EG"/>
        </w:rPr>
        <w:t>M</w:t>
      </w:r>
      <w:r w:rsidRPr="00C439DC">
        <w:rPr>
          <w:rFonts w:ascii="Times New Roman" w:eastAsia="Times New Roman" w:hAnsi="Times New Roman" w:cs="Times New Roman"/>
          <w:sz w:val="20"/>
          <w:szCs w:val="20"/>
          <w:lang w:bidi="ar-EG"/>
        </w:rPr>
        <w:t xml:space="preserve">D and Mohamed F. </w:t>
      </w:r>
      <w:proofErr w:type="spellStart"/>
      <w:r w:rsidRPr="00C439DC">
        <w:rPr>
          <w:rFonts w:ascii="Times New Roman" w:eastAsia="Times New Roman" w:hAnsi="Times New Roman" w:cs="Times New Roman"/>
          <w:sz w:val="20"/>
          <w:szCs w:val="20"/>
          <w:lang w:bidi="ar-EG"/>
        </w:rPr>
        <w:t>Sheta</w:t>
      </w:r>
      <w:proofErr w:type="spellEnd"/>
      <w:r w:rsidRPr="00C439DC">
        <w:rPr>
          <w:rFonts w:ascii="Times New Roman" w:eastAsia="Times New Roman" w:hAnsi="Times New Roman" w:cs="Times New Roman"/>
          <w:sz w:val="20"/>
          <w:szCs w:val="20"/>
          <w:lang w:bidi="ar-EG"/>
        </w:rPr>
        <w:t>, MD</w:t>
      </w:r>
    </w:p>
    <w:p w:rsidR="00777C95" w:rsidRPr="00C439DC" w:rsidRDefault="00777C95" w:rsidP="00C439DC">
      <w:pPr>
        <w:bidi w:val="0"/>
        <w:snapToGrid w:val="0"/>
        <w:spacing w:after="0" w:line="240" w:lineRule="auto"/>
        <w:jc w:val="center"/>
        <w:rPr>
          <w:rFonts w:ascii="Times New Roman" w:hAnsi="Times New Roman" w:cs="Times New Roman"/>
          <w:sz w:val="20"/>
          <w:szCs w:val="20"/>
          <w:lang w:eastAsia="zh-CN" w:bidi="ar-EG"/>
        </w:rPr>
      </w:pPr>
    </w:p>
    <w:p w:rsidR="00D223F8" w:rsidRPr="00C439DC" w:rsidRDefault="00D223F8" w:rsidP="00C439DC">
      <w:pPr>
        <w:bidi w:val="0"/>
        <w:snapToGrid w:val="0"/>
        <w:spacing w:after="0" w:line="240" w:lineRule="auto"/>
        <w:jc w:val="center"/>
        <w:rPr>
          <w:rFonts w:ascii="Times New Roman" w:eastAsia="Times New Roman" w:hAnsi="Times New Roman" w:cs="Times New Roman"/>
          <w:b/>
          <w:bCs/>
          <w:sz w:val="20"/>
          <w:szCs w:val="20"/>
          <w:lang w:bidi="ar-EG"/>
        </w:rPr>
      </w:pPr>
      <w:r w:rsidRPr="00C439DC">
        <w:rPr>
          <w:rFonts w:ascii="Times New Roman" w:eastAsia="Times New Roman" w:hAnsi="Times New Roman" w:cs="Times New Roman"/>
          <w:sz w:val="20"/>
          <w:szCs w:val="20"/>
        </w:rPr>
        <w:t>D</w:t>
      </w:r>
      <w:r w:rsidR="0019491E" w:rsidRPr="00C439DC">
        <w:rPr>
          <w:rFonts w:ascii="Times New Roman" w:eastAsia="Times New Roman" w:hAnsi="Times New Roman" w:cs="Times New Roman"/>
          <w:sz w:val="20"/>
          <w:szCs w:val="20"/>
        </w:rPr>
        <w:t>epartment of Clinical Oncology</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T</w:t>
      </w:r>
      <w:r w:rsidRPr="00C439DC">
        <w:rPr>
          <w:rFonts w:ascii="Times New Roman" w:eastAsia="Times New Roman" w:hAnsi="Times New Roman" w:cs="Times New Roman"/>
          <w:sz w:val="20"/>
          <w:szCs w:val="20"/>
        </w:rPr>
        <w:t>anta University Hospital, Tanta, Egypt</w:t>
      </w:r>
    </w:p>
    <w:p w:rsidR="00777C95" w:rsidRPr="00C439DC" w:rsidRDefault="00B531DD" w:rsidP="00C439DC">
      <w:pPr>
        <w:bidi w:val="0"/>
        <w:snapToGrid w:val="0"/>
        <w:spacing w:after="0" w:line="240" w:lineRule="auto"/>
        <w:jc w:val="center"/>
        <w:rPr>
          <w:rFonts w:ascii="Times New Roman" w:eastAsia="Times New Roman" w:hAnsi="Times New Roman" w:cs="Times New Roman"/>
          <w:sz w:val="20"/>
          <w:szCs w:val="20"/>
          <w:lang w:bidi="ar-EG"/>
        </w:rPr>
      </w:pPr>
      <w:hyperlink r:id="rId8" w:history="1">
        <w:r w:rsidR="005D15F5" w:rsidRPr="00C439DC">
          <w:rPr>
            <w:rStyle w:val="Hyperlink"/>
            <w:rFonts w:ascii="Times New Roman" w:eastAsia="Times New Roman" w:hAnsi="Times New Roman" w:cs="Times New Roman"/>
            <w:sz w:val="20"/>
            <w:szCs w:val="20"/>
            <w:lang w:bidi="ar-EG"/>
          </w:rPr>
          <w:t>Mohamed_sheta1@yahoo.com</w:t>
        </w:r>
      </w:hyperlink>
    </w:p>
    <w:p w:rsidR="00777C95" w:rsidRPr="00C439DC" w:rsidRDefault="00777C95" w:rsidP="00C439DC">
      <w:pPr>
        <w:bidi w:val="0"/>
        <w:snapToGrid w:val="0"/>
        <w:spacing w:after="0" w:line="240" w:lineRule="auto"/>
        <w:jc w:val="center"/>
        <w:rPr>
          <w:rFonts w:ascii="Times New Roman" w:eastAsia="Times New Roman" w:hAnsi="Times New Roman" w:cs="Times New Roman"/>
          <w:sz w:val="20"/>
          <w:szCs w:val="20"/>
          <w:lang w:bidi="ar-EG"/>
        </w:rPr>
      </w:pPr>
    </w:p>
    <w:p w:rsidR="00223B2C" w:rsidRPr="00C439DC" w:rsidRDefault="005D15F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r w:rsidRPr="00C439DC">
        <w:rPr>
          <w:rFonts w:ascii="Times New Roman" w:hAnsi="Times New Roman" w:cs="Times New Roman"/>
          <w:b/>
          <w:bCs/>
          <w:sz w:val="20"/>
          <w:szCs w:val="20"/>
          <w:lang w:bidi="ar-EG"/>
        </w:rPr>
        <w:t xml:space="preserve">Abstract: </w:t>
      </w:r>
      <w:r w:rsidR="00223B2C" w:rsidRPr="00C439DC">
        <w:rPr>
          <w:rFonts w:ascii="Times New Roman" w:hAnsi="Times New Roman" w:cs="Times New Roman"/>
          <w:b/>
          <w:bCs/>
          <w:sz w:val="20"/>
          <w:szCs w:val="20"/>
          <w:lang w:bidi="ar-EG"/>
        </w:rPr>
        <w:t xml:space="preserve">Background: </w:t>
      </w:r>
      <w:r w:rsidR="006438FE" w:rsidRPr="00C439DC">
        <w:rPr>
          <w:rFonts w:ascii="Times New Roman" w:hAnsi="Times New Roman" w:cs="Times New Roman"/>
          <w:sz w:val="20"/>
          <w:szCs w:val="20"/>
          <w:lang w:bidi="ar-EG"/>
        </w:rPr>
        <w:t>For patient with</w:t>
      </w:r>
      <w:r w:rsidR="00A87246" w:rsidRPr="00C439DC">
        <w:rPr>
          <w:rFonts w:ascii="Times New Roman" w:hAnsi="Times New Roman" w:cs="Times New Roman"/>
          <w:sz w:val="20"/>
          <w:szCs w:val="20"/>
          <w:lang w:bidi="ar-EG"/>
        </w:rPr>
        <w:t xml:space="preserve"> </w:t>
      </w:r>
      <w:proofErr w:type="spellStart"/>
      <w:r w:rsidR="006438FE" w:rsidRPr="00C439DC">
        <w:rPr>
          <w:rFonts w:ascii="Times New Roman" w:hAnsi="Times New Roman" w:cs="Times New Roman"/>
          <w:sz w:val="20"/>
          <w:szCs w:val="20"/>
          <w:lang w:bidi="ar-EG"/>
        </w:rPr>
        <w:t>resectable</w:t>
      </w:r>
      <w:proofErr w:type="spellEnd"/>
      <w:r w:rsidR="00A90664" w:rsidRPr="00C439DC">
        <w:rPr>
          <w:rFonts w:ascii="Times New Roman" w:hAnsi="Times New Roman" w:cs="Times New Roman" w:hint="eastAsia"/>
          <w:sz w:val="20"/>
          <w:szCs w:val="20"/>
          <w:lang w:eastAsia="zh-CN" w:bidi="ar-EG"/>
        </w:rPr>
        <w:t xml:space="preserve"> </w:t>
      </w:r>
      <w:r w:rsidR="006438FE" w:rsidRPr="00C439DC">
        <w:rPr>
          <w:rFonts w:ascii="Times New Roman" w:hAnsi="Times New Roman" w:cs="Times New Roman"/>
          <w:sz w:val="20"/>
          <w:szCs w:val="20"/>
          <w:lang w:bidi="ar-EG"/>
        </w:rPr>
        <w:t xml:space="preserve">colorectal liver metastases (CRLM) with adverse prognostic features, upfront surgery </w:t>
      </w:r>
      <w:r w:rsidR="00830E13" w:rsidRPr="00C439DC">
        <w:rPr>
          <w:rFonts w:ascii="Times New Roman" w:hAnsi="Times New Roman" w:cs="Times New Roman"/>
          <w:sz w:val="20"/>
          <w:szCs w:val="20"/>
          <w:lang w:bidi="ar-EG"/>
        </w:rPr>
        <w:t xml:space="preserve">or </w:t>
      </w:r>
      <w:proofErr w:type="spellStart"/>
      <w:r w:rsidR="00830E13" w:rsidRPr="00C439DC">
        <w:rPr>
          <w:rFonts w:ascii="Times New Roman" w:hAnsi="Times New Roman" w:cs="Times New Roman"/>
          <w:sz w:val="20"/>
          <w:szCs w:val="20"/>
          <w:lang w:bidi="ar-EG"/>
        </w:rPr>
        <w:t>neoadjuvant</w:t>
      </w:r>
      <w:proofErr w:type="spellEnd"/>
      <w:r w:rsidR="006438FE" w:rsidRPr="00C439DC">
        <w:rPr>
          <w:rFonts w:ascii="Times New Roman" w:hAnsi="Times New Roman" w:cs="Times New Roman"/>
          <w:sz w:val="20"/>
          <w:szCs w:val="20"/>
          <w:lang w:bidi="ar-EG"/>
        </w:rPr>
        <w:t xml:space="preserve"> chemotherapy represent two treatment approaches which require more randomized trials to enable the treating team to select the most appropriate one to start with. The objective of our study was to assess the clinical </w:t>
      </w:r>
      <w:proofErr w:type="spellStart"/>
      <w:r w:rsidR="006438FE" w:rsidRPr="00C439DC">
        <w:rPr>
          <w:rFonts w:ascii="Times New Roman" w:hAnsi="Times New Roman" w:cs="Times New Roman"/>
          <w:sz w:val="20"/>
          <w:szCs w:val="20"/>
          <w:lang w:bidi="ar-EG"/>
        </w:rPr>
        <w:t>outcomeof</w:t>
      </w:r>
      <w:proofErr w:type="spellEnd"/>
      <w:r w:rsidR="006438FE" w:rsidRPr="00C439DC">
        <w:rPr>
          <w:rFonts w:ascii="Times New Roman" w:hAnsi="Times New Roman" w:cs="Times New Roman"/>
          <w:sz w:val="20"/>
          <w:szCs w:val="20"/>
          <w:lang w:bidi="ar-EG"/>
        </w:rPr>
        <w:t xml:space="preserve"> </w:t>
      </w:r>
      <w:proofErr w:type="spellStart"/>
      <w:r w:rsidR="006438FE" w:rsidRPr="00C439DC">
        <w:rPr>
          <w:rFonts w:ascii="Times New Roman" w:hAnsi="Times New Roman" w:cs="Times New Roman"/>
          <w:sz w:val="20"/>
          <w:szCs w:val="20"/>
          <w:lang w:bidi="ar-EG"/>
        </w:rPr>
        <w:t>perioperativechemotherapy</w:t>
      </w:r>
      <w:proofErr w:type="spellEnd"/>
      <w:r w:rsidR="006438FE" w:rsidRPr="00C439DC">
        <w:rPr>
          <w:rFonts w:ascii="Times New Roman" w:hAnsi="Times New Roman" w:cs="Times New Roman"/>
          <w:sz w:val="20"/>
          <w:szCs w:val="20"/>
          <w:lang w:bidi="ar-EG"/>
        </w:rPr>
        <w:t xml:space="preserve"> with surgical resection in this kind of CRLM.</w:t>
      </w:r>
      <w:r w:rsidR="00860D77"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Methods</w:t>
      </w:r>
      <w:r w:rsidR="00830E13" w:rsidRPr="00C439DC">
        <w:rPr>
          <w:rFonts w:ascii="Times New Roman" w:hAnsi="Times New Roman" w:cs="Times New Roman"/>
          <w:b/>
          <w:bCs/>
          <w:sz w:val="20"/>
          <w:szCs w:val="20"/>
          <w:lang w:bidi="ar-EG"/>
        </w:rPr>
        <w:t>:</w:t>
      </w:r>
      <w:r w:rsidR="00830E13" w:rsidRPr="00C439DC">
        <w:rPr>
          <w:rFonts w:ascii="Times New Roman" w:hAnsi="Times New Roman" w:cs="Times New Roman"/>
          <w:sz w:val="20"/>
          <w:szCs w:val="20"/>
          <w:lang w:bidi="ar-EG"/>
        </w:rPr>
        <w:t xml:space="preserve"> 36</w:t>
      </w:r>
      <w:r w:rsidR="00223B2C" w:rsidRPr="00C439DC">
        <w:rPr>
          <w:rFonts w:ascii="Times New Roman" w:hAnsi="Times New Roman" w:cs="Times New Roman"/>
          <w:sz w:val="20"/>
          <w:szCs w:val="20"/>
          <w:lang w:bidi="ar-EG"/>
        </w:rPr>
        <w:t xml:space="preserve"> patients with res</w:t>
      </w:r>
      <w:r w:rsidR="008A442A">
        <w:rPr>
          <w:rFonts w:ascii="Times New Roman" w:hAnsi="Times New Roman" w:cs="Times New Roman" w:hint="eastAsia"/>
          <w:sz w:val="20"/>
          <w:szCs w:val="20"/>
          <w:lang w:eastAsia="zh-CN" w:bidi="ar-EG"/>
        </w:rPr>
        <w:t>p</w:t>
      </w:r>
      <w:r w:rsidR="00223B2C" w:rsidRPr="00C439DC">
        <w:rPr>
          <w:rFonts w:ascii="Times New Roman" w:hAnsi="Times New Roman" w:cs="Times New Roman"/>
          <w:sz w:val="20"/>
          <w:szCs w:val="20"/>
          <w:lang w:bidi="ar-EG"/>
        </w:rPr>
        <w:t>ectable</w:t>
      </w:r>
      <w:r w:rsidR="00A57C5E" w:rsidRPr="00C439DC">
        <w:rPr>
          <w:rFonts w:ascii="Times New Roman" w:hAnsi="Times New Roman" w:cs="Times New Roman"/>
          <w:sz w:val="20"/>
          <w:szCs w:val="20"/>
          <w:lang w:bidi="ar-EG"/>
        </w:rPr>
        <w:t xml:space="preserve"> CRLM</w:t>
      </w:r>
      <w:r w:rsidR="00860D77" w:rsidRPr="00C439DC">
        <w:rPr>
          <w:rFonts w:ascii="Times New Roman" w:hAnsi="Times New Roman" w:cs="Times New Roman" w:hint="eastAsia"/>
          <w:sz w:val="20"/>
          <w:szCs w:val="20"/>
          <w:lang w:eastAsia="zh-CN" w:bidi="ar-EG"/>
        </w:rPr>
        <w:t xml:space="preserve"> </w:t>
      </w:r>
      <w:r w:rsidR="006438FE" w:rsidRPr="00C439DC">
        <w:rPr>
          <w:rFonts w:ascii="Times New Roman" w:hAnsi="Times New Roman" w:cs="Times New Roman"/>
          <w:sz w:val="20"/>
          <w:szCs w:val="20"/>
        </w:rPr>
        <w:t xml:space="preserve">and </w:t>
      </w:r>
      <w:r w:rsidR="00A57C5E" w:rsidRPr="00C439DC">
        <w:rPr>
          <w:rFonts w:ascii="Times New Roman" w:hAnsi="Times New Roman" w:cs="Times New Roman"/>
          <w:sz w:val="20"/>
          <w:szCs w:val="20"/>
          <w:lang w:bidi="ar-EG"/>
        </w:rPr>
        <w:t xml:space="preserve">unfavorable prognostic features were assigned to receive </w:t>
      </w:r>
      <w:proofErr w:type="spellStart"/>
      <w:r w:rsidR="00A57C5E" w:rsidRPr="00C439DC">
        <w:rPr>
          <w:rFonts w:ascii="Times New Roman" w:hAnsi="Times New Roman" w:cs="Times New Roman"/>
          <w:sz w:val="20"/>
          <w:szCs w:val="20"/>
          <w:lang w:bidi="ar-EG"/>
        </w:rPr>
        <w:t>perioperative</w:t>
      </w:r>
      <w:proofErr w:type="spellEnd"/>
      <w:r w:rsidR="00A57C5E" w:rsidRPr="00C439DC">
        <w:rPr>
          <w:rFonts w:ascii="Times New Roman" w:hAnsi="Times New Roman" w:cs="Times New Roman"/>
          <w:sz w:val="20"/>
          <w:szCs w:val="20"/>
          <w:lang w:bidi="ar-EG"/>
        </w:rPr>
        <w:t xml:space="preserve"> 8 cycles of XELO</w:t>
      </w:r>
      <w:r w:rsidR="00777C95" w:rsidRPr="00C439DC">
        <w:rPr>
          <w:rFonts w:ascii="Times New Roman" w:hAnsi="Times New Roman" w:cs="Times New Roman"/>
          <w:sz w:val="20"/>
          <w:szCs w:val="20"/>
          <w:lang w:bidi="ar-EG"/>
        </w:rPr>
        <w:t>X (</w:t>
      </w:r>
      <w:proofErr w:type="spellStart"/>
      <w:r w:rsidR="00A57C5E" w:rsidRPr="00C439DC">
        <w:rPr>
          <w:rFonts w:ascii="Times New Roman" w:hAnsi="Times New Roman" w:cs="Times New Roman"/>
          <w:sz w:val="20"/>
          <w:szCs w:val="20"/>
          <w:lang w:bidi="ar-EG"/>
        </w:rPr>
        <w:t>capecitabine</w:t>
      </w:r>
      <w:proofErr w:type="spellEnd"/>
      <w:r w:rsidR="00A57C5E" w:rsidRPr="00C439DC">
        <w:rPr>
          <w:rFonts w:ascii="Times New Roman" w:hAnsi="Times New Roman" w:cs="Times New Roman"/>
          <w:sz w:val="20"/>
          <w:szCs w:val="20"/>
          <w:lang w:bidi="ar-EG"/>
        </w:rPr>
        <w:t xml:space="preserve"> and </w:t>
      </w:r>
      <w:proofErr w:type="spellStart"/>
      <w:r w:rsidR="00A57C5E" w:rsidRPr="00C439DC">
        <w:rPr>
          <w:rFonts w:ascii="Times New Roman" w:hAnsi="Times New Roman" w:cs="Times New Roman"/>
          <w:sz w:val="20"/>
          <w:szCs w:val="20"/>
          <w:lang w:bidi="ar-EG"/>
        </w:rPr>
        <w:t>oxaliplatin</w:t>
      </w:r>
      <w:proofErr w:type="spellEnd"/>
      <w:r w:rsidR="00E87E25" w:rsidRPr="00C439DC">
        <w:rPr>
          <w:rFonts w:ascii="Times New Roman" w:hAnsi="Times New Roman" w:cs="Times New Roman"/>
          <w:sz w:val="20"/>
          <w:szCs w:val="20"/>
          <w:lang w:bidi="ar-EG"/>
        </w:rPr>
        <w:t>) regimen</w:t>
      </w:r>
      <w:r w:rsidR="006859B4" w:rsidRPr="00C439DC">
        <w:rPr>
          <w:rFonts w:ascii="Times New Roman" w:hAnsi="Times New Roman" w:cs="Times New Roman"/>
          <w:sz w:val="20"/>
          <w:szCs w:val="20"/>
        </w:rPr>
        <w:t xml:space="preserve"> with </w:t>
      </w:r>
      <w:r w:rsidR="006438FE" w:rsidRPr="00C439DC">
        <w:rPr>
          <w:rFonts w:ascii="Times New Roman" w:hAnsi="Times New Roman" w:cs="Times New Roman"/>
          <w:sz w:val="20"/>
          <w:szCs w:val="20"/>
        </w:rPr>
        <w:t>resection of liver disease. Patient evaluation included assessment</w:t>
      </w:r>
      <w:r w:rsidR="006859B4" w:rsidRPr="00C439DC">
        <w:rPr>
          <w:rFonts w:ascii="Times New Roman" w:hAnsi="Times New Roman" w:cs="Times New Roman"/>
          <w:sz w:val="20"/>
          <w:szCs w:val="20"/>
        </w:rPr>
        <w:t xml:space="preserve"> of clinical response</w:t>
      </w:r>
      <w:r w:rsidR="00E87E25" w:rsidRPr="00C439DC">
        <w:rPr>
          <w:rFonts w:ascii="Times New Roman" w:hAnsi="Times New Roman" w:cs="Times New Roman"/>
          <w:sz w:val="20"/>
          <w:szCs w:val="20"/>
        </w:rPr>
        <w:t xml:space="preserve">, </w:t>
      </w:r>
      <w:r w:rsidR="00E87E25" w:rsidRPr="00C439DC">
        <w:rPr>
          <w:rFonts w:ascii="Times New Roman" w:hAnsi="Times New Roman" w:cs="Times New Roman"/>
          <w:sz w:val="20"/>
          <w:szCs w:val="20"/>
          <w:lang w:bidi="ar-EG"/>
        </w:rPr>
        <w:t>disease free survival,</w:t>
      </w:r>
      <w:r w:rsidR="00A90664" w:rsidRPr="00C439DC">
        <w:rPr>
          <w:rFonts w:ascii="Times New Roman" w:hAnsi="Times New Roman" w:cs="Times New Roman" w:hint="eastAsia"/>
          <w:sz w:val="20"/>
          <w:szCs w:val="20"/>
          <w:lang w:eastAsia="zh-CN" w:bidi="ar-EG"/>
        </w:rPr>
        <w:t xml:space="preserve"> </w:t>
      </w:r>
      <w:r w:rsidR="00E87E25" w:rsidRPr="00C439DC">
        <w:rPr>
          <w:rFonts w:ascii="Times New Roman" w:hAnsi="Times New Roman" w:cs="Times New Roman"/>
          <w:sz w:val="20"/>
          <w:szCs w:val="20"/>
          <w:lang w:bidi="ar-EG"/>
        </w:rPr>
        <w:t>and overall</w:t>
      </w:r>
      <w:r w:rsidR="006859B4" w:rsidRPr="00C439DC">
        <w:rPr>
          <w:rFonts w:ascii="Times New Roman" w:hAnsi="Times New Roman" w:cs="Times New Roman"/>
          <w:sz w:val="20"/>
          <w:szCs w:val="20"/>
          <w:lang w:bidi="ar-EG"/>
        </w:rPr>
        <w:t xml:space="preserve"> survival</w:t>
      </w:r>
      <w:r w:rsidR="00E87E25" w:rsidRPr="00C439DC">
        <w:rPr>
          <w:rFonts w:ascii="Times New Roman" w:hAnsi="Times New Roman" w:cs="Times New Roman"/>
          <w:sz w:val="20"/>
          <w:szCs w:val="20"/>
          <w:lang w:bidi="ar-EG"/>
        </w:rPr>
        <w:t xml:space="preserve"> along with toxicity</w:t>
      </w:r>
      <w:r w:rsidR="006859B4" w:rsidRPr="00C439DC">
        <w:rPr>
          <w:rFonts w:ascii="Times New Roman" w:hAnsi="Times New Roman" w:cs="Times New Roman"/>
          <w:sz w:val="20"/>
          <w:szCs w:val="20"/>
          <w:lang w:bidi="ar-EG"/>
        </w:rPr>
        <w:t>.</w:t>
      </w:r>
      <w:r w:rsidR="00860D77"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Results:</w:t>
      </w:r>
      <w:r w:rsidR="00860D77" w:rsidRPr="00C439DC">
        <w:rPr>
          <w:rFonts w:ascii="Times New Roman" w:hAnsi="Times New Roman" w:cs="Times New Roman" w:hint="eastAsia"/>
          <w:b/>
          <w:bCs/>
          <w:sz w:val="20"/>
          <w:szCs w:val="20"/>
          <w:lang w:eastAsia="zh-CN" w:bidi="ar-EG"/>
        </w:rPr>
        <w:t xml:space="preserve"> </w:t>
      </w:r>
      <w:r w:rsidR="00BC380F" w:rsidRPr="00C439DC">
        <w:rPr>
          <w:rFonts w:ascii="Times New Roman" w:hAnsi="Times New Roman" w:cs="Times New Roman"/>
          <w:sz w:val="20"/>
          <w:szCs w:val="20"/>
          <w:lang w:bidi="ar-EG"/>
        </w:rPr>
        <w:t xml:space="preserve">The preoperative chemotherapy resulted </w:t>
      </w:r>
      <w:proofErr w:type="spellStart"/>
      <w:r w:rsidR="00BC380F" w:rsidRPr="00C439DC">
        <w:rPr>
          <w:rFonts w:ascii="Times New Roman" w:hAnsi="Times New Roman" w:cs="Times New Roman"/>
          <w:sz w:val="20"/>
          <w:szCs w:val="20"/>
          <w:lang w:bidi="ar-EG"/>
        </w:rPr>
        <w:t>ino</w:t>
      </w:r>
      <w:r w:rsidR="006859B4" w:rsidRPr="00C439DC">
        <w:rPr>
          <w:rFonts w:ascii="Times New Roman" w:hAnsi="Times New Roman" w:cs="Times New Roman"/>
          <w:sz w:val="20"/>
          <w:szCs w:val="20"/>
          <w:lang w:bidi="ar-EG"/>
        </w:rPr>
        <w:t>verall</w:t>
      </w:r>
      <w:proofErr w:type="spellEnd"/>
      <w:r w:rsidR="006859B4" w:rsidRPr="00C439DC">
        <w:rPr>
          <w:rFonts w:ascii="Times New Roman" w:hAnsi="Times New Roman" w:cs="Times New Roman"/>
          <w:sz w:val="20"/>
          <w:szCs w:val="20"/>
          <w:lang w:bidi="ar-EG"/>
        </w:rPr>
        <w:t xml:space="preserve"> response rate (complete response and partial response) </w:t>
      </w:r>
      <w:r w:rsidR="00BC380F" w:rsidRPr="00C439DC">
        <w:rPr>
          <w:rFonts w:ascii="Times New Roman" w:hAnsi="Times New Roman" w:cs="Times New Roman"/>
          <w:sz w:val="20"/>
          <w:szCs w:val="20"/>
          <w:lang w:bidi="ar-EG"/>
        </w:rPr>
        <w:t>of</w:t>
      </w:r>
      <w:r w:rsidR="006859B4" w:rsidRPr="00C439DC">
        <w:rPr>
          <w:rFonts w:ascii="Times New Roman" w:hAnsi="Times New Roman" w:cs="Times New Roman"/>
          <w:sz w:val="20"/>
          <w:szCs w:val="20"/>
          <w:lang w:bidi="ar-EG"/>
        </w:rPr>
        <w:t xml:space="preserve"> 44.5% (16/36), and tumor control rate (overall response and stable disease) </w:t>
      </w:r>
      <w:r w:rsidR="00BC380F" w:rsidRPr="00C439DC">
        <w:rPr>
          <w:rFonts w:ascii="Times New Roman" w:hAnsi="Times New Roman" w:cs="Times New Roman"/>
          <w:sz w:val="20"/>
          <w:szCs w:val="20"/>
          <w:lang w:bidi="ar-EG"/>
        </w:rPr>
        <w:t>of</w:t>
      </w:r>
      <w:r w:rsidR="006859B4" w:rsidRPr="00C439DC">
        <w:rPr>
          <w:rFonts w:ascii="Times New Roman" w:hAnsi="Times New Roman" w:cs="Times New Roman"/>
          <w:sz w:val="20"/>
          <w:szCs w:val="20"/>
          <w:lang w:bidi="ar-EG"/>
        </w:rPr>
        <w:t xml:space="preserve"> 86.1% (31/36) whereas complete response was observed in only one patient (2.8%)</w:t>
      </w:r>
      <w:r w:rsidR="00C439DC" w:rsidRPr="00C439DC">
        <w:rPr>
          <w:rFonts w:ascii="Times New Roman" w:hAnsi="Times New Roman" w:cs="Times New Roman"/>
          <w:sz w:val="20"/>
          <w:szCs w:val="20"/>
          <w:lang w:bidi="ar-EG"/>
        </w:rPr>
        <w:t>.</w:t>
      </w:r>
      <w:r w:rsidR="00C439DC">
        <w:rPr>
          <w:rFonts w:ascii="Times New Roman" w:hAnsi="Times New Roman" w:cs="Times New Roman"/>
          <w:sz w:val="20"/>
          <w:szCs w:val="20"/>
          <w:lang w:bidi="ar-EG"/>
        </w:rPr>
        <w:t xml:space="preserve"> </w:t>
      </w:r>
      <w:r w:rsidR="00C439DC" w:rsidRPr="00C439DC">
        <w:rPr>
          <w:rFonts w:ascii="Times New Roman" w:hAnsi="Times New Roman" w:cs="Times New Roman"/>
          <w:sz w:val="20"/>
          <w:szCs w:val="20"/>
          <w:lang w:bidi="ar-EG"/>
        </w:rPr>
        <w:t>T</w:t>
      </w:r>
      <w:r w:rsidR="006859B4" w:rsidRPr="00C439DC">
        <w:rPr>
          <w:rFonts w:ascii="Times New Roman" w:hAnsi="Times New Roman" w:cs="Times New Roman"/>
          <w:sz w:val="20"/>
          <w:szCs w:val="20"/>
          <w:lang w:bidi="ar-EG"/>
        </w:rPr>
        <w:t>he median survival for all patients was 34 months and 3 years OS was 46% while the median survival for res</w:t>
      </w:r>
      <w:r w:rsidR="00DE3DED">
        <w:rPr>
          <w:rFonts w:ascii="Times New Roman" w:hAnsi="Times New Roman" w:cs="Times New Roman" w:hint="eastAsia"/>
          <w:sz w:val="20"/>
          <w:szCs w:val="20"/>
          <w:lang w:eastAsia="zh-CN" w:bidi="ar-EG"/>
        </w:rPr>
        <w:t>p</w:t>
      </w:r>
      <w:r w:rsidR="006859B4" w:rsidRPr="00C439DC">
        <w:rPr>
          <w:rFonts w:ascii="Times New Roman" w:hAnsi="Times New Roman" w:cs="Times New Roman"/>
          <w:sz w:val="20"/>
          <w:szCs w:val="20"/>
          <w:lang w:bidi="ar-EG"/>
        </w:rPr>
        <w:t xml:space="preserve">ected patients not reached, 3 years OS was 57.5% and 3 years </w:t>
      </w:r>
      <w:smartTag w:uri="urn:schemas-microsoft-com:office:smarttags" w:element="stockticker">
        <w:r w:rsidR="006859B4" w:rsidRPr="00C439DC">
          <w:rPr>
            <w:rFonts w:ascii="Times New Roman" w:hAnsi="Times New Roman" w:cs="Times New Roman"/>
            <w:sz w:val="20"/>
            <w:szCs w:val="20"/>
            <w:lang w:bidi="ar-EG"/>
          </w:rPr>
          <w:t>DFS</w:t>
        </w:r>
      </w:smartTag>
      <w:r w:rsidR="006859B4" w:rsidRPr="00C439DC">
        <w:rPr>
          <w:rFonts w:ascii="Times New Roman" w:hAnsi="Times New Roman" w:cs="Times New Roman"/>
          <w:sz w:val="20"/>
          <w:szCs w:val="20"/>
          <w:lang w:bidi="ar-EG"/>
        </w:rPr>
        <w:t xml:space="preserve"> was 41.3%</w:t>
      </w:r>
      <w:r w:rsidR="00C439DC" w:rsidRPr="00C439DC">
        <w:rPr>
          <w:rFonts w:ascii="Times New Roman" w:hAnsi="Times New Roman" w:cs="Times New Roman"/>
          <w:sz w:val="20"/>
          <w:szCs w:val="20"/>
          <w:lang w:bidi="ar-EG"/>
        </w:rPr>
        <w:t>.</w:t>
      </w:r>
      <w:r w:rsidR="00C439DC">
        <w:rPr>
          <w:rFonts w:ascii="Times New Roman" w:hAnsi="Times New Roman" w:cs="Times New Roman"/>
          <w:sz w:val="20"/>
          <w:szCs w:val="20"/>
          <w:lang w:bidi="ar-EG"/>
        </w:rPr>
        <w:t xml:space="preserve"> </w:t>
      </w:r>
      <w:proofErr w:type="spellStart"/>
      <w:r w:rsidR="00C439DC" w:rsidRPr="00C439DC">
        <w:rPr>
          <w:rFonts w:ascii="Times New Roman" w:hAnsi="Times New Roman" w:cs="Times New Roman"/>
          <w:sz w:val="20"/>
          <w:szCs w:val="20"/>
          <w:lang w:bidi="ar-EG"/>
        </w:rPr>
        <w:t>N</w:t>
      </w:r>
      <w:r w:rsidR="00E87E25" w:rsidRPr="00C439DC">
        <w:rPr>
          <w:rFonts w:ascii="Times New Roman" w:hAnsi="Times New Roman" w:cs="Times New Roman"/>
          <w:sz w:val="20"/>
          <w:szCs w:val="20"/>
          <w:lang w:bidi="ar-EG"/>
        </w:rPr>
        <w:t>eutropenia</w:t>
      </w:r>
      <w:proofErr w:type="spellEnd"/>
      <w:r w:rsidR="00E87E25" w:rsidRPr="00C439DC">
        <w:rPr>
          <w:rFonts w:ascii="Times New Roman" w:hAnsi="Times New Roman" w:cs="Times New Roman"/>
          <w:sz w:val="20"/>
          <w:szCs w:val="20"/>
          <w:lang w:bidi="ar-EG"/>
        </w:rPr>
        <w:t xml:space="preserve"> was the most common hematologic toxicity, recorded in 4 patients (11.1%). No mortality due to hematologic toxicity was recorded. Most of the non-hematological toxicities were mild and manageable. Sensory neuropathy was the most common treatment-related adverse event, occurring in 66.6% (24/36) of patients.</w:t>
      </w:r>
      <w:r w:rsidR="008C2AD8" w:rsidRPr="00C439DC">
        <w:rPr>
          <w:rFonts w:ascii="Times New Roman" w:hAnsi="Times New Roman" w:cs="Times New Roman" w:hint="eastAsia"/>
          <w:sz w:val="20"/>
          <w:szCs w:val="20"/>
          <w:lang w:eastAsia="zh-CN" w:bidi="ar-EG"/>
        </w:rPr>
        <w:t xml:space="preserve"> </w:t>
      </w:r>
      <w:r w:rsidR="00223B2C" w:rsidRPr="00C439DC">
        <w:rPr>
          <w:rFonts w:ascii="Times New Roman" w:hAnsi="Times New Roman" w:cs="Times New Roman"/>
          <w:b/>
          <w:bCs/>
          <w:sz w:val="20"/>
          <w:szCs w:val="20"/>
          <w:lang w:bidi="ar-EG"/>
        </w:rPr>
        <w:t>Conclusions:</w:t>
      </w:r>
      <w:r w:rsidR="008C2AD8" w:rsidRPr="00C439DC">
        <w:rPr>
          <w:rFonts w:ascii="Times New Roman" w:hAnsi="Times New Roman" w:cs="Times New Roman" w:hint="eastAsia"/>
          <w:b/>
          <w:bCs/>
          <w:sz w:val="20"/>
          <w:szCs w:val="20"/>
          <w:lang w:eastAsia="zh-CN" w:bidi="ar-EG"/>
        </w:rPr>
        <w:t xml:space="preserve"> </w:t>
      </w:r>
      <w:r w:rsidR="00E87E25" w:rsidRPr="00C439DC">
        <w:rPr>
          <w:rFonts w:ascii="Times New Roman" w:hAnsi="Times New Roman" w:cs="Times New Roman"/>
          <w:sz w:val="20"/>
          <w:szCs w:val="20"/>
          <w:lang w:bidi="ar-EG"/>
        </w:rPr>
        <w:t xml:space="preserve">The current study suggests that </w:t>
      </w:r>
      <w:proofErr w:type="spellStart"/>
      <w:r w:rsidR="00E87E25" w:rsidRPr="00C439DC">
        <w:rPr>
          <w:rFonts w:ascii="Times New Roman" w:hAnsi="Times New Roman" w:cs="Times New Roman"/>
          <w:sz w:val="20"/>
          <w:szCs w:val="20"/>
          <w:lang w:bidi="ar-EG"/>
        </w:rPr>
        <w:t>perioperative</w:t>
      </w:r>
      <w:proofErr w:type="spellEnd"/>
      <w:r w:rsidR="00E87E25" w:rsidRPr="00C439DC">
        <w:rPr>
          <w:rFonts w:ascii="Times New Roman" w:hAnsi="Times New Roman" w:cs="Times New Roman"/>
          <w:sz w:val="20"/>
          <w:szCs w:val="20"/>
          <w:lang w:bidi="ar-EG"/>
        </w:rPr>
        <w:t xml:space="preserve"> XELOX regimen is an active and safe chemotherapy regimen for this kind of initially </w:t>
      </w:r>
      <w:proofErr w:type="spellStart"/>
      <w:r w:rsidR="00E87E25" w:rsidRPr="00C439DC">
        <w:rPr>
          <w:rFonts w:ascii="Times New Roman" w:hAnsi="Times New Roman" w:cs="Times New Roman"/>
          <w:sz w:val="20"/>
          <w:szCs w:val="20"/>
          <w:lang w:bidi="ar-EG"/>
        </w:rPr>
        <w:t>resectable</w:t>
      </w:r>
      <w:proofErr w:type="spellEnd"/>
      <w:r w:rsidR="00E87E25" w:rsidRPr="00C439DC">
        <w:rPr>
          <w:rFonts w:ascii="Times New Roman" w:hAnsi="Times New Roman" w:cs="Times New Roman"/>
          <w:sz w:val="20"/>
          <w:szCs w:val="20"/>
          <w:lang w:bidi="ar-EG"/>
        </w:rPr>
        <w:t xml:space="preserve"> CRLM</w:t>
      </w:r>
      <w:r w:rsidR="00BC380F" w:rsidRPr="00C439DC">
        <w:rPr>
          <w:rFonts w:ascii="Times New Roman" w:hAnsi="Times New Roman" w:cs="Times New Roman"/>
          <w:sz w:val="20"/>
          <w:szCs w:val="20"/>
          <w:lang w:bidi="ar-EG"/>
        </w:rPr>
        <w:t xml:space="preserve"> with poor prognostic features</w:t>
      </w:r>
      <w:r w:rsidR="00E87E25" w:rsidRPr="00C439DC">
        <w:rPr>
          <w:rFonts w:ascii="Times New Roman" w:hAnsi="Times New Roman" w:cs="Times New Roman"/>
          <w:sz w:val="20"/>
          <w:szCs w:val="20"/>
          <w:lang w:bidi="ar-EG"/>
        </w:rPr>
        <w:t>.</w:t>
      </w:r>
      <w:r w:rsidR="00777C95" w:rsidRPr="00C439DC">
        <w:rPr>
          <w:rFonts w:ascii="Times New Roman" w:hAnsi="Times New Roman" w:cs="Times New Roman"/>
          <w:sz w:val="20"/>
          <w:szCs w:val="20"/>
          <w:lang w:bidi="ar-EG"/>
        </w:rPr>
        <w:t xml:space="preserve"> </w:t>
      </w:r>
    </w:p>
    <w:p w:rsidR="00C439DC" w:rsidRPr="00C439DC" w:rsidRDefault="005D15F5" w:rsidP="00C439DC">
      <w:pPr>
        <w:autoSpaceDE w:val="0"/>
        <w:autoSpaceDN w:val="0"/>
        <w:bidi w:val="0"/>
        <w:adjustRightInd w:val="0"/>
        <w:snapToGrid w:val="0"/>
        <w:spacing w:after="0" w:line="240" w:lineRule="auto"/>
        <w:jc w:val="both"/>
        <w:rPr>
          <w:rFonts w:ascii="Times New Roman" w:hAnsi="Times New Roman" w:cs="Times New Roman"/>
          <w:sz w:val="20"/>
          <w:szCs w:val="20"/>
          <w:lang w:eastAsia="zh-CN" w:bidi="ar-EG"/>
        </w:rPr>
      </w:pPr>
      <w:r w:rsidRPr="00C439DC">
        <w:rPr>
          <w:rFonts w:ascii="Times New Roman" w:hAnsi="Times New Roman" w:cs="Times New Roman"/>
          <w:b/>
          <w:bCs/>
          <w:sz w:val="20"/>
          <w:szCs w:val="20"/>
          <w:lang w:bidi="ar-EG"/>
        </w:rPr>
        <w:t>[</w:t>
      </w:r>
      <w:proofErr w:type="spellStart"/>
      <w:r w:rsidRPr="00C439DC">
        <w:rPr>
          <w:rFonts w:ascii="Times New Roman" w:eastAsia="Times New Roman" w:hAnsi="Times New Roman" w:cs="Times New Roman"/>
          <w:sz w:val="20"/>
          <w:szCs w:val="20"/>
          <w:lang w:bidi="ar-EG"/>
        </w:rPr>
        <w:t>Esam</w:t>
      </w:r>
      <w:proofErr w:type="spellEnd"/>
      <w:r w:rsidRPr="00C439DC">
        <w:rPr>
          <w:rFonts w:ascii="Times New Roman" w:eastAsia="Times New Roman" w:hAnsi="Times New Roman" w:cs="Times New Roman"/>
          <w:sz w:val="20"/>
          <w:szCs w:val="20"/>
          <w:lang w:bidi="ar-EG"/>
        </w:rPr>
        <w:t xml:space="preserve"> A. </w:t>
      </w:r>
      <w:proofErr w:type="spellStart"/>
      <w:r w:rsidRPr="00C439DC">
        <w:rPr>
          <w:rFonts w:ascii="Times New Roman" w:eastAsia="Times New Roman" w:hAnsi="Times New Roman" w:cs="Times New Roman"/>
          <w:sz w:val="20"/>
          <w:szCs w:val="20"/>
          <w:lang w:bidi="ar-EG"/>
        </w:rPr>
        <w:t>Abo-Zena</w:t>
      </w:r>
      <w:proofErr w:type="spellEnd"/>
      <w:r w:rsidR="00830E13" w:rsidRPr="00C439DC">
        <w:rPr>
          <w:rFonts w:ascii="Times New Roman" w:eastAsia="Times New Roman" w:hAnsi="Times New Roman" w:cs="Times New Roman"/>
          <w:sz w:val="20"/>
          <w:szCs w:val="20"/>
          <w:lang w:bidi="ar-EG"/>
        </w:rPr>
        <w:t>,</w:t>
      </w:r>
      <w:r w:rsidRPr="00C439DC">
        <w:rPr>
          <w:rFonts w:ascii="Times New Roman" w:eastAsia="Times New Roman" w:hAnsi="Times New Roman" w:cs="Times New Roman"/>
          <w:sz w:val="20"/>
          <w:szCs w:val="20"/>
          <w:lang w:bidi="ar-EG"/>
        </w:rPr>
        <w:t xml:space="preserve"> and Mohamed F. </w:t>
      </w:r>
      <w:proofErr w:type="spellStart"/>
      <w:r w:rsidRPr="00C439DC">
        <w:rPr>
          <w:rFonts w:ascii="Times New Roman" w:eastAsia="Times New Roman" w:hAnsi="Times New Roman" w:cs="Times New Roman"/>
          <w:sz w:val="20"/>
          <w:szCs w:val="20"/>
          <w:lang w:bidi="ar-EG"/>
        </w:rPr>
        <w:t>Sheta</w:t>
      </w:r>
      <w:proofErr w:type="spellEnd"/>
      <w:r w:rsidR="00777C95" w:rsidRPr="00C439DC">
        <w:rPr>
          <w:rFonts w:ascii="Times New Roman" w:hAnsi="Times New Roman" w:cs="Times New Roman" w:hint="eastAsia"/>
          <w:sz w:val="20"/>
          <w:szCs w:val="20"/>
          <w:lang w:eastAsia="zh-CN" w:bidi="ar-EG"/>
        </w:rPr>
        <w:t>.</w:t>
      </w:r>
      <w:r w:rsidR="00C439DC" w:rsidRPr="00C439DC">
        <w:rPr>
          <w:rFonts w:ascii="Times New Roman" w:hAnsi="Times New Roman" w:cs="Times New Roman"/>
          <w:sz w:val="20"/>
          <w:szCs w:val="20"/>
        </w:rPr>
        <w:t xml:space="preserve"> </w:t>
      </w:r>
      <w:r w:rsidR="00C439DC" w:rsidRPr="00C439DC">
        <w:rPr>
          <w:rFonts w:ascii="Times New Roman" w:hAnsi="Times New Roman" w:cs="Times New Roman"/>
          <w:b/>
          <w:bCs/>
          <w:sz w:val="20"/>
          <w:szCs w:val="20"/>
          <w:lang w:bidi="ar-EG"/>
        </w:rPr>
        <w:t xml:space="preserve">Phase II trial: </w:t>
      </w:r>
      <w:proofErr w:type="spellStart"/>
      <w:r w:rsidR="00C439DC" w:rsidRPr="00C439DC">
        <w:rPr>
          <w:rFonts w:ascii="Times New Roman" w:hAnsi="Times New Roman" w:cs="Times New Roman"/>
          <w:b/>
          <w:bCs/>
          <w:sz w:val="20"/>
          <w:szCs w:val="20"/>
          <w:lang w:bidi="ar-EG"/>
        </w:rPr>
        <w:t>perioperative</w:t>
      </w:r>
      <w:proofErr w:type="spellEnd"/>
      <w:r w:rsidR="00C439DC" w:rsidRPr="00C439DC">
        <w:rPr>
          <w:rFonts w:ascii="Times New Roman" w:hAnsi="Times New Roman" w:cs="Times New Roman"/>
          <w:b/>
          <w:bCs/>
          <w:sz w:val="20"/>
          <w:szCs w:val="20"/>
          <w:lang w:bidi="ar-EG"/>
        </w:rPr>
        <w:t xml:space="preserve"> chemotherapy with surgical resection in initially res</w:t>
      </w:r>
      <w:r w:rsidR="00382ED5">
        <w:rPr>
          <w:rFonts w:ascii="Times New Roman" w:hAnsi="Times New Roman" w:cs="Times New Roman" w:hint="eastAsia"/>
          <w:b/>
          <w:bCs/>
          <w:sz w:val="20"/>
          <w:szCs w:val="20"/>
          <w:lang w:eastAsia="zh-CN" w:bidi="ar-EG"/>
        </w:rPr>
        <w:t>p</w:t>
      </w:r>
      <w:r w:rsidR="00C439DC" w:rsidRPr="00C439DC">
        <w:rPr>
          <w:rFonts w:ascii="Times New Roman" w:hAnsi="Times New Roman" w:cs="Times New Roman"/>
          <w:b/>
          <w:bCs/>
          <w:sz w:val="20"/>
          <w:szCs w:val="20"/>
          <w:lang w:bidi="ar-EG"/>
        </w:rPr>
        <w:t>ectable</w:t>
      </w:r>
      <w:r w:rsidR="00C439DC" w:rsidRPr="00C439DC">
        <w:rPr>
          <w:rFonts w:ascii="Times New Roman" w:hAnsi="Times New Roman" w:cs="Times New Roman" w:hint="eastAsia"/>
          <w:b/>
          <w:bCs/>
          <w:sz w:val="20"/>
          <w:szCs w:val="20"/>
          <w:lang w:eastAsia="zh-CN" w:bidi="ar-EG"/>
        </w:rPr>
        <w:t xml:space="preserve"> </w:t>
      </w:r>
      <w:proofErr w:type="spellStart"/>
      <w:r w:rsidR="00C439DC" w:rsidRPr="00C439DC">
        <w:rPr>
          <w:rFonts w:ascii="Times New Roman" w:hAnsi="Times New Roman" w:cs="Times New Roman"/>
          <w:b/>
          <w:bCs/>
          <w:sz w:val="20"/>
          <w:szCs w:val="20"/>
          <w:lang w:bidi="ar-EG"/>
        </w:rPr>
        <w:t>prognostically</w:t>
      </w:r>
      <w:proofErr w:type="spellEnd"/>
      <w:r w:rsidR="00C439DC" w:rsidRPr="00C439DC">
        <w:rPr>
          <w:rFonts w:ascii="Times New Roman" w:hAnsi="Times New Roman" w:cs="Times New Roman"/>
          <w:b/>
          <w:bCs/>
          <w:sz w:val="20"/>
          <w:szCs w:val="20"/>
          <w:lang w:bidi="ar-EG"/>
        </w:rPr>
        <w:t xml:space="preserve"> unfavorable colorectal liver metastases</w:t>
      </w:r>
      <w:r w:rsidR="00C439DC" w:rsidRPr="00C439DC">
        <w:rPr>
          <w:rFonts w:ascii="Times New Roman" w:eastAsia="Times New Roman" w:hAnsi="Times New Roman" w:cs="Times New Roman"/>
          <w:b/>
          <w:bCs/>
          <w:sz w:val="20"/>
          <w:szCs w:val="20"/>
          <w:lang w:bidi="fa-IR"/>
        </w:rPr>
        <w:t>.</w:t>
      </w:r>
      <w:r w:rsidR="00C439DC" w:rsidRPr="00C439DC">
        <w:rPr>
          <w:rFonts w:ascii="Times New Roman" w:hAnsi="Times New Roman" w:cs="Times New Roman"/>
          <w:i/>
          <w:sz w:val="20"/>
          <w:szCs w:val="20"/>
        </w:rPr>
        <w:t xml:space="preserve"> Cancer Biology</w:t>
      </w:r>
      <w:r w:rsidR="00C439DC" w:rsidRPr="00C439DC">
        <w:rPr>
          <w:rFonts w:ascii="Times New Roman" w:hAnsi="Times New Roman" w:cs="Times New Roman"/>
          <w:sz w:val="20"/>
          <w:szCs w:val="20"/>
        </w:rPr>
        <w:t xml:space="preserve"> 201</w:t>
      </w:r>
      <w:r w:rsidR="00C439DC" w:rsidRPr="00C439DC">
        <w:rPr>
          <w:rFonts w:ascii="Times New Roman" w:hAnsi="Times New Roman" w:cs="Times New Roman" w:hint="eastAsia"/>
          <w:sz w:val="20"/>
          <w:szCs w:val="20"/>
        </w:rPr>
        <w:t>8</w:t>
      </w:r>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8</w:t>
      </w:r>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1</w:t>
      </w:r>
      <w:r w:rsidR="00C439DC" w:rsidRPr="00C439DC">
        <w:rPr>
          <w:rFonts w:ascii="Times New Roman" w:hAnsi="Times New Roman" w:cs="Times New Roman"/>
          <w:sz w:val="20"/>
          <w:szCs w:val="20"/>
        </w:rPr>
        <w:t>):</w:t>
      </w:r>
      <w:r w:rsidR="002C700A">
        <w:rPr>
          <w:rFonts w:ascii="Times New Roman" w:hAnsi="Times New Roman" w:cs="Times New Roman"/>
          <w:noProof/>
          <w:color w:val="000000"/>
          <w:sz w:val="20"/>
          <w:szCs w:val="20"/>
        </w:rPr>
        <w:t>1-8</w:t>
      </w:r>
      <w:r w:rsidR="00C439DC" w:rsidRPr="00C439DC">
        <w:rPr>
          <w:rFonts w:ascii="Times New Roman" w:hAnsi="Times New Roman" w:cs="Times New Roman"/>
          <w:sz w:val="20"/>
          <w:szCs w:val="20"/>
        </w:rPr>
        <w:t xml:space="preserve">]. </w:t>
      </w:r>
      <w:r w:rsidR="00C439DC" w:rsidRPr="00C439DC">
        <w:rPr>
          <w:rStyle w:val="msonormal0"/>
          <w:rFonts w:ascii="Times New Roman" w:eastAsia="宋" w:hAnsi="Times New Roman" w:cs="Times New Roman"/>
          <w:sz w:val="20"/>
          <w:szCs w:val="20"/>
        </w:rPr>
        <w:t>ISSN: 2150-1041 (print); ISSN: 2150-105X (online)</w:t>
      </w:r>
      <w:r w:rsidR="00C439DC" w:rsidRPr="00C439DC">
        <w:rPr>
          <w:rFonts w:ascii="Times New Roman" w:hAnsi="Times New Roman" w:cs="Times New Roman"/>
          <w:sz w:val="20"/>
          <w:szCs w:val="20"/>
        </w:rPr>
        <w:t xml:space="preserve">. </w:t>
      </w:r>
      <w:hyperlink r:id="rId9" w:history="1">
        <w:r w:rsidR="00C439DC" w:rsidRPr="00C439DC">
          <w:rPr>
            <w:rStyle w:val="Hyperlink"/>
            <w:rFonts w:ascii="Times New Roman" w:hAnsi="Times New Roman" w:cs="Times New Roman"/>
            <w:sz w:val="20"/>
            <w:szCs w:val="20"/>
          </w:rPr>
          <w:t>http://www.cancerbio.net</w:t>
        </w:r>
      </w:hyperlink>
      <w:r w:rsidR="00C439DC" w:rsidRPr="00C439DC">
        <w:rPr>
          <w:rFonts w:ascii="Times New Roman" w:hAnsi="Times New Roman" w:cs="Times New Roman"/>
          <w:sz w:val="20"/>
          <w:szCs w:val="20"/>
        </w:rPr>
        <w:t>.</w:t>
      </w:r>
      <w:r w:rsidR="00C439DC" w:rsidRPr="00C439DC">
        <w:rPr>
          <w:rFonts w:ascii="Times New Roman" w:hAnsi="Times New Roman" w:cs="Times New Roman" w:hint="eastAsia"/>
          <w:sz w:val="20"/>
          <w:szCs w:val="20"/>
        </w:rPr>
        <w:t xml:space="preserve"> </w:t>
      </w:r>
      <w:r w:rsidR="00C439DC">
        <w:rPr>
          <w:rFonts w:ascii="Times New Roman" w:hAnsi="Times New Roman" w:cs="Times New Roman" w:hint="eastAsia"/>
          <w:sz w:val="20"/>
          <w:szCs w:val="20"/>
          <w:lang w:eastAsia="zh-CN"/>
        </w:rPr>
        <w:t>1</w:t>
      </w:r>
      <w:r w:rsidR="00C439DC" w:rsidRPr="00C439DC">
        <w:rPr>
          <w:rFonts w:ascii="Times New Roman" w:hAnsi="Times New Roman" w:cs="Times New Roman" w:hint="eastAsia"/>
          <w:sz w:val="20"/>
          <w:szCs w:val="20"/>
        </w:rPr>
        <w:t xml:space="preserve">. </w:t>
      </w:r>
      <w:r w:rsidR="00C439DC" w:rsidRPr="00C439DC">
        <w:rPr>
          <w:rFonts w:ascii="Times New Roman" w:hAnsi="Times New Roman" w:cs="Times New Roman"/>
          <w:color w:val="000000"/>
          <w:sz w:val="20"/>
          <w:szCs w:val="20"/>
          <w:shd w:val="clear" w:color="auto" w:fill="FFFFFF"/>
        </w:rPr>
        <w:t>doi:</w:t>
      </w:r>
      <w:hyperlink r:id="rId10" w:history="1">
        <w:r w:rsidR="00C439DC" w:rsidRPr="00C439DC">
          <w:rPr>
            <w:rStyle w:val="Hyperlink"/>
            <w:rFonts w:ascii="Times New Roman" w:hAnsi="Times New Roman" w:cs="Times New Roman"/>
            <w:sz w:val="20"/>
            <w:szCs w:val="20"/>
            <w:shd w:val="clear" w:color="auto" w:fill="FFFFFF"/>
          </w:rPr>
          <w:t>10.7537/mars</w:t>
        </w:r>
        <w:r w:rsidR="00C439DC" w:rsidRPr="00C439DC">
          <w:rPr>
            <w:rStyle w:val="Hyperlink"/>
            <w:rFonts w:ascii="Times New Roman" w:hAnsi="Times New Roman" w:cs="Times New Roman" w:hint="eastAsia"/>
            <w:sz w:val="20"/>
            <w:szCs w:val="20"/>
            <w:shd w:val="clear" w:color="auto" w:fill="FFFFFF"/>
          </w:rPr>
          <w:t>cbj0801</w:t>
        </w:r>
        <w:r w:rsidR="00C439DC" w:rsidRPr="00C439DC">
          <w:rPr>
            <w:rStyle w:val="Hyperlink"/>
            <w:rFonts w:ascii="Times New Roman" w:hAnsi="Times New Roman" w:cs="Times New Roman"/>
            <w:sz w:val="20"/>
            <w:szCs w:val="20"/>
            <w:shd w:val="clear" w:color="auto" w:fill="FFFFFF"/>
          </w:rPr>
          <w:t>1</w:t>
        </w:r>
        <w:r w:rsidR="00C439DC" w:rsidRPr="00C439DC">
          <w:rPr>
            <w:rStyle w:val="Hyperlink"/>
            <w:rFonts w:ascii="Times New Roman" w:hAnsi="Times New Roman" w:cs="Times New Roman" w:hint="eastAsia"/>
            <w:sz w:val="20"/>
            <w:szCs w:val="20"/>
            <w:shd w:val="clear" w:color="auto" w:fill="FFFFFF"/>
          </w:rPr>
          <w:t>8.</w:t>
        </w:r>
        <w:r w:rsidR="00C439DC" w:rsidRPr="00C439DC">
          <w:rPr>
            <w:rStyle w:val="Hyperlink"/>
            <w:rFonts w:ascii="Times New Roman" w:hAnsi="Times New Roman" w:cs="Times New Roman"/>
            <w:sz w:val="20"/>
            <w:szCs w:val="20"/>
            <w:shd w:val="clear" w:color="auto" w:fill="FFFFFF"/>
          </w:rPr>
          <w:t>0</w:t>
        </w:r>
        <w:r w:rsidR="00C439DC">
          <w:rPr>
            <w:rStyle w:val="Hyperlink"/>
            <w:rFonts w:ascii="Times New Roman" w:hAnsi="Times New Roman" w:cs="Times New Roman" w:hint="eastAsia"/>
            <w:sz w:val="20"/>
            <w:szCs w:val="20"/>
            <w:shd w:val="clear" w:color="auto" w:fill="FFFFFF"/>
            <w:lang w:eastAsia="zh-CN"/>
          </w:rPr>
          <w:t>1</w:t>
        </w:r>
      </w:hyperlink>
      <w:r w:rsidR="00C439DC" w:rsidRPr="00C439DC">
        <w:rPr>
          <w:rFonts w:ascii="Times New Roman" w:hAnsi="Times New Roman" w:cs="Times New Roman"/>
          <w:color w:val="000000"/>
          <w:sz w:val="20"/>
          <w:szCs w:val="20"/>
          <w:shd w:val="clear" w:color="auto" w:fill="FFFFFF"/>
        </w:rPr>
        <w:t>.</w:t>
      </w:r>
    </w:p>
    <w:p w:rsidR="00483598" w:rsidRPr="00777C95" w:rsidRDefault="00483598" w:rsidP="00C439DC">
      <w:pPr>
        <w:autoSpaceDE w:val="0"/>
        <w:autoSpaceDN w:val="0"/>
        <w:bidi w:val="0"/>
        <w:adjustRightInd w:val="0"/>
        <w:snapToGrid w:val="0"/>
        <w:spacing w:after="0" w:line="240" w:lineRule="auto"/>
        <w:jc w:val="both"/>
        <w:rPr>
          <w:rFonts w:ascii="Times New Roman" w:hAnsi="Times New Roman" w:cs="Times New Roman"/>
          <w:sz w:val="20"/>
          <w:lang w:eastAsia="zh-CN"/>
        </w:rPr>
      </w:pPr>
    </w:p>
    <w:p w:rsidR="00483598" w:rsidRPr="00777C95" w:rsidRDefault="00483598" w:rsidP="00C439DC">
      <w:pPr>
        <w:autoSpaceDE w:val="0"/>
        <w:autoSpaceDN w:val="0"/>
        <w:bidi w:val="0"/>
        <w:adjustRightInd w:val="0"/>
        <w:snapToGrid w:val="0"/>
        <w:spacing w:after="0" w:line="240" w:lineRule="auto"/>
        <w:jc w:val="both"/>
        <w:rPr>
          <w:rFonts w:ascii="Times New Roman" w:hAnsi="Times New Roman" w:cs="Times New Roman"/>
          <w:sz w:val="20"/>
          <w:szCs w:val="20"/>
          <w:lang w:eastAsia="zh-CN" w:bidi="ar-EG"/>
        </w:rPr>
      </w:pPr>
      <w:r w:rsidRPr="00C439DC">
        <w:rPr>
          <w:rFonts w:ascii="Times New Roman" w:hAnsi="Times New Roman" w:cs="Times New Roman" w:hint="eastAsia"/>
          <w:b/>
          <w:sz w:val="20"/>
          <w:lang w:eastAsia="zh-CN"/>
        </w:rPr>
        <w:t>Keywords:</w:t>
      </w:r>
      <w:r w:rsidRPr="00777C95">
        <w:rPr>
          <w:rFonts w:ascii="Times New Roman" w:hAnsi="Times New Roman" w:cs="Times New Roman" w:hint="eastAsia"/>
          <w:sz w:val="20"/>
          <w:lang w:eastAsia="zh-CN"/>
        </w:rPr>
        <w:t xml:space="preserve"> </w:t>
      </w:r>
      <w:proofErr w:type="spellStart"/>
      <w:r w:rsidRPr="00777C95">
        <w:rPr>
          <w:rFonts w:ascii="Times New Roman" w:hAnsi="Times New Roman" w:cs="Times New Roman"/>
          <w:bCs/>
          <w:sz w:val="20"/>
          <w:szCs w:val="20"/>
          <w:lang w:bidi="ar-EG"/>
        </w:rPr>
        <w:t>perioperative</w:t>
      </w:r>
      <w:proofErr w:type="spellEnd"/>
      <w:r w:rsidRPr="00777C95">
        <w:rPr>
          <w:rFonts w:ascii="Times New Roman" w:hAnsi="Times New Roman" w:cs="Times New Roman"/>
          <w:bCs/>
          <w:sz w:val="20"/>
          <w:szCs w:val="20"/>
          <w:lang w:bidi="ar-EG"/>
        </w:rPr>
        <w:t xml:space="preserve"> chemotherapy</w:t>
      </w:r>
      <w:r w:rsidRPr="00777C95">
        <w:rPr>
          <w:rFonts w:ascii="Times New Roman" w:hAnsi="Times New Roman" w:cs="Times New Roman" w:hint="eastAsia"/>
          <w:bCs/>
          <w:sz w:val="20"/>
          <w:szCs w:val="20"/>
          <w:lang w:eastAsia="zh-CN" w:bidi="ar-EG"/>
        </w:rPr>
        <w:t>;</w:t>
      </w:r>
      <w:r w:rsidRPr="00777C95">
        <w:rPr>
          <w:rFonts w:ascii="Times New Roman" w:hAnsi="Times New Roman" w:cs="Times New Roman"/>
          <w:bCs/>
          <w:sz w:val="20"/>
          <w:szCs w:val="20"/>
          <w:lang w:bidi="ar-EG"/>
        </w:rPr>
        <w:t xml:space="preserve"> surgical resection</w:t>
      </w:r>
      <w:r w:rsidRPr="00777C95">
        <w:rPr>
          <w:rFonts w:ascii="Times New Roman" w:hAnsi="Times New Roman" w:cs="Times New Roman" w:hint="eastAsia"/>
          <w:bCs/>
          <w:sz w:val="20"/>
          <w:szCs w:val="20"/>
          <w:lang w:eastAsia="zh-CN" w:bidi="ar-EG"/>
        </w:rPr>
        <w:t>;</w:t>
      </w:r>
      <w:r w:rsidRPr="00777C95">
        <w:rPr>
          <w:rFonts w:ascii="Times New Roman" w:hAnsi="Times New Roman" w:cs="Times New Roman"/>
          <w:bCs/>
          <w:sz w:val="20"/>
          <w:szCs w:val="20"/>
          <w:lang w:bidi="ar-EG"/>
        </w:rPr>
        <w:t xml:space="preserve"> colorectal liver metastases</w:t>
      </w:r>
    </w:p>
    <w:p w:rsidR="00777C95" w:rsidRPr="00777C95" w:rsidRDefault="00777C9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p>
    <w:p w:rsidR="00777C95" w:rsidRPr="00777C95" w:rsidRDefault="00777C9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sectPr w:rsidR="00777C95" w:rsidRPr="00777C95" w:rsidSect="00777C95">
          <w:headerReference w:type="default" r:id="rId11"/>
          <w:footerReference w:type="default" r:id="rId12"/>
          <w:type w:val="continuous"/>
          <w:pgSz w:w="12242" w:h="15842" w:code="1"/>
          <w:pgMar w:top="1440" w:right="1440" w:bottom="1440" w:left="1440" w:header="720" w:footer="720" w:gutter="0"/>
          <w:pgNumType w:start="1"/>
          <w:cols w:space="708"/>
          <w:bidi/>
          <w:docGrid w:linePitch="360"/>
        </w:sectPr>
      </w:pPr>
    </w:p>
    <w:p w:rsidR="00D8197D" w:rsidRPr="00777C95" w:rsidRDefault="005D15F5" w:rsidP="00C439DC">
      <w:pPr>
        <w:tabs>
          <w:tab w:val="left" w:pos="7114"/>
          <w:tab w:val="right" w:pos="8306"/>
        </w:tabs>
        <w:bidi w:val="0"/>
        <w:snapToGrid w:val="0"/>
        <w:spacing w:after="0" w:line="240" w:lineRule="auto"/>
        <w:jc w:val="both"/>
        <w:rPr>
          <w:rFonts w:ascii="Times New Roman" w:hAnsi="Times New Roman" w:cs="Times New Roman"/>
          <w:b/>
          <w:bCs/>
          <w:sz w:val="20"/>
          <w:szCs w:val="20"/>
          <w:lang w:bidi="ar-EG"/>
        </w:rPr>
      </w:pPr>
      <w:r w:rsidRPr="00777C95">
        <w:rPr>
          <w:rFonts w:ascii="Times New Roman" w:hAnsi="Times New Roman" w:cs="Times New Roman"/>
          <w:b/>
          <w:bCs/>
          <w:sz w:val="20"/>
          <w:szCs w:val="20"/>
          <w:lang w:bidi="ar-EG"/>
        </w:rPr>
        <w:lastRenderedPageBreak/>
        <w:t>1. Introduction:</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lang w:bidi="ar-EG"/>
        </w:rPr>
      </w:pPr>
      <w:r w:rsidRPr="00777C95">
        <w:rPr>
          <w:rFonts w:ascii="Times New Roman" w:hAnsi="Times New Roman" w:cs="Times New Roman"/>
          <w:color w:val="2A2A2A"/>
          <w:sz w:val="20"/>
          <w:szCs w:val="20"/>
          <w:shd w:val="clear" w:color="auto" w:fill="FFFFFF"/>
        </w:rPr>
        <w:t>The optimal treatment strategies for colorectal liver metastases (CRLM) are evolving rapidly with improved clinical outcomes being achieved when the treatment options are evaluated within a multidisciplinary team to review CRLM cases [1,2]. The treatment strategy should be aimed towards complete resection whenever possible, taking both ‘</w:t>
      </w:r>
      <w:proofErr w:type="spellStart"/>
      <w:r w:rsidRPr="00777C95">
        <w:rPr>
          <w:rFonts w:ascii="Times New Roman" w:hAnsi="Times New Roman" w:cs="Times New Roman"/>
          <w:color w:val="2A2A2A"/>
          <w:sz w:val="20"/>
          <w:szCs w:val="20"/>
          <w:shd w:val="clear" w:color="auto" w:fill="FFFFFF"/>
        </w:rPr>
        <w:t>oncological</w:t>
      </w:r>
      <w:proofErr w:type="spellEnd"/>
      <w:r w:rsidRPr="00777C95">
        <w:rPr>
          <w:rFonts w:ascii="Times New Roman" w:hAnsi="Times New Roman" w:cs="Times New Roman"/>
          <w:color w:val="2A2A2A"/>
          <w:sz w:val="20"/>
          <w:szCs w:val="20"/>
          <w:shd w:val="clear" w:color="auto" w:fill="FFFFFF"/>
        </w:rPr>
        <w:t>’ (prognostic) and ‘technical’ (surgical) criteria in consideration when evaluating patients for surgery [3].</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rPr>
      </w:pPr>
      <w:r w:rsidRPr="00777C95">
        <w:rPr>
          <w:rFonts w:ascii="Times New Roman" w:hAnsi="Times New Roman" w:cs="Times New Roman"/>
          <w:color w:val="2A2A2A"/>
          <w:sz w:val="20"/>
          <w:szCs w:val="20"/>
          <w:shd w:val="clear" w:color="auto" w:fill="FFFFFF"/>
        </w:rPr>
        <w:t xml:space="preserve">The ‘technical’ definitions of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CRL</w:t>
      </w:r>
      <w:r w:rsidR="008C2E47" w:rsidRPr="00777C95">
        <w:rPr>
          <w:rFonts w:ascii="Times New Roman" w:hAnsi="Times New Roman" w:cs="Times New Roman"/>
          <w:color w:val="2A2A2A"/>
          <w:sz w:val="20"/>
          <w:szCs w:val="20"/>
          <w:shd w:val="clear" w:color="auto" w:fill="FFFFFF"/>
        </w:rPr>
        <w:t xml:space="preserve">M have evolved over time, with </w:t>
      </w:r>
      <w:r w:rsidRPr="00777C95">
        <w:rPr>
          <w:rFonts w:ascii="Times New Roman" w:hAnsi="Times New Roman" w:cs="Times New Roman"/>
          <w:color w:val="2A2A2A"/>
          <w:sz w:val="20"/>
          <w:szCs w:val="20"/>
          <w:shd w:val="clear" w:color="auto" w:fill="FFFFFF"/>
        </w:rPr>
        <w:t xml:space="preserve">current consensus proposing that disease should be considered technically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as long as complete macroscopic resection is feasible, while maintaining at least a 30% future liver remnant (FLR) or a remnant l</w:t>
      </w:r>
      <w:r w:rsidR="008C2E47" w:rsidRPr="00777C95">
        <w:rPr>
          <w:rFonts w:ascii="Times New Roman" w:hAnsi="Times New Roman" w:cs="Times New Roman"/>
          <w:color w:val="2A2A2A"/>
          <w:sz w:val="20"/>
          <w:szCs w:val="20"/>
          <w:shd w:val="clear" w:color="auto" w:fill="FFFFFF"/>
        </w:rPr>
        <w:t>iver to body weight ratio &gt;0.5%</w:t>
      </w:r>
      <w:r w:rsidRPr="00777C95">
        <w:rPr>
          <w:rFonts w:ascii="Times New Roman" w:hAnsi="Times New Roman" w:cs="Times New Roman"/>
          <w:color w:val="2A2A2A"/>
          <w:sz w:val="20"/>
          <w:szCs w:val="20"/>
          <w:shd w:val="clear" w:color="auto" w:fill="FFFFFF"/>
        </w:rPr>
        <w:t>. The ‘</w:t>
      </w:r>
      <w:proofErr w:type="spellStart"/>
      <w:r w:rsidRPr="00777C95">
        <w:rPr>
          <w:rFonts w:ascii="Times New Roman" w:hAnsi="Times New Roman" w:cs="Times New Roman"/>
          <w:color w:val="2A2A2A"/>
          <w:sz w:val="20"/>
          <w:szCs w:val="20"/>
          <w:shd w:val="clear" w:color="auto" w:fill="FFFFFF"/>
        </w:rPr>
        <w:t>oncological</w:t>
      </w:r>
      <w:proofErr w:type="spellEnd"/>
      <w:r w:rsidRPr="00777C95">
        <w:rPr>
          <w:rFonts w:ascii="Times New Roman" w:hAnsi="Times New Roman" w:cs="Times New Roman"/>
          <w:color w:val="2A2A2A"/>
          <w:sz w:val="20"/>
          <w:szCs w:val="20"/>
          <w:shd w:val="clear" w:color="auto" w:fill="FFFFFF"/>
        </w:rPr>
        <w:t>’ criteria provide prognostic information that predict</w:t>
      </w:r>
      <w:r w:rsidR="008C2E47" w:rsidRPr="00777C95">
        <w:rPr>
          <w:rFonts w:ascii="Times New Roman" w:hAnsi="Times New Roman" w:cs="Times New Roman"/>
          <w:color w:val="2A2A2A"/>
          <w:sz w:val="20"/>
          <w:szCs w:val="20"/>
          <w:shd w:val="clear" w:color="auto" w:fill="FFFFFF"/>
        </w:rPr>
        <w:t>s</w:t>
      </w:r>
      <w:r w:rsidRPr="00777C95">
        <w:rPr>
          <w:rFonts w:ascii="Times New Roman" w:hAnsi="Times New Roman" w:cs="Times New Roman"/>
          <w:color w:val="2A2A2A"/>
          <w:sz w:val="20"/>
          <w:szCs w:val="20"/>
          <w:shd w:val="clear" w:color="auto" w:fill="FFFFFF"/>
        </w:rPr>
        <w:t xml:space="preserve"> a longer disease-free survival (DFS) or a higher likelihood of cure [4,5]. Fong and </w:t>
      </w:r>
      <w:proofErr w:type="spellStart"/>
      <w:r w:rsidRPr="00777C95">
        <w:rPr>
          <w:rFonts w:ascii="Times New Roman" w:hAnsi="Times New Roman" w:cs="Times New Roman"/>
          <w:color w:val="2A2A2A"/>
          <w:sz w:val="20"/>
          <w:szCs w:val="20"/>
          <w:shd w:val="clear" w:color="auto" w:fill="FFFFFF"/>
        </w:rPr>
        <w:t>Nordlinger</w:t>
      </w:r>
      <w:proofErr w:type="spellEnd"/>
      <w:r w:rsidRPr="00777C95">
        <w:rPr>
          <w:rFonts w:ascii="Times New Roman" w:hAnsi="Times New Roman" w:cs="Times New Roman"/>
          <w:color w:val="2A2A2A"/>
          <w:sz w:val="20"/>
          <w:szCs w:val="20"/>
          <w:shd w:val="clear" w:color="auto" w:fill="FFFFFF"/>
        </w:rPr>
        <w:t xml:space="preserve"> risk parameters for recurrence after hepatic resection included age, number of lesions, size of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largest lesion,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disease-free interval from the primary to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discovery of the liver metastases, T status of the primary, </w:t>
      </w:r>
      <w:r w:rsidR="008C2E47" w:rsidRPr="00777C95">
        <w:rPr>
          <w:rFonts w:ascii="Times New Roman" w:hAnsi="Times New Roman" w:cs="Times New Roman"/>
          <w:color w:val="2A2A2A"/>
          <w:sz w:val="20"/>
          <w:szCs w:val="20"/>
          <w:shd w:val="clear" w:color="auto" w:fill="FFFFFF"/>
        </w:rPr>
        <w:t xml:space="preserve">the </w:t>
      </w:r>
      <w:r w:rsidRPr="00777C95">
        <w:rPr>
          <w:rFonts w:ascii="Times New Roman" w:hAnsi="Times New Roman" w:cs="Times New Roman"/>
          <w:color w:val="2A2A2A"/>
          <w:sz w:val="20"/>
          <w:szCs w:val="20"/>
          <w:shd w:val="clear" w:color="auto" w:fill="FFFFFF"/>
        </w:rPr>
        <w:t xml:space="preserve">nodal status of the primary, and </w:t>
      </w:r>
      <w:r w:rsidRPr="00777C95">
        <w:rPr>
          <w:rFonts w:ascii="Times New Roman" w:hAnsi="Times New Roman" w:cs="Times New Roman"/>
          <w:color w:val="2A2A2A"/>
          <w:sz w:val="20"/>
          <w:szCs w:val="20"/>
          <w:shd w:val="clear" w:color="auto" w:fill="FFFFFF"/>
        </w:rPr>
        <w:lastRenderedPageBreak/>
        <w:t xml:space="preserve">preoperative CEA level [6,7]. Thus, for some patients, </w:t>
      </w:r>
      <w:proofErr w:type="spellStart"/>
      <w:r w:rsidRPr="00777C95">
        <w:rPr>
          <w:rFonts w:ascii="Times New Roman" w:hAnsi="Times New Roman" w:cs="Times New Roman"/>
          <w:color w:val="2A2A2A"/>
          <w:sz w:val="20"/>
          <w:szCs w:val="20"/>
          <w:shd w:val="clear" w:color="auto" w:fill="FFFFFF"/>
        </w:rPr>
        <w:t>neoadjuvant</w:t>
      </w:r>
      <w:proofErr w:type="spellEnd"/>
      <w:r w:rsidRPr="00777C95">
        <w:rPr>
          <w:rFonts w:ascii="Times New Roman" w:hAnsi="Times New Roman" w:cs="Times New Roman"/>
          <w:color w:val="2A2A2A"/>
          <w:sz w:val="20"/>
          <w:szCs w:val="20"/>
          <w:shd w:val="clear" w:color="auto" w:fill="FFFFFF"/>
        </w:rPr>
        <w:t xml:space="preserve"> chemotherapy may be required and represents a better option than upfront surgery.</w:t>
      </w:r>
    </w:p>
    <w:p w:rsidR="00932BD2" w:rsidRPr="00777C95" w:rsidRDefault="00932BD2" w:rsidP="00C439DC">
      <w:pPr>
        <w:bidi w:val="0"/>
        <w:snapToGrid w:val="0"/>
        <w:spacing w:after="0" w:line="240" w:lineRule="auto"/>
        <w:ind w:firstLine="425"/>
        <w:jc w:val="both"/>
        <w:rPr>
          <w:rFonts w:ascii="Times New Roman" w:hAnsi="Times New Roman" w:cs="Times New Roman"/>
          <w:color w:val="2A2A2A"/>
          <w:sz w:val="20"/>
          <w:szCs w:val="20"/>
          <w:shd w:val="clear" w:color="auto" w:fill="FFFFFF"/>
        </w:rPr>
      </w:pPr>
      <w:r w:rsidRPr="00777C95">
        <w:rPr>
          <w:rFonts w:ascii="Times New Roman" w:hAnsi="Times New Roman" w:cs="Times New Roman"/>
          <w:color w:val="2A2A2A"/>
          <w:sz w:val="20"/>
          <w:szCs w:val="20"/>
          <w:shd w:val="clear" w:color="auto" w:fill="FFFFFF"/>
        </w:rPr>
        <w:t xml:space="preserve">This randomized phase II trial was conducted to assess the clinical outcome of </w:t>
      </w:r>
      <w:proofErr w:type="spellStart"/>
      <w:r w:rsidRPr="00777C95">
        <w:rPr>
          <w:rFonts w:ascii="Times New Roman" w:hAnsi="Times New Roman" w:cs="Times New Roman"/>
          <w:color w:val="2A2A2A"/>
          <w:sz w:val="20"/>
          <w:szCs w:val="20"/>
          <w:shd w:val="clear" w:color="auto" w:fill="FFFFFF"/>
        </w:rPr>
        <w:t>perioperative</w:t>
      </w:r>
      <w:proofErr w:type="spellEnd"/>
      <w:r w:rsidRPr="00777C95">
        <w:rPr>
          <w:rFonts w:ascii="Times New Roman" w:hAnsi="Times New Roman" w:cs="Times New Roman"/>
          <w:color w:val="2A2A2A"/>
          <w:sz w:val="20"/>
          <w:szCs w:val="20"/>
          <w:shd w:val="clear" w:color="auto" w:fill="FFFFFF"/>
        </w:rPr>
        <w:t xml:space="preserve"> chemotherapy with surgical resection in initially </w:t>
      </w:r>
      <w:proofErr w:type="spellStart"/>
      <w:r w:rsidRPr="00777C95">
        <w:rPr>
          <w:rFonts w:ascii="Times New Roman" w:hAnsi="Times New Roman" w:cs="Times New Roman"/>
          <w:color w:val="2A2A2A"/>
          <w:sz w:val="20"/>
          <w:szCs w:val="20"/>
          <w:shd w:val="clear" w:color="auto" w:fill="FFFFFF"/>
        </w:rPr>
        <w:t>resectable</w:t>
      </w:r>
      <w:proofErr w:type="spellEnd"/>
      <w:r w:rsidRPr="00777C95">
        <w:rPr>
          <w:rFonts w:ascii="Times New Roman" w:hAnsi="Times New Roman" w:cs="Times New Roman"/>
          <w:color w:val="2A2A2A"/>
          <w:sz w:val="20"/>
          <w:szCs w:val="20"/>
          <w:shd w:val="clear" w:color="auto" w:fill="FFFFFF"/>
        </w:rPr>
        <w:t xml:space="preserve"> but with unfavorable prognostic features CRLM.</w:t>
      </w:r>
    </w:p>
    <w:p w:rsidR="00C439DC" w:rsidRDefault="00C439DC" w:rsidP="00C439DC">
      <w:pPr>
        <w:pStyle w:val="NormalWeb"/>
        <w:snapToGrid w:val="0"/>
        <w:spacing w:before="0" w:beforeAutospacing="0" w:after="0" w:afterAutospacing="0"/>
        <w:jc w:val="both"/>
        <w:rPr>
          <w:rFonts w:eastAsiaTheme="minorEastAsia"/>
          <w:b/>
          <w:bCs/>
          <w:sz w:val="20"/>
          <w:szCs w:val="20"/>
          <w:lang w:eastAsia="zh-CN"/>
        </w:rPr>
      </w:pPr>
    </w:p>
    <w:p w:rsidR="00D8197D" w:rsidRPr="00777C95" w:rsidRDefault="005D15F5" w:rsidP="00C439DC">
      <w:pPr>
        <w:pStyle w:val="NormalWeb"/>
        <w:snapToGrid w:val="0"/>
        <w:spacing w:before="0" w:beforeAutospacing="0" w:after="0" w:afterAutospacing="0"/>
        <w:jc w:val="both"/>
        <w:rPr>
          <w:b/>
          <w:bCs/>
          <w:sz w:val="20"/>
          <w:szCs w:val="20"/>
        </w:rPr>
      </w:pPr>
      <w:r w:rsidRPr="00777C95">
        <w:rPr>
          <w:b/>
          <w:bCs/>
          <w:sz w:val="20"/>
          <w:szCs w:val="20"/>
        </w:rPr>
        <w:t>2. Patients and Methods: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Selection</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Between January 2013 and March 2016, 36 patients over the age of 18 years with CRLM were subjected to this phase II study, at Clinical Oncology Department, and Surgery Department, Faculty of Medicine, Tanta University Hospital. All patients had liver metastases diagnosed </w:t>
      </w:r>
      <w:proofErr w:type="spellStart"/>
      <w:r w:rsidRPr="00777C95">
        <w:rPr>
          <w:rFonts w:ascii="Times New Roman" w:eastAsia="Times New Roman" w:hAnsi="Times New Roman" w:cs="Times New Roman"/>
          <w:sz w:val="20"/>
          <w:szCs w:val="20"/>
        </w:rPr>
        <w:t>radiologically</w:t>
      </w:r>
      <w:proofErr w:type="spellEnd"/>
      <w:r w:rsidRPr="00777C95">
        <w:rPr>
          <w:rFonts w:ascii="Times New Roman" w:eastAsia="Times New Roman" w:hAnsi="Times New Roman" w:cs="Times New Roman"/>
          <w:sz w:val="20"/>
          <w:szCs w:val="20"/>
        </w:rPr>
        <w:t xml:space="preserve"> and confirmed </w:t>
      </w:r>
      <w:proofErr w:type="spellStart"/>
      <w:r w:rsidRPr="00777C95">
        <w:rPr>
          <w:rFonts w:ascii="Times New Roman" w:eastAsia="Times New Roman" w:hAnsi="Times New Roman" w:cs="Times New Roman"/>
          <w:sz w:val="20"/>
          <w:szCs w:val="20"/>
        </w:rPr>
        <w:t>histopathologically</w:t>
      </w:r>
      <w:proofErr w:type="spellEnd"/>
      <w:r w:rsidRPr="00777C95">
        <w:rPr>
          <w:rFonts w:ascii="Times New Roman" w:eastAsia="Times New Roman" w:hAnsi="Times New Roman" w:cs="Times New Roman"/>
          <w:sz w:val="20"/>
          <w:szCs w:val="20"/>
        </w:rPr>
        <w:t xml:space="preserve"> in questionable cases. </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Eligible patients were required to have initially </w:t>
      </w:r>
      <w:proofErr w:type="spellStart"/>
      <w:r w:rsidRPr="00777C95">
        <w:rPr>
          <w:rFonts w:ascii="Times New Roman" w:eastAsia="Times New Roman" w:hAnsi="Times New Roman" w:cs="Times New Roman"/>
          <w:sz w:val="20"/>
          <w:szCs w:val="20"/>
        </w:rPr>
        <w:t>resectable</w:t>
      </w:r>
      <w:proofErr w:type="spellEnd"/>
      <w:r w:rsidRPr="00777C95">
        <w:rPr>
          <w:rFonts w:ascii="Times New Roman" w:eastAsia="Times New Roman" w:hAnsi="Times New Roman" w:cs="Times New Roman"/>
          <w:sz w:val="20"/>
          <w:szCs w:val="20"/>
        </w:rPr>
        <w:t xml:space="preserve"> liver metastases, judged by the surgical oncology team with the aid of a diagnostic radiologist when needed, with three or more unfavorable prognostic features defined by Fong and </w:t>
      </w:r>
      <w:proofErr w:type="spellStart"/>
      <w:r w:rsidRPr="00777C95">
        <w:rPr>
          <w:rFonts w:ascii="Times New Roman" w:eastAsia="Times New Roman" w:hAnsi="Times New Roman" w:cs="Times New Roman"/>
          <w:sz w:val="20"/>
          <w:szCs w:val="20"/>
        </w:rPr>
        <w:t>Nordlinger</w:t>
      </w:r>
      <w:proofErr w:type="spellEnd"/>
      <w:r w:rsidRPr="00777C95">
        <w:rPr>
          <w:rFonts w:ascii="Times New Roman" w:eastAsia="Times New Roman" w:hAnsi="Times New Roman" w:cs="Times New Roman"/>
          <w:sz w:val="20"/>
          <w:szCs w:val="20"/>
        </w:rPr>
        <w:t xml:space="preserve"> risk parameters which included: age &gt; 60 years, disease-free interval &lt;24 months, number of lesions &gt;1, size of the largest lesion ≥5 cm, T status of the </w:t>
      </w:r>
      <w:r w:rsidRPr="00777C95">
        <w:rPr>
          <w:rFonts w:ascii="Times New Roman" w:eastAsia="Times New Roman" w:hAnsi="Times New Roman" w:cs="Times New Roman"/>
          <w:sz w:val="20"/>
          <w:szCs w:val="20"/>
        </w:rPr>
        <w:lastRenderedPageBreak/>
        <w:t xml:space="preserve">primary ≥ T3, positive nodal involvement of the primary, and CEA level &gt;200 </w:t>
      </w:r>
      <w:proofErr w:type="spellStart"/>
      <w:r w:rsidRPr="00777C95">
        <w:rPr>
          <w:rFonts w:ascii="Times New Roman" w:eastAsia="Times New Roman" w:hAnsi="Times New Roman" w:cs="Times New Roman"/>
          <w:sz w:val="20"/>
          <w:szCs w:val="20"/>
        </w:rPr>
        <w:t>ng</w:t>
      </w:r>
      <w:proofErr w:type="spellEnd"/>
      <w:r w:rsidRPr="00777C95">
        <w:rPr>
          <w:rFonts w:ascii="Times New Roman" w:eastAsia="Times New Roman" w:hAnsi="Times New Roman" w:cs="Times New Roman"/>
          <w:sz w:val="20"/>
          <w:szCs w:val="20"/>
        </w:rPr>
        <w:t xml:space="preserve">/ml. Inclusion criteria included, age ranged between 18 and 70 years; </w:t>
      </w:r>
      <w:proofErr w:type="spellStart"/>
      <w:r w:rsidRPr="00777C95">
        <w:rPr>
          <w:rFonts w:ascii="Times New Roman" w:eastAsia="Times New Roman" w:hAnsi="Times New Roman" w:cs="Times New Roman"/>
          <w:sz w:val="20"/>
          <w:szCs w:val="20"/>
        </w:rPr>
        <w:t>Karnofsky</w:t>
      </w:r>
      <w:proofErr w:type="spellEnd"/>
      <w:r w:rsidRPr="00777C95">
        <w:rPr>
          <w:rFonts w:ascii="Times New Roman" w:eastAsia="Times New Roman" w:hAnsi="Times New Roman" w:cs="Times New Roman"/>
          <w:sz w:val="20"/>
          <w:szCs w:val="20"/>
        </w:rPr>
        <w:t xml:space="preserve"> performance status (KPS) of ≥ 70; adequate bone marrow reserve (WBC count </w:t>
      </w:r>
      <w:r w:rsidRPr="00777C95">
        <w:rPr>
          <w:rFonts w:ascii="Times New Roman" w:eastAsia="Times New Roman" w:hAnsi="Times New Roman" w:cs="Times New Roman"/>
          <w:noProof/>
          <w:sz w:val="20"/>
          <w:szCs w:val="20"/>
          <w:lang w:eastAsia="zh-CN"/>
        </w:rPr>
        <w:drawing>
          <wp:inline distT="0" distB="0" distL="0" distR="0">
            <wp:extent cx="75565" cy="93345"/>
            <wp:effectExtent l="19050" t="0" r="635" b="0"/>
            <wp:docPr id="42"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eastAsia="Times New Roman" w:hAnsi="Times New Roman" w:cs="Times New Roman"/>
          <w:sz w:val="20"/>
          <w:szCs w:val="20"/>
        </w:rPr>
        <w:t>3.5 x 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/L, ANC count</w:t>
      </w:r>
      <w:r w:rsidR="00777C95" w:rsidRPr="00777C95">
        <w:rPr>
          <w:rFonts w:ascii="Times New Roman" w:eastAsia="Times New Roman" w:hAnsi="Times New Roman" w:cs="Times New Roman"/>
          <w:sz w:val="20"/>
          <w:szCs w:val="20"/>
        </w:rPr>
        <w:t xml:space="preserve"> </w:t>
      </w:r>
      <w:r w:rsidRPr="00777C95">
        <w:rPr>
          <w:rFonts w:ascii="Times New Roman" w:eastAsia="Times New Roman" w:hAnsi="Times New Roman" w:cs="Times New Roman"/>
          <w:noProof/>
          <w:sz w:val="20"/>
          <w:szCs w:val="20"/>
          <w:lang w:eastAsia="zh-CN"/>
        </w:rPr>
        <w:drawing>
          <wp:inline distT="0" distB="0" distL="0" distR="0">
            <wp:extent cx="75565" cy="93345"/>
            <wp:effectExtent l="19050" t="0" r="635" b="0"/>
            <wp:docPr id="43"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eastAsia="Times New Roman" w:hAnsi="Times New Roman" w:cs="Times New Roman"/>
          <w:sz w:val="20"/>
          <w:szCs w:val="20"/>
        </w:rPr>
        <w:t>1.5 x10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 xml:space="preserve">/L, platelets </w:t>
      </w:r>
      <w:r w:rsidRPr="00777C95">
        <w:rPr>
          <w:rFonts w:ascii="Times New Roman" w:eastAsia="Times New Roman" w:hAnsi="Times New Roman" w:cs="Times New Roman"/>
          <w:noProof/>
          <w:sz w:val="20"/>
          <w:szCs w:val="20"/>
          <w:lang w:eastAsia="zh-CN"/>
        </w:rPr>
        <w:drawing>
          <wp:inline distT="0" distB="0" distL="0" distR="0">
            <wp:extent cx="75565" cy="93345"/>
            <wp:effectExtent l="19050" t="0" r="635" b="0"/>
            <wp:docPr id="44" name="Picture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eastAsia="Times New Roman" w:hAnsi="Times New Roman" w:cs="Times New Roman"/>
          <w:sz w:val="20"/>
          <w:szCs w:val="20"/>
        </w:rPr>
        <w:t>100 x 10</w:t>
      </w:r>
      <w:r w:rsidRPr="00777C95">
        <w:rPr>
          <w:rFonts w:ascii="Times New Roman" w:eastAsia="Times New Roman" w:hAnsi="Times New Roman" w:cs="Times New Roman"/>
          <w:sz w:val="20"/>
          <w:szCs w:val="20"/>
          <w:vertAlign w:val="superscript"/>
        </w:rPr>
        <w:t>9</w:t>
      </w:r>
      <w:r w:rsidRPr="00777C95">
        <w:rPr>
          <w:rFonts w:ascii="Times New Roman" w:eastAsia="Times New Roman" w:hAnsi="Times New Roman" w:cs="Times New Roman"/>
          <w:sz w:val="20"/>
          <w:szCs w:val="20"/>
        </w:rPr>
        <w:t xml:space="preserve">/L, and hemoglobin </w:t>
      </w:r>
      <w:r w:rsidRPr="00777C95">
        <w:rPr>
          <w:rFonts w:ascii="Times New Roman" w:eastAsia="Times New Roman" w:hAnsi="Times New Roman" w:cs="Times New Roman"/>
          <w:noProof/>
          <w:sz w:val="20"/>
          <w:szCs w:val="20"/>
          <w:lang w:eastAsia="zh-CN"/>
        </w:rPr>
        <w:drawing>
          <wp:inline distT="0" distB="0" distL="0" distR="0">
            <wp:extent cx="75565" cy="93345"/>
            <wp:effectExtent l="19050" t="0" r="635" b="0"/>
            <wp:docPr id="45"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eastAsia="Times New Roman" w:hAnsi="Times New Roman" w:cs="Times New Roman"/>
          <w:sz w:val="20"/>
          <w:szCs w:val="20"/>
        </w:rPr>
        <w:t>10 g/</w:t>
      </w:r>
      <w:proofErr w:type="spellStart"/>
      <w:r w:rsidRPr="00777C95">
        <w:rPr>
          <w:rFonts w:ascii="Times New Roman" w:eastAsia="Times New Roman" w:hAnsi="Times New Roman" w:cs="Times New Roman"/>
          <w:sz w:val="20"/>
          <w:szCs w:val="20"/>
        </w:rPr>
        <w:t>dL</w:t>
      </w:r>
      <w:proofErr w:type="spellEnd"/>
      <w:r w:rsidRPr="00777C95">
        <w:rPr>
          <w:rFonts w:ascii="Times New Roman" w:eastAsia="Times New Roman" w:hAnsi="Times New Roman" w:cs="Times New Roman"/>
          <w:sz w:val="20"/>
          <w:szCs w:val="20"/>
        </w:rPr>
        <w:t xml:space="preserve">), adequate renal function (measured </w:t>
      </w:r>
      <w:proofErr w:type="spellStart"/>
      <w:r w:rsidRPr="00777C95">
        <w:rPr>
          <w:rFonts w:ascii="Times New Roman" w:eastAsia="Times New Roman" w:hAnsi="Times New Roman" w:cs="Times New Roman"/>
          <w:sz w:val="20"/>
          <w:szCs w:val="20"/>
        </w:rPr>
        <w:t>creatinine</w:t>
      </w:r>
      <w:proofErr w:type="spellEnd"/>
      <w:r w:rsidRPr="00777C95">
        <w:rPr>
          <w:rFonts w:ascii="Times New Roman" w:eastAsia="Times New Roman" w:hAnsi="Times New Roman" w:cs="Times New Roman"/>
          <w:sz w:val="20"/>
          <w:szCs w:val="20"/>
        </w:rPr>
        <w:t xml:space="preserve"> clearance </w:t>
      </w:r>
      <w:r w:rsidRPr="00777C95">
        <w:rPr>
          <w:rFonts w:ascii="Times New Roman" w:eastAsia="Times New Roman" w:hAnsi="Times New Roman" w:cs="Times New Roman"/>
          <w:noProof/>
          <w:sz w:val="20"/>
          <w:szCs w:val="20"/>
          <w:lang w:eastAsia="zh-CN"/>
        </w:rPr>
        <w:drawing>
          <wp:inline distT="0" distB="0" distL="0" distR="0">
            <wp:extent cx="75565" cy="93345"/>
            <wp:effectExtent l="19050" t="0" r="635" b="0"/>
            <wp:docPr id="46" name="Picture 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eastAsia="Times New Roman" w:hAnsi="Times New Roman" w:cs="Times New Roman"/>
          <w:sz w:val="20"/>
          <w:szCs w:val="20"/>
        </w:rPr>
        <w:t xml:space="preserve">60 </w:t>
      </w:r>
      <w:proofErr w:type="spellStart"/>
      <w:r w:rsidRPr="00777C95">
        <w:rPr>
          <w:rFonts w:ascii="Times New Roman" w:eastAsia="Times New Roman" w:hAnsi="Times New Roman" w:cs="Times New Roman"/>
          <w:sz w:val="20"/>
          <w:szCs w:val="20"/>
        </w:rPr>
        <w:t>mL</w:t>
      </w:r>
      <w:proofErr w:type="spellEnd"/>
      <w:r w:rsidRPr="00777C95">
        <w:rPr>
          <w:rFonts w:ascii="Times New Roman" w:eastAsia="Times New Roman" w:hAnsi="Times New Roman" w:cs="Times New Roman"/>
          <w:sz w:val="20"/>
          <w:szCs w:val="20"/>
        </w:rPr>
        <w:t>/min) and adequate liver function (</w:t>
      </w:r>
      <w:proofErr w:type="spellStart"/>
      <w:r w:rsidRPr="00777C95">
        <w:rPr>
          <w:rFonts w:ascii="Times New Roman" w:eastAsia="Times New Roman" w:hAnsi="Times New Roman" w:cs="Times New Roman"/>
          <w:sz w:val="20"/>
          <w:szCs w:val="20"/>
        </w:rPr>
        <w:t>transaminases</w:t>
      </w:r>
      <w:proofErr w:type="spellEnd"/>
      <w:r w:rsidRPr="00777C95">
        <w:rPr>
          <w:rFonts w:ascii="Times New Roman" w:eastAsia="Times New Roman" w:hAnsi="Times New Roman" w:cs="Times New Roman"/>
          <w:sz w:val="20"/>
          <w:szCs w:val="20"/>
        </w:rPr>
        <w:t xml:space="preserve"> less than 2 x upper normal limit, and serum </w:t>
      </w:r>
      <w:proofErr w:type="spellStart"/>
      <w:r w:rsidRPr="00777C95">
        <w:rPr>
          <w:rFonts w:ascii="Times New Roman" w:eastAsia="Times New Roman" w:hAnsi="Times New Roman" w:cs="Times New Roman"/>
          <w:sz w:val="20"/>
          <w:szCs w:val="20"/>
        </w:rPr>
        <w:t>bilirubin</w:t>
      </w:r>
      <w:proofErr w:type="spellEnd"/>
      <w:r w:rsidRPr="00777C95">
        <w:rPr>
          <w:rFonts w:ascii="Times New Roman" w:eastAsia="Times New Roman" w:hAnsi="Times New Roman" w:cs="Times New Roman"/>
          <w:sz w:val="20"/>
          <w:szCs w:val="20"/>
        </w:rPr>
        <w:t xml:space="preserve"> concentrations below 1.5 mg/</w:t>
      </w:r>
      <w:proofErr w:type="spellStart"/>
      <w:r w:rsidRPr="00777C95">
        <w:rPr>
          <w:rFonts w:ascii="Times New Roman" w:eastAsia="Times New Roman" w:hAnsi="Times New Roman" w:cs="Times New Roman"/>
          <w:sz w:val="20"/>
          <w:szCs w:val="20"/>
        </w:rPr>
        <w:t>dL</w:t>
      </w:r>
      <w:proofErr w:type="spellEnd"/>
      <w:r w:rsidRPr="00777C95">
        <w:rPr>
          <w:rFonts w:ascii="Times New Roman" w:eastAsia="Times New Roman" w:hAnsi="Times New Roman" w:cs="Times New Roman"/>
          <w:sz w:val="20"/>
          <w:szCs w:val="20"/>
        </w:rPr>
        <w:t>).</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Patients with earlier</w:t>
      </w:r>
      <w:r w:rsidR="00777C95" w:rsidRPr="00777C95">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 xml:space="preserve">chemotherapy for treatment of the metastatic disease, prior adjuvant or </w:t>
      </w:r>
      <w:proofErr w:type="spellStart"/>
      <w:r w:rsidRPr="00777C95">
        <w:rPr>
          <w:rFonts w:ascii="Times New Roman" w:eastAsia="Times New Roman" w:hAnsi="Times New Roman" w:cs="Times New Roman"/>
          <w:sz w:val="20"/>
          <w:szCs w:val="20"/>
        </w:rPr>
        <w:t>neoadjuvant</w:t>
      </w:r>
      <w:proofErr w:type="spellEnd"/>
      <w:r w:rsidRPr="00777C95">
        <w:rPr>
          <w:rFonts w:ascii="Times New Roman" w:eastAsia="Times New Roman" w:hAnsi="Times New Roman" w:cs="Times New Roman"/>
          <w:sz w:val="20"/>
          <w:szCs w:val="20"/>
        </w:rPr>
        <w:t xml:space="preserve"> chemotherapy with </w:t>
      </w:r>
      <w:proofErr w:type="spellStart"/>
      <w:r w:rsidRPr="00777C95">
        <w:rPr>
          <w:rFonts w:ascii="Times New Roman" w:eastAsia="Times New Roman" w:hAnsi="Times New Roman" w:cs="Times New Roman"/>
          <w:sz w:val="20"/>
          <w:szCs w:val="20"/>
        </w:rPr>
        <w:t>capecitabine</w:t>
      </w:r>
      <w:proofErr w:type="spellEnd"/>
      <w:r w:rsidRPr="00777C95">
        <w:rPr>
          <w:rFonts w:ascii="Times New Roman" w:eastAsia="Times New Roman" w:hAnsi="Times New Roman" w:cs="Times New Roman"/>
          <w:sz w:val="20"/>
          <w:szCs w:val="20"/>
        </w:rPr>
        <w:t xml:space="preserve"> and/or </w:t>
      </w:r>
      <w:proofErr w:type="spellStart"/>
      <w:r w:rsidRPr="00777C95">
        <w:rPr>
          <w:rFonts w:ascii="Times New Roman" w:eastAsia="Times New Roman" w:hAnsi="Times New Roman" w:cs="Times New Roman"/>
          <w:sz w:val="20"/>
          <w:szCs w:val="20"/>
        </w:rPr>
        <w:t>oxaliplatin</w:t>
      </w:r>
      <w:proofErr w:type="spellEnd"/>
      <w:r w:rsidRPr="00777C95">
        <w:rPr>
          <w:rFonts w:ascii="Times New Roman" w:eastAsia="Times New Roman" w:hAnsi="Times New Roman" w:cs="Times New Roman"/>
          <w:sz w:val="20"/>
          <w:szCs w:val="20"/>
        </w:rPr>
        <w:t xml:space="preserve">, </w:t>
      </w:r>
      <w:proofErr w:type="spellStart"/>
      <w:r w:rsidRPr="00777C95">
        <w:rPr>
          <w:rFonts w:ascii="Times New Roman" w:eastAsia="Times New Roman" w:hAnsi="Times New Roman" w:cs="Times New Roman"/>
          <w:sz w:val="20"/>
          <w:szCs w:val="20"/>
        </w:rPr>
        <w:t>malabsorption</w:t>
      </w:r>
      <w:proofErr w:type="spellEnd"/>
      <w:r w:rsidRPr="00777C95">
        <w:rPr>
          <w:rFonts w:ascii="Times New Roman" w:eastAsia="Times New Roman" w:hAnsi="Times New Roman" w:cs="Times New Roman"/>
          <w:sz w:val="20"/>
          <w:szCs w:val="20"/>
        </w:rPr>
        <w:t xml:space="preserve"> disease, lack of physical integrity of the upper GI tract, history of severe neuropathy, ventricular arrhythmia, congestive heart failure or documented myocardial infarction, signs or symptoms of </w:t>
      </w:r>
      <w:proofErr w:type="spellStart"/>
      <w:r w:rsidRPr="00777C95">
        <w:rPr>
          <w:rFonts w:ascii="Times New Roman" w:eastAsia="Times New Roman" w:hAnsi="Times New Roman" w:cs="Times New Roman"/>
          <w:sz w:val="20"/>
          <w:szCs w:val="20"/>
        </w:rPr>
        <w:t>extrahepatic</w:t>
      </w:r>
      <w:proofErr w:type="spellEnd"/>
      <w:r w:rsidRPr="00777C95">
        <w:rPr>
          <w:rFonts w:ascii="Times New Roman" w:eastAsia="Times New Roman" w:hAnsi="Times New Roman" w:cs="Times New Roman"/>
          <w:sz w:val="20"/>
          <w:szCs w:val="20"/>
        </w:rPr>
        <w:t xml:space="preserve"> metas</w:t>
      </w:r>
      <w:r w:rsidR="008C2E47" w:rsidRPr="00777C95">
        <w:rPr>
          <w:rFonts w:ascii="Times New Roman" w:eastAsia="Times New Roman" w:hAnsi="Times New Roman" w:cs="Times New Roman"/>
          <w:sz w:val="20"/>
          <w:szCs w:val="20"/>
        </w:rPr>
        <w:t>tasis, second malignant disease</w:t>
      </w:r>
      <w:r w:rsidRPr="00777C95">
        <w:rPr>
          <w:rFonts w:ascii="Times New Roman" w:eastAsia="Times New Roman" w:hAnsi="Times New Roman" w:cs="Times New Roman"/>
          <w:sz w:val="20"/>
          <w:szCs w:val="20"/>
        </w:rPr>
        <w:t xml:space="preserve">, pregnant or lactating mothers and any other uncontrolled medical illness were considered ineligible. </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rPr>
      </w:pPr>
      <w:r w:rsidRPr="00777C95">
        <w:rPr>
          <w:rFonts w:ascii="Times New Roman" w:eastAsia="Times New Roman" w:hAnsi="Times New Roman" w:cs="Times New Roman"/>
          <w:sz w:val="20"/>
          <w:szCs w:val="20"/>
        </w:rPr>
        <w:t>All patients provided written informed consent prior to enrolment into the study. The Ethics Committee at our Faculty of Medicine, Tanta University granted protocol approval.</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Evaluation</w:t>
      </w:r>
      <w:r w:rsidR="0035500F">
        <w:rPr>
          <w:rFonts w:ascii="Times New Roman" w:hAnsi="Times New Roman" w:cs="Times New Roman" w:hint="eastAsia"/>
          <w:b/>
          <w:bCs/>
          <w:sz w:val="20"/>
          <w:szCs w:val="20"/>
          <w:lang w:eastAsia="zh-CN"/>
        </w:rPr>
        <w:t xml:space="preserve"> </w:t>
      </w:r>
      <w:r w:rsidRPr="00777C95">
        <w:rPr>
          <w:rFonts w:ascii="Times New Roman" w:hAnsi="Times New Roman" w:cs="Times New Roman"/>
          <w:b/>
          <w:bCs/>
          <w:sz w:val="20"/>
          <w:szCs w:val="20"/>
        </w:rPr>
        <w:t>before Entering the Study</w:t>
      </w:r>
    </w:p>
    <w:p w:rsidR="00E05433" w:rsidRPr="00777C95" w:rsidRDefault="00E05433" w:rsidP="00C439D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 xml:space="preserve">All patients had a complete medical history and physical examination before entering the study. Furthermore, baseline blood tests included complete blood count, CEA measurement, and liver and renal function tests. Radiological assessment involved liver imaging with ultrasound, computed tomography (CT), and/or </w:t>
      </w:r>
      <w:hyperlink r:id="rId14" w:tooltip="Magnetic resonance imaging" w:history="1">
        <w:r w:rsidRPr="00777C95">
          <w:rPr>
            <w:rStyle w:val="Hyperlink"/>
            <w:rFonts w:ascii="Times New Roman" w:hAnsi="Times New Roman" w:cs="Times New Roman"/>
            <w:color w:val="auto"/>
            <w:sz w:val="20"/>
            <w:szCs w:val="20"/>
            <w:u w:val="none"/>
          </w:rPr>
          <w:t>magnetic resonance imaging</w:t>
        </w:r>
      </w:hyperlink>
      <w:r w:rsidRPr="00777C95">
        <w:rPr>
          <w:rFonts w:ascii="Times New Roman" w:hAnsi="Times New Roman" w:cs="Times New Roman"/>
          <w:sz w:val="20"/>
          <w:szCs w:val="20"/>
        </w:rPr>
        <w:t>(MRI), and chest radiographs.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Treatment</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The primary tumor had to be technically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but with at least three unfavorable prognostic features as judged by the medical oncology and surgical oncology team at Clinical Oncology Department, and Surgery Department, Faculty of Medicine, Tanta University Hospital. </w:t>
      </w:r>
    </w:p>
    <w:p w:rsidR="00777C95"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We chose the XELOX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oxal</w:t>
      </w:r>
      <w:r w:rsidR="00393726" w:rsidRPr="00777C95">
        <w:rPr>
          <w:rFonts w:ascii="Times New Roman" w:hAnsi="Times New Roman" w:cs="Times New Roman"/>
          <w:sz w:val="20"/>
          <w:szCs w:val="20"/>
        </w:rPr>
        <w:t>iplatin</w:t>
      </w:r>
      <w:proofErr w:type="spellEnd"/>
      <w:r w:rsidR="00393726" w:rsidRPr="00777C95">
        <w:rPr>
          <w:rFonts w:ascii="Times New Roman" w:hAnsi="Times New Roman" w:cs="Times New Roman"/>
          <w:sz w:val="20"/>
          <w:szCs w:val="20"/>
        </w:rPr>
        <w:t xml:space="preserve">) regimen for the study </w:t>
      </w:r>
      <w:r w:rsidRPr="00777C95">
        <w:rPr>
          <w:rFonts w:ascii="Times New Roman" w:hAnsi="Times New Roman" w:cs="Times New Roman"/>
          <w:sz w:val="20"/>
          <w:szCs w:val="20"/>
        </w:rPr>
        <w:t xml:space="preserve">since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has been combined successfully with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in a variety of different schedules to produce an effective and viable treatment option in both the first and second-line settings for patients with metastatic colorectal cancer (MCRC) [8]. </w:t>
      </w:r>
    </w:p>
    <w:p w:rsidR="00E05433" w:rsidRPr="00777C95" w:rsidRDefault="00777C95"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P</w:t>
      </w:r>
      <w:r w:rsidR="00E05433" w:rsidRPr="00777C95">
        <w:rPr>
          <w:rFonts w:ascii="Times New Roman" w:hAnsi="Times New Roman" w:cs="Times New Roman"/>
          <w:sz w:val="20"/>
          <w:szCs w:val="20"/>
        </w:rPr>
        <w:t xml:space="preserve">atients were assigned to receive 8 cycles of XELOX regimen, four cycles over three months before and four cycles over three months after surgery unless disease progression or unacceptable toxicity occurred.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Eligible patients received a 120-minute intravenous infusion of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130 mg/m</w:t>
      </w:r>
      <w:r w:rsidRPr="00777C95">
        <w:rPr>
          <w:rFonts w:ascii="Times New Roman" w:hAnsi="Times New Roman" w:cs="Times New Roman"/>
          <w:sz w:val="20"/>
          <w:szCs w:val="20"/>
          <w:vertAlign w:val="superscript"/>
        </w:rPr>
        <w:t xml:space="preserve">2 </w:t>
      </w:r>
      <w:r w:rsidRPr="00777C95">
        <w:rPr>
          <w:rFonts w:ascii="Times New Roman" w:hAnsi="Times New Roman" w:cs="Times New Roman"/>
          <w:sz w:val="20"/>
          <w:szCs w:val="20"/>
        </w:rPr>
        <w:t xml:space="preserve">on day1 </w:t>
      </w:r>
      <w:r w:rsidRPr="00777C95">
        <w:rPr>
          <w:rFonts w:ascii="Times New Roman" w:hAnsi="Times New Roman" w:cs="Times New Roman"/>
          <w:sz w:val="20"/>
          <w:szCs w:val="20"/>
        </w:rPr>
        <w:lastRenderedPageBreak/>
        <w:t xml:space="preserve">(diluted in a 5% dextrose solution) plus oral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1000 mg/m</w:t>
      </w:r>
      <w:r w:rsidRPr="00777C95">
        <w:rPr>
          <w:rFonts w:ascii="Times New Roman" w:hAnsi="Times New Roman" w:cs="Times New Roman"/>
          <w:sz w:val="20"/>
          <w:szCs w:val="20"/>
          <w:vertAlign w:val="superscript"/>
        </w:rPr>
        <w:t>2</w:t>
      </w:r>
      <w:r w:rsidRPr="00777C95">
        <w:rPr>
          <w:rFonts w:ascii="Times New Roman" w:hAnsi="Times New Roman" w:cs="Times New Roman"/>
          <w:sz w:val="20"/>
          <w:szCs w:val="20"/>
        </w:rPr>
        <w:t xml:space="preserve"> twice daily from</w:t>
      </w:r>
      <w:r w:rsidR="000F4A75" w:rsidRPr="00777C95">
        <w:rPr>
          <w:rFonts w:ascii="Times New Roman" w:hAnsi="Times New Roman" w:cs="Times New Roman"/>
          <w:sz w:val="20"/>
          <w:szCs w:val="20"/>
        </w:rPr>
        <w:t xml:space="preserve"> day </w:t>
      </w:r>
      <w:r w:rsidR="00393726" w:rsidRPr="00777C95">
        <w:rPr>
          <w:rFonts w:ascii="Times New Roman" w:hAnsi="Times New Roman" w:cs="Times New Roman"/>
          <w:sz w:val="20"/>
          <w:szCs w:val="20"/>
        </w:rPr>
        <w:t xml:space="preserve">1 night to day 15 morning </w:t>
      </w:r>
      <w:r w:rsidRPr="00777C95">
        <w:rPr>
          <w:rFonts w:ascii="Times New Roman" w:hAnsi="Times New Roman" w:cs="Times New Roman"/>
          <w:sz w:val="20"/>
          <w:szCs w:val="20"/>
        </w:rPr>
        <w:t xml:space="preserve">of a 3-week cycle administered on an outpatient basis.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u w:val="single"/>
        </w:rPr>
      </w:pPr>
      <w:r w:rsidRPr="00777C95">
        <w:rPr>
          <w:rFonts w:ascii="Times New Roman" w:hAnsi="Times New Roman" w:cs="Times New Roman"/>
          <w:sz w:val="20"/>
          <w:szCs w:val="20"/>
        </w:rPr>
        <w:t xml:space="preserve">Before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infusion, hydration, adequate anti-emetic therapy, antacids and steroids were ensured for all patients. Growth factor (G-CSF) and antibiotic were administered in some cases, based upon clinical judgment. Adequate hematological and organ functions recovery should be ensured before each treatment session. Dose reduction was allowed according to clinical judgment. Patients with treatment delay of more than 3 weeks were withdrawn from the study. </w:t>
      </w:r>
    </w:p>
    <w:p w:rsidR="00E05433"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Surgery of metastases (liver resection) was allowed 3–5 weeks after the last administration of preoperative chemotherapy, and whenever patients had completely recovered from chemotherapy toxicity</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with KPS of ≥ 70; adequate bone marrow reserve (WBC count</w:t>
      </w:r>
      <w:r w:rsidR="00777C95" w:rsidRPr="00777C95">
        <w:rPr>
          <w:rFonts w:ascii="Times New Roman" w:hAnsi="Times New Roman" w:cs="Times New Roman"/>
          <w:sz w:val="20"/>
          <w:szCs w:val="20"/>
        </w:rPr>
        <w:t xml:space="preserve"> </w:t>
      </w:r>
      <w:r w:rsidRPr="00777C95">
        <w:rPr>
          <w:rFonts w:ascii="Times New Roman" w:hAnsi="Times New Roman" w:cs="Times New Roman"/>
          <w:noProof/>
          <w:sz w:val="20"/>
          <w:szCs w:val="20"/>
          <w:lang w:eastAsia="zh-CN"/>
        </w:rPr>
        <w:drawing>
          <wp:inline distT="0" distB="0" distL="0" distR="0">
            <wp:extent cx="75565" cy="93345"/>
            <wp:effectExtent l="19050" t="0" r="635" b="0"/>
            <wp:docPr id="47"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hAnsi="Times New Roman" w:cs="Times New Roman"/>
          <w:sz w:val="20"/>
          <w:szCs w:val="20"/>
        </w:rPr>
        <w:t>3.5 x 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/L, ANC count</w:t>
      </w:r>
      <w:r w:rsidR="00777C95" w:rsidRPr="00777C95">
        <w:rPr>
          <w:rFonts w:ascii="Times New Roman" w:hAnsi="Times New Roman" w:cs="Times New Roman"/>
          <w:sz w:val="20"/>
          <w:szCs w:val="20"/>
        </w:rPr>
        <w:t xml:space="preserve"> </w:t>
      </w:r>
      <w:r w:rsidRPr="00777C95">
        <w:rPr>
          <w:rFonts w:ascii="Times New Roman" w:hAnsi="Times New Roman" w:cs="Times New Roman"/>
          <w:noProof/>
          <w:sz w:val="20"/>
          <w:szCs w:val="20"/>
          <w:lang w:eastAsia="zh-CN"/>
        </w:rPr>
        <w:drawing>
          <wp:inline distT="0" distB="0" distL="0" distR="0">
            <wp:extent cx="75565" cy="93345"/>
            <wp:effectExtent l="19050" t="0" r="635" b="0"/>
            <wp:docPr id="48"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hAnsi="Times New Roman" w:cs="Times New Roman"/>
          <w:sz w:val="20"/>
          <w:szCs w:val="20"/>
        </w:rPr>
        <w:t>1.5 x10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 xml:space="preserve">/L, platelets </w:t>
      </w:r>
      <w:r w:rsidRPr="00777C95">
        <w:rPr>
          <w:rFonts w:ascii="Times New Roman" w:hAnsi="Times New Roman" w:cs="Times New Roman"/>
          <w:noProof/>
          <w:sz w:val="20"/>
          <w:szCs w:val="20"/>
          <w:lang w:eastAsia="zh-CN"/>
        </w:rPr>
        <w:drawing>
          <wp:inline distT="0" distB="0" distL="0" distR="0">
            <wp:extent cx="75565" cy="93345"/>
            <wp:effectExtent l="19050" t="0" r="635" b="0"/>
            <wp:docPr id="49" name="Picture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hAnsi="Times New Roman" w:cs="Times New Roman"/>
          <w:sz w:val="20"/>
          <w:szCs w:val="20"/>
        </w:rPr>
        <w:t>100 x 10</w:t>
      </w:r>
      <w:r w:rsidRPr="00777C95">
        <w:rPr>
          <w:rFonts w:ascii="Times New Roman" w:hAnsi="Times New Roman" w:cs="Times New Roman"/>
          <w:sz w:val="20"/>
          <w:szCs w:val="20"/>
          <w:vertAlign w:val="superscript"/>
        </w:rPr>
        <w:t>9</w:t>
      </w:r>
      <w:r w:rsidRPr="00777C95">
        <w:rPr>
          <w:rFonts w:ascii="Times New Roman" w:hAnsi="Times New Roman" w:cs="Times New Roman"/>
          <w:sz w:val="20"/>
          <w:szCs w:val="20"/>
        </w:rPr>
        <w:t xml:space="preserve">/L, and hemoglobin </w:t>
      </w:r>
      <w:r w:rsidRPr="00777C95">
        <w:rPr>
          <w:rFonts w:ascii="Times New Roman" w:hAnsi="Times New Roman" w:cs="Times New Roman"/>
          <w:noProof/>
          <w:sz w:val="20"/>
          <w:szCs w:val="20"/>
          <w:lang w:eastAsia="zh-CN"/>
        </w:rPr>
        <w:drawing>
          <wp:inline distT="0" distB="0" distL="0" distR="0">
            <wp:extent cx="75565" cy="93345"/>
            <wp:effectExtent l="19050" t="0" r="635" b="0"/>
            <wp:docPr id="50"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hAnsi="Times New Roman" w:cs="Times New Roman"/>
          <w:sz w:val="20"/>
          <w:szCs w:val="20"/>
        </w:rPr>
        <w:t>10 g/</w:t>
      </w:r>
      <w:proofErr w:type="spellStart"/>
      <w:r w:rsidRPr="00777C95">
        <w:rPr>
          <w:rFonts w:ascii="Times New Roman" w:hAnsi="Times New Roman" w:cs="Times New Roman"/>
          <w:sz w:val="20"/>
          <w:szCs w:val="20"/>
        </w:rPr>
        <w:t>dL</w:t>
      </w:r>
      <w:proofErr w:type="spellEnd"/>
      <w:r w:rsidRPr="00777C95">
        <w:rPr>
          <w:rFonts w:ascii="Times New Roman" w:hAnsi="Times New Roman" w:cs="Times New Roman"/>
          <w:sz w:val="20"/>
          <w:szCs w:val="20"/>
        </w:rPr>
        <w:t xml:space="preserve">), adequate renal function (measured </w:t>
      </w:r>
      <w:proofErr w:type="spellStart"/>
      <w:r w:rsidRPr="00777C95">
        <w:rPr>
          <w:rFonts w:ascii="Times New Roman" w:hAnsi="Times New Roman" w:cs="Times New Roman"/>
          <w:sz w:val="20"/>
          <w:szCs w:val="20"/>
        </w:rPr>
        <w:t>creatinine</w:t>
      </w:r>
      <w:proofErr w:type="spellEnd"/>
      <w:r w:rsidRPr="00777C95">
        <w:rPr>
          <w:rFonts w:ascii="Times New Roman" w:hAnsi="Times New Roman" w:cs="Times New Roman"/>
          <w:sz w:val="20"/>
          <w:szCs w:val="20"/>
        </w:rPr>
        <w:t xml:space="preserve"> clearance </w:t>
      </w:r>
      <w:r w:rsidRPr="00777C95">
        <w:rPr>
          <w:rFonts w:ascii="Times New Roman" w:hAnsi="Times New Roman" w:cs="Times New Roman"/>
          <w:noProof/>
          <w:sz w:val="20"/>
          <w:szCs w:val="20"/>
          <w:lang w:eastAsia="zh-CN"/>
        </w:rPr>
        <w:drawing>
          <wp:inline distT="0" distB="0" distL="0" distR="0">
            <wp:extent cx="75565" cy="93345"/>
            <wp:effectExtent l="19050" t="0" r="635" b="0"/>
            <wp:docPr id="51" name="Picture 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
                    <pic:cNvPicPr>
                      <a:picLocks noChangeAspect="1" noChangeArrowheads="1"/>
                    </pic:cNvPicPr>
                  </pic:nvPicPr>
                  <pic:blipFill>
                    <a:blip r:embed="rId13" cstate="print"/>
                    <a:srcRect/>
                    <a:stretch>
                      <a:fillRect/>
                    </a:stretch>
                  </pic:blipFill>
                  <pic:spPr bwMode="auto">
                    <a:xfrm>
                      <a:off x="0" y="0"/>
                      <a:ext cx="75565" cy="93345"/>
                    </a:xfrm>
                    <a:prstGeom prst="rect">
                      <a:avLst/>
                    </a:prstGeom>
                    <a:noFill/>
                    <a:ln w="9525">
                      <a:noFill/>
                      <a:miter lim="800000"/>
                      <a:headEnd/>
                      <a:tailEnd/>
                    </a:ln>
                  </pic:spPr>
                </pic:pic>
              </a:graphicData>
            </a:graphic>
          </wp:inline>
        </w:drawing>
      </w:r>
      <w:r w:rsidRPr="00777C95">
        <w:rPr>
          <w:rFonts w:ascii="Times New Roman" w:hAnsi="Times New Roman" w:cs="Times New Roman"/>
          <w:sz w:val="20"/>
          <w:szCs w:val="20"/>
        </w:rPr>
        <w:t xml:space="preserve">60 </w:t>
      </w:r>
      <w:proofErr w:type="spellStart"/>
      <w:r w:rsidRPr="00777C95">
        <w:rPr>
          <w:rFonts w:ascii="Times New Roman" w:hAnsi="Times New Roman" w:cs="Times New Roman"/>
          <w:sz w:val="20"/>
          <w:szCs w:val="20"/>
        </w:rPr>
        <w:t>mL</w:t>
      </w:r>
      <w:proofErr w:type="spellEnd"/>
      <w:r w:rsidRPr="00777C95">
        <w:rPr>
          <w:rFonts w:ascii="Times New Roman" w:hAnsi="Times New Roman" w:cs="Times New Roman"/>
          <w:sz w:val="20"/>
          <w:szCs w:val="20"/>
        </w:rPr>
        <w:t>/min) and adequate liver function (</w:t>
      </w:r>
      <w:proofErr w:type="spellStart"/>
      <w:r w:rsidRPr="00777C95">
        <w:rPr>
          <w:rFonts w:ascii="Times New Roman" w:hAnsi="Times New Roman" w:cs="Times New Roman"/>
          <w:sz w:val="20"/>
          <w:szCs w:val="20"/>
        </w:rPr>
        <w:t>transaminases</w:t>
      </w:r>
      <w:proofErr w:type="spellEnd"/>
      <w:r w:rsidRPr="00777C95">
        <w:rPr>
          <w:rFonts w:ascii="Times New Roman" w:hAnsi="Times New Roman" w:cs="Times New Roman"/>
          <w:sz w:val="20"/>
          <w:szCs w:val="20"/>
        </w:rPr>
        <w:t xml:space="preserve"> less than 2 x upper normal limit, and serum </w:t>
      </w:r>
      <w:proofErr w:type="spellStart"/>
      <w:r w:rsidRPr="00777C95">
        <w:rPr>
          <w:rFonts w:ascii="Times New Roman" w:hAnsi="Times New Roman" w:cs="Times New Roman"/>
          <w:sz w:val="20"/>
          <w:szCs w:val="20"/>
        </w:rPr>
        <w:t>bilirubin</w:t>
      </w:r>
      <w:proofErr w:type="spellEnd"/>
      <w:r w:rsidRPr="00777C95">
        <w:rPr>
          <w:rFonts w:ascii="Times New Roman" w:hAnsi="Times New Roman" w:cs="Times New Roman"/>
          <w:sz w:val="20"/>
          <w:szCs w:val="20"/>
        </w:rPr>
        <w:t xml:space="preserve"> concentrations below 1.5 mg/</w:t>
      </w:r>
      <w:proofErr w:type="spellStart"/>
      <w:r w:rsidRPr="00777C95">
        <w:rPr>
          <w:rFonts w:ascii="Times New Roman" w:hAnsi="Times New Roman" w:cs="Times New Roman"/>
          <w:sz w:val="20"/>
          <w:szCs w:val="20"/>
        </w:rPr>
        <w:t>dL</w:t>
      </w:r>
      <w:proofErr w:type="spellEnd"/>
      <w:r w:rsidRPr="00777C95">
        <w:rPr>
          <w:rFonts w:ascii="Times New Roman" w:hAnsi="Times New Roman" w:cs="Times New Roman"/>
          <w:sz w:val="20"/>
          <w:szCs w:val="20"/>
        </w:rPr>
        <w:t>).</w:t>
      </w:r>
    </w:p>
    <w:p w:rsidR="00BC380F" w:rsidRPr="00777C95" w:rsidRDefault="00E05433" w:rsidP="00C439DC">
      <w:pPr>
        <w:tabs>
          <w:tab w:val="center" w:pos="4153"/>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777C95">
        <w:rPr>
          <w:rFonts w:ascii="Times New Roman" w:hAnsi="Times New Roman" w:cs="Times New Roman"/>
          <w:sz w:val="20"/>
          <w:szCs w:val="20"/>
        </w:rPr>
        <w:t>Intraoperative</w:t>
      </w:r>
      <w:proofErr w:type="spellEnd"/>
      <w:r w:rsidRPr="00777C95">
        <w:rPr>
          <w:rFonts w:ascii="Times New Roman" w:hAnsi="Times New Roman" w:cs="Times New Roman"/>
          <w:sz w:val="20"/>
          <w:szCs w:val="20"/>
        </w:rPr>
        <w:t xml:space="preserve"> </w:t>
      </w:r>
      <w:proofErr w:type="spellStart"/>
      <w:r w:rsidRPr="00777C95">
        <w:rPr>
          <w:rFonts w:ascii="Times New Roman" w:hAnsi="Times New Roman" w:cs="Times New Roman"/>
          <w:sz w:val="20"/>
          <w:szCs w:val="20"/>
        </w:rPr>
        <w:t>ultrasonography</w:t>
      </w:r>
      <w:proofErr w:type="spellEnd"/>
      <w:r w:rsidRPr="00777C95">
        <w:rPr>
          <w:rFonts w:ascii="Times New Roman" w:hAnsi="Times New Roman" w:cs="Times New Roman"/>
          <w:sz w:val="20"/>
          <w:szCs w:val="20"/>
        </w:rPr>
        <w:t xml:space="preserve"> was used to detect and localize all hepatic metastases. The type and extent of curative liver resection w</w:t>
      </w:r>
      <w:r w:rsidR="00393726" w:rsidRPr="00777C95">
        <w:rPr>
          <w:rFonts w:ascii="Times New Roman" w:hAnsi="Times New Roman" w:cs="Times New Roman"/>
          <w:sz w:val="20"/>
          <w:szCs w:val="20"/>
        </w:rPr>
        <w:t>ere</w:t>
      </w:r>
      <w:r w:rsidRPr="00777C95">
        <w:rPr>
          <w:rFonts w:ascii="Times New Roman" w:hAnsi="Times New Roman" w:cs="Times New Roman"/>
          <w:sz w:val="20"/>
          <w:szCs w:val="20"/>
        </w:rPr>
        <w:t xml:space="preserve"> decided by the surgical oncology te</w:t>
      </w:r>
      <w:r w:rsidR="00393726" w:rsidRPr="00777C95">
        <w:rPr>
          <w:rFonts w:ascii="Times New Roman" w:hAnsi="Times New Roman" w:cs="Times New Roman"/>
          <w:sz w:val="20"/>
          <w:szCs w:val="20"/>
        </w:rPr>
        <w:t>am at the time of randomization</w:t>
      </w:r>
      <w:r w:rsidRPr="00777C95">
        <w:rPr>
          <w:rFonts w:ascii="Times New Roman" w:hAnsi="Times New Roman" w:cs="Times New Roman"/>
          <w:sz w:val="20"/>
          <w:szCs w:val="20"/>
        </w:rPr>
        <w:t xml:space="preserve"> but was modified if previously undetected deposits were discovered, or if the tumor size was larger than was expected.</w:t>
      </w:r>
    </w:p>
    <w:p w:rsidR="00D8197D" w:rsidRPr="00777C95" w:rsidRDefault="00D8197D" w:rsidP="00C439DC">
      <w:pPr>
        <w:tabs>
          <w:tab w:val="center" w:pos="4153"/>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 Assessment</w:t>
      </w:r>
    </w:p>
    <w:p w:rsidR="00D8197D" w:rsidRPr="00777C95" w:rsidRDefault="00D8197D" w:rsidP="00C439DC">
      <w:pPr>
        <w:pStyle w:val="Heading7"/>
        <w:bidi w:val="0"/>
        <w:snapToGrid w:val="0"/>
        <w:spacing w:before="0" w:after="0" w:line="240" w:lineRule="auto"/>
        <w:jc w:val="both"/>
        <w:rPr>
          <w:rFonts w:ascii="Times New Roman" w:hAnsi="Times New Roman" w:cs="Times New Roman"/>
          <w:b/>
          <w:bCs/>
          <w:i/>
          <w:iCs/>
          <w:sz w:val="20"/>
          <w:szCs w:val="20"/>
        </w:rPr>
      </w:pPr>
      <w:r w:rsidRPr="00777C95">
        <w:rPr>
          <w:rFonts w:ascii="Times New Roman" w:hAnsi="Times New Roman" w:cs="Times New Roman"/>
          <w:b/>
          <w:bCs/>
          <w:i/>
          <w:iCs/>
          <w:sz w:val="20"/>
          <w:szCs w:val="20"/>
        </w:rPr>
        <w:t>Assessment of Clinical Benefit, Follow-up and restaging</w:t>
      </w:r>
    </w:p>
    <w:p w:rsidR="00CA1969" w:rsidRPr="00777C95" w:rsidRDefault="00CA1969"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During the preoperative part of treatment, Pre- and on-treatment monitoring consisted of medical history, physical and neurological examination, abdomen and pelvis ultrasound, CT-scan of the chest, abdomen and pelvis, and CEA measurement. Tumor response assessment was performed after every two cycles of treatment and tumor response was determined according to the Response Evaluation Criteria in Solid Tumors, RECIST criteria [9], with the overall response rate, included complete response and partial response, while, the disease control rate, included complete response, partial response and stable disease.</w:t>
      </w:r>
    </w:p>
    <w:p w:rsidR="00777C95" w:rsidRPr="00777C95" w:rsidRDefault="00CA1969"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Following surgery and during the postoperative part of treatment, patients were monitored carefully for the adverse reactions of treatment. Also </w:t>
      </w:r>
      <w:proofErr w:type="spellStart"/>
      <w:r w:rsidR="00393726" w:rsidRPr="00777C95">
        <w:rPr>
          <w:rFonts w:ascii="Times New Roman" w:hAnsi="Times New Roman" w:cs="Times New Roman"/>
          <w:sz w:val="20"/>
          <w:szCs w:val="20"/>
        </w:rPr>
        <w:t>abdomino</w:t>
      </w:r>
      <w:proofErr w:type="spellEnd"/>
      <w:r w:rsidR="00393726" w:rsidRPr="00777C95">
        <w:rPr>
          <w:rFonts w:ascii="Times New Roman" w:hAnsi="Times New Roman" w:cs="Times New Roman"/>
          <w:sz w:val="20"/>
          <w:szCs w:val="20"/>
        </w:rPr>
        <w:t xml:space="preserve">-pelvic </w:t>
      </w:r>
      <w:r w:rsidRPr="00777C95">
        <w:rPr>
          <w:rFonts w:ascii="Times New Roman" w:hAnsi="Times New Roman" w:cs="Times New Roman"/>
          <w:sz w:val="20"/>
          <w:szCs w:val="20"/>
        </w:rPr>
        <w:t>CT and/or MRI, and tumor marker after every two cycles of treatment were performed for detection of any recurrence.</w:t>
      </w:r>
    </w:p>
    <w:p w:rsidR="00CA1969" w:rsidRPr="00777C95" w:rsidRDefault="00777C95" w:rsidP="00C439DC">
      <w:pPr>
        <w:bidi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A</w:t>
      </w:r>
      <w:r w:rsidR="00CA1969" w:rsidRPr="00777C95">
        <w:rPr>
          <w:rFonts w:ascii="Times New Roman" w:hAnsi="Times New Roman" w:cs="Times New Roman"/>
          <w:sz w:val="20"/>
          <w:szCs w:val="20"/>
        </w:rPr>
        <w:t xml:space="preserve">fter completion of treatment, patients were evaluated by physical examination, chest radiography, </w:t>
      </w:r>
      <w:r w:rsidR="00CA1969" w:rsidRPr="00777C95">
        <w:rPr>
          <w:rFonts w:ascii="Times New Roman" w:hAnsi="Times New Roman" w:cs="Times New Roman"/>
          <w:sz w:val="20"/>
          <w:szCs w:val="20"/>
        </w:rPr>
        <w:lastRenderedPageBreak/>
        <w:t xml:space="preserve">and </w:t>
      </w:r>
      <w:proofErr w:type="spellStart"/>
      <w:r w:rsidR="00CA1969" w:rsidRPr="00777C95">
        <w:rPr>
          <w:rFonts w:ascii="Times New Roman" w:hAnsi="Times New Roman" w:cs="Times New Roman"/>
          <w:sz w:val="20"/>
          <w:szCs w:val="20"/>
        </w:rPr>
        <w:t>abdomino</w:t>
      </w:r>
      <w:proofErr w:type="spellEnd"/>
      <w:r w:rsidR="00CA1969" w:rsidRPr="00777C95">
        <w:rPr>
          <w:rFonts w:ascii="Times New Roman" w:hAnsi="Times New Roman" w:cs="Times New Roman"/>
          <w:sz w:val="20"/>
          <w:szCs w:val="20"/>
        </w:rPr>
        <w:t xml:space="preserve">-pelvic CT every 3 -4 months for detection of any disease recurrence. Biopsy was rarely performed from new recurrent sites of the disease. </w:t>
      </w:r>
    </w:p>
    <w:p w:rsidR="00D8197D" w:rsidRPr="00777C95" w:rsidRDefault="00D8197D" w:rsidP="00C439DC">
      <w:pPr>
        <w:pStyle w:val="NormalWeb"/>
        <w:snapToGrid w:val="0"/>
        <w:spacing w:before="0" w:beforeAutospacing="0" w:after="0" w:afterAutospacing="0"/>
        <w:jc w:val="both"/>
        <w:rPr>
          <w:b/>
          <w:bCs/>
          <w:i/>
          <w:iCs/>
          <w:sz w:val="20"/>
          <w:szCs w:val="20"/>
        </w:rPr>
      </w:pPr>
      <w:r w:rsidRPr="00777C95">
        <w:rPr>
          <w:b/>
          <w:bCs/>
          <w:i/>
          <w:iCs/>
          <w:sz w:val="20"/>
          <w:szCs w:val="20"/>
        </w:rPr>
        <w:t>Assessment of Toxicity</w:t>
      </w:r>
    </w:p>
    <w:p w:rsidR="00CA1969" w:rsidRPr="00777C95" w:rsidRDefault="00CA1969" w:rsidP="00C439DC">
      <w:pPr>
        <w:pStyle w:val="NormalWeb"/>
        <w:snapToGrid w:val="0"/>
        <w:spacing w:before="0" w:beforeAutospacing="0" w:after="0" w:afterAutospacing="0"/>
        <w:ind w:firstLine="425"/>
        <w:jc w:val="both"/>
        <w:rPr>
          <w:b/>
          <w:bCs/>
          <w:sz w:val="20"/>
          <w:szCs w:val="20"/>
        </w:rPr>
      </w:pPr>
      <w:r w:rsidRPr="00777C95">
        <w:rPr>
          <w:sz w:val="20"/>
          <w:szCs w:val="20"/>
        </w:rPr>
        <w:t>Patients were evaluated using a directed history, physical and neurological examination biweekly during treatment. Furthermore, a complete blood count and liver and renal function tests were conducted before every cycle during treatment. The occurrence and nature of any adverse events were recorded. Toxicity grading was based on the common terminology criteria for adverse event (NCI-CTC, version 4.0</w:t>
      </w:r>
      <w:r w:rsidR="00812C02" w:rsidRPr="00777C95">
        <w:rPr>
          <w:sz w:val="20"/>
          <w:szCs w:val="20"/>
        </w:rPr>
        <w:t>) [</w:t>
      </w:r>
      <w:r w:rsidRPr="00777C95">
        <w:rPr>
          <w:sz w:val="20"/>
          <w:szCs w:val="20"/>
        </w:rPr>
        <w:t>10].</w:t>
      </w:r>
      <w:r w:rsidRPr="00777C95">
        <w:rPr>
          <w:sz w:val="20"/>
          <w:szCs w:val="20"/>
        </w:rPr>
        <w:tab/>
      </w:r>
    </w:p>
    <w:p w:rsidR="00777C95" w:rsidRPr="00777C95" w:rsidRDefault="00D8197D" w:rsidP="00C439DC">
      <w:pPr>
        <w:pStyle w:val="NormalWeb"/>
        <w:snapToGrid w:val="0"/>
        <w:spacing w:before="0" w:beforeAutospacing="0" w:after="0" w:afterAutospacing="0"/>
        <w:jc w:val="both"/>
        <w:rPr>
          <w:b/>
          <w:bCs/>
          <w:sz w:val="20"/>
          <w:szCs w:val="20"/>
        </w:rPr>
      </w:pPr>
      <w:r w:rsidRPr="00777C95">
        <w:rPr>
          <w:b/>
          <w:bCs/>
          <w:sz w:val="20"/>
          <w:szCs w:val="20"/>
        </w:rPr>
        <w:t>Study Endpoint</w:t>
      </w:r>
    </w:p>
    <w:p w:rsidR="00D8197D" w:rsidRPr="00777C95" w:rsidRDefault="00777C95" w:rsidP="00C439DC">
      <w:pPr>
        <w:pStyle w:val="NormalWeb"/>
        <w:snapToGrid w:val="0"/>
        <w:spacing w:before="0" w:beforeAutospacing="0" w:after="0" w:afterAutospacing="0"/>
        <w:ind w:firstLine="425"/>
        <w:jc w:val="both"/>
        <w:rPr>
          <w:b/>
          <w:bCs/>
          <w:sz w:val="20"/>
          <w:szCs w:val="20"/>
        </w:rPr>
      </w:pPr>
      <w:r w:rsidRPr="00777C95">
        <w:rPr>
          <w:sz w:val="20"/>
          <w:szCs w:val="20"/>
        </w:rPr>
        <w:t>T</w:t>
      </w:r>
      <w:r w:rsidR="00D8197D" w:rsidRPr="00777C95">
        <w:rPr>
          <w:sz w:val="20"/>
          <w:szCs w:val="20"/>
        </w:rPr>
        <w:t xml:space="preserve">he primary endpoint of this study was the disease free survival and the secondary end point </w:t>
      </w:r>
      <w:r w:rsidR="000F4A75" w:rsidRPr="00777C95">
        <w:rPr>
          <w:sz w:val="20"/>
          <w:szCs w:val="20"/>
        </w:rPr>
        <w:t>was</w:t>
      </w:r>
      <w:r w:rsidR="00D8197D" w:rsidRPr="00777C95">
        <w:rPr>
          <w:sz w:val="20"/>
          <w:szCs w:val="20"/>
        </w:rPr>
        <w:t xml:space="preserve"> overall </w:t>
      </w:r>
      <w:r w:rsidR="00F51D51" w:rsidRPr="00777C95">
        <w:rPr>
          <w:sz w:val="20"/>
          <w:szCs w:val="20"/>
        </w:rPr>
        <w:t>survival.</w:t>
      </w:r>
    </w:p>
    <w:p w:rsidR="00D8197D" w:rsidRPr="00777C95" w:rsidRDefault="00D8197D" w:rsidP="00C439DC">
      <w:pPr>
        <w:pStyle w:val="Default"/>
        <w:snapToGrid w:val="0"/>
        <w:ind w:firstLine="425"/>
        <w:jc w:val="both"/>
        <w:rPr>
          <w:color w:val="auto"/>
          <w:sz w:val="20"/>
          <w:szCs w:val="20"/>
        </w:rPr>
      </w:pPr>
      <w:r w:rsidRPr="00777C95">
        <w:rPr>
          <w:b/>
          <w:bCs/>
          <w:color w:val="auto"/>
          <w:sz w:val="20"/>
          <w:szCs w:val="20"/>
        </w:rPr>
        <w:t>Statistical analysis</w:t>
      </w:r>
      <w:r w:rsidRPr="00777C95">
        <w:rPr>
          <w:color w:val="auto"/>
          <w:sz w:val="20"/>
          <w:szCs w:val="20"/>
        </w:rPr>
        <w:t xml:space="preserve">: </w:t>
      </w:r>
    </w:p>
    <w:p w:rsidR="00CA1969" w:rsidRDefault="00CA1969"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777C95">
        <w:rPr>
          <w:rFonts w:ascii="Times New Roman" w:hAnsi="Times New Roman" w:cs="Times New Roman"/>
          <w:sz w:val="20"/>
          <w:szCs w:val="20"/>
        </w:rPr>
        <w:t xml:space="preserve">The date of final analysis was May 2017. </w:t>
      </w:r>
      <w:r w:rsidR="006859B4" w:rsidRPr="00777C95">
        <w:rPr>
          <w:rFonts w:ascii="Times New Roman" w:hAnsi="Times New Roman" w:cs="Times New Roman"/>
          <w:sz w:val="20"/>
          <w:szCs w:val="20"/>
        </w:rPr>
        <w:t>Disease</w:t>
      </w:r>
      <w:r w:rsidRPr="00777C95">
        <w:rPr>
          <w:rFonts w:ascii="Times New Roman" w:hAnsi="Times New Roman" w:cs="Times New Roman"/>
          <w:sz w:val="20"/>
          <w:szCs w:val="20"/>
        </w:rPr>
        <w:t xml:space="preserve">-free survival was calculated according to the Kaplan-Meier method [11] with SPSS [Statistical package] (version 21.0). Mean and standard deviation were estimates of quantitative data. The 95% confidence intervals (95% </w:t>
      </w:r>
      <w:proofErr w:type="spellStart"/>
      <w:r w:rsidRPr="00777C95">
        <w:rPr>
          <w:rFonts w:ascii="Times New Roman" w:hAnsi="Times New Roman" w:cs="Times New Roman"/>
          <w:sz w:val="20"/>
          <w:szCs w:val="20"/>
        </w:rPr>
        <w:t>CIs</w:t>
      </w:r>
      <w:proofErr w:type="spellEnd"/>
      <w:r w:rsidRPr="00777C95">
        <w:rPr>
          <w:rFonts w:ascii="Times New Roman" w:hAnsi="Times New Roman" w:cs="Times New Roman"/>
          <w:sz w:val="20"/>
          <w:szCs w:val="20"/>
        </w:rPr>
        <w:t xml:space="preserve">) were calculated with the exact method. Statistical significance was assessed by the log-rank test. All </w:t>
      </w:r>
      <w:r w:rsidRPr="00777C95">
        <w:rPr>
          <w:rFonts w:ascii="Times New Roman" w:hAnsi="Times New Roman" w:cs="Times New Roman"/>
          <w:i/>
          <w:iCs/>
          <w:sz w:val="20"/>
          <w:szCs w:val="20"/>
        </w:rPr>
        <w:t xml:space="preserve">P </w:t>
      </w:r>
      <w:r w:rsidRPr="00777C95">
        <w:rPr>
          <w:rFonts w:ascii="Times New Roman" w:hAnsi="Times New Roman" w:cs="Times New Roman"/>
          <w:sz w:val="20"/>
          <w:szCs w:val="20"/>
        </w:rPr>
        <w:t>values were two-tailed; a value of 0.05 was considered significant.</w:t>
      </w:r>
    </w:p>
    <w:p w:rsidR="00C439DC" w:rsidRPr="00C439DC"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D8197D" w:rsidRPr="00777C95" w:rsidRDefault="005D15F5" w:rsidP="00C439DC">
      <w:pPr>
        <w:bidi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3. Results:</w:t>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Patients Characteristics</w:t>
      </w:r>
    </w:p>
    <w:p w:rsidR="009A7468" w:rsidRPr="00777C95" w:rsidRDefault="009A7468" w:rsidP="00C439DC">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A total of 36 patients were enrolled in this phase II trial from January 2013 to March 2016 at Clinical Oncology Department, and Surgery Department, Faculty of Medicine, Tanta University Hospital. </w:t>
      </w:r>
    </w:p>
    <w:p w:rsidR="009A7468" w:rsidRPr="00777C95" w:rsidRDefault="009A7468" w:rsidP="00C439DC">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The characteristics of all eligible patients are listed in Table1. The median age of study participants was 61 years (range, 35–70 years), 66.</w:t>
      </w:r>
      <w:r w:rsidR="00CF2302" w:rsidRPr="00777C95">
        <w:rPr>
          <w:rFonts w:ascii="Times New Roman" w:eastAsia="Times New Roman" w:hAnsi="Times New Roman" w:cs="Times New Roman"/>
          <w:sz w:val="20"/>
          <w:szCs w:val="20"/>
        </w:rPr>
        <w:t>7</w:t>
      </w:r>
      <w:r w:rsidRPr="00777C95">
        <w:rPr>
          <w:rFonts w:ascii="Times New Roman" w:eastAsia="Times New Roman" w:hAnsi="Times New Roman" w:cs="Times New Roman"/>
          <w:sz w:val="20"/>
          <w:szCs w:val="20"/>
        </w:rPr>
        <w:t xml:space="preserve">% (24/36) of patients were male. The primary tumor sites were: colon, 21 patients (58.3%); rectum, 12 patients (33.3%); and both colon and rectum, 3 patients (8.3%). The majority of patients received previous chemotherapy (52.8%,{19/36}) which consisted of intravenous 5-fluorouracil, with or without </w:t>
      </w:r>
      <w:r w:rsidR="00393726" w:rsidRPr="00777C95">
        <w:rPr>
          <w:rFonts w:ascii="Times New Roman" w:eastAsia="Times New Roman" w:hAnsi="Times New Roman" w:cs="Times New Roman"/>
          <w:sz w:val="20"/>
          <w:szCs w:val="20"/>
        </w:rPr>
        <w:t xml:space="preserve">a </w:t>
      </w:r>
      <w:r w:rsidRPr="00777C95">
        <w:rPr>
          <w:rFonts w:ascii="Times New Roman" w:eastAsia="Times New Roman" w:hAnsi="Times New Roman" w:cs="Times New Roman"/>
          <w:sz w:val="20"/>
          <w:szCs w:val="20"/>
        </w:rPr>
        <w:t xml:space="preserve">bio-modulating agent. </w:t>
      </w:r>
    </w:p>
    <w:p w:rsidR="009A7468" w:rsidRPr="00777C95" w:rsidRDefault="009A7468" w:rsidP="00C439DC">
      <w:pPr>
        <w:bidi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 xml:space="preserve">At time of study entry, the median KPS was 80%, and more than half of the patients (55.6%,{20/36}) had a KPS of ≤ 80%. Median time between primary diagnosis of colorectal cancer to inclusion was </w:t>
      </w:r>
      <w:r w:rsidR="00CF2302" w:rsidRPr="00777C95">
        <w:rPr>
          <w:rFonts w:ascii="Times New Roman" w:eastAsia="Times New Roman" w:hAnsi="Times New Roman" w:cs="Times New Roman"/>
          <w:sz w:val="20"/>
          <w:szCs w:val="20"/>
        </w:rPr>
        <w:t>22</w:t>
      </w:r>
      <w:r w:rsidRPr="00777C95">
        <w:rPr>
          <w:rFonts w:ascii="Times New Roman" w:eastAsia="Times New Roman" w:hAnsi="Times New Roman" w:cs="Times New Roman"/>
          <w:sz w:val="20"/>
          <w:szCs w:val="20"/>
        </w:rPr>
        <w:t xml:space="preserve"> months (range4–</w:t>
      </w:r>
      <w:r w:rsidR="00CF2302" w:rsidRPr="00777C95">
        <w:rPr>
          <w:rFonts w:ascii="Times New Roman" w:eastAsia="Times New Roman" w:hAnsi="Times New Roman" w:cs="Times New Roman"/>
          <w:sz w:val="20"/>
          <w:szCs w:val="20"/>
        </w:rPr>
        <w:t>50</w:t>
      </w:r>
      <w:r w:rsidRPr="00777C95">
        <w:rPr>
          <w:rFonts w:ascii="Times New Roman" w:eastAsia="Times New Roman" w:hAnsi="Times New Roman" w:cs="Times New Roman"/>
          <w:sz w:val="20"/>
          <w:szCs w:val="20"/>
        </w:rPr>
        <w:t xml:space="preserve"> months). Most of the patients (55.6% {20/36}) had multiple liver metastases. Only 8 patients (22.2%) had liver metastasis that ≥5 cm. Most o</w:t>
      </w:r>
      <w:r w:rsidR="000F4A75" w:rsidRPr="00777C95">
        <w:rPr>
          <w:rFonts w:ascii="Times New Roman" w:eastAsia="Times New Roman" w:hAnsi="Times New Roman" w:cs="Times New Roman"/>
          <w:sz w:val="20"/>
          <w:szCs w:val="20"/>
        </w:rPr>
        <w:t>f the patients (</w:t>
      </w:r>
      <w:r w:rsidRPr="00777C95">
        <w:rPr>
          <w:rFonts w:ascii="Times New Roman" w:eastAsia="Times New Roman" w:hAnsi="Times New Roman" w:cs="Times New Roman"/>
          <w:sz w:val="20"/>
          <w:szCs w:val="20"/>
        </w:rPr>
        <w:t xml:space="preserve">80.6% {29/36}) had </w:t>
      </w:r>
      <w:proofErr w:type="spellStart"/>
      <w:r w:rsidRPr="00777C95">
        <w:rPr>
          <w:rFonts w:ascii="Times New Roman" w:eastAsia="Times New Roman" w:hAnsi="Times New Roman" w:cs="Times New Roman"/>
          <w:sz w:val="20"/>
          <w:szCs w:val="20"/>
        </w:rPr>
        <w:t>metachronous</w:t>
      </w:r>
      <w:proofErr w:type="spellEnd"/>
      <w:r w:rsidRPr="00777C95">
        <w:rPr>
          <w:rFonts w:ascii="Times New Roman" w:eastAsia="Times New Roman" w:hAnsi="Times New Roman" w:cs="Times New Roman"/>
          <w:sz w:val="20"/>
          <w:szCs w:val="20"/>
        </w:rPr>
        <w:t xml:space="preserve"> liver metastases.</w:t>
      </w:r>
      <w:r w:rsidR="00777C95" w:rsidRPr="00777C95">
        <w:rPr>
          <w:rFonts w:ascii="Times New Roman" w:eastAsia="Times New Roman" w:hAnsi="Times New Roman" w:cs="Times New Roman"/>
          <w:sz w:val="20"/>
          <w:szCs w:val="20"/>
        </w:rPr>
        <w:t xml:space="preserve"> </w:t>
      </w:r>
      <w:r w:rsidRPr="00777C95">
        <w:rPr>
          <w:rFonts w:ascii="Times New Roman" w:eastAsia="Times New Roman" w:hAnsi="Times New Roman" w:cs="Times New Roman"/>
          <w:sz w:val="20"/>
          <w:szCs w:val="20"/>
        </w:rPr>
        <w:t>Most cases of liver metastases (26/36,{72.2%}) diagnosed within 24 months from the primary tumor (Table1).</w:t>
      </w:r>
    </w:p>
    <w:p w:rsidR="0035500F" w:rsidRDefault="0035500F" w:rsidP="00C439DC">
      <w:pPr>
        <w:bidi w:val="0"/>
        <w:snapToGrid w:val="0"/>
        <w:spacing w:after="0" w:line="240" w:lineRule="auto"/>
        <w:jc w:val="both"/>
        <w:rPr>
          <w:rFonts w:ascii="Times New Roman" w:hAnsi="Times New Roman" w:cs="Times New Roman"/>
          <w:b/>
          <w:bCs/>
          <w:sz w:val="20"/>
          <w:szCs w:val="20"/>
          <w:lang w:eastAsia="zh-CN"/>
        </w:rPr>
      </w:pPr>
    </w:p>
    <w:p w:rsidR="00830E13" w:rsidRPr="00777C95" w:rsidRDefault="00830E13" w:rsidP="0035500F">
      <w:pPr>
        <w:bidi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lastRenderedPageBreak/>
        <w:t>Treatment</w:t>
      </w:r>
    </w:p>
    <w:p w:rsidR="00830E13" w:rsidRPr="00777C95" w:rsidRDefault="00830E13" w:rsidP="00C439DC">
      <w:pPr>
        <w:autoSpaceDE w:val="0"/>
        <w:autoSpaceDN w:val="0"/>
        <w:bidi w:val="0"/>
        <w:adjustRightInd w:val="0"/>
        <w:snapToGrid w:val="0"/>
        <w:spacing w:after="0" w:line="240" w:lineRule="auto"/>
        <w:jc w:val="center"/>
        <w:rPr>
          <w:rFonts w:ascii="Times New Roman" w:hAnsi="Times New Roman" w:cs="Times New Roman"/>
          <w:sz w:val="20"/>
          <w:szCs w:val="20"/>
        </w:rPr>
      </w:pPr>
    </w:p>
    <w:p w:rsidR="00830E13" w:rsidRPr="00777C95" w:rsidRDefault="00830E13" w:rsidP="00C439DC">
      <w:pPr>
        <w:bidi w:val="0"/>
        <w:snapToGrid w:val="0"/>
        <w:spacing w:after="0" w:line="240" w:lineRule="auto"/>
        <w:jc w:val="center"/>
        <w:rPr>
          <w:rFonts w:ascii="Times New Roman" w:hAnsi="Times New Roman" w:cs="Times New Roman"/>
          <w:b/>
          <w:bCs/>
          <w:sz w:val="20"/>
          <w:szCs w:val="20"/>
        </w:rPr>
      </w:pPr>
      <w:r w:rsidRPr="00777C95">
        <w:rPr>
          <w:rFonts w:ascii="Times New Roman" w:hAnsi="Times New Roman" w:cs="Times New Roman"/>
          <w:b/>
          <w:bCs/>
          <w:sz w:val="20"/>
          <w:szCs w:val="20"/>
        </w:rPr>
        <w:t>Table 1. Patient Characteristics (N = 36)</w:t>
      </w:r>
    </w:p>
    <w:tbl>
      <w:tblPr>
        <w:tblStyle w:val="ColorfulList-Accent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540"/>
        <w:gridCol w:w="412"/>
        <w:gridCol w:w="568"/>
      </w:tblGrid>
      <w:tr w:rsidR="00830E13" w:rsidRPr="00777C95" w:rsidTr="00777C95">
        <w:trPr>
          <w:cnfStyle w:val="100000000000"/>
          <w:jc w:val="center"/>
        </w:trPr>
        <w:tc>
          <w:tcPr>
            <w:cnfStyle w:val="001000000000"/>
            <w:tcW w:w="3916" w:type="pct"/>
            <w:tcBorders>
              <w:bottom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Patient Characteristics</w:t>
            </w:r>
          </w:p>
        </w:tc>
        <w:tc>
          <w:tcPr>
            <w:cnfStyle w:val="000010000000"/>
            <w:tcW w:w="456" w:type="pct"/>
            <w:tcBorders>
              <w:top w:val="none" w:sz="0" w:space="0" w:color="auto"/>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 xml:space="preserve">No. </w:t>
            </w:r>
          </w:p>
        </w:tc>
        <w:tc>
          <w:tcPr>
            <w:cnfStyle w:val="000100000000"/>
            <w:tcW w:w="629" w:type="pct"/>
            <w:tcBorders>
              <w:bottom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Sex</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Male</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Female</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24</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66.70</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33.30</w:t>
            </w:r>
          </w:p>
        </w:tc>
      </w:tr>
      <w:tr w:rsidR="00830E13" w:rsidRPr="00777C95" w:rsidTr="00777C95">
        <w:trPr>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i/>
                <w:iCs/>
                <w:sz w:val="20"/>
                <w:szCs w:val="16"/>
              </w:rPr>
            </w:pPr>
            <w:r w:rsidRPr="00777C95">
              <w:rPr>
                <w:rFonts w:ascii="Times New Roman" w:eastAsia="Times New Roman" w:hAnsi="Times New Roman" w:cs="Times New Roman"/>
                <w:i/>
                <w:iCs/>
                <w:sz w:val="20"/>
                <w:szCs w:val="16"/>
              </w:rPr>
              <w:t>Age, years</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Median</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Range</w:t>
            </w:r>
          </w:p>
        </w:tc>
        <w:tc>
          <w:tcPr>
            <w:cnfStyle w:val="000100000000"/>
            <w:tcW w:w="1084" w:type="pct"/>
            <w:gridSpan w:val="2"/>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61</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35-70</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proofErr w:type="spellStart"/>
            <w:r w:rsidRPr="00777C95">
              <w:rPr>
                <w:rFonts w:ascii="Times New Roman" w:eastAsia="Times New Roman" w:hAnsi="Times New Roman" w:cs="Times New Roman"/>
                <w:i/>
                <w:iCs/>
                <w:sz w:val="20"/>
                <w:szCs w:val="16"/>
              </w:rPr>
              <w:t>Karnofsky</w:t>
            </w:r>
            <w:proofErr w:type="spellEnd"/>
            <w:r w:rsidRPr="00777C95">
              <w:rPr>
                <w:rFonts w:ascii="Times New Roman" w:eastAsia="Times New Roman" w:hAnsi="Times New Roman" w:cs="Times New Roman"/>
                <w:i/>
                <w:iCs/>
                <w:sz w:val="20"/>
                <w:szCs w:val="16"/>
              </w:rPr>
              <w:t xml:space="preserve"> performance status%</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80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90</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100</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14</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11</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5</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16.67</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38.89</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30.56</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13.89</w:t>
            </w:r>
          </w:p>
        </w:tc>
      </w:tr>
      <w:tr w:rsidR="00830E13" w:rsidRPr="00777C95" w:rsidTr="00777C95">
        <w:trPr>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i/>
                <w:iCs/>
                <w:sz w:val="20"/>
                <w:szCs w:val="16"/>
              </w:rPr>
            </w:pPr>
            <w:r w:rsidRPr="00777C95">
              <w:rPr>
                <w:rFonts w:ascii="Times New Roman" w:eastAsia="Times New Roman" w:hAnsi="Times New Roman" w:cs="Times New Roman"/>
                <w:i/>
                <w:iCs/>
                <w:sz w:val="20"/>
                <w:szCs w:val="16"/>
              </w:rPr>
              <w:t>Type of cancer</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Colon only</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Rectal only</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Colon and rectal</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21</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3</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58.30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33.30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08.30</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T category of the primary cancer</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T1</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T2</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T3</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T4</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13</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16</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02.80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36.10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44.4</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16.70</w:t>
            </w:r>
          </w:p>
        </w:tc>
      </w:tr>
      <w:tr w:rsidR="00830E13" w:rsidRPr="00777C95" w:rsidTr="00777C95">
        <w:trPr>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Nodal status of the primary cancer</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N0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N1</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N2</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18</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12</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6</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50.00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33.30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16.60</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sz w:val="20"/>
                <w:szCs w:val="16"/>
              </w:rPr>
              <w:t>Time from diagnosis of primary to diagnosis of liver metastases (years)</w:t>
            </w:r>
          </w:p>
          <w:p w:rsidR="00830E13" w:rsidRPr="00777C95" w:rsidRDefault="00830E13" w:rsidP="00C439DC">
            <w:pPr>
              <w:bidi w:val="0"/>
              <w:snapToGrid w:val="0"/>
              <w:jc w:val="both"/>
              <w:rPr>
                <w:rFonts w:ascii="Times New Roman" w:eastAsia="Shaker2Lancet-Regular" w:hAnsi="Times New Roman" w:cs="Times New Roman"/>
                <w:b w:val="0"/>
                <w:bCs w:val="0"/>
                <w:sz w:val="20"/>
                <w:szCs w:val="16"/>
              </w:rPr>
            </w:pPr>
            <w:r w:rsidRPr="00777C95">
              <w:rPr>
                <w:rFonts w:ascii="Times New Roman" w:eastAsia="Shaker2Lancet-Regular" w:hAnsi="Times New Roman" w:cs="Times New Roman"/>
                <w:b w:val="0"/>
                <w:bCs w:val="0"/>
                <w:sz w:val="20"/>
                <w:szCs w:val="16"/>
              </w:rPr>
              <w:t>&lt;2</w:t>
            </w:r>
          </w:p>
          <w:p w:rsidR="00830E13" w:rsidRPr="00777C95" w:rsidRDefault="00830E13" w:rsidP="00C439DC">
            <w:pPr>
              <w:bidi w:val="0"/>
              <w:snapToGrid w:val="0"/>
              <w:jc w:val="both"/>
              <w:rPr>
                <w:rFonts w:ascii="Times New Roman" w:eastAsia="Times New Roman" w:hAnsi="Times New Roman" w:cs="Times New Roman"/>
                <w:i/>
                <w:iCs/>
                <w:sz w:val="20"/>
                <w:szCs w:val="16"/>
              </w:rPr>
            </w:pPr>
            <w:r w:rsidRPr="00777C95">
              <w:rPr>
                <w:rFonts w:ascii="Times New Roman" w:eastAsia="Shaker2Lancet-Regular" w:hAnsi="Times New Roman" w:cs="Times New Roman"/>
                <w:b w:val="0"/>
                <w:bCs w:val="0"/>
                <w:i/>
                <w:iCs/>
                <w:sz w:val="20"/>
                <w:szCs w:val="16"/>
              </w:rPr>
              <w:t>≥</w:t>
            </w:r>
            <w:r w:rsidRPr="00777C95">
              <w:rPr>
                <w:rFonts w:ascii="Times New Roman" w:eastAsia="Times New Roman" w:hAnsi="Times New Roman" w:cs="Times New Roman"/>
                <w:b w:val="0"/>
                <w:bCs w:val="0"/>
                <w:i/>
                <w:iCs/>
                <w:sz w:val="20"/>
                <w:szCs w:val="16"/>
              </w:rPr>
              <w:t>2</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26</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72.20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27.80</w:t>
            </w:r>
          </w:p>
        </w:tc>
      </w:tr>
      <w:tr w:rsidR="00830E13" w:rsidRPr="00777C95" w:rsidTr="00777C95">
        <w:trPr>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Number</w:t>
            </w:r>
            <w:r w:rsidR="00777C95" w:rsidRPr="00777C95">
              <w:rPr>
                <w:rFonts w:ascii="Times New Roman" w:eastAsia="Times New Roman" w:hAnsi="Times New Roman" w:cs="Times New Roman"/>
                <w:i/>
                <w:iCs/>
                <w:sz w:val="20"/>
                <w:szCs w:val="16"/>
              </w:rPr>
              <w:t xml:space="preserve"> </w:t>
            </w:r>
            <w:proofErr w:type="spellStart"/>
            <w:r w:rsidRPr="00777C95">
              <w:rPr>
                <w:rFonts w:ascii="Times New Roman" w:eastAsia="Times New Roman" w:hAnsi="Times New Roman" w:cs="Times New Roman"/>
                <w:i/>
                <w:iCs/>
                <w:sz w:val="20"/>
                <w:szCs w:val="16"/>
              </w:rPr>
              <w:t>ofliver</w:t>
            </w:r>
            <w:proofErr w:type="spellEnd"/>
            <w:r w:rsidRPr="00777C95">
              <w:rPr>
                <w:rFonts w:ascii="Times New Roman" w:eastAsia="Times New Roman" w:hAnsi="Times New Roman" w:cs="Times New Roman"/>
                <w:i/>
                <w:iCs/>
                <w:sz w:val="20"/>
                <w:szCs w:val="16"/>
              </w:rPr>
              <w:t xml:space="preserve"> metastasis</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Single metastasis</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b w:val="0"/>
                <w:bCs w:val="0"/>
                <w:sz w:val="20"/>
                <w:szCs w:val="16"/>
              </w:rPr>
              <w:t>Multiple metastases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16</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44.40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55.60</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Times New Roman" w:hAnsi="Times New Roman" w:cs="Times New Roman"/>
                <w:i/>
                <w:iCs/>
                <w:sz w:val="20"/>
                <w:szCs w:val="16"/>
              </w:rPr>
              <w:t>Size of</w:t>
            </w:r>
            <w:r w:rsidR="00777C95" w:rsidRPr="00777C95">
              <w:rPr>
                <w:rFonts w:ascii="Times New Roman" w:eastAsia="Times New Roman" w:hAnsi="Times New Roman" w:cs="Times New Roman"/>
                <w:i/>
                <w:iCs/>
                <w:sz w:val="20"/>
                <w:szCs w:val="16"/>
              </w:rPr>
              <w:t xml:space="preserve"> </w:t>
            </w:r>
            <w:r w:rsidRPr="00777C95">
              <w:rPr>
                <w:rFonts w:ascii="Times New Roman" w:eastAsia="Times New Roman" w:hAnsi="Times New Roman" w:cs="Times New Roman"/>
                <w:i/>
                <w:iCs/>
                <w:sz w:val="20"/>
                <w:szCs w:val="16"/>
              </w:rPr>
              <w:t>largest liver metastasis</w:t>
            </w:r>
          </w:p>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&lt;</w:t>
            </w:r>
            <w:r w:rsidRPr="00777C95">
              <w:rPr>
                <w:rFonts w:ascii="Times New Roman" w:eastAsia="Times New Roman" w:hAnsi="Times New Roman" w:cs="Times New Roman"/>
                <w:b w:val="0"/>
                <w:bCs w:val="0"/>
                <w:i/>
                <w:iCs/>
                <w:sz w:val="20"/>
                <w:szCs w:val="16"/>
              </w:rPr>
              <w:t>5 cm</w:t>
            </w:r>
          </w:p>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w:t>
            </w:r>
            <w:r w:rsidRPr="00777C95">
              <w:rPr>
                <w:rFonts w:ascii="Times New Roman" w:eastAsia="Times New Roman" w:hAnsi="Times New Roman" w:cs="Times New Roman"/>
                <w:b w:val="0"/>
                <w:bCs w:val="0"/>
                <w:i/>
                <w:iCs/>
                <w:sz w:val="20"/>
                <w:szCs w:val="16"/>
              </w:rPr>
              <w:t>5 cm</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28</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8</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77.70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22.20</w:t>
            </w:r>
          </w:p>
        </w:tc>
      </w:tr>
      <w:tr w:rsidR="00830E13" w:rsidRPr="00777C95" w:rsidTr="00777C95">
        <w:trPr>
          <w:jc w:val="center"/>
        </w:trPr>
        <w:tc>
          <w:tcPr>
            <w:cnfStyle w:val="001000000000"/>
            <w:tcW w:w="3916" w:type="pct"/>
            <w:vAlign w:val="center"/>
          </w:tcPr>
          <w:p w:rsidR="00830E13" w:rsidRPr="00777C95" w:rsidRDefault="00830E13" w:rsidP="00C439DC">
            <w:pPr>
              <w:bidi w:val="0"/>
              <w:snapToGrid w:val="0"/>
              <w:jc w:val="both"/>
              <w:rPr>
                <w:rFonts w:ascii="Times New Roman" w:eastAsia="Times New Roman" w:hAnsi="Times New Roman" w:cs="Times New Roman"/>
                <w:b w:val="0"/>
                <w:bCs w:val="0"/>
                <w:i/>
                <w:iCs/>
                <w:sz w:val="20"/>
                <w:szCs w:val="16"/>
              </w:rPr>
            </w:pPr>
            <w:r w:rsidRPr="00777C95">
              <w:rPr>
                <w:rFonts w:ascii="Times New Roman" w:eastAsia="Shaker2Lancet-Regular" w:hAnsi="Times New Roman" w:cs="Times New Roman"/>
                <w:i/>
                <w:iCs/>
                <w:color w:val="231F20"/>
                <w:sz w:val="20"/>
                <w:szCs w:val="16"/>
              </w:rPr>
              <w:t>Synchronicity of liver metastases</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proofErr w:type="spellStart"/>
            <w:r w:rsidRPr="00777C95">
              <w:rPr>
                <w:rFonts w:ascii="Times New Roman" w:eastAsia="Shaker2Lancet-Regular" w:hAnsi="Times New Roman" w:cs="Times New Roman"/>
                <w:b w:val="0"/>
                <w:bCs w:val="0"/>
                <w:color w:val="231F20"/>
                <w:sz w:val="20"/>
                <w:szCs w:val="16"/>
              </w:rPr>
              <w:t>Metachronous</w:t>
            </w:r>
            <w:proofErr w:type="spellEnd"/>
            <w:r w:rsidRPr="00777C95">
              <w:rPr>
                <w:rFonts w:ascii="Times New Roman" w:eastAsia="Shaker2Lancet-Regular" w:hAnsi="Times New Roman" w:cs="Times New Roman"/>
                <w:b w:val="0"/>
                <w:bCs w:val="0"/>
                <w:color w:val="231F20"/>
                <w:sz w:val="20"/>
                <w:szCs w:val="16"/>
              </w:rPr>
              <w:t xml:space="preserve"> metastases</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Shaker2Lancet-Regular" w:hAnsi="Times New Roman" w:cs="Times New Roman"/>
                <w:b w:val="0"/>
                <w:bCs w:val="0"/>
                <w:color w:val="231F20"/>
                <w:sz w:val="20"/>
                <w:szCs w:val="16"/>
              </w:rPr>
              <w:t>Synchronous metastases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29</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7</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80.60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19.40</w:t>
            </w:r>
          </w:p>
        </w:tc>
      </w:tr>
      <w:tr w:rsidR="00830E13" w:rsidRPr="00777C95" w:rsidTr="00777C95">
        <w:trPr>
          <w:cnfStyle w:val="000000100000"/>
          <w:jc w:val="center"/>
        </w:trPr>
        <w:tc>
          <w:tcPr>
            <w:cnfStyle w:val="001000000000"/>
            <w:tcW w:w="3916" w:type="pct"/>
            <w:vAlign w:val="center"/>
          </w:tcPr>
          <w:p w:rsidR="00830E13" w:rsidRPr="00777C95" w:rsidRDefault="00830E13" w:rsidP="00C439DC">
            <w:pPr>
              <w:bidi w:val="0"/>
              <w:snapToGrid w:val="0"/>
              <w:jc w:val="both"/>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i/>
                <w:iCs/>
                <w:sz w:val="20"/>
                <w:szCs w:val="16"/>
              </w:rPr>
              <w:t>CEA level</w:t>
            </w:r>
          </w:p>
          <w:p w:rsidR="00830E13" w:rsidRPr="00777C95" w:rsidRDefault="00830E13" w:rsidP="00C439DC">
            <w:pPr>
              <w:bidi w:val="0"/>
              <w:snapToGrid w:val="0"/>
              <w:jc w:val="both"/>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&lt;</w:t>
            </w:r>
            <w:r w:rsidRPr="00777C95">
              <w:rPr>
                <w:rFonts w:ascii="Times New Roman" w:eastAsia="Shaker2Lancet-Regular" w:hAnsi="Times New Roman" w:cs="Times New Roman"/>
                <w:b w:val="0"/>
                <w:bCs w:val="0"/>
                <w:i/>
                <w:iCs/>
                <w:sz w:val="20"/>
                <w:szCs w:val="16"/>
              </w:rPr>
              <w:t xml:space="preserve">200 </w:t>
            </w:r>
            <w:proofErr w:type="spellStart"/>
            <w:r w:rsidRPr="00777C95">
              <w:rPr>
                <w:rFonts w:ascii="Times New Roman" w:eastAsia="Shaker2Lancet-Regular" w:hAnsi="Times New Roman" w:cs="Times New Roman"/>
                <w:b w:val="0"/>
                <w:bCs w:val="0"/>
                <w:i/>
                <w:iCs/>
                <w:sz w:val="20"/>
                <w:szCs w:val="16"/>
              </w:rPr>
              <w:t>ng</w:t>
            </w:r>
            <w:proofErr w:type="spellEnd"/>
            <w:r w:rsidRPr="00777C95">
              <w:rPr>
                <w:rFonts w:ascii="Times New Roman" w:eastAsia="Shaker2Lancet-Regular" w:hAnsi="Times New Roman" w:cs="Times New Roman"/>
                <w:b w:val="0"/>
                <w:bCs w:val="0"/>
                <w:i/>
                <w:iCs/>
                <w:sz w:val="20"/>
                <w:szCs w:val="16"/>
              </w:rPr>
              <w:t>/ml</w:t>
            </w:r>
          </w:p>
          <w:p w:rsidR="00830E13" w:rsidRPr="00777C95" w:rsidRDefault="00830E13" w:rsidP="00C439DC">
            <w:pPr>
              <w:bidi w:val="0"/>
              <w:snapToGrid w:val="0"/>
              <w:jc w:val="both"/>
              <w:rPr>
                <w:rFonts w:ascii="Times New Roman" w:eastAsia="Shaker2Lancet-Regular" w:hAnsi="Times New Roman" w:cs="Times New Roman"/>
                <w:b w:val="0"/>
                <w:bCs w:val="0"/>
                <w:i/>
                <w:iCs/>
                <w:sz w:val="20"/>
                <w:szCs w:val="16"/>
              </w:rPr>
            </w:pPr>
            <w:r w:rsidRPr="00777C95">
              <w:rPr>
                <w:rFonts w:ascii="Times New Roman" w:eastAsia="Shaker2Lancet-Regular" w:hAnsi="Times New Roman" w:cs="Times New Roman"/>
                <w:b w:val="0"/>
                <w:bCs w:val="0"/>
                <w:sz w:val="20"/>
                <w:szCs w:val="16"/>
              </w:rPr>
              <w:t>≥</w:t>
            </w:r>
            <w:r w:rsidRPr="00777C95">
              <w:rPr>
                <w:rFonts w:ascii="Times New Roman" w:eastAsia="Shaker2Lancet-Regular" w:hAnsi="Times New Roman" w:cs="Times New Roman"/>
                <w:b w:val="0"/>
                <w:bCs w:val="0"/>
                <w:i/>
                <w:iCs/>
                <w:sz w:val="20"/>
                <w:szCs w:val="16"/>
              </w:rPr>
              <w:t xml:space="preserve">200 </w:t>
            </w:r>
            <w:proofErr w:type="spellStart"/>
            <w:r w:rsidRPr="00777C95">
              <w:rPr>
                <w:rFonts w:ascii="Times New Roman" w:eastAsia="Shaker2Lancet-Regular" w:hAnsi="Times New Roman" w:cs="Times New Roman"/>
                <w:b w:val="0"/>
                <w:bCs w:val="0"/>
                <w:i/>
                <w:iCs/>
                <w:sz w:val="20"/>
                <w:szCs w:val="16"/>
              </w:rPr>
              <w:t>ng</w:t>
            </w:r>
            <w:proofErr w:type="spellEnd"/>
            <w:r w:rsidRPr="00777C95">
              <w:rPr>
                <w:rFonts w:ascii="Times New Roman" w:eastAsia="Shaker2Lancet-Regular" w:hAnsi="Times New Roman" w:cs="Times New Roman"/>
                <w:b w:val="0"/>
                <w:bCs w:val="0"/>
                <w:i/>
                <w:iCs/>
                <w:sz w:val="20"/>
                <w:szCs w:val="16"/>
              </w:rPr>
              <w:t>/ml</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sz w:val="20"/>
                <w:szCs w:val="16"/>
              </w:rPr>
            </w:pP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26</w:t>
            </w:r>
          </w:p>
          <w:p w:rsidR="00830E13" w:rsidRPr="00777C95" w:rsidRDefault="00830E13" w:rsidP="00C439DC">
            <w:pPr>
              <w:bidi w:val="0"/>
              <w:snapToGrid w:val="0"/>
              <w:jc w:val="both"/>
              <w:rPr>
                <w:rFonts w:ascii="Times New Roman" w:eastAsia="Times New Roman" w:hAnsi="Times New Roman" w:cs="Times New Roman"/>
                <w:sz w:val="20"/>
                <w:szCs w:val="16"/>
              </w:rPr>
            </w:pPr>
            <w:r w:rsidRPr="00777C95">
              <w:rPr>
                <w:rFonts w:ascii="Times New Roman" w:eastAsia="Times New Roman" w:hAnsi="Times New Roman" w:cs="Times New Roman"/>
                <w:sz w:val="20"/>
                <w:szCs w:val="16"/>
              </w:rPr>
              <w:t>10</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72.20</w:t>
            </w:r>
          </w:p>
          <w:p w:rsidR="00830E13" w:rsidRPr="00777C95" w:rsidRDefault="00830E13" w:rsidP="00C439DC">
            <w:pPr>
              <w:bidi w:val="0"/>
              <w:snapToGrid w:val="0"/>
              <w:jc w:val="both"/>
              <w:rPr>
                <w:rFonts w:ascii="Times New Roman" w:eastAsia="Times New Roman" w:hAnsi="Times New Roman" w:cs="Times New Roman"/>
                <w:b w:val="0"/>
                <w:bCs w:val="0"/>
                <w:sz w:val="20"/>
                <w:szCs w:val="16"/>
              </w:rPr>
            </w:pPr>
            <w:r w:rsidRPr="00777C95">
              <w:rPr>
                <w:rFonts w:ascii="Times New Roman" w:eastAsia="Times New Roman" w:hAnsi="Times New Roman" w:cs="Times New Roman"/>
                <w:b w:val="0"/>
                <w:bCs w:val="0"/>
                <w:sz w:val="20"/>
                <w:szCs w:val="16"/>
              </w:rPr>
              <w:t>27.70</w:t>
            </w:r>
          </w:p>
        </w:tc>
      </w:tr>
      <w:tr w:rsidR="00830E13" w:rsidRPr="00777C95" w:rsidTr="00777C95">
        <w:trPr>
          <w:cnfStyle w:val="010000000000"/>
          <w:jc w:val="center"/>
        </w:trPr>
        <w:tc>
          <w:tcPr>
            <w:cnfStyle w:val="001000000000"/>
            <w:tcW w:w="3916" w:type="pct"/>
            <w:vAlign w:val="center"/>
          </w:tcPr>
          <w:p w:rsidR="00830E13" w:rsidRPr="00777C95" w:rsidRDefault="00830E13" w:rsidP="00C439DC">
            <w:pPr>
              <w:bidi w:val="0"/>
              <w:snapToGrid w:val="0"/>
              <w:jc w:val="both"/>
              <w:rPr>
                <w:rFonts w:ascii="Times New Roman" w:eastAsia="Shaker2Lancet-Regular" w:hAnsi="Times New Roman" w:cs="Times New Roman"/>
                <w:b w:val="0"/>
                <w:bCs w:val="0"/>
                <w:i/>
                <w:iCs/>
                <w:color w:val="auto"/>
                <w:sz w:val="20"/>
                <w:szCs w:val="16"/>
              </w:rPr>
            </w:pPr>
            <w:r w:rsidRPr="00777C95">
              <w:rPr>
                <w:rFonts w:ascii="Times New Roman" w:eastAsia="Shaker2Lancet-Regular" w:hAnsi="Times New Roman" w:cs="Times New Roman"/>
                <w:i/>
                <w:iCs/>
                <w:color w:val="auto"/>
                <w:sz w:val="20"/>
                <w:szCs w:val="16"/>
              </w:rPr>
              <w:t>Previous adjuvant chemotherapy for primary cancer</w:t>
            </w:r>
          </w:p>
          <w:p w:rsidR="00830E13" w:rsidRPr="00777C95" w:rsidRDefault="00830E13" w:rsidP="00C439DC">
            <w:pPr>
              <w:bidi w:val="0"/>
              <w:snapToGrid w:val="0"/>
              <w:jc w:val="both"/>
              <w:rPr>
                <w:rFonts w:ascii="Times New Roman" w:eastAsia="Shaker2Lancet-Regular" w:hAnsi="Times New Roman" w:cs="Times New Roman"/>
                <w:b w:val="0"/>
                <w:bCs w:val="0"/>
                <w:color w:val="auto"/>
                <w:sz w:val="20"/>
                <w:szCs w:val="16"/>
              </w:rPr>
            </w:pPr>
            <w:r w:rsidRPr="00777C95">
              <w:rPr>
                <w:rFonts w:ascii="Times New Roman" w:eastAsia="Shaker2Lancet-Regular" w:hAnsi="Times New Roman" w:cs="Times New Roman"/>
                <w:b w:val="0"/>
                <w:bCs w:val="0"/>
                <w:color w:val="auto"/>
                <w:sz w:val="20"/>
                <w:szCs w:val="16"/>
              </w:rPr>
              <w:t>No</w:t>
            </w:r>
          </w:p>
          <w:p w:rsidR="00830E13" w:rsidRPr="00777C95" w:rsidRDefault="00830E13" w:rsidP="00C439DC">
            <w:pPr>
              <w:bidi w:val="0"/>
              <w:snapToGrid w:val="0"/>
              <w:jc w:val="both"/>
              <w:rPr>
                <w:rFonts w:ascii="Times New Roman" w:eastAsia="Shaker2Lancet-Regular" w:hAnsi="Times New Roman" w:cs="Times New Roman"/>
                <w:color w:val="auto"/>
                <w:sz w:val="20"/>
                <w:szCs w:val="16"/>
              </w:rPr>
            </w:pPr>
            <w:r w:rsidRPr="00777C95">
              <w:rPr>
                <w:rFonts w:ascii="Times New Roman" w:eastAsia="Shaker2Lancet-Regular" w:hAnsi="Times New Roman" w:cs="Times New Roman"/>
                <w:b w:val="0"/>
                <w:bCs w:val="0"/>
                <w:color w:val="auto"/>
                <w:sz w:val="20"/>
                <w:szCs w:val="16"/>
              </w:rPr>
              <w:t>Yes</w:t>
            </w:r>
          </w:p>
        </w:tc>
        <w:tc>
          <w:tcPr>
            <w:cnfStyle w:val="000010000000"/>
            <w:tcW w:w="456" w:type="pct"/>
            <w:tcBorders>
              <w:left w:val="none" w:sz="0" w:space="0" w:color="auto"/>
              <w:bottom w:val="none" w:sz="0" w:space="0" w:color="auto"/>
              <w:right w:val="none" w:sz="0" w:space="0" w:color="auto"/>
            </w:tcBorders>
            <w:vAlign w:val="center"/>
          </w:tcPr>
          <w:p w:rsidR="00830E13" w:rsidRPr="00777C95" w:rsidRDefault="00830E13" w:rsidP="00C439DC">
            <w:pPr>
              <w:bidi w:val="0"/>
              <w:snapToGrid w:val="0"/>
              <w:jc w:val="both"/>
              <w:rPr>
                <w:rFonts w:ascii="Times New Roman" w:eastAsia="Times New Roman" w:hAnsi="Times New Roman" w:cs="Times New Roman"/>
                <w:color w:val="auto"/>
                <w:sz w:val="20"/>
                <w:szCs w:val="16"/>
              </w:rPr>
            </w:pPr>
          </w:p>
          <w:p w:rsidR="00830E13" w:rsidRPr="00777C95" w:rsidRDefault="00830E13" w:rsidP="00C439DC">
            <w:pPr>
              <w:bidi w:val="0"/>
              <w:snapToGrid w:val="0"/>
              <w:jc w:val="both"/>
              <w:rPr>
                <w:rFonts w:ascii="Times New Roman" w:eastAsia="Times New Roman" w:hAnsi="Times New Roman" w:cs="Times New Roman"/>
                <w:color w:val="auto"/>
                <w:sz w:val="20"/>
                <w:szCs w:val="16"/>
              </w:rPr>
            </w:pPr>
            <w:r w:rsidRPr="00777C95">
              <w:rPr>
                <w:rFonts w:ascii="Times New Roman" w:eastAsia="Times New Roman" w:hAnsi="Times New Roman" w:cs="Times New Roman"/>
                <w:color w:val="auto"/>
                <w:sz w:val="20"/>
                <w:szCs w:val="16"/>
              </w:rPr>
              <w:t>17</w:t>
            </w:r>
          </w:p>
          <w:p w:rsidR="00830E13" w:rsidRPr="00777C95" w:rsidRDefault="00830E13" w:rsidP="00C439DC">
            <w:pPr>
              <w:bidi w:val="0"/>
              <w:snapToGrid w:val="0"/>
              <w:jc w:val="both"/>
              <w:rPr>
                <w:rFonts w:ascii="Times New Roman" w:eastAsia="Times New Roman" w:hAnsi="Times New Roman" w:cs="Times New Roman"/>
                <w:color w:val="auto"/>
                <w:sz w:val="20"/>
                <w:szCs w:val="16"/>
              </w:rPr>
            </w:pPr>
            <w:r w:rsidRPr="00777C95">
              <w:rPr>
                <w:rFonts w:ascii="Times New Roman" w:eastAsia="Times New Roman" w:hAnsi="Times New Roman" w:cs="Times New Roman"/>
                <w:color w:val="auto"/>
                <w:sz w:val="20"/>
                <w:szCs w:val="16"/>
              </w:rPr>
              <w:t>19</w:t>
            </w:r>
          </w:p>
        </w:tc>
        <w:tc>
          <w:tcPr>
            <w:cnfStyle w:val="000100000000"/>
            <w:tcW w:w="629" w:type="pct"/>
            <w:vAlign w:val="center"/>
          </w:tcPr>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p>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r w:rsidRPr="00777C95">
              <w:rPr>
                <w:rFonts w:ascii="Times New Roman" w:eastAsia="Times New Roman" w:hAnsi="Times New Roman" w:cs="Times New Roman"/>
                <w:b w:val="0"/>
                <w:bCs w:val="0"/>
                <w:color w:val="auto"/>
                <w:sz w:val="20"/>
                <w:szCs w:val="16"/>
              </w:rPr>
              <w:t>47.20</w:t>
            </w:r>
          </w:p>
          <w:p w:rsidR="00830E13" w:rsidRPr="00777C95" w:rsidRDefault="00830E13" w:rsidP="00C439DC">
            <w:pPr>
              <w:bidi w:val="0"/>
              <w:snapToGrid w:val="0"/>
              <w:jc w:val="both"/>
              <w:rPr>
                <w:rFonts w:ascii="Times New Roman" w:eastAsia="Times New Roman" w:hAnsi="Times New Roman" w:cs="Times New Roman"/>
                <w:b w:val="0"/>
                <w:bCs w:val="0"/>
                <w:color w:val="auto"/>
                <w:sz w:val="20"/>
                <w:szCs w:val="16"/>
              </w:rPr>
            </w:pPr>
            <w:r w:rsidRPr="00777C95">
              <w:rPr>
                <w:rFonts w:ascii="Times New Roman" w:eastAsia="Times New Roman" w:hAnsi="Times New Roman" w:cs="Times New Roman"/>
                <w:b w:val="0"/>
                <w:bCs w:val="0"/>
                <w:color w:val="auto"/>
                <w:sz w:val="20"/>
                <w:szCs w:val="16"/>
              </w:rPr>
              <w:t>52.80</w:t>
            </w:r>
          </w:p>
        </w:tc>
      </w:tr>
    </w:tbl>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Patients were assigned to receive pre-and postoperative chemotherapy, four cycles of XELOX over three months each part unless disease progression or unacceptable toxicity occurred.</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A total of 264 cycles of XELOX were given. The median number of XELOX cycles was 7 (range 2–8). </w:t>
      </w:r>
      <w:r w:rsidRPr="00777C95">
        <w:rPr>
          <w:rFonts w:ascii="Times New Roman" w:hAnsi="Times New Roman" w:cs="Times New Roman"/>
          <w:sz w:val="20"/>
          <w:szCs w:val="20"/>
        </w:rPr>
        <w:lastRenderedPageBreak/>
        <w:t xml:space="preserve">All cycles were initiated at the initially planned doses. A total of 28 patients (77.7%) completed all the planned preoperative and postoperative 8 cycles. One patient (2.7%) received only 3 cycles preoperatively and could not receive the fourth one because of toxicity but we added it to the postoperative part of treatment. Two patients (5.5%) completed the four preoperative cycles but received only 3 cycles postoperatively because of unacceptable toxicity. Five patients (13.8%) received all or part of the preoperative treatment and progressed and could not undergo resection (the progression was evident after 2 cycles in one patient and discontinued treatment, while it needed 4 cycles to become clear in the other four patients) and did not receive the planned XELOX cycles but had been shifted to 5-fluorouracil, </w:t>
      </w:r>
      <w:proofErr w:type="spellStart"/>
      <w:r w:rsidRPr="00777C95">
        <w:rPr>
          <w:rFonts w:ascii="Times New Roman" w:hAnsi="Times New Roman" w:cs="Times New Roman"/>
          <w:sz w:val="20"/>
          <w:szCs w:val="20"/>
        </w:rPr>
        <w:t>leucovorin</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irinotecan</w:t>
      </w:r>
      <w:proofErr w:type="spellEnd"/>
      <w:r w:rsidRPr="00777C95">
        <w:rPr>
          <w:rFonts w:ascii="Times New Roman" w:hAnsi="Times New Roman" w:cs="Times New Roman"/>
          <w:sz w:val="20"/>
          <w:szCs w:val="20"/>
        </w:rPr>
        <w:t xml:space="preserve"> regimen (FOLFIRI). </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777C95">
        <w:rPr>
          <w:rFonts w:ascii="Times New Roman" w:hAnsi="Times New Roman" w:cs="Times New Roman"/>
          <w:sz w:val="20"/>
          <w:szCs w:val="20"/>
        </w:rPr>
        <w:t>Surgery of metastases (liver resection) was allowed 3–5 weeks (median 4 weeks) after the last administration of preoperative chemotherapy after complete recovery from chemotherapy toxicity with KPS of ≥ 70; adequate bone marrow reserve, and adequate renal and liver functions.</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Intra-operative </w:t>
      </w:r>
      <w:proofErr w:type="spellStart"/>
      <w:r w:rsidRPr="00777C95">
        <w:rPr>
          <w:rFonts w:ascii="Times New Roman" w:hAnsi="Times New Roman" w:cs="Times New Roman"/>
          <w:sz w:val="20"/>
          <w:szCs w:val="20"/>
        </w:rPr>
        <w:t>ultrasonography</w:t>
      </w:r>
      <w:proofErr w:type="spellEnd"/>
      <w:r w:rsidRPr="00777C95">
        <w:rPr>
          <w:rFonts w:ascii="Times New Roman" w:hAnsi="Times New Roman" w:cs="Times New Roman"/>
          <w:sz w:val="20"/>
          <w:szCs w:val="20"/>
        </w:rPr>
        <w:t xml:space="preserve"> was of great help in detecting and localizing all hepatic metastases. All operated patients achieved R0 resection defined by the postoperative pathological report.</w:t>
      </w:r>
    </w:p>
    <w:p w:rsidR="00830E13" w:rsidRPr="00777C95" w:rsidRDefault="00830E13"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Five patients could not undergo resection due to disease progression, four patients developed new lesions and in the fifth one, his tumor size increased in size. After re-evaluation of those patients, all of them became ineligible for resection. </w:t>
      </w:r>
    </w:p>
    <w:p w:rsidR="00830E13" w:rsidRPr="00777C95" w:rsidRDefault="00830E13"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 xml:space="preserve">Response to preoperative Treatment </w:t>
      </w:r>
    </w:p>
    <w:p w:rsidR="00830E13" w:rsidRPr="00777C95" w:rsidRDefault="00830E13" w:rsidP="00C439DC">
      <w:pPr>
        <w:bidi w:val="0"/>
        <w:snapToGrid w:val="0"/>
        <w:spacing w:after="0" w:line="240" w:lineRule="auto"/>
        <w:ind w:firstLine="425"/>
        <w:jc w:val="both"/>
        <w:outlineLvl w:val="1"/>
        <w:rPr>
          <w:rFonts w:ascii="Times New Roman" w:hAnsi="Times New Roman" w:cs="Times New Roman"/>
          <w:sz w:val="20"/>
          <w:szCs w:val="20"/>
        </w:rPr>
      </w:pPr>
      <w:r w:rsidRPr="00777C95">
        <w:rPr>
          <w:rFonts w:ascii="Times New Roman" w:hAnsi="Times New Roman" w:cs="Times New Roman"/>
          <w:sz w:val="20"/>
          <w:szCs w:val="20"/>
        </w:rPr>
        <w:lastRenderedPageBreak/>
        <w:t>The primary goal of monitoring patients in the preoperative treatment part was to detect exactly the tumor response. The response to the preoperative part of the treatment was assessed after every two cycles of XELOX and illustrated in table 2. Overall response rate (complete response and partial response) was 44.5% (16/36), and tumor control rate (overall response and stable disease) was 86.1% (31/36) according to the RECIST criteria. Complete response was observed in only one patient (2.8%). All objective responses were confirmed at least4 weeks after first observation.</w:t>
      </w:r>
    </w:p>
    <w:p w:rsidR="00830E13" w:rsidRPr="00777C95" w:rsidRDefault="00830E13" w:rsidP="00C439DC">
      <w:pPr>
        <w:bidi w:val="0"/>
        <w:snapToGrid w:val="0"/>
        <w:spacing w:after="0" w:line="240" w:lineRule="auto"/>
        <w:ind w:firstLine="425"/>
        <w:jc w:val="both"/>
        <w:outlineLvl w:val="1"/>
        <w:rPr>
          <w:rFonts w:ascii="Times New Roman" w:hAnsi="Times New Roman" w:cs="Times New Roman"/>
          <w:b/>
          <w:bCs/>
          <w:sz w:val="20"/>
          <w:szCs w:val="20"/>
        </w:rPr>
      </w:pPr>
      <w:proofErr w:type="spellStart"/>
      <w:r w:rsidRPr="00777C95">
        <w:rPr>
          <w:rFonts w:ascii="Times New Roman" w:hAnsi="Times New Roman" w:cs="Times New Roman"/>
          <w:sz w:val="20"/>
          <w:szCs w:val="20"/>
        </w:rPr>
        <w:t>Karnofsky</w:t>
      </w:r>
      <w:proofErr w:type="spellEnd"/>
      <w:r w:rsidRPr="00777C95">
        <w:rPr>
          <w:rFonts w:ascii="Times New Roman" w:hAnsi="Times New Roman" w:cs="Times New Roman"/>
          <w:sz w:val="20"/>
          <w:szCs w:val="20"/>
        </w:rPr>
        <w:t xml:space="preserve"> performance status did not significantly affect response rates (P = 0.202). Response rate was significantly higher in patients with primary colonic carcinoma (P=0.001), female patients (P=&lt; 0.0001), patients with solitary liver metastasis (P=0.001), liver metastasis &lt;5 cm (P =0.045)</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N</w:t>
      </w:r>
      <w:r w:rsidRPr="00777C95">
        <w:rPr>
          <w:rFonts w:ascii="Times New Roman" w:hAnsi="Times New Roman" w:cs="Times New Roman"/>
          <w:sz w:val="20"/>
          <w:szCs w:val="20"/>
        </w:rPr>
        <w:t>-0 of the primary (P=0.009)</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Pr="00777C95">
        <w:rPr>
          <w:rFonts w:ascii="Times New Roman" w:hAnsi="Times New Roman" w:cs="Times New Roman"/>
          <w:sz w:val="20"/>
          <w:szCs w:val="20"/>
        </w:rPr>
        <w:t>-1T-2</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primary (P = 0.001), time interval to metastases ≥ 2 year</w:t>
      </w:r>
      <w:r w:rsidR="00777C95" w:rsidRPr="00777C95">
        <w:rPr>
          <w:rFonts w:ascii="Times New Roman" w:hAnsi="Times New Roman" w:cs="Times New Roman"/>
          <w:sz w:val="20"/>
          <w:szCs w:val="20"/>
        </w:rPr>
        <w:t>s (</w:t>
      </w:r>
      <w:r w:rsidRPr="00777C95">
        <w:rPr>
          <w:rFonts w:ascii="Times New Roman" w:hAnsi="Times New Roman" w:cs="Times New Roman"/>
          <w:sz w:val="20"/>
          <w:szCs w:val="20"/>
        </w:rPr>
        <w:t>P= 0.011)</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C</w:t>
      </w:r>
      <w:r w:rsidRPr="00777C95">
        <w:rPr>
          <w:rFonts w:ascii="Times New Roman" w:hAnsi="Times New Roman" w:cs="Times New Roman"/>
          <w:sz w:val="20"/>
          <w:szCs w:val="20"/>
        </w:rPr>
        <w:t xml:space="preserve">EA level&lt; 200ng/ml (P = 0.011), patients with </w:t>
      </w:r>
      <w:proofErr w:type="spellStart"/>
      <w:r w:rsidRPr="00777C95">
        <w:rPr>
          <w:rFonts w:ascii="Times New Roman" w:hAnsi="Times New Roman" w:cs="Times New Roman"/>
          <w:sz w:val="20"/>
          <w:szCs w:val="20"/>
        </w:rPr>
        <w:t>histo-patholgical</w:t>
      </w:r>
      <w:proofErr w:type="spellEnd"/>
      <w:r w:rsidRPr="00777C95">
        <w:rPr>
          <w:rFonts w:ascii="Times New Roman" w:hAnsi="Times New Roman" w:cs="Times New Roman"/>
          <w:sz w:val="20"/>
          <w:szCs w:val="20"/>
        </w:rPr>
        <w:t xml:space="preserve"> grade I/II tumors (P=0.004), and in patients who had not received previous chemotherapy (P = 0.021) (Table 3).</w:t>
      </w:r>
    </w:p>
    <w:p w:rsidR="00777C95" w:rsidRPr="00777C95" w:rsidRDefault="00777C95" w:rsidP="00C439DC">
      <w:pPr>
        <w:bidi w:val="0"/>
        <w:snapToGrid w:val="0"/>
        <w:spacing w:after="0" w:line="240" w:lineRule="auto"/>
        <w:jc w:val="center"/>
        <w:outlineLvl w:val="1"/>
        <w:rPr>
          <w:rFonts w:ascii="Times New Roman" w:hAnsi="Times New Roman" w:cs="Times New Roman"/>
          <w:b/>
          <w:bCs/>
          <w:sz w:val="20"/>
          <w:szCs w:val="18"/>
          <w:lang w:eastAsia="zh-CN"/>
        </w:rPr>
      </w:pPr>
    </w:p>
    <w:p w:rsidR="00830E13" w:rsidRPr="00777C95" w:rsidRDefault="00830E13" w:rsidP="00C439DC">
      <w:pPr>
        <w:bidi w:val="0"/>
        <w:snapToGrid w:val="0"/>
        <w:spacing w:after="0" w:line="240" w:lineRule="auto"/>
        <w:jc w:val="both"/>
        <w:outlineLvl w:val="1"/>
        <w:rPr>
          <w:rFonts w:ascii="Times New Roman" w:hAnsi="Times New Roman" w:cs="Times New Roman"/>
          <w:b/>
          <w:bCs/>
          <w:sz w:val="20"/>
          <w:szCs w:val="18"/>
        </w:rPr>
      </w:pPr>
      <w:r w:rsidRPr="00777C95">
        <w:rPr>
          <w:rFonts w:ascii="Times New Roman" w:hAnsi="Times New Roman" w:cs="Times New Roman"/>
          <w:b/>
          <w:bCs/>
          <w:sz w:val="20"/>
          <w:szCs w:val="18"/>
        </w:rPr>
        <w:t>Table 2. Tumor Response to Preoperative</w:t>
      </w:r>
      <w:r w:rsidR="00777C95" w:rsidRPr="00777C95">
        <w:rPr>
          <w:rFonts w:ascii="Times New Roman" w:hAnsi="Times New Roman" w:cs="Times New Roman"/>
          <w:b/>
          <w:bCs/>
          <w:sz w:val="20"/>
          <w:szCs w:val="18"/>
        </w:rPr>
        <w:t xml:space="preserve"> </w:t>
      </w:r>
      <w:r w:rsidRPr="00777C95">
        <w:rPr>
          <w:rFonts w:ascii="Times New Roman" w:hAnsi="Times New Roman" w:cs="Times New Roman"/>
          <w:b/>
          <w:bCs/>
          <w:sz w:val="20"/>
          <w:szCs w:val="18"/>
        </w:rPr>
        <w:t>Treatment</w:t>
      </w:r>
    </w:p>
    <w:tbl>
      <w:tblPr>
        <w:tblStyle w:val="ColorfulList-Accent3"/>
        <w:tblW w:w="5000" w:type="pct"/>
        <w:jc w:val="center"/>
        <w:tblCellMar>
          <w:left w:w="57" w:type="dxa"/>
          <w:right w:w="57" w:type="dxa"/>
        </w:tblCellMar>
        <w:tblLook w:val="0000"/>
      </w:tblPr>
      <w:tblGrid>
        <w:gridCol w:w="2971"/>
        <w:gridCol w:w="726"/>
        <w:gridCol w:w="823"/>
      </w:tblGrid>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b/>
                <w:bCs/>
                <w:sz w:val="20"/>
                <w:szCs w:val="18"/>
              </w:rPr>
            </w:pPr>
            <w:r w:rsidRPr="00777C95">
              <w:rPr>
                <w:rFonts w:ascii="Times New Roman" w:hAnsi="Times New Roman" w:cs="Times New Roman"/>
                <w:b/>
                <w:bCs/>
                <w:sz w:val="20"/>
                <w:szCs w:val="18"/>
              </w:rPr>
              <w:t>Tumor Response</w:t>
            </w:r>
          </w:p>
        </w:tc>
        <w:tc>
          <w:tcPr>
            <w:tcW w:w="803" w:type="pct"/>
            <w:vAlign w:val="center"/>
          </w:tcPr>
          <w:p w:rsidR="00830E13" w:rsidRPr="00777C95" w:rsidRDefault="00830E13" w:rsidP="00C439DC">
            <w:pPr>
              <w:bidi w:val="0"/>
              <w:snapToGrid w:val="0"/>
              <w:jc w:val="both"/>
              <w:cnfStyle w:val="000000100000"/>
              <w:rPr>
                <w:rFonts w:ascii="Times New Roman" w:hAnsi="Times New Roman" w:cs="Times New Roman"/>
                <w:b/>
                <w:bCs/>
                <w:sz w:val="20"/>
                <w:szCs w:val="18"/>
              </w:rPr>
            </w:pPr>
            <w:r w:rsidRPr="00777C95">
              <w:rPr>
                <w:rFonts w:ascii="Times New Roman" w:hAnsi="Times New Roman" w:cs="Times New Roman"/>
                <w:b/>
                <w:bCs/>
                <w:sz w:val="20"/>
                <w:szCs w:val="18"/>
              </w:rPr>
              <w:t>No.</w:t>
            </w:r>
          </w:p>
        </w:tc>
        <w:tc>
          <w:tcPr>
            <w:cnfStyle w:val="000010000000"/>
            <w:tcW w:w="911" w:type="pct"/>
            <w:vAlign w:val="center"/>
          </w:tcPr>
          <w:p w:rsidR="00830E13" w:rsidRPr="00777C95" w:rsidRDefault="00830E13" w:rsidP="00C439DC">
            <w:pPr>
              <w:bidi w:val="0"/>
              <w:snapToGrid w:val="0"/>
              <w:jc w:val="both"/>
              <w:rPr>
                <w:rFonts w:ascii="Times New Roman" w:hAnsi="Times New Roman" w:cs="Times New Roman"/>
                <w:b/>
                <w:bCs/>
                <w:sz w:val="20"/>
                <w:szCs w:val="18"/>
              </w:rPr>
            </w:pPr>
            <w:r w:rsidRPr="00777C95">
              <w:rPr>
                <w:rFonts w:ascii="Times New Roman" w:hAnsi="Times New Roman" w:cs="Times New Roman"/>
                <w:b/>
                <w:bCs/>
                <w:sz w:val="20"/>
                <w:szCs w:val="18"/>
              </w:rPr>
              <w:t>%</w:t>
            </w:r>
          </w:p>
        </w:tc>
      </w:tr>
      <w:tr w:rsidR="00830E13" w:rsidRPr="00777C95" w:rsidTr="00777C95">
        <w:trPr>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Complete response</w:t>
            </w:r>
          </w:p>
        </w:tc>
        <w:tc>
          <w:tcPr>
            <w:tcW w:w="803" w:type="pct"/>
            <w:vAlign w:val="center"/>
          </w:tcPr>
          <w:p w:rsidR="00830E13" w:rsidRPr="00777C95" w:rsidRDefault="00830E13" w:rsidP="00C439DC">
            <w:pPr>
              <w:bidi w:val="0"/>
              <w:snapToGrid w:val="0"/>
              <w:jc w:val="both"/>
              <w:cnfStyle w:val="000000000000"/>
              <w:rPr>
                <w:rFonts w:ascii="Times New Roman" w:hAnsi="Times New Roman" w:cs="Times New Roman"/>
                <w:sz w:val="20"/>
                <w:szCs w:val="18"/>
              </w:rPr>
            </w:pPr>
            <w:r w:rsidRPr="00777C95">
              <w:rPr>
                <w:rFonts w:ascii="Times New Roman" w:hAnsi="Times New Roman" w:cs="Times New Roman"/>
                <w:sz w:val="20"/>
                <w:szCs w:val="18"/>
              </w:rPr>
              <w:t>1</w:t>
            </w:r>
          </w:p>
        </w:tc>
        <w:tc>
          <w:tcPr>
            <w:cnfStyle w:val="000010000000"/>
            <w:tcW w:w="911" w:type="pct"/>
            <w:vAlign w:val="center"/>
          </w:tcPr>
          <w:p w:rsidR="00830E13" w:rsidRPr="00777C95" w:rsidRDefault="00830E13" w:rsidP="00C439DC">
            <w:pPr>
              <w:bidi w:val="0"/>
              <w:snapToGrid w:val="0"/>
              <w:jc w:val="both"/>
              <w:rPr>
                <w:rFonts w:ascii="Times New Roman" w:hAnsi="Times New Roman" w:cs="Times New Roman"/>
                <w:sz w:val="20"/>
                <w:szCs w:val="18"/>
              </w:rPr>
            </w:pPr>
            <w:r w:rsidRPr="00777C95">
              <w:rPr>
                <w:rFonts w:ascii="Times New Roman" w:hAnsi="Times New Roman" w:cs="Times New Roman"/>
                <w:sz w:val="20"/>
                <w:szCs w:val="18"/>
              </w:rPr>
              <w:t>2.8</w:t>
            </w:r>
          </w:p>
        </w:tc>
      </w:tr>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Partial response</w:t>
            </w:r>
          </w:p>
        </w:tc>
        <w:tc>
          <w:tcPr>
            <w:tcW w:w="803" w:type="pct"/>
            <w:vAlign w:val="center"/>
          </w:tcPr>
          <w:p w:rsidR="00830E13" w:rsidRPr="00777C95" w:rsidRDefault="00830E13" w:rsidP="00C439DC">
            <w:pPr>
              <w:bidi w:val="0"/>
              <w:snapToGrid w:val="0"/>
              <w:jc w:val="both"/>
              <w:cnfStyle w:val="000000100000"/>
              <w:rPr>
                <w:rFonts w:ascii="Times New Roman" w:hAnsi="Times New Roman" w:cs="Times New Roman"/>
                <w:sz w:val="20"/>
                <w:szCs w:val="18"/>
              </w:rPr>
            </w:pPr>
            <w:r w:rsidRPr="00777C95">
              <w:rPr>
                <w:rFonts w:ascii="Times New Roman" w:hAnsi="Times New Roman" w:cs="Times New Roman"/>
                <w:sz w:val="20"/>
                <w:szCs w:val="18"/>
              </w:rPr>
              <w:t>15</w:t>
            </w:r>
          </w:p>
        </w:tc>
        <w:tc>
          <w:tcPr>
            <w:cnfStyle w:val="000010000000"/>
            <w:tcW w:w="911" w:type="pct"/>
            <w:vAlign w:val="center"/>
          </w:tcPr>
          <w:p w:rsidR="00830E13" w:rsidRPr="00777C95" w:rsidRDefault="00830E13" w:rsidP="00C439DC">
            <w:pPr>
              <w:bidi w:val="0"/>
              <w:snapToGrid w:val="0"/>
              <w:jc w:val="both"/>
              <w:rPr>
                <w:rFonts w:ascii="Times New Roman" w:hAnsi="Times New Roman" w:cs="Times New Roman"/>
                <w:sz w:val="20"/>
                <w:szCs w:val="18"/>
              </w:rPr>
            </w:pPr>
            <w:r w:rsidRPr="00777C95">
              <w:rPr>
                <w:rFonts w:ascii="Times New Roman" w:hAnsi="Times New Roman" w:cs="Times New Roman"/>
                <w:sz w:val="20"/>
                <w:szCs w:val="18"/>
              </w:rPr>
              <w:t>41.7</w:t>
            </w:r>
          </w:p>
        </w:tc>
      </w:tr>
      <w:tr w:rsidR="00830E13" w:rsidRPr="00777C95" w:rsidTr="00777C95">
        <w:trPr>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Stable disease</w:t>
            </w:r>
          </w:p>
        </w:tc>
        <w:tc>
          <w:tcPr>
            <w:tcW w:w="803" w:type="pct"/>
            <w:vAlign w:val="center"/>
          </w:tcPr>
          <w:p w:rsidR="00830E13" w:rsidRPr="00777C95" w:rsidRDefault="00830E13" w:rsidP="00C439DC">
            <w:pPr>
              <w:bidi w:val="0"/>
              <w:snapToGrid w:val="0"/>
              <w:jc w:val="both"/>
              <w:cnfStyle w:val="000000000000"/>
              <w:rPr>
                <w:rFonts w:ascii="Times New Roman" w:hAnsi="Times New Roman" w:cs="Times New Roman"/>
                <w:sz w:val="20"/>
                <w:szCs w:val="18"/>
              </w:rPr>
            </w:pPr>
            <w:r w:rsidRPr="00777C95">
              <w:rPr>
                <w:rFonts w:ascii="Times New Roman" w:hAnsi="Times New Roman" w:cs="Times New Roman"/>
                <w:sz w:val="20"/>
                <w:szCs w:val="18"/>
              </w:rPr>
              <w:t>15</w:t>
            </w:r>
          </w:p>
        </w:tc>
        <w:tc>
          <w:tcPr>
            <w:cnfStyle w:val="000010000000"/>
            <w:tcW w:w="911" w:type="pct"/>
            <w:vAlign w:val="center"/>
          </w:tcPr>
          <w:p w:rsidR="00830E13" w:rsidRPr="00777C95" w:rsidRDefault="00830E13" w:rsidP="00C439DC">
            <w:pPr>
              <w:bidi w:val="0"/>
              <w:snapToGrid w:val="0"/>
              <w:jc w:val="both"/>
              <w:rPr>
                <w:rFonts w:ascii="Times New Roman" w:hAnsi="Times New Roman" w:cs="Times New Roman"/>
                <w:sz w:val="20"/>
                <w:szCs w:val="18"/>
              </w:rPr>
            </w:pPr>
            <w:r w:rsidRPr="00777C95">
              <w:rPr>
                <w:rFonts w:ascii="Times New Roman" w:hAnsi="Times New Roman" w:cs="Times New Roman"/>
                <w:sz w:val="20"/>
                <w:szCs w:val="18"/>
              </w:rPr>
              <w:t>41.7</w:t>
            </w:r>
          </w:p>
        </w:tc>
      </w:tr>
      <w:tr w:rsidR="00830E13" w:rsidRPr="00777C95" w:rsidTr="00777C95">
        <w:trPr>
          <w:cnfStyle w:val="000000100000"/>
          <w:jc w:val="center"/>
        </w:trPr>
        <w:tc>
          <w:tcPr>
            <w:cnfStyle w:val="000010000000"/>
            <w:tcW w:w="3287" w:type="pct"/>
            <w:vAlign w:val="center"/>
          </w:tcPr>
          <w:p w:rsidR="00830E13" w:rsidRPr="00777C95" w:rsidRDefault="00830E13" w:rsidP="00C439DC">
            <w:pPr>
              <w:bidi w:val="0"/>
              <w:snapToGrid w:val="0"/>
              <w:jc w:val="both"/>
              <w:outlineLvl w:val="1"/>
              <w:rPr>
                <w:rFonts w:ascii="Times New Roman" w:hAnsi="Times New Roman" w:cs="Times New Roman"/>
                <w:sz w:val="20"/>
                <w:szCs w:val="18"/>
              </w:rPr>
            </w:pPr>
            <w:r w:rsidRPr="00777C95">
              <w:rPr>
                <w:rFonts w:ascii="Times New Roman" w:hAnsi="Times New Roman" w:cs="Times New Roman"/>
                <w:sz w:val="20"/>
                <w:szCs w:val="18"/>
              </w:rPr>
              <w:t>Progressive disease</w:t>
            </w:r>
          </w:p>
        </w:tc>
        <w:tc>
          <w:tcPr>
            <w:tcW w:w="803" w:type="pct"/>
            <w:vAlign w:val="center"/>
          </w:tcPr>
          <w:p w:rsidR="00830E13" w:rsidRPr="00777C95" w:rsidRDefault="00830E13" w:rsidP="00C439DC">
            <w:pPr>
              <w:bidi w:val="0"/>
              <w:snapToGrid w:val="0"/>
              <w:jc w:val="both"/>
              <w:cnfStyle w:val="000000100000"/>
              <w:rPr>
                <w:rFonts w:ascii="Times New Roman" w:hAnsi="Times New Roman" w:cs="Times New Roman"/>
                <w:sz w:val="20"/>
                <w:szCs w:val="18"/>
              </w:rPr>
            </w:pPr>
            <w:r w:rsidRPr="00777C95">
              <w:rPr>
                <w:rFonts w:ascii="Times New Roman" w:hAnsi="Times New Roman" w:cs="Times New Roman"/>
                <w:sz w:val="20"/>
                <w:szCs w:val="18"/>
              </w:rPr>
              <w:t>5</w:t>
            </w:r>
          </w:p>
        </w:tc>
        <w:tc>
          <w:tcPr>
            <w:cnfStyle w:val="000010000000"/>
            <w:tcW w:w="911" w:type="pct"/>
            <w:vAlign w:val="center"/>
          </w:tcPr>
          <w:p w:rsidR="00830E13" w:rsidRPr="00777C95" w:rsidRDefault="00830E13" w:rsidP="00C439DC">
            <w:pPr>
              <w:bidi w:val="0"/>
              <w:snapToGrid w:val="0"/>
              <w:jc w:val="both"/>
              <w:rPr>
                <w:rFonts w:ascii="Times New Roman" w:hAnsi="Times New Roman" w:cs="Times New Roman"/>
                <w:sz w:val="20"/>
                <w:szCs w:val="18"/>
              </w:rPr>
            </w:pPr>
            <w:r w:rsidRPr="00777C95">
              <w:rPr>
                <w:rFonts w:ascii="Times New Roman" w:hAnsi="Times New Roman" w:cs="Times New Roman"/>
                <w:sz w:val="20"/>
                <w:szCs w:val="18"/>
              </w:rPr>
              <w:t>13.9</w:t>
            </w:r>
          </w:p>
        </w:tc>
      </w:tr>
    </w:tbl>
    <w:p w:rsidR="00777C95" w:rsidRDefault="00777C95" w:rsidP="00C439DC">
      <w:pPr>
        <w:bidi w:val="0"/>
        <w:snapToGrid w:val="0"/>
        <w:spacing w:after="0" w:line="240" w:lineRule="auto"/>
        <w:jc w:val="both"/>
        <w:rPr>
          <w:rFonts w:ascii="Times New Roman" w:hAnsi="Times New Roman" w:cs="Times New Roman"/>
          <w:b/>
          <w:bCs/>
          <w:sz w:val="20"/>
          <w:szCs w:val="20"/>
          <w:lang w:eastAsia="zh-CN"/>
        </w:rPr>
      </w:pPr>
    </w:p>
    <w:p w:rsidR="0035500F" w:rsidRPr="00777C95" w:rsidRDefault="0035500F" w:rsidP="0035500F">
      <w:pPr>
        <w:bidi w:val="0"/>
        <w:snapToGrid w:val="0"/>
        <w:spacing w:after="0" w:line="240" w:lineRule="auto"/>
        <w:jc w:val="both"/>
        <w:rPr>
          <w:rFonts w:ascii="Times New Roman" w:hAnsi="Times New Roman" w:cs="Times New Roman"/>
          <w:b/>
          <w:bCs/>
          <w:sz w:val="20"/>
          <w:szCs w:val="20"/>
          <w:lang w:eastAsia="zh-CN"/>
        </w:rPr>
        <w:sectPr w:rsidR="0035500F" w:rsidRPr="00777C95" w:rsidSect="00C439DC">
          <w:headerReference w:type="default" r:id="rId15"/>
          <w:type w:val="continuous"/>
          <w:pgSz w:w="12242" w:h="15842" w:code="1"/>
          <w:pgMar w:top="1440" w:right="1440" w:bottom="1440" w:left="1440" w:header="720" w:footer="720" w:gutter="0"/>
          <w:cols w:num="2" w:space="550"/>
          <w:docGrid w:linePitch="360"/>
        </w:sectPr>
      </w:pP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8197D" w:rsidRPr="00777C95" w:rsidRDefault="00D8197D" w:rsidP="00C439DC">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777C95">
        <w:rPr>
          <w:rFonts w:ascii="Times New Roman" w:hAnsi="Times New Roman" w:cs="Times New Roman"/>
          <w:b/>
          <w:bCs/>
          <w:sz w:val="20"/>
          <w:szCs w:val="20"/>
        </w:rPr>
        <w:t xml:space="preserve">Table 3. Correlation between variables and tumor Response </w:t>
      </w:r>
      <w:proofErr w:type="spellStart"/>
      <w:r w:rsidRPr="00777C95">
        <w:rPr>
          <w:rFonts w:ascii="Times New Roman" w:hAnsi="Times New Roman" w:cs="Times New Roman"/>
          <w:b/>
          <w:bCs/>
          <w:sz w:val="20"/>
          <w:szCs w:val="20"/>
        </w:rPr>
        <w:t>topreopertive</w:t>
      </w:r>
      <w:proofErr w:type="spellEnd"/>
      <w:r w:rsidRPr="00777C95">
        <w:rPr>
          <w:rFonts w:ascii="Times New Roman" w:hAnsi="Times New Roman" w:cs="Times New Roman"/>
          <w:b/>
          <w:bCs/>
          <w:sz w:val="20"/>
          <w:szCs w:val="20"/>
        </w:rPr>
        <w:t xml:space="preserve"> Treatment</w:t>
      </w:r>
    </w:p>
    <w:tbl>
      <w:tblPr>
        <w:tblStyle w:val="ColorfulList-Accent3"/>
        <w:tblW w:w="5000" w:type="pct"/>
        <w:jc w:val="center"/>
        <w:tblCellMar>
          <w:left w:w="57" w:type="dxa"/>
          <w:right w:w="57" w:type="dxa"/>
        </w:tblCellMar>
        <w:tblLook w:val="04A0"/>
      </w:tblPr>
      <w:tblGrid>
        <w:gridCol w:w="4016"/>
        <w:gridCol w:w="1431"/>
        <w:gridCol w:w="1429"/>
        <w:gridCol w:w="1429"/>
        <w:gridCol w:w="1171"/>
      </w:tblGrid>
      <w:tr w:rsidR="00D8197D" w:rsidRPr="00777C95" w:rsidTr="00C439DC">
        <w:trPr>
          <w:cnfStyle w:val="100000000000"/>
          <w:tblHeader/>
          <w:jc w:val="center"/>
        </w:trPr>
        <w:tc>
          <w:tcPr>
            <w:cnfStyle w:val="001000000000"/>
            <w:tcW w:w="2119" w:type="pct"/>
            <w:vMerge w:val="restart"/>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Variable</w:t>
            </w:r>
          </w:p>
        </w:tc>
        <w:tc>
          <w:tcPr>
            <w:tcW w:w="1509" w:type="pct"/>
            <w:gridSpan w:val="2"/>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 xml:space="preserve">Overall response rate </w:t>
            </w:r>
          </w:p>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No (%)</w:t>
            </w:r>
          </w:p>
        </w:tc>
        <w:tc>
          <w:tcPr>
            <w:tcW w:w="754" w:type="pct"/>
            <w:vMerge w:val="restar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Total</w:t>
            </w:r>
          </w:p>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No (%)</w:t>
            </w:r>
          </w:p>
        </w:tc>
        <w:tc>
          <w:tcPr>
            <w:tcW w:w="618" w:type="pct"/>
            <w:vMerge w:val="restar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b w:val="0"/>
                <w:bCs w:val="0"/>
                <w:sz w:val="20"/>
                <w:szCs w:val="16"/>
              </w:rPr>
            </w:pPr>
            <w:r w:rsidRPr="00777C95">
              <w:rPr>
                <w:rFonts w:ascii="Times New Roman" w:hAnsi="Times New Roman" w:cs="Times New Roman"/>
                <w:sz w:val="20"/>
                <w:szCs w:val="16"/>
              </w:rPr>
              <w:t>P-value</w:t>
            </w:r>
          </w:p>
        </w:tc>
      </w:tr>
      <w:tr w:rsidR="00D8197D" w:rsidRPr="00777C95" w:rsidTr="00C439DC">
        <w:trPr>
          <w:cnfStyle w:val="100000000000"/>
          <w:tblHeader/>
          <w:jc w:val="center"/>
        </w:trPr>
        <w:tc>
          <w:tcPr>
            <w:cnfStyle w:val="001000000000"/>
            <w:tcW w:w="2119" w:type="pct"/>
            <w:vMerge/>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6"/>
              </w:rPr>
            </w:pPr>
          </w:p>
        </w:tc>
        <w:tc>
          <w:tcPr>
            <w:tcW w:w="755" w:type="pc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CR-PR</w:t>
            </w:r>
          </w:p>
        </w:tc>
        <w:tc>
          <w:tcPr>
            <w:tcW w:w="754" w:type="pct"/>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r w:rsidRPr="00777C95">
              <w:rPr>
                <w:rFonts w:ascii="Times New Roman" w:hAnsi="Times New Roman" w:cs="Times New Roman"/>
                <w:sz w:val="20"/>
                <w:szCs w:val="16"/>
              </w:rPr>
              <w:t>SD-PD</w:t>
            </w:r>
          </w:p>
        </w:tc>
        <w:tc>
          <w:tcPr>
            <w:tcW w:w="754" w:type="pct"/>
            <w:vMerge/>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p>
        </w:tc>
        <w:tc>
          <w:tcPr>
            <w:tcW w:w="618" w:type="pct"/>
            <w:vMerge/>
            <w:vAlign w:val="center"/>
          </w:tcPr>
          <w:p w:rsidR="00D8197D" w:rsidRPr="00777C95" w:rsidRDefault="00D8197D" w:rsidP="00C439DC">
            <w:pPr>
              <w:autoSpaceDE w:val="0"/>
              <w:autoSpaceDN w:val="0"/>
              <w:bidi w:val="0"/>
              <w:adjustRightInd w:val="0"/>
              <w:snapToGrid w:val="0"/>
              <w:jc w:val="both"/>
              <w:cnfStyle w:val="100000000000"/>
              <w:rPr>
                <w:rFonts w:ascii="Times New Roman" w:hAnsi="Times New Roman" w:cs="Times New Roman"/>
                <w:sz w:val="20"/>
                <w:szCs w:val="16"/>
              </w:rPr>
            </w:pPr>
          </w:p>
        </w:tc>
      </w:tr>
      <w:tr w:rsidR="00D8197D" w:rsidRPr="00777C95" w:rsidTr="00777C95">
        <w:trPr>
          <w:cnfStyle w:val="000000100000"/>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Gender</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F</w:t>
            </w:r>
            <w:r w:rsidR="00D8197D" w:rsidRPr="00777C95">
              <w:rPr>
                <w:rFonts w:ascii="Times New Roman" w:hAnsi="Times New Roman" w:cs="Times New Roman"/>
                <w:sz w:val="20"/>
                <w:szCs w:val="16"/>
              </w:rPr>
              <w:t>emale</w:t>
            </w:r>
          </w:p>
          <w:p w:rsidR="00D8197D"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M</w:t>
            </w:r>
            <w:r w:rsidR="00D8197D" w:rsidRPr="00777C95">
              <w:rPr>
                <w:rFonts w:ascii="Times New Roman" w:hAnsi="Times New Roman" w:cs="Times New Roman"/>
                <w:sz w:val="20"/>
                <w:szCs w:val="16"/>
              </w:rPr>
              <w:t>ale</w:t>
            </w:r>
          </w:p>
        </w:tc>
        <w:tc>
          <w:tcPr>
            <w:tcW w:w="755"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11 (30.6%)</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5 (13.9%)</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 (2.8%)</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19 (52%)</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12 (33.3%)</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24 (67.7%)</w:t>
            </w:r>
          </w:p>
        </w:tc>
        <w:tc>
          <w:tcPr>
            <w:tcW w:w="618"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&lt; 0.0001</w:t>
            </w:r>
          </w:p>
        </w:tc>
      </w:tr>
      <w:tr w:rsidR="00D8197D" w:rsidRPr="00777C95" w:rsidTr="00777C95">
        <w:trPr>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KPS%</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9</w:t>
            </w:r>
            <w:r w:rsidR="00D8197D" w:rsidRPr="00777C95">
              <w:rPr>
                <w:rFonts w:ascii="Times New Roman" w:hAnsi="Times New Roman" w:cs="Times New Roman"/>
                <w:sz w:val="20"/>
                <w:szCs w:val="16"/>
              </w:rPr>
              <w:t>0-100</w:t>
            </w:r>
          </w:p>
          <w:p w:rsidR="00D8197D"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7</w:t>
            </w:r>
            <w:r w:rsidR="00D8197D" w:rsidRPr="00777C95">
              <w:rPr>
                <w:rFonts w:ascii="Times New Roman" w:hAnsi="Times New Roman" w:cs="Times New Roman"/>
                <w:sz w:val="20"/>
                <w:szCs w:val="16"/>
              </w:rPr>
              <w:t>0-80</w:t>
            </w:r>
          </w:p>
        </w:tc>
        <w:tc>
          <w:tcPr>
            <w:tcW w:w="755"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9 (25.0%)</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 (19.4%)</w:t>
            </w:r>
          </w:p>
        </w:tc>
        <w:tc>
          <w:tcPr>
            <w:tcW w:w="754"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 (19.4%)</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13 (36.1%)</w:t>
            </w:r>
          </w:p>
        </w:tc>
        <w:tc>
          <w:tcPr>
            <w:tcW w:w="754"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16 (44.4%)</w:t>
            </w: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20 (55.6%)</w:t>
            </w:r>
          </w:p>
        </w:tc>
        <w:tc>
          <w:tcPr>
            <w:tcW w:w="618" w:type="pct"/>
            <w:vAlign w:val="center"/>
          </w:tcPr>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0.202</w:t>
            </w:r>
          </w:p>
        </w:tc>
      </w:tr>
      <w:tr w:rsidR="00D8197D" w:rsidRPr="00777C95" w:rsidTr="00777C95">
        <w:trPr>
          <w:cnfStyle w:val="000000100000"/>
          <w:jc w:val="center"/>
        </w:trPr>
        <w:tc>
          <w:tcPr>
            <w:cnfStyle w:val="001000000000"/>
            <w:tcW w:w="2119" w:type="pct"/>
            <w:vAlign w:val="center"/>
          </w:tcPr>
          <w:p w:rsidR="00777C95"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Type of cancer</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C</w:t>
            </w:r>
            <w:r w:rsidR="00D8197D" w:rsidRPr="00777C95">
              <w:rPr>
                <w:rFonts w:ascii="Times New Roman" w:hAnsi="Times New Roman" w:cs="Times New Roman"/>
                <w:sz w:val="20"/>
                <w:szCs w:val="16"/>
              </w:rPr>
              <w:t>olon</w:t>
            </w:r>
          </w:p>
          <w:p w:rsidR="00D8197D"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R</w:t>
            </w:r>
            <w:r w:rsidR="00D8197D" w:rsidRPr="00777C95">
              <w:rPr>
                <w:rFonts w:ascii="Times New Roman" w:hAnsi="Times New Roman" w:cs="Times New Roman"/>
                <w:sz w:val="20"/>
                <w:szCs w:val="16"/>
              </w:rPr>
              <w:t>ectal</w:t>
            </w:r>
            <w:r w:rsidRPr="00777C95">
              <w:rPr>
                <w:rFonts w:ascii="Times New Roman" w:hAnsi="Times New Roman" w:cs="Times New Roman"/>
                <w:sz w:val="20"/>
                <w:szCs w:val="16"/>
              </w:rPr>
              <w:t xml:space="preserve"> &amp; </w:t>
            </w:r>
            <w:r w:rsidR="00D8197D" w:rsidRPr="00777C95">
              <w:rPr>
                <w:rFonts w:ascii="Times New Roman" w:hAnsi="Times New Roman" w:cs="Times New Roman"/>
                <w:sz w:val="20"/>
                <w:szCs w:val="16"/>
              </w:rPr>
              <w:t>Colorectal</w:t>
            </w:r>
          </w:p>
        </w:tc>
        <w:tc>
          <w:tcPr>
            <w:tcW w:w="755"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 (38.9%)</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 (5.6%)</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7 (19.4%)</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13 (36.1%)</w:t>
            </w:r>
          </w:p>
        </w:tc>
        <w:tc>
          <w:tcPr>
            <w:tcW w:w="754"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21 (58.3%)</w:t>
            </w: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15 (41.7%)</w:t>
            </w:r>
          </w:p>
        </w:tc>
        <w:tc>
          <w:tcPr>
            <w:tcW w:w="618" w:type="pct"/>
            <w:vAlign w:val="center"/>
          </w:tcPr>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p>
          <w:p w:rsidR="00D8197D" w:rsidRPr="00777C95" w:rsidRDefault="00D8197D"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2</w:t>
            </w:r>
          </w:p>
        </w:tc>
      </w:tr>
      <w:tr w:rsidR="00194412" w:rsidRPr="00777C95" w:rsidTr="00777C95">
        <w:trPr>
          <w:jc w:val="center"/>
        </w:trPr>
        <w:tc>
          <w:tcPr>
            <w:cnfStyle w:val="001000000000"/>
            <w:tcW w:w="2119" w:type="pct"/>
            <w:vAlign w:val="center"/>
          </w:tcPr>
          <w:p w:rsidR="00194412"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 stage</w:t>
            </w:r>
          </w:p>
          <w:p w:rsidR="00194412" w:rsidRPr="00777C95" w:rsidRDefault="00194412"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1-2</w:t>
            </w:r>
          </w:p>
          <w:p w:rsidR="00194412" w:rsidRPr="00777C95" w:rsidRDefault="00194412"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3-4</w:t>
            </w:r>
          </w:p>
        </w:tc>
        <w:tc>
          <w:tcPr>
            <w:tcW w:w="755"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11</w:t>
            </w:r>
            <w:r w:rsidR="00194412" w:rsidRPr="00777C95">
              <w:rPr>
                <w:rFonts w:ascii="Times New Roman" w:hAnsi="Times New Roman" w:cs="Times New Roman"/>
                <w:sz w:val="20"/>
                <w:szCs w:val="16"/>
              </w:rPr>
              <w:t xml:space="preserve"> (3</w:t>
            </w:r>
            <w:r w:rsidRPr="00777C95">
              <w:rPr>
                <w:rFonts w:ascii="Times New Roman" w:hAnsi="Times New Roman" w:cs="Times New Roman"/>
                <w:sz w:val="20"/>
                <w:szCs w:val="16"/>
              </w:rPr>
              <w:t>0</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6</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5</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13.9</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3</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8</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3</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17</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47.2</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38</w:t>
            </w:r>
            <w:r w:rsidR="00194412" w:rsidRPr="00777C95">
              <w:rPr>
                <w:rFonts w:ascii="Times New Roman" w:hAnsi="Times New Roman" w:cs="Times New Roman"/>
                <w:sz w:val="20"/>
                <w:szCs w:val="16"/>
              </w:rPr>
              <w:t>.</w:t>
            </w:r>
            <w:r w:rsidRPr="00777C95">
              <w:rPr>
                <w:rFonts w:ascii="Times New Roman" w:hAnsi="Times New Roman" w:cs="Times New Roman"/>
                <w:sz w:val="20"/>
                <w:szCs w:val="16"/>
              </w:rPr>
              <w:t>9</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22</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61.1</w:t>
            </w:r>
            <w:r w:rsidR="00194412" w:rsidRPr="00777C95">
              <w:rPr>
                <w:rFonts w:ascii="Times New Roman" w:hAnsi="Times New Roman" w:cs="Times New Roman"/>
                <w:sz w:val="20"/>
                <w:szCs w:val="16"/>
              </w:rPr>
              <w:t>%)</w:t>
            </w:r>
          </w:p>
        </w:tc>
        <w:tc>
          <w:tcPr>
            <w:tcW w:w="618"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1</w:t>
            </w:r>
          </w:p>
        </w:tc>
      </w:tr>
      <w:tr w:rsidR="00194412" w:rsidRPr="00777C95" w:rsidTr="00777C95">
        <w:trPr>
          <w:cnfStyle w:val="000000100000"/>
          <w:jc w:val="center"/>
        </w:trPr>
        <w:tc>
          <w:tcPr>
            <w:cnfStyle w:val="001000000000"/>
            <w:tcW w:w="2119" w:type="pct"/>
            <w:vAlign w:val="center"/>
          </w:tcPr>
          <w:p w:rsidR="00194412"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N stage</w:t>
            </w:r>
          </w:p>
          <w:p w:rsidR="00194412" w:rsidRPr="00777C95" w:rsidRDefault="00194412"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0</w:t>
            </w:r>
          </w:p>
          <w:p w:rsidR="00194412" w:rsidRPr="00777C95" w:rsidRDefault="00194412"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1-2</w:t>
            </w:r>
          </w:p>
        </w:tc>
        <w:tc>
          <w:tcPr>
            <w:tcW w:w="755"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w:t>
            </w:r>
            <w:r w:rsidR="00722504" w:rsidRPr="00777C95">
              <w:rPr>
                <w:rFonts w:ascii="Times New Roman" w:hAnsi="Times New Roman" w:cs="Times New Roman"/>
                <w:sz w:val="20"/>
                <w:szCs w:val="16"/>
              </w:rPr>
              <w:t>2</w:t>
            </w:r>
            <w:r w:rsidRPr="00777C95">
              <w:rPr>
                <w:rFonts w:ascii="Times New Roman" w:hAnsi="Times New Roman" w:cs="Times New Roman"/>
                <w:sz w:val="20"/>
                <w:szCs w:val="16"/>
              </w:rPr>
              <w:t xml:space="preserve"> (</w:t>
            </w:r>
            <w:r w:rsidR="00722504" w:rsidRPr="00777C95">
              <w:rPr>
                <w:rFonts w:ascii="Times New Roman" w:hAnsi="Times New Roman" w:cs="Times New Roman"/>
                <w:sz w:val="20"/>
                <w:szCs w:val="16"/>
              </w:rPr>
              <w:t>33.3</w:t>
            </w:r>
            <w:r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11.1</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6</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16.7</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38.9</w:t>
            </w:r>
            <w:r w:rsidR="00194412" w:rsidRPr="00777C95">
              <w:rPr>
                <w:rFonts w:ascii="Times New Roman" w:hAnsi="Times New Roman" w:cs="Times New Roman"/>
                <w:sz w:val="20"/>
                <w:szCs w:val="16"/>
              </w:rPr>
              <w:t>%)</w:t>
            </w:r>
          </w:p>
        </w:tc>
        <w:tc>
          <w:tcPr>
            <w:tcW w:w="754"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50.0</w:t>
            </w:r>
            <w:r w:rsidR="00194412" w:rsidRPr="00777C95">
              <w:rPr>
                <w:rFonts w:ascii="Times New Roman" w:hAnsi="Times New Roman" w:cs="Times New Roman"/>
                <w:sz w:val="20"/>
                <w:szCs w:val="16"/>
              </w:rPr>
              <w:t>%)</w:t>
            </w:r>
          </w:p>
          <w:p w:rsidR="00194412" w:rsidRPr="00777C95" w:rsidRDefault="00722504"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w:t>
            </w:r>
            <w:r w:rsidR="00194412" w:rsidRPr="00777C95">
              <w:rPr>
                <w:rFonts w:ascii="Times New Roman" w:hAnsi="Times New Roman" w:cs="Times New Roman"/>
                <w:sz w:val="20"/>
                <w:szCs w:val="16"/>
              </w:rPr>
              <w:t xml:space="preserve"> (</w:t>
            </w:r>
            <w:r w:rsidRPr="00777C95">
              <w:rPr>
                <w:rFonts w:ascii="Times New Roman" w:hAnsi="Times New Roman" w:cs="Times New Roman"/>
                <w:sz w:val="20"/>
                <w:szCs w:val="16"/>
              </w:rPr>
              <w:t>50.0</w:t>
            </w:r>
            <w:r w:rsidR="00194412" w:rsidRPr="00777C95">
              <w:rPr>
                <w:rFonts w:ascii="Times New Roman" w:hAnsi="Times New Roman" w:cs="Times New Roman"/>
                <w:sz w:val="20"/>
                <w:szCs w:val="16"/>
              </w:rPr>
              <w:t>%)</w:t>
            </w:r>
          </w:p>
        </w:tc>
        <w:tc>
          <w:tcPr>
            <w:tcW w:w="618" w:type="pct"/>
            <w:vAlign w:val="center"/>
          </w:tcPr>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0.00</w:t>
            </w:r>
            <w:r w:rsidR="00722504" w:rsidRPr="00777C95">
              <w:rPr>
                <w:rFonts w:ascii="Times New Roman" w:hAnsi="Times New Roman" w:cs="Times New Roman"/>
                <w:sz w:val="20"/>
                <w:szCs w:val="16"/>
              </w:rPr>
              <w:t>9</w:t>
            </w:r>
          </w:p>
        </w:tc>
      </w:tr>
      <w:tr w:rsidR="00194412" w:rsidRPr="00777C95" w:rsidTr="00777C95">
        <w:trPr>
          <w:jc w:val="center"/>
        </w:trPr>
        <w:tc>
          <w:tcPr>
            <w:cnfStyle w:val="001000000000"/>
            <w:tcW w:w="2119" w:type="pct"/>
            <w:vAlign w:val="center"/>
          </w:tcPr>
          <w:p w:rsidR="00777C95" w:rsidRPr="00777C95" w:rsidRDefault="00194412" w:rsidP="00C439DC">
            <w:pPr>
              <w:autoSpaceDE w:val="0"/>
              <w:autoSpaceDN w:val="0"/>
              <w:bidi w:val="0"/>
              <w:adjustRightInd w:val="0"/>
              <w:snapToGrid w:val="0"/>
              <w:jc w:val="both"/>
              <w:rPr>
                <w:rFonts w:ascii="Times New Roman" w:hAnsi="Times New Roman" w:cs="Times New Roman"/>
                <w:b w:val="0"/>
                <w:bCs w:val="0"/>
                <w:sz w:val="20"/>
                <w:szCs w:val="16"/>
              </w:rPr>
            </w:pPr>
            <w:proofErr w:type="spellStart"/>
            <w:r w:rsidRPr="00777C95">
              <w:rPr>
                <w:rFonts w:ascii="Times New Roman" w:hAnsi="Times New Roman" w:cs="Times New Roman"/>
                <w:sz w:val="20"/>
                <w:szCs w:val="16"/>
              </w:rPr>
              <w:t>Histo-patholgical</w:t>
            </w:r>
            <w:proofErr w:type="spellEnd"/>
            <w:r w:rsidRPr="00777C95">
              <w:rPr>
                <w:rFonts w:ascii="Times New Roman" w:hAnsi="Times New Roman" w:cs="Times New Roman"/>
                <w:sz w:val="20"/>
                <w:szCs w:val="16"/>
              </w:rPr>
              <w:t xml:space="preserve"> grade</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I</w:t>
            </w:r>
            <w:r w:rsidR="00194412" w:rsidRPr="00777C95">
              <w:rPr>
                <w:rFonts w:ascii="Times New Roman" w:hAnsi="Times New Roman" w:cs="Times New Roman"/>
                <w:sz w:val="20"/>
                <w:szCs w:val="16"/>
              </w:rPr>
              <w:t>-II</w:t>
            </w:r>
          </w:p>
          <w:p w:rsidR="00194412"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I</w:t>
            </w:r>
            <w:r w:rsidR="00194412" w:rsidRPr="00777C95">
              <w:rPr>
                <w:rFonts w:ascii="Times New Roman" w:hAnsi="Times New Roman" w:cs="Times New Roman"/>
                <w:sz w:val="20"/>
                <w:szCs w:val="16"/>
              </w:rPr>
              <w:t>II-IV</w:t>
            </w:r>
          </w:p>
        </w:tc>
        <w:tc>
          <w:tcPr>
            <w:tcW w:w="755"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 (38.9%)</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 (5.6%)</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8 (22.2%)</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12 (33.3%)</w:t>
            </w:r>
          </w:p>
        </w:tc>
        <w:tc>
          <w:tcPr>
            <w:tcW w:w="754"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22 (61.1%)</w:t>
            </w: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14 (38.9%)</w:t>
            </w:r>
          </w:p>
        </w:tc>
        <w:tc>
          <w:tcPr>
            <w:tcW w:w="618" w:type="pct"/>
            <w:vAlign w:val="center"/>
          </w:tcPr>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p>
          <w:p w:rsidR="00194412" w:rsidRPr="00777C95" w:rsidRDefault="00194412"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0.004</w:t>
            </w:r>
          </w:p>
        </w:tc>
      </w:tr>
      <w:tr w:rsidR="002910A0" w:rsidRPr="00777C95" w:rsidTr="00777C95">
        <w:trPr>
          <w:cnfStyle w:val="000000100000"/>
          <w:jc w:val="center"/>
        </w:trPr>
        <w:tc>
          <w:tcPr>
            <w:cnfStyle w:val="001000000000"/>
            <w:tcW w:w="2119" w:type="pct"/>
            <w:vAlign w:val="center"/>
          </w:tcPr>
          <w:p w:rsidR="00777C95" w:rsidRPr="00777C95" w:rsidRDefault="00CD5F95"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lastRenderedPageBreak/>
              <w:t xml:space="preserve">Number </w:t>
            </w:r>
            <w:r w:rsidR="002910A0" w:rsidRPr="00777C95">
              <w:rPr>
                <w:rFonts w:ascii="Times New Roman" w:hAnsi="Times New Roman" w:cs="Times New Roman"/>
                <w:sz w:val="20"/>
                <w:szCs w:val="16"/>
              </w:rPr>
              <w:t>of liver metastasis</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S</w:t>
            </w:r>
            <w:r w:rsidR="002910A0" w:rsidRPr="00777C95">
              <w:rPr>
                <w:rFonts w:ascii="Times New Roman" w:hAnsi="Times New Roman" w:cs="Times New Roman"/>
                <w:sz w:val="20"/>
                <w:szCs w:val="16"/>
              </w:rPr>
              <w:t>ingle</w:t>
            </w:r>
          </w:p>
          <w:p w:rsidR="002910A0"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M</w:t>
            </w:r>
            <w:r w:rsidR="002910A0" w:rsidRPr="00777C95">
              <w:rPr>
                <w:rFonts w:ascii="Times New Roman" w:hAnsi="Times New Roman" w:cs="Times New Roman"/>
                <w:sz w:val="20"/>
                <w:szCs w:val="16"/>
              </w:rPr>
              <w:t xml:space="preserve">ultiple </w:t>
            </w:r>
          </w:p>
        </w:tc>
        <w:tc>
          <w:tcPr>
            <w:tcW w:w="755"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12 (33.3%)</w:t>
            </w: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 (11.1%)</w:t>
            </w:r>
          </w:p>
        </w:tc>
        <w:tc>
          <w:tcPr>
            <w:tcW w:w="754"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4 (11.1%)</w:t>
            </w: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16 (44.4%)</w:t>
            </w:r>
          </w:p>
        </w:tc>
        <w:tc>
          <w:tcPr>
            <w:tcW w:w="754"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16 (44.4%)</w:t>
            </w: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20 (55.6%)</w:t>
            </w:r>
          </w:p>
        </w:tc>
        <w:tc>
          <w:tcPr>
            <w:tcW w:w="618" w:type="pct"/>
            <w:vAlign w:val="center"/>
          </w:tcPr>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p>
          <w:p w:rsidR="002910A0" w:rsidRPr="00777C95" w:rsidRDefault="002910A0"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0.001</w:t>
            </w:r>
          </w:p>
        </w:tc>
      </w:tr>
      <w:tr w:rsidR="00B352B9" w:rsidRPr="00777C95" w:rsidTr="00777C95">
        <w:trPr>
          <w:jc w:val="center"/>
        </w:trPr>
        <w:tc>
          <w:tcPr>
            <w:cnfStyle w:val="001000000000"/>
            <w:tcW w:w="2119" w:type="pct"/>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Size of largest liver metastasis</w:t>
            </w:r>
          </w:p>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&lt;5 cm</w:t>
            </w:r>
          </w:p>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eastAsia="Shaker2Lancet-Regular" w:hAnsi="Times New Roman" w:cs="Times New Roman"/>
                <w:color w:val="231F20"/>
                <w:sz w:val="20"/>
                <w:szCs w:val="16"/>
              </w:rPr>
              <w:t>≥</w:t>
            </w:r>
            <w:r w:rsidRPr="00777C95">
              <w:rPr>
                <w:rFonts w:ascii="Times New Roman" w:hAnsi="Times New Roman" w:cs="Times New Roman"/>
                <w:sz w:val="20"/>
                <w:szCs w:val="16"/>
              </w:rPr>
              <w:t>5 cm</w:t>
            </w:r>
          </w:p>
        </w:tc>
        <w:tc>
          <w:tcPr>
            <w:tcW w:w="755"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F51D51" w:rsidRPr="00777C95">
              <w:rPr>
                <w:rFonts w:ascii="Times New Roman" w:hAnsi="Times New Roman" w:cs="Times New Roman"/>
                <w:sz w:val="20"/>
                <w:szCs w:val="16"/>
              </w:rPr>
              <w:t>5</w:t>
            </w:r>
            <w:r w:rsidRPr="00777C95">
              <w:rPr>
                <w:rFonts w:ascii="Times New Roman" w:hAnsi="Times New Roman" w:cs="Times New Roman"/>
                <w:sz w:val="20"/>
                <w:szCs w:val="16"/>
              </w:rPr>
              <w:t xml:space="preserve"> (</w:t>
            </w:r>
            <w:r w:rsidR="00F51D51" w:rsidRPr="00777C95">
              <w:rPr>
                <w:rFonts w:ascii="Times New Roman" w:hAnsi="Times New Roman" w:cs="Times New Roman"/>
                <w:sz w:val="20"/>
                <w:szCs w:val="16"/>
              </w:rPr>
              <w:t>41</w:t>
            </w:r>
            <w:r w:rsidRPr="00777C95">
              <w:rPr>
                <w:rFonts w:ascii="Times New Roman" w:hAnsi="Times New Roman" w:cs="Times New Roman"/>
                <w:sz w:val="20"/>
                <w:szCs w:val="16"/>
              </w:rPr>
              <w:t>.</w:t>
            </w:r>
            <w:r w:rsidR="00F51D51" w:rsidRPr="00777C95">
              <w:rPr>
                <w:rFonts w:ascii="Times New Roman" w:hAnsi="Times New Roman" w:cs="Times New Roman"/>
                <w:sz w:val="20"/>
                <w:szCs w:val="16"/>
              </w:rPr>
              <w:t>7</w:t>
            </w:r>
            <w:r w:rsidRPr="00777C95">
              <w:rPr>
                <w:rFonts w:ascii="Times New Roman" w:hAnsi="Times New Roman" w:cs="Times New Roman"/>
                <w:sz w:val="20"/>
                <w:szCs w:val="16"/>
              </w:rPr>
              <w:t>%)</w:t>
            </w:r>
          </w:p>
          <w:p w:rsidR="00B352B9" w:rsidRPr="00777C95" w:rsidRDefault="004B2E2B"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B352B9" w:rsidRPr="00777C95">
              <w:rPr>
                <w:rFonts w:ascii="Times New Roman" w:hAnsi="Times New Roman" w:cs="Times New Roman"/>
                <w:sz w:val="20"/>
                <w:szCs w:val="16"/>
              </w:rPr>
              <w:t xml:space="preserve"> (</w:t>
            </w:r>
            <w:r w:rsidRPr="00777C95">
              <w:rPr>
                <w:rFonts w:ascii="Times New Roman" w:hAnsi="Times New Roman" w:cs="Times New Roman"/>
                <w:sz w:val="20"/>
                <w:szCs w:val="16"/>
              </w:rPr>
              <w:t>2</w:t>
            </w:r>
            <w:r w:rsidR="00B352B9" w:rsidRPr="00777C95">
              <w:rPr>
                <w:rFonts w:ascii="Times New Roman" w:hAnsi="Times New Roman" w:cs="Times New Roman"/>
                <w:sz w:val="20"/>
                <w:szCs w:val="16"/>
              </w:rPr>
              <w:t>.</w:t>
            </w:r>
            <w:r w:rsidRPr="00777C95">
              <w:rPr>
                <w:rFonts w:ascii="Times New Roman" w:hAnsi="Times New Roman" w:cs="Times New Roman"/>
                <w:sz w:val="20"/>
                <w:szCs w:val="16"/>
              </w:rPr>
              <w:t>8</w:t>
            </w:r>
            <w:r w:rsidR="00B352B9" w:rsidRPr="00777C95">
              <w:rPr>
                <w:rFonts w:ascii="Times New Roman" w:hAnsi="Times New Roman" w:cs="Times New Roman"/>
                <w:sz w:val="20"/>
                <w:szCs w:val="16"/>
              </w:rPr>
              <w:t>%)</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w:t>
            </w:r>
            <w:r w:rsidR="00F51D51" w:rsidRPr="00777C95">
              <w:rPr>
                <w:rFonts w:ascii="Times New Roman" w:hAnsi="Times New Roman" w:cs="Times New Roman"/>
                <w:sz w:val="20"/>
                <w:szCs w:val="16"/>
              </w:rPr>
              <w:t>3</w:t>
            </w:r>
            <w:r w:rsidRPr="00777C95">
              <w:rPr>
                <w:rFonts w:ascii="Times New Roman" w:hAnsi="Times New Roman" w:cs="Times New Roman"/>
                <w:sz w:val="20"/>
                <w:szCs w:val="16"/>
              </w:rPr>
              <w:t xml:space="preserve"> (</w:t>
            </w:r>
            <w:r w:rsidR="00F51D51" w:rsidRPr="00777C95">
              <w:rPr>
                <w:rFonts w:ascii="Times New Roman" w:hAnsi="Times New Roman" w:cs="Times New Roman"/>
                <w:sz w:val="20"/>
                <w:szCs w:val="16"/>
              </w:rPr>
              <w:t>36.1</w:t>
            </w:r>
            <w:r w:rsidRPr="00777C95">
              <w:rPr>
                <w:rFonts w:ascii="Times New Roman" w:hAnsi="Times New Roman" w:cs="Times New Roman"/>
                <w:sz w:val="20"/>
                <w:szCs w:val="16"/>
              </w:rPr>
              <w:t>%)</w:t>
            </w:r>
          </w:p>
          <w:p w:rsidR="00B352B9" w:rsidRPr="00777C95" w:rsidRDefault="004B2E2B"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7</w:t>
            </w:r>
            <w:r w:rsidR="00B352B9" w:rsidRPr="00777C95">
              <w:rPr>
                <w:rFonts w:ascii="Times New Roman" w:hAnsi="Times New Roman" w:cs="Times New Roman"/>
                <w:sz w:val="20"/>
                <w:szCs w:val="16"/>
              </w:rPr>
              <w:t xml:space="preserve"> (</w:t>
            </w:r>
            <w:r w:rsidRPr="00777C95">
              <w:rPr>
                <w:rFonts w:ascii="Times New Roman" w:hAnsi="Times New Roman" w:cs="Times New Roman"/>
                <w:sz w:val="20"/>
                <w:szCs w:val="16"/>
              </w:rPr>
              <w:t>19</w:t>
            </w:r>
            <w:r w:rsidR="00B352B9" w:rsidRPr="00777C95">
              <w:rPr>
                <w:rFonts w:ascii="Times New Roman" w:hAnsi="Times New Roman" w:cs="Times New Roman"/>
                <w:sz w:val="20"/>
                <w:szCs w:val="16"/>
              </w:rPr>
              <w:t>.</w:t>
            </w:r>
            <w:r w:rsidRPr="00777C95">
              <w:rPr>
                <w:rFonts w:ascii="Times New Roman" w:hAnsi="Times New Roman" w:cs="Times New Roman"/>
                <w:sz w:val="20"/>
                <w:szCs w:val="16"/>
              </w:rPr>
              <w:t>4</w:t>
            </w:r>
            <w:r w:rsidR="00B352B9" w:rsidRPr="00777C95">
              <w:rPr>
                <w:rFonts w:ascii="Times New Roman" w:hAnsi="Times New Roman" w:cs="Times New Roman"/>
                <w:sz w:val="20"/>
                <w:szCs w:val="16"/>
              </w:rPr>
              <w:t>%)</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28 (77.8%)</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8 (22.2%)</w:t>
            </w:r>
          </w:p>
        </w:tc>
        <w:tc>
          <w:tcPr>
            <w:tcW w:w="618"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w:t>
            </w:r>
            <w:r w:rsidR="004B2E2B" w:rsidRPr="00777C95">
              <w:rPr>
                <w:rFonts w:ascii="Times New Roman" w:hAnsi="Times New Roman" w:cs="Times New Roman"/>
                <w:sz w:val="20"/>
                <w:szCs w:val="16"/>
              </w:rPr>
              <w:t>045</w:t>
            </w:r>
          </w:p>
        </w:tc>
      </w:tr>
      <w:tr w:rsidR="00B352B9" w:rsidRPr="00777C95" w:rsidTr="00777C95">
        <w:trPr>
          <w:cnfStyle w:val="000000100000"/>
          <w:jc w:val="center"/>
        </w:trPr>
        <w:tc>
          <w:tcPr>
            <w:cnfStyle w:val="001000000000"/>
            <w:tcW w:w="2119" w:type="pct"/>
            <w:vAlign w:val="center"/>
          </w:tcPr>
          <w:p w:rsidR="00777C95"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Time interval to metastasis</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w:t>
            </w:r>
            <w:r w:rsidR="00B352B9" w:rsidRPr="00777C95">
              <w:rPr>
                <w:rFonts w:ascii="Times New Roman" w:hAnsi="Times New Roman" w:cs="Times New Roman"/>
                <w:sz w:val="20"/>
                <w:szCs w:val="16"/>
              </w:rPr>
              <w:t xml:space="preserve"> 2 years</w:t>
            </w:r>
          </w:p>
          <w:p w:rsidR="00B352B9"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eastAsia="Shaker2Lancet-Regular" w:hAnsi="Times New Roman" w:cs="Times New Roman"/>
                <w:color w:val="231F20"/>
                <w:sz w:val="20"/>
                <w:szCs w:val="16"/>
              </w:rPr>
              <w:t>˂</w:t>
            </w:r>
            <w:r w:rsidR="00B352B9" w:rsidRPr="00777C95">
              <w:rPr>
                <w:rFonts w:ascii="Times New Roman" w:eastAsia="Shaker2Lancet-Regular" w:hAnsi="Times New Roman" w:cs="Times New Roman"/>
                <w:color w:val="231F20"/>
                <w:sz w:val="20"/>
                <w:szCs w:val="16"/>
              </w:rPr>
              <w:t xml:space="preserve"> 2</w:t>
            </w:r>
            <w:r w:rsidR="00B352B9" w:rsidRPr="00777C95">
              <w:rPr>
                <w:rFonts w:ascii="Times New Roman" w:hAnsi="Times New Roman" w:cs="Times New Roman"/>
                <w:sz w:val="20"/>
                <w:szCs w:val="16"/>
              </w:rPr>
              <w:t>years</w:t>
            </w:r>
          </w:p>
        </w:tc>
        <w:tc>
          <w:tcPr>
            <w:tcW w:w="755"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8 (22.2%)</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8 (22.2%)</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 (5.6%)</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18 (50.0%)</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10 (27.8%)</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26 (72.2%)</w:t>
            </w:r>
          </w:p>
        </w:tc>
        <w:tc>
          <w:tcPr>
            <w:tcW w:w="618"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0.011</w:t>
            </w:r>
          </w:p>
        </w:tc>
      </w:tr>
      <w:tr w:rsidR="00B352B9" w:rsidRPr="00777C95" w:rsidTr="00777C95">
        <w:trPr>
          <w:jc w:val="center"/>
        </w:trPr>
        <w:tc>
          <w:tcPr>
            <w:cnfStyle w:val="001000000000"/>
            <w:tcW w:w="2119" w:type="pct"/>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CEA level</w:t>
            </w:r>
          </w:p>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&lt; 200ng/ml</w:t>
            </w:r>
          </w:p>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eastAsia="Shaker2Lancet-Regular" w:hAnsi="Times New Roman" w:cs="Times New Roman"/>
                <w:color w:val="231F20"/>
                <w:sz w:val="20"/>
                <w:szCs w:val="16"/>
              </w:rPr>
              <w:t>≥</w:t>
            </w:r>
            <w:r w:rsidRPr="00777C95">
              <w:rPr>
                <w:rFonts w:ascii="Times New Roman" w:hAnsi="Times New Roman" w:cs="Times New Roman"/>
                <w:sz w:val="20"/>
                <w:szCs w:val="16"/>
              </w:rPr>
              <w:t>200ng/ml</w:t>
            </w:r>
          </w:p>
        </w:tc>
        <w:tc>
          <w:tcPr>
            <w:tcW w:w="755"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15 (41.7%)</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 (2.8%)</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11 (30.6%)</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9 (25.0%)</w:t>
            </w:r>
          </w:p>
        </w:tc>
        <w:tc>
          <w:tcPr>
            <w:tcW w:w="754"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26 (72.2%)</w:t>
            </w: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10 (27.8%)</w:t>
            </w:r>
          </w:p>
        </w:tc>
        <w:tc>
          <w:tcPr>
            <w:tcW w:w="618" w:type="pct"/>
            <w:vAlign w:val="center"/>
          </w:tcPr>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000000"/>
              <w:rPr>
                <w:rFonts w:ascii="Times New Roman" w:hAnsi="Times New Roman" w:cs="Times New Roman"/>
                <w:sz w:val="20"/>
                <w:szCs w:val="16"/>
              </w:rPr>
            </w:pPr>
            <w:r w:rsidRPr="00777C95">
              <w:rPr>
                <w:rFonts w:ascii="Times New Roman" w:hAnsi="Times New Roman" w:cs="Times New Roman"/>
                <w:sz w:val="20"/>
                <w:szCs w:val="16"/>
              </w:rPr>
              <w:t>0.011</w:t>
            </w:r>
          </w:p>
        </w:tc>
      </w:tr>
      <w:tr w:rsidR="00B352B9" w:rsidRPr="00777C95" w:rsidTr="00777C95">
        <w:trPr>
          <w:cnfStyle w:val="000000100000"/>
          <w:jc w:val="center"/>
        </w:trPr>
        <w:tc>
          <w:tcPr>
            <w:cnfStyle w:val="001000000000"/>
            <w:tcW w:w="2119" w:type="pct"/>
            <w:vAlign w:val="center"/>
          </w:tcPr>
          <w:p w:rsidR="00777C95" w:rsidRPr="00777C95" w:rsidRDefault="00B352B9" w:rsidP="00C439DC">
            <w:pPr>
              <w:autoSpaceDE w:val="0"/>
              <w:autoSpaceDN w:val="0"/>
              <w:bidi w:val="0"/>
              <w:adjustRightInd w:val="0"/>
              <w:snapToGrid w:val="0"/>
              <w:jc w:val="both"/>
              <w:rPr>
                <w:rFonts w:ascii="Times New Roman" w:hAnsi="Times New Roman" w:cs="Times New Roman"/>
                <w:b w:val="0"/>
                <w:bCs w:val="0"/>
                <w:sz w:val="20"/>
                <w:szCs w:val="16"/>
              </w:rPr>
            </w:pPr>
            <w:r w:rsidRPr="00777C95">
              <w:rPr>
                <w:rFonts w:ascii="Times New Roman" w:hAnsi="Times New Roman" w:cs="Times New Roman"/>
                <w:sz w:val="20"/>
                <w:szCs w:val="16"/>
              </w:rPr>
              <w:t>Previous adjuvant chemotherapy</w:t>
            </w:r>
          </w:p>
          <w:p w:rsidR="00777C95"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N</w:t>
            </w:r>
            <w:r w:rsidR="00B352B9" w:rsidRPr="00777C95">
              <w:rPr>
                <w:rFonts w:ascii="Times New Roman" w:hAnsi="Times New Roman" w:cs="Times New Roman"/>
                <w:sz w:val="20"/>
                <w:szCs w:val="16"/>
              </w:rPr>
              <w:t>o</w:t>
            </w:r>
          </w:p>
          <w:p w:rsidR="00B352B9" w:rsidRPr="00777C95" w:rsidRDefault="00777C95"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Y</w:t>
            </w:r>
            <w:r w:rsidR="00B352B9" w:rsidRPr="00777C95">
              <w:rPr>
                <w:rFonts w:ascii="Times New Roman" w:hAnsi="Times New Roman" w:cs="Times New Roman"/>
                <w:sz w:val="20"/>
                <w:szCs w:val="16"/>
              </w:rPr>
              <w:t>es</w:t>
            </w:r>
          </w:p>
        </w:tc>
        <w:tc>
          <w:tcPr>
            <w:tcW w:w="755"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11 (30.6%)</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5 (13.9%)</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6 (16.7%)</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14 (38.9%)</w:t>
            </w:r>
          </w:p>
        </w:tc>
        <w:tc>
          <w:tcPr>
            <w:tcW w:w="754"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17 (47.2%)</w:t>
            </w: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19 (52.8%)</w:t>
            </w:r>
          </w:p>
        </w:tc>
        <w:tc>
          <w:tcPr>
            <w:tcW w:w="618" w:type="pct"/>
            <w:vAlign w:val="center"/>
          </w:tcPr>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p>
          <w:p w:rsidR="00B352B9" w:rsidRPr="00777C95" w:rsidRDefault="00B352B9" w:rsidP="00C439DC">
            <w:pPr>
              <w:autoSpaceDE w:val="0"/>
              <w:autoSpaceDN w:val="0"/>
              <w:bidi w:val="0"/>
              <w:adjustRightInd w:val="0"/>
              <w:snapToGrid w:val="0"/>
              <w:jc w:val="both"/>
              <w:cnfStyle w:val="000000100000"/>
              <w:rPr>
                <w:rFonts w:ascii="Times New Roman" w:hAnsi="Times New Roman" w:cs="Times New Roman"/>
                <w:sz w:val="20"/>
                <w:szCs w:val="16"/>
              </w:rPr>
            </w:pPr>
            <w:r w:rsidRPr="00777C95">
              <w:rPr>
                <w:rFonts w:ascii="Times New Roman" w:hAnsi="Times New Roman" w:cs="Times New Roman"/>
                <w:sz w:val="20"/>
                <w:szCs w:val="16"/>
              </w:rPr>
              <w:t>0.021</w:t>
            </w:r>
          </w:p>
        </w:tc>
      </w:tr>
      <w:tr w:rsidR="00B352B9" w:rsidRPr="00777C95" w:rsidTr="00777C95">
        <w:trPr>
          <w:jc w:val="center"/>
        </w:trPr>
        <w:tc>
          <w:tcPr>
            <w:cnfStyle w:val="001000000000"/>
            <w:tcW w:w="5000" w:type="pct"/>
            <w:gridSpan w:val="5"/>
            <w:vAlign w:val="center"/>
          </w:tcPr>
          <w:p w:rsidR="00B352B9" w:rsidRPr="00777C95" w:rsidRDefault="00B352B9" w:rsidP="00C439DC">
            <w:pPr>
              <w:autoSpaceDE w:val="0"/>
              <w:autoSpaceDN w:val="0"/>
              <w:bidi w:val="0"/>
              <w:adjustRightInd w:val="0"/>
              <w:snapToGrid w:val="0"/>
              <w:jc w:val="both"/>
              <w:rPr>
                <w:rFonts w:ascii="Times New Roman" w:hAnsi="Times New Roman" w:cs="Times New Roman"/>
                <w:sz w:val="20"/>
                <w:szCs w:val="16"/>
              </w:rPr>
            </w:pPr>
            <w:r w:rsidRPr="00777C95">
              <w:rPr>
                <w:rFonts w:ascii="Times New Roman" w:hAnsi="Times New Roman" w:cs="Times New Roman"/>
                <w:sz w:val="20"/>
                <w:szCs w:val="16"/>
              </w:rPr>
              <w:t xml:space="preserve">CR: </w:t>
            </w:r>
            <w:r w:rsidRPr="00777C95">
              <w:rPr>
                <w:rFonts w:ascii="Times New Roman" w:hAnsi="Times New Roman" w:cs="Times New Roman"/>
                <w:b w:val="0"/>
                <w:bCs w:val="0"/>
                <w:sz w:val="20"/>
                <w:szCs w:val="16"/>
              </w:rPr>
              <w:t>Complete response,</w:t>
            </w:r>
            <w:r w:rsidRPr="00777C95">
              <w:rPr>
                <w:rFonts w:ascii="Times New Roman" w:hAnsi="Times New Roman" w:cs="Times New Roman"/>
                <w:sz w:val="20"/>
                <w:szCs w:val="16"/>
              </w:rPr>
              <w:t xml:space="preserve"> PR: </w:t>
            </w:r>
            <w:r w:rsidRPr="00777C95">
              <w:rPr>
                <w:rFonts w:ascii="Times New Roman" w:hAnsi="Times New Roman" w:cs="Times New Roman"/>
                <w:b w:val="0"/>
                <w:bCs w:val="0"/>
                <w:sz w:val="20"/>
                <w:szCs w:val="16"/>
              </w:rPr>
              <w:t>Partial response,</w:t>
            </w:r>
            <w:r w:rsidRPr="00777C95">
              <w:rPr>
                <w:rFonts w:ascii="Times New Roman" w:hAnsi="Times New Roman" w:cs="Times New Roman"/>
                <w:sz w:val="20"/>
                <w:szCs w:val="16"/>
              </w:rPr>
              <w:t xml:space="preserve"> SD: </w:t>
            </w:r>
            <w:r w:rsidRPr="00777C95">
              <w:rPr>
                <w:rFonts w:ascii="Times New Roman" w:hAnsi="Times New Roman" w:cs="Times New Roman"/>
                <w:b w:val="0"/>
                <w:bCs w:val="0"/>
                <w:sz w:val="20"/>
                <w:szCs w:val="16"/>
              </w:rPr>
              <w:t>Stable diseas</w:t>
            </w:r>
            <w:r w:rsidRPr="00777C95">
              <w:rPr>
                <w:rFonts w:ascii="Times New Roman" w:hAnsi="Times New Roman" w:cs="Times New Roman"/>
                <w:sz w:val="20"/>
                <w:szCs w:val="16"/>
              </w:rPr>
              <w:t xml:space="preserve">e, PD: </w:t>
            </w:r>
            <w:r w:rsidRPr="00777C95">
              <w:rPr>
                <w:rFonts w:ascii="Times New Roman" w:hAnsi="Times New Roman" w:cs="Times New Roman"/>
                <w:b w:val="0"/>
                <w:bCs w:val="0"/>
                <w:sz w:val="20"/>
                <w:szCs w:val="16"/>
              </w:rPr>
              <w:t>Progressive disease,</w:t>
            </w:r>
            <w:r w:rsidRPr="00777C95">
              <w:rPr>
                <w:rFonts w:ascii="Times New Roman" w:hAnsi="Times New Roman" w:cs="Times New Roman"/>
                <w:sz w:val="20"/>
                <w:szCs w:val="16"/>
              </w:rPr>
              <w:t xml:space="preserve"> KPS: </w:t>
            </w:r>
            <w:proofErr w:type="spellStart"/>
            <w:r w:rsidRPr="00777C95">
              <w:rPr>
                <w:rFonts w:ascii="Times New Roman" w:hAnsi="Times New Roman" w:cs="Times New Roman"/>
                <w:b w:val="0"/>
                <w:bCs w:val="0"/>
                <w:sz w:val="20"/>
                <w:szCs w:val="16"/>
              </w:rPr>
              <w:t>Karnofsky</w:t>
            </w:r>
            <w:proofErr w:type="spellEnd"/>
            <w:r w:rsidRPr="00777C95">
              <w:rPr>
                <w:rFonts w:ascii="Times New Roman" w:hAnsi="Times New Roman" w:cs="Times New Roman"/>
                <w:b w:val="0"/>
                <w:bCs w:val="0"/>
                <w:sz w:val="20"/>
                <w:szCs w:val="16"/>
              </w:rPr>
              <w:t xml:space="preserve"> performance status</w:t>
            </w:r>
          </w:p>
        </w:tc>
      </w:tr>
    </w:tbl>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sectPr w:rsidR="00777C95" w:rsidRPr="00777C95" w:rsidSect="00777C95">
          <w:headerReference w:type="default" r:id="rId16"/>
          <w:type w:val="continuous"/>
          <w:pgSz w:w="12242" w:h="15842" w:code="1"/>
          <w:pgMar w:top="1440" w:right="1440" w:bottom="1440" w:left="1440" w:header="720" w:footer="720" w:gutter="0"/>
          <w:cols w:space="708"/>
          <w:bidi/>
          <w:docGrid w:linePitch="360"/>
        </w:sectPr>
      </w:pP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lastRenderedPageBreak/>
        <w:t>Survival</w:t>
      </w:r>
    </w:p>
    <w:p w:rsidR="00D8197D" w:rsidRPr="00777C95" w:rsidRDefault="00D8197D"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Following surgical resection and the postoperative part of XELOX treatment, the patients were followed up regularly on definitive interval aiming at detection of any recurrence as early as possible for exact reporting the DFS and the possibility for the implication of another line of treatment hopefully for achieving a better survival. </w:t>
      </w:r>
    </w:p>
    <w:p w:rsidR="00C439DC" w:rsidRDefault="00B974D8"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F</w:t>
      </w:r>
      <w:r w:rsidR="00D8197D" w:rsidRPr="00777C95">
        <w:rPr>
          <w:rFonts w:ascii="Times New Roman" w:hAnsi="Times New Roman" w:cs="Times New Roman"/>
          <w:sz w:val="20"/>
          <w:szCs w:val="20"/>
        </w:rPr>
        <w:t>or all patients</w:t>
      </w:r>
      <w:r w:rsidRPr="00777C95">
        <w:rPr>
          <w:rFonts w:ascii="Times New Roman" w:hAnsi="Times New Roman" w:cs="Times New Roman"/>
          <w:sz w:val="20"/>
          <w:szCs w:val="20"/>
        </w:rPr>
        <w:t>, the median survival</w:t>
      </w:r>
      <w:r w:rsidR="00D8197D" w:rsidRPr="00777C95">
        <w:rPr>
          <w:rFonts w:ascii="Times New Roman" w:hAnsi="Times New Roman" w:cs="Times New Roman"/>
          <w:sz w:val="20"/>
          <w:szCs w:val="20"/>
        </w:rPr>
        <w:t xml:space="preserve"> was </w:t>
      </w:r>
      <w:r w:rsidR="00E220C1" w:rsidRPr="00777C95">
        <w:rPr>
          <w:rFonts w:ascii="Times New Roman" w:hAnsi="Times New Roman" w:cs="Times New Roman"/>
          <w:sz w:val="20"/>
          <w:szCs w:val="20"/>
        </w:rPr>
        <w:t>34</w:t>
      </w:r>
      <w:r w:rsidR="00D8197D" w:rsidRPr="00777C95">
        <w:rPr>
          <w:rFonts w:ascii="Times New Roman" w:hAnsi="Times New Roman" w:cs="Times New Roman"/>
          <w:sz w:val="20"/>
          <w:szCs w:val="20"/>
        </w:rPr>
        <w:t xml:space="preserve"> months and 3 years </w:t>
      </w:r>
      <w:r w:rsidR="00E220C1" w:rsidRPr="00777C95">
        <w:rPr>
          <w:rFonts w:ascii="Times New Roman" w:hAnsi="Times New Roman" w:cs="Times New Roman"/>
          <w:sz w:val="20"/>
          <w:szCs w:val="20"/>
        </w:rPr>
        <w:t>OS</w:t>
      </w:r>
      <w:r w:rsidR="00D8197D" w:rsidRPr="00777C95">
        <w:rPr>
          <w:rFonts w:ascii="Times New Roman" w:hAnsi="Times New Roman" w:cs="Times New Roman"/>
          <w:sz w:val="20"/>
          <w:szCs w:val="20"/>
        </w:rPr>
        <w:t xml:space="preserve"> was </w:t>
      </w:r>
      <w:r w:rsidR="00C755BC" w:rsidRPr="00777C95">
        <w:rPr>
          <w:rFonts w:ascii="Times New Roman" w:hAnsi="Times New Roman" w:cs="Times New Roman"/>
          <w:sz w:val="20"/>
          <w:szCs w:val="20"/>
        </w:rPr>
        <w:t>46</w:t>
      </w:r>
      <w:r w:rsidR="00D8197D" w:rsidRPr="00777C95">
        <w:rPr>
          <w:rFonts w:ascii="Times New Roman" w:hAnsi="Times New Roman" w:cs="Times New Roman"/>
          <w:sz w:val="20"/>
          <w:szCs w:val="20"/>
        </w:rPr>
        <w:t>% as shown in figure (1)</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F</w:t>
      </w:r>
      <w:r w:rsidRPr="00777C95">
        <w:rPr>
          <w:rFonts w:ascii="Times New Roman" w:hAnsi="Times New Roman" w:cs="Times New Roman"/>
          <w:sz w:val="20"/>
          <w:szCs w:val="20"/>
        </w:rPr>
        <w:t xml:space="preserve">or </w:t>
      </w:r>
      <w:proofErr w:type="spellStart"/>
      <w:r w:rsidRPr="00777C95">
        <w:rPr>
          <w:rFonts w:ascii="Times New Roman" w:hAnsi="Times New Roman" w:cs="Times New Roman"/>
          <w:sz w:val="20"/>
          <w:szCs w:val="20"/>
        </w:rPr>
        <w:t>resected</w:t>
      </w:r>
      <w:proofErr w:type="spellEnd"/>
      <w:r w:rsidRPr="00777C95">
        <w:rPr>
          <w:rFonts w:ascii="Times New Roman" w:hAnsi="Times New Roman" w:cs="Times New Roman"/>
          <w:sz w:val="20"/>
          <w:szCs w:val="20"/>
        </w:rPr>
        <w:t xml:space="preserve"> patients</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00D8197D" w:rsidRPr="00777C95">
        <w:rPr>
          <w:rFonts w:ascii="Times New Roman" w:hAnsi="Times New Roman" w:cs="Times New Roman"/>
          <w:sz w:val="20"/>
          <w:szCs w:val="20"/>
        </w:rPr>
        <w:t xml:space="preserve">he median survival </w:t>
      </w:r>
      <w:r w:rsidRPr="00777C95">
        <w:rPr>
          <w:rFonts w:ascii="Times New Roman" w:hAnsi="Times New Roman" w:cs="Times New Roman"/>
          <w:sz w:val="20"/>
          <w:szCs w:val="20"/>
        </w:rPr>
        <w:t xml:space="preserve">couldn’t be </w:t>
      </w:r>
      <w:r w:rsidR="0001291B" w:rsidRPr="00777C95">
        <w:rPr>
          <w:rFonts w:ascii="Times New Roman" w:hAnsi="Times New Roman" w:cs="Times New Roman"/>
          <w:sz w:val="20"/>
          <w:szCs w:val="20"/>
        </w:rPr>
        <w:t>reached</w:t>
      </w:r>
      <w:r w:rsidR="00E220C1" w:rsidRPr="00777C95">
        <w:rPr>
          <w:rFonts w:ascii="Times New Roman" w:hAnsi="Times New Roman" w:cs="Times New Roman"/>
          <w:sz w:val="20"/>
          <w:szCs w:val="20"/>
        </w:rPr>
        <w:t xml:space="preserve">, </w:t>
      </w:r>
      <w:r w:rsidRPr="00777C95">
        <w:rPr>
          <w:rFonts w:ascii="Times New Roman" w:hAnsi="Times New Roman" w:cs="Times New Roman"/>
          <w:sz w:val="20"/>
          <w:szCs w:val="20"/>
        </w:rPr>
        <w:t xml:space="preserve">and the </w:t>
      </w:r>
      <w:r w:rsidR="00E220C1" w:rsidRPr="00777C95">
        <w:rPr>
          <w:rFonts w:ascii="Times New Roman" w:hAnsi="Times New Roman" w:cs="Times New Roman"/>
          <w:sz w:val="20"/>
          <w:szCs w:val="20"/>
        </w:rPr>
        <w:t xml:space="preserve">3 years </w:t>
      </w:r>
      <w:proofErr w:type="spellStart"/>
      <w:r w:rsidR="00E220C1" w:rsidRPr="00777C95">
        <w:rPr>
          <w:rFonts w:ascii="Times New Roman" w:hAnsi="Times New Roman" w:cs="Times New Roman"/>
          <w:sz w:val="20"/>
          <w:szCs w:val="20"/>
        </w:rPr>
        <w:t>OSand</w:t>
      </w:r>
      <w:proofErr w:type="spellEnd"/>
      <w:r w:rsidR="00E220C1" w:rsidRPr="00777C95">
        <w:rPr>
          <w:rFonts w:ascii="Times New Roman" w:hAnsi="Times New Roman" w:cs="Times New Roman"/>
          <w:sz w:val="20"/>
          <w:szCs w:val="20"/>
        </w:rPr>
        <w:t xml:space="preserve"> </w:t>
      </w:r>
      <w:r w:rsidR="00D8197D" w:rsidRPr="00777C95">
        <w:rPr>
          <w:rFonts w:ascii="Times New Roman" w:hAnsi="Times New Roman" w:cs="Times New Roman"/>
          <w:sz w:val="20"/>
          <w:szCs w:val="20"/>
        </w:rPr>
        <w:t xml:space="preserve">3 years DFS </w:t>
      </w:r>
      <w:r w:rsidRPr="00777C95">
        <w:rPr>
          <w:rFonts w:ascii="Times New Roman" w:hAnsi="Times New Roman" w:cs="Times New Roman"/>
          <w:sz w:val="20"/>
          <w:szCs w:val="20"/>
        </w:rPr>
        <w:t>were 57.5% and</w:t>
      </w:r>
      <w:r w:rsidR="00D8197D" w:rsidRPr="00777C95">
        <w:rPr>
          <w:rFonts w:ascii="Times New Roman" w:hAnsi="Times New Roman" w:cs="Times New Roman"/>
          <w:sz w:val="20"/>
          <w:szCs w:val="20"/>
        </w:rPr>
        <w:t xml:space="preserve">41.3% </w:t>
      </w:r>
      <w:r w:rsidRPr="00777C95">
        <w:rPr>
          <w:rFonts w:ascii="Times New Roman" w:hAnsi="Times New Roman" w:cs="Times New Roman"/>
          <w:sz w:val="20"/>
          <w:szCs w:val="20"/>
        </w:rPr>
        <w:t xml:space="preserve">respectively </w:t>
      </w:r>
      <w:r w:rsidR="00D8197D" w:rsidRPr="00777C95">
        <w:rPr>
          <w:rFonts w:ascii="Times New Roman" w:hAnsi="Times New Roman" w:cs="Times New Roman"/>
          <w:sz w:val="20"/>
          <w:szCs w:val="20"/>
        </w:rPr>
        <w:t>as shown in figure (2</w:t>
      </w:r>
      <w:r w:rsidR="00777C95" w:rsidRPr="00777C95">
        <w:rPr>
          <w:rFonts w:ascii="Times New Roman" w:hAnsi="Times New Roman" w:cs="Times New Roman"/>
          <w:sz w:val="20"/>
          <w:szCs w:val="20"/>
        </w:rPr>
        <w:t xml:space="preserve"> &amp; </w:t>
      </w:r>
      <w:r w:rsidR="00C22CFD" w:rsidRPr="00777C95">
        <w:rPr>
          <w:rFonts w:ascii="Times New Roman" w:hAnsi="Times New Roman" w:cs="Times New Roman"/>
          <w:sz w:val="20"/>
          <w:szCs w:val="20"/>
        </w:rPr>
        <w:t>3</w:t>
      </w:r>
      <w:r w:rsidR="00C439DC" w:rsidRPr="00777C95">
        <w:rPr>
          <w:rFonts w:ascii="Times New Roman" w:hAnsi="Times New Roman" w:cs="Times New Roman"/>
          <w:sz w:val="20"/>
          <w:szCs w:val="20"/>
        </w:rPr>
        <w:t>)</w:t>
      </w:r>
      <w:r w:rsidR="00C439DC">
        <w:rPr>
          <w:rFonts w:ascii="Times New Roman" w:hAnsi="Times New Roman" w:cs="Times New Roman"/>
          <w:sz w:val="20"/>
          <w:szCs w:val="20"/>
        </w:rPr>
        <w:t>.</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i/>
          <w:iCs/>
          <w:sz w:val="20"/>
          <w:szCs w:val="20"/>
          <w:lang w:eastAsia="zh-CN"/>
        </w:rPr>
      </w:pPr>
    </w:p>
    <w:p w:rsidR="00C755BC" w:rsidRPr="00777C95" w:rsidRDefault="00C755BC"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drawing>
          <wp:inline distT="0" distB="0" distL="0" distR="0">
            <wp:extent cx="2914981" cy="217865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661"/>
                    <a:stretch>
                      <a:fillRect/>
                    </a:stretch>
                  </pic:blipFill>
                  <pic:spPr bwMode="auto">
                    <a:xfrm>
                      <a:off x="0" y="0"/>
                      <a:ext cx="2914981" cy="2178657"/>
                    </a:xfrm>
                    <a:prstGeom prst="rect">
                      <a:avLst/>
                    </a:prstGeom>
                    <a:noFill/>
                    <a:ln>
                      <a:noFill/>
                    </a:ln>
                  </pic:spPr>
                </pic:pic>
              </a:graphicData>
            </a:graphic>
          </wp:inline>
        </w:drawing>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777C95">
        <w:rPr>
          <w:rFonts w:ascii="Times New Roman" w:hAnsi="Times New Roman" w:cs="Times New Roman"/>
          <w:b/>
          <w:bCs/>
          <w:sz w:val="20"/>
          <w:szCs w:val="20"/>
        </w:rPr>
        <w:t xml:space="preserve">Figure (1) </w:t>
      </w:r>
      <w:r w:rsidR="00E220C1" w:rsidRPr="00777C95">
        <w:rPr>
          <w:rFonts w:ascii="Times New Roman" w:hAnsi="Times New Roman" w:cs="Times New Roman"/>
          <w:b/>
          <w:bCs/>
          <w:sz w:val="20"/>
          <w:szCs w:val="20"/>
        </w:rPr>
        <w:t>The</w:t>
      </w:r>
      <w:r w:rsidRPr="00777C95">
        <w:rPr>
          <w:rFonts w:ascii="Times New Roman" w:hAnsi="Times New Roman" w:cs="Times New Roman"/>
          <w:b/>
          <w:bCs/>
          <w:sz w:val="20"/>
          <w:szCs w:val="20"/>
        </w:rPr>
        <w:t xml:space="preserve"> 3 –year </w:t>
      </w:r>
      <w:proofErr w:type="spellStart"/>
      <w:r w:rsidR="00C755BC" w:rsidRPr="00777C95">
        <w:rPr>
          <w:rFonts w:ascii="Times New Roman" w:hAnsi="Times New Roman" w:cs="Times New Roman"/>
          <w:b/>
          <w:bCs/>
          <w:sz w:val="20"/>
          <w:szCs w:val="20"/>
        </w:rPr>
        <w:t>Overall</w:t>
      </w:r>
      <w:r w:rsidR="00E220C1" w:rsidRPr="00777C95">
        <w:rPr>
          <w:rFonts w:ascii="Times New Roman" w:hAnsi="Times New Roman" w:cs="Times New Roman"/>
          <w:b/>
          <w:bCs/>
          <w:sz w:val="20"/>
          <w:szCs w:val="20"/>
        </w:rPr>
        <w:t>survival</w:t>
      </w:r>
      <w:proofErr w:type="spellEnd"/>
      <w:r w:rsidR="00E220C1" w:rsidRPr="00777C95">
        <w:rPr>
          <w:rFonts w:ascii="Times New Roman" w:hAnsi="Times New Roman" w:cs="Times New Roman"/>
          <w:b/>
          <w:bCs/>
          <w:sz w:val="20"/>
          <w:szCs w:val="20"/>
        </w:rPr>
        <w:t xml:space="preserve"> for</w:t>
      </w:r>
      <w:r w:rsidRPr="00777C95">
        <w:rPr>
          <w:rFonts w:ascii="Times New Roman" w:hAnsi="Times New Roman" w:cs="Times New Roman"/>
          <w:b/>
          <w:bCs/>
          <w:sz w:val="20"/>
          <w:szCs w:val="20"/>
        </w:rPr>
        <w:t xml:space="preserve"> all patients</w:t>
      </w: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22CFD" w:rsidRPr="00777C95" w:rsidRDefault="00C22CFD"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lastRenderedPageBreak/>
        <w:drawing>
          <wp:inline distT="0" distB="0" distL="0" distR="0">
            <wp:extent cx="3114675" cy="2492472"/>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3429" cy="2499477"/>
                    </a:xfrm>
                    <a:prstGeom prst="rect">
                      <a:avLst/>
                    </a:prstGeom>
                    <a:noFill/>
                    <a:ln>
                      <a:noFill/>
                    </a:ln>
                  </pic:spPr>
                </pic:pic>
              </a:graphicData>
            </a:graphic>
          </wp:inline>
        </w:drawing>
      </w:r>
    </w:p>
    <w:p w:rsidR="00C22CFD" w:rsidRPr="00777C95" w:rsidRDefault="00C22CF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 xml:space="preserve">Figure (2) The 3 –year Overall survival for </w:t>
      </w:r>
      <w:proofErr w:type="spellStart"/>
      <w:r w:rsidRPr="00777C95">
        <w:rPr>
          <w:rFonts w:ascii="Times New Roman" w:hAnsi="Times New Roman" w:cs="Times New Roman"/>
          <w:b/>
          <w:bCs/>
          <w:sz w:val="20"/>
          <w:szCs w:val="20"/>
        </w:rPr>
        <w:t>resected</w:t>
      </w:r>
      <w:proofErr w:type="spellEnd"/>
      <w:r w:rsidRPr="00777C95">
        <w:rPr>
          <w:rFonts w:ascii="Times New Roman" w:hAnsi="Times New Roman" w:cs="Times New Roman"/>
          <w:b/>
          <w:bCs/>
          <w:sz w:val="20"/>
          <w:szCs w:val="20"/>
        </w:rPr>
        <w:t xml:space="preserve"> patients</w:t>
      </w:r>
    </w:p>
    <w:p w:rsidR="00D8197D"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439DC" w:rsidRPr="00777C95"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Toxicity</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The major Grade 3/4 adverse reactions to this regimen are listed in Table 4.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was the most common Grade 3–4 hematologic toxicity, recorded in 4 patients (11.1%). No mortality due to Grade 3-4 hematologic toxicity was recorded. </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Most non-hematological toxicities were mild and manageable. Sensory neuropathy was the most common treatment-related adverse event, occurring in 66.6% (24/36) of patients. The majority of neuropathy was mild to moderate. Grade 3/4 sensory neuropathy occurred in 8 (22.2%) patients. Hand-foot syndrome was experienced by 19 patients (52.8%) with only 4 patients (11.1%) suffered from grade 3. Other frequent grade 3 or 4 non-hematologic toxicities observed were </w:t>
      </w:r>
      <w:r w:rsidRPr="00777C95">
        <w:rPr>
          <w:rFonts w:ascii="Times New Roman" w:hAnsi="Times New Roman" w:cs="Times New Roman"/>
          <w:sz w:val="20"/>
          <w:szCs w:val="20"/>
        </w:rPr>
        <w:lastRenderedPageBreak/>
        <w:t>diarrhea in 7 patients (19.4%), nausea/vomiting in 6 patients (16.6%),</w:t>
      </w:r>
      <w:r>
        <w:rPr>
          <w:rFonts w:ascii="Times New Roman" w:hAnsi="Times New Roman" w:cs="Times New Roman"/>
          <w:sz w:val="20"/>
          <w:szCs w:val="20"/>
        </w:rPr>
        <w:t xml:space="preserve"> </w:t>
      </w:r>
      <w:r w:rsidRPr="00777C95">
        <w:rPr>
          <w:rFonts w:ascii="Times New Roman" w:hAnsi="Times New Roman" w:cs="Times New Roman"/>
          <w:sz w:val="20"/>
          <w:szCs w:val="20"/>
        </w:rPr>
        <w:t xml:space="preserve">and </w:t>
      </w:r>
      <w:proofErr w:type="spellStart"/>
      <w:r w:rsidRPr="00777C95">
        <w:rPr>
          <w:rFonts w:ascii="Times New Roman" w:hAnsi="Times New Roman" w:cs="Times New Roman"/>
          <w:sz w:val="20"/>
          <w:szCs w:val="20"/>
        </w:rPr>
        <w:t>mucositis</w:t>
      </w:r>
      <w:proofErr w:type="spellEnd"/>
      <w:r w:rsidRPr="00777C95">
        <w:rPr>
          <w:rFonts w:ascii="Times New Roman" w:hAnsi="Times New Roman" w:cs="Times New Roman"/>
          <w:sz w:val="20"/>
          <w:szCs w:val="20"/>
        </w:rPr>
        <w:t xml:space="preserve"> in 2 patients (5.6%).</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A total of 8 patients required hospitalization for different reasons; deterioration in performance status (PS) in 2 patients, </w:t>
      </w:r>
      <w:proofErr w:type="spellStart"/>
      <w:r w:rsidRPr="00777C95">
        <w:rPr>
          <w:rFonts w:ascii="Times New Roman" w:hAnsi="Times New Roman" w:cs="Times New Roman"/>
          <w:sz w:val="20"/>
          <w:szCs w:val="20"/>
        </w:rPr>
        <w:t>neutropenic</w:t>
      </w:r>
      <w:proofErr w:type="spellEnd"/>
      <w:r w:rsidRPr="00777C95">
        <w:rPr>
          <w:rFonts w:ascii="Times New Roman" w:hAnsi="Times New Roman" w:cs="Times New Roman"/>
          <w:sz w:val="20"/>
          <w:szCs w:val="20"/>
        </w:rPr>
        <w:t xml:space="preserve"> fever in 1, bleeding in 1, infection in 1, anemia in 2, and severe </w:t>
      </w:r>
      <w:proofErr w:type="spellStart"/>
      <w:r w:rsidRPr="00777C95">
        <w:rPr>
          <w:rFonts w:ascii="Times New Roman" w:hAnsi="Times New Roman" w:cs="Times New Roman"/>
          <w:sz w:val="20"/>
          <w:szCs w:val="20"/>
        </w:rPr>
        <w:t>mucositis</w:t>
      </w:r>
      <w:proofErr w:type="spellEnd"/>
      <w:r w:rsidRPr="00777C95">
        <w:rPr>
          <w:rFonts w:ascii="Times New Roman" w:hAnsi="Times New Roman" w:cs="Times New Roman"/>
          <w:sz w:val="20"/>
          <w:szCs w:val="20"/>
        </w:rPr>
        <w:t xml:space="preserve"> in 1 patient. </w:t>
      </w:r>
    </w:p>
    <w:p w:rsidR="00C439DC" w:rsidRPr="00777C95" w:rsidRDefault="00C439DC"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32 patients (88.8%) received full doses of </w:t>
      </w:r>
      <w:proofErr w:type="spellStart"/>
      <w:r w:rsidRPr="00777C95">
        <w:rPr>
          <w:rFonts w:ascii="Times New Roman" w:hAnsi="Times New Roman" w:cs="Times New Roman"/>
          <w:sz w:val="20"/>
          <w:szCs w:val="20"/>
        </w:rPr>
        <w:t>capecitabine</w:t>
      </w:r>
      <w:proofErr w:type="spellEnd"/>
      <w:r w:rsidRPr="00777C95">
        <w:rPr>
          <w:rFonts w:ascii="Times New Roman" w:hAnsi="Times New Roman" w:cs="Times New Roman"/>
          <w:sz w:val="20"/>
          <w:szCs w:val="20"/>
        </w:rPr>
        <w:t xml:space="preserve"> and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throughout the preoperative period while only 23 patients (63.8%) did that during the postoperative part of treatment. Five patients received no more than two-four cycles due to rapid disease progression and could not undergo resection and received no further planned chemotherapy. A dose reduction was performed in 4 patients (11.1%) preoperatively and in 8 patients (22.2%) postoperatively with 25% reduction for both drugs. The dose reductions were decided all because of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and neurotoxicity. </w:t>
      </w:r>
    </w:p>
    <w:p w:rsidR="00C439DC" w:rsidRPr="00C439DC"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2E707C" w:rsidRPr="00777C95" w:rsidRDefault="002E707C" w:rsidP="00C439DC">
      <w:pPr>
        <w:autoSpaceDE w:val="0"/>
        <w:autoSpaceDN w:val="0"/>
        <w:bidi w:val="0"/>
        <w:adjustRightInd w:val="0"/>
        <w:snapToGrid w:val="0"/>
        <w:spacing w:after="0" w:line="240" w:lineRule="auto"/>
        <w:jc w:val="center"/>
        <w:rPr>
          <w:rFonts w:ascii="Times New Roman" w:hAnsi="Times New Roman" w:cs="Times New Roman"/>
          <w:sz w:val="20"/>
          <w:szCs w:val="20"/>
        </w:rPr>
      </w:pPr>
      <w:r w:rsidRPr="00777C95">
        <w:rPr>
          <w:rFonts w:ascii="Times New Roman" w:hAnsi="Times New Roman" w:cs="Times New Roman"/>
          <w:noProof/>
          <w:sz w:val="20"/>
          <w:szCs w:val="20"/>
          <w:lang w:eastAsia="zh-CN"/>
        </w:rPr>
        <w:drawing>
          <wp:inline distT="0" distB="0" distL="0" distR="0">
            <wp:extent cx="3038475" cy="2429806"/>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7695" cy="2437179"/>
                    </a:xfrm>
                    <a:prstGeom prst="rect">
                      <a:avLst/>
                    </a:prstGeom>
                    <a:noFill/>
                    <a:ln>
                      <a:noFill/>
                    </a:ln>
                  </pic:spPr>
                </pic:pic>
              </a:graphicData>
            </a:graphic>
          </wp:inline>
        </w:drawing>
      </w: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777C95">
        <w:rPr>
          <w:rFonts w:ascii="Times New Roman" w:hAnsi="Times New Roman" w:cs="Times New Roman"/>
          <w:b/>
          <w:bCs/>
          <w:sz w:val="20"/>
          <w:szCs w:val="20"/>
        </w:rPr>
        <w:t>Figure (</w:t>
      </w:r>
      <w:r w:rsidR="00C22CFD" w:rsidRPr="00777C95">
        <w:rPr>
          <w:rFonts w:ascii="Times New Roman" w:hAnsi="Times New Roman" w:cs="Times New Roman"/>
          <w:b/>
          <w:bCs/>
          <w:sz w:val="20"/>
          <w:szCs w:val="20"/>
        </w:rPr>
        <w:t>3</w:t>
      </w:r>
      <w:r w:rsidRPr="00777C95">
        <w:rPr>
          <w:rFonts w:ascii="Times New Roman" w:hAnsi="Times New Roman" w:cs="Times New Roman"/>
          <w:b/>
          <w:bCs/>
          <w:sz w:val="20"/>
          <w:szCs w:val="20"/>
        </w:rPr>
        <w:t xml:space="preserve">) The 3-year Disease free survival for </w:t>
      </w:r>
      <w:proofErr w:type="spellStart"/>
      <w:r w:rsidRPr="00777C95">
        <w:rPr>
          <w:rFonts w:ascii="Times New Roman" w:hAnsi="Times New Roman" w:cs="Times New Roman"/>
          <w:b/>
          <w:bCs/>
          <w:sz w:val="20"/>
          <w:szCs w:val="20"/>
        </w:rPr>
        <w:t>resected</w:t>
      </w:r>
      <w:proofErr w:type="spellEnd"/>
      <w:r w:rsidRPr="00777C95">
        <w:rPr>
          <w:rFonts w:ascii="Times New Roman" w:hAnsi="Times New Roman" w:cs="Times New Roman"/>
          <w:b/>
          <w:bCs/>
          <w:sz w:val="20"/>
          <w:szCs w:val="20"/>
        </w:rPr>
        <w:t xml:space="preserve"> patients</w:t>
      </w:r>
    </w:p>
    <w:p w:rsidR="00777C95" w:rsidRPr="00777C95" w:rsidRDefault="00777C95" w:rsidP="00C439D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8197D" w:rsidRPr="00777C95" w:rsidRDefault="00D8197D" w:rsidP="00C439DC">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777C95">
        <w:rPr>
          <w:rFonts w:ascii="Times New Roman" w:hAnsi="Times New Roman" w:cs="Times New Roman"/>
          <w:b/>
          <w:bCs/>
          <w:sz w:val="20"/>
          <w:szCs w:val="18"/>
        </w:rPr>
        <w:t xml:space="preserve">Table </w:t>
      </w:r>
      <w:r w:rsidR="00B974D8" w:rsidRPr="00777C95">
        <w:rPr>
          <w:rFonts w:ascii="Times New Roman" w:hAnsi="Times New Roman" w:cs="Times New Roman"/>
          <w:b/>
          <w:bCs/>
          <w:sz w:val="20"/>
          <w:szCs w:val="18"/>
        </w:rPr>
        <w:t>4</w:t>
      </w:r>
      <w:r w:rsidRPr="00777C95">
        <w:rPr>
          <w:rFonts w:ascii="Times New Roman" w:hAnsi="Times New Roman" w:cs="Times New Roman"/>
          <w:b/>
          <w:bCs/>
          <w:sz w:val="20"/>
          <w:szCs w:val="18"/>
        </w:rPr>
        <w:t>. Grade3/4 treatment-related hematologic and non-hematologic toxicity among all patients (N= 36 patients)</w:t>
      </w:r>
    </w:p>
    <w:tbl>
      <w:tblPr>
        <w:tblStyle w:val="ColorfulList-Accent3"/>
        <w:tblW w:w="5000" w:type="pct"/>
        <w:jc w:val="center"/>
        <w:tblCellMar>
          <w:left w:w="57" w:type="dxa"/>
          <w:right w:w="57" w:type="dxa"/>
        </w:tblCellMar>
        <w:tblLook w:val="01E0"/>
      </w:tblPr>
      <w:tblGrid>
        <w:gridCol w:w="3284"/>
        <w:gridCol w:w="579"/>
        <w:gridCol w:w="657"/>
      </w:tblGrid>
      <w:tr w:rsidR="00D8197D" w:rsidRPr="00777C95" w:rsidTr="00777C95">
        <w:trPr>
          <w:cnfStyle w:val="100000000000"/>
          <w:jc w:val="center"/>
        </w:trPr>
        <w:tc>
          <w:tcPr>
            <w:cnfStyle w:val="001000000000"/>
            <w:tcW w:w="3633" w:type="pct"/>
            <w:tcBorders>
              <w:bottom w:val="none" w:sz="0" w:space="0" w:color="auto"/>
            </w:tcBorders>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sz w:val="20"/>
                <w:szCs w:val="18"/>
              </w:rPr>
              <w:t xml:space="preserve">Treatment toxicity </w:t>
            </w:r>
          </w:p>
        </w:tc>
        <w:tc>
          <w:tcPr>
            <w:cnfStyle w:val="000010000000"/>
            <w:tcW w:w="640" w:type="pct"/>
            <w:tcBorders>
              <w:top w:val="none" w:sz="0" w:space="0" w:color="auto"/>
              <w:left w:val="none" w:sz="0" w:space="0" w:color="auto"/>
              <w:bottom w:val="none" w:sz="0" w:space="0" w:color="auto"/>
              <w:right w:val="none" w:sz="0" w:space="0" w:color="auto"/>
            </w:tcBorders>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sz w:val="20"/>
                <w:szCs w:val="18"/>
              </w:rPr>
              <w:t>No.</w:t>
            </w:r>
          </w:p>
        </w:tc>
        <w:tc>
          <w:tcPr>
            <w:cnfStyle w:val="000100000000"/>
            <w:tcW w:w="727" w:type="pct"/>
            <w:tcBorders>
              <w:bottom w:val="none" w:sz="0" w:space="0" w:color="auto"/>
            </w:tcBorders>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sz w:val="20"/>
                <w:szCs w:val="18"/>
              </w:rPr>
              <w:t>%</w:t>
            </w:r>
          </w:p>
        </w:tc>
      </w:tr>
      <w:tr w:rsidR="00D8197D" w:rsidRPr="00777C95" w:rsidTr="00777C95">
        <w:trPr>
          <w:cnfStyle w:val="000000100000"/>
          <w:jc w:val="center"/>
        </w:trPr>
        <w:tc>
          <w:tcPr>
            <w:cnfStyle w:val="001000000000"/>
            <w:tcW w:w="3633" w:type="pct"/>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sz w:val="20"/>
                <w:szCs w:val="18"/>
              </w:rPr>
              <w:t>Non-hematologic Toxicity</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Sensory neuropathy</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Diarrhea</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Nausea/vomiting</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Hand-foot syndrome</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roofErr w:type="spellStart"/>
            <w:r w:rsidRPr="00777C95">
              <w:rPr>
                <w:rFonts w:ascii="Times New Roman" w:hAnsi="Times New Roman" w:cs="Times New Roman"/>
                <w:sz w:val="20"/>
                <w:szCs w:val="18"/>
              </w:rPr>
              <w:t>Mucositis</w:t>
            </w:r>
            <w:proofErr w:type="spellEnd"/>
          </w:p>
        </w:tc>
        <w:tc>
          <w:tcPr>
            <w:cnfStyle w:val="000010000000"/>
            <w:tcW w:w="640" w:type="pct"/>
            <w:tcBorders>
              <w:left w:val="none" w:sz="0" w:space="0" w:color="auto"/>
              <w:bottom w:val="none" w:sz="0" w:space="0" w:color="auto"/>
              <w:right w:val="none" w:sz="0" w:space="0" w:color="auto"/>
            </w:tcBorders>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8</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7</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6</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4</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2</w:t>
            </w:r>
          </w:p>
        </w:tc>
        <w:tc>
          <w:tcPr>
            <w:cnfStyle w:val="000100000000"/>
            <w:tcW w:w="727" w:type="pct"/>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22.8</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19.4</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16.6</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11.1</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5.6</w:t>
            </w:r>
          </w:p>
        </w:tc>
      </w:tr>
      <w:tr w:rsidR="00D8197D" w:rsidRPr="00777C95" w:rsidTr="00777C95">
        <w:trPr>
          <w:cnfStyle w:val="010000000000"/>
          <w:jc w:val="center"/>
        </w:trPr>
        <w:tc>
          <w:tcPr>
            <w:cnfStyle w:val="001000000000"/>
            <w:tcW w:w="3633" w:type="pct"/>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Hematologic Toxicity</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roofErr w:type="spellStart"/>
            <w:r w:rsidRPr="00777C95">
              <w:rPr>
                <w:rFonts w:ascii="Times New Roman" w:hAnsi="Times New Roman" w:cs="Times New Roman"/>
                <w:sz w:val="20"/>
                <w:szCs w:val="18"/>
              </w:rPr>
              <w:t>Neutropenia</w:t>
            </w:r>
            <w:proofErr w:type="spellEnd"/>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Anemia</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Thrombocytopenia</w:t>
            </w:r>
          </w:p>
        </w:tc>
        <w:tc>
          <w:tcPr>
            <w:cnfStyle w:val="000010000000"/>
            <w:tcW w:w="640" w:type="pct"/>
            <w:tcBorders>
              <w:left w:val="none" w:sz="0" w:space="0" w:color="auto"/>
              <w:bottom w:val="none" w:sz="0" w:space="0" w:color="auto"/>
              <w:right w:val="none" w:sz="0" w:space="0" w:color="auto"/>
            </w:tcBorders>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4</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2</w:t>
            </w:r>
          </w:p>
          <w:p w:rsidR="00D8197D" w:rsidRPr="00777C95" w:rsidRDefault="00D8197D" w:rsidP="00C439DC">
            <w:pPr>
              <w:autoSpaceDE w:val="0"/>
              <w:autoSpaceDN w:val="0"/>
              <w:bidi w:val="0"/>
              <w:adjustRightInd w:val="0"/>
              <w:snapToGrid w:val="0"/>
              <w:jc w:val="both"/>
              <w:rPr>
                <w:rFonts w:ascii="Times New Roman" w:hAnsi="Times New Roman" w:cs="Times New Roman"/>
                <w:sz w:val="20"/>
                <w:szCs w:val="18"/>
              </w:rPr>
            </w:pPr>
            <w:r w:rsidRPr="00777C95">
              <w:rPr>
                <w:rFonts w:ascii="Times New Roman" w:hAnsi="Times New Roman" w:cs="Times New Roman"/>
                <w:sz w:val="20"/>
                <w:szCs w:val="18"/>
              </w:rPr>
              <w:t>1</w:t>
            </w:r>
          </w:p>
        </w:tc>
        <w:tc>
          <w:tcPr>
            <w:cnfStyle w:val="000100000000"/>
            <w:tcW w:w="727" w:type="pct"/>
            <w:vAlign w:val="center"/>
          </w:tcPr>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11.1</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5.6</w:t>
            </w:r>
          </w:p>
          <w:p w:rsidR="00D8197D" w:rsidRPr="00777C95" w:rsidRDefault="00D8197D" w:rsidP="00C439DC">
            <w:pPr>
              <w:autoSpaceDE w:val="0"/>
              <w:autoSpaceDN w:val="0"/>
              <w:bidi w:val="0"/>
              <w:adjustRightInd w:val="0"/>
              <w:snapToGrid w:val="0"/>
              <w:jc w:val="both"/>
              <w:rPr>
                <w:rFonts w:ascii="Times New Roman" w:hAnsi="Times New Roman" w:cs="Times New Roman"/>
                <w:b w:val="0"/>
                <w:bCs w:val="0"/>
                <w:sz w:val="20"/>
                <w:szCs w:val="18"/>
              </w:rPr>
            </w:pPr>
            <w:r w:rsidRPr="00777C95">
              <w:rPr>
                <w:rFonts w:ascii="Times New Roman" w:hAnsi="Times New Roman" w:cs="Times New Roman"/>
                <w:b w:val="0"/>
                <w:bCs w:val="0"/>
                <w:sz w:val="20"/>
                <w:szCs w:val="18"/>
              </w:rPr>
              <w:t>2.8</w:t>
            </w:r>
          </w:p>
        </w:tc>
      </w:tr>
    </w:tbl>
    <w:p w:rsidR="00C439DC" w:rsidRDefault="00C439DC" w:rsidP="00C439D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5500F" w:rsidRDefault="0035500F" w:rsidP="0035500F">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D8197D" w:rsidRPr="00777C95" w:rsidRDefault="002A6BF5" w:rsidP="00C439DC">
      <w:pPr>
        <w:autoSpaceDE w:val="0"/>
        <w:autoSpaceDN w:val="0"/>
        <w:bidi w:val="0"/>
        <w:adjustRightInd w:val="0"/>
        <w:snapToGrid w:val="0"/>
        <w:spacing w:after="0" w:line="240" w:lineRule="auto"/>
        <w:jc w:val="both"/>
        <w:rPr>
          <w:rFonts w:ascii="Times New Roman" w:hAnsi="Times New Roman" w:cs="Times New Roman"/>
          <w:sz w:val="20"/>
          <w:szCs w:val="20"/>
        </w:rPr>
      </w:pPr>
      <w:r w:rsidRPr="00777C95">
        <w:rPr>
          <w:rFonts w:ascii="Times New Roman" w:hAnsi="Times New Roman" w:cs="Times New Roman"/>
          <w:b/>
          <w:bCs/>
          <w:sz w:val="20"/>
          <w:szCs w:val="20"/>
        </w:rPr>
        <w:lastRenderedPageBreak/>
        <w:t>4. Discussion:</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past years several studies have emphasized the role of combination of chemotherapy and surgery to be used as the way for improving survival in patients with CRLM [12]. </w:t>
      </w:r>
      <w:proofErr w:type="spellStart"/>
      <w:r w:rsidRPr="00777C95">
        <w:rPr>
          <w:rFonts w:ascii="Times New Roman" w:hAnsi="Times New Roman" w:cs="Times New Roman"/>
          <w:sz w:val="20"/>
          <w:szCs w:val="20"/>
        </w:rPr>
        <w:t>Resectability</w:t>
      </w:r>
      <w:proofErr w:type="spellEnd"/>
      <w:r w:rsidRPr="00777C95">
        <w:rPr>
          <w:rFonts w:ascii="Times New Roman" w:hAnsi="Times New Roman" w:cs="Times New Roman"/>
          <w:sz w:val="20"/>
          <w:szCs w:val="20"/>
        </w:rPr>
        <w:t xml:space="preserve"> and various prognostic features could affect the treatment decision whether surgery or chemotherapy should be upfront. Some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regimens comprising 5- fluorouracil (5-FU) plus </w:t>
      </w:r>
      <w:proofErr w:type="spellStart"/>
      <w:r w:rsidRPr="00777C95">
        <w:rPr>
          <w:rFonts w:ascii="Times New Roman" w:hAnsi="Times New Roman" w:cs="Times New Roman"/>
          <w:sz w:val="20"/>
          <w:szCs w:val="20"/>
        </w:rPr>
        <w:t>leucovorin</w:t>
      </w:r>
      <w:proofErr w:type="spellEnd"/>
      <w:r w:rsidRPr="00777C95">
        <w:rPr>
          <w:rFonts w:ascii="Times New Roman" w:hAnsi="Times New Roman" w:cs="Times New Roman"/>
          <w:sz w:val="20"/>
          <w:szCs w:val="20"/>
        </w:rPr>
        <w:t xml:space="preserve"> in combination with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(FOLFOX) or </w:t>
      </w:r>
      <w:proofErr w:type="spellStart"/>
      <w:r w:rsidRPr="00777C95">
        <w:rPr>
          <w:rFonts w:ascii="Times New Roman" w:hAnsi="Times New Roman" w:cs="Times New Roman"/>
          <w:sz w:val="20"/>
          <w:szCs w:val="20"/>
        </w:rPr>
        <w:t>irinotecan</w:t>
      </w:r>
      <w:proofErr w:type="spellEnd"/>
      <w:r w:rsidRPr="00777C95">
        <w:rPr>
          <w:rFonts w:ascii="Times New Roman" w:hAnsi="Times New Roman" w:cs="Times New Roman"/>
          <w:sz w:val="20"/>
          <w:szCs w:val="20"/>
        </w:rPr>
        <w:t xml:space="preserve">, typically FOLFIRI have been reported to facilitate the resection of liver metastases [13,14]. Previous phase II trials reported activity of XELOX combination in patients with advanced or MCRC [8,15] which compare favorably with the other studies of FU/LV with or without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[16,17,18].</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current study, we worked on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CRLM with unfavorable prognostic features that would have a poor outcome if treated with surg</w:t>
      </w:r>
      <w:r w:rsidR="00BA00B7" w:rsidRPr="00777C95">
        <w:rPr>
          <w:rFonts w:ascii="Times New Roman" w:hAnsi="Times New Roman" w:cs="Times New Roman"/>
          <w:sz w:val="20"/>
          <w:szCs w:val="20"/>
        </w:rPr>
        <w:t xml:space="preserve">ical resection alone. We chose </w:t>
      </w:r>
      <w:r w:rsidRPr="00777C95">
        <w:rPr>
          <w:rFonts w:ascii="Times New Roman" w:hAnsi="Times New Roman" w:cs="Times New Roman"/>
          <w:sz w:val="20"/>
          <w:szCs w:val="20"/>
        </w:rPr>
        <w:t xml:space="preserve">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way of delivering the planned </w:t>
      </w:r>
      <w:r w:rsidR="00653BB0" w:rsidRPr="00777C95">
        <w:rPr>
          <w:rFonts w:ascii="Times New Roman" w:hAnsi="Times New Roman" w:cs="Times New Roman"/>
          <w:sz w:val="20"/>
          <w:szCs w:val="20"/>
        </w:rPr>
        <w:t>XELOX combination</w:t>
      </w:r>
      <w:r w:rsidRPr="00777C95">
        <w:rPr>
          <w:rFonts w:ascii="Times New Roman" w:hAnsi="Times New Roman" w:cs="Times New Roman"/>
          <w:sz w:val="20"/>
          <w:szCs w:val="20"/>
        </w:rPr>
        <w:t xml:space="preserve"> chemotherapy.</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the current study, the administration of preoperative XELOX combination in patients with CRLM was associated with a 44.5% overall response rate (16/36), and tumor control rate (overall response and stable disease) of 86.1% (31/36) according to the RECIST criteria. </w:t>
      </w:r>
      <w:r w:rsidR="00BA00B7" w:rsidRPr="00777C95">
        <w:rPr>
          <w:rFonts w:ascii="Times New Roman" w:hAnsi="Times New Roman" w:cs="Times New Roman"/>
          <w:sz w:val="20"/>
          <w:szCs w:val="20"/>
        </w:rPr>
        <w:t xml:space="preserve">The </w:t>
      </w:r>
      <w:r w:rsidRPr="00777C95">
        <w:rPr>
          <w:rFonts w:ascii="Times New Roman" w:hAnsi="Times New Roman" w:cs="Times New Roman"/>
          <w:sz w:val="20"/>
          <w:szCs w:val="20"/>
        </w:rPr>
        <w:t xml:space="preserve">Response rate was independent of baseline KPS. However, chemotherapy-naive patients, primary colonic carcinoma, female patients, patients who presented with solitary metastases, metastases &lt; 5 cm, time interval to metastases≥2 years, CEA &lt; 200ng/ml, T1-2 status of the primary, N-0 status of the primary, and </w:t>
      </w:r>
      <w:proofErr w:type="spellStart"/>
      <w:r w:rsidRPr="00777C95">
        <w:rPr>
          <w:rFonts w:ascii="Times New Roman" w:hAnsi="Times New Roman" w:cs="Times New Roman"/>
          <w:sz w:val="20"/>
          <w:szCs w:val="20"/>
        </w:rPr>
        <w:t>histo</w:t>
      </w:r>
      <w:proofErr w:type="spellEnd"/>
      <w:r w:rsidRPr="00777C95">
        <w:rPr>
          <w:rFonts w:ascii="Times New Roman" w:hAnsi="Times New Roman" w:cs="Times New Roman"/>
          <w:sz w:val="20"/>
          <w:szCs w:val="20"/>
        </w:rPr>
        <w:t>-pathol</w:t>
      </w:r>
      <w:r w:rsidR="00BA00B7" w:rsidRPr="00777C95">
        <w:rPr>
          <w:rFonts w:ascii="Times New Roman" w:hAnsi="Times New Roman" w:cs="Times New Roman"/>
          <w:sz w:val="20"/>
          <w:szCs w:val="20"/>
        </w:rPr>
        <w:t>o</w:t>
      </w:r>
      <w:r w:rsidRPr="00777C95">
        <w:rPr>
          <w:rFonts w:ascii="Times New Roman" w:hAnsi="Times New Roman" w:cs="Times New Roman"/>
          <w:sz w:val="20"/>
          <w:szCs w:val="20"/>
        </w:rPr>
        <w:t xml:space="preserve">gical grade I/II tumors had higher response rates than others, even though the number of patients in this study was low. The median survival for all patients was 34 months and 3 years OS was 46% while for </w:t>
      </w:r>
      <w:proofErr w:type="spellStart"/>
      <w:r w:rsidRPr="00777C95">
        <w:rPr>
          <w:rFonts w:ascii="Times New Roman" w:hAnsi="Times New Roman" w:cs="Times New Roman"/>
          <w:sz w:val="20"/>
          <w:szCs w:val="20"/>
        </w:rPr>
        <w:t>resected</w:t>
      </w:r>
      <w:proofErr w:type="spellEnd"/>
      <w:r w:rsidRPr="00777C95">
        <w:rPr>
          <w:rFonts w:ascii="Times New Roman" w:hAnsi="Times New Roman" w:cs="Times New Roman"/>
          <w:sz w:val="20"/>
          <w:szCs w:val="20"/>
        </w:rPr>
        <w:t xml:space="preserve"> patients, the 3 years OS was </w:t>
      </w:r>
      <w:r w:rsidR="00BA00B7" w:rsidRPr="00777C95">
        <w:rPr>
          <w:rFonts w:ascii="Times New Roman" w:hAnsi="Times New Roman" w:cs="Times New Roman"/>
          <w:sz w:val="20"/>
          <w:szCs w:val="20"/>
        </w:rPr>
        <w:t>57.5% and 3 years DFS was 41.3%</w:t>
      </w:r>
      <w:r w:rsidR="00C439DC" w:rsidRPr="00777C95">
        <w:rPr>
          <w:rFonts w:ascii="Times New Roman" w:hAnsi="Times New Roman" w:cs="Times New Roman"/>
          <w:sz w:val="20"/>
          <w:szCs w:val="20"/>
        </w:rPr>
        <w:t>.</w:t>
      </w:r>
      <w:r w:rsidR="00C439DC">
        <w:rPr>
          <w:rFonts w:ascii="Times New Roman" w:hAnsi="Times New Roman" w:cs="Times New Roman"/>
          <w:sz w:val="20"/>
          <w:szCs w:val="20"/>
        </w:rPr>
        <w:t xml:space="preserve"> </w:t>
      </w:r>
      <w:r w:rsidR="00C439DC" w:rsidRPr="00777C95">
        <w:rPr>
          <w:rFonts w:ascii="Times New Roman" w:hAnsi="Times New Roman" w:cs="Times New Roman"/>
          <w:sz w:val="20"/>
          <w:szCs w:val="20"/>
        </w:rPr>
        <w:t>T</w:t>
      </w:r>
      <w:r w:rsidRPr="00777C95">
        <w:rPr>
          <w:rFonts w:ascii="Times New Roman" w:hAnsi="Times New Roman" w:cs="Times New Roman"/>
          <w:sz w:val="20"/>
          <w:szCs w:val="20"/>
        </w:rPr>
        <w:t xml:space="preserve">hese results were comparable with that reported by </w:t>
      </w:r>
      <w:proofErr w:type="spellStart"/>
      <w:r w:rsidRPr="00777C95">
        <w:rPr>
          <w:rFonts w:ascii="Times New Roman" w:hAnsi="Times New Roman" w:cs="Times New Roman"/>
          <w:sz w:val="20"/>
          <w:szCs w:val="20"/>
        </w:rPr>
        <w:t>Nordlinger</w:t>
      </w:r>
      <w:proofErr w:type="spellEnd"/>
      <w:r w:rsidRPr="00777C95">
        <w:rPr>
          <w:rFonts w:ascii="Times New Roman" w:hAnsi="Times New Roman" w:cs="Times New Roman"/>
          <w:sz w:val="20"/>
          <w:szCs w:val="20"/>
        </w:rPr>
        <w:t xml:space="preserve"> et al [19] who conducted a randomized trial comparing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with hepatic resection versus surgery alone in CRLM. They demonstrated that in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group the </w:t>
      </w:r>
      <w:r w:rsidR="00BC380F" w:rsidRPr="00777C95">
        <w:rPr>
          <w:rFonts w:ascii="Times New Roman" w:hAnsi="Times New Roman" w:cs="Times New Roman"/>
          <w:sz w:val="20"/>
          <w:szCs w:val="20"/>
        </w:rPr>
        <w:t>objective response rate was 43% and</w:t>
      </w:r>
      <w:r w:rsidRPr="00777C95">
        <w:rPr>
          <w:rFonts w:ascii="Times New Roman" w:hAnsi="Times New Roman" w:cs="Times New Roman"/>
          <w:sz w:val="20"/>
          <w:szCs w:val="20"/>
        </w:rPr>
        <w:t xml:space="preserve"> disease stabilization was achieved in 38% of the patients. They reported a 3-year DFS of 42.4% in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group which was significantly better compared to that reported in surgery group, 33.2%.</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Regarding this treatment approach, our study confirmed the overall acceptable tolerability and compatibility of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with hepatic resection.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chemotherapy did not appreciably increase the incidence of hematologic and non- hematologic toxicity. To date, most of the </w:t>
      </w:r>
      <w:r w:rsidRPr="00777C95">
        <w:rPr>
          <w:rFonts w:ascii="Times New Roman" w:hAnsi="Times New Roman" w:cs="Times New Roman"/>
          <w:sz w:val="20"/>
          <w:szCs w:val="20"/>
        </w:rPr>
        <w:lastRenderedPageBreak/>
        <w:t>adverse reactions to this regimen observed in our 36 assessable patients were manageable. The frequency of the toxicity profile of this regimen was somewhat higher than previously reported in other studies using the XELOX/FOLFOX [19,20], probably because of a high percentage of relative</w:t>
      </w:r>
      <w:r w:rsidR="00BA00B7" w:rsidRPr="00777C95">
        <w:rPr>
          <w:rFonts w:ascii="Times New Roman" w:hAnsi="Times New Roman" w:cs="Times New Roman"/>
          <w:sz w:val="20"/>
          <w:szCs w:val="20"/>
        </w:rPr>
        <w:t>ly</w:t>
      </w:r>
      <w:r w:rsidRPr="00777C95">
        <w:rPr>
          <w:rFonts w:ascii="Times New Roman" w:hAnsi="Times New Roman" w:cs="Times New Roman"/>
          <w:sz w:val="20"/>
          <w:szCs w:val="20"/>
        </w:rPr>
        <w:t xml:space="preserve"> poor performance was presented in this study participants. More than half of the patients had </w:t>
      </w:r>
      <w:r w:rsidR="00BA00B7" w:rsidRPr="00777C95">
        <w:rPr>
          <w:rFonts w:ascii="Times New Roman" w:hAnsi="Times New Roman" w:cs="Times New Roman"/>
          <w:sz w:val="20"/>
          <w:szCs w:val="20"/>
        </w:rPr>
        <w:t xml:space="preserve">a </w:t>
      </w:r>
      <w:r w:rsidRPr="00777C95">
        <w:rPr>
          <w:rFonts w:ascii="Times New Roman" w:hAnsi="Times New Roman" w:cs="Times New Roman"/>
          <w:sz w:val="20"/>
          <w:szCs w:val="20"/>
        </w:rPr>
        <w:t>performance status of 80% or less. Many investigators demonstrated</w:t>
      </w:r>
      <w:r w:rsidR="00BA00B7" w:rsidRPr="00777C95">
        <w:rPr>
          <w:rFonts w:ascii="Times New Roman" w:hAnsi="Times New Roman" w:cs="Times New Roman"/>
          <w:sz w:val="20"/>
          <w:szCs w:val="20"/>
        </w:rPr>
        <w:t xml:space="preserve"> an</w:t>
      </w:r>
      <w:r w:rsidRPr="00777C95">
        <w:rPr>
          <w:rFonts w:ascii="Times New Roman" w:hAnsi="Times New Roman" w:cs="Times New Roman"/>
          <w:sz w:val="20"/>
          <w:szCs w:val="20"/>
        </w:rPr>
        <w:t xml:space="preserve"> increased risk of toxicities in patients with lower performance status when they were receiving chemotherapy [16].</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Interestingl</w:t>
      </w:r>
      <w:r w:rsidR="00BA00B7" w:rsidRPr="00777C95">
        <w:rPr>
          <w:rFonts w:ascii="Times New Roman" w:hAnsi="Times New Roman" w:cs="Times New Roman"/>
          <w:sz w:val="20"/>
          <w:szCs w:val="20"/>
        </w:rPr>
        <w:t>y, previous reports showed that</w:t>
      </w:r>
      <w:r w:rsidRPr="00777C95">
        <w:rPr>
          <w:rFonts w:ascii="Times New Roman" w:hAnsi="Times New Roman" w:cs="Times New Roman"/>
          <w:sz w:val="20"/>
          <w:szCs w:val="20"/>
        </w:rPr>
        <w:t xml:space="preserve"> the incidence of grade 3 or 4 </w:t>
      </w:r>
      <w:proofErr w:type="spellStart"/>
      <w:r w:rsidRPr="00777C95">
        <w:rPr>
          <w:rFonts w:ascii="Times New Roman" w:hAnsi="Times New Roman" w:cs="Times New Roman"/>
          <w:sz w:val="20"/>
          <w:szCs w:val="20"/>
        </w:rPr>
        <w:t>neutropenia</w:t>
      </w:r>
      <w:proofErr w:type="spellEnd"/>
      <w:r w:rsidRPr="00777C95">
        <w:rPr>
          <w:rFonts w:ascii="Times New Roman" w:hAnsi="Times New Roman" w:cs="Times New Roman"/>
          <w:sz w:val="20"/>
          <w:szCs w:val="20"/>
        </w:rPr>
        <w:t xml:space="preserve"> is lower with the XELOX regimen than with the FOLFOX4 </w:t>
      </w:r>
      <w:r w:rsidR="00F801FC" w:rsidRPr="00777C95">
        <w:rPr>
          <w:rFonts w:ascii="Times New Roman" w:hAnsi="Times New Roman" w:cs="Times New Roman"/>
          <w:sz w:val="20"/>
          <w:szCs w:val="20"/>
        </w:rPr>
        <w:t>regimen (</w:t>
      </w:r>
      <w:r w:rsidRPr="00777C95">
        <w:rPr>
          <w:rFonts w:ascii="Times New Roman" w:hAnsi="Times New Roman" w:cs="Times New Roman"/>
          <w:sz w:val="20"/>
          <w:szCs w:val="20"/>
        </w:rPr>
        <w:t xml:space="preserve">11.1% </w:t>
      </w:r>
      <w:r w:rsidRPr="00777C95">
        <w:rPr>
          <w:rFonts w:ascii="Times New Roman" w:hAnsi="Times New Roman" w:cs="Times New Roman"/>
          <w:i/>
          <w:iCs/>
          <w:sz w:val="20"/>
          <w:szCs w:val="20"/>
        </w:rPr>
        <w:t>v</w:t>
      </w:r>
      <w:r w:rsidRPr="00777C95">
        <w:rPr>
          <w:rFonts w:ascii="Times New Roman" w:hAnsi="Times New Roman" w:cs="Times New Roman"/>
          <w:sz w:val="20"/>
          <w:szCs w:val="20"/>
        </w:rPr>
        <w:t xml:space="preserve"> 42% to 47%) [19,20]. In addition, XELOX regimen is easy to administer in </w:t>
      </w:r>
      <w:r w:rsidR="00BA00B7" w:rsidRPr="00777C95">
        <w:rPr>
          <w:rFonts w:ascii="Times New Roman" w:hAnsi="Times New Roman" w:cs="Times New Roman"/>
          <w:sz w:val="20"/>
          <w:szCs w:val="20"/>
        </w:rPr>
        <w:t xml:space="preserve">an </w:t>
      </w:r>
      <w:r w:rsidRPr="00777C95">
        <w:rPr>
          <w:rFonts w:ascii="Times New Roman" w:hAnsi="Times New Roman" w:cs="Times New Roman"/>
          <w:sz w:val="20"/>
          <w:szCs w:val="20"/>
        </w:rPr>
        <w:t>outpatient basis, therefore, this dose and schedule were considered appropriate for this population.</w:t>
      </w:r>
    </w:p>
    <w:p w:rsidR="004B2E2B" w:rsidRPr="00777C95" w:rsidRDefault="004B2E2B" w:rsidP="00C439D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777C95">
        <w:rPr>
          <w:rFonts w:ascii="Times New Roman" w:hAnsi="Times New Roman" w:cs="Times New Roman"/>
          <w:sz w:val="20"/>
          <w:szCs w:val="20"/>
        </w:rPr>
        <w:t xml:space="preserve">In conclusion, the current results suggest that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XELOX regimen is an active and safe chemotherapy regimen for this kind of initially </w:t>
      </w:r>
      <w:proofErr w:type="spellStart"/>
      <w:r w:rsidRPr="00777C95">
        <w:rPr>
          <w:rFonts w:ascii="Times New Roman" w:hAnsi="Times New Roman" w:cs="Times New Roman"/>
          <w:sz w:val="20"/>
          <w:szCs w:val="20"/>
        </w:rPr>
        <w:t>resectable</w:t>
      </w:r>
      <w:proofErr w:type="spellEnd"/>
      <w:r w:rsidRPr="00777C95">
        <w:rPr>
          <w:rFonts w:ascii="Times New Roman" w:hAnsi="Times New Roman" w:cs="Times New Roman"/>
          <w:sz w:val="20"/>
          <w:szCs w:val="20"/>
        </w:rPr>
        <w:t xml:space="preserve"> with poor prognostic features CRLM.</w:t>
      </w:r>
      <w:r w:rsidR="00777C95" w:rsidRPr="00777C95">
        <w:rPr>
          <w:rFonts w:ascii="Times New Roman" w:hAnsi="Times New Roman" w:cs="Times New Roman"/>
          <w:sz w:val="20"/>
          <w:szCs w:val="20"/>
        </w:rPr>
        <w:t xml:space="preserve"> </w:t>
      </w:r>
      <w:r w:rsidRPr="00777C95">
        <w:rPr>
          <w:rFonts w:ascii="Times New Roman" w:hAnsi="Times New Roman" w:cs="Times New Roman"/>
          <w:sz w:val="20"/>
          <w:szCs w:val="20"/>
        </w:rPr>
        <w:t xml:space="preserve">Because the tolerability, response rates, and DFS of the </w:t>
      </w:r>
      <w:proofErr w:type="spellStart"/>
      <w:r w:rsidRPr="00777C95">
        <w:rPr>
          <w:rFonts w:ascii="Times New Roman" w:hAnsi="Times New Roman" w:cs="Times New Roman"/>
          <w:sz w:val="20"/>
          <w:szCs w:val="20"/>
        </w:rPr>
        <w:t>perioperative</w:t>
      </w:r>
      <w:proofErr w:type="spellEnd"/>
      <w:r w:rsidRPr="00777C95">
        <w:rPr>
          <w:rFonts w:ascii="Times New Roman" w:hAnsi="Times New Roman" w:cs="Times New Roman"/>
          <w:sz w:val="20"/>
          <w:szCs w:val="20"/>
        </w:rPr>
        <w:t xml:space="preserve"> XELOX regimen was not inferior to previous studies of FU/LV/</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in addition</w:t>
      </w:r>
      <w:r w:rsidR="00BA00B7" w:rsidRPr="00777C95">
        <w:rPr>
          <w:rFonts w:ascii="Times New Roman" w:hAnsi="Times New Roman" w:cs="Times New Roman"/>
          <w:sz w:val="20"/>
          <w:szCs w:val="20"/>
        </w:rPr>
        <w:t>,</w:t>
      </w:r>
      <w:r w:rsidRPr="00777C95">
        <w:rPr>
          <w:rFonts w:ascii="Times New Roman" w:hAnsi="Times New Roman" w:cs="Times New Roman"/>
          <w:sz w:val="20"/>
          <w:szCs w:val="20"/>
        </w:rPr>
        <w:t xml:space="preserve"> the XELOX combination is easy to administer in outpatients, this constitutes a marked advantage over regimens combining infused FU/LV and </w:t>
      </w:r>
      <w:proofErr w:type="spellStart"/>
      <w:r w:rsidRPr="00777C95">
        <w:rPr>
          <w:rFonts w:ascii="Times New Roman" w:hAnsi="Times New Roman" w:cs="Times New Roman"/>
          <w:sz w:val="20"/>
          <w:szCs w:val="20"/>
        </w:rPr>
        <w:t>oxaliplatin</w:t>
      </w:r>
      <w:proofErr w:type="spellEnd"/>
      <w:r w:rsidRPr="00777C95">
        <w:rPr>
          <w:rFonts w:ascii="Times New Roman" w:hAnsi="Times New Roman" w:cs="Times New Roman"/>
          <w:sz w:val="20"/>
          <w:szCs w:val="20"/>
        </w:rPr>
        <w:t xml:space="preserve"> [13,14] in terms of the impact on improving the level of treatment-related quality of life. However, we do not know whether the outcome would be better if we utilized a triplet instead of duplet chemotherapy or if we added anti-EGFR antibodies or </w:t>
      </w:r>
      <w:proofErr w:type="spellStart"/>
      <w:r w:rsidRPr="00777C95">
        <w:rPr>
          <w:rFonts w:ascii="Times New Roman" w:hAnsi="Times New Roman" w:cs="Times New Roman"/>
          <w:sz w:val="20"/>
          <w:szCs w:val="20"/>
        </w:rPr>
        <w:t>Bevacizumab</w:t>
      </w:r>
      <w:proofErr w:type="spellEnd"/>
      <w:r w:rsidRPr="00777C95">
        <w:rPr>
          <w:rFonts w:ascii="Times New Roman" w:hAnsi="Times New Roman" w:cs="Times New Roman"/>
          <w:sz w:val="20"/>
          <w:szCs w:val="20"/>
        </w:rPr>
        <w:t xml:space="preserve">. Further prospective trials are required to figure out the optimum treatment combination and intensity aiming at increasing response with acceptable toxicities reflecting eventually on better survival. Another question which needs further prospective trials to be answered: is it safe to skip chemotherapy in </w:t>
      </w:r>
      <w:proofErr w:type="spellStart"/>
      <w:r w:rsidRPr="00777C95">
        <w:rPr>
          <w:rFonts w:ascii="Times New Roman" w:hAnsi="Times New Roman" w:cs="Times New Roman"/>
          <w:sz w:val="20"/>
          <w:szCs w:val="20"/>
        </w:rPr>
        <w:t>prognostically</w:t>
      </w:r>
      <w:proofErr w:type="spellEnd"/>
      <w:r w:rsidRPr="00777C95">
        <w:rPr>
          <w:rFonts w:ascii="Times New Roman" w:hAnsi="Times New Roman" w:cs="Times New Roman"/>
          <w:sz w:val="20"/>
          <w:szCs w:val="20"/>
        </w:rPr>
        <w:t xml:space="preserve"> favorable CRLM?</w:t>
      </w:r>
      <w:r w:rsidR="00F801FC" w:rsidRPr="00777C95">
        <w:rPr>
          <w:rFonts w:ascii="Times New Roman" w:hAnsi="Times New Roman" w:cs="Times New Roman"/>
          <w:sz w:val="20"/>
          <w:szCs w:val="20"/>
        </w:rPr>
        <w:t>.</w:t>
      </w:r>
    </w:p>
    <w:p w:rsidR="00830E13" w:rsidRPr="00777C95" w:rsidRDefault="00830E13"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FC1C9A" w:rsidRPr="00777C95" w:rsidRDefault="002A6BF5"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5. Compliance With Ethical Standards:</w:t>
      </w:r>
    </w:p>
    <w:p w:rsidR="005E20A4" w:rsidRPr="00777C95" w:rsidRDefault="00FC1C9A"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Conflict of Interest</w:t>
      </w:r>
    </w:p>
    <w:p w:rsidR="005E20A4" w:rsidRPr="00777C95" w:rsidRDefault="005E20A4"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The autho</w:t>
      </w:r>
      <w:r w:rsidR="00C439DC" w:rsidRPr="00777C95">
        <w:rPr>
          <w:rFonts w:ascii="Times New Roman" w:eastAsia="Times New Roman" w:hAnsi="Times New Roman" w:cs="Times New Roman"/>
          <w:sz w:val="20"/>
          <w:szCs w:val="20"/>
        </w:rPr>
        <w:t>r</w:t>
      </w:r>
      <w:r w:rsidR="00C439DC">
        <w:rPr>
          <w:rFonts w:ascii="Times New Roman" w:eastAsia="Times New Roman" w:hAnsi="Times New Roman" w:cs="Times New Roman"/>
          <w:sz w:val="20"/>
          <w:szCs w:val="20"/>
        </w:rPr>
        <w:t xml:space="preserve"> </w:t>
      </w:r>
      <w:proofErr w:type="spellStart"/>
      <w:r w:rsidR="00C439DC" w:rsidRPr="00777C95">
        <w:rPr>
          <w:rFonts w:ascii="Times New Roman" w:eastAsia="Times New Roman" w:hAnsi="Times New Roman" w:cs="Times New Roman"/>
          <w:sz w:val="20"/>
          <w:szCs w:val="20"/>
          <w:lang w:bidi="ar-EG"/>
        </w:rPr>
        <w:t>E</w:t>
      </w:r>
      <w:r w:rsidR="00B10BA6" w:rsidRPr="00777C95">
        <w:rPr>
          <w:rFonts w:ascii="Times New Roman" w:eastAsia="Times New Roman" w:hAnsi="Times New Roman" w:cs="Times New Roman"/>
          <w:sz w:val="20"/>
          <w:szCs w:val="20"/>
          <w:lang w:bidi="ar-EG"/>
        </w:rPr>
        <w:t>sam</w:t>
      </w:r>
      <w:proofErr w:type="spellEnd"/>
      <w:r w:rsidR="00B10BA6" w:rsidRPr="00777C95">
        <w:rPr>
          <w:rFonts w:ascii="Times New Roman" w:eastAsia="Times New Roman" w:hAnsi="Times New Roman" w:cs="Times New Roman"/>
          <w:sz w:val="20"/>
          <w:szCs w:val="20"/>
          <w:lang w:bidi="ar-EG"/>
        </w:rPr>
        <w:t xml:space="preserve"> A. </w:t>
      </w:r>
      <w:proofErr w:type="spellStart"/>
      <w:r w:rsidR="00B10BA6" w:rsidRPr="00777C95">
        <w:rPr>
          <w:rFonts w:ascii="Times New Roman" w:eastAsia="Times New Roman" w:hAnsi="Times New Roman" w:cs="Times New Roman"/>
          <w:sz w:val="20"/>
          <w:szCs w:val="20"/>
          <w:lang w:bidi="ar-EG"/>
        </w:rPr>
        <w:t>Abo-Zena</w:t>
      </w:r>
      <w:r w:rsidR="00B10BA6" w:rsidRPr="00777C95">
        <w:rPr>
          <w:rFonts w:ascii="Times New Roman" w:eastAsia="Times New Roman" w:hAnsi="Times New Roman" w:cs="Times New Roman"/>
          <w:sz w:val="20"/>
          <w:szCs w:val="20"/>
        </w:rPr>
        <w:t>declared</w:t>
      </w:r>
      <w:proofErr w:type="spellEnd"/>
      <w:r w:rsidR="00B10BA6" w:rsidRPr="00777C95">
        <w:rPr>
          <w:rFonts w:ascii="Times New Roman" w:eastAsia="Times New Roman" w:hAnsi="Times New Roman" w:cs="Times New Roman"/>
          <w:sz w:val="20"/>
          <w:szCs w:val="20"/>
        </w:rPr>
        <w:t xml:space="preserve"> that he has no conflict of interest</w:t>
      </w:r>
      <w:r w:rsidR="00C439DC" w:rsidRPr="00777C95">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777C95">
        <w:rPr>
          <w:rFonts w:ascii="Times New Roman" w:eastAsia="Times New Roman" w:hAnsi="Times New Roman" w:cs="Times New Roman"/>
          <w:sz w:val="20"/>
          <w:szCs w:val="20"/>
        </w:rPr>
        <w:t>T</w:t>
      </w:r>
      <w:r w:rsidR="00B10BA6" w:rsidRPr="00777C95">
        <w:rPr>
          <w:rFonts w:ascii="Times New Roman" w:eastAsia="Times New Roman" w:hAnsi="Times New Roman" w:cs="Times New Roman"/>
          <w:sz w:val="20"/>
          <w:szCs w:val="20"/>
        </w:rPr>
        <w:t>he autho</w:t>
      </w:r>
      <w:r w:rsidR="00C439DC" w:rsidRPr="00777C95">
        <w:rPr>
          <w:rFonts w:ascii="Times New Roman" w:eastAsia="Times New Roman" w:hAnsi="Times New Roman" w:cs="Times New Roman"/>
          <w:sz w:val="20"/>
          <w:szCs w:val="20"/>
        </w:rPr>
        <w:t>r</w:t>
      </w:r>
      <w:r w:rsidR="00C439DC">
        <w:rPr>
          <w:rFonts w:ascii="Times New Roman" w:eastAsia="Times New Roman" w:hAnsi="Times New Roman" w:cs="Times New Roman"/>
          <w:sz w:val="20"/>
          <w:szCs w:val="20"/>
        </w:rPr>
        <w:t xml:space="preserve"> </w:t>
      </w:r>
      <w:r w:rsidR="00C439DC" w:rsidRPr="00777C95">
        <w:rPr>
          <w:rFonts w:ascii="Times New Roman" w:eastAsia="Times New Roman" w:hAnsi="Times New Roman" w:cs="Times New Roman"/>
          <w:sz w:val="20"/>
          <w:szCs w:val="20"/>
          <w:lang w:bidi="ar-EG"/>
        </w:rPr>
        <w:t>M</w:t>
      </w:r>
      <w:r w:rsidR="00B10BA6" w:rsidRPr="00777C95">
        <w:rPr>
          <w:rFonts w:ascii="Times New Roman" w:eastAsia="Times New Roman" w:hAnsi="Times New Roman" w:cs="Times New Roman"/>
          <w:sz w:val="20"/>
          <w:szCs w:val="20"/>
          <w:lang w:bidi="ar-EG"/>
        </w:rPr>
        <w:t xml:space="preserve">ohamed F. </w:t>
      </w:r>
      <w:proofErr w:type="spellStart"/>
      <w:r w:rsidR="00B10BA6" w:rsidRPr="00777C95">
        <w:rPr>
          <w:rFonts w:ascii="Times New Roman" w:eastAsia="Times New Roman" w:hAnsi="Times New Roman" w:cs="Times New Roman"/>
          <w:sz w:val="20"/>
          <w:szCs w:val="20"/>
          <w:lang w:bidi="ar-EG"/>
        </w:rPr>
        <w:t>Sheta</w:t>
      </w:r>
      <w:r w:rsidR="00B10BA6" w:rsidRPr="00777C95">
        <w:rPr>
          <w:rFonts w:ascii="Times New Roman" w:eastAsia="Times New Roman" w:hAnsi="Times New Roman" w:cs="Times New Roman"/>
          <w:sz w:val="20"/>
          <w:szCs w:val="20"/>
        </w:rPr>
        <w:t>declared</w:t>
      </w:r>
      <w:proofErr w:type="spellEnd"/>
      <w:r w:rsidR="00B10BA6" w:rsidRPr="00777C95">
        <w:rPr>
          <w:rFonts w:ascii="Times New Roman" w:eastAsia="Times New Roman" w:hAnsi="Times New Roman" w:cs="Times New Roman"/>
          <w:sz w:val="20"/>
          <w:szCs w:val="20"/>
        </w:rPr>
        <w:t xml:space="preserve"> that he has no conflict of interest</w:t>
      </w:r>
      <w:r w:rsidRPr="00777C95">
        <w:rPr>
          <w:rFonts w:ascii="Times New Roman" w:eastAsia="Times New Roman" w:hAnsi="Times New Roman" w:cs="Times New Roman"/>
          <w:sz w:val="20"/>
          <w:szCs w:val="20"/>
        </w:rPr>
        <w:t>.</w:t>
      </w:r>
    </w:p>
    <w:p w:rsidR="00B10BA6" w:rsidRPr="00777C95" w:rsidRDefault="00B10BA6" w:rsidP="00C439DC">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t>Ethical approval</w:t>
      </w:r>
    </w:p>
    <w:p w:rsidR="00B10BA6" w:rsidRPr="00777C95" w:rsidRDefault="00844E15"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A760EF" w:rsidRPr="00777C95" w:rsidRDefault="00844E15" w:rsidP="00C439DC">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777C95">
        <w:rPr>
          <w:rFonts w:ascii="Times New Roman" w:eastAsia="Times New Roman" w:hAnsi="Times New Roman" w:cs="Times New Roman"/>
          <w:b/>
          <w:bCs/>
          <w:sz w:val="20"/>
          <w:szCs w:val="20"/>
        </w:rPr>
        <w:t>Informed consent</w:t>
      </w:r>
      <w:r w:rsidRPr="00777C95">
        <w:rPr>
          <w:rFonts w:ascii="Times New Roman" w:eastAsia="Times New Roman" w:hAnsi="Times New Roman" w:cs="Times New Roman"/>
          <w:sz w:val="20"/>
          <w:szCs w:val="20"/>
        </w:rPr>
        <w:t xml:space="preserve">: </w:t>
      </w:r>
    </w:p>
    <w:p w:rsidR="00844E15" w:rsidRPr="00777C95" w:rsidRDefault="00844E15" w:rsidP="00C439DC">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777C95">
        <w:rPr>
          <w:rFonts w:ascii="Times New Roman" w:eastAsia="Times New Roman" w:hAnsi="Times New Roman" w:cs="Times New Roman"/>
          <w:sz w:val="20"/>
          <w:szCs w:val="20"/>
        </w:rPr>
        <w:t>Informed consent was obtained from all individual participants included in the study.</w:t>
      </w:r>
    </w:p>
    <w:p w:rsidR="00C439DC" w:rsidRDefault="00C439DC" w:rsidP="00C439DC">
      <w:pPr>
        <w:bidi w:val="0"/>
        <w:snapToGrid w:val="0"/>
        <w:spacing w:after="0" w:line="240" w:lineRule="auto"/>
        <w:jc w:val="both"/>
        <w:rPr>
          <w:rFonts w:ascii="Times New Roman" w:hAnsi="Times New Roman" w:cs="Times New Roman"/>
          <w:b/>
          <w:bCs/>
          <w:sz w:val="20"/>
          <w:szCs w:val="20"/>
          <w:lang w:eastAsia="zh-CN"/>
        </w:rPr>
      </w:pPr>
    </w:p>
    <w:p w:rsidR="004B2E2B" w:rsidRPr="00777C95" w:rsidRDefault="008B638C" w:rsidP="00C439DC">
      <w:pPr>
        <w:bidi w:val="0"/>
        <w:snapToGrid w:val="0"/>
        <w:spacing w:after="0" w:line="240" w:lineRule="auto"/>
        <w:jc w:val="both"/>
        <w:rPr>
          <w:rFonts w:ascii="Times New Roman" w:eastAsia="Times New Roman" w:hAnsi="Times New Roman" w:cs="Times New Roman"/>
          <w:b/>
          <w:bCs/>
          <w:sz w:val="20"/>
          <w:szCs w:val="20"/>
        </w:rPr>
      </w:pPr>
      <w:r w:rsidRPr="00777C95">
        <w:rPr>
          <w:rFonts w:ascii="Times New Roman" w:eastAsia="Times New Roman" w:hAnsi="Times New Roman" w:cs="Times New Roman"/>
          <w:b/>
          <w:bCs/>
          <w:sz w:val="20"/>
          <w:szCs w:val="20"/>
        </w:rPr>
        <w:lastRenderedPageBreak/>
        <w:t>References:</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Prades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Borra</w:t>
      </w:r>
      <w:r w:rsidR="00C439DC" w:rsidRPr="00C439DC">
        <w:rPr>
          <w:rFonts w:ascii="Times New Roman" w:eastAsia="Times New Roman" w:hAnsi="Times New Roman" w:cs="Times New Roman"/>
          <w:sz w:val="20"/>
          <w:szCs w:val="20"/>
        </w:rPr>
        <w:t>s</w:t>
      </w:r>
      <w:proofErr w:type="spellEnd"/>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J</w:t>
      </w:r>
      <w:r w:rsidRPr="00C439DC">
        <w:rPr>
          <w:rFonts w:ascii="Times New Roman" w:eastAsia="Times New Roman" w:hAnsi="Times New Roman" w:cs="Times New Roman"/>
          <w:sz w:val="20"/>
          <w:szCs w:val="20"/>
        </w:rPr>
        <w:t>M</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hiftingsands</w:t>
      </w:r>
      <w:proofErr w:type="spellEnd"/>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dapting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multidisciplinary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model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technological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organizational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innovations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care</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F</w:t>
      </w:r>
      <w:r w:rsidRPr="00C439DC">
        <w:rPr>
          <w:rFonts w:ascii="Times New Roman" w:eastAsia="Times New Roman" w:hAnsi="Times New Roman" w:cs="Times New Roman"/>
          <w:sz w:val="20"/>
          <w:szCs w:val="20"/>
        </w:rPr>
        <w:t>utur</w:t>
      </w:r>
      <w:r w:rsidR="00C439DC" w:rsidRPr="00C439DC">
        <w:rPr>
          <w:rFonts w:ascii="Times New Roman" w:eastAsia="Times New Roman" w:hAnsi="Times New Roman" w:cs="Times New Roman"/>
          <w:sz w:val="20"/>
          <w:szCs w:val="20"/>
        </w:rPr>
        <w:t>e</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2014;10:1995-1998.</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Sha</w:t>
      </w:r>
      <w:r w:rsidR="00C439DC" w:rsidRPr="00C439DC">
        <w:rPr>
          <w:rFonts w:ascii="Times New Roman" w:eastAsia="Times New Roman" w:hAnsi="Times New Roman" w:cs="Times New Roman"/>
          <w:sz w:val="20"/>
          <w:szCs w:val="20"/>
        </w:rPr>
        <w:t>h</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ror</w:t>
      </w:r>
      <w:r w:rsidR="00C439DC" w:rsidRPr="00C439DC">
        <w:rPr>
          <w:rFonts w:ascii="Times New Roman" w:eastAsia="Times New Roman" w:hAnsi="Times New Roman" w:cs="Times New Roman"/>
          <w:sz w:val="20"/>
          <w:szCs w:val="20"/>
        </w:rPr>
        <w:t>a</w:t>
      </w:r>
      <w:proofErr w:type="spellEnd"/>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A</w:t>
      </w:r>
      <w:r w:rsidRPr="00C439DC">
        <w:rPr>
          <w:rFonts w:ascii="Times New Roman" w:eastAsia="Times New Roman" w:hAnsi="Times New Roman" w:cs="Times New Roman"/>
          <w:sz w:val="20"/>
          <w:szCs w:val="20"/>
        </w:rPr>
        <w:t>tkin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D</w:t>
      </w:r>
      <w:r w:rsidRPr="00C439DC">
        <w:rPr>
          <w:rFonts w:ascii="Times New Roman" w:eastAsia="Times New Roman" w:hAnsi="Times New Roman" w:cs="Times New Roman"/>
          <w:sz w:val="20"/>
          <w:szCs w:val="20"/>
        </w:rPr>
        <w:t>ecision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making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Tumor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Board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meetings</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r</w:t>
      </w:r>
      <w:r w:rsidRPr="00C439DC">
        <w:rPr>
          <w:rFonts w:ascii="Times New Roman" w:eastAsia="Times New Roman" w:hAnsi="Times New Roman" w:cs="Times New Roman"/>
          <w:sz w:val="20"/>
          <w:szCs w:val="20"/>
        </w:rPr>
        <w:t>esults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prospective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observational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assessment.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Sur</w:t>
      </w:r>
      <w:r w:rsidR="00C439DC" w:rsidRPr="00C439DC">
        <w:rPr>
          <w:rFonts w:ascii="Times New Roman" w:eastAsia="Times New Roman" w:hAnsi="Times New Roman" w:cs="Times New Roman"/>
          <w:sz w:val="20"/>
          <w:szCs w:val="20"/>
        </w:rPr>
        <w:t>g</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E</w:t>
      </w:r>
      <w:r w:rsidRPr="00C439DC">
        <w:rPr>
          <w:rFonts w:ascii="Times New Roman" w:eastAsia="Times New Roman" w:hAnsi="Times New Roman" w:cs="Times New Roman"/>
          <w:sz w:val="20"/>
          <w:szCs w:val="20"/>
        </w:rPr>
        <w:t>ndosc</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2014;28:2783-2788.</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Adam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Gramont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Figueras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oncosurgery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approach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managing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multidisciplinary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international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consensus</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ncologist;17:1225-1239.</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Clavien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Petrowsky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Oliveria</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Graf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trategies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safe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partial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transplantation</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N</w:t>
      </w:r>
      <w:r w:rsidRPr="00C439DC">
        <w:rPr>
          <w:rFonts w:ascii="Times New Roman" w:eastAsia="Times New Roman" w:hAnsi="Times New Roman" w:cs="Times New Roman"/>
          <w:sz w:val="20"/>
          <w:szCs w:val="20"/>
        </w:rPr>
        <w:t>Engl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2007;356:1545-1559.</w:t>
      </w:r>
    </w:p>
    <w:p w:rsidR="004B2E2B" w:rsidRP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Jones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Stattner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Sutton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Controversies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oncological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management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limited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stage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IV</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S</w:t>
      </w:r>
      <w:r w:rsidRPr="00C439DC">
        <w:rPr>
          <w:rFonts w:ascii="Times New Roman" w:eastAsia="Times New Roman" w:hAnsi="Times New Roman" w:cs="Times New Roman"/>
          <w:sz w:val="20"/>
          <w:szCs w:val="20"/>
        </w:rPr>
        <w:t>ur</w:t>
      </w:r>
      <w:r w:rsidR="00C439DC" w:rsidRPr="00C439DC">
        <w:rPr>
          <w:rFonts w:ascii="Times New Roman" w:eastAsia="Times New Roman" w:hAnsi="Times New Roman" w:cs="Times New Roman"/>
          <w:sz w:val="20"/>
          <w:szCs w:val="20"/>
        </w:rPr>
        <w:t>g</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2014;23:53-60.</w:t>
      </w:r>
    </w:p>
    <w:p w:rsidR="00C439DC" w:rsidRDefault="004B2E2B" w:rsidP="00C439DC">
      <w:pPr>
        <w:numPr>
          <w:ilvl w:val="0"/>
          <w:numId w:val="3"/>
        </w:numPr>
        <w:shd w:val="clear" w:color="auto" w:fill="FFFFFF"/>
        <w:bidi w:val="0"/>
        <w:snapToGrid w:val="0"/>
        <w:spacing w:after="0" w:line="240" w:lineRule="auto"/>
        <w:ind w:left="425" w:hanging="425"/>
        <w:contextualSpacing/>
        <w:jc w:val="both"/>
        <w:textAlignment w:val="baseline"/>
        <w:rPr>
          <w:rFonts w:ascii="Times New Roman" w:eastAsia="Times New Roman" w:hAnsi="Times New Roman" w:cs="Times New Roman"/>
          <w:sz w:val="20"/>
          <w:szCs w:val="20"/>
          <w:shd w:val="clear" w:color="auto" w:fill="FCFCFC"/>
        </w:rPr>
      </w:pPr>
      <w:r w:rsidRPr="00C439DC">
        <w:rPr>
          <w:rFonts w:ascii="Times New Roman" w:eastAsia="Times New Roman" w:hAnsi="Times New Roman" w:cs="Times New Roman"/>
          <w:sz w:val="20"/>
          <w:szCs w:val="20"/>
          <w:shd w:val="clear" w:color="auto" w:fill="FCFCFC"/>
        </w:rPr>
        <w:t>Fong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Y,</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Fortner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J,</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Sun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Brennan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MF,</w:t>
      </w:r>
      <w:r w:rsidR="00777C95" w:rsidRPr="00C439DC">
        <w:rPr>
          <w:rFonts w:ascii="Times New Roman" w:eastAsia="Times New Roman" w:hAnsi="Times New Roman" w:cs="Times New Roman"/>
          <w:sz w:val="20"/>
          <w:szCs w:val="20"/>
          <w:shd w:val="clear" w:color="auto" w:fill="FCFCFC"/>
        </w:rPr>
        <w:t xml:space="preserve"> </w:t>
      </w:r>
      <w:proofErr w:type="spellStart"/>
      <w:r w:rsidRPr="00C439DC">
        <w:rPr>
          <w:rFonts w:ascii="Times New Roman" w:eastAsia="Times New Roman" w:hAnsi="Times New Roman" w:cs="Times New Roman"/>
          <w:sz w:val="20"/>
          <w:szCs w:val="20"/>
          <w:shd w:val="clear" w:color="auto" w:fill="FCFCFC"/>
        </w:rPr>
        <w:t>Blumgart</w:t>
      </w:r>
      <w:proofErr w:type="spellEnd"/>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LH.</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Clinical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score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predicting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recurrence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after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hepatic</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resection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for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metastatic</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colorectal</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cancer:</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analysis</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of</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1001</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consecutive</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cases.</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Ann</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Surg.</w:t>
      </w:r>
      <w:r w:rsidR="00777C95" w:rsidRPr="00C439DC">
        <w:rPr>
          <w:rFonts w:ascii="Times New Roman" w:eastAsia="Times New Roman" w:hAnsi="Times New Roman" w:cs="Times New Roman"/>
          <w:sz w:val="20"/>
          <w:szCs w:val="20"/>
          <w:shd w:val="clear" w:color="auto" w:fill="FCFCFC"/>
        </w:rPr>
        <w:t xml:space="preserve"> </w:t>
      </w:r>
      <w:r w:rsidRPr="00C439DC">
        <w:rPr>
          <w:rFonts w:ascii="Times New Roman" w:eastAsia="Times New Roman" w:hAnsi="Times New Roman" w:cs="Times New Roman"/>
          <w:sz w:val="20"/>
          <w:szCs w:val="20"/>
          <w:shd w:val="clear" w:color="auto" w:fill="FCFCFC"/>
        </w:rPr>
        <w:t>1999;230:309–1</w:t>
      </w:r>
      <w:r w:rsidR="00C439DC" w:rsidRPr="00C439DC">
        <w:rPr>
          <w:rFonts w:ascii="Times New Roman" w:eastAsia="Times New Roman" w:hAnsi="Times New Roman" w:cs="Times New Roman"/>
          <w:sz w:val="20"/>
          <w:szCs w:val="20"/>
          <w:shd w:val="clear" w:color="auto" w:fill="FCFCFC"/>
        </w:rPr>
        <w:t>8</w:t>
      </w:r>
      <w:r w:rsidR="00C439DC">
        <w:rPr>
          <w:rFonts w:ascii="Times New Roman" w:eastAsia="Times New Roman" w:hAnsi="Times New Roman" w:cs="Times New Roman"/>
          <w:sz w:val="20"/>
          <w:szCs w:val="20"/>
          <w:shd w:val="clear" w:color="auto" w:fill="FCFCFC"/>
        </w:rPr>
        <w:t>.</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ScalaLancetPro" w:hAnsi="Times New Roman" w:cs="Times New Roman"/>
          <w:color w:val="231F20"/>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Guiguet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Vaillant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Balladur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Boudjema</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K,</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Bachellier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Surgical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carcinoma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prognostic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scoring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system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improve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selection,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based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1568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Association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Française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Chirurgie</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1996;1(77):1254–62.</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Borner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Dietrich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Stupp</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study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capecitabine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second-line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20:1759-1766.</w:t>
      </w:r>
    </w:p>
    <w:p w:rsidR="004B2E2B" w:rsidRP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ScalaLancetPro" w:hAnsi="Times New Roman" w:cs="Times New Roman"/>
          <w:color w:val="231F20"/>
          <w:sz w:val="20"/>
          <w:szCs w:val="20"/>
        </w:rPr>
        <w:t>Eisenhauer</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Therasse</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P,</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Bogaerts</w:t>
      </w:r>
      <w:proofErr w:type="spellEnd"/>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J,</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al.</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New</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response</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evaluation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criteria</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in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solid</w:t>
      </w:r>
      <w:r w:rsidR="00777C95" w:rsidRPr="00C439DC">
        <w:rPr>
          <w:rFonts w:ascii="Times New Roman" w:eastAsia="ScalaLancetPro" w:hAnsi="Times New Roman" w:cs="Times New Roman"/>
          <w:color w:val="231F20"/>
          <w:sz w:val="20"/>
          <w:szCs w:val="20"/>
        </w:rPr>
        <w:t xml:space="preserve"> </w:t>
      </w:r>
      <w:proofErr w:type="spellStart"/>
      <w:r w:rsidRPr="00C439DC">
        <w:rPr>
          <w:rFonts w:ascii="Times New Roman" w:eastAsia="ScalaLancetPro" w:hAnsi="Times New Roman" w:cs="Times New Roman"/>
          <w:color w:val="231F20"/>
          <w:sz w:val="20"/>
          <w:szCs w:val="20"/>
        </w:rPr>
        <w:t>tumours</w:t>
      </w:r>
      <w:proofErr w:type="spellEnd"/>
      <w:r w:rsidRPr="00C439DC">
        <w:rPr>
          <w:rFonts w:ascii="Times New Roman" w:eastAsia="ScalaLancetPro" w:hAnsi="Times New Roman" w:cs="Times New Roman"/>
          <w:color w:val="231F20"/>
          <w:sz w:val="20"/>
          <w:szCs w:val="20"/>
        </w:rPr>
        <w: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Revised</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RECIST</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guideline</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(version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1.1).</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European</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Journal</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of</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Cancer</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(EJC)</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color w:val="231F20"/>
          <w:sz w:val="20"/>
          <w:szCs w:val="20"/>
        </w:rPr>
        <w:t>2009;</w:t>
      </w:r>
      <w:r w:rsidR="00777C95" w:rsidRPr="00C439DC">
        <w:rPr>
          <w:rFonts w:ascii="Times New Roman" w:eastAsia="ScalaLancetPro" w:hAnsi="Times New Roman" w:cs="Times New Roman"/>
          <w:color w:val="231F20"/>
          <w:sz w:val="20"/>
          <w:szCs w:val="20"/>
        </w:rPr>
        <w:t xml:space="preserve"> </w:t>
      </w:r>
      <w:r w:rsidRPr="00C439DC">
        <w:rPr>
          <w:rFonts w:ascii="Times New Roman" w:eastAsia="ScalaLancetPro" w:hAnsi="Times New Roman" w:cs="Times New Roman"/>
          <w:bCs/>
          <w:color w:val="231F20"/>
          <w:sz w:val="20"/>
          <w:szCs w:val="20"/>
        </w:rPr>
        <w:t>45:</w:t>
      </w:r>
      <w:r w:rsidR="00777C95" w:rsidRPr="00C439DC">
        <w:rPr>
          <w:rFonts w:ascii="Times New Roman" w:eastAsia="ScalaLancetPro" w:hAnsi="Times New Roman" w:cs="Times New Roman"/>
          <w:bCs/>
          <w:color w:val="231F20"/>
          <w:sz w:val="20"/>
          <w:szCs w:val="20"/>
        </w:rPr>
        <w:t xml:space="preserve"> </w:t>
      </w:r>
      <w:r w:rsidRPr="00C439DC">
        <w:rPr>
          <w:rFonts w:ascii="Times New Roman" w:eastAsia="ScalaLancetPro" w:hAnsi="Times New Roman" w:cs="Times New Roman"/>
          <w:color w:val="231F20"/>
          <w:sz w:val="20"/>
          <w:szCs w:val="20"/>
        </w:rPr>
        <w:t>228–247.</w:t>
      </w:r>
    </w:p>
    <w:p w:rsid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National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Institute.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Common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Terminology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Criteria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Adverse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Events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v4.0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(CTCAE);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Published: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2009(v4.03: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June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2010).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(http://www.meddramsso.com</w:t>
      </w:r>
      <w:r w:rsidR="00C439DC" w:rsidRPr="00C439DC">
        <w:rPr>
          <w:rFonts w:ascii="Times New Roman" w:eastAsia="Times New Roman" w:hAnsi="Times New Roman" w:cs="Times New Roman"/>
          <w:sz w:val="20"/>
          <w:szCs w:val="20"/>
        </w:rPr>
        <w:t>)</w:t>
      </w:r>
      <w:r w:rsidR="00C439DC">
        <w:rPr>
          <w:rFonts w:ascii="Times New Roman" w:eastAsia="Times New Roman" w:hAnsi="Times New Roman" w:cs="Times New Roman"/>
          <w:sz w:val="20"/>
          <w:szCs w:val="20"/>
        </w:rPr>
        <w:t>.</w:t>
      </w:r>
    </w:p>
    <w:p w:rsidR="004B2E2B" w:rsidRPr="00C439DC" w:rsidRDefault="004B2E2B" w:rsidP="00C439DC">
      <w:pPr>
        <w:numPr>
          <w:ilvl w:val="0"/>
          <w:numId w:val="3"/>
        </w:numPr>
        <w:bidi w:val="0"/>
        <w:snapToGrid w:val="0"/>
        <w:spacing w:after="0" w:line="240" w:lineRule="auto"/>
        <w:ind w:left="425" w:hanging="425"/>
        <w:contextualSpacing/>
        <w:jc w:val="both"/>
        <w:rPr>
          <w:rFonts w:ascii="Times New Roman" w:eastAsia="Times New Roman" w:hAnsi="Times New Roman" w:cs="Times New Roman"/>
          <w:sz w:val="20"/>
          <w:szCs w:val="20"/>
          <w:lang w:bidi="ar-EG"/>
        </w:rPr>
      </w:pPr>
      <w:r w:rsidRPr="00C439DC">
        <w:rPr>
          <w:rFonts w:ascii="Times New Roman" w:eastAsia="Times New Roman" w:hAnsi="Times New Roman" w:cs="Times New Roman"/>
          <w:sz w:val="20"/>
          <w:szCs w:val="20"/>
          <w:lang w:bidi="ar-EG"/>
        </w:rPr>
        <w:t>Kaplan</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EL,</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Meier</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P</w:t>
      </w:r>
      <w:r w:rsidR="00C439DC" w:rsidRPr="00C439DC">
        <w:rPr>
          <w:rFonts w:ascii="Times New Roman" w:eastAsia="Times New Roman" w:hAnsi="Times New Roman" w:cs="Times New Roman"/>
          <w:sz w:val="20"/>
          <w:szCs w:val="20"/>
          <w:lang w:bidi="ar-EG"/>
        </w:rPr>
        <w:t>.</w:t>
      </w:r>
      <w:r w:rsidR="00C439DC">
        <w:rPr>
          <w:rFonts w:ascii="Times New Roman" w:eastAsia="Times New Roman" w:hAnsi="Times New Roman" w:cs="Times New Roman"/>
          <w:sz w:val="20"/>
          <w:szCs w:val="20"/>
          <w:lang w:bidi="ar-EG"/>
        </w:rPr>
        <w:t xml:space="preserve"> </w:t>
      </w:r>
      <w:r w:rsidR="00C439DC" w:rsidRPr="00C439DC">
        <w:rPr>
          <w:rFonts w:ascii="Times New Roman" w:eastAsia="Times New Roman" w:hAnsi="Times New Roman" w:cs="Times New Roman"/>
          <w:sz w:val="20"/>
          <w:szCs w:val="20"/>
          <w:lang w:bidi="ar-EG"/>
        </w:rPr>
        <w:t>N</w:t>
      </w:r>
      <w:r w:rsidRPr="00C439DC">
        <w:rPr>
          <w:rFonts w:ascii="Times New Roman" w:eastAsia="Times New Roman" w:hAnsi="Times New Roman" w:cs="Times New Roman"/>
          <w:sz w:val="20"/>
          <w:szCs w:val="20"/>
          <w:lang w:bidi="ar-EG"/>
        </w:rPr>
        <w:t>onparametric</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estimation</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from</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incomplete</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observations.</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J</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Am</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Stat</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Assoc</w:t>
      </w:r>
      <w:r w:rsidR="00777C95" w:rsidRPr="00C439DC">
        <w:rPr>
          <w:rFonts w:ascii="Times New Roman" w:hAnsi="Times New Roman" w:cs="Times New Roman" w:hint="eastAsia"/>
          <w:sz w:val="20"/>
          <w:szCs w:val="20"/>
          <w:lang w:eastAsia="zh-CN" w:bidi="ar-EG"/>
        </w:rPr>
        <w:t xml:space="preserve"> </w:t>
      </w:r>
      <w:r w:rsidRPr="00C439DC">
        <w:rPr>
          <w:rFonts w:ascii="Times New Roman" w:eastAsia="Times New Roman" w:hAnsi="Times New Roman" w:cs="Times New Roman"/>
          <w:bCs/>
          <w:sz w:val="20"/>
          <w:szCs w:val="20"/>
          <w:lang w:bidi="ar-EG"/>
        </w:rPr>
        <w:t>1958</w:t>
      </w:r>
      <w:r w:rsidRPr="00C439DC">
        <w:rPr>
          <w:rFonts w:ascii="Times New Roman" w:eastAsia="Times New Roman" w:hAnsi="Times New Roman" w:cs="Times New Roman"/>
          <w:sz w:val="20"/>
          <w:szCs w:val="20"/>
          <w:lang w:bidi="ar-EG"/>
        </w:rPr>
        <w:t>;</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53:</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457-81.</w:t>
      </w:r>
      <w:r w:rsidR="00777C95" w:rsidRPr="00C439DC">
        <w:rPr>
          <w:rFonts w:ascii="Times New Roman" w:eastAsia="Times New Roman" w:hAnsi="Times New Roman" w:cs="Times New Roman"/>
          <w:sz w:val="20"/>
          <w:szCs w:val="20"/>
          <w:lang w:bidi="ar-EG"/>
        </w:rPr>
        <w:t xml:space="preserve"> </w:t>
      </w:r>
      <w:r w:rsidRPr="00C439DC">
        <w:rPr>
          <w:rFonts w:ascii="Times New Roman" w:eastAsia="Times New Roman" w:hAnsi="Times New Roman" w:cs="Times New Roman"/>
          <w:sz w:val="20"/>
          <w:szCs w:val="20"/>
          <w:lang w:bidi="ar-EG"/>
        </w:rPr>
        <w:t>DOI</w:t>
      </w:r>
      <w:r w:rsidRPr="00C439DC">
        <w:rPr>
          <w:rFonts w:ascii="Times New Roman" w:eastAsia="Times New Roman" w:hAnsi="Times New Roman" w:cs="Times New Roman"/>
          <w:bCs/>
          <w:sz w:val="20"/>
          <w:szCs w:val="20"/>
          <w:lang w:bidi="ar-EG"/>
        </w:rPr>
        <w:t>:</w:t>
      </w:r>
      <w:r w:rsidRPr="00C439DC">
        <w:rPr>
          <w:rFonts w:ascii="Times New Roman" w:eastAsia="Times New Roman" w:hAnsi="Times New Roman" w:cs="Times New Roman"/>
          <w:sz w:val="20"/>
          <w:szCs w:val="20"/>
          <w:lang w:bidi="ar-EG"/>
        </w:rPr>
        <w:t>10.1080/01621459.1958.10501452.</w:t>
      </w:r>
      <w:r w:rsidR="00777C95" w:rsidRPr="00C439DC">
        <w:rPr>
          <w:rFonts w:ascii="Times New Roman" w:eastAsia="Times New Roman" w:hAnsi="Times New Roman" w:cs="Times New Roman"/>
          <w:sz w:val="20"/>
          <w:szCs w:val="20"/>
          <w:lang w:bidi="ar-EG"/>
        </w:rPr>
        <w:t xml:space="preserve"> </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Gruenberger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Glimelius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Poston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Rougier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Sobrero</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&amp; </w:t>
      </w:r>
      <w:proofErr w:type="spellStart"/>
      <w:r w:rsidRPr="00C439DC">
        <w:rPr>
          <w:rFonts w:ascii="Times New Roman" w:eastAsia="Times New Roman" w:hAnsi="Times New Roman" w:cs="Times New Roman"/>
          <w:sz w:val="20"/>
          <w:szCs w:val="20"/>
        </w:rPr>
        <w:t>Ychou</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behalf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Group.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Combination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lastRenderedPageBreak/>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role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targeted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agents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recommendations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expert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panel.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Annals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Oncology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985–992,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Rougier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Does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prior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resection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increase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potential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cure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report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Group.</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Eur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2007;</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2037–2045.</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Van</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Cutsem</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Towards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pan-European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consensus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Eur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2006;</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2212–2221.</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sidRPr="00C439DC">
        <w:rPr>
          <w:rFonts w:ascii="Times New Roman" w:eastAsia="Times New Roman" w:hAnsi="Times New Roman" w:cs="Times New Roman"/>
          <w:sz w:val="20"/>
          <w:szCs w:val="20"/>
        </w:rPr>
        <w:t>Shields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Zalupski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Marshall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carcinoma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capecitabine</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100:531-537.</w:t>
      </w:r>
    </w:p>
    <w:p w:rsidR="004B2E2B" w:rsidRPr="00C439DC" w:rsidRDefault="00C439DC"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r>
        <w:rPr>
          <w:rFonts w:ascii="Times New Roman" w:hAnsi="Times New Roman" w:cs="Times New Roman" w:hint="eastAsia"/>
          <w:sz w:val="20"/>
          <w:szCs w:val="20"/>
          <w:lang w:eastAsia="zh-CN"/>
        </w:rPr>
        <w:t>D</w:t>
      </w:r>
      <w:r w:rsidR="004B2E2B" w:rsidRPr="00C439DC">
        <w:rPr>
          <w:rFonts w:ascii="Times New Roman" w:eastAsia="Times New Roman" w:hAnsi="Times New Roman" w:cs="Times New Roman"/>
          <w:sz w:val="20"/>
          <w:szCs w:val="20"/>
        </w:rPr>
        <w:t>e</w:t>
      </w:r>
      <w:r>
        <w:rPr>
          <w:rFonts w:ascii="Times New Roman" w:hAnsi="Times New Roman" w:cs="Times New Roman" w:hint="eastAsia"/>
          <w:sz w:val="20"/>
          <w:szCs w:val="20"/>
          <w:lang w:eastAsia="zh-CN"/>
        </w:rPr>
        <w:t xml:space="preserve"> </w:t>
      </w:r>
      <w:proofErr w:type="spellStart"/>
      <w:r w:rsidR="004B2E2B" w:rsidRPr="00C439DC">
        <w:rPr>
          <w:rFonts w:ascii="Times New Roman" w:eastAsia="Times New Roman" w:hAnsi="Times New Roman" w:cs="Times New Roman"/>
          <w:sz w:val="20"/>
          <w:szCs w:val="20"/>
        </w:rPr>
        <w:t>Gramont</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Figer</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Seymour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M,</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Leucovorin</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fluorouracil</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or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without</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as</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004B2E2B" w:rsidRPr="00C439DC">
        <w:rPr>
          <w:rFonts w:ascii="Times New Roman" w:eastAsia="Times New Roman" w:hAnsi="Times New Roman" w:cs="Times New Roman"/>
          <w:sz w:val="20"/>
          <w:szCs w:val="20"/>
        </w:rPr>
        <w:t>Cli</w:t>
      </w:r>
      <w:r w:rsidRPr="00C439DC">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w:t>
      </w:r>
      <w:r w:rsidR="004B2E2B"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2000;</w:t>
      </w:r>
      <w:r w:rsidR="00777C95" w:rsidRPr="00C439DC">
        <w:rPr>
          <w:rFonts w:ascii="Times New Roman" w:eastAsia="Times New Roman" w:hAnsi="Times New Roman" w:cs="Times New Roman"/>
          <w:sz w:val="20"/>
          <w:szCs w:val="20"/>
        </w:rPr>
        <w:t xml:space="preserve"> </w:t>
      </w:r>
      <w:r w:rsidR="004B2E2B" w:rsidRPr="00C439DC">
        <w:rPr>
          <w:rFonts w:ascii="Times New Roman" w:eastAsia="Times New Roman" w:hAnsi="Times New Roman" w:cs="Times New Roman"/>
          <w:sz w:val="20"/>
          <w:szCs w:val="20"/>
        </w:rPr>
        <w:t>18:2938-2947.</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Giacchetti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Perpoint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Zidani</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multicenter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randomized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added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chronomodulated</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fluorouracil-</w:t>
      </w:r>
      <w:proofErr w:type="spellStart"/>
      <w:r w:rsidRPr="00C439DC">
        <w:rPr>
          <w:rFonts w:ascii="Times New Roman" w:eastAsia="Times New Roman" w:hAnsi="Times New Roman" w:cs="Times New Roman"/>
          <w:sz w:val="20"/>
          <w:szCs w:val="20"/>
        </w:rPr>
        <w:t>leucovorin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2000;</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18:136-147.</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lastRenderedPageBreak/>
        <w:t>Grothey</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Deschler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Kroening</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Phase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III</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study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bolus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5-fluorouracil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(5-FU)/</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folinic</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acid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(Mayo)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vs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weekly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high-dose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24h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5-FU</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infusion/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(OXA)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(FUFOX)</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advanced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(ACRC).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Proc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So</w:t>
      </w:r>
      <w:r w:rsidR="00C439DC" w:rsidRPr="00C439DC">
        <w:rPr>
          <w:rFonts w:ascii="Times New Roman" w:eastAsia="Times New Roman" w:hAnsi="Times New Roman" w:cs="Times New Roman"/>
          <w:sz w:val="20"/>
          <w:szCs w:val="20"/>
        </w:rPr>
        <w:t>c</w:t>
      </w:r>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C</w:t>
      </w:r>
      <w:r w:rsidRPr="00C439DC">
        <w:rPr>
          <w:rFonts w:ascii="Times New Roman" w:eastAsia="Times New Roman" w:hAnsi="Times New Roman" w:cs="Times New Roman"/>
          <w:sz w:val="20"/>
          <w:szCs w:val="20"/>
        </w:rPr>
        <w:t>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21:129a.</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Nordlinger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Sorbye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Glimelius</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Perioperative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FOLFOX4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versus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surgery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alone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for</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resectable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from</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(EORTC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Intergroup</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40983):</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randomised</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controlled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i/>
          <w:iCs/>
          <w:sz w:val="20"/>
          <w:szCs w:val="20"/>
        </w:rPr>
        <w:t xml:space="preserve"> </w:t>
      </w:r>
      <w:r w:rsidRPr="00C439DC">
        <w:rPr>
          <w:rFonts w:ascii="Times New Roman" w:eastAsia="Times New Roman" w:hAnsi="Times New Roman" w:cs="Times New Roman"/>
          <w:i/>
          <w:iCs/>
          <w:sz w:val="20"/>
          <w:szCs w:val="20"/>
        </w:rPr>
        <w:t>Lancet</w:t>
      </w:r>
      <w:r w:rsidR="00777C95" w:rsidRPr="00C439DC">
        <w:rPr>
          <w:rFonts w:ascii="Times New Roman" w:eastAsia="Times New Roman" w:hAnsi="Times New Roman" w:cs="Times New Roman"/>
          <w:i/>
          <w:iCs/>
          <w:sz w:val="20"/>
          <w:szCs w:val="20"/>
        </w:rPr>
        <w:t xml:space="preserve"> </w:t>
      </w:r>
      <w:r w:rsidRPr="00C439DC">
        <w:rPr>
          <w:rFonts w:ascii="Times New Roman" w:eastAsia="Times New Roman" w:hAnsi="Times New Roman" w:cs="Times New Roman"/>
          <w:sz w:val="20"/>
          <w:szCs w:val="20"/>
        </w:rPr>
        <w:t>2008;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371:</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1007–16.</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Gruenberger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Scheithauer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Punzengruber</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Importance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response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to</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neoadjuvant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chemotherapy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potentially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curable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liver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metastases.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BMC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8:</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120.</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rPr>
      </w:pPr>
      <w:proofErr w:type="spellStart"/>
      <w:r w:rsidRPr="00C439DC">
        <w:rPr>
          <w:rFonts w:ascii="Times New Roman" w:eastAsia="Times New Roman" w:hAnsi="Times New Roman" w:cs="Times New Roman"/>
          <w:sz w:val="20"/>
          <w:szCs w:val="20"/>
        </w:rPr>
        <w:t>Sargent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Ko¨hne</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CH,</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Sanoff</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HK,</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Pooled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Safety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Efficacy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Analysis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Examining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the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Effect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Performance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Status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Outcomes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Nine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First-Line</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Treatment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Using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Individual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Data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Fro</w:t>
      </w:r>
      <w:r w:rsidR="00C439DC" w:rsidRPr="00C439DC">
        <w:rPr>
          <w:rFonts w:ascii="Times New Roman" w:eastAsia="Times New Roman" w:hAnsi="Times New Roman" w:cs="Times New Roman"/>
          <w:sz w:val="20"/>
          <w:szCs w:val="20"/>
        </w:rPr>
        <w:t>m</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P</w:t>
      </w:r>
      <w:r w:rsidRPr="00C439DC">
        <w:rPr>
          <w:rFonts w:ascii="Times New Roman" w:eastAsia="Times New Roman" w:hAnsi="Times New Roman" w:cs="Times New Roman"/>
          <w:sz w:val="20"/>
          <w:szCs w:val="20"/>
        </w:rPr>
        <w:t>atient</w:t>
      </w:r>
      <w:r w:rsidR="00C439DC" w:rsidRPr="00C439DC">
        <w:rPr>
          <w:rFonts w:ascii="Times New Roman" w:eastAsia="Times New Roman" w:hAnsi="Times New Roman" w:cs="Times New Roman"/>
          <w:sz w:val="20"/>
          <w:szCs w:val="20"/>
        </w:rPr>
        <w:t>s</w:t>
      </w:r>
      <w:r w:rsidR="00C439DC">
        <w:rPr>
          <w:rFonts w:ascii="Times New Roman" w:eastAsia="Times New Roman" w:hAnsi="Times New Roman" w:cs="Times New Roman"/>
          <w:sz w:val="20"/>
          <w:szCs w:val="20"/>
        </w:rPr>
        <w:t xml:space="preserve"> </w:t>
      </w:r>
      <w:r w:rsidR="00C439DC" w:rsidRPr="00C439DC">
        <w:rPr>
          <w:rFonts w:ascii="Times New Roman" w:eastAsia="Times New Roman" w:hAnsi="Times New Roman" w:cs="Times New Roman"/>
          <w:sz w:val="20"/>
          <w:szCs w:val="20"/>
        </w:rPr>
        <w:t>W</w:t>
      </w:r>
      <w:r w:rsidRPr="00C439DC">
        <w:rPr>
          <w:rFonts w:ascii="Times New Roman" w:eastAsia="Times New Roman" w:hAnsi="Times New Roman" w:cs="Times New Roman"/>
          <w:sz w:val="20"/>
          <w:szCs w:val="20"/>
        </w:rPr>
        <w:t>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2009;</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27</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(12):</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1948-1955.</w:t>
      </w:r>
    </w:p>
    <w:p w:rsidR="004B2E2B" w:rsidRPr="00C439DC" w:rsidRDefault="004B2E2B" w:rsidP="00C439DC">
      <w:pPr>
        <w:numPr>
          <w:ilvl w:val="0"/>
          <w:numId w:val="3"/>
        </w:numPr>
        <w:autoSpaceDE w:val="0"/>
        <w:autoSpaceDN w:val="0"/>
        <w:bidi w:val="0"/>
        <w:adjustRightInd w:val="0"/>
        <w:snapToGrid w:val="0"/>
        <w:spacing w:after="0" w:line="240" w:lineRule="auto"/>
        <w:ind w:left="425" w:hanging="425"/>
        <w:contextualSpacing/>
        <w:jc w:val="both"/>
        <w:rPr>
          <w:rFonts w:ascii="Times New Roman" w:eastAsia="Times New Roman" w:hAnsi="Times New Roman" w:cs="Times New Roman"/>
          <w:sz w:val="20"/>
          <w:szCs w:val="20"/>
          <w:vertAlign w:val="superscript"/>
        </w:rPr>
      </w:pPr>
      <w:r w:rsidRPr="00C439DC">
        <w:rPr>
          <w:rFonts w:ascii="Times New Roman" w:eastAsia="Times New Roman" w:hAnsi="Times New Roman" w:cs="Times New Roman"/>
          <w:sz w:val="20"/>
          <w:szCs w:val="20"/>
        </w:rPr>
        <w:t>Goldberg</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RM,</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Sargent</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DJ,</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Morton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et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randomized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controlled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trial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of</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fluorouracil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plus</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leucovorin</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irinotecan</w:t>
      </w:r>
      <w:proofErr w:type="spellEnd"/>
      <w:r w:rsidRPr="00C439DC">
        <w:rPr>
          <w:rFonts w:ascii="Times New Roman" w:eastAsia="Times New Roman" w:hAnsi="Times New Roman" w:cs="Times New Roman"/>
          <w:sz w:val="20"/>
          <w:szCs w:val="20"/>
        </w:rPr>
        <w:t>,</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and</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oxaliplatin</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combinations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in</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patients</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with</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previously</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untreated</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metastatic</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colorectal</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cancer.</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J</w:t>
      </w:r>
      <w:r w:rsidR="00777C95" w:rsidRPr="00C439DC">
        <w:rPr>
          <w:rFonts w:ascii="Times New Roman" w:eastAsia="Times New Roman" w:hAnsi="Times New Roman" w:cs="Times New Roman"/>
          <w:sz w:val="20"/>
          <w:szCs w:val="20"/>
        </w:rPr>
        <w:t xml:space="preserve"> </w:t>
      </w:r>
      <w:proofErr w:type="spellStart"/>
      <w:r w:rsidRPr="00C439DC">
        <w:rPr>
          <w:rFonts w:ascii="Times New Roman" w:eastAsia="Times New Roman" w:hAnsi="Times New Roman" w:cs="Times New Roman"/>
          <w:sz w:val="20"/>
          <w:szCs w:val="20"/>
        </w:rPr>
        <w:t>Cli</w:t>
      </w:r>
      <w:r w:rsidR="00C439DC" w:rsidRPr="00C439DC">
        <w:rPr>
          <w:rFonts w:ascii="Times New Roman" w:eastAsia="Times New Roman" w:hAnsi="Times New Roman" w:cs="Times New Roman"/>
          <w:sz w:val="20"/>
          <w:szCs w:val="20"/>
        </w:rPr>
        <w:t>n</w:t>
      </w:r>
      <w:proofErr w:type="spellEnd"/>
      <w:r w:rsidR="00C439DC">
        <w:rPr>
          <w:rFonts w:ascii="Times New Roman" w:eastAsia="Times New Roman" w:hAnsi="Times New Roman" w:cs="Times New Roman"/>
          <w:sz w:val="20"/>
          <w:szCs w:val="20"/>
        </w:rPr>
        <w:t xml:space="preserve"> </w:t>
      </w:r>
      <w:proofErr w:type="spellStart"/>
      <w:r w:rsidR="00C439DC" w:rsidRPr="00C439DC">
        <w:rPr>
          <w:rFonts w:ascii="Times New Roman" w:eastAsia="Times New Roman" w:hAnsi="Times New Roman" w:cs="Times New Roman"/>
          <w:sz w:val="20"/>
          <w:szCs w:val="20"/>
        </w:rPr>
        <w:t>O</w:t>
      </w:r>
      <w:r w:rsidRPr="00C439DC">
        <w:rPr>
          <w:rFonts w:ascii="Times New Roman" w:eastAsia="Times New Roman" w:hAnsi="Times New Roman" w:cs="Times New Roman"/>
          <w:sz w:val="20"/>
          <w:szCs w:val="20"/>
        </w:rPr>
        <w:t>ncol</w:t>
      </w:r>
      <w:proofErr w:type="spellEnd"/>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2004;</w:t>
      </w:r>
      <w:r w:rsidR="00777C95" w:rsidRPr="00C439DC">
        <w:rPr>
          <w:rFonts w:ascii="Times New Roman" w:eastAsia="Times New Roman" w:hAnsi="Times New Roman" w:cs="Times New Roman"/>
          <w:sz w:val="20"/>
          <w:szCs w:val="20"/>
        </w:rPr>
        <w:t xml:space="preserve"> </w:t>
      </w:r>
      <w:r w:rsidRPr="00C439DC">
        <w:rPr>
          <w:rFonts w:ascii="Times New Roman" w:eastAsia="Times New Roman" w:hAnsi="Times New Roman" w:cs="Times New Roman"/>
          <w:sz w:val="20"/>
          <w:szCs w:val="20"/>
        </w:rPr>
        <w:t>22:23-30.</w:t>
      </w:r>
    </w:p>
    <w:p w:rsidR="00777C95" w:rsidRPr="00777C95"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pPr>
    </w:p>
    <w:p w:rsidR="00777C95" w:rsidRPr="00777C95"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rPr>
        <w:sectPr w:rsidR="00777C95" w:rsidRPr="00777C95" w:rsidSect="00C439DC">
          <w:headerReference w:type="default" r:id="rId20"/>
          <w:type w:val="continuous"/>
          <w:pgSz w:w="12242" w:h="15842" w:code="1"/>
          <w:pgMar w:top="1440" w:right="1440" w:bottom="1440" w:left="1440" w:header="720" w:footer="720" w:gutter="0"/>
          <w:cols w:num="2" w:space="550"/>
          <w:docGrid w:linePitch="360"/>
        </w:sectPr>
      </w:pPr>
    </w:p>
    <w:p w:rsidR="00777C95"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C439DC" w:rsidRDefault="00C439DC"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C439DC" w:rsidRPr="00777C95" w:rsidRDefault="00C439DC" w:rsidP="00C439DC">
      <w:pPr>
        <w:autoSpaceDE w:val="0"/>
        <w:autoSpaceDN w:val="0"/>
        <w:bidi w:val="0"/>
        <w:adjustRightInd w:val="0"/>
        <w:snapToGrid w:val="0"/>
        <w:spacing w:after="0" w:line="240" w:lineRule="auto"/>
        <w:ind w:left="425" w:hanging="425"/>
        <w:jc w:val="both"/>
        <w:rPr>
          <w:rFonts w:ascii="Times New Roman" w:hAnsi="Times New Roman" w:cs="Times New Roman"/>
          <w:b/>
          <w:bCs/>
          <w:sz w:val="20"/>
          <w:szCs w:val="20"/>
          <w:lang w:eastAsia="zh-CN"/>
        </w:rPr>
      </w:pPr>
    </w:p>
    <w:p w:rsidR="004B2E2B" w:rsidRPr="00C439DC" w:rsidRDefault="00777C95" w:rsidP="00C439DC">
      <w:pPr>
        <w:autoSpaceDE w:val="0"/>
        <w:autoSpaceDN w:val="0"/>
        <w:bidi w:val="0"/>
        <w:adjustRightInd w:val="0"/>
        <w:snapToGrid w:val="0"/>
        <w:spacing w:after="0" w:line="240" w:lineRule="auto"/>
        <w:ind w:left="425" w:hanging="425"/>
        <w:jc w:val="both"/>
        <w:rPr>
          <w:rFonts w:ascii="Times New Roman" w:hAnsi="Times New Roman" w:cs="Times New Roman"/>
          <w:bCs/>
          <w:sz w:val="20"/>
          <w:szCs w:val="20"/>
        </w:rPr>
      </w:pPr>
      <w:r w:rsidRPr="00C439DC">
        <w:rPr>
          <w:rFonts w:ascii="Times New Roman" w:hAnsi="Times New Roman" w:cs="Times New Roman"/>
          <w:bCs/>
          <w:sz w:val="20"/>
          <w:szCs w:val="20"/>
        </w:rPr>
        <w:t>12/13/2017</w:t>
      </w:r>
    </w:p>
    <w:sectPr w:rsidR="004B2E2B" w:rsidRPr="00C439DC" w:rsidSect="00777C95">
      <w:headerReference w:type="default" r:id="rId2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9F" w:rsidRDefault="0027579F" w:rsidP="008B638C">
      <w:pPr>
        <w:spacing w:after="0" w:line="240" w:lineRule="auto"/>
      </w:pPr>
      <w:r>
        <w:separator/>
      </w:r>
    </w:p>
  </w:endnote>
  <w:endnote w:type="continuationSeparator" w:id="0">
    <w:p w:rsidR="0027579F" w:rsidRDefault="0027579F" w:rsidP="008B6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Shaker2Lancet-Regular">
    <w:altName w:val="MS Mincho"/>
    <w:panose1 w:val="00000000000000000000"/>
    <w:charset w:val="80"/>
    <w:family w:val="auto"/>
    <w:notTrueType/>
    <w:pitch w:val="default"/>
    <w:sig w:usb0="00000000" w:usb1="08070000" w:usb2="00000010" w:usb3="00000000" w:csb0="00020000" w:csb1="00000000"/>
  </w:font>
  <w:font w:name="ScalaLancetPro">
    <w:altName w:val="Arial Unicode MS"/>
    <w:panose1 w:val="00000000000000000000"/>
    <w:charset w:val="80"/>
    <w:family w:val="auto"/>
    <w:notTrueType/>
    <w:pitch w:val="default"/>
    <w:sig w:usb0="00000000" w:usb1="08070000" w:usb2="00000010" w:usb3="00000000" w:csb0="0002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DC" w:rsidRPr="00B358C4" w:rsidRDefault="00B531DD" w:rsidP="00B358C4">
    <w:pPr>
      <w:bidi w:val="0"/>
      <w:spacing w:after="0" w:line="240" w:lineRule="auto"/>
      <w:jc w:val="center"/>
      <w:rPr>
        <w:rFonts w:ascii="Times New Roman" w:hAnsi="Times New Roman" w:cs="Times New Roman"/>
        <w:sz w:val="20"/>
      </w:rPr>
    </w:pPr>
    <w:r w:rsidRPr="00B358C4">
      <w:rPr>
        <w:rFonts w:ascii="Times New Roman" w:hAnsi="Times New Roman" w:cs="Times New Roman"/>
        <w:sz w:val="20"/>
      </w:rPr>
      <w:fldChar w:fldCharType="begin"/>
    </w:r>
    <w:r w:rsidR="00B358C4" w:rsidRPr="00B358C4">
      <w:rPr>
        <w:rFonts w:ascii="Times New Roman" w:hAnsi="Times New Roman" w:cs="Times New Roman"/>
        <w:sz w:val="20"/>
      </w:rPr>
      <w:instrText xml:space="preserve"> page </w:instrText>
    </w:r>
    <w:r w:rsidRPr="00B358C4">
      <w:rPr>
        <w:rFonts w:ascii="Times New Roman" w:hAnsi="Times New Roman" w:cs="Times New Roman"/>
        <w:sz w:val="20"/>
      </w:rPr>
      <w:fldChar w:fldCharType="separate"/>
    </w:r>
    <w:r w:rsidR="008A442A">
      <w:rPr>
        <w:rFonts w:ascii="Times New Roman" w:hAnsi="Times New Roman" w:cs="Times New Roman"/>
        <w:noProof/>
        <w:sz w:val="20"/>
      </w:rPr>
      <w:t>1</w:t>
    </w:r>
    <w:r w:rsidRPr="00B358C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9F" w:rsidRDefault="0027579F" w:rsidP="008B638C">
      <w:pPr>
        <w:spacing w:after="0" w:line="240" w:lineRule="auto"/>
      </w:pPr>
      <w:r>
        <w:separator/>
      </w:r>
    </w:p>
  </w:footnote>
  <w:footnote w:type="continuationSeparator" w:id="0">
    <w:p w:rsidR="0027579F" w:rsidRDefault="0027579F" w:rsidP="008B6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C4" w:rsidRPr="00B358C4" w:rsidRDefault="00B358C4"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B358C4" w:rsidRPr="00B358C4" w:rsidRDefault="00B358C4"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C4" w:rsidRPr="00B358C4" w:rsidRDefault="00B358C4"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B358C4" w:rsidRPr="00B358C4" w:rsidRDefault="00B358C4"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C4" w:rsidRPr="00B358C4" w:rsidRDefault="00B358C4"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B358C4" w:rsidRPr="00B358C4" w:rsidRDefault="00B358C4"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C4" w:rsidRPr="00B358C4" w:rsidRDefault="00B358C4" w:rsidP="00B358C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B358C4">
      <w:rPr>
        <w:rFonts w:ascii="Times New Roman" w:hAnsi="Times New Roman" w:cs="Times New Roman" w:hint="eastAsia"/>
        <w:iCs/>
        <w:color w:val="000000"/>
        <w:sz w:val="20"/>
      </w:rPr>
      <w:tab/>
    </w:r>
    <w:r w:rsidRPr="00B358C4">
      <w:rPr>
        <w:rFonts w:ascii="Times New Roman" w:hAnsi="Times New Roman" w:cs="Times New Roman"/>
        <w:iCs/>
        <w:color w:val="000000"/>
        <w:sz w:val="20"/>
      </w:rPr>
      <w:t xml:space="preserve">Cancer Biology </w:t>
    </w:r>
    <w:r w:rsidRPr="00B358C4">
      <w:rPr>
        <w:rFonts w:ascii="Times New Roman" w:hAnsi="Times New Roman" w:cs="Times New Roman"/>
        <w:iCs/>
        <w:sz w:val="20"/>
      </w:rPr>
      <w:t>201</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8</w:t>
    </w:r>
    <w:r w:rsidRPr="00B358C4">
      <w:rPr>
        <w:rFonts w:ascii="Times New Roman" w:hAnsi="Times New Roman" w:cs="Times New Roman"/>
        <w:iCs/>
        <w:sz w:val="20"/>
      </w:rPr>
      <w:t>(</w:t>
    </w:r>
    <w:r w:rsidRPr="00B358C4">
      <w:rPr>
        <w:rFonts w:ascii="Times New Roman" w:hAnsi="Times New Roman" w:cs="Times New Roman" w:hint="eastAsia"/>
        <w:iCs/>
        <w:sz w:val="20"/>
      </w:rPr>
      <w:t>1</w:t>
    </w:r>
    <w:r w:rsidRPr="00B358C4">
      <w:rPr>
        <w:rFonts w:ascii="Times New Roman" w:hAnsi="Times New Roman" w:cs="Times New Roman"/>
        <w:iCs/>
        <w:sz w:val="20"/>
      </w:rPr>
      <w:t xml:space="preserve">)  </w:t>
    </w:r>
    <w:r w:rsidRPr="00B358C4">
      <w:rPr>
        <w:rFonts w:ascii="Times New Roman" w:hAnsi="Times New Roman" w:cs="Times New Roman" w:hint="eastAsia"/>
        <w:iCs/>
        <w:sz w:val="20"/>
      </w:rPr>
      <w:t xml:space="preserve">   </w:t>
    </w:r>
    <w:r w:rsidRPr="00B358C4">
      <w:rPr>
        <w:rFonts w:ascii="Times New Roman" w:hAnsi="Times New Roman" w:cs="Times New Roman" w:hint="eastAsia"/>
        <w:iCs/>
        <w:sz w:val="20"/>
      </w:rPr>
      <w:tab/>
      <w:t xml:space="preserve">     </w:t>
    </w:r>
    <w:r w:rsidRPr="00B358C4">
      <w:rPr>
        <w:rFonts w:ascii="Times New Roman" w:hAnsi="Times New Roman" w:cs="Times New Roman"/>
        <w:iCs/>
        <w:sz w:val="20"/>
      </w:rPr>
      <w:t xml:space="preserve"> </w:t>
    </w:r>
    <w:r w:rsidRPr="00B358C4">
      <w:rPr>
        <w:rFonts w:ascii="Times New Roman" w:hAnsi="Times New Roman" w:cs="Times New Roman"/>
        <w:sz w:val="20"/>
      </w:rPr>
      <w:t xml:space="preserve">  </w:t>
    </w:r>
    <w:hyperlink r:id="rId1" w:history="1">
      <w:r w:rsidRPr="00B358C4">
        <w:rPr>
          <w:rStyle w:val="Hyperlink"/>
          <w:rFonts w:ascii="Times New Roman" w:hAnsi="Times New Roman" w:cs="Times New Roman"/>
          <w:sz w:val="20"/>
        </w:rPr>
        <w:t>http://www.cancerbio.net</w:t>
      </w:r>
    </w:hyperlink>
  </w:p>
  <w:p w:rsidR="00B358C4" w:rsidRPr="00B358C4" w:rsidRDefault="00B358C4" w:rsidP="00B358C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8C" w:rsidRPr="00A80C5A" w:rsidRDefault="008B638C" w:rsidP="00171F36">
    <w:pPr>
      <w:pBdr>
        <w:bottom w:val="thinThickMediumGap" w:sz="12" w:space="0" w:color="auto"/>
      </w:pBdr>
      <w:tabs>
        <w:tab w:val="left" w:pos="851"/>
        <w:tab w:val="right" w:pos="8364"/>
      </w:tabs>
      <w:bidi w:val="0"/>
      <w:adjustRightInd w:val="0"/>
      <w:snapToGrid w:val="0"/>
      <w:spacing w:after="0" w:line="240" w:lineRule="auto"/>
      <w:jc w:val="center"/>
      <w:rPr>
        <w:rFonts w:asciiTheme="majorBidi" w:eastAsia="SimSun" w:hAnsiTheme="majorBidi" w:cstheme="majorBidi"/>
        <w:iCs/>
        <w:color w:val="0000FF"/>
        <w:sz w:val="20"/>
        <w:szCs w:val="20"/>
        <w:rtl/>
        <w:lang w:bidi="ar-EG"/>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201</w:t>
    </w:r>
    <w:r w:rsidR="00171F36">
      <w:rPr>
        <w:rFonts w:asciiTheme="majorBidi" w:eastAsia="SimSun" w:hAnsiTheme="majorBidi" w:cstheme="majorBidi"/>
        <w:iCs/>
        <w:sz w:val="20"/>
        <w:szCs w:val="20"/>
      </w:rPr>
      <w:t>8</w:t>
    </w:r>
    <w:r w:rsidRPr="00A80C5A">
      <w:rPr>
        <w:rFonts w:asciiTheme="majorBidi" w:eastAsia="SimSun" w:hAnsiTheme="majorBidi" w:cstheme="majorBidi"/>
        <w:iCs/>
        <w:sz w:val="20"/>
        <w:szCs w:val="20"/>
      </w:rPr>
      <w:t xml:space="preserve">;x(X)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EC9"/>
    <w:multiLevelType w:val="hybridMultilevel"/>
    <w:tmpl w:val="9E70BB04"/>
    <w:lvl w:ilvl="0" w:tplc="B06CB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39E4"/>
    <w:multiLevelType w:val="hybridMultilevel"/>
    <w:tmpl w:val="B208863E"/>
    <w:lvl w:ilvl="0" w:tplc="76B2FEF2">
      <w:start w:val="1"/>
      <w:numFmt w:val="decimal"/>
      <w:lvlText w:val="%1."/>
      <w:lvlJc w:val="left"/>
      <w:pPr>
        <w:ind w:left="720" w:hanging="360"/>
      </w:pPr>
      <w:rPr>
        <w:rFonts w:ascii="Times New Roman" w:hAnsi="Times New Roman" w:cs="Times New Roman" w:hint="default"/>
        <w:spacing w:val="0"/>
        <w:w w:val="100"/>
        <w:kern w:val="0"/>
        <w:position w:val="0"/>
        <w:sz w:val="20"/>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B70AA"/>
    <w:multiLevelType w:val="hybridMultilevel"/>
    <w:tmpl w:val="9E70BB04"/>
    <w:lvl w:ilvl="0" w:tplc="B06CB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8762E5"/>
    <w:rsid w:val="0001291B"/>
    <w:rsid w:val="000347D6"/>
    <w:rsid w:val="000519D7"/>
    <w:rsid w:val="000B2FC0"/>
    <w:rsid w:val="000C4F5C"/>
    <w:rsid w:val="000E7177"/>
    <w:rsid w:val="000F4A75"/>
    <w:rsid w:val="0013423B"/>
    <w:rsid w:val="00171F36"/>
    <w:rsid w:val="00183949"/>
    <w:rsid w:val="00191C94"/>
    <w:rsid w:val="00194412"/>
    <w:rsid w:val="0019491E"/>
    <w:rsid w:val="00196CB4"/>
    <w:rsid w:val="001A72F1"/>
    <w:rsid w:val="001C5D63"/>
    <w:rsid w:val="001F3BFF"/>
    <w:rsid w:val="00223B2C"/>
    <w:rsid w:val="00224F0E"/>
    <w:rsid w:val="0027579F"/>
    <w:rsid w:val="002910A0"/>
    <w:rsid w:val="002A104D"/>
    <w:rsid w:val="002A6BF5"/>
    <w:rsid w:val="002C700A"/>
    <w:rsid w:val="002E707C"/>
    <w:rsid w:val="00304578"/>
    <w:rsid w:val="003127F2"/>
    <w:rsid w:val="00317D53"/>
    <w:rsid w:val="00322B9D"/>
    <w:rsid w:val="0035500F"/>
    <w:rsid w:val="00382ED5"/>
    <w:rsid w:val="00393726"/>
    <w:rsid w:val="004814DE"/>
    <w:rsid w:val="00483598"/>
    <w:rsid w:val="004B2E2B"/>
    <w:rsid w:val="004E31FB"/>
    <w:rsid w:val="00525363"/>
    <w:rsid w:val="00553F5A"/>
    <w:rsid w:val="005718C5"/>
    <w:rsid w:val="005C5101"/>
    <w:rsid w:val="005D15F5"/>
    <w:rsid w:val="005E20A4"/>
    <w:rsid w:val="006106C0"/>
    <w:rsid w:val="006438FE"/>
    <w:rsid w:val="00653BB0"/>
    <w:rsid w:val="00674DA5"/>
    <w:rsid w:val="006859B4"/>
    <w:rsid w:val="006A2A6F"/>
    <w:rsid w:val="006B4E53"/>
    <w:rsid w:val="006F5375"/>
    <w:rsid w:val="00715DB2"/>
    <w:rsid w:val="00722504"/>
    <w:rsid w:val="00777C95"/>
    <w:rsid w:val="007D16D6"/>
    <w:rsid w:val="00812C02"/>
    <w:rsid w:val="00815E60"/>
    <w:rsid w:val="00830E13"/>
    <w:rsid w:val="00844E15"/>
    <w:rsid w:val="00860D77"/>
    <w:rsid w:val="008762E5"/>
    <w:rsid w:val="008A442A"/>
    <w:rsid w:val="008B52E3"/>
    <w:rsid w:val="008B638C"/>
    <w:rsid w:val="008B6E9E"/>
    <w:rsid w:val="008C05A6"/>
    <w:rsid w:val="008C2AD8"/>
    <w:rsid w:val="008C2E47"/>
    <w:rsid w:val="008D3B75"/>
    <w:rsid w:val="00932BD2"/>
    <w:rsid w:val="0098418D"/>
    <w:rsid w:val="009A7468"/>
    <w:rsid w:val="009D4359"/>
    <w:rsid w:val="00A57C5E"/>
    <w:rsid w:val="00A7185B"/>
    <w:rsid w:val="00A760EF"/>
    <w:rsid w:val="00A87246"/>
    <w:rsid w:val="00A90664"/>
    <w:rsid w:val="00AA44ED"/>
    <w:rsid w:val="00AE7185"/>
    <w:rsid w:val="00B10BA6"/>
    <w:rsid w:val="00B352B9"/>
    <w:rsid w:val="00B358C4"/>
    <w:rsid w:val="00B52BBE"/>
    <w:rsid w:val="00B531DD"/>
    <w:rsid w:val="00B64134"/>
    <w:rsid w:val="00B974D8"/>
    <w:rsid w:val="00BA00B7"/>
    <w:rsid w:val="00BA0F40"/>
    <w:rsid w:val="00BC380F"/>
    <w:rsid w:val="00BD09C0"/>
    <w:rsid w:val="00C22CFD"/>
    <w:rsid w:val="00C274C9"/>
    <w:rsid w:val="00C439DC"/>
    <w:rsid w:val="00C52A71"/>
    <w:rsid w:val="00C755BC"/>
    <w:rsid w:val="00CA1969"/>
    <w:rsid w:val="00CD5F95"/>
    <w:rsid w:val="00CF2302"/>
    <w:rsid w:val="00D223F8"/>
    <w:rsid w:val="00D31C15"/>
    <w:rsid w:val="00D8197D"/>
    <w:rsid w:val="00D961AE"/>
    <w:rsid w:val="00DE3DED"/>
    <w:rsid w:val="00E05433"/>
    <w:rsid w:val="00E220C1"/>
    <w:rsid w:val="00E4097C"/>
    <w:rsid w:val="00E87E25"/>
    <w:rsid w:val="00E918E0"/>
    <w:rsid w:val="00EC3AA9"/>
    <w:rsid w:val="00F33092"/>
    <w:rsid w:val="00F51D51"/>
    <w:rsid w:val="00F801FC"/>
    <w:rsid w:val="00FB4815"/>
    <w:rsid w:val="00FC1C9A"/>
    <w:rsid w:val="00FD6DA1"/>
    <w:rsid w:val="00FD7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95"/>
    <w:pPr>
      <w:bidi/>
    </w:pPr>
  </w:style>
  <w:style w:type="paragraph" w:styleId="Heading7">
    <w:name w:val="heading 7"/>
    <w:basedOn w:val="Normal"/>
    <w:next w:val="Normal"/>
    <w:link w:val="Heading7Char"/>
    <w:uiPriority w:val="9"/>
    <w:qFormat/>
    <w:rsid w:val="008762E5"/>
    <w:pPr>
      <w:spacing w:before="240" w:after="60"/>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762E5"/>
    <w:rPr>
      <w:rFonts w:ascii="Calibri" w:eastAsia="Times New Roman" w:hAnsi="Calibri" w:cs="Arial"/>
      <w:sz w:val="24"/>
      <w:szCs w:val="24"/>
    </w:rPr>
  </w:style>
  <w:style w:type="character" w:styleId="Hyperlink">
    <w:name w:val="Hyperlink"/>
    <w:basedOn w:val="DefaultParagraphFont"/>
    <w:uiPriority w:val="99"/>
    <w:unhideWhenUsed/>
    <w:rsid w:val="008762E5"/>
    <w:rPr>
      <w:color w:val="0000FF"/>
      <w:u w:val="single"/>
    </w:rPr>
  </w:style>
  <w:style w:type="paragraph" w:styleId="NormalWeb">
    <w:name w:val="Normal (Web)"/>
    <w:basedOn w:val="Normal"/>
    <w:rsid w:val="008762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2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762E5"/>
    <w:pPr>
      <w:bidi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762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2E5"/>
    <w:rPr>
      <w:rFonts w:ascii="Tahoma" w:hAnsi="Tahoma" w:cs="Tahoma"/>
      <w:sz w:val="16"/>
      <w:szCs w:val="16"/>
    </w:rPr>
  </w:style>
  <w:style w:type="character" w:styleId="Strong">
    <w:name w:val="Strong"/>
    <w:qFormat/>
    <w:rsid w:val="00D8197D"/>
    <w:rPr>
      <w:b/>
      <w:bCs/>
    </w:rPr>
  </w:style>
  <w:style w:type="table" w:styleId="ColorfulList-Accent3">
    <w:name w:val="Colorful List Accent 3"/>
    <w:basedOn w:val="TableNormal"/>
    <w:uiPriority w:val="72"/>
    <w:rsid w:val="00815E6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8B63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638C"/>
  </w:style>
  <w:style w:type="paragraph" w:styleId="Footer">
    <w:name w:val="footer"/>
    <w:basedOn w:val="Normal"/>
    <w:link w:val="FooterChar"/>
    <w:uiPriority w:val="99"/>
    <w:unhideWhenUsed/>
    <w:rsid w:val="008B63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38C"/>
  </w:style>
  <w:style w:type="paragraph" w:styleId="NoSpacing">
    <w:name w:val="No Spacing"/>
    <w:basedOn w:val="Normal"/>
    <w:link w:val="NoSpacingChar"/>
    <w:qFormat/>
    <w:rsid w:val="00C439DC"/>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C439DC"/>
    <w:rPr>
      <w:rFonts w:ascii="Times New Roman" w:eastAsia="宋体" w:hAnsi="Times New Roman" w:cs="Times New Roman"/>
      <w:sz w:val="24"/>
      <w:szCs w:val="24"/>
      <w:lang w:eastAsia="zh-CN"/>
    </w:rPr>
  </w:style>
  <w:style w:type="character" w:customStyle="1" w:styleId="msonormal0">
    <w:name w:val="msonormal0"/>
    <w:basedOn w:val="DefaultParagraphFont"/>
    <w:rsid w:val="00C4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4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_sheta1@yahoo.com" TargetMode="Externa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dx.doi.org/10.7537/marscbj080118.01"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s://en.wikipedia.org/wiki/Magnetic_resonance_imag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ECBF-9477-4A8C-A399-2C0D8219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بيت الكمبيوتر</dc:creator>
  <cp:lastModifiedBy>Administrator</cp:lastModifiedBy>
  <cp:revision>6</cp:revision>
  <cp:lastPrinted>2017-12-21T03:33:00Z</cp:lastPrinted>
  <dcterms:created xsi:type="dcterms:W3CDTF">2017-12-16T13:35:00Z</dcterms:created>
  <dcterms:modified xsi:type="dcterms:W3CDTF">2017-12-21T03:33:00Z</dcterms:modified>
</cp:coreProperties>
</file>