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CF" w:rsidRPr="00887FF9" w:rsidRDefault="007B7651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Mammographic </w:t>
      </w:r>
      <w:r w:rsidR="000578E5" w:rsidRPr="00887FF9">
        <w:rPr>
          <w:rFonts w:ascii="Times New Roman" w:hAnsi="Times New Roman" w:cs="Times New Roman"/>
          <w:b/>
          <w:bCs/>
          <w:sz w:val="20"/>
          <w:szCs w:val="20"/>
        </w:rPr>
        <w:t>Breast Density as a Predictive Factor of Local Recurrence in Female Patients with Invasive Breast Cancer</w:t>
      </w:r>
    </w:p>
    <w:p w:rsidR="00A223CF" w:rsidRPr="00887FF9" w:rsidRDefault="00A223CF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23CF" w:rsidRPr="00887FF9" w:rsidRDefault="007B7651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proofErr w:type="spellStart"/>
      <w:r w:rsidRPr="00887FF9">
        <w:rPr>
          <w:rFonts w:ascii="Times New Roman" w:hAnsi="Times New Roman" w:cs="Times New Roman"/>
          <w:sz w:val="20"/>
          <w:szCs w:val="20"/>
        </w:rPr>
        <w:t>Emad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Sadaka</w:t>
      </w:r>
      <w:r w:rsidRPr="00887FF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B2837" w:rsidRPr="00887F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Walid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Almorsy</w:t>
      </w:r>
      <w:r w:rsidRPr="00887FF9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FB2837" w:rsidRPr="00887F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4EFA" w:rsidRPr="00887FF9">
        <w:rPr>
          <w:rFonts w:ascii="Times New Roman" w:hAnsi="Times New Roman" w:cs="Times New Roman"/>
          <w:sz w:val="20"/>
          <w:szCs w:val="20"/>
        </w:rPr>
        <w:t>Amr</w:t>
      </w:r>
      <w:proofErr w:type="spellEnd"/>
      <w:r w:rsidR="006D4EFA" w:rsidRPr="00887FF9">
        <w:rPr>
          <w:rFonts w:ascii="Times New Roman" w:hAnsi="Times New Roman" w:cs="Times New Roman"/>
          <w:sz w:val="20"/>
          <w:szCs w:val="20"/>
        </w:rPr>
        <w:t xml:space="preserve"> Albadry</w:t>
      </w:r>
      <w:r w:rsidR="006D4EFA" w:rsidRPr="00887FF9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EF309B" w:rsidRPr="00887FF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F309B" w:rsidRPr="00887FF9">
        <w:rPr>
          <w:rFonts w:ascii="Times New Roman" w:hAnsi="Times New Roman" w:cs="Times New Roman"/>
          <w:sz w:val="20"/>
          <w:szCs w:val="20"/>
        </w:rPr>
        <w:t>Alsiagy</w:t>
      </w:r>
      <w:proofErr w:type="spellEnd"/>
      <w:r w:rsidR="00EF309B" w:rsidRPr="00887FF9">
        <w:rPr>
          <w:rFonts w:ascii="Times New Roman" w:hAnsi="Times New Roman" w:cs="Times New Roman"/>
          <w:sz w:val="20"/>
          <w:szCs w:val="20"/>
        </w:rPr>
        <w:t xml:space="preserve"> Ali Salama</w:t>
      </w:r>
      <w:r w:rsidR="000578E5" w:rsidRPr="00887FF9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223CF" w:rsidRPr="00887FF9" w:rsidRDefault="00A223CF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0578E5" w:rsidRPr="00887FF9" w:rsidRDefault="000578E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B7651" w:rsidRPr="00887FF9">
        <w:rPr>
          <w:rFonts w:ascii="Times New Roman" w:hAnsi="Times New Roman" w:cs="Times New Roman"/>
          <w:sz w:val="20"/>
          <w:szCs w:val="20"/>
        </w:rPr>
        <w:t xml:space="preserve">Clinical Oncology Department, Faculty of Medicine, </w:t>
      </w:r>
      <w:proofErr w:type="spellStart"/>
      <w:r w:rsidR="007B7651" w:rsidRPr="00887FF9">
        <w:rPr>
          <w:rFonts w:ascii="Times New Roman" w:hAnsi="Times New Roman" w:cs="Times New Roman"/>
          <w:sz w:val="20"/>
          <w:szCs w:val="20"/>
        </w:rPr>
        <w:t>Kafer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7651" w:rsidRPr="00887FF9">
        <w:rPr>
          <w:rFonts w:ascii="Times New Roman" w:hAnsi="Times New Roman" w:cs="Times New Roman"/>
          <w:sz w:val="20"/>
          <w:szCs w:val="20"/>
        </w:rPr>
        <w:t>Elsheikh</w:t>
      </w:r>
      <w:proofErr w:type="spellEnd"/>
      <w:r w:rsidR="007B7651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Pr="00887FF9">
        <w:rPr>
          <w:rFonts w:ascii="Times New Roman" w:hAnsi="Times New Roman" w:cs="Times New Roman"/>
          <w:sz w:val="20"/>
          <w:szCs w:val="20"/>
        </w:rPr>
        <w:t>University</w:t>
      </w:r>
      <w:r w:rsidR="007B7651" w:rsidRPr="00887FF9">
        <w:rPr>
          <w:rFonts w:ascii="Times New Roman" w:hAnsi="Times New Roman" w:cs="Times New Roman"/>
          <w:sz w:val="20"/>
          <w:szCs w:val="20"/>
        </w:rPr>
        <w:t xml:space="preserve">, </w:t>
      </w:r>
      <w:r w:rsidRPr="00887FF9">
        <w:rPr>
          <w:rFonts w:ascii="Times New Roman" w:hAnsi="Times New Roman" w:cs="Times New Roman"/>
          <w:sz w:val="20"/>
          <w:szCs w:val="20"/>
        </w:rPr>
        <w:t>Egypt</w:t>
      </w:r>
    </w:p>
    <w:p w:rsidR="000578E5" w:rsidRPr="00887FF9" w:rsidRDefault="000578E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87FF9">
        <w:rPr>
          <w:rFonts w:ascii="Times New Roman" w:hAnsi="Times New Roman" w:cs="Times New Roman"/>
          <w:sz w:val="20"/>
          <w:szCs w:val="20"/>
        </w:rPr>
        <w:t>Clinical Oncology Department, Faculty of Medicine</w:t>
      </w:r>
      <w:r w:rsidR="00FB2837" w:rsidRPr="00887FF9">
        <w:rPr>
          <w:rFonts w:ascii="Times New Roman" w:hAnsi="Times New Roman" w:cs="Times New Roman"/>
          <w:sz w:val="20"/>
          <w:szCs w:val="20"/>
        </w:rPr>
        <w:t>,</w:t>
      </w:r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7B7651" w:rsidRPr="00887FF9">
        <w:rPr>
          <w:rFonts w:ascii="Times New Roman" w:hAnsi="Times New Roman" w:cs="Times New Roman"/>
          <w:sz w:val="20"/>
          <w:szCs w:val="20"/>
        </w:rPr>
        <w:t xml:space="preserve">Tanta </w:t>
      </w:r>
      <w:r w:rsidRPr="00887FF9">
        <w:rPr>
          <w:rFonts w:ascii="Times New Roman" w:hAnsi="Times New Roman" w:cs="Times New Roman"/>
          <w:sz w:val="20"/>
          <w:szCs w:val="20"/>
        </w:rPr>
        <w:t>University, Egypt</w:t>
      </w:r>
    </w:p>
    <w:p w:rsidR="007B7651" w:rsidRPr="00887FF9" w:rsidRDefault="000578E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87FF9">
        <w:rPr>
          <w:rFonts w:ascii="Times New Roman" w:eastAsia="MS Mincho" w:hAnsi="Times New Roman" w:cs="Times New Roman"/>
          <w:sz w:val="20"/>
          <w:szCs w:val="20"/>
          <w:vertAlign w:val="superscript"/>
        </w:rPr>
        <w:t>3</w:t>
      </w:r>
      <w:r w:rsidR="00277DA9" w:rsidRPr="00887FF9">
        <w:rPr>
          <w:rFonts w:ascii="Times New Roman" w:eastAsia="MS Mincho" w:hAnsi="Times New Roman" w:cs="Times New Roman"/>
          <w:sz w:val="20"/>
          <w:szCs w:val="20"/>
        </w:rPr>
        <w:t xml:space="preserve">Radiology </w:t>
      </w:r>
      <w:r w:rsidR="00985020" w:rsidRPr="00887FF9">
        <w:rPr>
          <w:rFonts w:ascii="Times New Roman" w:eastAsia="MS Mincho" w:hAnsi="Times New Roman" w:cs="Times New Roman"/>
          <w:sz w:val="20"/>
          <w:szCs w:val="20"/>
        </w:rPr>
        <w:t>D</w:t>
      </w:r>
      <w:r w:rsidR="00277DA9" w:rsidRPr="00887FF9">
        <w:rPr>
          <w:rFonts w:ascii="Times New Roman" w:eastAsia="MS Mincho" w:hAnsi="Times New Roman" w:cs="Times New Roman"/>
          <w:sz w:val="20"/>
          <w:szCs w:val="20"/>
        </w:rPr>
        <w:t>epartment</w:t>
      </w:r>
      <w:r w:rsidRPr="00887FF9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Pr="00887FF9">
        <w:rPr>
          <w:rFonts w:ascii="Times New Roman" w:hAnsi="Times New Roman" w:cs="Times New Roman"/>
          <w:sz w:val="20"/>
          <w:szCs w:val="20"/>
        </w:rPr>
        <w:t>Faculty of Medicine,</w:t>
      </w:r>
      <w:r w:rsidRPr="00887FF9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77DA9" w:rsidRPr="00887FF9">
        <w:rPr>
          <w:rFonts w:ascii="Times New Roman" w:eastAsia="MS Mincho" w:hAnsi="Times New Roman" w:cs="Times New Roman"/>
          <w:sz w:val="20"/>
          <w:szCs w:val="20"/>
        </w:rPr>
        <w:t>Tanta University</w:t>
      </w:r>
      <w:bookmarkStart w:id="0" w:name="_GoBack"/>
      <w:bookmarkEnd w:id="0"/>
      <w:r w:rsidRPr="00887FF9">
        <w:rPr>
          <w:rFonts w:ascii="Times New Roman" w:eastAsia="MS Mincho" w:hAnsi="Times New Roman" w:cs="Times New Roman"/>
          <w:sz w:val="20"/>
          <w:szCs w:val="20"/>
        </w:rPr>
        <w:t>, Egypt</w:t>
      </w:r>
    </w:p>
    <w:p w:rsidR="00A223CF" w:rsidRPr="00887FF9" w:rsidRDefault="00B61640" w:rsidP="002A2F0C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A238BE" w:rsidRPr="00887FF9">
          <w:rPr>
            <w:rStyle w:val="Hyperlink"/>
            <w:rFonts w:ascii="Times New Roman" w:hAnsi="Times New Roman" w:cs="Times New Roman"/>
            <w:sz w:val="20"/>
            <w:szCs w:val="20"/>
          </w:rPr>
          <w:t>e_sadaka@hotmail.com</w:t>
        </w:r>
      </w:hyperlink>
      <w:r w:rsidR="00A238BE"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223CF" w:rsidRPr="00887FF9" w:rsidRDefault="00A223CF" w:rsidP="002A2F0C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7651" w:rsidRPr="00887FF9" w:rsidRDefault="00BD5700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Abstract: </w:t>
      </w:r>
      <w:r w:rsidR="007B7651"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Purpose: </w:t>
      </w:r>
      <w:r w:rsidR="00B812FA" w:rsidRPr="00887FF9">
        <w:rPr>
          <w:rFonts w:ascii="Times New Roman" w:hAnsi="Times New Roman" w:cs="Times New Roman"/>
          <w:sz w:val="20"/>
          <w:szCs w:val="20"/>
        </w:rPr>
        <w:t>Mammographic breast density (MBD)</w:t>
      </w:r>
      <w:r w:rsidR="00A238BE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B812FA" w:rsidRPr="00887FF9">
        <w:rPr>
          <w:rFonts w:ascii="Times New Roman" w:hAnsi="Times New Roman" w:cs="Times New Roman"/>
          <w:sz w:val="20"/>
          <w:szCs w:val="20"/>
        </w:rPr>
        <w:t xml:space="preserve">is one of the strongest breast cancer risk </w:t>
      </w:r>
      <w:r w:rsidR="009A567E" w:rsidRPr="00887FF9">
        <w:rPr>
          <w:rFonts w:ascii="Times New Roman" w:hAnsi="Times New Roman" w:cs="Times New Roman"/>
          <w:sz w:val="20"/>
          <w:szCs w:val="20"/>
        </w:rPr>
        <w:t>factors</w:t>
      </w:r>
      <w:r w:rsidR="009A567E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Dense breast tissue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was demonstrated</w:t>
      </w:r>
      <w:r w:rsidR="009A567E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to increase</w:t>
      </w:r>
      <w:r w:rsidR="00B812FA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the ri</w:t>
      </w:r>
      <w:r w:rsidR="009A567E" w:rsidRPr="00887FF9">
        <w:rPr>
          <w:rFonts w:ascii="Times New Roman" w:hAnsi="Times New Roman" w:cs="Times New Roman"/>
          <w:color w:val="131413"/>
          <w:sz w:val="20"/>
          <w:szCs w:val="20"/>
        </w:rPr>
        <w:t>sk of local</w:t>
      </w:r>
      <w:r w:rsidR="00B812FA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recurrence after modified radical mastectomy</w:t>
      </w:r>
      <w:r w:rsidR="009A567E" w:rsidRPr="00887FF9">
        <w:rPr>
          <w:rFonts w:ascii="Times New Roman" w:hAnsi="Times New Roman" w:cs="Times New Roman"/>
          <w:color w:val="131413"/>
          <w:sz w:val="20"/>
          <w:szCs w:val="20"/>
        </w:rPr>
        <w:t>. The aim of this study was to evaluate MBD as a predictive factor</w:t>
      </w:r>
      <w:r w:rsidR="009A567E" w:rsidRPr="00887FF9">
        <w:rPr>
          <w:rFonts w:ascii="Times New Roman" w:hAnsi="Times New Roman" w:cs="Times New Roman"/>
          <w:sz w:val="20"/>
          <w:szCs w:val="20"/>
        </w:rPr>
        <w:t xml:space="preserve"> for local recurrence in female patients with invasive breast cancer</w:t>
      </w:r>
      <w:r w:rsidR="009A567E"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B7651" w:rsidRPr="00887FF9">
        <w:rPr>
          <w:rFonts w:ascii="Times New Roman" w:hAnsi="Times New Roman" w:cs="Times New Roman"/>
          <w:b/>
          <w:bCs/>
          <w:sz w:val="20"/>
          <w:szCs w:val="20"/>
        </w:rPr>
        <w:t>Methods</w:t>
      </w:r>
      <w:r w:rsidR="007B7651" w:rsidRPr="00887FF9">
        <w:rPr>
          <w:rFonts w:ascii="Times New Roman" w:hAnsi="Times New Roman" w:cs="Times New Roman"/>
          <w:sz w:val="20"/>
          <w:szCs w:val="20"/>
        </w:rPr>
        <w:t xml:space="preserve">: </w:t>
      </w:r>
      <w:r w:rsidR="009A567E" w:rsidRPr="00887FF9">
        <w:rPr>
          <w:rFonts w:ascii="Times New Roman" w:eastAsia="MS Mincho" w:hAnsi="Times New Roman" w:cs="Times New Roman"/>
          <w:sz w:val="20"/>
          <w:szCs w:val="20"/>
        </w:rPr>
        <w:t>Eighty seven</w:t>
      </w:r>
      <w:r w:rsidRPr="00887FF9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B7651" w:rsidRPr="00887FF9">
        <w:rPr>
          <w:rFonts w:ascii="Times New Roman" w:hAnsi="Times New Roman" w:cs="Times New Roman"/>
          <w:sz w:val="20"/>
          <w:szCs w:val="20"/>
        </w:rPr>
        <w:t xml:space="preserve">female patients with </w:t>
      </w:r>
      <w:r w:rsidR="009A567E" w:rsidRPr="00887FF9">
        <w:rPr>
          <w:rFonts w:ascii="Times New Roman" w:hAnsi="Times New Roman" w:cs="Times New Roman"/>
          <w:sz w:val="20"/>
          <w:szCs w:val="20"/>
        </w:rPr>
        <w:t>local recurrence after mastectomy for</w:t>
      </w:r>
      <w:r w:rsidR="006E5D87" w:rsidRPr="00887FF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B7651" w:rsidRPr="00887FF9">
        <w:rPr>
          <w:rFonts w:ascii="Times New Roman" w:hAnsi="Times New Roman" w:cs="Times New Roman"/>
          <w:sz w:val="20"/>
          <w:szCs w:val="20"/>
        </w:rPr>
        <w:t>invasive breast cancer were included in this study</w:t>
      </w:r>
      <w:r w:rsidR="00C311D3" w:rsidRPr="00887FF9">
        <w:rPr>
          <w:rFonts w:ascii="Times New Roman" w:hAnsi="Times New Roman" w:cs="Times New Roman"/>
          <w:sz w:val="20"/>
          <w:szCs w:val="20"/>
        </w:rPr>
        <w:t>. Patient's data were recorded concerning mammographic density, age, menopausal status and tumor features (histological type, grade, size, nodal status, LVI, hormonal receptors status, Ki67 and Her-2/neu)</w:t>
      </w:r>
      <w:r w:rsidR="007B7651" w:rsidRPr="00887FF9">
        <w:rPr>
          <w:rFonts w:ascii="Times New Roman" w:eastAsia="MS Mincho" w:hAnsi="Times New Roman" w:cs="Times New Roman"/>
          <w:sz w:val="20"/>
          <w:szCs w:val="20"/>
        </w:rPr>
        <w:t xml:space="preserve">. </w:t>
      </w:r>
      <w:r w:rsidR="007B7651" w:rsidRPr="00887FF9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007B7651" w:rsidRPr="00887F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="00C311D3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Among all patients, 23 (26.44%) patients had low dense breasts (&lt;25%) while 64 (73.66%) patients had high dense breasts (</w:t>
      </w:r>
      <w:r w:rsidR="005A051E" w:rsidRPr="00887F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≥</w:t>
      </w:r>
      <w:r w:rsidR="00C311D3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25%). 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>Analysis of risk factors associated with local recurrence according to the mean time (in months) showed a significant association between early local relapse (LR) and</w:t>
      </w:r>
      <w:r w:rsidR="006E5D87" w:rsidRPr="00887FF9">
        <w:rPr>
          <w:rFonts w:ascii="Times New Roman" w:hAnsi="Times New Roman" w:cs="Times New Roman" w:hint="eastAsia"/>
          <w:color w:val="131413"/>
          <w:sz w:val="20"/>
          <w:szCs w:val="20"/>
          <w:lang w:eastAsia="zh-CN"/>
        </w:rPr>
        <w:t xml:space="preserve"> 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high MBD </w:t>
      </w:r>
      <w:r w:rsidR="003C41A8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(p&lt;0.001)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age &lt;50 </w:t>
      </w:r>
      <w:r w:rsidR="003C41A8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(p=0.006)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LVI </w:t>
      </w:r>
      <w:r w:rsidR="003C41A8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(p=0.044)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positive </w:t>
      </w:r>
      <w:proofErr w:type="spellStart"/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>axillary</w:t>
      </w:r>
      <w:proofErr w:type="spellEnd"/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nodes </w:t>
      </w:r>
      <w:r w:rsidR="003C41A8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(p=0.014)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and high Ki67 expression </w:t>
      </w:r>
      <w:r w:rsidR="003C41A8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(p=0.007)</w:t>
      </w:r>
      <w:r w:rsidR="003C41A8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3C41A8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 multivariate analysis, MBD was an independent risk factor for LR (p&lt;0.001). Age and nodal status was near significant (p=0.07).</w:t>
      </w:r>
      <w:r w:rsidR="00A223CF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="007B7651" w:rsidRPr="00887FF9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 w:rsidR="003C4A32" w:rsidRPr="00887FF9">
        <w:rPr>
          <w:rFonts w:ascii="Times New Roman" w:eastAsia="Times New Roman" w:hAnsi="Times New Roman" w:cs="Times New Roman"/>
          <w:sz w:val="20"/>
          <w:szCs w:val="20"/>
        </w:rPr>
        <w:t xml:space="preserve"> mammographic breast density</w:t>
      </w:r>
      <w:r w:rsidR="006E5D87" w:rsidRPr="00887FF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D4EFA" w:rsidRPr="00887FF9">
        <w:rPr>
          <w:rFonts w:ascii="Times New Roman" w:eastAsia="Times New Roman" w:hAnsi="Times New Roman" w:cs="Times New Roman"/>
          <w:sz w:val="20"/>
          <w:szCs w:val="20"/>
        </w:rPr>
        <w:t xml:space="preserve">has a significant impact on local recurrence </w:t>
      </w:r>
      <w:r w:rsidR="006D4EFA" w:rsidRPr="00887FF9">
        <w:rPr>
          <w:rFonts w:ascii="Times New Roman" w:hAnsi="Times New Roman" w:cs="Times New Roman"/>
          <w:sz w:val="20"/>
          <w:szCs w:val="20"/>
        </w:rPr>
        <w:t xml:space="preserve">in female patients with invasive breast </w:t>
      </w:r>
      <w:r w:rsidR="00A558A2" w:rsidRPr="00887FF9">
        <w:rPr>
          <w:rFonts w:ascii="Times New Roman" w:hAnsi="Times New Roman" w:cs="Times New Roman"/>
          <w:sz w:val="20"/>
          <w:szCs w:val="20"/>
        </w:rPr>
        <w:t>cancer</w:t>
      </w:r>
      <w:r w:rsidR="00A558A2" w:rsidRPr="00887FF9">
        <w:rPr>
          <w:rFonts w:ascii="Times New Roman" w:eastAsia="Times New Roman" w:hAnsi="Times New Roman" w:cs="Times New Roman"/>
          <w:sz w:val="20"/>
          <w:szCs w:val="20"/>
        </w:rPr>
        <w:t>. Further</w:t>
      </w:r>
      <w:r w:rsidR="007B7651" w:rsidRPr="00887FF9">
        <w:rPr>
          <w:rFonts w:ascii="Times New Roman" w:eastAsia="Times New Roman" w:hAnsi="Times New Roman" w:cs="Times New Roman"/>
          <w:sz w:val="20"/>
          <w:szCs w:val="20"/>
        </w:rPr>
        <w:t xml:space="preserve"> studies</w:t>
      </w:r>
      <w:r w:rsidR="006D4EFA" w:rsidRPr="00887FF9">
        <w:rPr>
          <w:rFonts w:ascii="Times New Roman" w:eastAsia="Times New Roman" w:hAnsi="Times New Roman" w:cs="Times New Roman"/>
          <w:sz w:val="20"/>
          <w:szCs w:val="20"/>
        </w:rPr>
        <w:t xml:space="preserve"> with large number of patients still needed to confirm the predictive value of </w:t>
      </w:r>
      <w:r w:rsidR="006D4EFA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MBD</w:t>
      </w:r>
      <w:r w:rsidR="006D4EFA" w:rsidRPr="00887FF9">
        <w:rPr>
          <w:rFonts w:ascii="Times New Roman" w:eastAsia="Times New Roman" w:hAnsi="Times New Roman" w:cs="Times New Roman"/>
          <w:sz w:val="20"/>
          <w:szCs w:val="20"/>
        </w:rPr>
        <w:t xml:space="preserve"> in the incidence of local recurrence </w:t>
      </w:r>
      <w:r w:rsidR="006D4EFA" w:rsidRPr="00887FF9">
        <w:rPr>
          <w:rFonts w:ascii="Times New Roman" w:hAnsi="Times New Roman" w:cs="Times New Roman"/>
          <w:sz w:val="20"/>
          <w:szCs w:val="20"/>
        </w:rPr>
        <w:t>in female patients with invasive breast cancer</w:t>
      </w:r>
      <w:r w:rsidR="006D4EFA" w:rsidRPr="00887F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A2F0C" w:rsidRPr="00887FF9" w:rsidRDefault="002A2F0C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Emad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Sadaka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Walid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Almorsy</w:t>
      </w:r>
      <w:proofErr w:type="spellEnd"/>
      <w:r w:rsidRPr="00887FF9">
        <w:rPr>
          <w:rFonts w:ascii="Times New Roman" w:hAnsi="Times New Roman" w:cs="Times New Roman"/>
          <w:bCs/>
          <w:sz w:val="20"/>
          <w:szCs w:val="20"/>
        </w:rPr>
        <w:t>,</w:t>
      </w:r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Amr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Albadry</w:t>
      </w:r>
      <w:proofErr w:type="spellEnd"/>
      <w:r w:rsidRPr="00887FF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887FF9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Alsiagy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Ali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Salama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. </w:t>
      </w:r>
      <w:r w:rsidRPr="00887FF9">
        <w:rPr>
          <w:rFonts w:ascii="Times New Roman" w:hAnsi="Times New Roman" w:cs="Times New Roman"/>
          <w:b/>
          <w:bCs/>
          <w:sz w:val="20"/>
          <w:szCs w:val="20"/>
        </w:rPr>
        <w:t>Mammographic Breast Density as a Predictive Factor of Local Recurrence in Female Patients with Invasive Breast Cancer</w:t>
      </w:r>
      <w:r w:rsidRPr="00887FF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887FF9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887FF9">
        <w:rPr>
          <w:rFonts w:ascii="Times New Roman" w:hAnsi="Times New Roman" w:cs="Times New Roman"/>
          <w:sz w:val="20"/>
          <w:szCs w:val="20"/>
        </w:rPr>
        <w:t xml:space="preserve"> 201</w:t>
      </w:r>
      <w:r w:rsidRPr="00887FF9">
        <w:rPr>
          <w:rFonts w:ascii="Times New Roman" w:hAnsi="Times New Roman" w:cs="Times New Roman" w:hint="eastAsia"/>
          <w:sz w:val="20"/>
          <w:szCs w:val="20"/>
        </w:rPr>
        <w:t>8</w:t>
      </w:r>
      <w:r w:rsidRPr="00887FF9">
        <w:rPr>
          <w:rFonts w:ascii="Times New Roman" w:hAnsi="Times New Roman" w:cs="Times New Roman"/>
          <w:sz w:val="20"/>
          <w:szCs w:val="20"/>
        </w:rPr>
        <w:t>;</w:t>
      </w:r>
      <w:r w:rsidRPr="00887FF9">
        <w:rPr>
          <w:rFonts w:ascii="Times New Roman" w:hAnsi="Times New Roman" w:cs="Times New Roman" w:hint="eastAsia"/>
          <w:sz w:val="20"/>
          <w:szCs w:val="20"/>
        </w:rPr>
        <w:t>8</w:t>
      </w:r>
      <w:r w:rsidRPr="00887FF9">
        <w:rPr>
          <w:rFonts w:ascii="Times New Roman" w:hAnsi="Times New Roman" w:cs="Times New Roman"/>
          <w:sz w:val="20"/>
          <w:szCs w:val="20"/>
        </w:rPr>
        <w:t>(</w:t>
      </w:r>
      <w:r w:rsidRPr="00887FF9">
        <w:rPr>
          <w:rFonts w:ascii="Times New Roman" w:hAnsi="Times New Roman" w:cs="Times New Roman" w:hint="eastAsia"/>
          <w:sz w:val="20"/>
          <w:szCs w:val="20"/>
        </w:rPr>
        <w:t>2</w:t>
      </w:r>
      <w:r w:rsidRPr="00887FF9">
        <w:rPr>
          <w:rFonts w:ascii="Times New Roman" w:hAnsi="Times New Roman" w:cs="Times New Roman"/>
          <w:sz w:val="20"/>
          <w:szCs w:val="20"/>
        </w:rPr>
        <w:t>):</w:t>
      </w:r>
      <w:r w:rsidR="00771F91" w:rsidRPr="00887FF9">
        <w:rPr>
          <w:rFonts w:ascii="Times New Roman" w:hAnsi="Times New Roman" w:cs="Times New Roman"/>
          <w:noProof/>
          <w:color w:val="000000"/>
          <w:sz w:val="20"/>
          <w:szCs w:val="20"/>
        </w:rPr>
        <w:t>97-10</w:t>
      </w:r>
      <w:r w:rsidR="00887FF9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1</w:t>
      </w:r>
      <w:r w:rsidRPr="00887FF9">
        <w:rPr>
          <w:rFonts w:ascii="Times New Roman" w:hAnsi="Times New Roman" w:cs="Times New Roman"/>
          <w:sz w:val="20"/>
          <w:szCs w:val="20"/>
        </w:rPr>
        <w:t xml:space="preserve">]. </w:t>
      </w:r>
      <w:r w:rsidRPr="00887FF9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887FF9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887FF9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887FF9">
        <w:rPr>
          <w:rFonts w:ascii="Times New Roman" w:hAnsi="Times New Roman" w:cs="Times New Roman"/>
          <w:sz w:val="20"/>
          <w:szCs w:val="20"/>
        </w:rPr>
        <w:t>.</w:t>
      </w:r>
      <w:r w:rsidRPr="00887FF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87FF9">
        <w:rPr>
          <w:rFonts w:ascii="Times New Roman" w:hAnsi="Times New Roman" w:cs="Times New Roman" w:hint="eastAsia"/>
          <w:sz w:val="20"/>
          <w:szCs w:val="20"/>
          <w:lang w:eastAsia="zh-CN"/>
        </w:rPr>
        <w:t>13</w:t>
      </w:r>
      <w:r w:rsidRPr="00887FF9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887F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887FF9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887FF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cbj0802</w:t>
        </w:r>
        <w:r w:rsidRPr="00887FF9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887FF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8.</w:t>
        </w:r>
        <w:r w:rsidRPr="00887FF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13</w:t>
        </w:r>
      </w:hyperlink>
      <w:r w:rsidRPr="00887F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D5700" w:rsidRPr="00887FF9" w:rsidRDefault="00BD5700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651" w:rsidRPr="00887FF9" w:rsidRDefault="007B7651" w:rsidP="002A2F0C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887FF9">
        <w:rPr>
          <w:rFonts w:ascii="Times New Roman" w:hAnsi="Times New Roman" w:cs="Times New Roman"/>
          <w:sz w:val="20"/>
          <w:szCs w:val="20"/>
        </w:rPr>
        <w:t>: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9A567E" w:rsidRPr="00887FF9">
        <w:rPr>
          <w:rFonts w:ascii="Times New Roman" w:hAnsi="Times New Roman" w:cs="Times New Roman"/>
          <w:sz w:val="20"/>
          <w:szCs w:val="20"/>
        </w:rPr>
        <w:t>Mammographic Breast density, local recurrence, prediction.</w:t>
      </w:r>
    </w:p>
    <w:p w:rsidR="007B7651" w:rsidRPr="00887FF9" w:rsidRDefault="007B7651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i/>
          <w:iCs/>
          <w:sz w:val="20"/>
          <w:szCs w:val="20"/>
        </w:rPr>
      </w:pPr>
    </w:p>
    <w:p w:rsidR="002A2F0C" w:rsidRPr="00887FF9" w:rsidRDefault="002A2F0C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0"/>
          <w:szCs w:val="20"/>
        </w:rPr>
        <w:sectPr w:rsidR="002A2F0C" w:rsidRPr="00887FF9" w:rsidSect="00771F91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97"/>
          <w:cols w:space="720"/>
          <w:bidi/>
          <w:docGrid w:linePitch="360"/>
        </w:sectPr>
      </w:pPr>
    </w:p>
    <w:p w:rsidR="00391EA5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0"/>
          <w:szCs w:val="20"/>
        </w:rPr>
      </w:pPr>
      <w:r w:rsidRPr="00887FF9">
        <w:rPr>
          <w:rFonts w:ascii="Times New Roman" w:eastAsia="MinionPro-Regular" w:hAnsi="Times New Roman" w:cs="Times New Roman"/>
          <w:b/>
          <w:bCs/>
          <w:sz w:val="20"/>
          <w:szCs w:val="20"/>
        </w:rPr>
        <w:lastRenderedPageBreak/>
        <w:t>Introduction</w:t>
      </w:r>
    </w:p>
    <w:p w:rsidR="00D45371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887FF9">
        <w:rPr>
          <w:rFonts w:ascii="Times New Roman" w:eastAsia="MinionPro-Regular" w:hAnsi="Times New Roman" w:cs="Times New Roman"/>
          <w:sz w:val="20"/>
          <w:szCs w:val="20"/>
        </w:rPr>
        <w:t xml:space="preserve">Breast cancer the most common </w:t>
      </w:r>
      <w:r w:rsidR="008421C7" w:rsidRPr="00887FF9">
        <w:rPr>
          <w:rFonts w:ascii="Times New Roman" w:eastAsia="MinionPro-Regular" w:hAnsi="Times New Roman" w:cs="Times New Roman"/>
          <w:sz w:val="20"/>
          <w:szCs w:val="20"/>
        </w:rPr>
        <w:t xml:space="preserve">leading cause of cancer related death and cancer </w:t>
      </w:r>
      <w:r w:rsidRPr="00887FF9">
        <w:rPr>
          <w:rFonts w:ascii="Times New Roman" w:eastAsia="MinionPro-Regular" w:hAnsi="Times New Roman" w:cs="Times New Roman"/>
          <w:sz w:val="20"/>
          <w:szCs w:val="20"/>
        </w:rPr>
        <w:t>in women</w:t>
      </w:r>
      <w:r w:rsidR="00A223CF" w:rsidRPr="00887FF9">
        <w:rPr>
          <w:rFonts w:ascii="Times New Roman" w:eastAsia="MinionPro-Regular" w:hAnsi="Times New Roman" w:cs="Times New Roman"/>
          <w:b/>
          <w:bCs/>
          <w:sz w:val="20"/>
          <w:szCs w:val="20"/>
          <w:vertAlign w:val="superscript"/>
        </w:rPr>
        <w:t xml:space="preserve">. </w:t>
      </w:r>
      <w:r w:rsidR="00A223CF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</w:t>
      </w:r>
      <w:r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1]</w:t>
      </w:r>
      <w:r w:rsidRPr="00887FF9">
        <w:rPr>
          <w:rFonts w:ascii="Times New Roman" w:eastAsia="MinionPro-Regular" w:hAnsi="Times New Roman" w:cs="Times New Roman"/>
          <w:sz w:val="20"/>
          <w:szCs w:val="20"/>
        </w:rPr>
        <w:t xml:space="preserve"> Mammography </w:t>
      </w:r>
      <w:r w:rsidR="00CE1336" w:rsidRPr="00887FF9">
        <w:rPr>
          <w:rFonts w:ascii="Times New Roman" w:eastAsia="MinionPro-Regular" w:hAnsi="Times New Roman" w:cs="Times New Roman"/>
          <w:sz w:val="20"/>
          <w:szCs w:val="20"/>
        </w:rPr>
        <w:t>one of the tools</w:t>
      </w:r>
      <w:r w:rsidRPr="00887FF9">
        <w:rPr>
          <w:rFonts w:ascii="Times New Roman" w:eastAsia="MinionPro-Regular" w:hAnsi="Times New Roman" w:cs="Times New Roman"/>
          <w:sz w:val="20"/>
          <w:szCs w:val="20"/>
        </w:rPr>
        <w:t xml:space="preserve"> in the diagnosis of breast cancer and is currently considered to be the primary investigative modality.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CE1336" w:rsidRPr="00887FF9">
        <w:rPr>
          <w:rFonts w:ascii="Times New Roman" w:hAnsi="Times New Roman" w:cs="Times New Roman"/>
          <w:sz w:val="20"/>
          <w:szCs w:val="20"/>
        </w:rPr>
        <w:t>Mammographic breast density changed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CE1336" w:rsidRPr="00887FF9">
        <w:rPr>
          <w:rFonts w:ascii="Times New Roman" w:hAnsi="Times New Roman" w:cs="Times New Roman"/>
          <w:sz w:val="20"/>
          <w:szCs w:val="20"/>
        </w:rPr>
        <w:t>by</w:t>
      </w:r>
      <w:r w:rsidRPr="00887FF9">
        <w:rPr>
          <w:rFonts w:ascii="Times New Roman" w:hAnsi="Times New Roman" w:cs="Times New Roman"/>
          <w:sz w:val="20"/>
          <w:szCs w:val="20"/>
        </w:rPr>
        <w:t xml:space="preserve"> time and is </w:t>
      </w:r>
      <w:r w:rsidR="00CE1336" w:rsidRPr="00887FF9">
        <w:rPr>
          <w:rFonts w:ascii="Times New Roman" w:hAnsi="Times New Roman" w:cs="Times New Roman"/>
          <w:sz w:val="20"/>
          <w:szCs w:val="20"/>
        </w:rPr>
        <w:t>affected</w:t>
      </w:r>
      <w:r w:rsidRPr="00887FF9">
        <w:rPr>
          <w:rFonts w:ascii="Times New Roman" w:hAnsi="Times New Roman" w:cs="Times New Roman"/>
          <w:sz w:val="20"/>
          <w:szCs w:val="20"/>
        </w:rPr>
        <w:t xml:space="preserve"> by ge</w:t>
      </w:r>
      <w:r w:rsidR="00CE1336" w:rsidRPr="00887FF9">
        <w:rPr>
          <w:rFonts w:ascii="Times New Roman" w:hAnsi="Times New Roman" w:cs="Times New Roman"/>
          <w:sz w:val="20"/>
          <w:szCs w:val="20"/>
        </w:rPr>
        <w:t>netic factors.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CE1336" w:rsidRPr="00887FF9">
        <w:rPr>
          <w:rFonts w:ascii="Times New Roman" w:hAnsi="Times New Roman" w:cs="Times New Roman"/>
          <w:sz w:val="20"/>
          <w:szCs w:val="20"/>
        </w:rPr>
        <w:t xml:space="preserve">It </w:t>
      </w:r>
      <w:r w:rsidRPr="00887FF9">
        <w:rPr>
          <w:rFonts w:ascii="Times New Roman" w:hAnsi="Times New Roman" w:cs="Times New Roman"/>
          <w:sz w:val="20"/>
          <w:szCs w:val="20"/>
        </w:rPr>
        <w:t xml:space="preserve">decreases with age, and by </w:t>
      </w:r>
      <w:r w:rsidR="00CE1336" w:rsidRPr="00887FF9">
        <w:rPr>
          <w:rFonts w:ascii="Times New Roman" w:hAnsi="Times New Roman" w:cs="Times New Roman"/>
          <w:sz w:val="20"/>
          <w:szCs w:val="20"/>
        </w:rPr>
        <w:t xml:space="preserve">menopause and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multiparity</w:t>
      </w:r>
      <w:proofErr w:type="spellEnd"/>
      <w:r w:rsidR="0027579B" w:rsidRPr="00887FF9">
        <w:rPr>
          <w:rFonts w:ascii="Times New Roman" w:hAnsi="Times New Roman" w:cs="Times New Roman"/>
          <w:sz w:val="20"/>
          <w:szCs w:val="20"/>
        </w:rPr>
        <w:t>.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27579B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[2,3]</w:t>
      </w:r>
    </w:p>
    <w:p w:rsidR="00D45371" w:rsidRPr="00887FF9" w:rsidRDefault="0027579B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Breast density</w:t>
      </w:r>
      <w:r w:rsidR="006204C0" w:rsidRPr="00887FF9">
        <w:rPr>
          <w:rFonts w:ascii="Times New Roman" w:hAnsi="Times New Roman" w:cs="Times New Roman"/>
          <w:sz w:val="20"/>
          <w:szCs w:val="20"/>
        </w:rPr>
        <w:t xml:space="preserve">, 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refers to the </w:t>
      </w:r>
      <w:r w:rsidR="00CE1336" w:rsidRPr="00887FF9">
        <w:rPr>
          <w:rFonts w:ascii="Times New Roman" w:hAnsi="Times New Roman" w:cs="Times New Roman"/>
          <w:sz w:val="20"/>
          <w:szCs w:val="20"/>
        </w:rPr>
        <w:t>appearance of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CE1336" w:rsidRPr="00887FF9">
        <w:rPr>
          <w:rFonts w:ascii="Times New Roman" w:hAnsi="Times New Roman" w:cs="Times New Roman"/>
          <w:sz w:val="20"/>
          <w:szCs w:val="20"/>
        </w:rPr>
        <w:t>radiographs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6204C0" w:rsidRPr="00887FF9">
        <w:rPr>
          <w:rFonts w:ascii="Times New Roman" w:hAnsi="Times New Roman" w:cs="Times New Roman"/>
          <w:sz w:val="20"/>
          <w:szCs w:val="20"/>
        </w:rPr>
        <w:t>of breast.</w:t>
      </w:r>
      <w:r w:rsidR="006204C0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[</w:t>
      </w:r>
      <w:r w:rsidR="00391EA5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5,6]</w:t>
      </w:r>
      <w:r w:rsidR="00CE1336" w:rsidRPr="00887FF9">
        <w:rPr>
          <w:rFonts w:ascii="Times New Roman" w:hAnsi="Times New Roman" w:cs="Times New Roman"/>
          <w:sz w:val="20"/>
          <w:szCs w:val="20"/>
        </w:rPr>
        <w:t xml:space="preserve">Radiolucent 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Fat, appears dark on a mammogram. Epithelial and fibrous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stromal</w:t>
      </w:r>
      <w:proofErr w:type="spellEnd"/>
      <w:r w:rsidR="00391EA5" w:rsidRPr="00887FF9">
        <w:rPr>
          <w:rFonts w:ascii="Times New Roman" w:hAnsi="Times New Roman" w:cs="Times New Roman"/>
          <w:sz w:val="20"/>
          <w:szCs w:val="20"/>
        </w:rPr>
        <w:t xml:space="preserve"> tissues, on the other hand, appear white or radio dense and are collectively referred to as mammographic density. </w:t>
      </w:r>
      <w:r w:rsidR="00CE1336" w:rsidRPr="00887FF9">
        <w:rPr>
          <w:rFonts w:ascii="Times New Roman" w:hAnsi="Times New Roman" w:cs="Times New Roman"/>
          <w:sz w:val="20"/>
          <w:szCs w:val="20"/>
        </w:rPr>
        <w:t>H</w:t>
      </w:r>
      <w:r w:rsidR="00B812FA" w:rsidRPr="00887FF9">
        <w:rPr>
          <w:rFonts w:ascii="Times New Roman" w:hAnsi="Times New Roman" w:cs="Times New Roman"/>
          <w:sz w:val="20"/>
          <w:szCs w:val="20"/>
        </w:rPr>
        <w:t>igh m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ammographic density is inversely associated with age and body weight and can be measured </w:t>
      </w:r>
      <w:proofErr w:type="spellStart"/>
      <w:r w:rsidR="00CE1336" w:rsidRPr="00887FF9">
        <w:rPr>
          <w:rFonts w:ascii="Times New Roman" w:hAnsi="Times New Roman" w:cs="Times New Roman"/>
          <w:sz w:val="20"/>
          <w:szCs w:val="20"/>
        </w:rPr>
        <w:t>inquantitative</w:t>
      </w:r>
      <w:proofErr w:type="spellEnd"/>
      <w:r w:rsidR="00CE1336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and </w:t>
      </w:r>
      <w:r w:rsidR="00CE1336" w:rsidRPr="00887FF9">
        <w:rPr>
          <w:rFonts w:ascii="Times New Roman" w:hAnsi="Times New Roman" w:cs="Times New Roman"/>
          <w:sz w:val="20"/>
          <w:szCs w:val="20"/>
        </w:rPr>
        <w:t>qualitative manners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. </w:t>
      </w:r>
      <w:r w:rsidR="00A223CF" w:rsidRPr="00887FF9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391EA5" w:rsidRPr="00887FF9">
        <w:rPr>
          <w:rFonts w:ascii="Times New Roman" w:hAnsi="Times New Roman" w:cs="Times New Roman"/>
          <w:sz w:val="20"/>
          <w:szCs w:val="20"/>
          <w:vertAlign w:val="superscript"/>
        </w:rPr>
        <w:t>4]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5371" w:rsidRPr="00887FF9" w:rsidRDefault="00BD5700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Patients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with </w:t>
      </w:r>
      <w:r w:rsidR="00D45371" w:rsidRPr="00887FF9">
        <w:rPr>
          <w:rFonts w:ascii="Times New Roman" w:hAnsi="Times New Roman" w:cs="Times New Roman"/>
          <w:sz w:val="20"/>
          <w:szCs w:val="20"/>
        </w:rPr>
        <w:t>very low density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were associated with a </w:t>
      </w:r>
      <w:r w:rsidR="008421C7" w:rsidRPr="00887FF9">
        <w:rPr>
          <w:rFonts w:ascii="Times New Roman" w:hAnsi="Times New Roman" w:cs="Times New Roman"/>
          <w:sz w:val="20"/>
          <w:szCs w:val="20"/>
        </w:rPr>
        <w:t>poor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prognosis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. </w:t>
      </w:r>
      <w:r w:rsidR="00A223CF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</w:t>
      </w:r>
      <w:r w:rsidR="006204C0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7- 9]</w:t>
      </w:r>
      <w:r w:rsidR="00E14009" w:rsidRPr="00887FF9">
        <w:rPr>
          <w:rFonts w:ascii="Times New Roman" w:hAnsi="Times New Roman" w:cs="Times New Roman"/>
          <w:color w:val="131413"/>
          <w:sz w:val="20"/>
          <w:szCs w:val="20"/>
        </w:rPr>
        <w:t>Density has many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mechanisms </w:t>
      </w:r>
      <w:r w:rsidR="00E14009" w:rsidRPr="00887FF9">
        <w:rPr>
          <w:rFonts w:ascii="Times New Roman" w:hAnsi="Times New Roman" w:cs="Times New Roman"/>
          <w:color w:val="131413"/>
          <w:sz w:val="20"/>
          <w:szCs w:val="20"/>
        </w:rPr>
        <w:t>that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could affect </w:t>
      </w:r>
      <w:r w:rsidR="00E14009" w:rsidRPr="00887FF9">
        <w:rPr>
          <w:rFonts w:ascii="Times New Roman" w:hAnsi="Times New Roman" w:cs="Times New Roman"/>
          <w:color w:val="131413"/>
          <w:sz w:val="20"/>
          <w:szCs w:val="20"/>
        </w:rPr>
        <w:t>prognosis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6204C0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The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MBD has consistently been associated with breast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stromal</w:t>
      </w:r>
      <w:proofErr w:type="spellEnd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composition, which is involved in tumor progression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[</w:t>
      </w:r>
      <w:r w:rsidR="006204C0"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10-13]</w:t>
      </w:r>
    </w:p>
    <w:p w:rsidR="00391EA5" w:rsidRPr="00887FF9" w:rsidRDefault="00E6242B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color w:val="131413"/>
          <w:sz w:val="20"/>
          <w:szCs w:val="20"/>
        </w:rPr>
        <w:t>T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he primary treatment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for local breast cancer </w:t>
      </w:r>
      <w:r w:rsidR="00BD5700" w:rsidRPr="00887FF9">
        <w:rPr>
          <w:rFonts w:ascii="Times New Roman" w:hAnsi="Times New Roman" w:cs="Times New Roman"/>
          <w:color w:val="131413"/>
          <w:sz w:val="20"/>
          <w:szCs w:val="20"/>
        </w:rPr>
        <w:t>is modified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radical mastectomy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[</w:t>
      </w:r>
      <w:r w:rsidR="006204C0"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14,15]</w:t>
      </w:r>
      <w:r w:rsidR="002E7B69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N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early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10%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of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lastRenderedPageBreak/>
        <w:t>patients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had MRM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are at risk of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locoregional</w:t>
      </w:r>
      <w:proofErr w:type="spellEnd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recurrence (LRR), and a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25%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of patients are at risk of developing distant metastases during follow up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[</w:t>
      </w:r>
      <w:r w:rsidR="006204C0"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16]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Huang et al evaluated MBD as a predictive for </w:t>
      </w:r>
      <w:r w:rsidRPr="00887FF9">
        <w:rPr>
          <w:rFonts w:ascii="Times New Roman" w:hAnsi="Times New Roman" w:cs="Times New Roman"/>
          <w:sz w:val="20"/>
          <w:szCs w:val="20"/>
        </w:rPr>
        <w:t>LRR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in patients with</w:t>
      </w:r>
      <w:r w:rsidRPr="00887FF9">
        <w:rPr>
          <w:rFonts w:ascii="Times New Roman" w:hAnsi="Times New Roman" w:cs="Times New Roman"/>
          <w:sz w:val="20"/>
          <w:szCs w:val="20"/>
        </w:rPr>
        <w:t xml:space="preserve"> invasive breast cancer and</w:t>
      </w:r>
      <w:r w:rsidR="00887FF9" w:rsidRPr="00887FF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found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that dense breast tissue increased the risk of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locoregional</w:t>
      </w:r>
      <w:proofErr w:type="spellEnd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recurrence after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MRM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A223CF" w:rsidRPr="00887FF9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391EA5" w:rsidRPr="00887FF9">
        <w:rPr>
          <w:rFonts w:ascii="Times New Roman" w:hAnsi="Times New Roman" w:cs="Times New Roman"/>
          <w:sz w:val="20"/>
          <w:szCs w:val="20"/>
          <w:vertAlign w:val="superscript"/>
        </w:rPr>
        <w:t>17]</w:t>
      </w:r>
      <w:r w:rsidR="00A223CF" w:rsidRPr="00887FF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BD5700" w:rsidRPr="00887FF9" w:rsidRDefault="00BD5700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91EA5" w:rsidRPr="00887FF9" w:rsidRDefault="00BD5700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391EA5" w:rsidRPr="00887FF9">
        <w:rPr>
          <w:rFonts w:ascii="Times New Roman" w:hAnsi="Times New Roman" w:cs="Times New Roman"/>
          <w:b/>
          <w:bCs/>
          <w:sz w:val="20"/>
          <w:szCs w:val="20"/>
        </w:rPr>
        <w:t xml:space="preserve">Material and </w:t>
      </w:r>
      <w:r w:rsidRPr="00887FF9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:rsidR="009B67E8" w:rsidRPr="00887FF9" w:rsidRDefault="00E6242B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Eighty seven</w:t>
      </w:r>
      <w:r w:rsidR="00846027" w:rsidRPr="00887FF9">
        <w:rPr>
          <w:rFonts w:ascii="Times New Roman" w:hAnsi="Times New Roman" w:cs="Times New Roman"/>
          <w:sz w:val="20"/>
          <w:szCs w:val="20"/>
        </w:rPr>
        <w:t xml:space="preserve"> (</w:t>
      </w:r>
      <w:r w:rsidR="006204C0" w:rsidRPr="00887FF9">
        <w:rPr>
          <w:rFonts w:ascii="Times New Roman" w:hAnsi="Times New Roman" w:cs="Times New Roman"/>
          <w:sz w:val="20"/>
          <w:szCs w:val="20"/>
        </w:rPr>
        <w:t>87</w:t>
      </w:r>
      <w:r w:rsidR="00BD5700" w:rsidRPr="00887FF9">
        <w:rPr>
          <w:rFonts w:ascii="Times New Roman" w:hAnsi="Times New Roman" w:cs="Times New Roman"/>
          <w:sz w:val="20"/>
          <w:szCs w:val="20"/>
        </w:rPr>
        <w:t>)</w:t>
      </w:r>
      <w:r w:rsidR="00BD5700" w:rsidRPr="00887FF9">
        <w:rPr>
          <w:rFonts w:ascii="Times New Roman" w:eastAsia="MinionPro-Regular" w:hAnsi="Times New Roman" w:cs="Times New Roman"/>
          <w:sz w:val="20"/>
          <w:szCs w:val="20"/>
        </w:rPr>
        <w:t xml:space="preserve"> patients</w:t>
      </w:r>
      <w:r w:rsidR="00846027" w:rsidRPr="00887FF9">
        <w:rPr>
          <w:rFonts w:ascii="Times New Roman" w:hAnsi="Times New Roman" w:cs="Times New Roman"/>
          <w:sz w:val="20"/>
          <w:szCs w:val="20"/>
        </w:rPr>
        <w:t xml:space="preserve"> with invasive breast 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were </w:t>
      </w:r>
      <w:r w:rsidR="00BD5700" w:rsidRPr="00887FF9">
        <w:rPr>
          <w:rFonts w:ascii="Times New Roman" w:hAnsi="Times New Roman" w:cs="Times New Roman"/>
          <w:sz w:val="20"/>
          <w:szCs w:val="20"/>
        </w:rPr>
        <w:t>included out</w:t>
      </w:r>
      <w:r w:rsidR="00846027" w:rsidRPr="00887FF9">
        <w:rPr>
          <w:rFonts w:ascii="Times New Roman" w:hAnsi="Times New Roman" w:cs="Times New Roman"/>
          <w:sz w:val="20"/>
          <w:szCs w:val="20"/>
        </w:rPr>
        <w:t xml:space="preserve"> of </w:t>
      </w:r>
      <w:r w:rsidR="00391EA5" w:rsidRPr="00887FF9">
        <w:rPr>
          <w:rFonts w:ascii="Times New Roman" w:hAnsi="Times New Roman" w:cs="Times New Roman"/>
          <w:sz w:val="20"/>
          <w:szCs w:val="20"/>
        </w:rPr>
        <w:t>diagnosed</w:t>
      </w:r>
      <w:r w:rsidR="00846027" w:rsidRPr="00887FF9">
        <w:rPr>
          <w:rFonts w:ascii="Times New Roman" w:hAnsi="Times New Roman" w:cs="Times New Roman"/>
          <w:sz w:val="20"/>
          <w:szCs w:val="20"/>
        </w:rPr>
        <w:t xml:space="preserve"> patients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in clinical oncology department, Tanta university hospital in the period from December 2012 to December 2017. Patients with invasive breast carcinoma who experienced </w:t>
      </w:r>
      <w:r w:rsidR="005A051E" w:rsidRPr="00887FF9">
        <w:rPr>
          <w:rFonts w:ascii="Times New Roman" w:hAnsi="Times New Roman" w:cs="Times New Roman"/>
          <w:sz w:val="20"/>
          <w:szCs w:val="20"/>
        </w:rPr>
        <w:t>loc</w:t>
      </w:r>
      <w:r w:rsidR="00391EA5" w:rsidRPr="00887FF9">
        <w:rPr>
          <w:rFonts w:ascii="Times New Roman" w:hAnsi="Times New Roman" w:cs="Times New Roman"/>
          <w:sz w:val="20"/>
          <w:szCs w:val="20"/>
        </w:rPr>
        <w:t>al relapse</w:t>
      </w:r>
      <w:r w:rsidR="00A67C2A" w:rsidRPr="00887FF9">
        <w:rPr>
          <w:rFonts w:ascii="Times New Roman" w:hAnsi="Times New Roman" w:cs="Times New Roman"/>
          <w:sz w:val="20"/>
          <w:szCs w:val="20"/>
        </w:rPr>
        <w:t xml:space="preserve"> (</w:t>
      </w:r>
      <w:r w:rsidR="005A051E" w:rsidRPr="00887FF9">
        <w:rPr>
          <w:rFonts w:ascii="Times New Roman" w:hAnsi="Times New Roman" w:cs="Times New Roman"/>
          <w:sz w:val="20"/>
          <w:szCs w:val="20"/>
        </w:rPr>
        <w:t>LR</w:t>
      </w:r>
      <w:r w:rsidR="00A67C2A" w:rsidRPr="00887FF9">
        <w:rPr>
          <w:rFonts w:ascii="Times New Roman" w:hAnsi="Times New Roman" w:cs="Times New Roman"/>
          <w:sz w:val="20"/>
          <w:szCs w:val="20"/>
        </w:rPr>
        <w:t>)</w:t>
      </w:r>
      <w:r w:rsidR="00391EA5" w:rsidRPr="00887FF9">
        <w:rPr>
          <w:rFonts w:ascii="Times New Roman" w:hAnsi="Times New Roman" w:cs="Times New Roman"/>
          <w:sz w:val="20"/>
          <w:szCs w:val="20"/>
        </w:rPr>
        <w:t xml:space="preserve"> after modified radical mastectomy were included. Patients with unavailable pretrea</w:t>
      </w:r>
      <w:r w:rsidR="00D45371" w:rsidRPr="00887FF9">
        <w:rPr>
          <w:rFonts w:ascii="Times New Roman" w:hAnsi="Times New Roman" w:cs="Times New Roman"/>
          <w:sz w:val="20"/>
          <w:szCs w:val="20"/>
        </w:rPr>
        <w:t xml:space="preserve">tment mammography were excluded. </w:t>
      </w:r>
      <w:r w:rsidR="00391EA5" w:rsidRPr="00887FF9">
        <w:rPr>
          <w:rFonts w:ascii="Times New Roman" w:hAnsi="Times New Roman" w:cs="Times New Roman"/>
          <w:sz w:val="20"/>
          <w:szCs w:val="20"/>
        </w:rPr>
        <w:t>Information's were recorded concerning mammographic density, age, menopausal status and tumor features (histological type, grade, size, nodal status, LVI, hormonal receptors status, Ki67 and Her-2/neu).</w:t>
      </w:r>
      <w:r w:rsidR="00BD5700" w:rsidRPr="00887FF9">
        <w:rPr>
          <w:rFonts w:ascii="Times New Roman" w:eastAsia="MinionPro-Regular" w:hAnsi="Times New Roman" w:cs="Times New Roman"/>
          <w:sz w:val="20"/>
          <w:szCs w:val="20"/>
        </w:rPr>
        <w:t xml:space="preserve"> </w:t>
      </w:r>
      <w:r w:rsidR="00846027" w:rsidRPr="00887FF9">
        <w:rPr>
          <w:rFonts w:ascii="Times New Roman" w:eastAsia="MinionPro-Regular" w:hAnsi="Times New Roman" w:cs="Times New Roman"/>
          <w:sz w:val="20"/>
          <w:szCs w:val="20"/>
        </w:rPr>
        <w:t xml:space="preserve">Mammographic density </w:t>
      </w:r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 xml:space="preserve">was </w:t>
      </w:r>
      <w:r w:rsidR="00846027" w:rsidRPr="00887FF9">
        <w:rPr>
          <w:rFonts w:ascii="Times New Roman" w:eastAsia="MinionPro-Regular" w:hAnsi="Times New Roman" w:cs="Times New Roman"/>
          <w:sz w:val="20"/>
          <w:szCs w:val="20"/>
        </w:rPr>
        <w:t>calculated</w:t>
      </w:r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 xml:space="preserve"> visually using the </w:t>
      </w:r>
      <w:proofErr w:type="spellStart"/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>craniocaudal</w:t>
      </w:r>
      <w:proofErr w:type="spellEnd"/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 xml:space="preserve"> projections of the original diagnostic mammograms. </w:t>
      </w:r>
      <w:r w:rsidR="00877001" w:rsidRPr="00887FF9">
        <w:rPr>
          <w:rFonts w:ascii="Times New Roman" w:eastAsia="MinionPro-Regular" w:hAnsi="Times New Roman" w:cs="Times New Roman"/>
          <w:sz w:val="20"/>
          <w:szCs w:val="20"/>
        </w:rPr>
        <w:t>T</w:t>
      </w:r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 xml:space="preserve">o minimize </w:t>
      </w:r>
      <w:r w:rsidR="00877001" w:rsidRPr="00887FF9">
        <w:rPr>
          <w:rFonts w:ascii="Times New Roman" w:eastAsia="MinionPro-Regular" w:hAnsi="Times New Roman" w:cs="Times New Roman"/>
          <w:sz w:val="20"/>
          <w:szCs w:val="20"/>
        </w:rPr>
        <w:t>error</w:t>
      </w:r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 xml:space="preserve">, tow radiologists </w:t>
      </w:r>
      <w:r w:rsidR="00877001" w:rsidRPr="00887FF9">
        <w:rPr>
          <w:rFonts w:ascii="Times New Roman" w:eastAsia="MinionPro-Regular" w:hAnsi="Times New Roman" w:cs="Times New Roman"/>
          <w:sz w:val="20"/>
          <w:szCs w:val="20"/>
        </w:rPr>
        <w:t>share</w:t>
      </w:r>
      <w:r w:rsidR="009B67E8" w:rsidRPr="00887FF9">
        <w:rPr>
          <w:rFonts w:ascii="Times New Roman" w:eastAsia="MinionPro-Regular" w:hAnsi="Times New Roman" w:cs="Times New Roman"/>
          <w:sz w:val="20"/>
          <w:szCs w:val="20"/>
        </w:rPr>
        <w:t xml:space="preserve"> in the analysis. </w:t>
      </w:r>
      <w:r w:rsidR="009B67E8" w:rsidRPr="00887FF9">
        <w:rPr>
          <w:rFonts w:ascii="Times New Roman" w:hAnsi="Times New Roman" w:cs="Times New Roman"/>
          <w:sz w:val="20"/>
          <w:szCs w:val="20"/>
        </w:rPr>
        <w:t xml:space="preserve">Patients were </w:t>
      </w:r>
      <w:r w:rsidR="00846027" w:rsidRPr="00887FF9">
        <w:rPr>
          <w:rFonts w:ascii="Times New Roman" w:hAnsi="Times New Roman" w:cs="Times New Roman"/>
          <w:sz w:val="20"/>
          <w:szCs w:val="20"/>
        </w:rPr>
        <w:lastRenderedPageBreak/>
        <w:t>classified according to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846027" w:rsidRPr="00887FF9">
        <w:rPr>
          <w:rFonts w:ascii="Times New Roman" w:hAnsi="Times New Roman" w:cs="Times New Roman"/>
          <w:sz w:val="20"/>
          <w:szCs w:val="20"/>
        </w:rPr>
        <w:t>Wolfe classification of mammographic.</w:t>
      </w:r>
      <w:r w:rsidR="002E7B69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9B67E8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[10</w:t>
      </w:r>
      <w:r w:rsidR="00846027" w:rsidRPr="00887FF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] </w:t>
      </w:r>
      <w:r w:rsidR="00846027" w:rsidRPr="00887FF9">
        <w:rPr>
          <w:rFonts w:ascii="Times New Roman" w:hAnsi="Times New Roman" w:cs="Times New Roman"/>
          <w:sz w:val="20"/>
          <w:szCs w:val="20"/>
        </w:rPr>
        <w:t xml:space="preserve">they were classified </w:t>
      </w:r>
      <w:r w:rsidR="009B67E8" w:rsidRPr="00887FF9">
        <w:rPr>
          <w:rFonts w:ascii="Times New Roman" w:hAnsi="Times New Roman" w:cs="Times New Roman"/>
          <w:sz w:val="20"/>
          <w:szCs w:val="20"/>
        </w:rPr>
        <w:t>as low (&lt;25% density</w:t>
      </w:r>
      <w:r w:rsidR="002A2F0C" w:rsidRPr="00887FF9">
        <w:rPr>
          <w:rFonts w:ascii="Times New Roman" w:hAnsi="Times New Roman" w:cs="Times New Roman"/>
          <w:sz w:val="20"/>
          <w:szCs w:val="20"/>
        </w:rPr>
        <w:t>) a</w:t>
      </w:r>
      <w:r w:rsidR="00846027" w:rsidRPr="00887FF9">
        <w:rPr>
          <w:rFonts w:ascii="Times New Roman" w:hAnsi="Times New Roman" w:cs="Times New Roman"/>
          <w:sz w:val="20"/>
          <w:szCs w:val="20"/>
        </w:rPr>
        <w:t>nd</w:t>
      </w:r>
      <w:r w:rsidR="00C311D3" w:rsidRPr="00887FF9">
        <w:rPr>
          <w:rFonts w:ascii="Times New Roman" w:hAnsi="Times New Roman" w:cs="Times New Roman"/>
          <w:sz w:val="20"/>
          <w:szCs w:val="20"/>
        </w:rPr>
        <w:t xml:space="preserve"> high (&gt;25</w:t>
      </w:r>
      <w:r w:rsidR="009B67E8" w:rsidRPr="00887FF9">
        <w:rPr>
          <w:rFonts w:ascii="Times New Roman" w:hAnsi="Times New Roman" w:cs="Times New Roman"/>
          <w:sz w:val="20"/>
          <w:szCs w:val="20"/>
        </w:rPr>
        <w:t>% density).</w:t>
      </w:r>
    </w:p>
    <w:p w:rsidR="00B812FA" w:rsidRPr="00887FF9" w:rsidRDefault="00B812FA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>Statistical analysis:</w:t>
      </w:r>
    </w:p>
    <w:p w:rsidR="000445C1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Descriptive characteristics were compared using the chi-</w:t>
      </w:r>
      <w:r w:rsidR="00A67C2A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squared test.</w:t>
      </w:r>
      <w:r w:rsidR="00BD5700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67C2A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 multivariate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analysis </w:t>
      </w:r>
      <w:r w:rsidR="00A67C2A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was assessed 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using logistic regression model. Mann- </w:t>
      </w:r>
      <w:r w:rsidR="0063003C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Whitney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test used to evaluate the potentia</w:t>
      </w:r>
      <w:r w:rsidR="00A67C2A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 risk factors fo</w:t>
      </w:r>
      <w:r w:rsidR="002A2F0C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r </w:t>
      </w:r>
      <w:r w:rsidR="002A2F0C" w:rsidRPr="00887FF9">
        <w:rPr>
          <w:rFonts w:ascii="Times New Roman" w:eastAsiaTheme="minorHAnsi" w:hAnsi="Times New Roman" w:cs="Times New Roman"/>
          <w:sz w:val="20"/>
          <w:szCs w:val="20"/>
        </w:rPr>
        <w:t>L</w:t>
      </w:r>
      <w:r w:rsidR="00A558A2" w:rsidRPr="00887FF9">
        <w:rPr>
          <w:rFonts w:ascii="Times New Roman" w:eastAsiaTheme="minorHAnsi" w:hAnsi="Times New Roman" w:cs="Times New Roman"/>
          <w:sz w:val="20"/>
          <w:szCs w:val="20"/>
        </w:rPr>
        <w:t>R</w:t>
      </w:r>
      <w:r w:rsidRPr="00887FF9">
        <w:rPr>
          <w:rFonts w:ascii="Times New Roman" w:eastAsiaTheme="minorHAnsi" w:hAnsi="Times New Roman" w:cs="Times New Roman"/>
          <w:sz w:val="20"/>
          <w:szCs w:val="20"/>
        </w:rPr>
        <w:t>.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Overall, a p value </w:t>
      </w:r>
      <w:r w:rsidR="00A67C2A" w:rsidRPr="00887FF9">
        <w:rPr>
          <w:rFonts w:ascii="Times New Roman" w:eastAsia="QkjrrtAdvTT86d47313+22" w:hAnsi="Times New Roman" w:cs="Times New Roman"/>
          <w:color w:val="131413"/>
          <w:sz w:val="20"/>
          <w:szCs w:val="20"/>
        </w:rPr>
        <w:t>&lt;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0.05 was considered statistically significant.</w:t>
      </w:r>
      <w:r w:rsidR="00442D01" w:rsidRPr="00887FF9">
        <w:rPr>
          <w:rFonts w:ascii="Times New Roman" w:hAnsi="Times New Roman" w:cs="Times New Roman"/>
          <w:sz w:val="20"/>
          <w:szCs w:val="20"/>
        </w:rPr>
        <w:t xml:space="preserve"> SPSS program version 21 was used. </w:t>
      </w:r>
    </w:p>
    <w:p w:rsidR="002A2F0C" w:rsidRPr="00887FF9" w:rsidRDefault="002A2F0C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2F0C" w:rsidRPr="00887FF9" w:rsidRDefault="002A2F0C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>3. Results</w:t>
      </w:r>
    </w:p>
    <w:p w:rsidR="00887FF9" w:rsidRDefault="00887FF9" w:rsidP="00887FF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Among all patients, 23 (26.44%) patients had low dense breasts (&lt;25%) while 64 (73.66%) patients had high dense breasts (&gt;25%). Age &lt; 50 (p=0.002), premenopausal women (p=0.013), tumor size &gt;5cm (p=0.003), LVI (p=0.001), high Ki67 expression (p&lt;0.001) and patients who received adjuvant radiotherapy (p&lt;0.001) were significantly associated with more frequent high breast density. </w:t>
      </w:r>
    </w:p>
    <w:p w:rsidR="00887FF9" w:rsidRPr="00887FF9" w:rsidRDefault="00887FF9" w:rsidP="00887FF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887FF9" w:rsidRPr="00887FF9" w:rsidSect="002A2F0C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223CF" w:rsidRPr="00887FF9" w:rsidRDefault="00A223CF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812FA" w:rsidRPr="00887FF9" w:rsidRDefault="00A67C2A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Table (1): correlation between mammographic breast density and patients characteristics</w:t>
      </w:r>
      <w:r w:rsidRPr="00887FF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52"/>
        <w:gridCol w:w="1986"/>
        <w:gridCol w:w="1808"/>
        <w:gridCol w:w="1719"/>
        <w:gridCol w:w="1211"/>
      </w:tblGrid>
      <w:tr w:rsidR="002A2F0C" w:rsidRPr="00887FF9" w:rsidTr="002A2F0C">
        <w:trPr>
          <w:trHeight w:val="388"/>
          <w:jc w:val="center"/>
        </w:trPr>
        <w:tc>
          <w:tcPr>
            <w:tcW w:w="1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2F0C" w:rsidRPr="00887FF9" w:rsidRDefault="002A2F0C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2F0C" w:rsidRPr="00887FF9" w:rsidRDefault="002A2F0C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Total (n = 87)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  <w:hideMark/>
          </w:tcPr>
          <w:p w:rsidR="002A2F0C" w:rsidRPr="00887FF9" w:rsidRDefault="002A2F0C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Low (n = 23)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:rsidR="002A2F0C" w:rsidRPr="00887FF9" w:rsidRDefault="002A2F0C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High (64)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2F0C" w:rsidRPr="00887FF9" w:rsidRDefault="002A2F0C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≤50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39(44.8%)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4(17.4%)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35(54.7%)</w:t>
            </w:r>
            <w:r w:rsidR="00A223CF" w:rsidRPr="00887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 w:val="restar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 xml:space="preserve"> 0.002</w:t>
            </w:r>
            <w:r w:rsidRPr="00887FF9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&gt;50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48(55.2%)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19(82.6%)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29(45.3%)</w:t>
            </w:r>
          </w:p>
        </w:tc>
        <w:tc>
          <w:tcPr>
            <w:tcW w:w="639" w:type="pct"/>
            <w:vMerge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Pathology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87FF9">
              <w:rPr>
                <w:sz w:val="20"/>
                <w:szCs w:val="20"/>
              </w:rPr>
              <w:t>Ductal</w:t>
            </w:r>
            <w:proofErr w:type="spellEnd"/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76(87.4%)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19(82.6%)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57(89.1%)</w:t>
            </w:r>
          </w:p>
        </w:tc>
        <w:tc>
          <w:tcPr>
            <w:tcW w:w="639" w:type="pct"/>
            <w:vMerge w:val="restar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0.42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Lobular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11(12.6%)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4(17.4%)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7(10.9%)</w:t>
            </w:r>
          </w:p>
        </w:tc>
        <w:tc>
          <w:tcPr>
            <w:tcW w:w="639" w:type="pct"/>
            <w:vMerge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Menopause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Pre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38(43.7%)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5(21.7%)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33(51.6%)</w:t>
            </w:r>
          </w:p>
        </w:tc>
        <w:tc>
          <w:tcPr>
            <w:tcW w:w="639" w:type="pct"/>
            <w:vMerge w:val="restar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0.013</w:t>
            </w:r>
            <w:r w:rsidRPr="00887FF9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Post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49(56.3%)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18(78.3%)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31(48.4%)</w:t>
            </w:r>
          </w:p>
        </w:tc>
        <w:tc>
          <w:tcPr>
            <w:tcW w:w="639" w:type="pct"/>
            <w:vMerge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</w:tcPr>
          <w:p w:rsidR="00A223CF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N</w:t>
            </w: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N</w:t>
            </w:r>
            <w:r w:rsidR="00D45371" w:rsidRPr="00887FF9">
              <w:rPr>
                <w:b/>
                <w:bCs/>
                <w:sz w:val="20"/>
                <w:szCs w:val="20"/>
              </w:rPr>
              <w:t>0</w:t>
            </w:r>
            <w:r w:rsidRPr="00887FF9">
              <w:rPr>
                <w:b/>
                <w:bCs/>
                <w:sz w:val="20"/>
                <w:szCs w:val="20"/>
              </w:rPr>
              <w:t xml:space="preserve"> </w:t>
            </w: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N</w:t>
            </w:r>
            <w:r w:rsidR="00D45371" w:rsidRPr="00887FF9">
              <w:rPr>
                <w:b/>
                <w:bCs/>
                <w:sz w:val="20"/>
                <w:szCs w:val="20"/>
              </w:rPr>
              <w:t>1</w:t>
            </w: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N</w:t>
            </w:r>
            <w:r w:rsidR="00D45371" w:rsidRPr="00887FF9">
              <w:rPr>
                <w:b/>
                <w:bCs/>
                <w:sz w:val="20"/>
                <w:szCs w:val="20"/>
              </w:rPr>
              <w:t>2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N</w:t>
            </w:r>
            <w:r w:rsidR="00D45371" w:rsidRPr="00887FF9">
              <w:rPr>
                <w:b/>
                <w:bCs/>
                <w:sz w:val="20"/>
                <w:szCs w:val="20"/>
              </w:rPr>
              <w:t>3</w:t>
            </w:r>
            <w:r w:rsidRPr="00887F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26(29.9%)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22 (</w:t>
            </w:r>
            <w:r w:rsidR="00A223CF" w:rsidRPr="00887FF9">
              <w:rPr>
                <w:sz w:val="20"/>
                <w:szCs w:val="20"/>
              </w:rPr>
              <w:t xml:space="preserve"> </w:t>
            </w:r>
            <w:r w:rsidRPr="00887FF9">
              <w:rPr>
                <w:sz w:val="20"/>
                <w:szCs w:val="20"/>
              </w:rPr>
              <w:t>25.3% 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26( 29.9% 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13( 14.9%</w:t>
            </w:r>
            <w:r w:rsidR="00A223CF" w:rsidRPr="00887FF9">
              <w:rPr>
                <w:sz w:val="20"/>
                <w:szCs w:val="20"/>
              </w:rPr>
              <w:t xml:space="preserve"> </w:t>
            </w:r>
            <w:r w:rsidRPr="00887FF9">
              <w:rPr>
                <w:sz w:val="20"/>
                <w:szCs w:val="20"/>
              </w:rPr>
              <w:t>)</w:t>
            </w:r>
            <w:r w:rsidR="00A223CF" w:rsidRPr="00887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10(43.5%)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6(26.1%)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3(13%)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4(17.4%)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16(25%)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16( 25%)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 xml:space="preserve">23(35.9 ) 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9(14.1)</w:t>
            </w:r>
            <w:r w:rsidR="00A223CF" w:rsidRPr="00887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0.17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G1</w:t>
            </w:r>
            <w:r w:rsidR="00A223CF" w:rsidRPr="00887FF9">
              <w:rPr>
                <w:sz w:val="20"/>
                <w:szCs w:val="20"/>
              </w:rPr>
              <w:t xml:space="preserve"> &amp; </w:t>
            </w:r>
            <w:r w:rsidRPr="00887FF9">
              <w:rPr>
                <w:sz w:val="20"/>
                <w:szCs w:val="20"/>
              </w:rPr>
              <w:t>2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59(67.8%)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16(69.6%)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43(67.2%)</w:t>
            </w:r>
          </w:p>
        </w:tc>
        <w:tc>
          <w:tcPr>
            <w:tcW w:w="639" w:type="pct"/>
            <w:vMerge w:val="restar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0.83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G3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28(32.2%)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 xml:space="preserve"> </w:t>
            </w:r>
            <w:r w:rsidR="00D45371" w:rsidRPr="00887FF9">
              <w:rPr>
                <w:sz w:val="20"/>
                <w:szCs w:val="20"/>
              </w:rPr>
              <w:t>7(30.4%)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21(32.8%)</w:t>
            </w:r>
          </w:p>
        </w:tc>
        <w:tc>
          <w:tcPr>
            <w:tcW w:w="639" w:type="pct"/>
            <w:vMerge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LVI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Non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47(54%)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19(82.6%)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28(43.8%)</w:t>
            </w:r>
          </w:p>
        </w:tc>
        <w:tc>
          <w:tcPr>
            <w:tcW w:w="639" w:type="pct"/>
            <w:vMerge w:val="restar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0.001</w:t>
            </w:r>
            <w:r w:rsidRPr="00887FF9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Yes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40(46%)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4(17.4%)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36(56.2%)</w:t>
            </w:r>
          </w:p>
        </w:tc>
        <w:tc>
          <w:tcPr>
            <w:tcW w:w="639" w:type="pct"/>
            <w:vMerge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radiotherapy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Yes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68(78.2%)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12(52.2%)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56(87.5%)</w:t>
            </w:r>
          </w:p>
        </w:tc>
        <w:tc>
          <w:tcPr>
            <w:tcW w:w="639" w:type="pct"/>
            <w:vMerge w:val="restar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&lt;0.001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No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19(21.8%)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11(47.8%)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8(12.5%)</w:t>
            </w:r>
          </w:p>
        </w:tc>
        <w:tc>
          <w:tcPr>
            <w:tcW w:w="639" w:type="pct"/>
            <w:vMerge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Ki67</w:t>
            </w:r>
          </w:p>
        </w:tc>
        <w:tc>
          <w:tcPr>
            <w:tcW w:w="1048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Low</w:t>
            </w:r>
          </w:p>
        </w:tc>
        <w:tc>
          <w:tcPr>
            <w:tcW w:w="1048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32(36.8%)</w:t>
            </w:r>
          </w:p>
        </w:tc>
        <w:tc>
          <w:tcPr>
            <w:tcW w:w="954" w:type="pct"/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15(65.2%)</w:t>
            </w:r>
          </w:p>
        </w:tc>
        <w:tc>
          <w:tcPr>
            <w:tcW w:w="907" w:type="pct"/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17(26.6%)</w:t>
            </w:r>
          </w:p>
        </w:tc>
        <w:tc>
          <w:tcPr>
            <w:tcW w:w="639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0.001</w:t>
            </w:r>
            <w:r w:rsidRPr="00887FF9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High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55(63.2%)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8(34.8%)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47(73.4%)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CF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Her-2</w:t>
            </w: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P</w:t>
            </w:r>
            <w:r w:rsidR="00D45371" w:rsidRPr="00887FF9">
              <w:rPr>
                <w:sz w:val="20"/>
                <w:szCs w:val="20"/>
              </w:rPr>
              <w:t>ositive</w:t>
            </w:r>
            <w:r w:rsidRPr="00887FF9">
              <w:rPr>
                <w:sz w:val="20"/>
                <w:szCs w:val="20"/>
              </w:rPr>
              <w:t xml:space="preserve"> 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N</w:t>
            </w:r>
            <w:r w:rsidR="00D45371" w:rsidRPr="00887FF9">
              <w:rPr>
                <w:sz w:val="20"/>
                <w:szCs w:val="20"/>
              </w:rPr>
              <w:t>egative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 xml:space="preserve">14(16.1%) 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73(83.9%)</w:t>
            </w:r>
            <w:r w:rsidR="00A223CF" w:rsidRPr="00887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A223CF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87FF9">
              <w:rPr>
                <w:sz w:val="20"/>
                <w:szCs w:val="20"/>
              </w:rPr>
              <w:t>2(8.7)</w:t>
            </w:r>
            <w:r w:rsidR="00A223CF" w:rsidRPr="00887FF9">
              <w:rPr>
                <w:sz w:val="20"/>
                <w:szCs w:val="20"/>
              </w:rPr>
              <w:t xml:space="preserve"> 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</w:t>
            </w:r>
            <w:r w:rsidR="00D45371" w:rsidRPr="00887FF9">
              <w:rPr>
                <w:sz w:val="20"/>
                <w:szCs w:val="20"/>
              </w:rPr>
              <w:t>1(91.3%)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12(18.8%)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52(81.2%)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0.26</w:t>
            </w: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 xml:space="preserve">Tumor size 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&lt;=5</w:t>
            </w:r>
            <w:r w:rsidR="00A223CF" w:rsidRPr="00887FF9">
              <w:rPr>
                <w:b/>
                <w:bCs/>
                <w:sz w:val="20"/>
                <w:szCs w:val="20"/>
              </w:rPr>
              <w:t xml:space="preserve"> 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&gt;5</w:t>
            </w:r>
            <w:r w:rsidR="00A223CF" w:rsidRPr="00887F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53(60.9)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 xml:space="preserve">34(39.1)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2</w:t>
            </w:r>
            <w:r w:rsidR="00D45371" w:rsidRPr="00887FF9">
              <w:rPr>
                <w:sz w:val="20"/>
                <w:szCs w:val="20"/>
              </w:rPr>
              <w:t>0(87)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</w:t>
            </w:r>
            <w:r w:rsidR="00D45371" w:rsidRPr="00887FF9">
              <w:rPr>
                <w:sz w:val="20"/>
                <w:szCs w:val="20"/>
              </w:rPr>
              <w:t>(13)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</w:t>
            </w:r>
            <w:r w:rsidR="00D45371" w:rsidRPr="00887FF9">
              <w:rPr>
                <w:sz w:val="20"/>
                <w:szCs w:val="20"/>
              </w:rPr>
              <w:t>3(51.6)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3</w:t>
            </w:r>
            <w:r w:rsidR="00D45371" w:rsidRPr="00887FF9">
              <w:rPr>
                <w:sz w:val="20"/>
                <w:szCs w:val="20"/>
              </w:rPr>
              <w:t>4(39.1)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0.003</w:t>
            </w:r>
            <w:r w:rsidRPr="00887FF9">
              <w:rPr>
                <w:sz w:val="20"/>
                <w:szCs w:val="20"/>
                <w:vertAlign w:val="superscript"/>
              </w:rPr>
              <w:t>*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45371" w:rsidRPr="00887FF9" w:rsidTr="002A2F0C">
        <w:trPr>
          <w:jc w:val="center"/>
        </w:trPr>
        <w:tc>
          <w:tcPr>
            <w:tcW w:w="14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Hormonal status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+</w:t>
            </w:r>
            <w:proofErr w:type="spellStart"/>
            <w:r w:rsidRPr="00887FF9">
              <w:rPr>
                <w:b/>
                <w:bCs/>
                <w:sz w:val="20"/>
                <w:szCs w:val="20"/>
              </w:rPr>
              <w:t>ve</w:t>
            </w:r>
            <w:proofErr w:type="spellEnd"/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7FF9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87FF9">
              <w:rPr>
                <w:b/>
                <w:bCs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4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64(73.6)</w:t>
            </w: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 xml:space="preserve">23(26.4)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</w:t>
            </w:r>
            <w:r w:rsidR="00D45371" w:rsidRPr="00887FF9">
              <w:rPr>
                <w:sz w:val="20"/>
                <w:szCs w:val="20"/>
              </w:rPr>
              <w:t>4(60.8)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9</w:t>
            </w:r>
            <w:r w:rsidR="00D45371" w:rsidRPr="00887FF9">
              <w:rPr>
                <w:sz w:val="20"/>
                <w:szCs w:val="20"/>
              </w:rPr>
              <w:t>(39.1)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A223CF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5</w:t>
            </w:r>
            <w:r w:rsidR="00D45371" w:rsidRPr="00887FF9">
              <w:rPr>
                <w:sz w:val="20"/>
                <w:szCs w:val="20"/>
              </w:rPr>
              <w:t>0(78.1)</w:t>
            </w:r>
          </w:p>
          <w:p w:rsidR="00D45371" w:rsidRPr="00887FF9" w:rsidRDefault="00A223CF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1</w:t>
            </w:r>
            <w:r w:rsidR="00D45371" w:rsidRPr="00887FF9">
              <w:rPr>
                <w:sz w:val="20"/>
                <w:szCs w:val="20"/>
              </w:rPr>
              <w:t>4(21.9)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</w:p>
          <w:p w:rsidR="00D45371" w:rsidRPr="00887FF9" w:rsidRDefault="00D45371" w:rsidP="002A2F0C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887FF9">
              <w:rPr>
                <w:sz w:val="20"/>
                <w:szCs w:val="20"/>
              </w:rPr>
              <w:t>0.11</w:t>
            </w:r>
          </w:p>
        </w:tc>
      </w:tr>
    </w:tbl>
    <w:p w:rsidR="006467CA" w:rsidRPr="00887FF9" w:rsidRDefault="00391EA5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Table 1 showed the correlation between patient's characteristics and </w:t>
      </w:r>
      <w:r w:rsidR="00A67C2A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BD.</w:t>
      </w:r>
    </w:p>
    <w:p w:rsidR="002A2F0C" w:rsidRDefault="002A2F0C" w:rsidP="00887FF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</w:pPr>
    </w:p>
    <w:p w:rsidR="00887FF9" w:rsidRDefault="00887FF9" w:rsidP="00887FF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</w:pPr>
    </w:p>
    <w:p w:rsidR="00887FF9" w:rsidRPr="00887FF9" w:rsidRDefault="00887FF9" w:rsidP="00887FF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  <w:sectPr w:rsidR="00887FF9" w:rsidRPr="00887FF9" w:rsidSect="00A223C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BD5700" w:rsidRPr="00887FF9" w:rsidRDefault="00BD5700" w:rsidP="002A2F0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 xml:space="preserve">Table 2 showed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analysis of risk factors associated with local recurrence according to the mean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lastRenderedPageBreak/>
        <w:t xml:space="preserve">time (months) to local relapse. There were a significant association between early local relapse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lastRenderedPageBreak/>
        <w:t xml:space="preserve">(LR) </w:t>
      </w:r>
      <w:r w:rsidR="002E7B69" w:rsidRPr="00887FF9">
        <w:rPr>
          <w:rFonts w:ascii="Times New Roman" w:hAnsi="Times New Roman" w:cs="Times New Roman"/>
          <w:color w:val="131413"/>
          <w:sz w:val="20"/>
          <w:szCs w:val="20"/>
        </w:rPr>
        <w:t>and high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MBD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(p&lt;0.001)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age &lt;50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(p=0.006)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LVI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(p=0.044)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positive </w:t>
      </w:r>
      <w:proofErr w:type="spellStart"/>
      <w:r w:rsidRPr="00887FF9">
        <w:rPr>
          <w:rFonts w:ascii="Times New Roman" w:hAnsi="Times New Roman" w:cs="Times New Roman"/>
          <w:color w:val="131413"/>
          <w:sz w:val="20"/>
          <w:szCs w:val="20"/>
        </w:rPr>
        <w:t>axillary</w:t>
      </w:r>
      <w:proofErr w:type="spellEnd"/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nodes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(p=0.014)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and high Ki67 expression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(p=0.007)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In multivariate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>analysis (table3), MBD was an independent risk factor for LR (p&lt;0.001). Age and nodal status was near significant (p=0.07).</w:t>
      </w:r>
    </w:p>
    <w:p w:rsidR="002A2F0C" w:rsidRPr="00887FF9" w:rsidRDefault="002A2F0C" w:rsidP="002A2F0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sectPr w:rsidR="002A2F0C" w:rsidRPr="00887FF9" w:rsidSect="002A2F0C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223CF" w:rsidRPr="00887FF9" w:rsidRDefault="00A223CF" w:rsidP="002A2F0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</w:p>
    <w:p w:rsidR="00887FF9" w:rsidRDefault="00887FF9" w:rsidP="002A2F0C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</w:pPr>
    </w:p>
    <w:p w:rsidR="0063003C" w:rsidRPr="00887FF9" w:rsidRDefault="0063003C" w:rsidP="00887FF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Table (2) </w:t>
      </w:r>
      <w:proofErr w:type="spellStart"/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Univariate</w:t>
      </w:r>
      <w:proofErr w:type="spellEnd"/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analysis for factors affecting</w:t>
      </w:r>
      <w:r w:rsidRPr="00887FF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558A2" w:rsidRPr="00887FF9">
        <w:rPr>
          <w:rFonts w:ascii="Times New Roman" w:hAnsi="Times New Roman" w:cs="Times New Roman"/>
          <w:sz w:val="20"/>
          <w:szCs w:val="20"/>
          <w:lang w:bidi="ar-EG"/>
        </w:rPr>
        <w:t>LR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3239"/>
        <w:gridCol w:w="4634"/>
        <w:gridCol w:w="1654"/>
      </w:tblGrid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Factor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 time to local recurrence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Age≤50 years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&gt;50 years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35.74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50.71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Pathology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Ductal</w:t>
            </w:r>
            <w:proofErr w:type="spellEnd"/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Ca.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Lobular Ca.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42.51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54.32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0.147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 stag</w:t>
            </w:r>
            <w:r w:rsidR="002A2F0C"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</w:t>
            </w:r>
            <w:r w:rsidR="002A2F0C"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egative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Positive 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54.17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39.66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0.014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Mens</w:t>
            </w:r>
            <w:proofErr w:type="spellEnd"/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statu</w:t>
            </w:r>
            <w:r w:rsidR="002A2F0C"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 </w:t>
            </w:r>
            <w:r w:rsidR="002A2F0C"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re-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Post-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38.79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48.04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0.090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 w:rsidR="00A223CF"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49.00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38.13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0.044|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Her-2</w:t>
            </w:r>
            <w:r w:rsidR="00A223CF"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  <w:proofErr w:type="spellStart"/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38.29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45.10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0.355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Tumor size&lt; 5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≥ 5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47.32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38.82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0.125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Grade1-2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45.50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40.84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3CF" w:rsidRPr="00887FF9" w:rsidRDefault="00A223C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3C" w:rsidRPr="00887FF9" w:rsidRDefault="00A223C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003C" w:rsidRPr="00887FF9">
              <w:rPr>
                <w:rFonts w:ascii="Times New Roman" w:hAnsi="Times New Roman" w:cs="Times New Roman"/>
                <w:sz w:val="20"/>
                <w:szCs w:val="20"/>
              </w:rPr>
              <w:t>.421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</w:t>
            </w: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  <w:proofErr w:type="spellEnd"/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43.80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44.57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0.900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MBD</w:t>
            </w: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67.59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35.52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63003C" w:rsidRPr="00887FF9" w:rsidTr="00A223CF">
        <w:trPr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Ki67</w:t>
            </w:r>
            <w:r w:rsidRPr="00887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Low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high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53.53</w:t>
            </w: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38.45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03C" w:rsidRPr="00887FF9" w:rsidRDefault="0063003C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0.007</w:t>
            </w:r>
          </w:p>
        </w:tc>
      </w:tr>
    </w:tbl>
    <w:p w:rsidR="00451ADB" w:rsidRPr="00887FF9" w:rsidRDefault="00451ADB" w:rsidP="002A2F0C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</w:p>
    <w:p w:rsidR="00887FF9" w:rsidRDefault="00887FF9" w:rsidP="002A2F0C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</w:pPr>
    </w:p>
    <w:p w:rsidR="00B97AAF" w:rsidRPr="00887FF9" w:rsidRDefault="00577667" w:rsidP="00887FF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Table (</w:t>
      </w:r>
      <w:r w:rsidR="004D47C1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3) multivariate a</w:t>
      </w:r>
      <w:r w:rsidR="007A672F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nalysis for factor affecting LR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2875"/>
        <w:gridCol w:w="4556"/>
        <w:gridCol w:w="2096"/>
      </w:tblGrid>
      <w:tr w:rsidR="00B97AAF" w:rsidRPr="00887FF9" w:rsidTr="00A223CF">
        <w:trPr>
          <w:jc w:val="center"/>
        </w:trPr>
        <w:tc>
          <w:tcPr>
            <w:tcW w:w="1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 (95% CI)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B97AAF" w:rsidRPr="00887FF9" w:rsidTr="00A223CF">
        <w:trPr>
          <w:jc w:val="center"/>
        </w:trPr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0.623(0.372-1.042)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sz w:val="20"/>
                <w:szCs w:val="20"/>
              </w:rPr>
              <w:t>0.071</w:t>
            </w:r>
          </w:p>
        </w:tc>
      </w:tr>
      <w:tr w:rsidR="00B97AAF" w:rsidRPr="00887FF9" w:rsidTr="00A223CF">
        <w:trPr>
          <w:jc w:val="center"/>
        </w:trPr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Nodal stage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1.640 (.960 – 2.800)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0.070</w:t>
            </w:r>
          </w:p>
        </w:tc>
      </w:tr>
      <w:tr w:rsidR="00B97AAF" w:rsidRPr="00887FF9" w:rsidTr="00A223CF">
        <w:trPr>
          <w:jc w:val="center"/>
        </w:trPr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LVI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1.064(0.658-1.721)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</w:tr>
      <w:tr w:rsidR="00B97AAF" w:rsidRPr="00887FF9" w:rsidTr="00A223CF">
        <w:trPr>
          <w:jc w:val="center"/>
        </w:trPr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MBD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1.687 (1.273 – 2.236)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B97AAF" w:rsidRPr="00887FF9" w:rsidTr="00A223CF">
        <w:trPr>
          <w:jc w:val="center"/>
        </w:trPr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Ki67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1.042(0.630-1.724)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7AAF" w:rsidRPr="00887FF9" w:rsidRDefault="00B97AAF" w:rsidP="002A2F0C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FF9">
              <w:rPr>
                <w:rFonts w:ascii="Times New Roman" w:eastAsia="Calibri" w:hAnsi="Times New Roman" w:cs="Times New Roman"/>
                <w:sz w:val="20"/>
                <w:szCs w:val="20"/>
              </w:rPr>
              <w:t>0.872</w:t>
            </w:r>
          </w:p>
        </w:tc>
      </w:tr>
    </w:tbl>
    <w:p w:rsidR="00B97AAF" w:rsidRDefault="00B97AAF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 w:bidi="ar-EG"/>
        </w:rPr>
      </w:pPr>
    </w:p>
    <w:p w:rsidR="00887FF9" w:rsidRPr="00887FF9" w:rsidRDefault="00887FF9" w:rsidP="00887FF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 w:bidi="ar-EG"/>
        </w:rPr>
      </w:pPr>
    </w:p>
    <w:p w:rsidR="002A2F0C" w:rsidRPr="00887FF9" w:rsidRDefault="002A2F0C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sectPr w:rsidR="002A2F0C" w:rsidRPr="00887FF9" w:rsidSect="00A223C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235D2E" w:rsidRPr="00887FF9" w:rsidRDefault="00BD5700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lastRenderedPageBreak/>
        <w:t xml:space="preserve">4. </w:t>
      </w:r>
      <w:r w:rsidR="00235D2E" w:rsidRPr="00887F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Discussion</w:t>
      </w:r>
    </w:p>
    <w:p w:rsidR="00391EA5" w:rsidRPr="00887FF9" w:rsidRDefault="005E26A0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eastAsiaTheme="minorHAnsi" w:hAnsi="Times New Roman" w:cs="Times New Roman"/>
          <w:sz w:val="20"/>
          <w:szCs w:val="20"/>
        </w:rPr>
        <w:t>Mammographic density</w:t>
      </w:r>
      <w:r w:rsidR="00D201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is one of the risk factors for breast cancer</w:t>
      </w:r>
      <w:r w:rsidR="00BD5700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D201CF" w:rsidRPr="00887FF9">
        <w:rPr>
          <w:rFonts w:ascii="Times New Roman" w:eastAsiaTheme="minorHAnsi" w:hAnsi="Times New Roman" w:cs="Times New Roman"/>
          <w:sz w:val="20"/>
          <w:szCs w:val="20"/>
        </w:rPr>
        <w:t>and</w:t>
      </w:r>
      <w:r w:rsidR="00BD5700" w:rsidRPr="00887FF9">
        <w:rPr>
          <w:rFonts w:ascii="Times New Roman" w:eastAsiaTheme="minorHAnsi" w:hAnsi="Times New Roman" w:cs="Times New Roman"/>
          <w:sz w:val="20"/>
          <w:szCs w:val="20"/>
        </w:rPr>
        <w:t xml:space="preserve"> loco regional</w:t>
      </w:r>
      <w:r w:rsidRPr="00887FF9">
        <w:rPr>
          <w:rFonts w:ascii="Times New Roman" w:eastAsiaTheme="minorHAnsi" w:hAnsi="Times New Roman" w:cs="Times New Roman"/>
          <w:sz w:val="20"/>
          <w:szCs w:val="20"/>
        </w:rPr>
        <w:t xml:space="preserve"> recurrence </w:t>
      </w:r>
      <w:r w:rsidR="00D201CF" w:rsidRPr="00887FF9">
        <w:rPr>
          <w:rFonts w:ascii="Times New Roman" w:eastAsiaTheme="minorHAnsi" w:hAnsi="Times New Roman" w:cs="Times New Roman"/>
          <w:sz w:val="20"/>
          <w:szCs w:val="20"/>
        </w:rPr>
        <w:t>in patients with</w:t>
      </w:r>
      <w:r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BD5700" w:rsidRPr="00887FF9">
        <w:rPr>
          <w:rFonts w:ascii="Times New Roman" w:eastAsiaTheme="minorHAnsi" w:hAnsi="Times New Roman" w:cs="Times New Roman"/>
          <w:sz w:val="20"/>
          <w:szCs w:val="20"/>
        </w:rPr>
        <w:t>invasive breast</w:t>
      </w:r>
      <w:r w:rsidRPr="00887FF9">
        <w:rPr>
          <w:rFonts w:ascii="Times New Roman" w:eastAsiaTheme="minorHAnsi" w:hAnsi="Times New Roman" w:cs="Times New Roman"/>
          <w:sz w:val="20"/>
          <w:szCs w:val="20"/>
        </w:rPr>
        <w:t xml:space="preserve"> cancer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. 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[</w:t>
      </w:r>
      <w:r w:rsidRPr="00887FF9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20]</w:t>
      </w:r>
      <w:r w:rsidR="003C1942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 the present study t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here</w:t>
      </w:r>
      <w:r w:rsidR="00235D2E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was</w:t>
      </w:r>
      <w:r w:rsidR="00391EA5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correlation between </w:t>
      </w:r>
      <w:r w:rsidR="00BD5700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patient's characteristics</w:t>
      </w:r>
      <w:r w:rsidR="00391EA5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and </w:t>
      </w:r>
      <w:r w:rsidR="00235D2E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</w:t>
      </w:r>
      <w:r w:rsidR="00391EA5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BD. Among </w:t>
      </w:r>
      <w:r w:rsidR="003C1942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87 </w:t>
      </w:r>
      <w:r w:rsidR="00391EA5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patients, 23 (26.44%) patients had low dense breasts (&lt;25%) while 64 (73.66%) patients had high dense breasts (</w:t>
      </w:r>
      <w:r w:rsidR="007A672F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≥</w:t>
      </w:r>
      <w:r w:rsidR="00391EA5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25%). Age &lt; 50 (p=0.002), premenopausal women (p=0.013), tumor size </w:t>
      </w:r>
      <w:r w:rsidR="00235D2E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≥</w:t>
      </w:r>
      <w:r w:rsidR="00391EA5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5cm (p=0.003), LVI (p=0.001), high Ki67 expression (p&lt;0.001) and patients who received adjuvant radiotherapy (p&lt;0.001) were significantly associated with more frequent high breast density. </w:t>
      </w:r>
    </w:p>
    <w:p w:rsidR="00391EA5" w:rsidRPr="00887FF9" w:rsidRDefault="00391EA5" w:rsidP="002A2F0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 xml:space="preserve">The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analysis of risk fa</w:t>
      </w:r>
      <w:r w:rsidR="007A672F" w:rsidRPr="00887FF9">
        <w:rPr>
          <w:rFonts w:ascii="Times New Roman" w:hAnsi="Times New Roman" w:cs="Times New Roman"/>
          <w:color w:val="131413"/>
          <w:sz w:val="20"/>
          <w:szCs w:val="20"/>
        </w:rPr>
        <w:t>ctors associated with loc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al recurrence according to the mean time (months) to local relapse showed a significant association between</w:t>
      </w:r>
      <w:r w:rsidR="007A672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early local relapse (LR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) and</w:t>
      </w:r>
      <w:r w:rsidR="00887FF9">
        <w:rPr>
          <w:rFonts w:ascii="Times New Roman" w:hAnsi="Times New Roman" w:cs="Times New Roman" w:hint="eastAsia"/>
          <w:color w:val="131413"/>
          <w:sz w:val="20"/>
          <w:szCs w:val="20"/>
          <w:lang w:eastAsia="zh-CN"/>
        </w:rPr>
        <w:t xml:space="preserve">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high MBD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(p&lt;0.001)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age &lt;50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(p=0.006)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LVI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(p=0.044)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, positive </w:t>
      </w:r>
      <w:proofErr w:type="spellStart"/>
      <w:r w:rsidRPr="00887FF9">
        <w:rPr>
          <w:rFonts w:ascii="Times New Roman" w:hAnsi="Times New Roman" w:cs="Times New Roman"/>
          <w:color w:val="131413"/>
          <w:sz w:val="20"/>
          <w:szCs w:val="20"/>
        </w:rPr>
        <w:t>axillary</w:t>
      </w:r>
      <w:proofErr w:type="spellEnd"/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nodes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(p=0.014)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and high Ki67 expression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(p=0.007)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 multivariate analysis (table2), MBD was an</w:t>
      </w:r>
      <w:r w:rsidR="006452EE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independent risk factor for LR</w:t>
      </w:r>
      <w:r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(p&lt;0,001). Age and nodal status was near significant (p=0.07).</w:t>
      </w:r>
      <w:r w:rsidR="00A223CF" w:rsidRPr="00887FF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</w:p>
    <w:p w:rsidR="000445C1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887FF9">
        <w:rPr>
          <w:rFonts w:ascii="Times New Roman" w:hAnsi="Times New Roman" w:cs="Times New Roman"/>
          <w:color w:val="231F20"/>
          <w:sz w:val="20"/>
          <w:szCs w:val="20"/>
        </w:rPr>
        <w:t>Tuli</w:t>
      </w:r>
      <w:r w:rsidR="002A2F0C" w:rsidRPr="00887FF9">
        <w:rPr>
          <w:rFonts w:ascii="Times New Roman" w:hAnsi="Times New Roman" w:cs="Times New Roman"/>
          <w:color w:val="231F20"/>
          <w:sz w:val="20"/>
          <w:szCs w:val="20"/>
        </w:rPr>
        <w:t>n</w:t>
      </w:r>
      <w:proofErr w:type="spellEnd"/>
      <w:r w:rsidR="002A2F0C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2A2F0C" w:rsidRPr="00887FF9">
        <w:rPr>
          <w:rFonts w:ascii="Times New Roman" w:hAnsi="Times New Roman" w:cs="Times New Roman"/>
          <w:color w:val="231F20"/>
          <w:sz w:val="20"/>
          <w:szCs w:val="20"/>
        </w:rPr>
        <w:t>C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>il</w:t>
      </w:r>
      <w:proofErr w:type="spellEnd"/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et al 2009</w:t>
      </w:r>
      <w:r w:rsidRPr="00887FF9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[19]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evaluated the role of mammographic density as a risk factor for the development of local </w:t>
      </w:r>
      <w:r w:rsidR="00BD5700" w:rsidRPr="00887FF9">
        <w:rPr>
          <w:rFonts w:ascii="Times New Roman" w:hAnsi="Times New Roman" w:cs="Times New Roman"/>
          <w:color w:val="231F20"/>
          <w:sz w:val="20"/>
          <w:szCs w:val="20"/>
        </w:rPr>
        <w:t>recurrence and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found that patients </w:t>
      </w:r>
      <w:r w:rsidR="00442D01" w:rsidRPr="00887FF9">
        <w:rPr>
          <w:rFonts w:ascii="Times New Roman" w:hAnsi="Times New Roman" w:cs="Times New Roman"/>
          <w:color w:val="231F20"/>
          <w:sz w:val="20"/>
          <w:szCs w:val="20"/>
        </w:rPr>
        <w:t>with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high mammographic density </w:t>
      </w:r>
      <w:r w:rsidR="00442D01" w:rsidRPr="00887FF9">
        <w:rPr>
          <w:rFonts w:ascii="Times New Roman" w:hAnsi="Times New Roman" w:cs="Times New Roman"/>
          <w:color w:val="231F20"/>
          <w:sz w:val="20"/>
          <w:szCs w:val="20"/>
        </w:rPr>
        <w:t>had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a greater risk of local recurrence compared with the </w:t>
      </w:r>
      <w:r w:rsidR="00442D01" w:rsidRPr="00887FF9">
        <w:rPr>
          <w:rFonts w:ascii="Times New Roman" w:hAnsi="Times New Roman" w:cs="Times New Roman"/>
          <w:color w:val="231F20"/>
          <w:sz w:val="20"/>
          <w:szCs w:val="20"/>
        </w:rPr>
        <w:t>low</w:t>
      </w:r>
      <w:r w:rsidR="003C1942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C1942" w:rsidRPr="00887FF9">
        <w:rPr>
          <w:rFonts w:ascii="Times New Roman" w:hAnsi="Times New Roman" w:cs="Times New Roman"/>
          <w:color w:val="231F20"/>
          <w:sz w:val="20"/>
          <w:szCs w:val="20"/>
        </w:rPr>
        <w:lastRenderedPageBreak/>
        <w:t>dense breasts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>. women who did not receive radiotherapy</w:t>
      </w:r>
      <w:r w:rsidR="007A23B5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had a disease recurrence rate at 10 years of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40% </w:t>
      </w:r>
      <w:r w:rsidR="007A23B5" w:rsidRPr="00887FF9">
        <w:rPr>
          <w:rFonts w:ascii="Times New Roman" w:hAnsi="Times New Roman" w:cs="Times New Roman"/>
          <w:color w:val="231F20"/>
          <w:sz w:val="20"/>
          <w:szCs w:val="20"/>
        </w:rPr>
        <w:t>for patients with &gt;50% density versus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0%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7A23B5" w:rsidRPr="00887FF9">
        <w:rPr>
          <w:rFonts w:ascii="Times New Roman" w:hAnsi="Times New Roman" w:cs="Times New Roman"/>
          <w:color w:val="231F20"/>
          <w:sz w:val="20"/>
          <w:szCs w:val="20"/>
        </w:rPr>
        <w:t>for women &lt;25% density (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>P &lt;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0001). </w:t>
      </w:r>
      <w:r w:rsidR="006452EE" w:rsidRPr="00887FF9">
        <w:rPr>
          <w:rFonts w:ascii="Times New Roman" w:hAnsi="Times New Roman" w:cs="Times New Roman"/>
          <w:color w:val="231F20"/>
          <w:sz w:val="20"/>
          <w:szCs w:val="20"/>
        </w:rPr>
        <w:t>They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concluded that mammographic breast density is an important risk factor for local breast cancer recurrence </w:t>
      </w:r>
      <w:r w:rsidR="006452EE" w:rsidRPr="00887FF9">
        <w:rPr>
          <w:rFonts w:ascii="Times New Roman" w:hAnsi="Times New Roman" w:cs="Times New Roman"/>
          <w:color w:val="231F20"/>
          <w:sz w:val="20"/>
          <w:szCs w:val="20"/>
        </w:rPr>
        <w:t>especially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among women not receiving breast irradiation.</w:t>
      </w:r>
    </w:p>
    <w:p w:rsidR="00391EA5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Louise et al 2013</w:t>
      </w:r>
      <w:r w:rsidRPr="00887FF9">
        <w:rPr>
          <w:rFonts w:ascii="Times New Roman" w:hAnsi="Times New Roman" w:cs="Times New Roman"/>
          <w:sz w:val="20"/>
          <w:szCs w:val="20"/>
          <w:vertAlign w:val="superscript"/>
        </w:rPr>
        <w:t>[20]</w:t>
      </w:r>
      <w:r w:rsidRPr="00887FF9">
        <w:rPr>
          <w:rFonts w:ascii="Times New Roman" w:hAnsi="Times New Roman" w:cs="Times New Roman"/>
          <w:sz w:val="20"/>
          <w:szCs w:val="20"/>
        </w:rPr>
        <w:t xml:space="preserve"> found that (PD) wa</w:t>
      </w:r>
      <w:r w:rsidR="003C1942" w:rsidRPr="00887FF9">
        <w:rPr>
          <w:rFonts w:ascii="Times New Roman" w:hAnsi="Times New Roman" w:cs="Times New Roman"/>
          <w:sz w:val="20"/>
          <w:szCs w:val="20"/>
        </w:rPr>
        <w:t>s associated with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local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C85FEF" w:rsidRPr="00887FF9">
        <w:rPr>
          <w:rFonts w:ascii="Times New Roman" w:hAnsi="Times New Roman" w:cs="Times New Roman"/>
          <w:sz w:val="20"/>
          <w:szCs w:val="20"/>
        </w:rPr>
        <w:t>(</w:t>
      </w:r>
      <w:r w:rsidR="00C85FEF" w:rsidRPr="00887FF9">
        <w:rPr>
          <w:rFonts w:ascii="Times New Roman" w:eastAsiaTheme="minorHAnsi" w:hAnsi="Times New Roman" w:cs="Times New Roman"/>
          <w:sz w:val="20"/>
          <w:szCs w:val="20"/>
        </w:rPr>
        <w:t>p = 0.039</w:t>
      </w:r>
      <w:r w:rsidR="00C85FEF" w:rsidRPr="00887FF9">
        <w:rPr>
          <w:rFonts w:ascii="Times New Roman" w:hAnsi="Times New Roman" w:cs="Times New Roman"/>
          <w:sz w:val="20"/>
          <w:szCs w:val="20"/>
        </w:rPr>
        <w:t>)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locoregional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rec</w:t>
      </w:r>
      <w:r w:rsidR="00C85FEF" w:rsidRPr="00887FF9">
        <w:rPr>
          <w:rFonts w:ascii="Times New Roman" w:hAnsi="Times New Roman" w:cs="Times New Roman"/>
          <w:sz w:val="20"/>
          <w:szCs w:val="20"/>
        </w:rPr>
        <w:t>urrence (</w:t>
      </w:r>
      <w:r w:rsidR="000445C1" w:rsidRPr="00887FF9">
        <w:rPr>
          <w:rFonts w:ascii="Times New Roman" w:hAnsi="Times New Roman" w:cs="Times New Roman"/>
          <w:sz w:val="20"/>
          <w:szCs w:val="20"/>
        </w:rPr>
        <w:t>p = 0.033)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Pr="00887FF9">
        <w:rPr>
          <w:rFonts w:ascii="Times New Roman" w:hAnsi="Times New Roman" w:cs="Times New Roman"/>
          <w:sz w:val="20"/>
          <w:szCs w:val="20"/>
        </w:rPr>
        <w:t>for women with PD</w:t>
      </w:r>
      <w:r w:rsidRPr="00887FF9">
        <w:rPr>
          <w:rFonts w:ascii="Times New Roman" w:eastAsia="AdvOT07517017+22" w:hAnsi="Times New Roman" w:cs="Times New Roman"/>
          <w:sz w:val="20"/>
          <w:szCs w:val="20"/>
        </w:rPr>
        <w:t>≥</w:t>
      </w:r>
      <w:r w:rsidR="00C85FEF" w:rsidRPr="00887FF9">
        <w:rPr>
          <w:rFonts w:ascii="Times New Roman" w:hAnsi="Times New Roman" w:cs="Times New Roman"/>
          <w:sz w:val="20"/>
          <w:szCs w:val="20"/>
        </w:rPr>
        <w:t xml:space="preserve">25%. </w:t>
      </w:r>
      <w:r w:rsidRPr="00887FF9">
        <w:rPr>
          <w:rFonts w:ascii="Times New Roman" w:hAnsi="Times New Roman" w:cs="Times New Roman"/>
          <w:sz w:val="20"/>
          <w:szCs w:val="20"/>
        </w:rPr>
        <w:t xml:space="preserve">They </w:t>
      </w:r>
      <w:r w:rsidR="00C85FEF" w:rsidRPr="00887FF9">
        <w:rPr>
          <w:rFonts w:ascii="Times New Roman" w:hAnsi="Times New Roman" w:cs="Times New Roman"/>
          <w:sz w:val="20"/>
          <w:szCs w:val="20"/>
        </w:rPr>
        <w:t>suggested</w:t>
      </w:r>
      <w:r w:rsidRPr="00887FF9">
        <w:rPr>
          <w:rFonts w:ascii="Times New Roman" w:hAnsi="Times New Roman" w:cs="Times New Roman"/>
          <w:sz w:val="20"/>
          <w:szCs w:val="20"/>
        </w:rPr>
        <w:t xml:space="preserve"> that high mammographic density is an inde</w:t>
      </w:r>
      <w:r w:rsidR="007F756F" w:rsidRPr="00887FF9">
        <w:rPr>
          <w:rFonts w:ascii="Times New Roman" w:hAnsi="Times New Roman" w:cs="Times New Roman"/>
          <w:sz w:val="20"/>
          <w:szCs w:val="20"/>
        </w:rPr>
        <w:t xml:space="preserve">pendent risk factor of 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both local and </w:t>
      </w:r>
      <w:r w:rsidR="00C85FEF" w:rsidRPr="00887FF9">
        <w:rPr>
          <w:rFonts w:ascii="Times New Roman" w:hAnsi="Times New Roman" w:cs="Times New Roman"/>
          <w:sz w:val="20"/>
          <w:szCs w:val="20"/>
        </w:rPr>
        <w:t>LRR.</w:t>
      </w:r>
    </w:p>
    <w:p w:rsidR="00391EA5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887FF9">
        <w:rPr>
          <w:rFonts w:ascii="Times New Roman" w:hAnsi="Times New Roman" w:cs="Times New Roman"/>
          <w:color w:val="131413"/>
          <w:sz w:val="20"/>
          <w:szCs w:val="20"/>
        </w:rPr>
        <w:t>Yu-</w:t>
      </w:r>
      <w:proofErr w:type="spellStart"/>
      <w:r w:rsidRPr="00887FF9">
        <w:rPr>
          <w:rFonts w:ascii="Times New Roman" w:hAnsi="Times New Roman" w:cs="Times New Roman"/>
          <w:color w:val="131413"/>
          <w:sz w:val="20"/>
          <w:szCs w:val="20"/>
        </w:rPr>
        <w:t>Sen</w:t>
      </w:r>
      <w:proofErr w:type="spellEnd"/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et al </w:t>
      </w:r>
      <w:r w:rsidRPr="00887FF9">
        <w:rPr>
          <w:rFonts w:ascii="Times New Roman" w:hAnsi="Times New Roman" w:cs="Times New Roman"/>
          <w:color w:val="131413"/>
          <w:sz w:val="20"/>
          <w:szCs w:val="20"/>
          <w:vertAlign w:val="superscript"/>
        </w:rPr>
        <w:t>[17]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evaluated patients with dense (50–75% density) and extremely dense (&gt;75% density) breasts and found that those patients had an increased risk of </w:t>
      </w:r>
      <w:proofErr w:type="spellStart"/>
      <w:r w:rsidRPr="00887FF9">
        <w:rPr>
          <w:rFonts w:ascii="Times New Roman" w:hAnsi="Times New Roman" w:cs="Times New Roman"/>
          <w:color w:val="131413"/>
          <w:sz w:val="20"/>
          <w:szCs w:val="20"/>
        </w:rPr>
        <w:t>locoregional</w:t>
      </w:r>
      <w:proofErr w:type="spellEnd"/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recurren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ce.</w:t>
      </w:r>
      <w:r w:rsidR="00BD5700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C85FEF" w:rsidRPr="00887FF9">
        <w:rPr>
          <w:rFonts w:ascii="Times New Roman" w:hAnsi="Times New Roman" w:cs="Times New Roman"/>
          <w:color w:val="131413"/>
          <w:sz w:val="20"/>
          <w:szCs w:val="20"/>
        </w:rPr>
        <w:t>They also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demonstrate that dense breast tissue (&gt;50% density) increased the risk of </w:t>
      </w:r>
      <w:r w:rsidR="00C85FE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LRR 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after modified radical mastectomy in patients with invasive breast cancer. </w:t>
      </w:r>
    </w:p>
    <w:p w:rsidR="000445C1" w:rsidRPr="00887FF9" w:rsidRDefault="0012396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 xml:space="preserve">In a study carried out by </w:t>
      </w:r>
      <w:proofErr w:type="spellStart"/>
      <w:r w:rsidR="000445C1" w:rsidRPr="00887FF9">
        <w:rPr>
          <w:rFonts w:ascii="Times New Roman" w:hAnsi="Times New Roman" w:cs="Times New Roman"/>
          <w:sz w:val="20"/>
          <w:szCs w:val="20"/>
        </w:rPr>
        <w:t>Chengshuai</w:t>
      </w:r>
      <w:proofErr w:type="spellEnd"/>
      <w:r w:rsidR="000445C1" w:rsidRPr="00887FF9">
        <w:rPr>
          <w:rFonts w:ascii="Times New Roman" w:hAnsi="Times New Roman" w:cs="Times New Roman"/>
          <w:sz w:val="20"/>
          <w:szCs w:val="20"/>
        </w:rPr>
        <w:t xml:space="preserve"> et </w:t>
      </w:r>
      <w:r w:rsidR="00A558A2" w:rsidRPr="00887FF9">
        <w:rPr>
          <w:rFonts w:ascii="Times New Roman" w:hAnsi="Times New Roman" w:cs="Times New Roman"/>
          <w:sz w:val="20"/>
          <w:szCs w:val="20"/>
        </w:rPr>
        <w:t>al</w:t>
      </w:r>
      <w:r w:rsidR="00A558A2" w:rsidRPr="00887FF9">
        <w:rPr>
          <w:rFonts w:ascii="Times New Roman" w:hAnsi="Times New Roman" w:cs="Times New Roman"/>
          <w:sz w:val="20"/>
          <w:szCs w:val="20"/>
          <w:vertAlign w:val="superscript"/>
        </w:rPr>
        <w:t xml:space="preserve"> [</w:t>
      </w:r>
      <w:r w:rsidR="000445C1" w:rsidRPr="00887FF9">
        <w:rPr>
          <w:rFonts w:ascii="Times New Roman" w:hAnsi="Times New Roman" w:cs="Times New Roman"/>
          <w:sz w:val="20"/>
          <w:szCs w:val="20"/>
          <w:vertAlign w:val="superscript"/>
        </w:rPr>
        <w:t>21]</w:t>
      </w:r>
      <w:r w:rsidRPr="00887FF9">
        <w:rPr>
          <w:rFonts w:ascii="Times New Roman" w:hAnsi="Times New Roman" w:cs="Times New Roman"/>
          <w:sz w:val="20"/>
          <w:szCs w:val="20"/>
        </w:rPr>
        <w:t>,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 814 patients with invasive breast cancer </w:t>
      </w:r>
      <w:r w:rsidRPr="00887FF9">
        <w:rPr>
          <w:rFonts w:ascii="Times New Roman" w:hAnsi="Times New Roman" w:cs="Times New Roman"/>
          <w:sz w:val="20"/>
          <w:szCs w:val="20"/>
        </w:rPr>
        <w:t xml:space="preserve">were evaluated 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="000445C1" w:rsidRPr="00887FF9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0445C1" w:rsidRPr="00887FF9">
        <w:rPr>
          <w:rFonts w:ascii="Times New Roman" w:hAnsi="Times New Roman" w:cs="Times New Roman"/>
          <w:sz w:val="20"/>
          <w:szCs w:val="20"/>
        </w:rPr>
        <w:t xml:space="preserve"> and multivariate analysis</w:t>
      </w:r>
      <w:r w:rsidRPr="00887FF9">
        <w:rPr>
          <w:rFonts w:ascii="Times New Roman" w:hAnsi="Times New Roman" w:cs="Times New Roman"/>
          <w:sz w:val="20"/>
          <w:szCs w:val="20"/>
        </w:rPr>
        <w:t>. The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 tum</w:t>
      </w:r>
      <w:r w:rsidRPr="00887FF9">
        <w:rPr>
          <w:rFonts w:ascii="Times New Roman" w:hAnsi="Times New Roman" w:cs="Times New Roman"/>
          <w:sz w:val="20"/>
          <w:szCs w:val="20"/>
        </w:rPr>
        <w:t xml:space="preserve">or size and 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subtype show statistical significance with LN </w:t>
      </w:r>
      <w:r w:rsidRPr="00887FF9">
        <w:rPr>
          <w:rFonts w:ascii="Times New Roman" w:hAnsi="Times New Roman" w:cs="Times New Roman"/>
          <w:sz w:val="20"/>
          <w:szCs w:val="20"/>
        </w:rPr>
        <w:t>metastases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. Luminal B type shows significant higher </w:t>
      </w:r>
      <w:r w:rsidRPr="00887FF9">
        <w:rPr>
          <w:rFonts w:ascii="Times New Roman" w:hAnsi="Times New Roman" w:cs="Times New Roman"/>
          <w:sz w:val="20"/>
          <w:szCs w:val="20"/>
        </w:rPr>
        <w:t>incidence of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axillary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lymph nodes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 involvement. </w:t>
      </w:r>
      <w:r w:rsidRPr="00887FF9">
        <w:rPr>
          <w:rFonts w:ascii="Times New Roman" w:hAnsi="Times New Roman" w:cs="Times New Roman"/>
          <w:sz w:val="20"/>
          <w:szCs w:val="20"/>
        </w:rPr>
        <w:t>So, t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hey conclude that LN involvement is an intrinsic characteristic for molecular subtype of breast cancer. </w:t>
      </w:r>
      <w:r w:rsidR="00BD5700" w:rsidRPr="00887FF9">
        <w:rPr>
          <w:rFonts w:ascii="Times New Roman" w:hAnsi="Times New Roman" w:cs="Times New Roman"/>
          <w:sz w:val="20"/>
          <w:szCs w:val="20"/>
        </w:rPr>
        <w:t>A</w:t>
      </w:r>
      <w:r w:rsidR="000445C1" w:rsidRPr="00887FF9">
        <w:rPr>
          <w:rFonts w:ascii="Times New Roman" w:hAnsi="Times New Roman" w:cs="Times New Roman"/>
          <w:sz w:val="20"/>
          <w:szCs w:val="20"/>
        </w:rPr>
        <w:t>nd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Pr="00887FF9">
        <w:rPr>
          <w:rFonts w:ascii="Times New Roman" w:hAnsi="Times New Roman" w:cs="Times New Roman"/>
          <w:sz w:val="20"/>
          <w:szCs w:val="20"/>
        </w:rPr>
        <w:t>T</w:t>
      </w:r>
      <w:r w:rsidR="000445C1" w:rsidRPr="00887FF9">
        <w:rPr>
          <w:rFonts w:ascii="Times New Roman" w:hAnsi="Times New Roman" w:cs="Times New Roman"/>
          <w:sz w:val="20"/>
          <w:szCs w:val="20"/>
        </w:rPr>
        <w:t>riple negative</w:t>
      </w:r>
      <w:r w:rsidRPr="00887FF9">
        <w:rPr>
          <w:rFonts w:ascii="Times New Roman" w:hAnsi="Times New Roman" w:cs="Times New Roman"/>
          <w:sz w:val="20"/>
          <w:szCs w:val="20"/>
        </w:rPr>
        <w:t xml:space="preserve"> and</w:t>
      </w:r>
      <w:r w:rsidR="00BD5700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Pr="00887FF9">
        <w:rPr>
          <w:rFonts w:ascii="Times New Roman" w:hAnsi="Times New Roman" w:cs="Times New Roman"/>
          <w:sz w:val="20"/>
          <w:szCs w:val="20"/>
        </w:rPr>
        <w:t>Triple positive patients</w:t>
      </w:r>
      <w:r w:rsidR="00887FF9" w:rsidRPr="00887FF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87FF9">
        <w:rPr>
          <w:rFonts w:ascii="Times New Roman" w:hAnsi="Times New Roman" w:cs="Times New Roman"/>
          <w:sz w:val="20"/>
          <w:szCs w:val="20"/>
        </w:rPr>
        <w:t>had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 the </w:t>
      </w:r>
      <w:r w:rsidRPr="00887FF9">
        <w:rPr>
          <w:rFonts w:ascii="Times New Roman" w:hAnsi="Times New Roman" w:cs="Times New Roman"/>
          <w:sz w:val="20"/>
          <w:szCs w:val="20"/>
        </w:rPr>
        <w:t xml:space="preserve">least and 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most </w:t>
      </w:r>
      <w:r w:rsidRPr="00887FF9">
        <w:rPr>
          <w:rFonts w:ascii="Times New Roman" w:hAnsi="Times New Roman" w:cs="Times New Roman"/>
          <w:sz w:val="20"/>
          <w:szCs w:val="20"/>
        </w:rPr>
        <w:t>incidence</w:t>
      </w:r>
      <w:r w:rsidR="000445C1" w:rsidRPr="00887FF9">
        <w:rPr>
          <w:rFonts w:ascii="Times New Roman" w:hAnsi="Times New Roman" w:cs="Times New Roman"/>
          <w:sz w:val="20"/>
          <w:szCs w:val="20"/>
        </w:rPr>
        <w:t xml:space="preserve"> of LN </w:t>
      </w:r>
      <w:r w:rsidRPr="00887FF9">
        <w:rPr>
          <w:rFonts w:ascii="Times New Roman" w:hAnsi="Times New Roman" w:cs="Times New Roman"/>
          <w:sz w:val="20"/>
          <w:szCs w:val="20"/>
        </w:rPr>
        <w:t>metastases</w:t>
      </w:r>
      <w:r w:rsidR="000445C1" w:rsidRPr="00887FF9">
        <w:rPr>
          <w:rFonts w:ascii="Times New Roman" w:hAnsi="Times New Roman" w:cs="Times New Roman"/>
          <w:sz w:val="20"/>
          <w:szCs w:val="20"/>
        </w:rPr>
        <w:t>.</w:t>
      </w:r>
    </w:p>
    <w:p w:rsidR="00BD5700" w:rsidRPr="00887FF9" w:rsidRDefault="00BD5700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A2F0C" w:rsidRPr="00887FF9" w:rsidRDefault="00391EA5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FF9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7FF9">
        <w:rPr>
          <w:rFonts w:ascii="Times New Roman" w:hAnsi="Times New Roman" w:cs="Times New Roman"/>
          <w:color w:val="131413"/>
          <w:sz w:val="20"/>
          <w:szCs w:val="20"/>
        </w:rPr>
        <w:t>J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emal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A,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Bray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F,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Center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MM,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Ferlay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J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al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: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Global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statistics.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J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Clin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61:69–90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2011.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887FF9">
        <w:rPr>
          <w:rFonts w:ascii="Times New Roman" w:hAnsi="Times New Roman" w:cs="Times New Roman"/>
          <w:color w:val="131413"/>
          <w:sz w:val="20"/>
          <w:szCs w:val="20"/>
        </w:rPr>
        <w:t>M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artin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LJ,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Boyd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NF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: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Mammographic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density.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Potential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mechanisms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risk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associated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with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mammographic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density: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hypotheses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based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on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epidemiological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evidence.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Res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200810,2008.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887FF9">
        <w:rPr>
          <w:rFonts w:ascii="Times New Roman" w:hAnsi="Times New Roman" w:cs="Times New Roman"/>
          <w:color w:val="131413"/>
          <w:sz w:val="20"/>
          <w:szCs w:val="20"/>
        </w:rPr>
        <w:t>M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artin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LJ,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Melnichouk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O,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Guo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H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al.</w:t>
      </w:r>
      <w:r w:rsidR="007F756F" w:rsidRPr="00887FF9">
        <w:rPr>
          <w:rFonts w:ascii="Times New Roman" w:hAnsi="Times New Roman" w:cs="Times New Roman"/>
          <w:color w:val="131413"/>
          <w:sz w:val="20"/>
          <w:szCs w:val="20"/>
        </w:rPr>
        <w:t>: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Family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history,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mammographic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density,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and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risk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cancer.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Epidemiol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Biomarkers</w:t>
      </w:r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Prev</w:t>
      </w:r>
      <w:proofErr w:type="spellEnd"/>
      <w:r w:rsidR="00A223CF" w:rsidRPr="00887FF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131413"/>
          <w:sz w:val="20"/>
          <w:szCs w:val="20"/>
        </w:rPr>
        <w:t>19:456–463</w:t>
      </w:r>
      <w:r w:rsidR="00FE30A7" w:rsidRPr="00887FF9">
        <w:rPr>
          <w:rFonts w:ascii="Times New Roman" w:hAnsi="Times New Roman" w:cs="Times New Roman"/>
          <w:color w:val="131413"/>
          <w:sz w:val="20"/>
          <w:szCs w:val="20"/>
        </w:rPr>
        <w:t>,201</w:t>
      </w:r>
      <w:r w:rsidRPr="00887FF9">
        <w:rPr>
          <w:rFonts w:ascii="Times New Roman" w:hAnsi="Times New Roman" w:cs="Times New Roman"/>
          <w:color w:val="131413"/>
          <w:sz w:val="20"/>
          <w:szCs w:val="20"/>
        </w:rPr>
        <w:t>0.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M</w:t>
      </w:r>
      <w:r w:rsidR="007F756F" w:rsidRPr="00887FF9">
        <w:rPr>
          <w:rFonts w:ascii="Times New Roman" w:hAnsi="Times New Roman" w:cs="Times New Roman"/>
          <w:sz w:val="20"/>
          <w:szCs w:val="20"/>
        </w:rPr>
        <w:t>cCormack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sz w:val="20"/>
          <w:szCs w:val="20"/>
        </w:rPr>
        <w:t>VA,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sz w:val="20"/>
          <w:szCs w:val="20"/>
        </w:rPr>
        <w:t>dos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sz w:val="20"/>
          <w:szCs w:val="20"/>
        </w:rPr>
        <w:t>Santos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sz w:val="20"/>
          <w:szCs w:val="20"/>
        </w:rPr>
        <w:t>Silva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7F756F" w:rsidRPr="00887FF9">
        <w:rPr>
          <w:rFonts w:ascii="Times New Roman" w:hAnsi="Times New Roman" w:cs="Times New Roman"/>
          <w:sz w:val="20"/>
          <w:szCs w:val="20"/>
        </w:rPr>
        <w:t>I</w:t>
      </w:r>
      <w:r w:rsidRPr="00887FF9">
        <w:rPr>
          <w:rFonts w:ascii="Times New Roman" w:hAnsi="Times New Roman" w:cs="Times New Roman"/>
          <w:sz w:val="20"/>
          <w:szCs w:val="20"/>
        </w:rPr>
        <w:t>: B</w:t>
      </w:r>
      <w:r w:rsidR="00391EA5" w:rsidRPr="00887FF9">
        <w:rPr>
          <w:rFonts w:ascii="Times New Roman" w:hAnsi="Times New Roman" w:cs="Times New Roman"/>
          <w:sz w:val="20"/>
          <w:szCs w:val="20"/>
        </w:rPr>
        <w:t>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density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and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parenchymal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patterns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markers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of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risk: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meta-analysis.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Cance</w:t>
      </w:r>
      <w:r w:rsidRPr="00887FF9">
        <w:rPr>
          <w:rFonts w:ascii="Times New Roman" w:hAnsi="Times New Roman" w:cs="Times New Roman"/>
          <w:sz w:val="20"/>
          <w:szCs w:val="20"/>
        </w:rPr>
        <w:t xml:space="preserve">r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E</w:t>
      </w:r>
      <w:r w:rsidR="00FE30A7" w:rsidRPr="00887FF9">
        <w:rPr>
          <w:rFonts w:ascii="Times New Roman" w:hAnsi="Times New Roman" w:cs="Times New Roman"/>
          <w:sz w:val="20"/>
          <w:szCs w:val="20"/>
        </w:rPr>
        <w:t>pidemiol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Biomarkers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Prev</w:t>
      </w:r>
      <w:r w:rsidR="00391EA5" w:rsidRPr="00887FF9">
        <w:rPr>
          <w:rFonts w:ascii="Times New Roman" w:hAnsi="Times New Roman" w:cs="Times New Roman"/>
          <w:sz w:val="20"/>
          <w:szCs w:val="20"/>
        </w:rPr>
        <w:t>15(</w:t>
      </w:r>
      <w:r w:rsidR="00FE30A7" w:rsidRPr="00887FF9">
        <w:rPr>
          <w:rFonts w:ascii="Times New Roman" w:hAnsi="Times New Roman" w:cs="Times New Roman"/>
          <w:sz w:val="20"/>
          <w:szCs w:val="20"/>
        </w:rPr>
        <w:t>6):1159–1169,2006.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7FF9">
        <w:rPr>
          <w:rFonts w:ascii="Times New Roman" w:hAnsi="Times New Roman" w:cs="Times New Roman"/>
          <w:sz w:val="20"/>
          <w:szCs w:val="20"/>
        </w:rPr>
        <w:t>T</w:t>
      </w:r>
      <w:r w:rsidR="00391EA5" w:rsidRPr="00887FF9">
        <w:rPr>
          <w:rFonts w:ascii="Times New Roman" w:hAnsi="Times New Roman" w:cs="Times New Roman"/>
          <w:sz w:val="20"/>
          <w:szCs w:val="20"/>
        </w:rPr>
        <w:t>hurfjell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E.</w:t>
      </w:r>
      <w:r w:rsidR="007F756F" w:rsidRPr="00887FF9">
        <w:rPr>
          <w:rFonts w:ascii="Times New Roman" w:hAnsi="Times New Roman" w:cs="Times New Roman"/>
          <w:sz w:val="20"/>
          <w:szCs w:val="20"/>
        </w:rPr>
        <w:t>: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density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and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the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risk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of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</w:t>
      </w:r>
      <w:r w:rsidR="00FE30A7" w:rsidRPr="00887FF9">
        <w:rPr>
          <w:rFonts w:ascii="Times New Roman" w:hAnsi="Times New Roman" w:cs="Times New Roman"/>
          <w:sz w:val="20"/>
          <w:szCs w:val="20"/>
        </w:rPr>
        <w:t>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cancer.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0A7" w:rsidRPr="00887FF9">
        <w:rPr>
          <w:rFonts w:ascii="Times New Roman" w:hAnsi="Times New Roman" w:cs="Times New Roman"/>
          <w:sz w:val="20"/>
          <w:szCs w:val="20"/>
        </w:rPr>
        <w:t>Engl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J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Med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347(12):866,2002.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hAnsi="Times New Roman" w:cs="Times New Roman"/>
          <w:sz w:val="20"/>
          <w:szCs w:val="20"/>
        </w:rPr>
        <w:t>B</w:t>
      </w:r>
      <w:r w:rsidR="00391EA5" w:rsidRPr="00887FF9">
        <w:rPr>
          <w:rFonts w:ascii="Times New Roman" w:hAnsi="Times New Roman" w:cs="Times New Roman"/>
          <w:sz w:val="20"/>
          <w:szCs w:val="20"/>
        </w:rPr>
        <w:t>oyd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NF,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Rommens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JM,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Vogt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K,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et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al.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Mammographic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density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intermediate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phenotype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for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</w:t>
      </w:r>
      <w:r w:rsidR="00FE30A7" w:rsidRPr="00887FF9">
        <w:rPr>
          <w:rFonts w:ascii="Times New Roman" w:hAnsi="Times New Roman" w:cs="Times New Roman"/>
          <w:sz w:val="20"/>
          <w:szCs w:val="20"/>
        </w:rPr>
        <w:t>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cancer.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Lancet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2E7B69" w:rsidRPr="00887FF9">
        <w:rPr>
          <w:rFonts w:ascii="Times New Roman" w:hAnsi="Times New Roman" w:cs="Times New Roman"/>
          <w:sz w:val="20"/>
          <w:szCs w:val="20"/>
        </w:rPr>
        <w:t>Oncol6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2E7B69" w:rsidRPr="00887FF9">
        <w:rPr>
          <w:rFonts w:ascii="Times New Roman" w:hAnsi="Times New Roman" w:cs="Times New Roman"/>
          <w:sz w:val="20"/>
          <w:szCs w:val="20"/>
        </w:rPr>
        <w:t>(</w:t>
      </w:r>
      <w:r w:rsidR="00FE30A7" w:rsidRPr="00887FF9">
        <w:rPr>
          <w:rFonts w:ascii="Times New Roman" w:hAnsi="Times New Roman" w:cs="Times New Roman"/>
          <w:sz w:val="20"/>
          <w:szCs w:val="20"/>
        </w:rPr>
        <w:t>10):798–808</w:t>
      </w:r>
      <w:r w:rsidR="002E7B69" w:rsidRPr="00887FF9">
        <w:rPr>
          <w:rFonts w:ascii="Times New Roman" w:hAnsi="Times New Roman" w:cs="Times New Roman"/>
          <w:sz w:val="20"/>
          <w:szCs w:val="20"/>
        </w:rPr>
        <w:t>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2E7B69" w:rsidRPr="00887FF9">
        <w:rPr>
          <w:rFonts w:ascii="Times New Roman" w:hAnsi="Times New Roman" w:cs="Times New Roman"/>
          <w:sz w:val="20"/>
          <w:szCs w:val="20"/>
        </w:rPr>
        <w:t>2005</w:t>
      </w:r>
      <w:r w:rsidR="00FE30A7" w:rsidRPr="00887FF9">
        <w:rPr>
          <w:rFonts w:ascii="Times New Roman" w:hAnsi="Times New Roman" w:cs="Times New Roman"/>
          <w:sz w:val="20"/>
          <w:szCs w:val="20"/>
        </w:rPr>
        <w:t>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7FF9">
        <w:rPr>
          <w:rFonts w:ascii="Times New Roman" w:hAnsi="Times New Roman" w:cs="Times New Roman"/>
          <w:sz w:val="20"/>
          <w:szCs w:val="20"/>
        </w:rPr>
        <w:t>M</w:t>
      </w:r>
      <w:r w:rsidR="00391EA5" w:rsidRPr="00887FF9">
        <w:rPr>
          <w:rFonts w:ascii="Times New Roman" w:hAnsi="Times New Roman" w:cs="Times New Roman"/>
          <w:sz w:val="20"/>
          <w:szCs w:val="20"/>
        </w:rPr>
        <w:t>asarwah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Auvinen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P,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M,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et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al.: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Very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low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mammographic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density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predictspoorer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lastRenderedPageBreak/>
        <w:t>outcome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in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patients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with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invasive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cancer.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0A7" w:rsidRPr="00887FF9">
        <w:rPr>
          <w:rFonts w:ascii="Times New Roman" w:hAnsi="Times New Roman" w:cs="Times New Roman"/>
          <w:sz w:val="20"/>
          <w:szCs w:val="20"/>
        </w:rPr>
        <w:t>Eu</w:t>
      </w:r>
      <w:r w:rsidRPr="00887FF9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R</w:t>
      </w:r>
      <w:r w:rsidR="00FE30A7" w:rsidRPr="00887FF9">
        <w:rPr>
          <w:rFonts w:ascii="Times New Roman" w:hAnsi="Times New Roman" w:cs="Times New Roman"/>
          <w:sz w:val="20"/>
          <w:szCs w:val="20"/>
        </w:rPr>
        <w:t>adiol</w:t>
      </w:r>
      <w:proofErr w:type="spellEnd"/>
      <w:r w:rsidR="00FE30A7" w:rsidRPr="00887FF9">
        <w:rPr>
          <w:rFonts w:ascii="Times New Roman" w:hAnsi="Times New Roman" w:cs="Times New Roman"/>
          <w:sz w:val="20"/>
          <w:szCs w:val="20"/>
        </w:rPr>
        <w:t>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FE30A7" w:rsidRPr="00887FF9">
        <w:rPr>
          <w:rFonts w:ascii="Times New Roman" w:hAnsi="Times New Roman" w:cs="Times New Roman"/>
          <w:sz w:val="20"/>
          <w:szCs w:val="20"/>
        </w:rPr>
        <w:t>25(7):1875–82</w:t>
      </w:r>
      <w:r w:rsidR="002E7B69" w:rsidRPr="00887FF9">
        <w:rPr>
          <w:rFonts w:ascii="Times New Roman" w:hAnsi="Times New Roman" w:cs="Times New Roman"/>
          <w:sz w:val="20"/>
          <w:szCs w:val="20"/>
        </w:rPr>
        <w:t>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2E7B69" w:rsidRPr="00887FF9">
        <w:rPr>
          <w:rFonts w:ascii="Times New Roman" w:hAnsi="Times New Roman" w:cs="Times New Roman"/>
          <w:sz w:val="20"/>
          <w:szCs w:val="20"/>
        </w:rPr>
        <w:t>2015</w:t>
      </w:r>
      <w:r w:rsidR="00FE30A7" w:rsidRPr="00887FF9">
        <w:rPr>
          <w:rFonts w:ascii="Times New Roman" w:hAnsi="Times New Roman" w:cs="Times New Roman"/>
          <w:sz w:val="20"/>
          <w:szCs w:val="20"/>
        </w:rPr>
        <w:t>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7FF9">
        <w:rPr>
          <w:rFonts w:ascii="Times New Roman" w:hAnsi="Times New Roman" w:cs="Times New Roman"/>
          <w:sz w:val="20"/>
          <w:szCs w:val="20"/>
        </w:rPr>
        <w:t>M</w:t>
      </w:r>
      <w:r w:rsidR="00391EA5" w:rsidRPr="00887FF9">
        <w:rPr>
          <w:rFonts w:ascii="Times New Roman" w:hAnsi="Times New Roman" w:cs="Times New Roman"/>
          <w:sz w:val="20"/>
          <w:szCs w:val="20"/>
        </w:rPr>
        <w:t>asarwah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Tammi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M,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M,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et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al.: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The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reciprocal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association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between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mammographicbreast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density,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sz w:val="20"/>
          <w:szCs w:val="20"/>
        </w:rPr>
        <w:t>hyaluronan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synthesis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and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patient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outcome.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sz w:val="20"/>
          <w:szCs w:val="20"/>
        </w:rPr>
        <w:t>Canc</w:t>
      </w:r>
      <w:r w:rsidR="00A278F1" w:rsidRPr="00887FF9">
        <w:rPr>
          <w:rFonts w:ascii="Times New Roman" w:hAnsi="Times New Roman" w:cs="Times New Roman"/>
          <w:sz w:val="20"/>
          <w:szCs w:val="20"/>
        </w:rPr>
        <w:t>e</w:t>
      </w:r>
      <w:r w:rsidRPr="00887FF9">
        <w:rPr>
          <w:rFonts w:ascii="Times New Roman" w:hAnsi="Times New Roman" w:cs="Times New Roman"/>
          <w:sz w:val="20"/>
          <w:szCs w:val="20"/>
        </w:rPr>
        <w:t>r R</w:t>
      </w:r>
      <w:r w:rsidR="00A278F1" w:rsidRPr="00887FF9">
        <w:rPr>
          <w:rFonts w:ascii="Times New Roman" w:hAnsi="Times New Roman" w:cs="Times New Roman"/>
          <w:sz w:val="20"/>
          <w:szCs w:val="20"/>
        </w:rPr>
        <w:t>es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Treat.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A278F1" w:rsidRPr="00887FF9">
        <w:rPr>
          <w:rFonts w:ascii="Times New Roman" w:hAnsi="Times New Roman" w:cs="Times New Roman"/>
          <w:sz w:val="20"/>
          <w:szCs w:val="20"/>
        </w:rPr>
        <w:t>153(3):625–34,2015.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eastAsiaTheme="minorHAnsi" w:hAnsi="Times New Roman" w:cs="Times New Roman"/>
          <w:color w:val="131413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llred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DC,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Medina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D.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relevance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mouse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models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to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understanding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development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progression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human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J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Mammary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Gland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Bi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</w:t>
      </w:r>
      <w:proofErr w:type="spellEnd"/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N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eoplasia.13(3):279–88,200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8.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eastAsiaTheme="minorHAnsi" w:hAnsi="Times New Roman" w:cs="Times New Roman"/>
          <w:color w:val="131413"/>
          <w:sz w:val="20"/>
          <w:szCs w:val="20"/>
        </w:rPr>
      </w:pPr>
      <w:proofErr w:type="spellStart"/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lowami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Troup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Al-Had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dad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al.: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Mammographic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density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related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to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stroma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stromal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proteoglycan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expression.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5(5)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: R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129–35,2003.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eastAsiaTheme="minorHAnsi" w:hAnsi="Times New Roman" w:cs="Times New Roman"/>
          <w:color w:val="131413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awes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Downey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Pearce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CL,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al.: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Dense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stromal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tissue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shows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greatly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increased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concentration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epithelium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but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no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increase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its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proliferative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activity.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8(2)</w:t>
      </w: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: R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24,2006.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eastAsiaTheme="minorHAnsi" w:hAnsi="Times New Roman" w:cs="Times New Roman"/>
          <w:color w:val="131413"/>
          <w:sz w:val="20"/>
          <w:szCs w:val="20"/>
        </w:rPr>
      </w:pPr>
      <w:proofErr w:type="spellStart"/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ahlou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Muller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WJ.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Beta1-integrins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signaling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mammary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tumor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progression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transgenic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mouse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models: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implications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for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human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13(6):229,2011.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eastAsiaTheme="minorHAnsi" w:hAnsi="Times New Roman" w:cs="Times New Roman"/>
          <w:color w:val="131413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v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Dongen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JA,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Voogd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AC,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Fentiman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IS,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al.: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Long-term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results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randomized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trial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comparing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breast-conserving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therapy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with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mastectomy: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European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Organization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for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Research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Treatment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10801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trial.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J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Natl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Inst.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92(14):1143–50,2000.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eastAsiaTheme="minorHAnsi" w:hAnsi="Times New Roman" w:cs="Times New Roman"/>
          <w:color w:val="131413"/>
          <w:sz w:val="20"/>
          <w:szCs w:val="20"/>
        </w:rPr>
      </w:pPr>
      <w:proofErr w:type="spellStart"/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oggi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MM,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Danforth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N,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Sciuto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LC,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al.: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Eighteen-year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results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treatment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early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carcinoma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with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mastectomy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versus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conservation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therapy: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National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Institute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Randomized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ial.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A278F1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98(4):697–702,2003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isher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Anderson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yant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J,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al.: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Twenty-year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follow-up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randomized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trial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comparing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total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mastectomy,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lumpectomy,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lumpectomy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plus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irradiation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for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the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treatmentof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invasive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N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ngl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J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Med.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347(16):1233–41,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2002.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Y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u-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Sen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Huang,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Jenny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Ling-Yu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Chen,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Chiun-Sheng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Huang,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al: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High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mammographic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density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predicts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locoregional</w:t>
      </w:r>
      <w:proofErr w:type="spellEnd"/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recurrence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after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modified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radical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mastectomy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for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invasive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cancer: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a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case-control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study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.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Research</w:t>
      </w:r>
      <w:r w:rsidR="00A223CF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131413"/>
          <w:sz w:val="20"/>
          <w:szCs w:val="20"/>
        </w:rPr>
        <w:t>18:120</w:t>
      </w:r>
      <w:r w:rsidR="00286FB8" w:rsidRPr="00887FF9">
        <w:rPr>
          <w:rFonts w:ascii="Times New Roman" w:hAnsi="Times New Roman" w:cs="Times New Roman"/>
          <w:sz w:val="20"/>
          <w:szCs w:val="20"/>
        </w:rPr>
        <w:t>,201</w:t>
      </w:r>
      <w:r w:rsidRPr="00887FF9">
        <w:rPr>
          <w:rFonts w:ascii="Times New Roman" w:hAnsi="Times New Roman" w:cs="Times New Roman"/>
          <w:sz w:val="20"/>
          <w:szCs w:val="20"/>
        </w:rPr>
        <w:t>6.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887FF9">
        <w:rPr>
          <w:rFonts w:ascii="Times New Roman" w:hAnsi="Times New Roman" w:cs="Times New Roman"/>
          <w:color w:val="231F20"/>
          <w:sz w:val="20"/>
          <w:szCs w:val="20"/>
        </w:rPr>
        <w:t>W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olfe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JN.</w:t>
      </w:r>
      <w:r w:rsidR="007F756F" w:rsidRPr="00887FF9">
        <w:rPr>
          <w:rFonts w:ascii="Times New Roman" w:hAnsi="Times New Roman" w:cs="Times New Roman"/>
          <w:color w:val="231F20"/>
          <w:sz w:val="20"/>
          <w:szCs w:val="20"/>
        </w:rPr>
        <w:t>: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Risk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cancer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development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determined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by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mammographic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parenchymal</w:t>
      </w:r>
      <w:proofErr w:type="spellEnd"/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pattern.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Cancer.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1976;37: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2486-24</w:t>
      </w:r>
      <w:r w:rsidR="00286FB8" w:rsidRPr="00887FF9">
        <w:rPr>
          <w:rFonts w:ascii="Times New Roman" w:hAnsi="Times New Roman" w:cs="Times New Roman"/>
          <w:color w:val="231F20"/>
          <w:sz w:val="20"/>
          <w:szCs w:val="20"/>
        </w:rPr>
        <w:t>92,1976.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T</w:t>
      </w:r>
      <w:r w:rsidR="007F756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uli</w:t>
      </w:r>
      <w:r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n</w:t>
      </w:r>
      <w:proofErr w:type="spellEnd"/>
      <w:r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C</w:t>
      </w:r>
      <w:r w:rsidR="007F756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il</w:t>
      </w:r>
      <w:proofErr w:type="spellEnd"/>
      <w:r w:rsidR="007F756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;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7F756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Eve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7F756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Fishell</w:t>
      </w:r>
      <w:proofErr w:type="spellEnd"/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;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Wedad</w:t>
      </w:r>
      <w:proofErr w:type="spellEnd"/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Hanna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al: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Mammographic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Density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the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Riskof</w:t>
      </w:r>
      <w:proofErr w:type="spellEnd"/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ancer</w:t>
      </w:r>
      <w:proofErr w:type="spellEnd"/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Recurrence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After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Breast-Conserving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Surgery.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Can</w:t>
      </w:r>
      <w:r w:rsidR="00286FB8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cer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December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15,:</w:t>
      </w:r>
      <w:r w:rsidR="00A223CF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color w:val="231F20"/>
          <w:sz w:val="20"/>
          <w:szCs w:val="20"/>
        </w:rPr>
        <w:t>5780-86,2009.</w:t>
      </w:r>
    </w:p>
    <w:p w:rsidR="002A2F0C" w:rsidRPr="00887FF9" w:rsidRDefault="002A2F0C" w:rsidP="002A2F0C">
      <w:pPr>
        <w:pStyle w:val="ListParagraph"/>
        <w:numPr>
          <w:ilvl w:val="1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887FF9">
        <w:rPr>
          <w:rFonts w:ascii="Times New Roman" w:eastAsiaTheme="minorHAnsi" w:hAnsi="Times New Roman" w:cs="Times New Roman"/>
          <w:sz w:val="20"/>
          <w:szCs w:val="20"/>
        </w:rPr>
        <w:lastRenderedPageBreak/>
        <w:t>L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ouise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Eriksson,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Kamil</w:t>
      </w:r>
      <w:r w:rsidRPr="00887FF9">
        <w:rPr>
          <w:rFonts w:ascii="Times New Roman" w:eastAsiaTheme="minorHAnsi" w:hAnsi="Times New Roman" w:cs="Times New Roman"/>
          <w:sz w:val="20"/>
          <w:szCs w:val="20"/>
        </w:rPr>
        <w:t>a</w:t>
      </w:r>
      <w:proofErr w:type="spellEnd"/>
      <w:r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887FF9">
        <w:rPr>
          <w:rFonts w:ascii="Times New Roman" w:eastAsiaTheme="minorHAnsi" w:hAnsi="Times New Roman" w:cs="Times New Roman"/>
          <w:sz w:val="20"/>
          <w:szCs w:val="20"/>
        </w:rPr>
        <w:t>C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zene</w:t>
      </w:r>
      <w:proofErr w:type="spellEnd"/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,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Lena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Rosenberg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et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sz w:val="20"/>
          <w:szCs w:val="20"/>
        </w:rPr>
        <w:t>al: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Possible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influence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mammographic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density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on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local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and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locoregional</w:t>
      </w:r>
      <w:proofErr w:type="spellEnd"/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recurrence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of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cancer</w:t>
      </w:r>
      <w:r w:rsidR="00391EA5" w:rsidRPr="00887FF9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A223CF"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sz w:val="20"/>
          <w:szCs w:val="20"/>
        </w:rPr>
        <w:t>Cancer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286FB8" w:rsidRPr="00887FF9">
        <w:rPr>
          <w:rFonts w:ascii="Times New Roman" w:eastAsiaTheme="minorHAnsi" w:hAnsi="Times New Roman" w:cs="Times New Roman"/>
          <w:sz w:val="20"/>
          <w:szCs w:val="20"/>
        </w:rPr>
        <w:t>Research</w:t>
      </w:r>
      <w:r w:rsidR="00A223CF" w:rsidRPr="00887FF9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15</w:t>
      </w:r>
      <w:r w:rsidRPr="00887FF9">
        <w:rPr>
          <w:rFonts w:ascii="Times New Roman" w:eastAsiaTheme="minorHAnsi" w:hAnsi="Times New Roman" w:cs="Times New Roman"/>
          <w:sz w:val="20"/>
          <w:szCs w:val="20"/>
        </w:rPr>
        <w:t>: R</w:t>
      </w:r>
      <w:r w:rsidR="00391EA5" w:rsidRPr="00887FF9">
        <w:rPr>
          <w:rFonts w:ascii="Times New Roman" w:eastAsiaTheme="minorHAnsi" w:hAnsi="Times New Roman" w:cs="Times New Roman"/>
          <w:sz w:val="20"/>
          <w:szCs w:val="20"/>
        </w:rPr>
        <w:t>56</w:t>
      </w:r>
      <w:r w:rsidR="00286FB8" w:rsidRPr="00887FF9">
        <w:rPr>
          <w:rFonts w:ascii="Times New Roman" w:hAnsi="Times New Roman" w:cs="Times New Roman"/>
          <w:color w:val="231F20"/>
          <w:sz w:val="20"/>
          <w:szCs w:val="20"/>
        </w:rPr>
        <w:t>,2013.</w:t>
      </w:r>
    </w:p>
    <w:p w:rsidR="000445C1" w:rsidRPr="00887FF9" w:rsidRDefault="002A2F0C" w:rsidP="002A2F0C">
      <w:pPr>
        <w:pStyle w:val="Default"/>
        <w:numPr>
          <w:ilvl w:val="1"/>
          <w:numId w:val="2"/>
        </w:numPr>
        <w:snapToGrid w:val="0"/>
        <w:ind w:left="425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887FF9">
        <w:rPr>
          <w:rFonts w:ascii="Times New Roman" w:hAnsi="Times New Roman" w:cs="Times New Roman"/>
          <w:sz w:val="20"/>
          <w:szCs w:val="20"/>
        </w:rPr>
        <w:lastRenderedPageBreak/>
        <w:t>C</w:t>
      </w:r>
      <w:r w:rsidR="000445C1" w:rsidRPr="00887FF9">
        <w:rPr>
          <w:rFonts w:ascii="Times New Roman" w:hAnsi="Times New Roman" w:cs="Times New Roman"/>
          <w:sz w:val="20"/>
          <w:szCs w:val="20"/>
        </w:rPr>
        <w:t>hengshuai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Si,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5C1" w:rsidRPr="00887FF9">
        <w:rPr>
          <w:rFonts w:ascii="Times New Roman" w:hAnsi="Times New Roman" w:cs="Times New Roman"/>
          <w:sz w:val="20"/>
          <w:szCs w:val="20"/>
        </w:rPr>
        <w:t>Yiting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Jin,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5C1" w:rsidRPr="00887FF9">
        <w:rPr>
          <w:rFonts w:ascii="Times New Roman" w:hAnsi="Times New Roman" w:cs="Times New Roman"/>
          <w:sz w:val="20"/>
          <w:szCs w:val="20"/>
        </w:rPr>
        <w:t>Hongying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Wang,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et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al.: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Association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5C1" w:rsidRPr="00887FF9">
        <w:rPr>
          <w:rFonts w:ascii="Times New Roman" w:hAnsi="Times New Roman" w:cs="Times New Roman"/>
          <w:sz w:val="20"/>
          <w:szCs w:val="20"/>
        </w:rPr>
        <w:t>betweenmolecular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subtypes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and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lymph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node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status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in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invasive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breast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cancer</w:t>
      </w:r>
      <w:r w:rsidRPr="00887FF9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proofErr w:type="spellStart"/>
      <w:r w:rsidRPr="00887FF9">
        <w:rPr>
          <w:rFonts w:ascii="Times New Roman" w:hAnsi="Times New Roman" w:cs="Times New Roman"/>
          <w:sz w:val="20"/>
          <w:szCs w:val="20"/>
        </w:rPr>
        <w:t>I</w:t>
      </w:r>
      <w:r w:rsidR="000445C1" w:rsidRPr="00887FF9">
        <w:rPr>
          <w:rFonts w:ascii="Times New Roman" w:hAnsi="Times New Roman" w:cs="Times New Roman"/>
          <w:sz w:val="20"/>
          <w:szCs w:val="20"/>
        </w:rPr>
        <w:t>nt</w:t>
      </w:r>
      <w:proofErr w:type="spellEnd"/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J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5C1" w:rsidRPr="00887FF9">
        <w:rPr>
          <w:rFonts w:ascii="Times New Roman" w:hAnsi="Times New Roman" w:cs="Times New Roman"/>
          <w:sz w:val="20"/>
          <w:szCs w:val="20"/>
        </w:rPr>
        <w:t>Cli</w:t>
      </w:r>
      <w:r w:rsidRPr="00887FF9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887FF9">
        <w:rPr>
          <w:rFonts w:ascii="Times New Roman" w:hAnsi="Times New Roman" w:cs="Times New Roman"/>
          <w:sz w:val="20"/>
          <w:szCs w:val="20"/>
        </w:rPr>
        <w:t xml:space="preserve"> E</w:t>
      </w:r>
      <w:r w:rsidR="000445C1" w:rsidRPr="00887FF9">
        <w:rPr>
          <w:rFonts w:ascii="Times New Roman" w:hAnsi="Times New Roman" w:cs="Times New Roman"/>
          <w:sz w:val="20"/>
          <w:szCs w:val="20"/>
        </w:rPr>
        <w:t>xp</w:t>
      </w:r>
      <w:r w:rsidR="00A223CF" w:rsidRPr="00887FF9">
        <w:rPr>
          <w:rFonts w:ascii="Times New Roman" w:hAnsi="Times New Roman" w:cs="Times New Roman"/>
          <w:sz w:val="20"/>
          <w:szCs w:val="20"/>
        </w:rPr>
        <w:t xml:space="preserve"> </w:t>
      </w:r>
      <w:r w:rsidR="000445C1" w:rsidRPr="00887FF9">
        <w:rPr>
          <w:rFonts w:ascii="Times New Roman" w:hAnsi="Times New Roman" w:cs="Times New Roman"/>
          <w:sz w:val="20"/>
          <w:szCs w:val="20"/>
        </w:rPr>
        <w:t>Pathol;7(10):6800-6806,2014</w:t>
      </w:r>
      <w:r w:rsidR="000445C1" w:rsidRPr="00887FF9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2A2F0C" w:rsidRPr="00887FF9" w:rsidRDefault="002A2F0C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  <w:sectPr w:rsidR="002A2F0C" w:rsidRPr="00887FF9" w:rsidSect="002A2F0C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223CF" w:rsidRPr="00887FF9" w:rsidRDefault="00A223CF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A223CF" w:rsidRPr="00887FF9" w:rsidRDefault="00A223CF" w:rsidP="002A2F0C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87FF9">
        <w:rPr>
          <w:rFonts w:ascii="Times New Roman" w:hAnsi="Times New Roman" w:cs="Times New Roman"/>
          <w:color w:val="231F20"/>
          <w:sz w:val="20"/>
          <w:szCs w:val="20"/>
        </w:rPr>
        <w:cr/>
      </w:r>
    </w:p>
    <w:p w:rsidR="00391EA5" w:rsidRPr="00887FF9" w:rsidRDefault="002A2F0C" w:rsidP="002A2F0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87FF9">
        <w:rPr>
          <w:rFonts w:ascii="Times New Roman" w:hAnsi="Times New Roman" w:cs="Times New Roman" w:hint="eastAsia"/>
          <w:sz w:val="20"/>
          <w:szCs w:val="20"/>
          <w:lang w:eastAsia="zh-CN" w:bidi="ar-EG"/>
        </w:rPr>
        <w:t>6</w:t>
      </w:r>
      <w:r w:rsidR="00A223CF" w:rsidRPr="00887FF9">
        <w:rPr>
          <w:rFonts w:ascii="Times New Roman" w:hAnsi="Times New Roman" w:cs="Times New Roman"/>
          <w:sz w:val="20"/>
          <w:szCs w:val="20"/>
          <w:lang w:bidi="ar-EG"/>
        </w:rPr>
        <w:t>/</w:t>
      </w:r>
      <w:r w:rsidRPr="00887FF9">
        <w:rPr>
          <w:rFonts w:ascii="Times New Roman" w:hAnsi="Times New Roman" w:cs="Times New Roman" w:hint="eastAsia"/>
          <w:sz w:val="20"/>
          <w:szCs w:val="20"/>
          <w:lang w:eastAsia="zh-CN" w:bidi="ar-EG"/>
        </w:rPr>
        <w:t>25</w:t>
      </w:r>
      <w:r w:rsidR="00A223CF" w:rsidRPr="00887FF9">
        <w:rPr>
          <w:rFonts w:ascii="Times New Roman" w:hAnsi="Times New Roman" w:cs="Times New Roman"/>
          <w:sz w:val="20"/>
          <w:szCs w:val="20"/>
          <w:lang w:bidi="ar-EG"/>
        </w:rPr>
        <w:t>/2018</w:t>
      </w:r>
    </w:p>
    <w:sectPr w:rsidR="00391EA5" w:rsidRPr="00887FF9" w:rsidSect="00A223CF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8F" w:rsidRDefault="00FB2B8F" w:rsidP="008C7AE9">
      <w:pPr>
        <w:spacing w:after="0" w:line="240" w:lineRule="auto"/>
      </w:pPr>
      <w:r>
        <w:separator/>
      </w:r>
    </w:p>
  </w:endnote>
  <w:endnote w:type="continuationSeparator" w:id="0">
    <w:p w:rsidR="00FB2B8F" w:rsidRDefault="00FB2B8F" w:rsidP="008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QkjrrtAdvTT86d47313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07517017+2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0C" w:rsidRPr="00784BB8" w:rsidRDefault="00B61640" w:rsidP="00784BB8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84BB8">
      <w:rPr>
        <w:rFonts w:ascii="Times New Roman" w:hAnsi="Times New Roman" w:cs="Times New Roman"/>
        <w:sz w:val="20"/>
      </w:rPr>
      <w:fldChar w:fldCharType="begin"/>
    </w:r>
    <w:r w:rsidR="00784BB8" w:rsidRPr="00784BB8">
      <w:rPr>
        <w:rFonts w:ascii="Times New Roman" w:hAnsi="Times New Roman" w:cs="Times New Roman"/>
        <w:sz w:val="20"/>
      </w:rPr>
      <w:instrText xml:space="preserve"> page </w:instrText>
    </w:r>
    <w:r w:rsidRPr="00784BB8">
      <w:rPr>
        <w:rFonts w:ascii="Times New Roman" w:hAnsi="Times New Roman" w:cs="Times New Roman"/>
        <w:sz w:val="20"/>
      </w:rPr>
      <w:fldChar w:fldCharType="separate"/>
    </w:r>
    <w:r w:rsidR="00887FF9">
      <w:rPr>
        <w:rFonts w:ascii="Times New Roman" w:hAnsi="Times New Roman" w:cs="Times New Roman"/>
        <w:noProof/>
        <w:sz w:val="20"/>
      </w:rPr>
      <w:t>97</w:t>
    </w:r>
    <w:r w:rsidRPr="00784BB8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8F" w:rsidRDefault="00FB2B8F" w:rsidP="008C7AE9">
      <w:pPr>
        <w:spacing w:after="0" w:line="240" w:lineRule="auto"/>
      </w:pPr>
      <w:r>
        <w:separator/>
      </w:r>
    </w:p>
  </w:footnote>
  <w:footnote w:type="continuationSeparator" w:id="0">
    <w:p w:rsidR="00FB2B8F" w:rsidRDefault="00FB2B8F" w:rsidP="008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B8" w:rsidRPr="00784BB8" w:rsidRDefault="00784BB8" w:rsidP="00784BB8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784BB8">
      <w:rPr>
        <w:rFonts w:ascii="Times New Roman" w:hAnsi="Times New Roman" w:cs="Times New Roman" w:hint="eastAsia"/>
        <w:iCs/>
        <w:color w:val="000000"/>
        <w:sz w:val="20"/>
      </w:rPr>
      <w:tab/>
    </w:r>
    <w:r w:rsidRPr="00784BB8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784BB8">
      <w:rPr>
        <w:rFonts w:ascii="Times New Roman" w:hAnsi="Times New Roman" w:cs="Times New Roman"/>
        <w:iCs/>
        <w:sz w:val="20"/>
      </w:rPr>
      <w:t>201</w:t>
    </w:r>
    <w:r w:rsidRPr="00784BB8">
      <w:rPr>
        <w:rFonts w:ascii="Times New Roman" w:hAnsi="Times New Roman" w:cs="Times New Roman" w:hint="eastAsia"/>
        <w:iCs/>
        <w:sz w:val="20"/>
      </w:rPr>
      <w:t>8</w:t>
    </w:r>
    <w:r w:rsidRPr="00784BB8">
      <w:rPr>
        <w:rFonts w:ascii="Times New Roman" w:hAnsi="Times New Roman" w:cs="Times New Roman"/>
        <w:iCs/>
        <w:sz w:val="20"/>
      </w:rPr>
      <w:t>;</w:t>
    </w:r>
    <w:r w:rsidRPr="00784BB8">
      <w:rPr>
        <w:rFonts w:ascii="Times New Roman" w:hAnsi="Times New Roman" w:cs="Times New Roman" w:hint="eastAsia"/>
        <w:iCs/>
        <w:sz w:val="20"/>
      </w:rPr>
      <w:t>8</w:t>
    </w:r>
    <w:r w:rsidRPr="00784BB8">
      <w:rPr>
        <w:rFonts w:ascii="Times New Roman" w:hAnsi="Times New Roman" w:cs="Times New Roman"/>
        <w:iCs/>
        <w:sz w:val="20"/>
      </w:rPr>
      <w:t>(</w:t>
    </w:r>
    <w:r w:rsidRPr="00784BB8">
      <w:rPr>
        <w:rFonts w:ascii="Times New Roman" w:hAnsi="Times New Roman" w:cs="Times New Roman" w:hint="eastAsia"/>
        <w:iCs/>
        <w:sz w:val="20"/>
      </w:rPr>
      <w:t>2</w:t>
    </w:r>
    <w:r w:rsidRPr="00784BB8">
      <w:rPr>
        <w:rFonts w:ascii="Times New Roman" w:hAnsi="Times New Roman" w:cs="Times New Roman"/>
        <w:iCs/>
        <w:sz w:val="20"/>
      </w:rPr>
      <w:t xml:space="preserve">)  </w:t>
    </w:r>
    <w:r w:rsidRPr="00784BB8">
      <w:rPr>
        <w:rFonts w:ascii="Times New Roman" w:hAnsi="Times New Roman" w:cs="Times New Roman" w:hint="eastAsia"/>
        <w:iCs/>
        <w:sz w:val="20"/>
      </w:rPr>
      <w:t xml:space="preserve">   </w:t>
    </w:r>
    <w:r w:rsidRPr="00784BB8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784BB8">
      <w:rPr>
        <w:rFonts w:ascii="Times New Roman" w:hAnsi="Times New Roman" w:cs="Times New Roman"/>
        <w:iCs/>
        <w:sz w:val="20"/>
      </w:rPr>
      <w:t xml:space="preserve"> </w:t>
    </w:r>
    <w:r w:rsidRPr="00784BB8">
      <w:rPr>
        <w:rFonts w:ascii="Times New Roman" w:hAnsi="Times New Roman" w:cs="Times New Roman"/>
        <w:sz w:val="20"/>
      </w:rPr>
      <w:t xml:space="preserve">  </w:t>
    </w:r>
    <w:hyperlink r:id="rId1" w:history="1">
      <w:r w:rsidRPr="00784BB8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</w:p>
  <w:p w:rsidR="00784BB8" w:rsidRPr="00784BB8" w:rsidRDefault="00784BB8" w:rsidP="00784BB8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241D"/>
    <w:multiLevelType w:val="hybridMultilevel"/>
    <w:tmpl w:val="3E361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7B3EC6"/>
    <w:multiLevelType w:val="hybridMultilevel"/>
    <w:tmpl w:val="FB522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39F"/>
    <w:rsid w:val="000445C1"/>
    <w:rsid w:val="000578E5"/>
    <w:rsid w:val="001114AA"/>
    <w:rsid w:val="0012084E"/>
    <w:rsid w:val="00123965"/>
    <w:rsid w:val="00147B28"/>
    <w:rsid w:val="001936A6"/>
    <w:rsid w:val="001B0265"/>
    <w:rsid w:val="00201CCD"/>
    <w:rsid w:val="00235D2E"/>
    <w:rsid w:val="0027579B"/>
    <w:rsid w:val="00277DA9"/>
    <w:rsid w:val="00286FB8"/>
    <w:rsid w:val="00295E88"/>
    <w:rsid w:val="002A2F0C"/>
    <w:rsid w:val="002C2F1E"/>
    <w:rsid w:val="002E7B69"/>
    <w:rsid w:val="00317AB3"/>
    <w:rsid w:val="00325B3F"/>
    <w:rsid w:val="00361A9D"/>
    <w:rsid w:val="00381474"/>
    <w:rsid w:val="00391EA5"/>
    <w:rsid w:val="003B40F5"/>
    <w:rsid w:val="003C1942"/>
    <w:rsid w:val="003C41A8"/>
    <w:rsid w:val="003C4A32"/>
    <w:rsid w:val="003E060E"/>
    <w:rsid w:val="0043339F"/>
    <w:rsid w:val="00442D01"/>
    <w:rsid w:val="00451ADB"/>
    <w:rsid w:val="00470BEB"/>
    <w:rsid w:val="004A2EB9"/>
    <w:rsid w:val="004D47C1"/>
    <w:rsid w:val="004F2AFB"/>
    <w:rsid w:val="00523CE9"/>
    <w:rsid w:val="00577667"/>
    <w:rsid w:val="00583933"/>
    <w:rsid w:val="005A051E"/>
    <w:rsid w:val="005E26A0"/>
    <w:rsid w:val="006204C0"/>
    <w:rsid w:val="0063003C"/>
    <w:rsid w:val="006452EE"/>
    <w:rsid w:val="006467CA"/>
    <w:rsid w:val="006847A6"/>
    <w:rsid w:val="006A7D7D"/>
    <w:rsid w:val="006C2212"/>
    <w:rsid w:val="006C3DAF"/>
    <w:rsid w:val="006D4EFA"/>
    <w:rsid w:val="006D563E"/>
    <w:rsid w:val="006E3E43"/>
    <w:rsid w:val="006E5D87"/>
    <w:rsid w:val="00764916"/>
    <w:rsid w:val="00771F91"/>
    <w:rsid w:val="00784BB8"/>
    <w:rsid w:val="007A23B5"/>
    <w:rsid w:val="007A672F"/>
    <w:rsid w:val="007B7651"/>
    <w:rsid w:val="007C3443"/>
    <w:rsid w:val="007D3455"/>
    <w:rsid w:val="007F756F"/>
    <w:rsid w:val="00800D8A"/>
    <w:rsid w:val="00802CF8"/>
    <w:rsid w:val="008421C7"/>
    <w:rsid w:val="00846027"/>
    <w:rsid w:val="00877001"/>
    <w:rsid w:val="00887FF9"/>
    <w:rsid w:val="008A11A9"/>
    <w:rsid w:val="008A5EFD"/>
    <w:rsid w:val="008C7AE9"/>
    <w:rsid w:val="0094612B"/>
    <w:rsid w:val="00985020"/>
    <w:rsid w:val="009A567E"/>
    <w:rsid w:val="009B5DBC"/>
    <w:rsid w:val="009B67E8"/>
    <w:rsid w:val="00A223CF"/>
    <w:rsid w:val="00A238BE"/>
    <w:rsid w:val="00A278F1"/>
    <w:rsid w:val="00A558A2"/>
    <w:rsid w:val="00A67C2A"/>
    <w:rsid w:val="00B61640"/>
    <w:rsid w:val="00B6276D"/>
    <w:rsid w:val="00B63CF4"/>
    <w:rsid w:val="00B70CA3"/>
    <w:rsid w:val="00B812FA"/>
    <w:rsid w:val="00B97AAF"/>
    <w:rsid w:val="00BD23B3"/>
    <w:rsid w:val="00BD5700"/>
    <w:rsid w:val="00C311D3"/>
    <w:rsid w:val="00C53E2F"/>
    <w:rsid w:val="00C84A37"/>
    <w:rsid w:val="00C85FEF"/>
    <w:rsid w:val="00C9788A"/>
    <w:rsid w:val="00CC23B1"/>
    <w:rsid w:val="00CE1336"/>
    <w:rsid w:val="00CF1560"/>
    <w:rsid w:val="00D0669C"/>
    <w:rsid w:val="00D201CF"/>
    <w:rsid w:val="00D42285"/>
    <w:rsid w:val="00D45371"/>
    <w:rsid w:val="00D6302A"/>
    <w:rsid w:val="00D74E74"/>
    <w:rsid w:val="00DA618A"/>
    <w:rsid w:val="00E14009"/>
    <w:rsid w:val="00E371DE"/>
    <w:rsid w:val="00E6242B"/>
    <w:rsid w:val="00EE6D10"/>
    <w:rsid w:val="00EF309B"/>
    <w:rsid w:val="00FB2837"/>
    <w:rsid w:val="00FB2B8F"/>
    <w:rsid w:val="00FE30A7"/>
    <w:rsid w:val="00FF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5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EA5"/>
    <w:pPr>
      <w:keepNext/>
      <w:keepLines/>
      <w:bidi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91E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9"/>
    <w:rPr>
      <w:rFonts w:eastAsiaTheme="minorEastAsia"/>
    </w:rPr>
  </w:style>
  <w:style w:type="paragraph" w:customStyle="1" w:styleId="Default">
    <w:name w:val="Default"/>
    <w:rsid w:val="000445C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un">
    <w:name w:val="u_n"/>
    <w:basedOn w:val="DefaultParagraphFont"/>
    <w:rsid w:val="00A238BE"/>
  </w:style>
  <w:style w:type="character" w:styleId="Hyperlink">
    <w:name w:val="Hyperlink"/>
    <w:basedOn w:val="DefaultParagraphFont"/>
    <w:uiPriority w:val="99"/>
    <w:unhideWhenUsed/>
    <w:rsid w:val="00A238BE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qFormat/>
    <w:rsid w:val="002A2F0C"/>
    <w:pPr>
      <w:bidi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2A2F0C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2A2F0C"/>
  </w:style>
  <w:style w:type="paragraph" w:styleId="ListParagraph">
    <w:name w:val="List Paragraph"/>
    <w:basedOn w:val="Normal"/>
    <w:uiPriority w:val="34"/>
    <w:qFormat/>
    <w:rsid w:val="002A2F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5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EA5"/>
    <w:pPr>
      <w:keepNext/>
      <w:keepLines/>
      <w:bidi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91E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_sadak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80218.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DDR3</dc:creator>
  <cp:lastModifiedBy>Administrator</cp:lastModifiedBy>
  <cp:revision>3</cp:revision>
  <dcterms:created xsi:type="dcterms:W3CDTF">2018-08-15T14:07:00Z</dcterms:created>
  <dcterms:modified xsi:type="dcterms:W3CDTF">2018-08-16T03:46:00Z</dcterms:modified>
</cp:coreProperties>
</file>