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84" w:rsidRPr="00255FE4" w:rsidRDefault="001B5532" w:rsidP="000208AC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bCs/>
        </w:rPr>
      </w:pPr>
      <w:r w:rsidRPr="00255FE4">
        <w:rPr>
          <w:rFonts w:ascii="Times New Roman" w:hAnsi="Times New Roman"/>
          <w:b/>
          <w:bCs/>
        </w:rPr>
        <w:t xml:space="preserve">Comparison </w:t>
      </w:r>
      <w:r w:rsidR="008D12CB" w:rsidRPr="00255FE4">
        <w:rPr>
          <w:rFonts w:ascii="Times New Roman" w:hAnsi="Times New Roman"/>
          <w:b/>
          <w:bCs/>
        </w:rPr>
        <w:t>of Zoledron</w:t>
      </w:r>
      <w:r w:rsidR="00C72FD6">
        <w:rPr>
          <w:rFonts w:ascii="Times New Roman" w:hAnsi="Times New Roman"/>
          <w:b/>
          <w:bCs/>
        </w:rPr>
        <w:t>ic Acid Every 12 Weeks v</w:t>
      </w:r>
      <w:r w:rsidR="00D44EBA">
        <w:rPr>
          <w:rFonts w:ascii="Times New Roman" w:hAnsi="Times New Roman"/>
          <w:b/>
          <w:bCs/>
        </w:rPr>
        <w:t xml:space="preserve">ersus </w:t>
      </w:r>
      <w:r w:rsidR="00DD1985">
        <w:rPr>
          <w:rFonts w:ascii="Times New Roman" w:hAnsi="Times New Roman"/>
          <w:b/>
          <w:bCs/>
        </w:rPr>
        <w:t>S</w:t>
      </w:r>
      <w:r w:rsidR="00AA64BD">
        <w:rPr>
          <w:rFonts w:ascii="Times New Roman" w:hAnsi="Times New Roman"/>
          <w:b/>
          <w:bCs/>
        </w:rPr>
        <w:t>t</w:t>
      </w:r>
      <w:r w:rsidR="00AA64BD" w:rsidRPr="00255FE4">
        <w:rPr>
          <w:rFonts w:ascii="Times New Roman" w:hAnsi="Times New Roman"/>
          <w:b/>
          <w:bCs/>
        </w:rPr>
        <w:t>andard</w:t>
      </w:r>
      <w:r w:rsidR="00C72FD6">
        <w:rPr>
          <w:rFonts w:ascii="Times New Roman" w:hAnsi="Times New Roman"/>
          <w:b/>
          <w:bCs/>
        </w:rPr>
        <w:t xml:space="preserve"> 4 Weeks Regimen in B</w:t>
      </w:r>
      <w:r w:rsidR="008D12CB" w:rsidRPr="00255FE4">
        <w:rPr>
          <w:rFonts w:ascii="Times New Roman" w:hAnsi="Times New Roman"/>
          <w:b/>
          <w:bCs/>
        </w:rPr>
        <w:t>r</w:t>
      </w:r>
      <w:r w:rsidR="00DD1985">
        <w:rPr>
          <w:rFonts w:ascii="Times New Roman" w:hAnsi="Times New Roman"/>
          <w:b/>
          <w:bCs/>
        </w:rPr>
        <w:t>east Cancer P</w:t>
      </w:r>
      <w:r w:rsidR="00C72FD6">
        <w:rPr>
          <w:rFonts w:ascii="Times New Roman" w:hAnsi="Times New Roman"/>
          <w:b/>
          <w:bCs/>
        </w:rPr>
        <w:t>atients with Bone I</w:t>
      </w:r>
      <w:r w:rsidR="008D12CB" w:rsidRPr="00255FE4">
        <w:rPr>
          <w:rFonts w:ascii="Times New Roman" w:hAnsi="Times New Roman"/>
          <w:b/>
          <w:bCs/>
        </w:rPr>
        <w:t>nvolvement</w:t>
      </w:r>
    </w:p>
    <w:p w:rsidR="002F4084" w:rsidRPr="00255FE4" w:rsidRDefault="002F4084" w:rsidP="000208AC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bCs/>
        </w:rPr>
      </w:pPr>
    </w:p>
    <w:p w:rsidR="002F4084" w:rsidRPr="00255FE4" w:rsidRDefault="003A5398" w:rsidP="000208AC">
      <w:pPr>
        <w:autoSpaceDE w:val="0"/>
        <w:autoSpaceDN w:val="0"/>
        <w:adjustRightInd w:val="0"/>
        <w:snapToGrid w:val="0"/>
        <w:jc w:val="center"/>
        <w:rPr>
          <w:rFonts w:ascii="Times New Roman" w:eastAsiaTheme="minorEastAsia" w:hAnsi="Times New Roman"/>
          <w:bCs/>
          <w:vertAlign w:val="superscript"/>
          <w:lang w:eastAsia="zh-CN"/>
        </w:rPr>
      </w:pPr>
      <w:r w:rsidRPr="00255FE4">
        <w:rPr>
          <w:rFonts w:ascii="Times New Roman" w:hAnsi="Times New Roman"/>
        </w:rPr>
        <w:t>Emad Sadaka</w:t>
      </w:r>
      <w:r w:rsidRPr="00255FE4">
        <w:rPr>
          <w:rFonts w:ascii="Times New Roman" w:hAnsi="Times New Roman"/>
          <w:vertAlign w:val="superscript"/>
        </w:rPr>
        <w:t>1</w:t>
      </w:r>
      <w:r w:rsidR="00F97AE3">
        <w:rPr>
          <w:rFonts w:ascii="Times New Roman" w:hAnsi="Times New Roman"/>
        </w:rPr>
        <w:t xml:space="preserve"> </w:t>
      </w:r>
      <w:r w:rsidR="001B5532" w:rsidRPr="00255FE4">
        <w:rPr>
          <w:rFonts w:ascii="Times New Roman" w:hAnsi="Times New Roman"/>
        </w:rPr>
        <w:t>and Rasha Khedr</w:t>
      </w:r>
      <w:r w:rsidRPr="00255FE4">
        <w:rPr>
          <w:rFonts w:ascii="Times New Roman" w:hAnsi="Times New Roman"/>
          <w:bCs/>
          <w:vertAlign w:val="superscript"/>
        </w:rPr>
        <w:t>2</w:t>
      </w:r>
    </w:p>
    <w:p w:rsidR="002F4084" w:rsidRPr="00255FE4" w:rsidRDefault="002F4084" w:rsidP="000208AC">
      <w:pPr>
        <w:autoSpaceDE w:val="0"/>
        <w:autoSpaceDN w:val="0"/>
        <w:adjustRightInd w:val="0"/>
        <w:snapToGrid w:val="0"/>
        <w:jc w:val="center"/>
        <w:rPr>
          <w:rFonts w:ascii="Times New Roman" w:eastAsiaTheme="minorEastAsia" w:hAnsi="Times New Roman"/>
          <w:b/>
          <w:bCs/>
          <w:vertAlign w:val="superscript"/>
          <w:lang w:eastAsia="zh-CN"/>
        </w:rPr>
      </w:pPr>
    </w:p>
    <w:p w:rsidR="008D12CB" w:rsidRPr="00255FE4" w:rsidRDefault="008D12CB" w:rsidP="000208AC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</w:rPr>
      </w:pPr>
      <w:r w:rsidRPr="00255FE4">
        <w:rPr>
          <w:rFonts w:ascii="Times New Roman" w:hAnsi="Times New Roman"/>
          <w:vertAlign w:val="superscript"/>
        </w:rPr>
        <w:t>1</w:t>
      </w:r>
      <w:r w:rsidR="003A5398" w:rsidRPr="00255FE4">
        <w:rPr>
          <w:rFonts w:ascii="Times New Roman" w:hAnsi="Times New Roman"/>
        </w:rPr>
        <w:t>Clinical Oncology Department, Faculty of Medicine, Kafer</w:t>
      </w:r>
      <w:r w:rsidR="00BF0B6E">
        <w:rPr>
          <w:rFonts w:ascii="Times New Roman" w:hAnsi="Times New Roman"/>
        </w:rPr>
        <w:t xml:space="preserve"> </w:t>
      </w:r>
      <w:r w:rsidR="003A5398" w:rsidRPr="00255FE4">
        <w:rPr>
          <w:rFonts w:ascii="Times New Roman" w:hAnsi="Times New Roman"/>
        </w:rPr>
        <w:t>Elsheikh</w:t>
      </w:r>
      <w:r w:rsidR="00BF0B6E">
        <w:rPr>
          <w:rFonts w:ascii="Times New Roman" w:hAnsi="Times New Roman"/>
        </w:rPr>
        <w:t xml:space="preserve"> </w:t>
      </w:r>
      <w:r w:rsidRPr="00255FE4">
        <w:rPr>
          <w:rFonts w:ascii="Times New Roman" w:hAnsi="Times New Roman"/>
        </w:rPr>
        <w:t>University, Egypt</w:t>
      </w:r>
    </w:p>
    <w:p w:rsidR="003A5398" w:rsidRPr="00255FE4" w:rsidRDefault="008D12CB" w:rsidP="000208AC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bCs/>
        </w:rPr>
      </w:pPr>
      <w:r w:rsidRPr="00255FE4">
        <w:rPr>
          <w:rFonts w:ascii="Times New Roman" w:hAnsi="Times New Roman"/>
          <w:vertAlign w:val="superscript"/>
        </w:rPr>
        <w:t>2</w:t>
      </w:r>
      <w:r w:rsidRPr="00255FE4">
        <w:rPr>
          <w:rFonts w:ascii="Times New Roman" w:hAnsi="Times New Roman"/>
        </w:rPr>
        <w:t xml:space="preserve">Clinical Oncology Department, Faculty of Medicine, </w:t>
      </w:r>
      <w:r w:rsidR="003A5398" w:rsidRPr="00255FE4">
        <w:rPr>
          <w:rFonts w:ascii="Times New Roman" w:hAnsi="Times New Roman"/>
        </w:rPr>
        <w:t xml:space="preserve">Tanta </w:t>
      </w:r>
      <w:r w:rsidRPr="00255FE4">
        <w:rPr>
          <w:rFonts w:ascii="Times New Roman" w:hAnsi="Times New Roman"/>
        </w:rPr>
        <w:t>University, Egypt</w:t>
      </w:r>
    </w:p>
    <w:p w:rsidR="002F4084" w:rsidRPr="00255FE4" w:rsidRDefault="00845F20" w:rsidP="000208AC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bCs/>
        </w:rPr>
      </w:pPr>
      <w:hyperlink r:id="rId7" w:history="1">
        <w:r w:rsidR="00FC3A1E" w:rsidRPr="00255FE4">
          <w:rPr>
            <w:rStyle w:val="Hyperlink"/>
            <w:rFonts w:ascii="Times New Roman" w:hAnsi="Times New Roman"/>
          </w:rPr>
          <w:t>e_sadaka@hotmail.com</w:t>
        </w:r>
      </w:hyperlink>
    </w:p>
    <w:p w:rsidR="002F4084" w:rsidRPr="00255FE4" w:rsidRDefault="002F4084" w:rsidP="000208AC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bCs/>
        </w:rPr>
      </w:pPr>
    </w:p>
    <w:p w:rsidR="003C12CF" w:rsidRPr="00255FE4" w:rsidRDefault="008D12CB" w:rsidP="000208AC">
      <w:pPr>
        <w:snapToGrid w:val="0"/>
        <w:jc w:val="both"/>
        <w:rPr>
          <w:rFonts w:ascii="Times New Roman" w:hAnsi="Times New Roman"/>
          <w:color w:val="000000" w:themeColor="text1"/>
          <w:lang w:bidi="ar-EG"/>
        </w:rPr>
      </w:pPr>
      <w:r w:rsidRPr="00255FE4">
        <w:rPr>
          <w:rFonts w:ascii="Times New Roman" w:hAnsi="Times New Roman"/>
          <w:b/>
          <w:bCs/>
        </w:rPr>
        <w:t xml:space="preserve">Abstract: </w:t>
      </w:r>
      <w:r w:rsidR="003C12CF" w:rsidRPr="00255FE4">
        <w:rPr>
          <w:rFonts w:ascii="Times New Roman" w:hAnsi="Times New Roman"/>
          <w:b/>
          <w:bCs/>
        </w:rPr>
        <w:t xml:space="preserve">Purpose: </w:t>
      </w:r>
      <w:r w:rsidR="003C12CF" w:rsidRPr="00255FE4">
        <w:rPr>
          <w:rFonts w:ascii="Times New Roman" w:eastAsia="Times New Roman" w:hAnsi="Times New Roman"/>
        </w:rPr>
        <w:t xml:space="preserve">The present study is to evaluate the 12 weeks interval of zoledronic acid compared to the 4 weeks regimen. </w:t>
      </w:r>
      <w:r w:rsidR="003C12CF" w:rsidRPr="00255FE4">
        <w:rPr>
          <w:rFonts w:ascii="Times New Roman" w:hAnsi="Times New Roman"/>
          <w:b/>
          <w:bCs/>
        </w:rPr>
        <w:t>Methods</w:t>
      </w:r>
      <w:r w:rsidR="003C12CF" w:rsidRPr="00255FE4">
        <w:rPr>
          <w:rFonts w:ascii="Times New Roman" w:hAnsi="Times New Roman"/>
        </w:rPr>
        <w:t>: Patients were distributed in 2 groups, for re</w:t>
      </w:r>
      <w:r w:rsidR="00255FE4" w:rsidRPr="00255FE4">
        <w:rPr>
          <w:rFonts w:ascii="Times New Roman" w:eastAsiaTheme="minorEastAsia" w:hAnsi="Times New Roman" w:hint="eastAsia"/>
          <w:lang w:eastAsia="zh-CN"/>
        </w:rPr>
        <w:t>cei</w:t>
      </w:r>
      <w:r w:rsidR="003C12CF" w:rsidRPr="00255FE4">
        <w:rPr>
          <w:rFonts w:ascii="Times New Roman" w:hAnsi="Times New Roman"/>
        </w:rPr>
        <w:t xml:space="preserve">ve 4.0 mg of </w:t>
      </w:r>
      <w:r w:rsidR="00D44EBA" w:rsidRPr="00255FE4">
        <w:rPr>
          <w:rFonts w:ascii="Times New Roman" w:hAnsi="Times New Roman"/>
        </w:rPr>
        <w:t>intravenous</w:t>
      </w:r>
      <w:r w:rsidR="003C12CF" w:rsidRPr="00255FE4">
        <w:rPr>
          <w:rFonts w:ascii="Times New Roman" w:hAnsi="Times New Roman"/>
        </w:rPr>
        <w:t xml:space="preserve">zoledrnic acid every four weeks (group 1) or 12 weeks (group 2) / year. 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One hundred and forty patients (140) were </w:t>
      </w:r>
      <w:r w:rsidR="00D44EBA" w:rsidRPr="00255FE4">
        <w:rPr>
          <w:rFonts w:ascii="Times New Roman" w:eastAsia="Times New Roman" w:hAnsi="Times New Roman"/>
          <w:shd w:val="clear" w:color="auto" w:fill="FFFFFF"/>
        </w:rPr>
        <w:t>enrolled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 in this study on 69 patients </w:t>
      </w:r>
      <w:r w:rsidR="00D44EBA" w:rsidRPr="00255FE4">
        <w:rPr>
          <w:rFonts w:ascii="Times New Roman" w:eastAsia="Times New Roman" w:hAnsi="Times New Roman"/>
          <w:shd w:val="clear" w:color="auto" w:fill="FFFFFF"/>
        </w:rPr>
        <w:t>randomly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 to </w:t>
      </w:r>
      <w:r w:rsidR="00255FE4" w:rsidRPr="00255FE4">
        <w:rPr>
          <w:rFonts w:ascii="Times New Roman" w:eastAsia="Times New Roman" w:hAnsi="Times New Roman"/>
          <w:shd w:val="clear" w:color="auto" w:fill="FFFFFF"/>
        </w:rPr>
        <w:t>receive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>zoledrnic acid every four weeks and 71patients randomly receive</w:t>
      </w:r>
      <w:r w:rsidR="00DD1985">
        <w:rPr>
          <w:rFonts w:ascii="Times New Roman" w:eastAsia="Times New Roman" w:hAnsi="Times New Roman"/>
          <w:shd w:val="clear" w:color="auto" w:fill="FFFFFF"/>
        </w:rPr>
        <w:t>d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zoledronic acid every 12 weeks. </w:t>
      </w:r>
      <w:r w:rsidR="003C12CF" w:rsidRPr="00255FE4">
        <w:rPr>
          <w:rFonts w:ascii="Times New Roman" w:hAnsi="Times New Roman"/>
        </w:rPr>
        <w:t xml:space="preserve">The primary endpoint was the proportion of patients having at least 1 SRE within 1 year after that. 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>Secondary end points included pain, the incidences of adverse events of zoledrnic acid (</w:t>
      </w:r>
      <w:r w:rsidR="00DD1985" w:rsidRPr="00255FE4">
        <w:rPr>
          <w:rFonts w:ascii="Times New Roman" w:eastAsia="Times New Roman" w:hAnsi="Times New Roman"/>
          <w:shd w:val="clear" w:color="auto" w:fill="FFFFFF"/>
        </w:rPr>
        <w:t>osteonecrosis</w:t>
      </w:r>
      <w:bookmarkStart w:id="0" w:name="_GoBack"/>
      <w:bookmarkEnd w:id="0"/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 and renal dysfunction) and the skeletal morbidity rate. </w:t>
      </w:r>
      <w:r w:rsidR="003C12CF" w:rsidRPr="00255FE4">
        <w:rPr>
          <w:rFonts w:ascii="Times New Roman" w:hAnsi="Times New Roman"/>
          <w:b/>
          <w:bCs/>
        </w:rPr>
        <w:t>Results</w:t>
      </w:r>
      <w:r w:rsidR="003C12CF" w:rsidRPr="00255FE4">
        <w:rPr>
          <w:rFonts w:ascii="Times New Roman" w:hAnsi="Times New Roman"/>
          <w:i/>
          <w:iCs/>
        </w:rPr>
        <w:t>: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 After 1 years of follow-up, SREs occurred in </w:t>
      </w:r>
      <w:r w:rsidR="003C12CF" w:rsidRPr="00255FE4">
        <w:rPr>
          <w:rFonts w:ascii="Times New Roman" w:hAnsi="Times New Roman"/>
        </w:rPr>
        <w:t>15 (21.7%) patients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 in the zoledrnic acid every 4 weeks group and </w:t>
      </w:r>
      <w:r w:rsidR="003C12CF" w:rsidRPr="00255FE4">
        <w:rPr>
          <w:rFonts w:ascii="Times New Roman" w:hAnsi="Times New Roman"/>
        </w:rPr>
        <w:t>16 (22.5%) patients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 in zoledrnic acid every 12 weeks group; (</w:t>
      </w:r>
      <w:r w:rsidR="00D44EBA" w:rsidRPr="00255FE4">
        <w:rPr>
          <w:rFonts w:ascii="Times New Roman" w:eastAsia="Times New Roman" w:hAnsi="Times New Roman"/>
          <w:shd w:val="clear" w:color="auto" w:fill="FFFFFF"/>
        </w:rPr>
        <w:t>no inferiority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 with P= </w:t>
      </w:r>
      <w:r w:rsidR="003C12CF" w:rsidRPr="00255FE4">
        <w:rPr>
          <w:rFonts w:ascii="Times New Roman" w:hAnsi="Times New Roman"/>
        </w:rPr>
        <w:t>0.910</w:t>
      </w:r>
      <w:r w:rsidR="009B2AAA">
        <w:rPr>
          <w:rFonts w:ascii="Times New Roman" w:eastAsia="Times New Roman" w:hAnsi="Times New Roman"/>
          <w:shd w:val="clear" w:color="auto" w:fill="FFFFFF"/>
        </w:rPr>
        <w:t>).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The time to first SRE between treatment groups was not statistically significantly different </w:t>
      </w:r>
      <w:r w:rsidR="00D44EBA">
        <w:rPr>
          <w:rFonts w:ascii="Times New Roman" w:eastAsia="Times New Roman" w:hAnsi="Times New Roman"/>
          <w:shd w:val="clear" w:color="auto" w:fill="FFFFFF"/>
        </w:rPr>
        <w:t>(hazard ratio (HR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>, 1.04; 95% CI, 0.52-2.1; P = 0.903)</w:t>
      </w:r>
      <w:r w:rsidR="00221F1C" w:rsidRPr="00255FE4">
        <w:rPr>
          <w:rFonts w:ascii="Times New Roman" w:eastAsia="Times New Roman" w:hAnsi="Times New Roman"/>
          <w:shd w:val="clear" w:color="auto" w:fill="FFFFFF"/>
        </w:rPr>
        <w:t>. A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>ccording to pain score the 2 treatment groups was not statistic significant different (p=0.595)</w:t>
      </w:r>
      <w:r w:rsidR="00221F1C" w:rsidRPr="00255FE4">
        <w:rPr>
          <w:rFonts w:ascii="Times New Roman" w:eastAsia="Times New Roman" w:hAnsi="Times New Roman"/>
          <w:shd w:val="clear" w:color="auto" w:fill="FFFFFF"/>
        </w:rPr>
        <w:t>. T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he mean skeletal morbidity rate (SMR) 0.46 (1.06) </w:t>
      </w:r>
      <w:r w:rsidR="00D44EBA" w:rsidRPr="00255FE4">
        <w:rPr>
          <w:rFonts w:ascii="Times New Roman" w:eastAsia="Times New Roman" w:hAnsi="Times New Roman"/>
          <w:shd w:val="clear" w:color="auto" w:fill="FFFFFF"/>
        </w:rPr>
        <w:t>vs.</w:t>
      </w:r>
      <w:r w:rsidR="003C12CF" w:rsidRPr="00255FE4">
        <w:rPr>
          <w:rFonts w:ascii="Times New Roman" w:eastAsia="Times New Roman" w:hAnsi="Times New Roman"/>
          <w:shd w:val="clear" w:color="auto" w:fill="FFFFFF"/>
        </w:rPr>
        <w:t xml:space="preserve"> 0.50 (1.50) events per year in the every four weeks versus every 12 weeks groups (P = .85)</w:t>
      </w:r>
      <w:r w:rsidR="003C12CF" w:rsidRPr="00255FE4">
        <w:rPr>
          <w:rFonts w:ascii="Times New Roman" w:eastAsia="Times New Roman" w:hAnsi="Times New Roman"/>
        </w:rPr>
        <w:t xml:space="preserve">. </w:t>
      </w:r>
      <w:r w:rsidR="003C12CF" w:rsidRPr="00255FE4">
        <w:rPr>
          <w:rFonts w:ascii="Times New Roman" w:hAnsi="Times New Roman"/>
          <w:b/>
          <w:bCs/>
        </w:rPr>
        <w:t>Conclusion:</w:t>
      </w:r>
      <w:r w:rsidR="00F97AE3">
        <w:rPr>
          <w:rFonts w:ascii="Times New Roman" w:eastAsiaTheme="minorHAnsi" w:hAnsi="Times New Roman"/>
        </w:rPr>
        <w:t xml:space="preserve"> </w:t>
      </w:r>
      <w:r w:rsidR="003C12CF" w:rsidRPr="00255FE4">
        <w:rPr>
          <w:rFonts w:ascii="Times New Roman" w:eastAsiaTheme="minorHAnsi" w:hAnsi="Times New Roman"/>
        </w:rPr>
        <w:t xml:space="preserve">Zoledrnic acid every 12 weeks compared with every 4 weeks did not result in an increased risk of skeletal </w:t>
      </w:r>
      <w:r w:rsidR="00D44EBA" w:rsidRPr="00255FE4">
        <w:rPr>
          <w:rFonts w:ascii="Times New Roman" w:eastAsiaTheme="minorHAnsi" w:hAnsi="Times New Roman"/>
        </w:rPr>
        <w:t>events</w:t>
      </w:r>
      <w:r w:rsidR="003C12CF" w:rsidRPr="00255FE4">
        <w:rPr>
          <w:rFonts w:ascii="Times New Roman" w:eastAsiaTheme="minorHAnsi" w:hAnsi="Times New Roman"/>
        </w:rPr>
        <w:t xml:space="preserve"> seems to be </w:t>
      </w:r>
      <w:r w:rsidR="00D44EBA" w:rsidRPr="00255FE4">
        <w:rPr>
          <w:rFonts w:ascii="Times New Roman" w:eastAsiaTheme="minorHAnsi" w:hAnsi="Times New Roman"/>
        </w:rPr>
        <w:t>noninferior</w:t>
      </w:r>
      <w:r w:rsidR="003C12CF" w:rsidRPr="00255FE4">
        <w:rPr>
          <w:rFonts w:ascii="Times New Roman" w:eastAsiaTheme="minorHAnsi" w:hAnsi="Times New Roman"/>
        </w:rPr>
        <w:t xml:space="preserve"> and may be an acceptable treatment option.</w:t>
      </w:r>
    </w:p>
    <w:p w:rsidR="000208AC" w:rsidRPr="00255FE4" w:rsidRDefault="000208AC" w:rsidP="000208AC">
      <w:pPr>
        <w:autoSpaceDE w:val="0"/>
        <w:autoSpaceDN w:val="0"/>
        <w:adjustRightInd w:val="0"/>
        <w:snapToGrid w:val="0"/>
        <w:jc w:val="both"/>
        <w:rPr>
          <w:rFonts w:ascii="Times New Roman" w:hAnsi="Times New Roman"/>
          <w:b/>
          <w:bCs/>
        </w:rPr>
      </w:pPr>
      <w:r w:rsidRPr="00255FE4">
        <w:rPr>
          <w:rFonts w:ascii="Times New Roman" w:hAnsi="Times New Roman"/>
        </w:rPr>
        <w:t>EmadSadaka</w:t>
      </w:r>
      <w:r w:rsidR="00F97AE3">
        <w:rPr>
          <w:rFonts w:ascii="Times New Roman" w:hAnsi="Times New Roman"/>
        </w:rPr>
        <w:t xml:space="preserve"> </w:t>
      </w:r>
      <w:r w:rsidRPr="00255FE4">
        <w:rPr>
          <w:rFonts w:ascii="Times New Roman" w:hAnsi="Times New Roman"/>
        </w:rPr>
        <w:t>and RashaKhedr.</w:t>
      </w:r>
      <w:r w:rsidR="00F97AE3">
        <w:rPr>
          <w:rFonts w:ascii="Times New Roman" w:hAnsi="Times New Roman"/>
          <w:b/>
          <w:bCs/>
        </w:rPr>
        <w:t xml:space="preserve"> </w:t>
      </w:r>
      <w:r w:rsidRPr="00255FE4">
        <w:rPr>
          <w:rFonts w:ascii="Times New Roman" w:hAnsi="Times New Roman"/>
          <w:b/>
          <w:bCs/>
        </w:rPr>
        <w:t>Comparison of Zoledron</w:t>
      </w:r>
      <w:r w:rsidR="00DD1985">
        <w:rPr>
          <w:rFonts w:ascii="Times New Roman" w:hAnsi="Times New Roman"/>
          <w:b/>
          <w:bCs/>
        </w:rPr>
        <w:t>ic Acid Every 12 W</w:t>
      </w:r>
      <w:r w:rsidR="00D44EBA">
        <w:rPr>
          <w:rFonts w:ascii="Times New Roman" w:hAnsi="Times New Roman"/>
          <w:b/>
          <w:bCs/>
        </w:rPr>
        <w:t xml:space="preserve">eeks versus </w:t>
      </w:r>
      <w:r w:rsidR="00DD1985">
        <w:rPr>
          <w:rFonts w:ascii="Times New Roman" w:hAnsi="Times New Roman"/>
          <w:b/>
          <w:bCs/>
        </w:rPr>
        <w:t>S</w:t>
      </w:r>
      <w:r w:rsidR="00AA64BD">
        <w:rPr>
          <w:rFonts w:ascii="Times New Roman" w:hAnsi="Times New Roman"/>
          <w:b/>
          <w:bCs/>
        </w:rPr>
        <w:t>tandard</w:t>
      </w:r>
      <w:r w:rsidR="00DD1985">
        <w:rPr>
          <w:rFonts w:ascii="Times New Roman" w:hAnsi="Times New Roman"/>
          <w:b/>
          <w:bCs/>
        </w:rPr>
        <w:t xml:space="preserve"> 4 Weeks Regimen in B</w:t>
      </w:r>
      <w:r w:rsidRPr="00255FE4">
        <w:rPr>
          <w:rFonts w:ascii="Times New Roman" w:hAnsi="Times New Roman"/>
          <w:b/>
          <w:bCs/>
        </w:rPr>
        <w:t>r</w:t>
      </w:r>
      <w:r w:rsidR="00DD1985">
        <w:rPr>
          <w:rFonts w:ascii="Times New Roman" w:hAnsi="Times New Roman"/>
          <w:b/>
          <w:bCs/>
        </w:rPr>
        <w:t>east Cancer Patients with Bone I</w:t>
      </w:r>
      <w:r w:rsidRPr="00255FE4">
        <w:rPr>
          <w:rFonts w:ascii="Times New Roman" w:hAnsi="Times New Roman"/>
          <w:b/>
          <w:bCs/>
        </w:rPr>
        <w:t>nvolvement</w:t>
      </w:r>
      <w:r w:rsidRPr="00255FE4">
        <w:rPr>
          <w:rFonts w:ascii="Times New Roman" w:eastAsia="Times New Roman" w:hAnsi="Times New Roman"/>
          <w:b/>
          <w:bCs/>
          <w:lang w:bidi="fa-IR"/>
        </w:rPr>
        <w:t>.</w:t>
      </w:r>
      <w:r w:rsidRPr="00255FE4">
        <w:rPr>
          <w:rFonts w:ascii="Times New Roman" w:hAnsi="Times New Roman"/>
          <w:i/>
        </w:rPr>
        <w:t xml:space="preserve"> Cancer Biology</w:t>
      </w:r>
      <w:r w:rsidRPr="00255FE4">
        <w:rPr>
          <w:rFonts w:ascii="Times New Roman" w:hAnsi="Times New Roman"/>
        </w:rPr>
        <w:t xml:space="preserve"> 201</w:t>
      </w:r>
      <w:r w:rsidRPr="00255FE4">
        <w:rPr>
          <w:rFonts w:ascii="Times New Roman" w:hAnsi="Times New Roman" w:hint="eastAsia"/>
        </w:rPr>
        <w:t>8</w:t>
      </w:r>
      <w:r w:rsidRPr="00255FE4">
        <w:rPr>
          <w:rFonts w:ascii="Times New Roman" w:hAnsi="Times New Roman"/>
        </w:rPr>
        <w:t>;</w:t>
      </w:r>
      <w:r w:rsidRPr="00255FE4">
        <w:rPr>
          <w:rFonts w:ascii="Times New Roman" w:hAnsi="Times New Roman" w:hint="eastAsia"/>
        </w:rPr>
        <w:t>8</w:t>
      </w:r>
      <w:r w:rsidRPr="00255FE4">
        <w:rPr>
          <w:rFonts w:ascii="Times New Roman" w:hAnsi="Times New Roman"/>
        </w:rPr>
        <w:t>(</w:t>
      </w:r>
      <w:r w:rsidRPr="00255FE4">
        <w:rPr>
          <w:rFonts w:ascii="Times New Roman" w:hAnsi="Times New Roman" w:hint="eastAsia"/>
        </w:rPr>
        <w:t>3</w:t>
      </w:r>
      <w:r w:rsidRPr="00255FE4">
        <w:rPr>
          <w:rFonts w:ascii="Times New Roman" w:hAnsi="Times New Roman"/>
        </w:rPr>
        <w:t>):</w:t>
      </w:r>
      <w:r w:rsidR="00290A92" w:rsidRPr="00255FE4">
        <w:rPr>
          <w:rFonts w:ascii="Times New Roman" w:hAnsi="Times New Roman"/>
          <w:noProof/>
          <w:color w:val="000000"/>
        </w:rPr>
        <w:t>38-41</w:t>
      </w:r>
      <w:r w:rsidRPr="00255FE4">
        <w:rPr>
          <w:rFonts w:ascii="Times New Roman" w:hAnsi="Times New Roman"/>
        </w:rPr>
        <w:t xml:space="preserve">]. </w:t>
      </w:r>
      <w:r w:rsidRPr="00255FE4">
        <w:rPr>
          <w:rStyle w:val="msonormal0"/>
          <w:rFonts w:ascii="Times New Roman" w:eastAsia="宋" w:hAnsi="Times New Roman"/>
        </w:rPr>
        <w:t>ISSN: 2150-1041 (print); ISSN: 2150-105X (online)</w:t>
      </w:r>
      <w:r w:rsidRPr="00255FE4">
        <w:rPr>
          <w:rFonts w:ascii="Times New Roman" w:hAnsi="Times New Roman"/>
        </w:rPr>
        <w:t xml:space="preserve">. </w:t>
      </w:r>
      <w:hyperlink r:id="rId8" w:history="1">
        <w:r w:rsidRPr="00255FE4">
          <w:rPr>
            <w:rStyle w:val="Hyperlink"/>
            <w:rFonts w:ascii="Times New Roman" w:hAnsi="Times New Roman"/>
            <w:color w:val="0000FF"/>
          </w:rPr>
          <w:t>http://www.cancerbio.net</w:t>
        </w:r>
      </w:hyperlink>
      <w:r w:rsidRPr="00255FE4">
        <w:rPr>
          <w:rFonts w:ascii="Times New Roman" w:hAnsi="Times New Roman"/>
        </w:rPr>
        <w:t>.</w:t>
      </w:r>
      <w:r w:rsidRPr="00255FE4">
        <w:rPr>
          <w:rFonts w:ascii="Times New Roman" w:eastAsiaTheme="minorEastAsia" w:hAnsi="Times New Roman" w:hint="eastAsia"/>
          <w:lang w:eastAsia="zh-CN"/>
        </w:rPr>
        <w:t>7</w:t>
      </w:r>
      <w:r w:rsidRPr="00255FE4">
        <w:rPr>
          <w:rFonts w:ascii="Times New Roman" w:hAnsi="Times New Roman" w:hint="eastAsia"/>
        </w:rPr>
        <w:t xml:space="preserve">. </w:t>
      </w:r>
      <w:r w:rsidRPr="00255FE4">
        <w:rPr>
          <w:rFonts w:ascii="Times New Roman" w:hAnsi="Times New Roman"/>
          <w:color w:val="000000"/>
          <w:shd w:val="clear" w:color="auto" w:fill="FFFFFF"/>
        </w:rPr>
        <w:t>doi:</w:t>
      </w:r>
      <w:hyperlink r:id="rId9" w:history="1">
        <w:r w:rsidRPr="00255FE4">
          <w:rPr>
            <w:rStyle w:val="Hyperlink"/>
            <w:rFonts w:ascii="Times New Roman" w:hAnsi="Times New Roman"/>
            <w:color w:val="0000FF"/>
            <w:shd w:val="clear" w:color="auto" w:fill="FFFFFF"/>
          </w:rPr>
          <w:t>10.7537/mars</w:t>
        </w:r>
        <w:r w:rsidRPr="00255FE4">
          <w:rPr>
            <w:rStyle w:val="Hyperlink"/>
            <w:rFonts w:ascii="Times New Roman" w:hAnsi="Times New Roman" w:hint="eastAsia"/>
            <w:color w:val="0000FF"/>
            <w:shd w:val="clear" w:color="auto" w:fill="FFFFFF"/>
          </w:rPr>
          <w:t>cbj0803</w:t>
        </w:r>
        <w:r w:rsidRPr="00255FE4">
          <w:rPr>
            <w:rStyle w:val="Hyperlink"/>
            <w:rFonts w:ascii="Times New Roman" w:hAnsi="Times New Roman"/>
            <w:color w:val="0000FF"/>
            <w:shd w:val="clear" w:color="auto" w:fill="FFFFFF"/>
          </w:rPr>
          <w:t>1</w:t>
        </w:r>
        <w:r w:rsidRPr="00255FE4">
          <w:rPr>
            <w:rStyle w:val="Hyperlink"/>
            <w:rFonts w:ascii="Times New Roman" w:hAnsi="Times New Roman" w:hint="eastAsia"/>
            <w:color w:val="0000FF"/>
            <w:shd w:val="clear" w:color="auto" w:fill="FFFFFF"/>
          </w:rPr>
          <w:t>8.</w:t>
        </w:r>
        <w:r w:rsidRPr="00255FE4">
          <w:rPr>
            <w:rStyle w:val="Hyperlink"/>
            <w:rFonts w:ascii="Times New Roman" w:hAnsi="Times New Roman"/>
            <w:color w:val="0000FF"/>
            <w:shd w:val="clear" w:color="auto" w:fill="FFFFFF"/>
          </w:rPr>
          <w:t>0</w:t>
        </w:r>
        <w:r w:rsidRPr="00255FE4">
          <w:rPr>
            <w:rStyle w:val="Hyperlink"/>
            <w:rFonts w:ascii="Times New Roman" w:eastAsiaTheme="minorEastAsia" w:hAnsi="Times New Roman" w:hint="eastAsia"/>
            <w:color w:val="0000FF"/>
            <w:shd w:val="clear" w:color="auto" w:fill="FFFFFF"/>
            <w:lang w:eastAsia="zh-CN"/>
          </w:rPr>
          <w:t>7</w:t>
        </w:r>
      </w:hyperlink>
      <w:r w:rsidRPr="00255FE4">
        <w:rPr>
          <w:rFonts w:ascii="Times New Roman" w:hAnsi="Times New Roman"/>
          <w:color w:val="000000"/>
          <w:shd w:val="clear" w:color="auto" w:fill="FFFFFF"/>
        </w:rPr>
        <w:t>.</w:t>
      </w:r>
    </w:p>
    <w:p w:rsidR="001B5532" w:rsidRPr="00255FE4" w:rsidRDefault="001B5532" w:rsidP="000208AC">
      <w:pPr>
        <w:snapToGrid w:val="0"/>
        <w:jc w:val="both"/>
        <w:rPr>
          <w:rFonts w:ascii="Times New Roman" w:hAnsi="Times New Roman"/>
          <w:color w:val="000000" w:themeColor="text1"/>
          <w:lang w:bidi="ar-EG"/>
        </w:rPr>
      </w:pPr>
    </w:p>
    <w:p w:rsidR="003A5398" w:rsidRPr="00255FE4" w:rsidRDefault="003A5398" w:rsidP="000208AC">
      <w:pPr>
        <w:snapToGrid w:val="0"/>
        <w:jc w:val="both"/>
        <w:rPr>
          <w:rFonts w:ascii="Times New Roman" w:eastAsia="Times New Roman" w:hAnsi="Times New Roman"/>
          <w:lang w:bidi="ar-EG"/>
        </w:rPr>
      </w:pPr>
      <w:r w:rsidRPr="00255FE4">
        <w:rPr>
          <w:rFonts w:ascii="Times New Roman" w:hAnsi="Times New Roman"/>
          <w:b/>
          <w:bCs/>
        </w:rPr>
        <w:t>Keywords</w:t>
      </w:r>
      <w:r w:rsidRPr="00255FE4">
        <w:rPr>
          <w:rFonts w:ascii="Times New Roman" w:hAnsi="Times New Roman"/>
        </w:rPr>
        <w:t>:</w:t>
      </w:r>
      <w:r w:rsidR="001B5532" w:rsidRPr="00255FE4">
        <w:rPr>
          <w:rFonts w:ascii="Times New Roman" w:hAnsi="Times New Roman"/>
        </w:rPr>
        <w:t>Zoledronic acid</w:t>
      </w:r>
      <w:r w:rsidRPr="00255FE4">
        <w:rPr>
          <w:rFonts w:ascii="Times New Roman" w:hAnsi="Times New Roman"/>
        </w:rPr>
        <w:t xml:space="preserve">, </w:t>
      </w:r>
      <w:r w:rsidR="001B5532" w:rsidRPr="00255FE4">
        <w:rPr>
          <w:rFonts w:ascii="Times New Roman" w:hAnsi="Times New Roman"/>
        </w:rPr>
        <w:t>skeletal events</w:t>
      </w:r>
      <w:r w:rsidRPr="00255FE4">
        <w:rPr>
          <w:rFonts w:ascii="Times New Roman" w:hAnsi="Times New Roman"/>
        </w:rPr>
        <w:t xml:space="preserve">, </w:t>
      </w:r>
      <w:r w:rsidR="001B5532" w:rsidRPr="00255FE4">
        <w:rPr>
          <w:rFonts w:ascii="Times New Roman" w:hAnsi="Times New Roman"/>
        </w:rPr>
        <w:t>adverse events</w:t>
      </w:r>
      <w:r w:rsidRPr="00255FE4">
        <w:rPr>
          <w:rFonts w:ascii="Times New Roman" w:hAnsi="Times New Roman"/>
        </w:rPr>
        <w:t>.</w:t>
      </w:r>
    </w:p>
    <w:p w:rsidR="000208AC" w:rsidRPr="00255FE4" w:rsidRDefault="002F4084" w:rsidP="000208AC">
      <w:pPr>
        <w:snapToGrid w:val="0"/>
        <w:jc w:val="both"/>
        <w:rPr>
          <w:rFonts w:ascii="Times New Roman" w:hAnsi="Times New Roman"/>
          <w:b/>
          <w:bCs/>
        </w:rPr>
        <w:sectPr w:rsidR="000208AC" w:rsidRPr="00255FE4" w:rsidSect="00290A92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38"/>
          <w:cols w:space="720"/>
          <w:docGrid w:linePitch="360"/>
        </w:sectPr>
      </w:pPr>
      <w:r w:rsidRPr="00255FE4">
        <w:rPr>
          <w:rFonts w:ascii="Times New Roman" w:hAnsi="Times New Roman"/>
          <w:b/>
          <w:bCs/>
        </w:rPr>
        <w:cr/>
      </w:r>
    </w:p>
    <w:p w:rsidR="00F05F72" w:rsidRPr="00255FE4" w:rsidRDefault="008D12CB" w:rsidP="000208AC">
      <w:pPr>
        <w:snapToGrid w:val="0"/>
        <w:jc w:val="both"/>
        <w:rPr>
          <w:rFonts w:ascii="Times New Roman" w:hAnsi="Times New Roman"/>
          <w:b/>
          <w:bCs/>
        </w:rPr>
      </w:pPr>
      <w:r w:rsidRPr="00255FE4">
        <w:rPr>
          <w:rFonts w:ascii="Times New Roman" w:hAnsi="Times New Roman"/>
          <w:b/>
          <w:bCs/>
        </w:rPr>
        <w:lastRenderedPageBreak/>
        <w:t xml:space="preserve">1. </w:t>
      </w:r>
      <w:r w:rsidR="00F05F72" w:rsidRPr="00255FE4">
        <w:rPr>
          <w:rFonts w:ascii="Times New Roman" w:hAnsi="Times New Roman"/>
          <w:b/>
          <w:bCs/>
        </w:rPr>
        <w:t>Introduction</w:t>
      </w:r>
    </w:p>
    <w:p w:rsidR="003C12CF" w:rsidRPr="00255FE4" w:rsidRDefault="003C12CF" w:rsidP="000208AC">
      <w:pPr>
        <w:snapToGrid w:val="0"/>
        <w:ind w:firstLine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 xml:space="preserve">Metastatic breast cancer to bone is a common clinical problem. </w:t>
      </w:r>
      <w:r w:rsidRPr="00255FE4">
        <w:rPr>
          <w:rFonts w:ascii="Times New Roman" w:hAnsi="Times New Roman"/>
          <w:vertAlign w:val="superscript"/>
        </w:rPr>
        <w:t>1</w:t>
      </w:r>
      <w:r w:rsidRPr="00255FE4">
        <w:rPr>
          <w:rFonts w:ascii="Times New Roman" w:hAnsi="Times New Roman"/>
        </w:rPr>
        <w:t xml:space="preserve">It hasmany </w:t>
      </w:r>
      <w:r w:rsidR="00255FE4" w:rsidRPr="00255FE4">
        <w:rPr>
          <w:rFonts w:ascii="Times New Roman" w:hAnsi="Times New Roman"/>
        </w:rPr>
        <w:t>debilitating skeletal</w:t>
      </w:r>
      <w:r w:rsidRPr="00255FE4">
        <w:rPr>
          <w:rFonts w:ascii="Times New Roman" w:hAnsi="Times New Roman"/>
        </w:rPr>
        <w:t xml:space="preserve">-related events (SREs), that included </w:t>
      </w:r>
      <w:r w:rsidR="00255FE4" w:rsidRPr="00255FE4">
        <w:rPr>
          <w:rFonts w:ascii="Times New Roman" w:hAnsi="Times New Roman"/>
        </w:rPr>
        <w:t>the bone</w:t>
      </w:r>
      <w:r w:rsidRPr="00255FE4">
        <w:rPr>
          <w:rFonts w:ascii="Times New Roman" w:hAnsi="Times New Roman"/>
        </w:rPr>
        <w:t xml:space="preserve"> fractures, hypercalcemia</w:t>
      </w:r>
      <w:r w:rsidR="00221F1C" w:rsidRPr="00255FE4">
        <w:rPr>
          <w:rFonts w:ascii="Times New Roman" w:hAnsi="Times New Roman"/>
        </w:rPr>
        <w:t>, n</w:t>
      </w:r>
      <w:r w:rsidRPr="00255FE4">
        <w:rPr>
          <w:rFonts w:ascii="Times New Roman" w:hAnsi="Times New Roman"/>
        </w:rPr>
        <w:t>erve compression</w:t>
      </w:r>
      <w:r w:rsidR="00221F1C" w:rsidRPr="00255FE4">
        <w:rPr>
          <w:rFonts w:ascii="Times New Roman" w:hAnsi="Times New Roman"/>
        </w:rPr>
        <w:t>, a</w:t>
      </w:r>
      <w:r w:rsidRPr="00255FE4">
        <w:rPr>
          <w:rFonts w:ascii="Times New Roman" w:hAnsi="Times New Roman"/>
        </w:rPr>
        <w:t>nd severe pain</w:t>
      </w:r>
      <w:r w:rsidRPr="00255FE4">
        <w:rPr>
          <w:rFonts w:ascii="Times New Roman" w:hAnsi="Times New Roman"/>
          <w:vertAlign w:val="superscript"/>
        </w:rPr>
        <w:t>2</w:t>
      </w:r>
      <w:r w:rsidRPr="00255FE4">
        <w:rPr>
          <w:rFonts w:ascii="Times New Roman" w:hAnsi="Times New Roman"/>
        </w:rPr>
        <w:t xml:space="preserve"> These skeletal complications, in turn, increase the need for palliative radiation or surgery to bone</w:t>
      </w:r>
      <w:r w:rsidRPr="00255FE4">
        <w:rPr>
          <w:rFonts w:ascii="Times New Roman" w:hAnsi="Times New Roman"/>
          <w:vertAlign w:val="superscript"/>
        </w:rPr>
        <w:t>3</w:t>
      </w:r>
      <w:r w:rsidRPr="00255FE4">
        <w:rPr>
          <w:rFonts w:ascii="Times New Roman" w:hAnsi="Times New Roman"/>
        </w:rPr>
        <w:t xml:space="preserve"> limit functional independence, adversely affect the quality of life</w:t>
      </w:r>
      <w:r w:rsidRPr="00255FE4">
        <w:rPr>
          <w:rFonts w:ascii="Times New Roman" w:hAnsi="Times New Roman"/>
          <w:vertAlign w:val="superscript"/>
        </w:rPr>
        <w:t>4,5</w:t>
      </w:r>
      <w:r w:rsidRPr="00255FE4">
        <w:rPr>
          <w:rFonts w:ascii="Times New Roman" w:hAnsi="Times New Roman"/>
        </w:rPr>
        <w:t xml:space="preserve"> and continue to cause morbidity of the affected patient</w:t>
      </w:r>
      <w:r w:rsidR="00221F1C" w:rsidRPr="00255FE4">
        <w:rPr>
          <w:rFonts w:ascii="Times New Roman" w:hAnsi="Times New Roman"/>
        </w:rPr>
        <w:t xml:space="preserve">s. </w:t>
      </w:r>
      <w:r w:rsidR="00221F1C" w:rsidRPr="00255FE4">
        <w:rPr>
          <w:rFonts w:ascii="Times New Roman" w:hAnsi="Times New Roman"/>
          <w:vertAlign w:val="superscript"/>
        </w:rPr>
        <w:t>6</w:t>
      </w:r>
      <w:r w:rsidRPr="00255FE4">
        <w:rPr>
          <w:rFonts w:ascii="Times New Roman" w:hAnsi="Times New Roman"/>
          <w:vertAlign w:val="superscript"/>
        </w:rPr>
        <w:t>,7</w:t>
      </w:r>
    </w:p>
    <w:p w:rsidR="003C12CF" w:rsidRPr="00255FE4" w:rsidRDefault="003C12CF" w:rsidP="000208AC">
      <w:pPr>
        <w:snapToGrid w:val="0"/>
        <w:ind w:firstLine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Zoledronic acid was approved for patients with metastases of bone from solid tumors</w:t>
      </w:r>
      <w:r w:rsidR="00221F1C" w:rsidRPr="00255FE4">
        <w:rPr>
          <w:rFonts w:ascii="Times New Roman" w:hAnsi="Times New Roman"/>
        </w:rPr>
        <w:t xml:space="preserve">. </w:t>
      </w:r>
      <w:r w:rsidR="00AA64BD" w:rsidRPr="00255FE4">
        <w:rPr>
          <w:rFonts w:ascii="Times New Roman" w:hAnsi="Times New Roman"/>
        </w:rPr>
        <w:t>The</w:t>
      </w:r>
      <w:r w:rsidRPr="00255FE4">
        <w:rPr>
          <w:rFonts w:ascii="Times New Roman" w:hAnsi="Times New Roman"/>
        </w:rPr>
        <w:t xml:space="preserve"> use of zoledronic acid every three to </w:t>
      </w:r>
      <w:r w:rsidR="00255FE4" w:rsidRPr="00255FE4">
        <w:rPr>
          <w:rFonts w:ascii="Times New Roman" w:hAnsi="Times New Roman"/>
        </w:rPr>
        <w:t>four weeks</w:t>
      </w:r>
      <w:r w:rsidRPr="00255FE4">
        <w:rPr>
          <w:rFonts w:ascii="Times New Roman" w:hAnsi="Times New Roman"/>
        </w:rPr>
        <w:t xml:space="preserve"> decreases pain, compression of spinal cord, bone radiation and surgery by 25% to 40%.</w:t>
      </w:r>
      <w:r w:rsidRPr="00255FE4">
        <w:rPr>
          <w:rFonts w:ascii="Times New Roman" w:hAnsi="Times New Roman"/>
          <w:vertAlign w:val="superscript"/>
        </w:rPr>
        <w:t>1,8,9</w:t>
      </w:r>
    </w:p>
    <w:p w:rsidR="003C12CF" w:rsidRPr="00255FE4" w:rsidRDefault="003C12CF" w:rsidP="000208AC">
      <w:pPr>
        <w:snapToGrid w:val="0"/>
        <w:ind w:firstLine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The bone-</w:t>
      </w:r>
      <w:r w:rsidR="00D44EBA" w:rsidRPr="00255FE4">
        <w:rPr>
          <w:rFonts w:ascii="Times New Roman" w:hAnsi="Times New Roman"/>
        </w:rPr>
        <w:t>modified</w:t>
      </w:r>
      <w:r w:rsidRPr="00255FE4">
        <w:rPr>
          <w:rFonts w:ascii="Times New Roman" w:hAnsi="Times New Roman"/>
        </w:rPr>
        <w:t xml:space="preserve"> considered the guidelines of agents in metastatic breast-cancer which were verified by </w:t>
      </w:r>
      <w:r w:rsidR="00255FE4" w:rsidRPr="00255FE4">
        <w:rPr>
          <w:rFonts w:ascii="Times New Roman" w:hAnsi="Times New Roman"/>
        </w:rPr>
        <w:t>American</w:t>
      </w:r>
      <w:r w:rsidRPr="00255FE4">
        <w:rPr>
          <w:rFonts w:ascii="Times New Roman" w:hAnsi="Times New Roman"/>
        </w:rPr>
        <w:t xml:space="preserve"> society of </w:t>
      </w:r>
      <w:r w:rsidR="00255FE4" w:rsidRPr="00255FE4">
        <w:rPr>
          <w:rFonts w:ascii="Times New Roman" w:hAnsi="Times New Roman"/>
        </w:rPr>
        <w:t>clinical oncology</w:t>
      </w:r>
      <w:r w:rsidRPr="00255FE4">
        <w:rPr>
          <w:rFonts w:ascii="Times New Roman" w:hAnsi="Times New Roman"/>
        </w:rPr>
        <w:t xml:space="preserve"> (ASCO).</w:t>
      </w:r>
      <w:r w:rsidRPr="00255FE4">
        <w:rPr>
          <w:rFonts w:ascii="Times New Roman" w:hAnsi="Times New Roman"/>
          <w:vertAlign w:val="superscript"/>
        </w:rPr>
        <w:t>10,11</w:t>
      </w:r>
      <w:r w:rsidRPr="00255FE4">
        <w:rPr>
          <w:rFonts w:ascii="Times New Roman" w:hAnsi="Times New Roman"/>
        </w:rPr>
        <w:t xml:space="preserve"> These agents includ</w:t>
      </w:r>
      <w:r w:rsidR="00221F1C" w:rsidRPr="00255FE4">
        <w:rPr>
          <w:rFonts w:ascii="Times New Roman" w:hAnsi="Times New Roman"/>
        </w:rPr>
        <w:t>e B</w:t>
      </w:r>
      <w:r w:rsidRPr="00255FE4">
        <w:rPr>
          <w:rFonts w:ascii="Times New Roman" w:hAnsi="Times New Roman"/>
        </w:rPr>
        <w:t xml:space="preserve">Ps and new osteoclastinhibitors. These agents are recorded in bone metastases of breast cancer with bone loss. </w:t>
      </w:r>
      <w:r w:rsidR="00AA64BD" w:rsidRPr="00255FE4">
        <w:rPr>
          <w:rFonts w:ascii="Times New Roman" w:hAnsi="Times New Roman"/>
        </w:rPr>
        <w:t>They advise</w:t>
      </w:r>
      <w:r w:rsidRPr="00255FE4">
        <w:rPr>
          <w:rFonts w:ascii="Times New Roman" w:hAnsi="Times New Roman"/>
        </w:rPr>
        <w:t xml:space="preserve"> to have a dental examination before </w:t>
      </w:r>
      <w:r w:rsidR="00AA64BD">
        <w:rPr>
          <w:rFonts w:ascii="Times New Roman" w:hAnsi="Times New Roman"/>
        </w:rPr>
        <w:t>bisphosphonate (</w:t>
      </w:r>
      <w:r w:rsidRPr="00255FE4">
        <w:rPr>
          <w:rFonts w:ascii="Times New Roman" w:hAnsi="Times New Roman"/>
        </w:rPr>
        <w:t>BP</w:t>
      </w:r>
      <w:r w:rsidR="00AA64BD">
        <w:rPr>
          <w:rFonts w:ascii="Times New Roman" w:hAnsi="Times New Roman"/>
        </w:rPr>
        <w:t>)</w:t>
      </w:r>
      <w:r w:rsidRPr="00255FE4">
        <w:rPr>
          <w:rFonts w:ascii="Times New Roman" w:hAnsi="Times New Roman"/>
        </w:rPr>
        <w:t xml:space="preserve"> administration with follow upcreatinine levels</w:t>
      </w:r>
      <w:r w:rsidR="00221F1C" w:rsidRPr="00255FE4">
        <w:rPr>
          <w:rFonts w:ascii="Times New Roman" w:hAnsi="Times New Roman"/>
        </w:rPr>
        <w:t>. A</w:t>
      </w:r>
      <w:r w:rsidRPr="00255FE4">
        <w:rPr>
          <w:rFonts w:ascii="Times New Roman" w:hAnsi="Times New Roman"/>
        </w:rPr>
        <w:t>gents include zoledronic acid (ZA), pamidronate (PA) and denosumab.</w:t>
      </w:r>
    </w:p>
    <w:p w:rsidR="003C12CF" w:rsidRPr="00255FE4" w:rsidRDefault="003C12CF" w:rsidP="000208AC">
      <w:pPr>
        <w:snapToGrid w:val="0"/>
        <w:ind w:firstLine="425"/>
        <w:jc w:val="both"/>
        <w:rPr>
          <w:rFonts w:ascii="Times New Roman" w:hAnsi="Times New Roman"/>
          <w:shd w:val="clear" w:color="auto" w:fill="FFFFFF"/>
        </w:rPr>
      </w:pPr>
      <w:r w:rsidRPr="00255FE4">
        <w:rPr>
          <w:rFonts w:ascii="Times New Roman" w:hAnsi="Times New Roman"/>
          <w:shd w:val="clear" w:color="auto" w:fill="FFFFFF"/>
        </w:rPr>
        <w:t>Amadori et al,</w:t>
      </w:r>
      <w:r w:rsidRPr="00255FE4">
        <w:rPr>
          <w:rFonts w:ascii="Times New Roman" w:hAnsi="Times New Roman"/>
          <w:shd w:val="clear" w:color="auto" w:fill="FFFFFF"/>
          <w:vertAlign w:val="superscript"/>
        </w:rPr>
        <w:t>12</w:t>
      </w:r>
      <w:r w:rsidRPr="00255FE4">
        <w:rPr>
          <w:rFonts w:ascii="Times New Roman" w:hAnsi="Times New Roman"/>
          <w:shd w:val="clear" w:color="auto" w:fill="FFFFFF"/>
        </w:rPr>
        <w:t xml:space="preserve"> studied patients with metastatic breast cancer to bone treated with zoledronic acid </w:t>
      </w:r>
      <w:r w:rsidRPr="00255FE4">
        <w:rPr>
          <w:rFonts w:ascii="Times New Roman" w:hAnsi="Times New Roman"/>
          <w:shd w:val="clear" w:color="auto" w:fill="FFFFFF"/>
        </w:rPr>
        <w:lastRenderedPageBreak/>
        <w:t xml:space="preserve">administered at 12-weeksversus 4-weeks. There was nosignificant </w:t>
      </w:r>
      <w:r w:rsidR="00255FE4" w:rsidRPr="00255FE4">
        <w:rPr>
          <w:rFonts w:ascii="Times New Roman" w:hAnsi="Times New Roman"/>
          <w:shd w:val="clear" w:color="auto" w:fill="FFFFFF"/>
        </w:rPr>
        <w:t>difference as</w:t>
      </w:r>
      <w:r w:rsidRPr="00255FE4">
        <w:rPr>
          <w:rFonts w:ascii="Times New Roman" w:hAnsi="Times New Roman"/>
          <w:shd w:val="clear" w:color="auto" w:fill="FFFFFF"/>
        </w:rPr>
        <w:t xml:space="preserve"> regard skeletal morbidity rat</w:t>
      </w:r>
      <w:r w:rsidR="002F4084" w:rsidRPr="00255FE4">
        <w:rPr>
          <w:rFonts w:ascii="Times New Roman" w:hAnsi="Times New Roman"/>
          <w:shd w:val="clear" w:color="auto" w:fill="FFFFFF"/>
        </w:rPr>
        <w:t>e (</w:t>
      </w:r>
      <w:r w:rsidRPr="00255FE4">
        <w:rPr>
          <w:rFonts w:ascii="Times New Roman" w:hAnsi="Times New Roman"/>
          <w:shd w:val="clear" w:color="auto" w:fill="FFFFFF"/>
        </w:rPr>
        <w:t>0·26 in the 12</w:t>
      </w:r>
      <w:r w:rsidR="00221F1C" w:rsidRPr="00255FE4">
        <w:rPr>
          <w:rFonts w:ascii="Times New Roman" w:hAnsi="Times New Roman"/>
          <w:shd w:val="clear" w:color="auto" w:fill="FFFFFF"/>
        </w:rPr>
        <w:t>, w</w:t>
      </w:r>
      <w:r w:rsidRPr="00255FE4">
        <w:rPr>
          <w:rFonts w:ascii="Times New Roman" w:hAnsi="Times New Roman"/>
          <w:shd w:val="clear" w:color="auto" w:fill="FFFFFF"/>
        </w:rPr>
        <w:t>eek group 0·22 (0·14–0·29) in 4</w:t>
      </w:r>
      <w:r w:rsidR="00221F1C" w:rsidRPr="00255FE4">
        <w:rPr>
          <w:rFonts w:ascii="Times New Roman" w:hAnsi="Times New Roman"/>
          <w:shd w:val="clear" w:color="auto" w:fill="FFFFFF"/>
        </w:rPr>
        <w:t>, w</w:t>
      </w:r>
      <w:r w:rsidR="00AA64BD">
        <w:rPr>
          <w:rFonts w:ascii="Times New Roman" w:hAnsi="Times New Roman"/>
          <w:shd w:val="clear" w:color="auto" w:fill="FFFFFF"/>
        </w:rPr>
        <w:t>eek group</w:t>
      </w:r>
      <w:r w:rsidRPr="00255FE4">
        <w:rPr>
          <w:rFonts w:ascii="Times New Roman" w:hAnsi="Times New Roman"/>
          <w:shd w:val="clear" w:color="auto" w:fill="FFFFFF"/>
        </w:rPr>
        <w:t>. Bone pain was recorded in (27%</w:t>
      </w:r>
      <w:r w:rsidR="00221F1C" w:rsidRPr="00255FE4">
        <w:rPr>
          <w:rFonts w:ascii="Times New Roman" w:hAnsi="Times New Roman"/>
          <w:shd w:val="clear" w:color="auto" w:fill="FFFFFF"/>
        </w:rPr>
        <w:t>) o</w:t>
      </w:r>
      <w:r w:rsidRPr="00255FE4">
        <w:rPr>
          <w:rFonts w:ascii="Times New Roman" w:hAnsi="Times New Roman"/>
          <w:shd w:val="clear" w:color="auto" w:fill="FFFFFF"/>
        </w:rPr>
        <w:t>f patients in the 12-week arm </w:t>
      </w:r>
      <w:r w:rsidRPr="00255FE4">
        <w:rPr>
          <w:rStyle w:val="Emphasis"/>
          <w:rFonts w:ascii="Times New Roman" w:hAnsi="Times New Roman"/>
          <w:shd w:val="clear" w:color="auto" w:fill="FFFFFF"/>
        </w:rPr>
        <w:t>vs</w:t>
      </w:r>
      <w:r w:rsidRPr="00255FE4">
        <w:rPr>
          <w:rFonts w:ascii="Times New Roman" w:hAnsi="Times New Roman"/>
          <w:shd w:val="clear" w:color="auto" w:fill="FFFFFF"/>
        </w:rPr>
        <w:t> (30%) of the 4-week arm. There were no significant differences as regards to renal impairment, bony pains and osteonecrosis.</w:t>
      </w:r>
    </w:p>
    <w:p w:rsidR="003C12CF" w:rsidRPr="00255FE4" w:rsidRDefault="003C12CF" w:rsidP="000208AC">
      <w:pPr>
        <w:snapToGrid w:val="0"/>
        <w:ind w:firstLine="425"/>
        <w:jc w:val="both"/>
        <w:rPr>
          <w:rFonts w:ascii="Times New Roman" w:eastAsia="Times New Roman" w:hAnsi="Times New Roman"/>
        </w:rPr>
      </w:pPr>
      <w:r w:rsidRPr="00255FE4">
        <w:rPr>
          <w:rFonts w:ascii="Times New Roman" w:eastAsia="Times New Roman" w:hAnsi="Times New Roman"/>
        </w:rPr>
        <w:t>This study is to evaluate the 12 weeks interval of zoledronic acid compared to the 4 weeks regimen.</w:t>
      </w:r>
    </w:p>
    <w:p w:rsidR="004E680A" w:rsidRPr="00255FE4" w:rsidRDefault="004E680A" w:rsidP="000208AC">
      <w:pPr>
        <w:snapToGrid w:val="0"/>
        <w:jc w:val="both"/>
        <w:rPr>
          <w:rFonts w:ascii="Times New Roman" w:eastAsia="Times New Roman" w:hAnsi="Times New Roman"/>
          <w:b/>
          <w:bCs/>
        </w:rPr>
      </w:pPr>
    </w:p>
    <w:p w:rsidR="002F4084" w:rsidRPr="00255FE4" w:rsidRDefault="008D12CB" w:rsidP="000208AC">
      <w:pPr>
        <w:snapToGrid w:val="0"/>
        <w:jc w:val="both"/>
        <w:rPr>
          <w:rFonts w:ascii="Times New Roman" w:eastAsia="Times New Roman" w:hAnsi="Times New Roman"/>
          <w:b/>
          <w:bCs/>
        </w:rPr>
      </w:pPr>
      <w:r w:rsidRPr="00255FE4">
        <w:rPr>
          <w:rFonts w:ascii="Times New Roman" w:eastAsia="Times New Roman" w:hAnsi="Times New Roman"/>
          <w:b/>
          <w:bCs/>
        </w:rPr>
        <w:t xml:space="preserve">2. </w:t>
      </w:r>
      <w:r w:rsidR="000A3D9F" w:rsidRPr="00255FE4">
        <w:rPr>
          <w:rFonts w:ascii="Times New Roman" w:eastAsia="Times New Roman" w:hAnsi="Times New Roman"/>
          <w:b/>
          <w:bCs/>
        </w:rPr>
        <w:t xml:space="preserve">Patients </w:t>
      </w:r>
      <w:r w:rsidRPr="00255FE4">
        <w:rPr>
          <w:rFonts w:ascii="Times New Roman" w:eastAsia="Times New Roman" w:hAnsi="Times New Roman"/>
          <w:b/>
          <w:bCs/>
        </w:rPr>
        <w:t>and Methods</w:t>
      </w:r>
    </w:p>
    <w:p w:rsidR="00221F1C" w:rsidRPr="00255FE4" w:rsidRDefault="002F4084" w:rsidP="000208AC">
      <w:pPr>
        <w:shd w:val="clear" w:color="auto" w:fill="FFFFFF"/>
        <w:snapToGrid w:val="0"/>
        <w:ind w:firstLine="425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255FE4">
        <w:rPr>
          <w:rFonts w:ascii="Times New Roman" w:hAnsi="Times New Roman"/>
          <w:color w:val="000000"/>
        </w:rPr>
        <w:t>P</w:t>
      </w:r>
      <w:r w:rsidR="000A3D9F" w:rsidRPr="00255FE4">
        <w:rPr>
          <w:rFonts w:ascii="Times New Roman" w:hAnsi="Times New Roman"/>
          <w:color w:val="000000"/>
        </w:rPr>
        <w:t>athologically proven breast cancer with at least 1 site of bone metastasis documented by plain radiograph</w:t>
      </w:r>
      <w:r w:rsidR="008368CA" w:rsidRPr="00255FE4">
        <w:rPr>
          <w:rFonts w:ascii="Times New Roman" w:hAnsi="Times New Roman"/>
          <w:color w:val="000000"/>
        </w:rPr>
        <w:t xml:space="preserve"> required</w:t>
      </w:r>
      <w:r w:rsidR="000A3D9F" w:rsidRPr="00255FE4">
        <w:rPr>
          <w:rFonts w:ascii="Times New Roman" w:hAnsi="Times New Roman"/>
          <w:color w:val="000000"/>
        </w:rPr>
        <w:t>, CT sc</w:t>
      </w:r>
      <w:r w:rsidR="008368CA" w:rsidRPr="00255FE4">
        <w:rPr>
          <w:rFonts w:ascii="Times New Roman" w:hAnsi="Times New Roman"/>
          <w:color w:val="000000"/>
        </w:rPr>
        <w:t>an, PET scan, MRI or bone scan. A</w:t>
      </w:r>
      <w:r w:rsidR="000A3D9F" w:rsidRPr="00255FE4">
        <w:rPr>
          <w:rFonts w:ascii="Times New Roman" w:hAnsi="Times New Roman"/>
          <w:color w:val="000000"/>
        </w:rPr>
        <w:t>ge of 21 years or older, Eastern Cooperative Oncology Group (ECOG) performance status score of 0 to 2, calc</w:t>
      </w:r>
      <w:r w:rsidR="008368CA" w:rsidRPr="00255FE4">
        <w:rPr>
          <w:rFonts w:ascii="Times New Roman" w:hAnsi="Times New Roman"/>
          <w:color w:val="000000"/>
        </w:rPr>
        <w:t>ulated creatinine clearance</w:t>
      </w:r>
      <w:r w:rsidR="0045379E" w:rsidRPr="00255FE4">
        <w:rPr>
          <w:rFonts w:ascii="Times New Roman" w:hAnsi="Times New Roman"/>
          <w:color w:val="000000"/>
          <w:vertAlign w:val="superscript"/>
        </w:rPr>
        <w:t>13</w:t>
      </w:r>
      <w:r w:rsidR="00221F1C" w:rsidRPr="00255FE4">
        <w:rPr>
          <w:rFonts w:ascii="Times New Roman" w:hAnsi="Times New Roman"/>
          <w:color w:val="000000"/>
        </w:rPr>
        <w:t>, a</w:t>
      </w:r>
      <w:r w:rsidR="000A3D9F" w:rsidRPr="00255FE4">
        <w:rPr>
          <w:rFonts w:ascii="Times New Roman" w:hAnsi="Times New Roman"/>
          <w:color w:val="000000"/>
        </w:rPr>
        <w:t>nd serum calcium level within normal ranges (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between8.0 to 11.6 mg/dL</w:t>
      </w:r>
      <w:r w:rsidR="00221F1C" w:rsidRPr="00255FE4">
        <w:rPr>
          <w:rFonts w:ascii="Times New Roman" w:eastAsia="Times New Roman" w:hAnsi="Times New Roman"/>
          <w:color w:val="000000"/>
          <w:shd w:val="clear" w:color="auto" w:fill="FFFFFF"/>
        </w:rPr>
        <w:t>).</w:t>
      </w:r>
    </w:p>
    <w:p w:rsidR="000A3D9F" w:rsidRPr="00255FE4" w:rsidRDefault="000A3D9F" w:rsidP="000208AC">
      <w:pPr>
        <w:snapToGrid w:val="0"/>
        <w:ind w:firstLine="425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Patients were ineligible if they had received prior intravenous bisphosphonates, denosumab, or bone-target</w:t>
      </w:r>
      <w:r w:rsidR="008368CA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ing radiopharmaceuticals. </w:t>
      </w:r>
      <w:r w:rsidR="00255FE4" w:rsidRPr="00255FE4">
        <w:rPr>
          <w:rFonts w:ascii="Times New Roman" w:eastAsia="Times New Roman" w:hAnsi="Times New Roman"/>
          <w:color w:val="000000"/>
          <w:shd w:val="clear" w:color="auto" w:fill="FFFFFF"/>
        </w:rPr>
        <w:t>Patients received</w:t>
      </w:r>
      <w:r w:rsidR="00DF69BB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prior</w:t>
      </w:r>
      <w:r w:rsidR="00AA64BD">
        <w:rPr>
          <w:rFonts w:ascii="Times New Roman" w:eastAsia="Times New Roman" w:hAnsi="Times New Roman"/>
          <w:color w:val="000000"/>
          <w:shd w:val="clear" w:color="auto" w:fill="FFFFFF"/>
        </w:rPr>
        <w:t>ir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radiation to bone were excluded.</w:t>
      </w:r>
    </w:p>
    <w:p w:rsidR="00F0126A" w:rsidRPr="00255FE4" w:rsidRDefault="00C36044" w:rsidP="000208AC">
      <w:pPr>
        <w:snapToGrid w:val="0"/>
        <w:ind w:firstLine="425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255FE4">
        <w:rPr>
          <w:rFonts w:ascii="Times New Roman" w:hAnsi="Times New Roman"/>
          <w:color w:val="000000"/>
        </w:rPr>
        <w:t>Patients were distributed in 2 groups,</w:t>
      </w:r>
      <w:r w:rsidR="000A3D9F" w:rsidRPr="00255FE4">
        <w:rPr>
          <w:rFonts w:ascii="Times New Roman" w:hAnsi="Times New Roman"/>
          <w:color w:val="000000"/>
        </w:rPr>
        <w:t>to receive 4.0 mg of intravenous zoledronic acid every 4</w:t>
      </w:r>
      <w:r w:rsidRPr="00255FE4">
        <w:rPr>
          <w:rFonts w:ascii="Times New Roman" w:hAnsi="Times New Roman"/>
          <w:color w:val="000000"/>
        </w:rPr>
        <w:t xml:space="preserve"> weeks (group 1)</w:t>
      </w:r>
      <w:r w:rsidR="000A3D9F" w:rsidRPr="00255FE4">
        <w:rPr>
          <w:rFonts w:ascii="Times New Roman" w:hAnsi="Times New Roman"/>
          <w:color w:val="000000"/>
        </w:rPr>
        <w:t xml:space="preserve"> or every 12 weeks</w:t>
      </w:r>
      <w:r w:rsidRPr="00255FE4">
        <w:rPr>
          <w:rFonts w:ascii="Times New Roman" w:hAnsi="Times New Roman"/>
          <w:color w:val="000000"/>
        </w:rPr>
        <w:t xml:space="preserve"> (group 2</w:t>
      </w:r>
      <w:r w:rsidR="00221F1C" w:rsidRPr="00255FE4">
        <w:rPr>
          <w:rFonts w:ascii="Times New Roman" w:hAnsi="Times New Roman"/>
          <w:color w:val="000000"/>
        </w:rPr>
        <w:t>) f</w:t>
      </w:r>
      <w:r w:rsidRPr="00255FE4">
        <w:rPr>
          <w:rFonts w:ascii="Times New Roman" w:hAnsi="Times New Roman"/>
          <w:color w:val="000000"/>
        </w:rPr>
        <w:t>or 1 year. This</w:t>
      </w:r>
      <w:r w:rsidR="000A3D9F" w:rsidRPr="00255FE4">
        <w:rPr>
          <w:rFonts w:ascii="Times New Roman" w:hAnsi="Times New Roman"/>
          <w:color w:val="000000"/>
        </w:rPr>
        <w:t xml:space="preserve"> study was conducted at </w:t>
      </w:r>
      <w:r w:rsidRPr="00255FE4">
        <w:rPr>
          <w:rFonts w:ascii="Times New Roman" w:hAnsi="Times New Roman"/>
          <w:color w:val="000000"/>
        </w:rPr>
        <w:t xml:space="preserve">oncology department, </w:t>
      </w:r>
      <w:r w:rsidR="000A3D9F" w:rsidRPr="00255FE4">
        <w:rPr>
          <w:rFonts w:ascii="Times New Roman" w:hAnsi="Times New Roman"/>
          <w:color w:val="000000"/>
        </w:rPr>
        <w:t>Ta</w:t>
      </w:r>
      <w:r w:rsidRPr="00255FE4">
        <w:rPr>
          <w:rFonts w:ascii="Times New Roman" w:hAnsi="Times New Roman"/>
          <w:color w:val="000000"/>
        </w:rPr>
        <w:t xml:space="preserve">nta </w:t>
      </w:r>
      <w:r w:rsidRPr="00255FE4">
        <w:rPr>
          <w:rFonts w:ascii="Times New Roman" w:hAnsi="Times New Roman"/>
          <w:color w:val="000000"/>
        </w:rPr>
        <w:lastRenderedPageBreak/>
        <w:t>university hospitals,</w:t>
      </w:r>
      <w:r w:rsidR="000A3D9F" w:rsidRPr="00255FE4">
        <w:rPr>
          <w:rFonts w:ascii="Times New Roman" w:hAnsi="Times New Roman"/>
          <w:color w:val="000000"/>
        </w:rPr>
        <w:t xml:space="preserve"> Egyp</w:t>
      </w:r>
      <w:r w:rsidRPr="00255FE4">
        <w:rPr>
          <w:rFonts w:ascii="Times New Roman" w:hAnsi="Times New Roman"/>
          <w:color w:val="000000"/>
        </w:rPr>
        <w:t>t the period from</w:t>
      </w:r>
      <w:r w:rsidR="00AA64BD">
        <w:rPr>
          <w:rFonts w:ascii="Times New Roman" w:hAnsi="Times New Roman"/>
          <w:color w:val="000000"/>
        </w:rPr>
        <w:t xml:space="preserve"> January</w:t>
      </w:r>
      <w:r w:rsidR="00062EC6" w:rsidRPr="00255FE4">
        <w:rPr>
          <w:rFonts w:ascii="Times New Roman" w:hAnsi="Times New Roman"/>
          <w:color w:val="000000"/>
        </w:rPr>
        <w:t xml:space="preserve"> 2014 up to </w:t>
      </w:r>
      <w:r w:rsidRPr="00255FE4">
        <w:rPr>
          <w:rFonts w:ascii="Times New Roman" w:hAnsi="Times New Roman"/>
          <w:color w:val="000000"/>
        </w:rPr>
        <w:t>June</w:t>
      </w:r>
      <w:r w:rsidR="00062EC6" w:rsidRPr="00255FE4">
        <w:rPr>
          <w:rFonts w:ascii="Times New Roman" w:hAnsi="Times New Roman"/>
          <w:color w:val="000000"/>
        </w:rPr>
        <w:t xml:space="preserve"> 2018</w:t>
      </w:r>
      <w:r w:rsidR="00221F1C" w:rsidRPr="00255FE4">
        <w:rPr>
          <w:rFonts w:ascii="Times New Roman" w:hAnsi="Times New Roman"/>
          <w:color w:val="000000"/>
        </w:rPr>
        <w:t xml:space="preserve">. </w:t>
      </w:r>
      <w:r w:rsidR="00221F1C" w:rsidRPr="00255FE4">
        <w:rPr>
          <w:rFonts w:ascii="Times New Roman" w:eastAsia="Times New Roman" w:hAnsi="Times New Roman"/>
          <w:color w:val="000000"/>
          <w:shd w:val="clear" w:color="auto" w:fill="FFFFFF"/>
        </w:rPr>
        <w:t>O</w:t>
      </w:r>
      <w:r w:rsidR="00062EC6" w:rsidRPr="00255FE4">
        <w:rPr>
          <w:rFonts w:ascii="Times New Roman" w:eastAsia="Times New Roman" w:hAnsi="Times New Roman"/>
          <w:color w:val="000000"/>
          <w:shd w:val="clear" w:color="auto" w:fill="FFFFFF"/>
        </w:rPr>
        <w:t>ne hundred and forty</w:t>
      </w:r>
      <w:r w:rsidR="00F0126A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patients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(140</w:t>
      </w:r>
      <w:r w:rsidR="00221F1C" w:rsidRPr="00255FE4">
        <w:rPr>
          <w:rFonts w:ascii="Times New Roman" w:eastAsia="Times New Roman" w:hAnsi="Times New Roman"/>
          <w:color w:val="000000"/>
          <w:shd w:val="clear" w:color="auto" w:fill="FFFFFF"/>
        </w:rPr>
        <w:t>) w</w:t>
      </w:r>
      <w:r w:rsidR="00F0126A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ere enrolled in the study with 69 patients randomized to receive zoledronic acid every 4 weeks and 71patients randomized to receive zoledronic acid every 12 weeks. </w:t>
      </w:r>
    </w:p>
    <w:p w:rsidR="000A3D9F" w:rsidRPr="00255FE4" w:rsidRDefault="00062EC6" w:rsidP="000208AC">
      <w:pPr>
        <w:snapToGrid w:val="0"/>
        <w:ind w:firstLine="425"/>
        <w:jc w:val="both"/>
        <w:rPr>
          <w:rFonts w:ascii="Times New Roman" w:eastAsia="Times New Roman" w:hAnsi="Times New Roman"/>
          <w:color w:val="000000"/>
          <w:shd w:val="clear" w:color="auto" w:fill="FFFFFF"/>
          <w:vertAlign w:val="superscript"/>
        </w:rPr>
      </w:pP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Patients</w:t>
      </w:r>
      <w:r w:rsidR="008D12CB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encouraged swallowing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elemental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calcium and vitamin D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. 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The 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zoledronic acid 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adverse </w:t>
      </w:r>
      <w:r w:rsidR="00255FE4" w:rsidRPr="00255FE4">
        <w:rPr>
          <w:rFonts w:ascii="Times New Roman" w:eastAsia="Times New Roman" w:hAnsi="Times New Roman"/>
          <w:color w:val="000000"/>
          <w:shd w:val="clear" w:color="auto" w:fill="FFFFFF"/>
        </w:rPr>
        <w:t>effects were</w:t>
      </w:r>
      <w:r w:rsidR="00472C75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assessed 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according to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Common Terminology Criteria for Adverse Events</w:t>
      </w:r>
      <w:r w:rsidR="00F95CCE">
        <w:rPr>
          <w:rFonts w:ascii="Times New Roman" w:eastAsia="Times New Roman" w:hAnsi="Times New Roman"/>
          <w:color w:val="000000"/>
          <w:shd w:val="clear" w:color="auto" w:fill="FFFFFF"/>
        </w:rPr>
        <w:t>, version 3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.</w:t>
      </w:r>
      <w:r w:rsidR="0045379E" w:rsidRPr="00255FE4">
        <w:rPr>
          <w:rFonts w:ascii="Times New Roman" w:eastAsia="Times New Roman" w:hAnsi="Times New Roman"/>
          <w:color w:val="642A8F"/>
          <w:shd w:val="clear" w:color="auto" w:fill="FFFFFF"/>
          <w:vertAlign w:val="superscript"/>
        </w:rPr>
        <w:t>14</w:t>
      </w:r>
    </w:p>
    <w:p w:rsidR="002F4084" w:rsidRPr="00255FE4" w:rsidRDefault="000A3D9F" w:rsidP="000208AC">
      <w:pPr>
        <w:pStyle w:val="p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color w:val="000000"/>
        </w:rPr>
      </w:pPr>
      <w:r w:rsidRPr="00255FE4">
        <w:rPr>
          <w:color w:val="000000"/>
        </w:rPr>
        <w:t>The primary endpoint was the proportion of patients having at least 1 SRE within 1 year after randomization, it is defined as pathological frac</w:t>
      </w:r>
      <w:r w:rsidR="00062EC6" w:rsidRPr="00255FE4">
        <w:rPr>
          <w:color w:val="000000"/>
        </w:rPr>
        <w:t>ture</w:t>
      </w:r>
      <w:r w:rsidRPr="00255FE4">
        <w:rPr>
          <w:color w:val="000000"/>
        </w:rPr>
        <w:t>, spinal cord compr</w:t>
      </w:r>
      <w:r w:rsidR="00062EC6" w:rsidRPr="00255FE4">
        <w:rPr>
          <w:color w:val="000000"/>
        </w:rPr>
        <w:t>ession</w:t>
      </w:r>
      <w:r w:rsidRPr="00255FE4">
        <w:rPr>
          <w:color w:val="000000"/>
        </w:rPr>
        <w:t>, palliative radiation to bone, and surgery involving affected bone to treat pathological fractures or spinal cord compression.</w:t>
      </w:r>
    </w:p>
    <w:p w:rsidR="00322396" w:rsidRPr="00255FE4" w:rsidRDefault="002F4084" w:rsidP="000208AC">
      <w:pPr>
        <w:snapToGrid w:val="0"/>
        <w:ind w:firstLine="425"/>
        <w:jc w:val="both"/>
        <w:rPr>
          <w:rFonts w:ascii="Times New Roman" w:eastAsia="Times New Roman" w:hAnsi="Times New Roman"/>
        </w:rPr>
      </w:pP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S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econdary end points </w:t>
      </w:r>
      <w:r w:rsidR="00062EC6" w:rsidRPr="00255FE4">
        <w:rPr>
          <w:rFonts w:ascii="Times New Roman" w:eastAsia="Times New Roman" w:hAnsi="Times New Roman"/>
          <w:color w:val="000000"/>
          <w:shd w:val="clear" w:color="auto" w:fill="FFFFFF"/>
        </w:rPr>
        <w:t>included</w:t>
      </w:r>
      <w:r w:rsidR="00F0126A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p</w:t>
      </w:r>
      <w:r w:rsidR="00062EC6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ain as assessed by 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scores ranged from </w:t>
      </w:r>
      <w:r w:rsidR="00062EC6" w:rsidRPr="00255FE4">
        <w:rPr>
          <w:rFonts w:ascii="Times New Roman" w:eastAsia="Times New Roman" w:hAnsi="Times New Roman"/>
          <w:color w:val="000000"/>
          <w:shd w:val="clear" w:color="auto" w:fill="FFFFFF"/>
        </w:rPr>
        <w:t>score 0 (no pain)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to </w:t>
      </w:r>
      <w:r w:rsidR="00062EC6" w:rsidRPr="00255FE4">
        <w:rPr>
          <w:rFonts w:ascii="Times New Roman" w:eastAsia="Times New Roman" w:hAnsi="Times New Roman"/>
          <w:color w:val="000000"/>
          <w:shd w:val="clear" w:color="auto" w:fill="FFFFFF"/>
        </w:rPr>
        <w:t>score 10 (as bad as you can imagine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)</w:t>
      </w:r>
      <w:r w:rsidR="0045379E" w:rsidRPr="00255FE4">
        <w:rPr>
          <w:rFonts w:ascii="Times New Roman" w:eastAsia="Times New Roman" w:hAnsi="Times New Roman"/>
          <w:color w:val="000000"/>
          <w:shd w:val="clear" w:color="auto" w:fill="FFFFFF"/>
        </w:rPr>
        <w:t>, mild pain (1-4), moderate pain (5-7) and sever pain (8-10)</w:t>
      </w:r>
      <w:r w:rsidR="00062EC6" w:rsidRPr="00255FE4">
        <w:rPr>
          <w:rFonts w:ascii="Times New Roman" w:eastAsia="Times New Roman" w:hAnsi="Times New Roman"/>
          <w:color w:val="642A8F"/>
          <w:shd w:val="clear" w:color="auto" w:fill="FFFFFF"/>
          <w:vertAlign w:val="superscript"/>
        </w:rPr>
        <w:t>1</w:t>
      </w:r>
      <w:r w:rsidR="0045379E" w:rsidRPr="00255FE4">
        <w:rPr>
          <w:rFonts w:ascii="Times New Roman" w:eastAsia="Times New Roman" w:hAnsi="Times New Roman"/>
          <w:color w:val="642A8F"/>
          <w:shd w:val="clear" w:color="auto" w:fill="FFFFFF"/>
          <w:vertAlign w:val="superscript"/>
        </w:rPr>
        <w:t>5</w:t>
      </w:r>
      <w:r w:rsidR="00221F1C" w:rsidRPr="00255FE4">
        <w:rPr>
          <w:rFonts w:ascii="Times New Roman" w:eastAsia="Times New Roman" w:hAnsi="Times New Roman"/>
          <w:color w:val="000000"/>
          <w:shd w:val="clear" w:color="auto" w:fill="FFFFFF"/>
        </w:rPr>
        <w:t>, t</w:t>
      </w:r>
      <w:r w:rsidR="00062EC6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he </w:t>
      </w:r>
      <w:r w:rsidR="00F0126A" w:rsidRPr="00255FE4">
        <w:rPr>
          <w:rFonts w:ascii="Times New Roman" w:eastAsia="Times New Roman" w:hAnsi="Times New Roman"/>
          <w:color w:val="000000"/>
          <w:shd w:val="clear" w:color="auto" w:fill="FFFFFF"/>
        </w:rPr>
        <w:t>i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ncidences of adverse events of zoledroni</w:t>
      </w:r>
      <w:r w:rsidR="00062EC6" w:rsidRPr="00255FE4">
        <w:rPr>
          <w:rFonts w:ascii="Times New Roman" w:eastAsia="Times New Roman" w:hAnsi="Times New Roman"/>
          <w:color w:val="000000"/>
          <w:shd w:val="clear" w:color="auto" w:fill="FFFFFF"/>
        </w:rPr>
        <w:t>c acid (osteonecrosis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and </w:t>
      </w:r>
      <w:r w:rsidR="00062EC6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renal dysfunction) </w:t>
      </w:r>
      <w:r w:rsidR="00472C75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was assessed; 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(grade 1, serum creatinine levels </w:t>
      </w:r>
      <w:r w:rsidR="00472C75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1.5 times 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greater th</w:t>
      </w:r>
      <w:r w:rsidR="00472C75" w:rsidRPr="00255FE4">
        <w:rPr>
          <w:rFonts w:ascii="Times New Roman" w:eastAsia="Times New Roman" w:hAnsi="Times New Roman"/>
          <w:color w:val="000000"/>
          <w:shd w:val="clear" w:color="auto" w:fill="FFFFFF"/>
        </w:rPr>
        <w:t>an the upper limit of normal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; </w:t>
      </w:r>
      <w:r w:rsidR="00472C75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grade 2, 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&gt;</w:t>
      </w:r>
      <w:r w:rsidR="00472C75" w:rsidRPr="00255FE4">
        <w:rPr>
          <w:rFonts w:ascii="Times New Roman" w:eastAsia="Times New Roman" w:hAnsi="Times New Roman"/>
          <w:color w:val="000000"/>
          <w:shd w:val="clear" w:color="auto" w:fill="FFFFFF"/>
        </w:rPr>
        <w:t>1.5–3.0 times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; </w:t>
      </w:r>
      <w:r w:rsidR="00472C75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grade 3, 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&gt;3.0–6.0 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lastRenderedPageBreak/>
        <w:t>times the upper limit of normal; g</w:t>
      </w:r>
      <w:r w:rsidR="00472C75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rade 4, 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&gt;6 times the upper limit of norma</w:t>
      </w:r>
      <w:r w:rsidR="00113FE3" w:rsidRPr="00255FE4">
        <w:rPr>
          <w:rFonts w:ascii="Times New Roman" w:eastAsia="Times New Roman" w:hAnsi="Times New Roman"/>
          <w:color w:val="000000"/>
          <w:shd w:val="clear" w:color="auto" w:fill="FFFFFF"/>
        </w:rPr>
        <w:t>l),</w:t>
      </w:r>
      <w:r w:rsidR="00F0126A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and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 </w:t>
      </w:r>
      <w:r w:rsidR="00F0126A" w:rsidRPr="00255FE4">
        <w:rPr>
          <w:rFonts w:ascii="Times New Roman" w:eastAsia="Times New Roman" w:hAnsi="Times New Roman"/>
          <w:color w:val="000000"/>
          <w:shd w:val="clear" w:color="auto" w:fill="FFFFFF"/>
        </w:rPr>
        <w:t>t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he skeletal</w:t>
      </w:r>
      <w:r w:rsidR="00113FE3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morbidity rate was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defined as the mean number of skeletal-related events per year.</w:t>
      </w:r>
      <w:r w:rsidR="000A1732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Skeletal related </w:t>
      </w:r>
      <w:r w:rsidR="00255FE4" w:rsidRPr="00255FE4">
        <w:rPr>
          <w:rFonts w:ascii="Times New Roman" w:eastAsia="Times New Roman" w:hAnsi="Times New Roman"/>
          <w:color w:val="000000"/>
          <w:shd w:val="clear" w:color="auto" w:fill="FFFFFF"/>
        </w:rPr>
        <w:t>events were</w:t>
      </w:r>
      <w:r w:rsidR="000A1732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evaluated 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every 4 weeks for a</w:t>
      </w:r>
      <w:r w:rsidR="00113FE3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ll patients. </w:t>
      </w:r>
      <w:r w:rsidR="00472C75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Also, </w:t>
      </w:r>
      <w:r w:rsidR="00DD1985">
        <w:rPr>
          <w:rFonts w:ascii="Times New Roman" w:eastAsia="Times New Roman" w:hAnsi="Times New Roman"/>
          <w:color w:val="000000"/>
          <w:shd w:val="clear" w:color="auto" w:fill="FFFFFF"/>
        </w:rPr>
        <w:t>i</w:t>
      </w:r>
      <w:r w:rsidR="00113FE3" w:rsidRPr="00255FE4">
        <w:rPr>
          <w:rFonts w:ascii="Times New Roman" w:eastAsia="Times New Roman" w:hAnsi="Times New Roman"/>
          <w:color w:val="000000"/>
          <w:shd w:val="clear" w:color="auto" w:fill="FFFFFF"/>
        </w:rPr>
        <w:t>maging reports</w:t>
      </w:r>
      <w:r w:rsidR="00DD1985">
        <w:rPr>
          <w:rFonts w:ascii="Times New Roman" w:eastAsia="Times New Roman" w:hAnsi="Times New Roman"/>
          <w:color w:val="000000"/>
          <w:shd w:val="clear" w:color="auto" w:fill="FFFFFF"/>
        </w:rPr>
        <w:t>, p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ain scores, ser</w:t>
      </w:r>
      <w:r w:rsidR="00113FE3" w:rsidRPr="00255FE4">
        <w:rPr>
          <w:rFonts w:ascii="Times New Roman" w:eastAsia="Times New Roman" w:hAnsi="Times New Roman"/>
          <w:color w:val="000000"/>
          <w:shd w:val="clear" w:color="auto" w:fill="FFFFFF"/>
        </w:rPr>
        <w:t>um creatinine levels</w:t>
      </w:r>
      <w:r w:rsidR="00221F1C" w:rsidRPr="00255FE4">
        <w:rPr>
          <w:rFonts w:ascii="Times New Roman" w:eastAsia="Times New Roman" w:hAnsi="Times New Roman"/>
          <w:color w:val="000000"/>
          <w:shd w:val="clear" w:color="auto" w:fill="FFFFFF"/>
        </w:rPr>
        <w:t>, c</w:t>
      </w:r>
      <w:r w:rsidR="000A3D9F" w:rsidRPr="00255FE4">
        <w:rPr>
          <w:rFonts w:ascii="Times New Roman" w:eastAsia="Times New Roman" w:hAnsi="Times New Roman"/>
          <w:color w:val="000000"/>
          <w:shd w:val="clear" w:color="auto" w:fill="FFFFFF"/>
        </w:rPr>
        <w:t>reatinine cl</w:t>
      </w:r>
      <w:r w:rsidR="00113FE3" w:rsidRPr="00255FE4">
        <w:rPr>
          <w:rFonts w:ascii="Times New Roman" w:eastAsia="Times New Roman" w:hAnsi="Times New Roman"/>
          <w:color w:val="000000"/>
          <w:shd w:val="clear" w:color="auto" w:fill="FFFFFF"/>
        </w:rPr>
        <w:t>earance.</w:t>
      </w:r>
    </w:p>
    <w:p w:rsidR="000208AC" w:rsidRPr="00255FE4" w:rsidRDefault="000208AC" w:rsidP="000208AC">
      <w:pPr>
        <w:snapToGrid w:val="0"/>
        <w:ind w:firstLine="425"/>
        <w:jc w:val="both"/>
        <w:rPr>
          <w:rFonts w:ascii="Times New Roman" w:eastAsiaTheme="minorEastAsia" w:hAnsi="Times New Roman"/>
          <w:color w:val="000000"/>
          <w:shd w:val="clear" w:color="auto" w:fill="FFFFFF"/>
          <w:lang w:eastAsia="zh-CN"/>
        </w:rPr>
      </w:pPr>
    </w:p>
    <w:p w:rsidR="000208AC" w:rsidRPr="00255FE4" w:rsidRDefault="000208AC" w:rsidP="000208AC">
      <w:pPr>
        <w:snapToGrid w:val="0"/>
        <w:jc w:val="center"/>
        <w:rPr>
          <w:rFonts w:ascii="Times New Roman" w:hAnsi="Times New Roman"/>
          <w:b/>
          <w:bCs/>
        </w:rPr>
      </w:pPr>
      <w:r w:rsidRPr="00255FE4">
        <w:rPr>
          <w:rFonts w:ascii="Times New Roman" w:hAnsi="Times New Roman"/>
          <w:b/>
          <w:bCs/>
          <w:noProof/>
        </w:rPr>
        <w:drawing>
          <wp:inline distT="0" distB="0" distL="0" distR="0">
            <wp:extent cx="2745287" cy="18606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15" cy="187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8AC" w:rsidRPr="00255FE4" w:rsidRDefault="000208AC" w:rsidP="000208AC">
      <w:pPr>
        <w:snapToGrid w:val="0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  <w:b/>
          <w:bCs/>
        </w:rPr>
        <w:t>Figure (1):</w:t>
      </w:r>
      <w:r w:rsidRPr="00255FE4">
        <w:rPr>
          <w:rFonts w:ascii="Times New Roman" w:hAnsi="Times New Roman"/>
        </w:rPr>
        <w:t xml:space="preserve"> Kaplan Meier curve for time to first skeletal related event</w:t>
      </w:r>
    </w:p>
    <w:p w:rsidR="000208AC" w:rsidRPr="00255FE4" w:rsidRDefault="000208AC" w:rsidP="000208AC">
      <w:pPr>
        <w:snapToGrid w:val="0"/>
        <w:ind w:firstLine="425"/>
        <w:jc w:val="both"/>
        <w:rPr>
          <w:rFonts w:ascii="Times New Roman" w:eastAsiaTheme="minorEastAsia" w:hAnsi="Times New Roman"/>
          <w:color w:val="000000"/>
          <w:shd w:val="clear" w:color="auto" w:fill="FFFFFF"/>
          <w:lang w:eastAsia="zh-CN"/>
        </w:rPr>
        <w:sectPr w:rsidR="000208AC" w:rsidRPr="00255FE4" w:rsidSect="000208AC">
          <w:type w:val="continuous"/>
          <w:pgSz w:w="12242" w:h="15842" w:code="1"/>
          <w:pgMar w:top="1440" w:right="1440" w:bottom="1440" w:left="1440" w:header="720" w:footer="720" w:gutter="0"/>
          <w:cols w:num="2" w:space="500"/>
          <w:docGrid w:linePitch="360"/>
        </w:sectPr>
      </w:pPr>
    </w:p>
    <w:p w:rsidR="002F4084" w:rsidRPr="00255FE4" w:rsidRDefault="002F4084" w:rsidP="000208AC">
      <w:pPr>
        <w:snapToGrid w:val="0"/>
        <w:ind w:firstLine="425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836954" w:rsidRPr="00255FE4" w:rsidRDefault="008D12CB" w:rsidP="000208AC">
      <w:pPr>
        <w:snapToGrid w:val="0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</w:pPr>
      <w:r w:rsidRPr="00255FE4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3. Results</w:t>
      </w:r>
    </w:p>
    <w:p w:rsidR="002F4084" w:rsidRPr="00255FE4" w:rsidRDefault="002F4084" w:rsidP="000208AC">
      <w:pPr>
        <w:snapToGrid w:val="0"/>
        <w:jc w:val="center"/>
        <w:rPr>
          <w:rFonts w:ascii="Times New Roman" w:eastAsiaTheme="minorEastAsia" w:hAnsi="Times New Roman"/>
          <w:b/>
          <w:bCs/>
          <w:color w:val="000000"/>
          <w:shd w:val="clear" w:color="auto" w:fill="FFFFFF"/>
          <w:lang w:eastAsia="zh-CN"/>
        </w:rPr>
      </w:pPr>
    </w:p>
    <w:p w:rsidR="00617640" w:rsidRPr="00255FE4" w:rsidRDefault="00617640" w:rsidP="000208AC">
      <w:pPr>
        <w:snapToGrid w:val="0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</w:pPr>
      <w:r w:rsidRPr="00255FE4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 xml:space="preserve">Table (1) </w:t>
      </w:r>
      <w:r w:rsidR="00F95CCE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P</w:t>
      </w:r>
      <w:r w:rsidR="00F95CCE" w:rsidRPr="00255FE4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atient's</w:t>
      </w:r>
      <w:r w:rsidRPr="00255FE4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 xml:space="preserve"> characteristics</w:t>
      </w:r>
    </w:p>
    <w:tbl>
      <w:tblPr>
        <w:tblStyle w:val="TableGrid"/>
        <w:tblW w:w="5195" w:type="pct"/>
        <w:jc w:val="center"/>
        <w:tblInd w:w="-369" w:type="dxa"/>
        <w:tblCellMar>
          <w:left w:w="57" w:type="dxa"/>
          <w:right w:w="57" w:type="dxa"/>
        </w:tblCellMar>
        <w:tblLook w:val="04A0"/>
      </w:tblPr>
      <w:tblGrid>
        <w:gridCol w:w="4679"/>
        <w:gridCol w:w="2280"/>
        <w:gridCol w:w="2887"/>
      </w:tblGrid>
      <w:tr w:rsidR="00836954" w:rsidRPr="00255FE4" w:rsidTr="00F95CCE">
        <w:trPr>
          <w:jc w:val="center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every 4 weeks (no=69)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 xml:space="preserve"> every 12 weeks (no=71)</w:t>
            </w:r>
          </w:p>
        </w:tc>
      </w:tr>
      <w:tr w:rsidR="00836954" w:rsidRPr="00255FE4" w:rsidTr="00F95CCE">
        <w:trPr>
          <w:jc w:val="center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54" w:rsidRPr="00255FE4" w:rsidRDefault="00836954" w:rsidP="00F95CCE">
            <w:pPr>
              <w:snapToGrid w:val="0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Age</w:t>
            </w:r>
            <w:r w:rsidR="002F4084" w:rsidRPr="00255FE4">
              <w:rPr>
                <w:rFonts w:ascii="Times New Roman" w:hAnsi="Times New Roman"/>
              </w:rPr>
              <w:t>,</w:t>
            </w:r>
            <w:r w:rsidRPr="00255FE4">
              <w:rPr>
                <w:rFonts w:ascii="Times New Roman" w:hAnsi="Times New Roman"/>
              </w:rPr>
              <w:t xml:space="preserve"> median (range)</w:t>
            </w:r>
            <w:r w:rsidR="00221F1C" w:rsidRPr="00255FE4">
              <w:rPr>
                <w:rFonts w:ascii="Times New Roman" w:hAnsi="Times New Roman"/>
              </w:rPr>
              <w:t>, y</w:t>
            </w:r>
          </w:p>
          <w:p w:rsidR="00836954" w:rsidRPr="00255FE4" w:rsidRDefault="00836954" w:rsidP="00F95CCE">
            <w:pPr>
              <w:snapToGrid w:val="0"/>
              <w:rPr>
                <w:rFonts w:ascii="Times New Roman" w:hAnsi="Times New Roman"/>
              </w:rPr>
            </w:pPr>
          </w:p>
          <w:p w:rsidR="00836954" w:rsidRPr="00255FE4" w:rsidRDefault="00F95CCE" w:rsidP="00F95CCE">
            <w:pPr>
              <w:snapToGrid w:val="0"/>
              <w:rPr>
                <w:rFonts w:ascii="Times New Roman" w:eastAsia="Times New Roman" w:hAnsi="Times New Roman"/>
                <w:color w:val="000000"/>
                <w:shd w:val="clear" w:color="auto" w:fill="FFFCF0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CF0"/>
              </w:rPr>
              <w:t xml:space="preserve">     Body surface area, mean (SD)</w:t>
            </w:r>
          </w:p>
          <w:tbl>
            <w:tblPr>
              <w:tblW w:w="203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CF0"/>
              <w:tblLook w:val="04A0"/>
            </w:tblPr>
            <w:tblGrid>
              <w:gridCol w:w="2034"/>
            </w:tblGrid>
            <w:tr w:rsidR="00836954" w:rsidRPr="00255FE4" w:rsidTr="00F95CCE">
              <w:trPr>
                <w:trHeight w:val="7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hideMark/>
                </w:tcPr>
                <w:p w:rsidR="00836954" w:rsidRPr="00255FE4" w:rsidRDefault="00F95CCE" w:rsidP="00F95CCE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55FE4">
                    <w:rPr>
                      <w:rFonts w:ascii="Times New Roman" w:eastAsia="Times New Roman" w:hAnsi="Times New Roman"/>
                      <w:color w:val="000000"/>
                    </w:rPr>
                    <w:t>Performance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s</w:t>
                  </w:r>
                  <w:r w:rsidR="00836954" w:rsidRPr="00255FE4">
                    <w:rPr>
                      <w:rFonts w:ascii="Times New Roman" w:eastAsia="Times New Roman" w:hAnsi="Times New Roman"/>
                      <w:color w:val="000000"/>
                    </w:rPr>
                    <w:t xml:space="preserve">tatus,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           N</w:t>
                  </w:r>
                  <w:r w:rsidR="00836954" w:rsidRPr="00255FE4">
                    <w:rPr>
                      <w:rFonts w:ascii="Times New Roman" w:eastAsia="Times New Roman" w:hAnsi="Times New Roman"/>
                      <w:color w:val="000000"/>
                    </w:rPr>
                    <w:t>o. (%)</w:t>
                  </w:r>
                </w:p>
              </w:tc>
            </w:tr>
          </w:tbl>
          <w:p w:rsidR="002F4084" w:rsidRPr="00F95CCE" w:rsidRDefault="00836954" w:rsidP="00F95CCE">
            <w:pPr>
              <w:snapToGrid w:val="0"/>
              <w:rPr>
                <w:rFonts w:ascii="Times New Roman" w:eastAsia="Times New Roman" w:hAnsi="Times New Roman"/>
                <w:b/>
                <w:bCs/>
              </w:rPr>
            </w:pPr>
            <w:r w:rsidRPr="00F95CCE">
              <w:rPr>
                <w:rFonts w:ascii="Times New Roman" w:eastAsia="Times New Roman" w:hAnsi="Times New Roman"/>
                <w:b/>
                <w:bCs/>
              </w:rPr>
              <w:t xml:space="preserve">0 </w:t>
            </w:r>
          </w:p>
          <w:p w:rsidR="00836954" w:rsidRPr="00F95CCE" w:rsidRDefault="002F4084" w:rsidP="00F95CCE">
            <w:pPr>
              <w:snapToGrid w:val="0"/>
              <w:rPr>
                <w:rFonts w:ascii="Times New Roman" w:eastAsia="Times New Roman" w:hAnsi="Times New Roman"/>
                <w:b/>
                <w:bCs/>
              </w:rPr>
            </w:pPr>
            <w:r w:rsidRPr="00F95CCE">
              <w:rPr>
                <w:rFonts w:ascii="Times New Roman" w:eastAsia="Times New Roman" w:hAnsi="Times New Roman"/>
                <w:b/>
                <w:bCs/>
              </w:rPr>
              <w:t>1</w:t>
            </w:r>
          </w:p>
          <w:p w:rsidR="00836954" w:rsidRPr="00255FE4" w:rsidRDefault="00617640" w:rsidP="00F95CCE">
            <w:pPr>
              <w:snapToGrid w:val="0"/>
              <w:rPr>
                <w:rFonts w:ascii="Times New Roman" w:eastAsia="Times New Roman" w:hAnsi="Times New Roman"/>
              </w:rPr>
            </w:pPr>
            <w:r w:rsidRPr="00255FE4">
              <w:rPr>
                <w:rFonts w:ascii="Times New Roman" w:eastAsia="Times New Roman" w:hAnsi="Times New Roman"/>
                <w:color w:val="000000"/>
                <w:shd w:val="clear" w:color="auto" w:fill="FFFCF0"/>
              </w:rPr>
              <w:t>Serum creatinine, median (IQR)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65 (26-93)</w:t>
            </w: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1.9 (0.3)</w:t>
            </w: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10 (14.49%)</w:t>
            </w: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59(85.6%)</w:t>
            </w: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0.9 (0.7-1.0)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 xml:space="preserve"> 65 (33-94)</w:t>
            </w: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2.0 (0.3)</w:t>
            </w: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9 (12.68%)</w:t>
            </w: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62(87.32%)</w:t>
            </w: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36954" w:rsidRPr="00255FE4" w:rsidRDefault="00836954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0.9 (0.7-1.1)</w:t>
            </w:r>
          </w:p>
        </w:tc>
      </w:tr>
    </w:tbl>
    <w:p w:rsidR="000208AC" w:rsidRPr="00255FE4" w:rsidRDefault="000208AC" w:rsidP="000208AC">
      <w:pPr>
        <w:snapToGrid w:val="0"/>
        <w:ind w:firstLine="425"/>
        <w:jc w:val="both"/>
        <w:rPr>
          <w:rFonts w:ascii="Times New Roman" w:eastAsiaTheme="minorEastAsia" w:hAnsi="Times New Roman"/>
          <w:color w:val="000000"/>
          <w:shd w:val="clear" w:color="auto" w:fill="FFFFFF"/>
          <w:lang w:eastAsia="zh-CN"/>
        </w:rPr>
      </w:pPr>
    </w:p>
    <w:p w:rsidR="00836954" w:rsidRPr="00255FE4" w:rsidRDefault="00A51F69" w:rsidP="000208AC">
      <w:pPr>
        <w:snapToGrid w:val="0"/>
        <w:ind w:firstLine="425"/>
        <w:jc w:val="both"/>
        <w:rPr>
          <w:rFonts w:ascii="Times New Roman" w:eastAsia="Times New Roman" w:hAnsi="Times New Roman"/>
        </w:rPr>
      </w:pP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After 1</w:t>
      </w:r>
      <w:r w:rsidR="00836954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years of follow-up, SREs occurred in </w:t>
      </w:r>
      <w:r w:rsidRPr="00255FE4">
        <w:rPr>
          <w:rFonts w:ascii="Times New Roman" w:hAnsi="Times New Roman"/>
        </w:rPr>
        <w:t>15 (21.7</w:t>
      </w:r>
      <w:r w:rsidR="00836954" w:rsidRPr="00255FE4">
        <w:rPr>
          <w:rFonts w:ascii="Times New Roman" w:hAnsi="Times New Roman"/>
        </w:rPr>
        <w:t>%) patients</w:t>
      </w:r>
      <w:r w:rsidR="00836954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in the zoledronic acid every 4 weeks group and </w:t>
      </w:r>
      <w:r w:rsidRPr="00255FE4">
        <w:rPr>
          <w:rFonts w:ascii="Times New Roman" w:hAnsi="Times New Roman"/>
        </w:rPr>
        <w:t>16 (22</w:t>
      </w:r>
      <w:r w:rsidR="00836954" w:rsidRPr="00255FE4">
        <w:rPr>
          <w:rFonts w:ascii="Times New Roman" w:hAnsi="Times New Roman"/>
        </w:rPr>
        <w:t>.5%) patients</w:t>
      </w:r>
      <w:r w:rsidR="00836954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in the zoledronic acid every 12 weeks group; (non</w:t>
      </w:r>
      <w:r w:rsidR="00DD1985">
        <w:rPr>
          <w:rFonts w:ascii="Times New Roman" w:eastAsia="Times New Roman" w:hAnsi="Times New Roman"/>
          <w:color w:val="000000"/>
          <w:shd w:val="clear" w:color="auto" w:fill="FFFFFF"/>
        </w:rPr>
        <w:t>inferior</w:t>
      </w:r>
      <w:r w:rsidR="00836954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with P= </w:t>
      </w:r>
      <w:r w:rsidR="00836954" w:rsidRPr="00255FE4">
        <w:rPr>
          <w:rFonts w:ascii="Times New Roman" w:hAnsi="Times New Roman"/>
        </w:rPr>
        <w:t>0.910</w:t>
      </w:r>
      <w:r w:rsidR="00836954" w:rsidRPr="00255FE4">
        <w:rPr>
          <w:rFonts w:ascii="Times New Roman" w:eastAsia="Times New Roman" w:hAnsi="Times New Roman"/>
          <w:color w:val="000000"/>
          <w:shd w:val="clear" w:color="auto" w:fill="FFFFFF"/>
        </w:rPr>
        <w:t>). </w:t>
      </w:r>
      <w:r w:rsidR="00836954" w:rsidRPr="00255FE4">
        <w:rPr>
          <w:rFonts w:ascii="Times New Roman" w:eastAsia="Times New Roman" w:hAnsi="Times New Roman"/>
          <w:color w:val="000000"/>
          <w:u w:val="single"/>
          <w:shd w:val="clear" w:color="auto" w:fill="FFFFFF"/>
        </w:rPr>
        <w:t>Table 2</w:t>
      </w:r>
    </w:p>
    <w:p w:rsidR="00010818" w:rsidRPr="00255FE4" w:rsidRDefault="00010818" w:rsidP="000208AC">
      <w:pPr>
        <w:snapToGrid w:val="0"/>
        <w:jc w:val="center"/>
        <w:rPr>
          <w:rFonts w:ascii="Times New Roman" w:hAnsi="Times New Roman"/>
        </w:rPr>
      </w:pPr>
    </w:p>
    <w:p w:rsidR="00836954" w:rsidRPr="00255FE4" w:rsidRDefault="00617640" w:rsidP="00DD1985">
      <w:pPr>
        <w:snapToGrid w:val="0"/>
        <w:jc w:val="center"/>
        <w:rPr>
          <w:rFonts w:ascii="Times New Roman" w:hAnsi="Times New Roman"/>
        </w:rPr>
      </w:pPr>
      <w:r w:rsidRPr="00255FE4">
        <w:rPr>
          <w:rFonts w:ascii="Times New Roman" w:hAnsi="Times New Roman"/>
        </w:rPr>
        <w:t>Table (2): Comparison</w:t>
      </w:r>
      <w:r w:rsidR="00DD1985">
        <w:rPr>
          <w:rFonts w:ascii="Times New Roman" w:hAnsi="Times New Roman"/>
        </w:rPr>
        <w:t xml:space="preserve"> between zoledronic acid </w:t>
      </w:r>
      <w:r w:rsidR="00836954" w:rsidRPr="00255FE4">
        <w:rPr>
          <w:rFonts w:ascii="Times New Roman" w:hAnsi="Times New Roman"/>
        </w:rPr>
        <w:t xml:space="preserve">every </w:t>
      </w:r>
      <w:r w:rsidR="00DD1985">
        <w:rPr>
          <w:rFonts w:ascii="Times New Roman" w:hAnsi="Times New Roman"/>
        </w:rPr>
        <w:t>4 weeks and Every 12 weeks</w:t>
      </w:r>
      <w:r w:rsidR="00836954" w:rsidRPr="00255FE4">
        <w:rPr>
          <w:rFonts w:ascii="Times New Roman" w:hAnsi="Times New Roman"/>
        </w:rPr>
        <w:t xml:space="preserve"> according to SRE</w:t>
      </w:r>
    </w:p>
    <w:tbl>
      <w:tblPr>
        <w:tblStyle w:val="TableGrid"/>
        <w:tblW w:w="444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36"/>
        <w:gridCol w:w="3734"/>
        <w:gridCol w:w="2710"/>
        <w:gridCol w:w="1048"/>
      </w:tblGrid>
      <w:tr w:rsidR="00D1382C" w:rsidRPr="00255FE4" w:rsidTr="00D1382C">
        <w:trPr>
          <w:jc w:val="center"/>
        </w:trPr>
        <w:tc>
          <w:tcPr>
            <w:tcW w:w="5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1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F95CCE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Zoledronic acid every 4 weeks</w:t>
            </w:r>
          </w:p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55FE4">
              <w:rPr>
                <w:rFonts w:ascii="Times New Roman" w:eastAsia="Times New Roman" w:hAnsi="Times New Roman"/>
                <w:b/>
                <w:bCs/>
              </w:rPr>
              <w:t>(n= 69)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F95CCE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Every 12 weeks</w:t>
            </w:r>
          </w:p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55FE4">
              <w:rPr>
                <w:rFonts w:ascii="Times New Roman" w:eastAsia="Times New Roman" w:hAnsi="Times New Roman"/>
                <w:b/>
                <w:bCs/>
              </w:rPr>
              <w:t>(n= 71)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55FE4">
              <w:rPr>
                <w:rFonts w:ascii="Times New Roman" w:eastAsia="Times New Roman" w:hAnsi="Times New Roman"/>
                <w:b/>
                <w:bCs/>
              </w:rPr>
              <w:t>p</w:t>
            </w:r>
          </w:p>
        </w:tc>
      </w:tr>
      <w:tr w:rsidR="00D1382C" w:rsidRPr="00255FE4" w:rsidTr="00D1382C">
        <w:trPr>
          <w:jc w:val="center"/>
        </w:trPr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255FE4">
              <w:rPr>
                <w:rFonts w:ascii="Times New Roman" w:hAnsi="Times New Roman"/>
                <w:b/>
                <w:bCs/>
              </w:rPr>
              <w:t>SRE</w:t>
            </w:r>
          </w:p>
        </w:tc>
        <w:tc>
          <w:tcPr>
            <w:tcW w:w="22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D1382C" w:rsidRPr="00255FE4" w:rsidTr="00D1382C">
        <w:trPr>
          <w:jc w:val="center"/>
        </w:trPr>
        <w:tc>
          <w:tcPr>
            <w:tcW w:w="555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 xml:space="preserve">No </w:t>
            </w:r>
          </w:p>
        </w:tc>
        <w:tc>
          <w:tcPr>
            <w:tcW w:w="2215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54(78.3%)</w:t>
            </w:r>
          </w:p>
        </w:tc>
        <w:tc>
          <w:tcPr>
            <w:tcW w:w="1608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55(77.5%)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0.910</w:t>
            </w:r>
          </w:p>
        </w:tc>
      </w:tr>
      <w:tr w:rsidR="00D1382C" w:rsidRPr="00255FE4" w:rsidTr="00D1382C">
        <w:trPr>
          <w:jc w:val="center"/>
        </w:trPr>
        <w:tc>
          <w:tcPr>
            <w:tcW w:w="55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 xml:space="preserve">Yes 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15(21.7%)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16(22.5%)</w:t>
            </w:r>
          </w:p>
        </w:tc>
        <w:tc>
          <w:tcPr>
            <w:tcW w:w="622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2F4084" w:rsidRPr="00255FE4" w:rsidRDefault="002F4084" w:rsidP="000208AC">
      <w:pPr>
        <w:snapToGrid w:val="0"/>
        <w:ind w:firstLine="425"/>
        <w:jc w:val="both"/>
        <w:rPr>
          <w:rFonts w:ascii="Times New Roman" w:eastAsiaTheme="minorEastAsia" w:hAnsi="Times New Roman"/>
          <w:color w:val="000000"/>
          <w:shd w:val="clear" w:color="auto" w:fill="FFFFFF"/>
          <w:lang w:eastAsia="zh-CN"/>
        </w:rPr>
      </w:pPr>
    </w:p>
    <w:p w:rsidR="00221F1C" w:rsidRPr="00255FE4" w:rsidRDefault="00836954" w:rsidP="00D1382C">
      <w:pPr>
        <w:snapToGrid w:val="0"/>
        <w:ind w:firstLine="425"/>
        <w:jc w:val="both"/>
        <w:rPr>
          <w:rFonts w:ascii="Times New Roman" w:eastAsiaTheme="minorEastAsia" w:hAnsi="Times New Roman"/>
          <w:color w:val="000000"/>
          <w:shd w:val="clear" w:color="auto" w:fill="FFFFFF"/>
          <w:lang w:eastAsia="zh-CN"/>
        </w:rPr>
      </w:pP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The time to first SRE between treatment groups was not statistically signi</w:t>
      </w:r>
      <w:r w:rsidR="00D1382C">
        <w:rPr>
          <w:rFonts w:ascii="Times New Roman" w:eastAsia="Times New Roman" w:hAnsi="Times New Roman"/>
          <w:color w:val="000000"/>
          <w:shd w:val="clear" w:color="auto" w:fill="FFFFFF"/>
        </w:rPr>
        <w:t>ficantly different (HR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, 1.04; 95% CI, 0.52-2.1; P = 0.903). </w:t>
      </w:r>
      <w:r w:rsidRPr="00255FE4">
        <w:rPr>
          <w:rFonts w:ascii="Times New Roman" w:eastAsia="Times New Roman" w:hAnsi="Times New Roman"/>
          <w:color w:val="000000"/>
          <w:u w:val="single"/>
          <w:shd w:val="clear" w:color="auto" w:fill="FFFFFF"/>
        </w:rPr>
        <w:t>Table 3, Figure1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.</w:t>
      </w:r>
    </w:p>
    <w:p w:rsidR="00255FE4" w:rsidRPr="00255FE4" w:rsidRDefault="00255FE4" w:rsidP="00221F1C">
      <w:pPr>
        <w:snapToGrid w:val="0"/>
        <w:ind w:firstLine="425"/>
        <w:jc w:val="both"/>
        <w:rPr>
          <w:rFonts w:ascii="Times New Roman" w:eastAsiaTheme="minorEastAsia" w:hAnsi="Times New Roman"/>
          <w:color w:val="000000"/>
          <w:shd w:val="clear" w:color="auto" w:fill="FFFFFF"/>
          <w:lang w:eastAsia="zh-CN"/>
        </w:rPr>
      </w:pPr>
    </w:p>
    <w:p w:rsidR="00255FE4" w:rsidRPr="00255FE4" w:rsidRDefault="00255FE4" w:rsidP="00221F1C">
      <w:pPr>
        <w:snapToGrid w:val="0"/>
        <w:ind w:firstLine="425"/>
        <w:jc w:val="both"/>
        <w:rPr>
          <w:rFonts w:ascii="Times New Roman" w:eastAsiaTheme="minorEastAsia" w:hAnsi="Times New Roman"/>
          <w:color w:val="000000"/>
          <w:shd w:val="clear" w:color="auto" w:fill="FFFFFF"/>
          <w:lang w:eastAsia="zh-CN"/>
        </w:rPr>
      </w:pPr>
    </w:p>
    <w:p w:rsidR="00255FE4" w:rsidRPr="00255FE4" w:rsidRDefault="00255FE4" w:rsidP="00221F1C">
      <w:pPr>
        <w:snapToGrid w:val="0"/>
        <w:ind w:firstLine="425"/>
        <w:jc w:val="both"/>
        <w:rPr>
          <w:rFonts w:ascii="Times New Roman" w:eastAsiaTheme="minorEastAsia" w:hAnsi="Times New Roman"/>
          <w:color w:val="000000"/>
          <w:shd w:val="clear" w:color="auto" w:fill="FFFFFF"/>
          <w:lang w:eastAsia="zh-CN"/>
        </w:rPr>
      </w:pPr>
    </w:p>
    <w:p w:rsidR="00836954" w:rsidRPr="00255FE4" w:rsidRDefault="00617640" w:rsidP="000208AC">
      <w:pPr>
        <w:snapToGrid w:val="0"/>
        <w:jc w:val="center"/>
        <w:rPr>
          <w:rFonts w:ascii="Times New Roman" w:hAnsi="Times New Roman"/>
          <w:b/>
          <w:bCs/>
        </w:rPr>
      </w:pPr>
      <w:r w:rsidRPr="00255FE4">
        <w:rPr>
          <w:rFonts w:ascii="Times New Roman" w:hAnsi="Times New Roman"/>
          <w:b/>
          <w:bCs/>
        </w:rPr>
        <w:lastRenderedPageBreak/>
        <w:t>Table (3)</w:t>
      </w:r>
      <w:r w:rsidR="00221F1C" w:rsidRPr="00255FE4">
        <w:rPr>
          <w:rFonts w:ascii="Times New Roman" w:hAnsi="Times New Roman"/>
          <w:b/>
          <w:bCs/>
        </w:rPr>
        <w:t>: T</w:t>
      </w:r>
      <w:r w:rsidR="00836954" w:rsidRPr="00255FE4">
        <w:rPr>
          <w:rFonts w:ascii="Times New Roman" w:hAnsi="Times New Roman"/>
          <w:b/>
          <w:bCs/>
        </w:rPr>
        <w:t>ime to first skeletal related event</w:t>
      </w:r>
    </w:p>
    <w:tbl>
      <w:tblPr>
        <w:tblStyle w:val="TableGrid"/>
        <w:tblW w:w="45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15"/>
        <w:gridCol w:w="963"/>
        <w:gridCol w:w="2204"/>
        <w:gridCol w:w="674"/>
        <w:gridCol w:w="819"/>
        <w:gridCol w:w="1063"/>
        <w:gridCol w:w="819"/>
      </w:tblGrid>
      <w:tr w:rsidR="00D1382C" w:rsidRPr="00255FE4" w:rsidTr="00D1382C">
        <w:trPr>
          <w:gridAfter w:val="1"/>
          <w:wAfter w:w="473" w:type="pct"/>
          <w:jc w:val="center"/>
        </w:trPr>
        <w:tc>
          <w:tcPr>
            <w:tcW w:w="1222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b/>
                <w:bCs/>
                <w:lang w:bidi="ar-EG"/>
              </w:rPr>
            </w:pPr>
            <w:r w:rsidRPr="00255FE4">
              <w:rPr>
                <w:rFonts w:ascii="Times New Roman" w:hAnsi="Times New Roman"/>
                <w:b/>
                <w:bCs/>
                <w:lang w:bidi="ar-EG"/>
              </w:rPr>
              <w:t>Mean</w:t>
            </w:r>
          </w:p>
        </w:tc>
        <w:tc>
          <w:tcPr>
            <w:tcW w:w="1273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b/>
                <w:bCs/>
                <w:lang w:bidi="ar-EG"/>
              </w:rPr>
            </w:pPr>
            <w:r w:rsidRPr="00255FE4">
              <w:rPr>
                <w:rFonts w:ascii="Times New Roman" w:hAnsi="Times New Roman"/>
                <w:b/>
                <w:bCs/>
                <w:lang w:bidi="ar-EG"/>
              </w:rPr>
              <w:t>95% CI of mean</w:t>
            </w:r>
          </w:p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b/>
                <w:bCs/>
                <w:lang w:bidi="ar-EG"/>
              </w:rPr>
            </w:pPr>
            <w:r w:rsidRPr="00255FE4">
              <w:rPr>
                <w:rFonts w:ascii="Times New Roman" w:hAnsi="Times New Roman"/>
                <w:b/>
                <w:bCs/>
                <w:lang w:bidi="ar-EG"/>
              </w:rPr>
              <w:t>(LL-UL)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b/>
                <w:bCs/>
                <w:lang w:bidi="ar-EG"/>
              </w:rPr>
            </w:pPr>
            <w:r w:rsidRPr="00255FE4">
              <w:rPr>
                <w:rFonts w:ascii="Times New Roman" w:hAnsi="Times New Roman"/>
                <w:b/>
                <w:bCs/>
                <w:lang w:bidi="ar-EG"/>
              </w:rPr>
              <w:t>%</w:t>
            </w:r>
          </w:p>
        </w:tc>
        <w:tc>
          <w:tcPr>
            <w:tcW w:w="108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D1382C">
            <w:pPr>
              <w:snapToGrid w:val="0"/>
              <w:jc w:val="right"/>
              <w:rPr>
                <w:rFonts w:ascii="Times New Roman" w:hAnsi="Times New Roman"/>
                <w:b/>
                <w:bCs/>
                <w:lang w:bidi="ar-EG"/>
              </w:rPr>
            </w:pPr>
            <w:r w:rsidRPr="00255FE4">
              <w:rPr>
                <w:rFonts w:ascii="Times New Roman" w:hAnsi="Times New Roman"/>
                <w:b/>
                <w:bCs/>
                <w:lang w:bidi="ar-EG"/>
              </w:rPr>
              <w:t>Hazard ratios</w:t>
            </w:r>
          </w:p>
          <w:p w:rsidR="00D1382C" w:rsidRPr="00255FE4" w:rsidRDefault="00D1382C" w:rsidP="00D1382C">
            <w:pPr>
              <w:snapToGrid w:val="0"/>
              <w:jc w:val="center"/>
              <w:rPr>
                <w:rFonts w:ascii="Times New Roman" w:hAnsi="Times New Roman"/>
                <w:b/>
                <w:bCs/>
                <w:lang w:bidi="ar-EG"/>
              </w:rPr>
            </w:pPr>
            <w:r w:rsidRPr="00255FE4">
              <w:rPr>
                <w:rFonts w:ascii="Times New Roman" w:hAnsi="Times New Roman"/>
                <w:b/>
                <w:bCs/>
                <w:lang w:bidi="ar-EG"/>
              </w:rPr>
              <w:t xml:space="preserve">(95% CI) </w:t>
            </w:r>
          </w:p>
        </w:tc>
      </w:tr>
      <w:tr w:rsidR="00D1382C" w:rsidRPr="00255FE4" w:rsidTr="00D1382C">
        <w:trPr>
          <w:jc w:val="center"/>
        </w:trPr>
        <w:tc>
          <w:tcPr>
            <w:tcW w:w="1222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  <w:lang w:bidi="ar-EG"/>
              </w:rPr>
            </w:pPr>
          </w:p>
        </w:tc>
        <w:tc>
          <w:tcPr>
            <w:tcW w:w="55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  <w:b/>
                <w:bCs/>
                <w:lang w:bidi="ar-EG"/>
              </w:rPr>
            </w:pPr>
          </w:p>
        </w:tc>
        <w:tc>
          <w:tcPr>
            <w:tcW w:w="1273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  <w:b/>
                <w:bCs/>
                <w:lang w:bidi="ar-EG"/>
              </w:rPr>
            </w:pPr>
          </w:p>
        </w:tc>
        <w:tc>
          <w:tcPr>
            <w:tcW w:w="389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  <w:b/>
                <w:bCs/>
                <w:lang w:bidi="ar-EG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b/>
                <w:bCs/>
                <w:lang w:bidi="ar-EG"/>
              </w:rPr>
            </w:pPr>
            <w:r w:rsidRPr="00255FE4">
              <w:rPr>
                <w:rFonts w:ascii="Times New Roman" w:hAnsi="Times New Roman"/>
                <w:b/>
                <w:bCs/>
                <w:lang w:bidi="ar-EG"/>
              </w:rPr>
              <w:t>p</w:t>
            </w:r>
          </w:p>
        </w:tc>
        <w:tc>
          <w:tcPr>
            <w:tcW w:w="108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  <w:b/>
                <w:bCs/>
                <w:lang w:bidi="ar-EG"/>
              </w:rPr>
            </w:pPr>
          </w:p>
        </w:tc>
      </w:tr>
      <w:tr w:rsidR="00D1382C" w:rsidRPr="00255FE4" w:rsidTr="00D1382C">
        <w:trPr>
          <w:jc w:val="center"/>
        </w:trPr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D1382C">
            <w:pPr>
              <w:snapToGrid w:val="0"/>
              <w:jc w:val="both"/>
              <w:rPr>
                <w:rFonts w:ascii="Times New Roman" w:hAnsi="Times New Roman"/>
                <w:b/>
                <w:bCs/>
                <w:lang w:bidi="ar-EG"/>
              </w:rPr>
            </w:pPr>
            <w:r w:rsidRPr="00255FE4">
              <w:rPr>
                <w:rFonts w:ascii="Times New Roman" w:hAnsi="Times New Roman"/>
                <w:b/>
                <w:bCs/>
                <w:lang w:bidi="ar-EG"/>
              </w:rPr>
              <w:t xml:space="preserve">Every </w:t>
            </w:r>
            <w:r>
              <w:rPr>
                <w:rFonts w:ascii="Times New Roman" w:hAnsi="Times New Roman"/>
                <w:b/>
                <w:bCs/>
                <w:lang w:bidi="ar-EG"/>
              </w:rPr>
              <w:t>4 weeks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  <w:r w:rsidRPr="00255FE4">
              <w:rPr>
                <w:rFonts w:ascii="Times New Roman" w:hAnsi="Times New Roman"/>
                <w:lang w:bidi="ar-EG"/>
              </w:rPr>
              <w:t>20.913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  <w:r w:rsidRPr="00255FE4">
              <w:rPr>
                <w:rFonts w:ascii="Times New Roman" w:hAnsi="Times New Roman"/>
                <w:lang w:bidi="ar-EG"/>
              </w:rPr>
              <w:t>19.473 – 22.353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  <w:r w:rsidRPr="00255FE4">
              <w:rPr>
                <w:rFonts w:ascii="Times New Roman" w:hAnsi="Times New Roman"/>
                <w:lang w:bidi="ar-EG"/>
              </w:rPr>
              <w:t>78.3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  <w:r w:rsidRPr="00255FE4">
              <w:rPr>
                <w:rFonts w:ascii="Times New Roman" w:hAnsi="Times New Roman"/>
                <w:lang w:bidi="ar-EG"/>
              </w:rPr>
              <w:t>0.903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  <w:r w:rsidRPr="00255FE4">
              <w:rPr>
                <w:rFonts w:ascii="Times New Roman" w:hAnsi="Times New Roman"/>
                <w:lang w:bidi="ar-EG"/>
              </w:rPr>
              <w:t>1.04</w:t>
            </w:r>
          </w:p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  <w:r w:rsidRPr="00255FE4">
              <w:rPr>
                <w:rFonts w:ascii="Times New Roman" w:hAnsi="Times New Roman"/>
                <w:lang w:bidi="ar-EG"/>
              </w:rPr>
              <w:t>(0.52 – 2.1)</w:t>
            </w:r>
          </w:p>
        </w:tc>
      </w:tr>
      <w:tr w:rsidR="00D1382C" w:rsidRPr="00255FE4" w:rsidTr="00D1382C">
        <w:trPr>
          <w:jc w:val="center"/>
        </w:trPr>
        <w:tc>
          <w:tcPr>
            <w:tcW w:w="122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D1382C">
            <w:pPr>
              <w:snapToGrid w:val="0"/>
              <w:jc w:val="both"/>
              <w:rPr>
                <w:rFonts w:ascii="Times New Roman" w:hAnsi="Times New Roman"/>
                <w:b/>
                <w:bCs/>
                <w:lang w:bidi="ar-EG"/>
              </w:rPr>
            </w:pPr>
            <w:r w:rsidRPr="00255FE4">
              <w:rPr>
                <w:rFonts w:ascii="Times New Roman" w:hAnsi="Times New Roman"/>
                <w:b/>
                <w:bCs/>
                <w:lang w:bidi="ar-EG"/>
              </w:rPr>
              <w:t xml:space="preserve">Every </w:t>
            </w:r>
            <w:r>
              <w:rPr>
                <w:rFonts w:ascii="Times New Roman" w:hAnsi="Times New Roman"/>
                <w:b/>
                <w:bCs/>
                <w:lang w:bidi="ar-EG"/>
              </w:rPr>
              <w:t>12 weeks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  <w:r w:rsidRPr="00255FE4">
              <w:rPr>
                <w:rFonts w:ascii="Times New Roman" w:hAnsi="Times New Roman"/>
                <w:lang w:bidi="ar-EG"/>
              </w:rPr>
              <w:t>20.662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  <w:r w:rsidRPr="00255FE4">
              <w:rPr>
                <w:rFonts w:ascii="Times New Roman" w:hAnsi="Times New Roman"/>
                <w:lang w:bidi="ar-EG"/>
              </w:rPr>
              <w:t>19.183 – 22.141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lang w:bidi="ar-EG"/>
              </w:rPr>
            </w:pPr>
            <w:r w:rsidRPr="00255FE4">
              <w:rPr>
                <w:rFonts w:ascii="Times New Roman" w:hAnsi="Times New Roman"/>
                <w:lang w:bidi="ar-EG"/>
              </w:rPr>
              <w:t>77.5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  <w:lang w:bidi="ar-EG"/>
              </w:rPr>
            </w:pPr>
          </w:p>
        </w:tc>
        <w:tc>
          <w:tcPr>
            <w:tcW w:w="108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  <w:lang w:bidi="ar-EG"/>
              </w:rPr>
            </w:pPr>
          </w:p>
        </w:tc>
      </w:tr>
    </w:tbl>
    <w:p w:rsidR="000208AC" w:rsidRPr="00255FE4" w:rsidRDefault="000208AC" w:rsidP="000208AC">
      <w:pPr>
        <w:snapToGrid w:val="0"/>
        <w:ind w:firstLine="425"/>
        <w:jc w:val="both"/>
        <w:rPr>
          <w:rFonts w:ascii="Times New Roman" w:eastAsiaTheme="minorEastAsia" w:hAnsi="Times New Roman"/>
          <w:color w:val="000000"/>
          <w:shd w:val="clear" w:color="auto" w:fill="FFFFFF"/>
          <w:lang w:eastAsia="zh-CN"/>
        </w:rPr>
      </w:pPr>
    </w:p>
    <w:p w:rsidR="00836954" w:rsidRPr="00255FE4" w:rsidRDefault="00836954" w:rsidP="000208AC">
      <w:pPr>
        <w:snapToGrid w:val="0"/>
        <w:ind w:firstLine="425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According to pain score the 2 treatment groups was not statistically significantly different</w:t>
      </w:r>
      <w:r w:rsidR="00010818" w:rsidRPr="00255FE4">
        <w:rPr>
          <w:rFonts w:ascii="Times New Roman" w:eastAsia="Times New Roman" w:hAnsi="Times New Roman"/>
          <w:color w:val="000000"/>
          <w:shd w:val="clear" w:color="auto" w:fill="FFFFFF"/>
        </w:rPr>
        <w:t> (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p=0.595). Table 4</w:t>
      </w:r>
    </w:p>
    <w:p w:rsidR="00836954" w:rsidRPr="00255FE4" w:rsidRDefault="00836954" w:rsidP="000208AC">
      <w:pPr>
        <w:snapToGrid w:val="0"/>
        <w:jc w:val="center"/>
        <w:rPr>
          <w:rFonts w:ascii="Times New Roman" w:eastAsia="Times New Roman" w:hAnsi="Times New Roman"/>
        </w:rPr>
      </w:pPr>
    </w:p>
    <w:p w:rsidR="00836954" w:rsidRPr="00255FE4" w:rsidRDefault="00617640" w:rsidP="00D1382C">
      <w:pPr>
        <w:snapToGrid w:val="0"/>
        <w:jc w:val="center"/>
        <w:rPr>
          <w:rFonts w:ascii="Times New Roman" w:hAnsi="Times New Roman"/>
          <w:b/>
          <w:bCs/>
        </w:rPr>
      </w:pPr>
      <w:r w:rsidRPr="00255FE4">
        <w:rPr>
          <w:rFonts w:ascii="Times New Roman" w:hAnsi="Times New Roman"/>
          <w:b/>
          <w:bCs/>
        </w:rPr>
        <w:t xml:space="preserve">Table (4): </w:t>
      </w:r>
      <w:r w:rsidR="00D1382C">
        <w:rPr>
          <w:rFonts w:ascii="Times New Roman" w:hAnsi="Times New Roman"/>
          <w:b/>
          <w:bCs/>
        </w:rPr>
        <w:t>Zoledronic acid every 4weeks and Every 12 weeks</w:t>
      </w:r>
      <w:r w:rsidR="00836954" w:rsidRPr="00255FE4">
        <w:rPr>
          <w:rFonts w:ascii="Times New Roman" w:hAnsi="Times New Roman"/>
          <w:b/>
          <w:bCs/>
        </w:rPr>
        <w:t xml:space="preserve"> according to pain Score</w:t>
      </w:r>
    </w:p>
    <w:tbl>
      <w:tblPr>
        <w:tblStyle w:val="TableGrid"/>
        <w:tblW w:w="441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022"/>
        <w:gridCol w:w="2524"/>
        <w:gridCol w:w="2718"/>
        <w:gridCol w:w="1105"/>
      </w:tblGrid>
      <w:tr w:rsidR="00D1382C" w:rsidRPr="00255FE4" w:rsidTr="00D1382C">
        <w:trPr>
          <w:jc w:val="center"/>
        </w:trPr>
        <w:tc>
          <w:tcPr>
            <w:tcW w:w="120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55FE4">
              <w:rPr>
                <w:rFonts w:ascii="Times New Roman" w:eastAsia="Times New Roman" w:hAnsi="Times New Roman"/>
                <w:b/>
                <w:bCs/>
              </w:rPr>
              <w:t>4weeks group</w:t>
            </w:r>
          </w:p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55FE4">
              <w:rPr>
                <w:rFonts w:ascii="Times New Roman" w:eastAsia="Times New Roman" w:hAnsi="Times New Roman"/>
                <w:b/>
                <w:bCs/>
              </w:rPr>
              <w:t>(n= 69)</w:t>
            </w:r>
          </w:p>
        </w:tc>
        <w:tc>
          <w:tcPr>
            <w:tcW w:w="162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55FE4">
              <w:rPr>
                <w:rFonts w:ascii="Times New Roman" w:eastAsia="Times New Roman" w:hAnsi="Times New Roman"/>
                <w:b/>
                <w:bCs/>
              </w:rPr>
              <w:t>Every 12weeks</w:t>
            </w:r>
          </w:p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55FE4">
              <w:rPr>
                <w:rFonts w:ascii="Times New Roman" w:eastAsia="Times New Roman" w:hAnsi="Times New Roman"/>
                <w:b/>
                <w:bCs/>
              </w:rPr>
              <w:t>(n= 71)</w:t>
            </w:r>
          </w:p>
        </w:tc>
        <w:tc>
          <w:tcPr>
            <w:tcW w:w="66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55FE4">
              <w:rPr>
                <w:rFonts w:ascii="Times New Roman" w:eastAsia="Times New Roman" w:hAnsi="Times New Roman"/>
                <w:b/>
                <w:bCs/>
              </w:rPr>
              <w:t>p</w:t>
            </w:r>
          </w:p>
        </w:tc>
      </w:tr>
      <w:tr w:rsidR="00D1382C" w:rsidRPr="00255FE4" w:rsidTr="00D1382C">
        <w:trPr>
          <w:jc w:val="center"/>
        </w:trPr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255FE4">
              <w:rPr>
                <w:rFonts w:ascii="Times New Roman" w:hAnsi="Times New Roman"/>
                <w:b/>
                <w:bCs/>
              </w:rPr>
              <w:t>Pain Score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D1382C" w:rsidRPr="00255FE4" w:rsidTr="00D1382C">
        <w:trPr>
          <w:jc w:val="center"/>
        </w:trPr>
        <w:tc>
          <w:tcPr>
            <w:tcW w:w="1208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508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2(2.9%)</w:t>
            </w:r>
          </w:p>
        </w:tc>
        <w:tc>
          <w:tcPr>
            <w:tcW w:w="1624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1(1.4%)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0.959</w:t>
            </w:r>
          </w:p>
        </w:tc>
      </w:tr>
      <w:tr w:rsidR="00D1382C" w:rsidRPr="00255FE4" w:rsidTr="00D1382C">
        <w:trPr>
          <w:jc w:val="center"/>
        </w:trPr>
        <w:tc>
          <w:tcPr>
            <w:tcW w:w="1208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Mild</w:t>
            </w:r>
          </w:p>
        </w:tc>
        <w:tc>
          <w:tcPr>
            <w:tcW w:w="1508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21(30.4%)</w:t>
            </w:r>
          </w:p>
        </w:tc>
        <w:tc>
          <w:tcPr>
            <w:tcW w:w="1624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20(28.2%)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1382C" w:rsidRPr="00255FE4" w:rsidTr="00D1382C">
        <w:trPr>
          <w:jc w:val="center"/>
        </w:trPr>
        <w:tc>
          <w:tcPr>
            <w:tcW w:w="1208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Moderate</w:t>
            </w:r>
          </w:p>
        </w:tc>
        <w:tc>
          <w:tcPr>
            <w:tcW w:w="1508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35(50.7%)</w:t>
            </w:r>
          </w:p>
        </w:tc>
        <w:tc>
          <w:tcPr>
            <w:tcW w:w="1624" w:type="pct"/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38(53.5%)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1382C" w:rsidRPr="00255FE4" w:rsidTr="00D1382C">
        <w:trPr>
          <w:jc w:val="center"/>
        </w:trPr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Severe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11(15.9%)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hAnsi="Times New Roman"/>
              </w:rPr>
            </w:pPr>
            <w:r w:rsidRPr="00255FE4">
              <w:rPr>
                <w:rFonts w:ascii="Times New Roman" w:hAnsi="Times New Roman"/>
              </w:rPr>
              <w:t>12(16.9%)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382C" w:rsidRPr="00255FE4" w:rsidRDefault="00D1382C" w:rsidP="000208AC">
            <w:pPr>
              <w:snapToGri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836954" w:rsidRPr="00255FE4" w:rsidRDefault="00472C75" w:rsidP="000208AC">
      <w:pPr>
        <w:snapToGrid w:val="0"/>
        <w:jc w:val="both"/>
        <w:rPr>
          <w:rFonts w:ascii="Times New Roman" w:eastAsia="Times New Roman" w:hAnsi="Times New Roman"/>
        </w:rPr>
      </w:pP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The mean</w:t>
      </w:r>
      <w:r w:rsidR="00836954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skeletal morbidity </w:t>
      </w:r>
      <w:r w:rsidRPr="00255FE4">
        <w:rPr>
          <w:rFonts w:ascii="Times New Roman" w:eastAsia="Times New Roman" w:hAnsi="Times New Roman"/>
          <w:color w:val="000000"/>
          <w:shd w:val="clear" w:color="auto" w:fill="FFFFFF"/>
        </w:rPr>
        <w:t>rate (SMR)</w:t>
      </w:r>
      <w:r w:rsidR="00836954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0.46 (1.06) </w:t>
      </w:r>
      <w:r w:rsidR="00D1382C" w:rsidRPr="00255FE4">
        <w:rPr>
          <w:rFonts w:ascii="Times New Roman" w:eastAsia="Times New Roman" w:hAnsi="Times New Roman"/>
          <w:color w:val="000000"/>
          <w:shd w:val="clear" w:color="auto" w:fill="FFFFFF"/>
        </w:rPr>
        <w:t>vs.</w:t>
      </w:r>
      <w:r w:rsidR="00836954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 0.50 (1.50) events </w:t>
      </w:r>
      <w:r w:rsidR="00B62D87" w:rsidRPr="00255FE4">
        <w:rPr>
          <w:rFonts w:ascii="Times New Roman" w:eastAsia="Times New Roman" w:hAnsi="Times New Roman"/>
          <w:color w:val="000000"/>
          <w:shd w:val="clear" w:color="auto" w:fill="FFFFFF"/>
        </w:rPr>
        <w:t xml:space="preserve">per year in the every 4 weeks versus </w:t>
      </w:r>
      <w:r w:rsidR="00836954" w:rsidRPr="00255FE4">
        <w:rPr>
          <w:rFonts w:ascii="Times New Roman" w:eastAsia="Times New Roman" w:hAnsi="Times New Roman"/>
          <w:color w:val="000000"/>
          <w:shd w:val="clear" w:color="auto" w:fill="FFFFFF"/>
        </w:rPr>
        <w:t>every 12 weeks groups (P = .85)</w:t>
      </w:r>
    </w:p>
    <w:p w:rsidR="002F4084" w:rsidRPr="00255FE4" w:rsidRDefault="002F4084" w:rsidP="000208AC">
      <w:pPr>
        <w:snapToGrid w:val="0"/>
        <w:ind w:firstLine="425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0208AC" w:rsidRPr="00255FE4" w:rsidRDefault="000208AC" w:rsidP="000208AC">
      <w:pPr>
        <w:snapToGrid w:val="0"/>
        <w:ind w:firstLine="425"/>
        <w:jc w:val="both"/>
        <w:rPr>
          <w:rFonts w:ascii="Times New Roman" w:eastAsia="Times New Roman" w:hAnsi="Times New Roman"/>
          <w:color w:val="000000"/>
          <w:shd w:val="clear" w:color="auto" w:fill="FFFFFF"/>
        </w:rPr>
        <w:sectPr w:rsidR="000208AC" w:rsidRPr="00255FE4" w:rsidSect="002F4084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12CF" w:rsidRPr="00255FE4" w:rsidRDefault="003C12CF" w:rsidP="00FA4C87">
      <w:pPr>
        <w:snapToGrid w:val="0"/>
        <w:ind w:firstLine="425"/>
        <w:jc w:val="both"/>
        <w:rPr>
          <w:rFonts w:ascii="Times New Roman" w:eastAsia="Times New Roman" w:hAnsi="Times New Roman"/>
          <w:shd w:val="clear" w:color="auto" w:fill="FFFFFF"/>
        </w:rPr>
      </w:pPr>
      <w:r w:rsidRPr="00255FE4">
        <w:rPr>
          <w:rFonts w:ascii="Times New Roman" w:eastAsia="Times New Roman" w:hAnsi="Times New Roman"/>
          <w:shd w:val="clear" w:color="auto" w:fill="FFFFFF"/>
        </w:rPr>
        <w:lastRenderedPageBreak/>
        <w:t xml:space="preserve">The safety profiles of the every four weeks and every 12weeks groups were </w:t>
      </w:r>
      <w:r w:rsidR="00E21073" w:rsidRPr="00255FE4">
        <w:rPr>
          <w:rFonts w:ascii="Times New Roman" w:eastAsia="Times New Roman" w:hAnsi="Times New Roman"/>
          <w:shd w:val="clear" w:color="auto" w:fill="FFFFFF"/>
        </w:rPr>
        <w:t>comparing</w:t>
      </w:r>
      <w:r w:rsidRPr="00255FE4">
        <w:rPr>
          <w:rFonts w:ascii="Times New Roman" w:eastAsia="Times New Roman" w:hAnsi="Times New Roman"/>
          <w:shd w:val="clear" w:color="auto" w:fill="FFFFFF"/>
        </w:rPr>
        <w:t xml:space="preserve">, with only 2 patients (0.029%) in the every 4weeks group complained from renal dysfunction versus </w:t>
      </w:r>
      <w:r w:rsidR="00255FE4" w:rsidRPr="00255FE4">
        <w:rPr>
          <w:rFonts w:ascii="Times New Roman" w:eastAsia="Times New Roman" w:hAnsi="Times New Roman"/>
          <w:shd w:val="clear" w:color="auto" w:fill="FFFFFF"/>
        </w:rPr>
        <w:t>one patient</w:t>
      </w:r>
      <w:r w:rsidRPr="00255FE4">
        <w:rPr>
          <w:rFonts w:ascii="Times New Roman" w:eastAsia="Times New Roman" w:hAnsi="Times New Roman"/>
          <w:shd w:val="clear" w:color="auto" w:fill="FFFFFF"/>
        </w:rPr>
        <w:t xml:space="preserve"> (0.01</w:t>
      </w:r>
      <w:r w:rsidR="00FA4C87">
        <w:rPr>
          <w:rFonts w:ascii="Times New Roman" w:eastAsia="Times New Roman" w:hAnsi="Times New Roman"/>
          <w:shd w:val="clear" w:color="auto" w:fill="FFFFFF"/>
        </w:rPr>
        <w:t xml:space="preserve">4) in the every 12 weeks group. </w:t>
      </w:r>
      <w:r w:rsidRPr="00255FE4">
        <w:rPr>
          <w:rFonts w:ascii="Times New Roman" w:eastAsia="Times New Roman" w:hAnsi="Times New Roman"/>
          <w:shd w:val="clear" w:color="auto" w:fill="FFFFFF"/>
        </w:rPr>
        <w:t>No patients experienced osteonecrosis in both groups.</w:t>
      </w:r>
    </w:p>
    <w:p w:rsidR="00836954" w:rsidRPr="00255FE4" w:rsidRDefault="00836954" w:rsidP="000208AC">
      <w:pPr>
        <w:snapToGrid w:val="0"/>
        <w:ind w:firstLine="425"/>
        <w:jc w:val="both"/>
        <w:rPr>
          <w:rFonts w:ascii="Times New Roman" w:hAnsi="Times New Roman"/>
        </w:rPr>
      </w:pPr>
    </w:p>
    <w:p w:rsidR="00836954" w:rsidRPr="00255FE4" w:rsidRDefault="008D12CB" w:rsidP="000208AC">
      <w:pPr>
        <w:snapToGrid w:val="0"/>
        <w:jc w:val="both"/>
        <w:rPr>
          <w:rFonts w:ascii="Times New Roman" w:hAnsi="Times New Roman"/>
          <w:b/>
          <w:bCs/>
        </w:rPr>
      </w:pPr>
      <w:r w:rsidRPr="00255FE4">
        <w:rPr>
          <w:rFonts w:ascii="Times New Roman" w:hAnsi="Times New Roman"/>
          <w:b/>
          <w:bCs/>
        </w:rPr>
        <w:t xml:space="preserve">4. </w:t>
      </w:r>
      <w:r w:rsidR="00836954" w:rsidRPr="00255FE4">
        <w:rPr>
          <w:rFonts w:ascii="Times New Roman" w:hAnsi="Times New Roman"/>
          <w:b/>
          <w:bCs/>
        </w:rPr>
        <w:t>Discussion</w:t>
      </w:r>
    </w:p>
    <w:p w:rsidR="00221F1C" w:rsidRPr="00255FE4" w:rsidRDefault="00D1382C" w:rsidP="000208AC">
      <w:pPr>
        <w:snapToGrid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study</w:t>
      </w:r>
      <w:r w:rsidR="003C12CF" w:rsidRPr="00255FE4">
        <w:rPr>
          <w:rFonts w:ascii="Times New Roman" w:hAnsi="Times New Roman"/>
        </w:rPr>
        <w:t xml:space="preserve"> included metastatic breast cancer to bone patients. The administered of zoledrnic acid every 12weeks was non</w:t>
      </w:r>
      <w:r w:rsidR="00221F1C" w:rsidRPr="00255FE4">
        <w:rPr>
          <w:rFonts w:ascii="Times New Roman" w:hAnsi="Times New Roman"/>
        </w:rPr>
        <w:t xml:space="preserve"> i</w:t>
      </w:r>
      <w:r w:rsidR="003C12CF" w:rsidRPr="00255FE4">
        <w:rPr>
          <w:rFonts w:ascii="Times New Roman" w:hAnsi="Times New Roman"/>
        </w:rPr>
        <w:t>nferior to that administered every 4weeks for reducing the occur in skeletal events</w:t>
      </w:r>
      <w:r w:rsidR="002F4084" w:rsidRPr="00255FE4">
        <w:rPr>
          <w:rFonts w:ascii="Times New Roman" w:hAnsi="Times New Roman"/>
        </w:rPr>
        <w:t>, (</w:t>
      </w:r>
      <w:r w:rsidR="003C12CF" w:rsidRPr="00255FE4">
        <w:rPr>
          <w:rFonts w:ascii="Times New Roman" w:hAnsi="Times New Roman"/>
        </w:rPr>
        <w:t>21.7%) of patients every 4weeks versus (22.5%) in every 12weeks groups). The time between treated groups with SRE was of no statistical</w:t>
      </w:r>
      <w:r w:rsidR="00255FE4">
        <w:rPr>
          <w:rFonts w:ascii="Times New Roman" w:eastAsiaTheme="minorEastAsia" w:hAnsi="Times New Roman" w:hint="eastAsia"/>
          <w:lang w:eastAsia="zh-CN"/>
        </w:rPr>
        <w:t xml:space="preserve"> si</w:t>
      </w:r>
      <w:r w:rsidR="003C12CF" w:rsidRPr="00255FE4">
        <w:rPr>
          <w:rFonts w:ascii="Times New Roman" w:hAnsi="Times New Roman"/>
        </w:rPr>
        <w:t xml:space="preserve">gnificantly different (hazard ratio [HR], 1.04; 95% CI, 0.52-2.1; P = 0.903). The mean skeletal morbidity rate (SMR) was noninferior, 0.48 (1.08) versus 0.51 (1.51) events per year in the every 4 weeks </w:t>
      </w:r>
      <w:r w:rsidRPr="00255FE4">
        <w:rPr>
          <w:rFonts w:ascii="Times New Roman" w:hAnsi="Times New Roman"/>
        </w:rPr>
        <w:t>vs.</w:t>
      </w:r>
      <w:r w:rsidR="003C12CF" w:rsidRPr="00255FE4">
        <w:rPr>
          <w:rFonts w:ascii="Times New Roman" w:hAnsi="Times New Roman"/>
        </w:rPr>
        <w:t xml:space="preserve"> every 12 weeks groups (P = </w:t>
      </w:r>
      <w:r w:rsidR="00E21073">
        <w:rPr>
          <w:rFonts w:ascii="Times New Roman" w:hAnsi="Times New Roman"/>
        </w:rPr>
        <w:t>0</w:t>
      </w:r>
      <w:r w:rsidR="003C12CF" w:rsidRPr="00255FE4">
        <w:rPr>
          <w:rFonts w:ascii="Times New Roman" w:hAnsi="Times New Roman"/>
        </w:rPr>
        <w:t>.85</w:t>
      </w:r>
      <w:r w:rsidR="00221F1C" w:rsidRPr="00255FE4">
        <w:rPr>
          <w:rFonts w:ascii="Times New Roman" w:hAnsi="Times New Roman"/>
        </w:rPr>
        <w:t>).</w:t>
      </w:r>
    </w:p>
    <w:p w:rsidR="00221F1C" w:rsidRPr="00255FE4" w:rsidRDefault="003C12CF" w:rsidP="000208AC">
      <w:pPr>
        <w:snapToGrid w:val="0"/>
        <w:ind w:firstLine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Similar observations were made in OPTIMIZE-2 study</w:t>
      </w:r>
      <w:r w:rsidRPr="00255FE4">
        <w:rPr>
          <w:rFonts w:ascii="Times New Roman" w:hAnsi="Times New Roman"/>
          <w:vertAlign w:val="superscript"/>
        </w:rPr>
        <w:t>17</w:t>
      </w:r>
      <w:r w:rsidRPr="00255FE4">
        <w:rPr>
          <w:rFonts w:ascii="Times New Roman" w:hAnsi="Times New Roman"/>
        </w:rPr>
        <w:t xml:space="preserve"> 44 patients (22.0%) in every four weeks group </w:t>
      </w:r>
      <w:r w:rsidR="00D1382C" w:rsidRPr="00255FE4">
        <w:rPr>
          <w:rFonts w:ascii="Times New Roman" w:hAnsi="Times New Roman"/>
        </w:rPr>
        <w:t>vs.</w:t>
      </w:r>
      <w:r w:rsidRPr="00255FE4">
        <w:rPr>
          <w:rFonts w:ascii="Times New Roman" w:hAnsi="Times New Roman"/>
        </w:rPr>
        <w:t xml:space="preserve"> 47patients (23.2%) in the every 12weeks group experienced 1 or more SRE and ZOOM study</w:t>
      </w:r>
      <w:r w:rsidRPr="00255FE4">
        <w:rPr>
          <w:rFonts w:ascii="Times New Roman" w:hAnsi="Times New Roman"/>
          <w:vertAlign w:val="superscript"/>
        </w:rPr>
        <w:t>12</w:t>
      </w:r>
      <w:r w:rsidRPr="00255FE4">
        <w:rPr>
          <w:rFonts w:ascii="Times New Roman" w:hAnsi="Times New Roman"/>
        </w:rPr>
        <w:t xml:space="preserve"> 31 of 209 (15%) patients in the 12week group and 33 of 216 (15%) in the 4-week group (p=0·898). The SRE was not statistica</w:t>
      </w:r>
      <w:r w:rsidR="00D1382C">
        <w:rPr>
          <w:rFonts w:ascii="Times New Roman" w:hAnsi="Times New Roman"/>
        </w:rPr>
        <w:t>l significant was differ (HR</w:t>
      </w:r>
      <w:r w:rsidRPr="00255FE4">
        <w:rPr>
          <w:rFonts w:ascii="Times New Roman" w:hAnsi="Times New Roman"/>
        </w:rPr>
        <w:t>, 1.6; 95% CI, 0.70-160; P = 0.79). The median time to first SRE could not be calculated in ZOOM study</w:t>
      </w:r>
      <w:r w:rsidRPr="00255FE4">
        <w:rPr>
          <w:rFonts w:ascii="Times New Roman" w:hAnsi="Times New Roman"/>
          <w:vertAlign w:val="superscript"/>
        </w:rPr>
        <w:t>10</w:t>
      </w:r>
      <w:r w:rsidRPr="00255FE4">
        <w:rPr>
          <w:rFonts w:ascii="Times New Roman" w:hAnsi="Times New Roman"/>
        </w:rPr>
        <w:t xml:space="preserve"> because of the low event rate. At same time</w:t>
      </w:r>
      <w:r w:rsidR="00221F1C" w:rsidRPr="00255FE4">
        <w:rPr>
          <w:rFonts w:ascii="Times New Roman" w:hAnsi="Times New Roman"/>
        </w:rPr>
        <w:t>, t</w:t>
      </w:r>
      <w:r w:rsidRPr="00255FE4">
        <w:rPr>
          <w:rFonts w:ascii="Times New Roman" w:hAnsi="Times New Roman"/>
        </w:rPr>
        <w:t>here was no statistically significant between treatment groups (P= 0.46</w:t>
      </w:r>
      <w:r w:rsidR="00DD1985" w:rsidRPr="00255FE4">
        <w:rPr>
          <w:rFonts w:ascii="Times New Roman" w:hAnsi="Times New Roman"/>
        </w:rPr>
        <w:t>vs.</w:t>
      </w:r>
      <w:r w:rsidRPr="00255FE4">
        <w:rPr>
          <w:rFonts w:ascii="Times New Roman" w:hAnsi="Times New Roman"/>
        </w:rPr>
        <w:t xml:space="preserve"> 0.50)</w:t>
      </w:r>
      <w:r w:rsidR="00221F1C" w:rsidRPr="00255FE4">
        <w:rPr>
          <w:rFonts w:ascii="Times New Roman" w:hAnsi="Times New Roman"/>
        </w:rPr>
        <w:t>. A</w:t>
      </w:r>
      <w:r w:rsidRPr="00255FE4">
        <w:rPr>
          <w:rFonts w:ascii="Times New Roman" w:hAnsi="Times New Roman"/>
        </w:rPr>
        <w:t>lso SMR was not statistically significant in ZOOM study</w:t>
      </w:r>
      <w:r w:rsidRPr="00255FE4">
        <w:rPr>
          <w:rFonts w:ascii="Times New Roman" w:hAnsi="Times New Roman"/>
          <w:vertAlign w:val="superscript"/>
        </w:rPr>
        <w:t>10</w:t>
      </w:r>
      <w:r w:rsidRPr="00255FE4">
        <w:rPr>
          <w:rFonts w:ascii="Times New Roman" w:hAnsi="Times New Roman"/>
        </w:rPr>
        <w:t xml:space="preserve"> (95% CI) 0·26 (0·15–0·37) in 12 week group vs 0·22 (0·14–0·29) in 4 week grou</w:t>
      </w:r>
      <w:r w:rsidR="00221F1C" w:rsidRPr="00255FE4">
        <w:rPr>
          <w:rFonts w:ascii="Times New Roman" w:hAnsi="Times New Roman"/>
        </w:rPr>
        <w:t>p.</w:t>
      </w:r>
    </w:p>
    <w:p w:rsidR="003C12CF" w:rsidRPr="00255FE4" w:rsidRDefault="003C12CF" w:rsidP="000208AC">
      <w:pPr>
        <w:snapToGrid w:val="0"/>
        <w:ind w:firstLine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lastRenderedPageBreak/>
        <w:t>In present study, the incidence of renal impairment of the 2 treatment arms was comparable (only 2 patients (0.02.8) in the every four weeks versus one patient (0.014) in the every 12 weeks group).</w:t>
      </w:r>
    </w:p>
    <w:p w:rsidR="00221F1C" w:rsidRPr="00255FE4" w:rsidRDefault="003C12CF" w:rsidP="000208AC">
      <w:pPr>
        <w:snapToGrid w:val="0"/>
        <w:ind w:firstLine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In the ZOOM study</w:t>
      </w:r>
      <w:r w:rsidRPr="00255FE4">
        <w:rPr>
          <w:rFonts w:ascii="Times New Roman" w:hAnsi="Times New Roman"/>
          <w:vertAlign w:val="superscript"/>
        </w:rPr>
        <w:t>10</w:t>
      </w:r>
      <w:r w:rsidRPr="00255FE4">
        <w:rPr>
          <w:rFonts w:ascii="Times New Roman" w:hAnsi="Times New Roman"/>
        </w:rPr>
        <w:t xml:space="preserve">, Renal adverse </w:t>
      </w:r>
      <w:r w:rsidR="00255FE4" w:rsidRPr="00255FE4">
        <w:rPr>
          <w:rFonts w:ascii="Times New Roman" w:hAnsi="Times New Roman"/>
        </w:rPr>
        <w:t>occur</w:t>
      </w:r>
      <w:r w:rsidRPr="00255FE4">
        <w:rPr>
          <w:rFonts w:ascii="Times New Roman" w:hAnsi="Times New Roman"/>
        </w:rPr>
        <w:t xml:space="preserve"> in 1 patient (&lt;1%) in the group</w:t>
      </w:r>
      <w:r w:rsidR="00FA4C87" w:rsidRPr="00255FE4">
        <w:rPr>
          <w:rFonts w:ascii="Times New Roman" w:hAnsi="Times New Roman"/>
        </w:rPr>
        <w:t>, 12</w:t>
      </w:r>
      <w:r w:rsidRPr="00255FE4">
        <w:rPr>
          <w:rFonts w:ascii="Times New Roman" w:hAnsi="Times New Roman"/>
        </w:rPr>
        <w:t>-week and two patients (1%) in the grou</w:t>
      </w:r>
      <w:r w:rsidR="00221F1C" w:rsidRPr="00255FE4">
        <w:rPr>
          <w:rFonts w:ascii="Times New Roman" w:hAnsi="Times New Roman"/>
        </w:rPr>
        <w:t>p, 4</w:t>
      </w:r>
      <w:r w:rsidRPr="00255FE4">
        <w:rPr>
          <w:rFonts w:ascii="Times New Roman" w:hAnsi="Times New Roman"/>
        </w:rPr>
        <w:t>-week. One patient (&lt;1%) in the fourweek group had non-serious acute grade 1 renal failure</w:t>
      </w:r>
      <w:r w:rsidR="00221F1C" w:rsidRPr="00255FE4">
        <w:rPr>
          <w:rFonts w:ascii="Times New Roman" w:hAnsi="Times New Roman"/>
        </w:rPr>
        <w:t>. A</w:t>
      </w:r>
      <w:r w:rsidRPr="00255FE4">
        <w:rPr>
          <w:rFonts w:ascii="Times New Roman" w:hAnsi="Times New Roman"/>
        </w:rPr>
        <w:t>ccording to pain score the 2 treatment groups was not statistically significantly different in this study  (p=0.595)</w:t>
      </w:r>
      <w:r w:rsidR="00221F1C" w:rsidRPr="00255FE4">
        <w:rPr>
          <w:rFonts w:ascii="Times New Roman" w:hAnsi="Times New Roman"/>
        </w:rPr>
        <w:t>. T</w:t>
      </w:r>
      <w:r w:rsidRPr="00255FE4">
        <w:rPr>
          <w:rFonts w:ascii="Times New Roman" w:hAnsi="Times New Roman"/>
        </w:rPr>
        <w:t>he OPTIMIZE-2 study</w:t>
      </w:r>
      <w:r w:rsidRPr="00255FE4">
        <w:rPr>
          <w:rFonts w:ascii="Times New Roman" w:hAnsi="Times New Roman"/>
          <w:vertAlign w:val="superscript"/>
        </w:rPr>
        <w:t>17</w:t>
      </w:r>
      <w:r w:rsidRPr="00255FE4">
        <w:rPr>
          <w:rFonts w:ascii="Times New Roman" w:hAnsi="Times New Roman"/>
        </w:rPr>
        <w:t xml:space="preserve"> assessed bonepain by the Brief Pain Inventor</w:t>
      </w:r>
      <w:r w:rsidR="002F4084" w:rsidRPr="00255FE4">
        <w:rPr>
          <w:rFonts w:ascii="Times New Roman" w:hAnsi="Times New Roman"/>
        </w:rPr>
        <w:t>y (</w:t>
      </w:r>
      <w:r w:rsidRPr="00255FE4">
        <w:rPr>
          <w:rFonts w:ascii="Times New Roman" w:hAnsi="Times New Roman"/>
        </w:rPr>
        <w:t>BPI</w:t>
      </w:r>
      <w:r w:rsidR="00221F1C" w:rsidRPr="00255FE4">
        <w:rPr>
          <w:rFonts w:ascii="Times New Roman" w:hAnsi="Times New Roman"/>
        </w:rPr>
        <w:t>) a</w:t>
      </w:r>
      <w:r w:rsidRPr="00255FE4">
        <w:rPr>
          <w:rFonts w:ascii="Times New Roman" w:hAnsi="Times New Roman"/>
        </w:rPr>
        <w:t>nd analgesic consumption</w:t>
      </w:r>
      <w:r w:rsidR="00221F1C" w:rsidRPr="00255FE4">
        <w:rPr>
          <w:rFonts w:ascii="Times New Roman" w:hAnsi="Times New Roman"/>
        </w:rPr>
        <w:t>, p</w:t>
      </w:r>
      <w:r w:rsidRPr="00255FE4">
        <w:rPr>
          <w:rFonts w:ascii="Times New Roman" w:hAnsi="Times New Roman"/>
        </w:rPr>
        <w:t>ain score and analgesic consumption was not statistically different between groups (P =</w:t>
      </w:r>
      <w:r w:rsidR="00E21073">
        <w:rPr>
          <w:rFonts w:ascii="Times New Roman" w:hAnsi="Times New Roman"/>
        </w:rPr>
        <w:t>0</w:t>
      </w:r>
      <w:r w:rsidR="002F4084" w:rsidRPr="00255FE4">
        <w:rPr>
          <w:rFonts w:ascii="Times New Roman" w:hAnsi="Times New Roman"/>
        </w:rPr>
        <w:t>.</w:t>
      </w:r>
      <w:r w:rsidRPr="00255FE4">
        <w:rPr>
          <w:rFonts w:ascii="Times New Roman" w:hAnsi="Times New Roman"/>
        </w:rPr>
        <w:t>1</w:t>
      </w:r>
      <w:r w:rsidR="00221F1C" w:rsidRPr="00255FE4">
        <w:rPr>
          <w:rFonts w:ascii="Times New Roman" w:hAnsi="Times New Roman"/>
        </w:rPr>
        <w:t>) .</w:t>
      </w:r>
    </w:p>
    <w:p w:rsidR="003C12CF" w:rsidRPr="00255FE4" w:rsidRDefault="002F4084" w:rsidP="000208AC">
      <w:pPr>
        <w:snapToGrid w:val="0"/>
        <w:ind w:firstLine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L</w:t>
      </w:r>
      <w:r w:rsidR="003C12CF" w:rsidRPr="00255FE4">
        <w:rPr>
          <w:rFonts w:ascii="Times New Roman" w:hAnsi="Times New Roman"/>
        </w:rPr>
        <w:t xml:space="preserve">ing et al </w:t>
      </w:r>
      <w:r w:rsidR="003C12CF" w:rsidRPr="00255FE4">
        <w:rPr>
          <w:rFonts w:ascii="Times New Roman" w:hAnsi="Times New Roman"/>
          <w:vertAlign w:val="superscript"/>
        </w:rPr>
        <w:t>18</w:t>
      </w:r>
      <w:r w:rsidR="003C12CF" w:rsidRPr="00255FE4">
        <w:rPr>
          <w:rFonts w:ascii="Times New Roman" w:hAnsi="Times New Roman"/>
        </w:rPr>
        <w:t>reorted that there were no differences in the incidence of skeletal-related events (</w:t>
      </w:r>
      <w:r w:rsidR="003C12CF" w:rsidRPr="00255FE4">
        <w:rPr>
          <w:rFonts w:ascii="Times New Roman" w:hAnsi="Times New Roman"/>
          <w:i/>
          <w:iCs/>
        </w:rPr>
        <w:t xml:space="preserve">P </w:t>
      </w:r>
      <w:r w:rsidR="003C12CF" w:rsidRPr="00255FE4">
        <w:rPr>
          <w:rFonts w:ascii="Times New Roman" w:hAnsi="Times New Roman"/>
        </w:rPr>
        <w:t>= 0.80) or grade 3/4 adverse events (</w:t>
      </w:r>
      <w:r w:rsidR="003C12CF" w:rsidRPr="00255FE4">
        <w:rPr>
          <w:rFonts w:ascii="Times New Roman" w:hAnsi="Times New Roman"/>
          <w:i/>
          <w:iCs/>
        </w:rPr>
        <w:t xml:space="preserve">P = </w:t>
      </w:r>
      <w:r w:rsidR="003C12CF" w:rsidRPr="00255FE4">
        <w:rPr>
          <w:rFonts w:ascii="Times New Roman" w:hAnsi="Times New Roman"/>
        </w:rPr>
        <w:t>0.52) were observed between the 12-week and 4-week schedule of zoledronic acid. The 12-week</w:t>
      </w:r>
      <w:r w:rsidR="00DD1985">
        <w:rPr>
          <w:rFonts w:ascii="Times New Roman" w:hAnsi="Times New Roman"/>
        </w:rPr>
        <w:t>s</w:t>
      </w:r>
      <w:r w:rsidR="003C12CF" w:rsidRPr="00255FE4">
        <w:rPr>
          <w:rFonts w:ascii="Times New Roman" w:hAnsi="Times New Roman"/>
        </w:rPr>
        <w:t xml:space="preserve"> arm have lower incidences osteonecrosis in jaw (0.98%) versus (1.73%) and renal impairment (1.68%) versus (2.45%) withno significant difference (</w:t>
      </w:r>
      <w:r w:rsidR="003C12CF" w:rsidRPr="00255FE4">
        <w:rPr>
          <w:rFonts w:ascii="Times New Roman" w:hAnsi="Times New Roman"/>
          <w:i/>
          <w:iCs/>
        </w:rPr>
        <w:t xml:space="preserve">P= </w:t>
      </w:r>
      <w:r w:rsidR="003C12CF" w:rsidRPr="00255FE4">
        <w:rPr>
          <w:rFonts w:ascii="Times New Roman" w:hAnsi="Times New Roman"/>
        </w:rPr>
        <w:t>0.11); (</w:t>
      </w:r>
      <w:r w:rsidR="003C12CF" w:rsidRPr="00255FE4">
        <w:rPr>
          <w:rFonts w:ascii="Times New Roman" w:hAnsi="Times New Roman"/>
          <w:i/>
          <w:iCs/>
        </w:rPr>
        <w:t xml:space="preserve">P = </w:t>
      </w:r>
      <w:r w:rsidR="003C12CF" w:rsidRPr="00255FE4">
        <w:rPr>
          <w:rFonts w:ascii="Times New Roman" w:hAnsi="Times New Roman"/>
        </w:rPr>
        <w:t>0.15) respectively. They claimed that</w:t>
      </w:r>
      <w:r w:rsidR="00BF0B6E">
        <w:rPr>
          <w:rFonts w:ascii="Times New Roman" w:hAnsi="Times New Roman"/>
        </w:rPr>
        <w:t xml:space="preserve"> </w:t>
      </w:r>
      <w:r w:rsidR="003C12CF" w:rsidRPr="00255FE4">
        <w:rPr>
          <w:rFonts w:ascii="Times New Roman" w:hAnsi="Times New Roman"/>
        </w:rPr>
        <w:t>zoledronic acid at 12-week</w:t>
      </w:r>
      <w:r w:rsidR="00DD1985">
        <w:rPr>
          <w:rFonts w:ascii="Times New Roman" w:hAnsi="Times New Roman"/>
        </w:rPr>
        <w:t>s</w:t>
      </w:r>
      <w:r w:rsidR="003C12CF" w:rsidRPr="00255FE4">
        <w:rPr>
          <w:rFonts w:ascii="Times New Roman" w:hAnsi="Times New Roman"/>
        </w:rPr>
        <w:t xml:space="preserve"> intervals don't increase risk of SREs, and maybe reduce the incidence of </w:t>
      </w:r>
      <w:r w:rsidR="00DD1985" w:rsidRPr="00255FE4">
        <w:rPr>
          <w:rFonts w:ascii="Times New Roman" w:hAnsi="Times New Roman"/>
        </w:rPr>
        <w:t>osteonecrosis</w:t>
      </w:r>
      <w:r w:rsidR="003C12CF" w:rsidRPr="00255FE4">
        <w:rPr>
          <w:rFonts w:ascii="Times New Roman" w:hAnsi="Times New Roman"/>
        </w:rPr>
        <w:t xml:space="preserve"> of jaw and kidney failure. </w:t>
      </w:r>
    </w:p>
    <w:p w:rsidR="00322396" w:rsidRPr="00255FE4" w:rsidRDefault="00322396" w:rsidP="000208AC">
      <w:pPr>
        <w:snapToGrid w:val="0"/>
        <w:ind w:firstLine="425"/>
        <w:jc w:val="both"/>
        <w:rPr>
          <w:rFonts w:ascii="Times New Roman" w:hAnsi="Times New Roman"/>
        </w:rPr>
      </w:pPr>
    </w:p>
    <w:p w:rsidR="000208AC" w:rsidRPr="00255FE4" w:rsidRDefault="00A51F69" w:rsidP="000208AC">
      <w:pPr>
        <w:snapToGrid w:val="0"/>
        <w:jc w:val="both"/>
        <w:rPr>
          <w:rFonts w:ascii="Times New Roman" w:hAnsi="Times New Roman"/>
          <w:b/>
          <w:bCs/>
        </w:rPr>
      </w:pPr>
      <w:r w:rsidRPr="00255FE4">
        <w:rPr>
          <w:rFonts w:ascii="Times New Roman" w:hAnsi="Times New Roman"/>
          <w:b/>
          <w:bCs/>
        </w:rPr>
        <w:t>References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Kohno N, Aogi K, Minami H, et al. Zoledronic acid significantly reduces skeletal complications compared with placebo in Japanese women with bone metastases from breast cancer: a randomized, placebo-controlled trial. J Clin Oncol. 2005</w:t>
      </w:r>
      <w:r w:rsidR="00F97AE3" w:rsidRPr="00255FE4">
        <w:rPr>
          <w:rFonts w:ascii="Times New Roman" w:hAnsi="Times New Roman"/>
        </w:rPr>
        <w:t>; 23</w:t>
      </w:r>
      <w:r w:rsidRPr="00255FE4">
        <w:rPr>
          <w:rFonts w:ascii="Times New Roman" w:hAnsi="Times New Roman"/>
        </w:rPr>
        <w:t>(15):3314–3321.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lastRenderedPageBreak/>
        <w:t>Clément-Demange L, Clézardin P. Emerging therapies in bone metastasis. Curr Opin Pharmacol. 2015</w:t>
      </w:r>
      <w:r w:rsidR="00F97AE3" w:rsidRPr="00255FE4">
        <w:rPr>
          <w:rFonts w:ascii="Times New Roman" w:hAnsi="Times New Roman"/>
        </w:rPr>
        <w:t>; 22:79</w:t>
      </w:r>
      <w:r w:rsidRPr="00255FE4">
        <w:rPr>
          <w:rFonts w:ascii="Times New Roman" w:hAnsi="Times New Roman"/>
        </w:rPr>
        <w:t xml:space="preserve">-86. 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Coleman RE. Skeletal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  <w:r w:rsidRPr="00255FE4">
        <w:rPr>
          <w:rFonts w:ascii="Times New Roman" w:hAnsi="Times New Roman"/>
        </w:rPr>
        <w:t>complications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  <w:r w:rsidRPr="00255FE4">
        <w:rPr>
          <w:rFonts w:ascii="Times New Roman" w:hAnsi="Times New Roman"/>
        </w:rPr>
        <w:t xml:space="preserve">of malignancy. Cancer. 1997;80(8) (suppl):1588-1594. 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Weinfurt KP, Castel LD, Li Y, Timbie JW, Glendenning GA, Schulman KA. Health-related quality of life among patients with breast cancer receiving zoledronic acid or pamidronate disodium for metastatic bone lesions. Med Care. 2004</w:t>
      </w:r>
      <w:r w:rsidR="00F97AE3" w:rsidRPr="00255FE4">
        <w:rPr>
          <w:rFonts w:ascii="Times New Roman" w:hAnsi="Times New Roman"/>
        </w:rPr>
        <w:t>; 42</w:t>
      </w:r>
      <w:r w:rsidRPr="00255FE4">
        <w:rPr>
          <w:rFonts w:ascii="Times New Roman" w:hAnsi="Times New Roman"/>
        </w:rPr>
        <w:t xml:space="preserve">(2): 164-175. 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Costa L, Major PP. Effect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  <w:r w:rsidRPr="00255FE4">
        <w:rPr>
          <w:rFonts w:ascii="Times New Roman" w:hAnsi="Times New Roman"/>
        </w:rPr>
        <w:t>of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  <w:r w:rsidRPr="00255FE4">
        <w:rPr>
          <w:rFonts w:ascii="Times New Roman" w:hAnsi="Times New Roman"/>
        </w:rPr>
        <w:t>bisphosphonates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  <w:r w:rsidRPr="00255FE4">
        <w:rPr>
          <w:rFonts w:ascii="Times New Roman" w:hAnsi="Times New Roman"/>
        </w:rPr>
        <w:t xml:space="preserve">on pain and quality of life in patients with bone metastases. Nat Clin Pract Oncol. 2009;6(3):163-174. 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Saad F, Lipton A, Cook R, Chen YM, Smith M, Coleman R. Pathologic fractures correlate with reduced survival in patients with malignant bone disease. Cancer. 2007;110(8):1860-1867.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Coleman RE, Major P, Lipton A, et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  <w:r w:rsidRPr="00255FE4">
        <w:rPr>
          <w:rFonts w:ascii="Times New Roman" w:hAnsi="Times New Roman"/>
        </w:rPr>
        <w:t xml:space="preserve">al. Predictive value of bone resorption and formation markers in cancer patients with bone metastases receiving the bisphosphonate zoledronic acid. J Clin Oncol. 2005; 23(22):4925-4935. 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Saad F, Gleason DM, Murray R, et al. Zoledronic Acid Prostate Cancer Study Group. A randomized, placebo-controlled trial of zoledronic acid in patients with hormone-refractory metastatic prostate carcinoma. J Natl Cancer Inst. 2002</w:t>
      </w:r>
      <w:r w:rsidR="00F97AE3" w:rsidRPr="00255FE4">
        <w:rPr>
          <w:rFonts w:ascii="Times New Roman" w:hAnsi="Times New Roman"/>
        </w:rPr>
        <w:t>; 94</w:t>
      </w:r>
      <w:r w:rsidRPr="00255FE4">
        <w:rPr>
          <w:rFonts w:ascii="Times New Roman" w:hAnsi="Times New Roman"/>
        </w:rPr>
        <w:t>(19):1458–1468.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Pavlakis N, Schmidt R, Stockler M. Bisphosphonates for breast cancer. Cochrane Database Syst Rev. 2005; (3): CD003474.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 xml:space="preserve">Van Poznak CH, Temin S, Yee GC, Janjan NA, Barlow WE, Biermann JS, et al. American Society of Clinical Oncology executive summary of the clinical practice guideline update on the </w:t>
      </w:r>
      <w:r w:rsidRPr="00255FE4">
        <w:rPr>
          <w:rFonts w:ascii="Times New Roman" w:hAnsi="Times New Roman"/>
        </w:rPr>
        <w:lastRenderedPageBreak/>
        <w:t>role of bone-modifying agents in metastatic breast cancer. J Clin Oncol 2011; 29:1221–1227.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Van Poznak CH, Von Roenn JH, Temin S. American Society of Clinical Oncology clinical practice guideline update: recommendations on the role of bonemodifying agents in metastatic breast cancer. J Oncol Pract 2011; 7:117–121.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Amadori D1, Aglietta M, Alessi B, et al. Efficacy and safety of 12-weekly versus 4-weekly zoledronic acid for prolonged treatment of patients with bone metastases from breast cancer (ZOOM): a phase 3, open-label, randomised, non-inferiority trial. Lancet Oncol. 2013 Jun; 14(7):663-70.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Cockcroft DW, Gault MH. Prediction of creatinine clearance from serum creatinine. Nephron. 1976</w:t>
      </w:r>
      <w:r w:rsidR="007F6E96" w:rsidRPr="00255FE4">
        <w:rPr>
          <w:rFonts w:ascii="Times New Roman" w:hAnsi="Times New Roman"/>
        </w:rPr>
        <w:t>; 16</w:t>
      </w:r>
      <w:r w:rsidRPr="00255FE4">
        <w:rPr>
          <w:rFonts w:ascii="Times New Roman" w:hAnsi="Times New Roman"/>
        </w:rPr>
        <w:t>(1):31–41.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 xml:space="preserve">Cancer Therapy Evaluation Program. [Accessed December 6, 2016]; Common Terminology Criteria for Adverse Events, Version 3.0. 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Cleeland CS, Ryan KM. Pain assessment: global use of the Brief Pain Inventory. Ann Acad Med Singapore. 1994</w:t>
      </w:r>
      <w:r w:rsidR="00F97AE3" w:rsidRPr="00255FE4">
        <w:rPr>
          <w:rFonts w:ascii="Times New Roman" w:hAnsi="Times New Roman"/>
        </w:rPr>
        <w:t>; 23</w:t>
      </w:r>
      <w:r w:rsidRPr="00255FE4">
        <w:rPr>
          <w:rFonts w:ascii="Times New Roman" w:hAnsi="Times New Roman"/>
        </w:rPr>
        <w:t xml:space="preserve">(2):129–138. 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autoSpaceDE w:val="0"/>
        <w:autoSpaceDN w:val="0"/>
        <w:adjustRightInd w:val="0"/>
        <w:snapToGrid w:val="0"/>
        <w:ind w:left="425" w:hanging="425"/>
        <w:jc w:val="both"/>
        <w:rPr>
          <w:rFonts w:ascii="Times New Roman" w:hAnsi="Times New Roman"/>
          <w:color w:val="000000"/>
        </w:rPr>
      </w:pPr>
      <w:r w:rsidRPr="00255FE4">
        <w:rPr>
          <w:rFonts w:ascii="Times New Roman" w:hAnsi="Times New Roman"/>
          <w:color w:val="000000"/>
        </w:rPr>
        <w:t xml:space="preserve">Coleman R, Body JJ, Aapro M, et al. Bone health in cancer patients: ESMO Clinical Practice Guidelines (2014). Ann Oncol. 25(suppl 3): iii124-iii37. </w:t>
      </w:r>
    </w:p>
    <w:p w:rsidR="00BF0B6E" w:rsidRPr="00255FE4" w:rsidRDefault="00BF0B6E" w:rsidP="00BF0B6E">
      <w:pPr>
        <w:pStyle w:val="ListParagraph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</w:rPr>
      </w:pPr>
      <w:r w:rsidRPr="00255FE4">
        <w:rPr>
          <w:rFonts w:ascii="Times New Roman" w:hAnsi="Times New Roman"/>
        </w:rPr>
        <w:t>Hortobagyi GN1, Van Poznak C2, Harker WG3, et al. Continued Treatment Effect of Zoledronic Acid Dosing Every 12 vs 4 Weeks in Women With Breast Cancer Metastatic to Bone: The OPTIMIZE-2 Randomized Clinical Trial. JAMA Oncol. 2017 Jul 1</w:t>
      </w:r>
      <w:r w:rsidR="007F6E96" w:rsidRPr="00255FE4">
        <w:rPr>
          <w:rFonts w:ascii="Times New Roman" w:hAnsi="Times New Roman"/>
        </w:rPr>
        <w:t>; 3</w:t>
      </w:r>
      <w:r w:rsidRPr="00255FE4">
        <w:rPr>
          <w:rFonts w:ascii="Times New Roman" w:hAnsi="Times New Roman"/>
        </w:rPr>
        <w:t>(7):906-912.</w:t>
      </w:r>
    </w:p>
    <w:p w:rsidR="002F4084" w:rsidRPr="00255FE4" w:rsidRDefault="00BF0B6E" w:rsidP="00BF0B6E">
      <w:pPr>
        <w:pStyle w:val="Default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55FE4">
        <w:rPr>
          <w:rFonts w:ascii="Times New Roman" w:hAnsi="Times New Roman" w:cs="Times New Roman"/>
          <w:sz w:val="20"/>
          <w:szCs w:val="20"/>
        </w:rPr>
        <w:t xml:space="preserve">Ling Cao, Yong-Jing Yang, Jian-Dong Diao, et al.: Systematic review and meta-analysis comparing zoledronic acid administered at 12-week and 4-week intervals in patients with bone metastasis. </w:t>
      </w:r>
      <w:r w:rsidRPr="00255FE4">
        <w:rPr>
          <w:rStyle w:val="A2"/>
          <w:rFonts w:ascii="Times New Roman" w:hAnsi="Times New Roman" w:cs="Times New Roman"/>
          <w:b w:val="0"/>
        </w:rPr>
        <w:t>Oncotarget, 2017, Vol. 8, (No. 52), pp: 90308-90314</w:t>
      </w:r>
      <w:r w:rsidRPr="00255FE4">
        <w:rPr>
          <w:rStyle w:val="A2"/>
          <w:rFonts w:ascii="Times New Roman" w:eastAsiaTheme="minorEastAsia" w:hAnsi="Times New Roman" w:cs="Times New Roman" w:hint="eastAsia"/>
          <w:b w:val="0"/>
          <w:lang w:eastAsia="zh-CN"/>
        </w:rPr>
        <w:t>.</w:t>
      </w:r>
    </w:p>
    <w:p w:rsidR="000208AC" w:rsidRPr="00255FE4" w:rsidRDefault="000208AC" w:rsidP="00221F1C">
      <w:pPr>
        <w:snapToGrid w:val="0"/>
        <w:ind w:left="425" w:hanging="425"/>
        <w:jc w:val="both"/>
        <w:rPr>
          <w:rFonts w:ascii="Times New Roman" w:hAnsi="Times New Roman"/>
        </w:rPr>
        <w:sectPr w:rsidR="000208AC" w:rsidRPr="00255FE4" w:rsidSect="000208AC">
          <w:type w:val="continuous"/>
          <w:pgSz w:w="12242" w:h="15842" w:code="1"/>
          <w:pgMar w:top="1440" w:right="1440" w:bottom="1440" w:left="1440" w:header="720" w:footer="720" w:gutter="0"/>
          <w:cols w:num="2" w:space="500"/>
          <w:docGrid w:linePitch="360"/>
        </w:sectPr>
      </w:pPr>
    </w:p>
    <w:p w:rsidR="002F4084" w:rsidRPr="00255FE4" w:rsidRDefault="002F4084" w:rsidP="00221F1C">
      <w:pPr>
        <w:snapToGrid w:val="0"/>
        <w:ind w:left="425" w:hanging="425"/>
        <w:jc w:val="both"/>
        <w:rPr>
          <w:rFonts w:ascii="Times New Roman" w:eastAsiaTheme="minorEastAsia" w:hAnsi="Times New Roman"/>
          <w:lang w:eastAsia="zh-CN"/>
        </w:rPr>
      </w:pPr>
      <w:r w:rsidRPr="00255FE4">
        <w:rPr>
          <w:rFonts w:ascii="Times New Roman" w:hAnsi="Times New Roman"/>
        </w:rPr>
        <w:lastRenderedPageBreak/>
        <w:cr/>
      </w:r>
    </w:p>
    <w:p w:rsidR="000208AC" w:rsidRPr="00255FE4" w:rsidRDefault="000208AC" w:rsidP="000208AC">
      <w:pPr>
        <w:snapToGrid w:val="0"/>
        <w:ind w:left="425" w:hanging="425"/>
        <w:jc w:val="both"/>
        <w:rPr>
          <w:rFonts w:ascii="Times New Roman" w:eastAsiaTheme="minorEastAsia" w:hAnsi="Times New Roman"/>
          <w:lang w:eastAsia="zh-CN" w:bidi="ar-EG"/>
        </w:rPr>
      </w:pPr>
    </w:p>
    <w:p w:rsidR="008E5D7F" w:rsidRPr="00255FE4" w:rsidRDefault="002F4084" w:rsidP="000208AC">
      <w:pPr>
        <w:snapToGrid w:val="0"/>
        <w:jc w:val="both"/>
        <w:rPr>
          <w:rFonts w:ascii="Times New Roman" w:hAnsi="Times New Roman"/>
          <w:lang w:bidi="ar-EG"/>
        </w:rPr>
      </w:pPr>
      <w:r w:rsidRPr="00255FE4">
        <w:rPr>
          <w:rFonts w:ascii="Times New Roman" w:hAnsi="Times New Roman"/>
          <w:lang w:bidi="ar-EG"/>
        </w:rPr>
        <w:t>8/14/2018</w:t>
      </w:r>
    </w:p>
    <w:sectPr w:rsidR="008E5D7F" w:rsidRPr="00255FE4" w:rsidSect="002F4084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D8" w:rsidRDefault="001B7BD8" w:rsidP="00322396">
      <w:r>
        <w:separator/>
      </w:r>
    </w:p>
  </w:endnote>
  <w:endnote w:type="continuationSeparator" w:id="1">
    <w:p w:rsidR="001B7BD8" w:rsidRDefault="001B7BD8" w:rsidP="0032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AC" w:rsidRPr="00CE7C6B" w:rsidRDefault="00845F20" w:rsidP="00CE7C6B">
    <w:pPr>
      <w:jc w:val="center"/>
      <w:rPr>
        <w:rFonts w:ascii="Times New Roman" w:hAnsi="Times New Roman"/>
      </w:rPr>
    </w:pPr>
    <w:r w:rsidRPr="00CE7C6B">
      <w:rPr>
        <w:rFonts w:ascii="Times New Roman" w:hAnsi="Times New Roman"/>
      </w:rPr>
      <w:fldChar w:fldCharType="begin"/>
    </w:r>
    <w:r w:rsidR="00CE7C6B" w:rsidRPr="00CE7C6B">
      <w:rPr>
        <w:rFonts w:ascii="Times New Roman" w:hAnsi="Times New Roman"/>
      </w:rPr>
      <w:instrText xml:space="preserve"> page </w:instrText>
    </w:r>
    <w:r w:rsidRPr="00CE7C6B">
      <w:rPr>
        <w:rFonts w:ascii="Times New Roman" w:hAnsi="Times New Roman"/>
      </w:rPr>
      <w:fldChar w:fldCharType="separate"/>
    </w:r>
    <w:r w:rsidR="00F97AE3">
      <w:rPr>
        <w:rFonts w:ascii="Times New Roman" w:hAnsi="Times New Roman"/>
        <w:noProof/>
      </w:rPr>
      <w:t>40</w:t>
    </w:r>
    <w:r w:rsidRPr="00CE7C6B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D8" w:rsidRDefault="001B7BD8" w:rsidP="00322396">
      <w:r>
        <w:separator/>
      </w:r>
    </w:p>
  </w:footnote>
  <w:footnote w:type="continuationSeparator" w:id="1">
    <w:p w:rsidR="001B7BD8" w:rsidRDefault="001B7BD8" w:rsidP="00322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6B" w:rsidRPr="00CE7C6B" w:rsidRDefault="00CE7C6B" w:rsidP="00CE7C6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/>
        <w:iCs/>
        <w:color w:val="0000FF"/>
      </w:rPr>
    </w:pPr>
    <w:r w:rsidRPr="00CE7C6B">
      <w:rPr>
        <w:rFonts w:ascii="Times New Roman" w:hAnsi="Times New Roman" w:hint="eastAsia"/>
        <w:iCs/>
        <w:color w:val="000000"/>
      </w:rPr>
      <w:tab/>
    </w:r>
    <w:r w:rsidRPr="00CE7C6B">
      <w:rPr>
        <w:rFonts w:ascii="Times New Roman" w:hAnsi="Times New Roman"/>
        <w:iCs/>
        <w:color w:val="000000"/>
      </w:rPr>
      <w:t xml:space="preserve">Cancer Biology </w:t>
    </w:r>
    <w:r w:rsidRPr="00CE7C6B">
      <w:rPr>
        <w:rFonts w:ascii="Times New Roman" w:hAnsi="Times New Roman"/>
        <w:iCs/>
      </w:rPr>
      <w:t>201</w:t>
    </w:r>
    <w:r w:rsidRPr="00CE7C6B">
      <w:rPr>
        <w:rFonts w:ascii="Times New Roman" w:hAnsi="Times New Roman" w:hint="eastAsia"/>
        <w:iCs/>
      </w:rPr>
      <w:t>8</w:t>
    </w:r>
    <w:r w:rsidRPr="00CE7C6B">
      <w:rPr>
        <w:rFonts w:ascii="Times New Roman" w:hAnsi="Times New Roman"/>
        <w:iCs/>
      </w:rPr>
      <w:t>;</w:t>
    </w:r>
    <w:r w:rsidRPr="00CE7C6B">
      <w:rPr>
        <w:rFonts w:ascii="Times New Roman" w:hAnsi="Times New Roman" w:hint="eastAsia"/>
        <w:iCs/>
      </w:rPr>
      <w:t>8</w:t>
    </w:r>
    <w:r w:rsidRPr="00CE7C6B">
      <w:rPr>
        <w:rFonts w:ascii="Times New Roman" w:hAnsi="Times New Roman"/>
        <w:iCs/>
      </w:rPr>
      <w:t>(</w:t>
    </w:r>
    <w:r w:rsidRPr="00CE7C6B">
      <w:rPr>
        <w:rFonts w:ascii="Times New Roman" w:hAnsi="Times New Roman" w:hint="eastAsia"/>
        <w:iCs/>
      </w:rPr>
      <w:t>3</w:t>
    </w:r>
    <w:r w:rsidRPr="00CE7C6B">
      <w:rPr>
        <w:rFonts w:ascii="Times New Roman" w:hAnsi="Times New Roman"/>
        <w:iCs/>
      </w:rPr>
      <w:t xml:space="preserve">)  </w:t>
    </w:r>
    <w:r w:rsidRPr="00CE7C6B">
      <w:rPr>
        <w:rFonts w:ascii="Times New Roman" w:hAnsi="Times New Roman" w:hint="eastAsia"/>
        <w:iCs/>
      </w:rPr>
      <w:tab/>
    </w:r>
    <w:hyperlink r:id="rId1" w:history="1">
      <w:r w:rsidRPr="00CE7C6B">
        <w:rPr>
          <w:rStyle w:val="Hyperlink"/>
          <w:rFonts w:ascii="Times New Roman" w:hAnsi="Times New Roman"/>
          <w:color w:val="0000FF"/>
        </w:rPr>
        <w:t>http://www.cancerbio.net</w:t>
      </w:r>
    </w:hyperlink>
  </w:p>
  <w:p w:rsidR="00CE7C6B" w:rsidRPr="00CE7C6B" w:rsidRDefault="00CE7C6B" w:rsidP="00CE7C6B">
    <w:pP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A28"/>
    <w:multiLevelType w:val="hybridMultilevel"/>
    <w:tmpl w:val="633E9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C4132C"/>
    <w:multiLevelType w:val="hybridMultilevel"/>
    <w:tmpl w:val="3A9CE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430648E">
      <w:start w:val="1"/>
      <w:numFmt w:val="decimal"/>
      <w:lvlText w:val="%2."/>
      <w:lvlJc w:val="left"/>
      <w:pPr>
        <w:ind w:left="840" w:hanging="42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5A89"/>
    <w:rsid w:val="00010818"/>
    <w:rsid w:val="000208AC"/>
    <w:rsid w:val="0004661B"/>
    <w:rsid w:val="00061423"/>
    <w:rsid w:val="00062EC6"/>
    <w:rsid w:val="00075EF3"/>
    <w:rsid w:val="000963AC"/>
    <w:rsid w:val="000A1732"/>
    <w:rsid w:val="000A3D9F"/>
    <w:rsid w:val="00113FE3"/>
    <w:rsid w:val="00150EBB"/>
    <w:rsid w:val="001756C4"/>
    <w:rsid w:val="001B5532"/>
    <w:rsid w:val="001B7332"/>
    <w:rsid w:val="001B7BD8"/>
    <w:rsid w:val="001B7C87"/>
    <w:rsid w:val="00200495"/>
    <w:rsid w:val="00221F1C"/>
    <w:rsid w:val="00224E03"/>
    <w:rsid w:val="00255FE4"/>
    <w:rsid w:val="00290A92"/>
    <w:rsid w:val="002E4AA6"/>
    <w:rsid w:val="002F4084"/>
    <w:rsid w:val="00322396"/>
    <w:rsid w:val="00352DFE"/>
    <w:rsid w:val="003A5398"/>
    <w:rsid w:val="003B16D1"/>
    <w:rsid w:val="003C12CF"/>
    <w:rsid w:val="00425DB4"/>
    <w:rsid w:val="00441B2E"/>
    <w:rsid w:val="0045379E"/>
    <w:rsid w:val="00472C75"/>
    <w:rsid w:val="004E680A"/>
    <w:rsid w:val="00544905"/>
    <w:rsid w:val="00594431"/>
    <w:rsid w:val="005E2B76"/>
    <w:rsid w:val="005F1830"/>
    <w:rsid w:val="00617640"/>
    <w:rsid w:val="00755A16"/>
    <w:rsid w:val="007823FA"/>
    <w:rsid w:val="007C0ADB"/>
    <w:rsid w:val="007F6E96"/>
    <w:rsid w:val="00800D8A"/>
    <w:rsid w:val="008368CA"/>
    <w:rsid w:val="00836954"/>
    <w:rsid w:val="00845F20"/>
    <w:rsid w:val="00861899"/>
    <w:rsid w:val="00865F1D"/>
    <w:rsid w:val="008B0985"/>
    <w:rsid w:val="008B54BD"/>
    <w:rsid w:val="008D12CB"/>
    <w:rsid w:val="008D79C5"/>
    <w:rsid w:val="008E3C62"/>
    <w:rsid w:val="008E5D7F"/>
    <w:rsid w:val="008F4EB3"/>
    <w:rsid w:val="00952C48"/>
    <w:rsid w:val="009B2AAA"/>
    <w:rsid w:val="009D7144"/>
    <w:rsid w:val="00A51F69"/>
    <w:rsid w:val="00A8508A"/>
    <w:rsid w:val="00AA64BD"/>
    <w:rsid w:val="00AC1731"/>
    <w:rsid w:val="00AD6773"/>
    <w:rsid w:val="00B00C34"/>
    <w:rsid w:val="00B177A4"/>
    <w:rsid w:val="00B3108C"/>
    <w:rsid w:val="00B62D87"/>
    <w:rsid w:val="00BD1AB1"/>
    <w:rsid w:val="00BF0269"/>
    <w:rsid w:val="00BF0B6E"/>
    <w:rsid w:val="00C36044"/>
    <w:rsid w:val="00C57093"/>
    <w:rsid w:val="00C72FD6"/>
    <w:rsid w:val="00CA3F63"/>
    <w:rsid w:val="00CE7C6B"/>
    <w:rsid w:val="00D10ED7"/>
    <w:rsid w:val="00D1382C"/>
    <w:rsid w:val="00D44EBA"/>
    <w:rsid w:val="00D556CE"/>
    <w:rsid w:val="00D64CE7"/>
    <w:rsid w:val="00DA2801"/>
    <w:rsid w:val="00DD1985"/>
    <w:rsid w:val="00DE5A89"/>
    <w:rsid w:val="00DE73BE"/>
    <w:rsid w:val="00DF69BB"/>
    <w:rsid w:val="00E21073"/>
    <w:rsid w:val="00E52CC1"/>
    <w:rsid w:val="00E75DFF"/>
    <w:rsid w:val="00F0126A"/>
    <w:rsid w:val="00F05F72"/>
    <w:rsid w:val="00F95CCE"/>
    <w:rsid w:val="00F97AE3"/>
    <w:rsid w:val="00FA4C87"/>
    <w:rsid w:val="00F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72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0A3D9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5F72"/>
    <w:rPr>
      <w:i/>
      <w:iCs/>
    </w:rPr>
  </w:style>
  <w:style w:type="paragraph" w:customStyle="1" w:styleId="Default">
    <w:name w:val="Default"/>
    <w:rsid w:val="00F05F72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F05F72"/>
    <w:rPr>
      <w:rFonts w:cs="Verdana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3695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54"/>
    <w:rPr>
      <w:rFonts w:ascii="Tahoma" w:eastAsia="MS Mincho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A3D9F"/>
    <w:rPr>
      <w:rFonts w:ascii="Times New Roman" w:eastAsia="MS Mincho" w:hAnsi="Times New Roman" w:cs="Times New Roman"/>
      <w:b/>
      <w:bCs/>
      <w:sz w:val="27"/>
      <w:szCs w:val="27"/>
    </w:rPr>
  </w:style>
  <w:style w:type="paragraph" w:customStyle="1" w:styleId="p">
    <w:name w:val="p"/>
    <w:basedOn w:val="Normal"/>
    <w:rsid w:val="000A3D9F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223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96"/>
    <w:rPr>
      <w:rFonts w:ascii="Cambria" w:eastAsia="MS Mincho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23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96"/>
    <w:rPr>
      <w:rFonts w:ascii="Cambria" w:eastAsia="MS Mincho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85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2CB"/>
    <w:rPr>
      <w:color w:val="0000FF" w:themeColor="hyperlink"/>
      <w:u w:val="single"/>
    </w:rPr>
  </w:style>
  <w:style w:type="character" w:customStyle="1" w:styleId="msonormal0">
    <w:name w:val="msonormal0"/>
    <w:basedOn w:val="DefaultParagraphFont"/>
    <w:rsid w:val="008D12CB"/>
  </w:style>
  <w:style w:type="character" w:customStyle="1" w:styleId="un">
    <w:name w:val="u_n"/>
    <w:basedOn w:val="DefaultParagraphFont"/>
    <w:rsid w:val="00FC3A1E"/>
  </w:style>
  <w:style w:type="paragraph" w:styleId="NoSpacing">
    <w:name w:val="No Spacing"/>
    <w:basedOn w:val="Normal"/>
    <w:link w:val="NoSpacingChar"/>
    <w:qFormat/>
    <w:rsid w:val="000208AC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0208A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_sadaka@hotmail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080318.0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DDR3</dc:creator>
  <cp:lastModifiedBy>drmonazaki</cp:lastModifiedBy>
  <cp:revision>2</cp:revision>
  <dcterms:created xsi:type="dcterms:W3CDTF">2018-08-26T11:33:00Z</dcterms:created>
  <dcterms:modified xsi:type="dcterms:W3CDTF">2018-08-26T11:33:00Z</dcterms:modified>
</cp:coreProperties>
</file>