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C6" w:rsidRPr="00FE79B6" w:rsidRDefault="00F7060C" w:rsidP="00FE79B6">
      <w:pPr>
        <w:widowControl w:val="0"/>
        <w:autoSpaceDE w:val="0"/>
        <w:autoSpaceDN w:val="0"/>
        <w:adjustRightInd w:val="0"/>
        <w:snapToGrid w:val="0"/>
        <w:spacing w:after="0" w:line="240" w:lineRule="auto"/>
        <w:jc w:val="center"/>
        <w:rPr>
          <w:rFonts w:ascii="Times New Roman" w:hAnsi="Times New Roman" w:cs="Times New Roman"/>
          <w:b/>
          <w:sz w:val="20"/>
          <w:szCs w:val="20"/>
        </w:rPr>
      </w:pPr>
      <w:r w:rsidRPr="00FE79B6">
        <w:rPr>
          <w:rFonts w:ascii="Times New Roman" w:hAnsi="Times New Roman" w:cs="Times New Roman"/>
          <w:b/>
          <w:bCs/>
          <w:sz w:val="20"/>
          <w:szCs w:val="20"/>
        </w:rPr>
        <w:t xml:space="preserve">Surgical management of </w:t>
      </w:r>
      <w:r w:rsidR="00223DDA" w:rsidRPr="00FE79B6">
        <w:rPr>
          <w:rFonts w:ascii="Times New Roman" w:hAnsi="Times New Roman" w:cs="Times New Roman"/>
          <w:b/>
          <w:bCs/>
          <w:sz w:val="20"/>
          <w:szCs w:val="20"/>
        </w:rPr>
        <w:t xml:space="preserve">esophageal cancer: </w:t>
      </w:r>
      <w:r w:rsidR="00B57878" w:rsidRPr="00FE79B6">
        <w:rPr>
          <w:rFonts w:ascii="Times New Roman" w:hAnsi="Times New Roman" w:cs="Times New Roman"/>
          <w:b/>
          <w:bCs/>
          <w:sz w:val="20"/>
          <w:szCs w:val="20"/>
        </w:rPr>
        <w:t xml:space="preserve">Experience of the </w:t>
      </w:r>
      <w:r w:rsidR="00223DDA" w:rsidRPr="00FE79B6">
        <w:rPr>
          <w:rFonts w:ascii="Times New Roman" w:hAnsi="Times New Roman" w:cs="Times New Roman"/>
          <w:b/>
          <w:bCs/>
          <w:sz w:val="20"/>
          <w:szCs w:val="20"/>
        </w:rPr>
        <w:t>National Cancer Institute</w:t>
      </w:r>
      <w:r w:rsidR="00B57878" w:rsidRPr="00FE79B6">
        <w:rPr>
          <w:rFonts w:ascii="Times New Roman" w:hAnsi="Times New Roman" w:cs="Times New Roman"/>
          <w:b/>
          <w:bCs/>
          <w:sz w:val="20"/>
          <w:szCs w:val="20"/>
        </w:rPr>
        <w:t>,</w:t>
      </w:r>
      <w:r w:rsidR="00223DDA" w:rsidRPr="00FE79B6">
        <w:rPr>
          <w:rFonts w:ascii="Times New Roman" w:hAnsi="Times New Roman" w:cs="Times New Roman"/>
          <w:b/>
          <w:bCs/>
          <w:sz w:val="20"/>
          <w:szCs w:val="20"/>
        </w:rPr>
        <w:t xml:space="preserve"> E</w:t>
      </w:r>
      <w:r w:rsidR="00B57878" w:rsidRPr="00FE79B6">
        <w:rPr>
          <w:rFonts w:ascii="Times New Roman" w:hAnsi="Times New Roman" w:cs="Times New Roman"/>
          <w:b/>
          <w:bCs/>
          <w:sz w:val="20"/>
          <w:szCs w:val="20"/>
        </w:rPr>
        <w:t>gypt</w:t>
      </w:r>
    </w:p>
    <w:p w:rsidR="000452C6" w:rsidRPr="00FE79B6" w:rsidRDefault="000452C6" w:rsidP="00FE79B6">
      <w:pPr>
        <w:widowControl w:val="0"/>
        <w:autoSpaceDE w:val="0"/>
        <w:autoSpaceDN w:val="0"/>
        <w:adjustRightInd w:val="0"/>
        <w:snapToGrid w:val="0"/>
        <w:spacing w:after="0" w:line="240" w:lineRule="auto"/>
        <w:jc w:val="center"/>
        <w:rPr>
          <w:rFonts w:ascii="Times New Roman" w:hAnsi="Times New Roman" w:cs="Times New Roman"/>
          <w:sz w:val="20"/>
          <w:szCs w:val="20"/>
        </w:rPr>
      </w:pPr>
    </w:p>
    <w:p w:rsidR="000452C6" w:rsidRPr="00FE79B6" w:rsidRDefault="002B4CD6" w:rsidP="00FE79B6">
      <w:pPr>
        <w:snapToGrid w:val="0"/>
        <w:spacing w:after="0" w:line="240" w:lineRule="auto"/>
        <w:jc w:val="center"/>
        <w:rPr>
          <w:rFonts w:ascii="Times New Roman" w:hAnsi="Times New Roman" w:cs="Times New Roman"/>
          <w:sz w:val="20"/>
          <w:szCs w:val="20"/>
        </w:rPr>
      </w:pPr>
      <w:r w:rsidRPr="00FE79B6">
        <w:rPr>
          <w:rFonts w:ascii="Times New Roman" w:hAnsi="Times New Roman" w:cs="Times New Roman"/>
          <w:sz w:val="20"/>
          <w:szCs w:val="20"/>
        </w:rPr>
        <w:t xml:space="preserve">Dr. </w:t>
      </w:r>
      <w:proofErr w:type="spellStart"/>
      <w:r w:rsidRPr="00FE79B6">
        <w:rPr>
          <w:rFonts w:ascii="Times New Roman" w:hAnsi="Times New Roman" w:cs="Times New Roman"/>
          <w:sz w:val="20"/>
          <w:szCs w:val="20"/>
        </w:rPr>
        <w:t>Ihab</w:t>
      </w:r>
      <w:proofErr w:type="spellEnd"/>
      <w:r w:rsidRPr="00FE79B6">
        <w:rPr>
          <w:rFonts w:ascii="Times New Roman" w:hAnsi="Times New Roman" w:cs="Times New Roman"/>
          <w:sz w:val="20"/>
          <w:szCs w:val="20"/>
        </w:rPr>
        <w:t xml:space="preserve"> </w:t>
      </w:r>
      <w:proofErr w:type="spellStart"/>
      <w:r w:rsidRPr="00FE79B6">
        <w:rPr>
          <w:rFonts w:ascii="Times New Roman" w:hAnsi="Times New Roman" w:cs="Times New Roman"/>
          <w:sz w:val="20"/>
          <w:szCs w:val="20"/>
        </w:rPr>
        <w:t>Saad</w:t>
      </w:r>
      <w:proofErr w:type="spellEnd"/>
      <w:r w:rsidRPr="00FE79B6">
        <w:rPr>
          <w:rFonts w:ascii="Times New Roman" w:hAnsi="Times New Roman" w:cs="Times New Roman"/>
          <w:sz w:val="20"/>
          <w:szCs w:val="20"/>
        </w:rPr>
        <w:t xml:space="preserve"> Hussein Ahmed, </w:t>
      </w:r>
      <w:r w:rsidR="00321282" w:rsidRPr="00FE79B6">
        <w:rPr>
          <w:rFonts w:ascii="Times New Roman" w:hAnsi="Times New Roman" w:cs="Times New Roman"/>
          <w:sz w:val="20"/>
          <w:szCs w:val="20"/>
        </w:rPr>
        <w:t xml:space="preserve">Omar </w:t>
      </w:r>
      <w:proofErr w:type="spellStart"/>
      <w:r w:rsidR="00321282" w:rsidRPr="00FE79B6">
        <w:rPr>
          <w:rFonts w:ascii="Times New Roman" w:hAnsi="Times New Roman" w:cs="Times New Roman"/>
          <w:sz w:val="20"/>
          <w:szCs w:val="20"/>
        </w:rPr>
        <w:t>Muhammed</w:t>
      </w:r>
      <w:proofErr w:type="spellEnd"/>
      <w:r w:rsidR="00321282" w:rsidRPr="00FE79B6">
        <w:rPr>
          <w:rFonts w:ascii="Times New Roman" w:hAnsi="Times New Roman" w:cs="Times New Roman"/>
          <w:sz w:val="20"/>
          <w:szCs w:val="20"/>
        </w:rPr>
        <w:t xml:space="preserve"> </w:t>
      </w:r>
      <w:proofErr w:type="spellStart"/>
      <w:r w:rsidR="00321282" w:rsidRPr="00FE79B6">
        <w:rPr>
          <w:rFonts w:ascii="Times New Roman" w:hAnsi="Times New Roman" w:cs="Times New Roman"/>
          <w:sz w:val="20"/>
          <w:szCs w:val="20"/>
        </w:rPr>
        <w:t>Hossam</w:t>
      </w:r>
      <w:proofErr w:type="spellEnd"/>
      <w:r w:rsidR="00321282" w:rsidRPr="00FE79B6">
        <w:rPr>
          <w:rFonts w:ascii="Times New Roman" w:hAnsi="Times New Roman" w:cs="Times New Roman"/>
          <w:sz w:val="20"/>
          <w:szCs w:val="20"/>
        </w:rPr>
        <w:t xml:space="preserve"> El-</w:t>
      </w:r>
      <w:proofErr w:type="spellStart"/>
      <w:r w:rsidR="00321282" w:rsidRPr="00FE79B6">
        <w:rPr>
          <w:rFonts w:ascii="Times New Roman" w:hAnsi="Times New Roman" w:cs="Times New Roman"/>
          <w:sz w:val="20"/>
          <w:szCs w:val="20"/>
        </w:rPr>
        <w:t>Sabbagh</w:t>
      </w:r>
      <w:proofErr w:type="spellEnd"/>
      <w:r w:rsidR="00321282" w:rsidRPr="00FE79B6">
        <w:rPr>
          <w:rFonts w:ascii="Times New Roman" w:hAnsi="Times New Roman" w:cs="Times New Roman"/>
          <w:sz w:val="20"/>
          <w:szCs w:val="20"/>
        </w:rPr>
        <w:t>, Prof. Dr. Abde</w:t>
      </w:r>
      <w:r w:rsidR="00DE0878" w:rsidRPr="00FE79B6">
        <w:rPr>
          <w:rFonts w:ascii="Times New Roman" w:hAnsi="Times New Roman" w:cs="Times New Roman"/>
          <w:sz w:val="20"/>
          <w:szCs w:val="20"/>
        </w:rPr>
        <w:t>l</w:t>
      </w:r>
      <w:r w:rsidR="00DE0878">
        <w:rPr>
          <w:rFonts w:ascii="Times New Roman" w:hAnsi="Times New Roman" w:cs="Times New Roman"/>
          <w:sz w:val="20"/>
          <w:szCs w:val="20"/>
        </w:rPr>
        <w:t xml:space="preserve"> </w:t>
      </w:r>
      <w:proofErr w:type="spellStart"/>
      <w:r w:rsidR="00DE0878" w:rsidRPr="00FE79B6">
        <w:rPr>
          <w:rFonts w:ascii="Times New Roman" w:hAnsi="Times New Roman" w:cs="Times New Roman"/>
          <w:sz w:val="20"/>
          <w:szCs w:val="20"/>
        </w:rPr>
        <w:t>R</w:t>
      </w:r>
      <w:r w:rsidR="00321282" w:rsidRPr="00FE79B6">
        <w:rPr>
          <w:rFonts w:ascii="Times New Roman" w:hAnsi="Times New Roman" w:cs="Times New Roman"/>
          <w:sz w:val="20"/>
          <w:szCs w:val="20"/>
        </w:rPr>
        <w:t>ahman</w:t>
      </w:r>
      <w:proofErr w:type="spellEnd"/>
      <w:r w:rsidR="00321282" w:rsidRPr="00FE79B6">
        <w:rPr>
          <w:rFonts w:ascii="Times New Roman" w:hAnsi="Times New Roman" w:cs="Times New Roman"/>
          <w:sz w:val="20"/>
          <w:szCs w:val="20"/>
        </w:rPr>
        <w:t xml:space="preserve"> Mohamed Abde</w:t>
      </w:r>
      <w:r w:rsidR="00DE0878" w:rsidRPr="00FE79B6">
        <w:rPr>
          <w:rFonts w:ascii="Times New Roman" w:hAnsi="Times New Roman" w:cs="Times New Roman"/>
          <w:sz w:val="20"/>
          <w:szCs w:val="20"/>
        </w:rPr>
        <w:t>l</w:t>
      </w:r>
      <w:r w:rsidR="00DE0878">
        <w:rPr>
          <w:rFonts w:ascii="Times New Roman" w:hAnsi="Times New Roman" w:cs="Times New Roman"/>
          <w:sz w:val="20"/>
          <w:szCs w:val="20"/>
        </w:rPr>
        <w:t xml:space="preserve"> </w:t>
      </w:r>
      <w:proofErr w:type="spellStart"/>
      <w:r w:rsidR="00DE0878" w:rsidRPr="00FE79B6">
        <w:rPr>
          <w:rFonts w:ascii="Times New Roman" w:hAnsi="Times New Roman" w:cs="Times New Roman"/>
          <w:sz w:val="20"/>
          <w:szCs w:val="20"/>
        </w:rPr>
        <w:t>R</w:t>
      </w:r>
      <w:r w:rsidR="00321282" w:rsidRPr="00FE79B6">
        <w:rPr>
          <w:rFonts w:ascii="Times New Roman" w:hAnsi="Times New Roman" w:cs="Times New Roman"/>
          <w:sz w:val="20"/>
          <w:szCs w:val="20"/>
        </w:rPr>
        <w:t>ahman</w:t>
      </w:r>
      <w:proofErr w:type="spellEnd"/>
    </w:p>
    <w:p w:rsidR="000452C6" w:rsidRPr="00FE79B6" w:rsidRDefault="000452C6" w:rsidP="00FE79B6">
      <w:pPr>
        <w:snapToGrid w:val="0"/>
        <w:spacing w:after="0" w:line="240" w:lineRule="auto"/>
        <w:jc w:val="center"/>
        <w:rPr>
          <w:rFonts w:ascii="Times New Roman" w:hAnsi="Times New Roman" w:cs="Times New Roman"/>
          <w:sz w:val="20"/>
          <w:szCs w:val="20"/>
        </w:rPr>
      </w:pPr>
    </w:p>
    <w:p w:rsidR="00321282" w:rsidRPr="00FE79B6" w:rsidRDefault="00321282" w:rsidP="00FE79B6">
      <w:pPr>
        <w:snapToGrid w:val="0"/>
        <w:spacing w:after="0" w:line="240" w:lineRule="auto"/>
        <w:jc w:val="center"/>
        <w:rPr>
          <w:rFonts w:ascii="Times New Roman" w:hAnsi="Times New Roman" w:cs="Times New Roman"/>
          <w:sz w:val="20"/>
          <w:szCs w:val="20"/>
        </w:rPr>
      </w:pPr>
      <w:r w:rsidRPr="00FE79B6">
        <w:rPr>
          <w:rFonts w:ascii="Times New Roman" w:hAnsi="Times New Roman" w:cs="Times New Roman"/>
          <w:sz w:val="20"/>
          <w:szCs w:val="20"/>
        </w:rPr>
        <w:t>Surgical Oncology Department, National Cancer Institute, Cairo University, Egypt</w:t>
      </w:r>
    </w:p>
    <w:p w:rsidR="000452C6" w:rsidRPr="00FE79B6" w:rsidRDefault="00C561E7" w:rsidP="00FE79B6">
      <w:pPr>
        <w:snapToGrid w:val="0"/>
        <w:spacing w:after="0" w:line="240" w:lineRule="auto"/>
        <w:jc w:val="center"/>
        <w:rPr>
          <w:rFonts w:ascii="Times New Roman" w:hAnsi="Times New Roman" w:cs="Times New Roman"/>
          <w:color w:val="000066"/>
          <w:sz w:val="20"/>
          <w:szCs w:val="20"/>
        </w:rPr>
      </w:pPr>
      <w:hyperlink r:id="rId12" w:history="1">
        <w:r w:rsidR="003927A3" w:rsidRPr="00FE79B6">
          <w:rPr>
            <w:rStyle w:val="Hyperlink"/>
            <w:rFonts w:ascii="Times New Roman" w:hAnsi="Times New Roman" w:cs="Times New Roman"/>
            <w:color w:val="000066"/>
            <w:sz w:val="20"/>
            <w:szCs w:val="20"/>
            <w:u w:val="none"/>
          </w:rPr>
          <w:t>Ihab.saad@nci.cu.edu.eg</w:t>
        </w:r>
      </w:hyperlink>
      <w:r w:rsidR="001A46C0" w:rsidRPr="00FE79B6">
        <w:rPr>
          <w:rFonts w:ascii="Times New Roman" w:hAnsi="Times New Roman" w:cs="Times New Roman" w:hint="eastAsia"/>
          <w:sz w:val="20"/>
          <w:lang w:eastAsia="zh-CN"/>
        </w:rPr>
        <w:t>,</w:t>
      </w:r>
      <w:r w:rsidR="003927A3" w:rsidRPr="00FE79B6">
        <w:rPr>
          <w:rFonts w:ascii="Times New Roman" w:hAnsi="Times New Roman" w:cs="Times New Roman"/>
          <w:color w:val="000066"/>
          <w:sz w:val="20"/>
          <w:szCs w:val="20"/>
        </w:rPr>
        <w:t xml:space="preserve"> </w:t>
      </w:r>
      <w:hyperlink r:id="rId13" w:history="1">
        <w:r w:rsidR="003927A3" w:rsidRPr="00FE79B6">
          <w:rPr>
            <w:rStyle w:val="Hyperlink"/>
            <w:rFonts w:ascii="Times New Roman" w:hAnsi="Times New Roman" w:cs="Times New Roman"/>
            <w:color w:val="000066"/>
            <w:sz w:val="20"/>
            <w:szCs w:val="20"/>
            <w:u w:val="none"/>
          </w:rPr>
          <w:t>drihab2013@gmail.com</w:t>
        </w:r>
      </w:hyperlink>
      <w:r w:rsidR="002B4CD6" w:rsidRPr="00FE79B6">
        <w:rPr>
          <w:rFonts w:ascii="Times New Roman" w:hAnsi="Times New Roman" w:cs="Times New Roman"/>
          <w:color w:val="000066"/>
          <w:sz w:val="20"/>
          <w:szCs w:val="20"/>
        </w:rPr>
        <w:t xml:space="preserve"> </w:t>
      </w:r>
    </w:p>
    <w:p w:rsidR="000452C6" w:rsidRPr="00FE79B6" w:rsidRDefault="000452C6" w:rsidP="00FE79B6">
      <w:pPr>
        <w:snapToGrid w:val="0"/>
        <w:spacing w:after="0" w:line="240" w:lineRule="auto"/>
        <w:jc w:val="center"/>
        <w:rPr>
          <w:rFonts w:ascii="Times New Roman" w:hAnsi="Times New Roman" w:cs="Times New Roman"/>
          <w:color w:val="000066"/>
          <w:sz w:val="20"/>
          <w:szCs w:val="20"/>
        </w:rPr>
      </w:pPr>
    </w:p>
    <w:p w:rsidR="0054122B" w:rsidRPr="00FE79B6" w:rsidRDefault="0054122B" w:rsidP="00FE79B6">
      <w:pPr>
        <w:snapToGrid w:val="0"/>
        <w:spacing w:after="0" w:line="240" w:lineRule="auto"/>
        <w:jc w:val="both"/>
        <w:rPr>
          <w:rFonts w:ascii="Times New Roman" w:hAnsi="Times New Roman" w:cs="Times New Roman"/>
          <w:sz w:val="20"/>
          <w:szCs w:val="20"/>
        </w:rPr>
      </w:pPr>
      <w:r w:rsidRPr="00FE79B6">
        <w:rPr>
          <w:rFonts w:ascii="Times New Roman" w:hAnsi="Times New Roman" w:cs="Times New Roman"/>
          <w:b/>
          <w:bCs/>
          <w:sz w:val="20"/>
          <w:szCs w:val="20"/>
        </w:rPr>
        <w:t>Abstract:</w:t>
      </w:r>
      <w:r w:rsidR="00321282" w:rsidRPr="00FE79B6">
        <w:rPr>
          <w:rFonts w:ascii="Times New Roman" w:hAnsi="Times New Roman" w:cs="Times New Roman"/>
          <w:b/>
          <w:bCs/>
          <w:sz w:val="20"/>
          <w:szCs w:val="20"/>
        </w:rPr>
        <w:t xml:space="preserve"> </w:t>
      </w:r>
      <w:r w:rsidRPr="00FE79B6">
        <w:rPr>
          <w:rFonts w:ascii="Times New Roman" w:hAnsi="Times New Roman" w:cs="Times New Roman"/>
          <w:b/>
          <w:bCs/>
          <w:sz w:val="20"/>
          <w:szCs w:val="20"/>
        </w:rPr>
        <w:t xml:space="preserve">Objective: </w:t>
      </w:r>
      <w:r w:rsidRPr="00FE79B6">
        <w:rPr>
          <w:rFonts w:ascii="Times New Roman" w:hAnsi="Times New Roman" w:cs="Times New Roman"/>
          <w:sz w:val="20"/>
          <w:szCs w:val="20"/>
        </w:rPr>
        <w:t>This study demonstrated the experience of the National Cancer Institute, Cairo University with esophageal cancer over a period of 7 years.</w:t>
      </w:r>
      <w:r w:rsidR="00321282" w:rsidRPr="00FE79B6">
        <w:rPr>
          <w:rFonts w:ascii="Times New Roman" w:eastAsia="Times New Roman" w:hAnsi="Times New Roman" w:cs="Times New Roman"/>
          <w:b/>
          <w:bCs/>
          <w:sz w:val="20"/>
          <w:szCs w:val="20"/>
        </w:rPr>
        <w:t xml:space="preserve"> </w:t>
      </w:r>
      <w:r w:rsidRPr="00FE79B6">
        <w:rPr>
          <w:rFonts w:ascii="Times New Roman" w:eastAsia="Times New Roman" w:hAnsi="Times New Roman" w:cs="Times New Roman"/>
          <w:b/>
          <w:bCs/>
          <w:sz w:val="20"/>
          <w:szCs w:val="20"/>
        </w:rPr>
        <w:t xml:space="preserve">Methods: </w:t>
      </w:r>
      <w:r w:rsidRPr="00FE79B6">
        <w:rPr>
          <w:rFonts w:ascii="Times New Roman" w:eastAsia="Times New Roman" w:hAnsi="Times New Roman" w:cs="Times New Roman"/>
          <w:sz w:val="20"/>
          <w:szCs w:val="20"/>
        </w:rPr>
        <w:t>This retrospective chart review included all patients diagnosed as esophageal cancer</w:t>
      </w:r>
      <w:r w:rsidRPr="00FE79B6">
        <w:rPr>
          <w:rFonts w:ascii="Times New Roman" w:hAnsi="Times New Roman" w:cs="Times New Roman"/>
          <w:sz w:val="20"/>
          <w:szCs w:val="20"/>
        </w:rPr>
        <w:t xml:space="preserve"> and had s</w:t>
      </w:r>
      <w:r w:rsidRPr="00FE79B6">
        <w:rPr>
          <w:rFonts w:ascii="Times New Roman" w:eastAsia="Times New Roman" w:hAnsi="Times New Roman" w:cs="Times New Roman"/>
          <w:sz w:val="20"/>
          <w:szCs w:val="20"/>
        </w:rPr>
        <w:t>urgery at the National Cancer Institute (NCI) in the period from 2009-2015.</w:t>
      </w:r>
      <w:r w:rsidR="00321282" w:rsidRPr="00FE79B6">
        <w:rPr>
          <w:rFonts w:ascii="Times New Roman" w:hAnsi="Times New Roman" w:cs="Times New Roman"/>
          <w:b/>
          <w:bCs/>
          <w:sz w:val="20"/>
          <w:szCs w:val="20"/>
        </w:rPr>
        <w:t xml:space="preserve"> </w:t>
      </w:r>
      <w:r w:rsidRPr="00FE79B6">
        <w:rPr>
          <w:rFonts w:ascii="Times New Roman" w:hAnsi="Times New Roman" w:cs="Times New Roman"/>
          <w:b/>
          <w:bCs/>
          <w:sz w:val="20"/>
          <w:szCs w:val="20"/>
        </w:rPr>
        <w:t xml:space="preserve">Results: </w:t>
      </w:r>
      <w:r w:rsidRPr="00FE79B6">
        <w:rPr>
          <w:rFonts w:ascii="Times New Roman" w:hAnsi="Times New Roman" w:cs="Times New Roman"/>
          <w:sz w:val="20"/>
          <w:szCs w:val="20"/>
        </w:rPr>
        <w:t xml:space="preserve">During the study period, 275 patients were diagnosed as esophageal cancer fulfilling the inclusion criteria. </w:t>
      </w:r>
      <w:proofErr w:type="spellStart"/>
      <w:r w:rsidRPr="00FE79B6">
        <w:rPr>
          <w:rFonts w:ascii="Times New Roman" w:hAnsi="Times New Roman" w:cs="Times New Roman"/>
          <w:sz w:val="20"/>
          <w:szCs w:val="20"/>
        </w:rPr>
        <w:t>Squamous</w:t>
      </w:r>
      <w:proofErr w:type="spellEnd"/>
      <w:r w:rsidRPr="00FE79B6">
        <w:rPr>
          <w:rFonts w:ascii="Times New Roman" w:hAnsi="Times New Roman" w:cs="Times New Roman"/>
          <w:sz w:val="20"/>
          <w:szCs w:val="20"/>
        </w:rPr>
        <w:t xml:space="preserve"> cell carcinoma (SCC) accounted for 61% of cases. Males were more commonly affected than females (1.5:1). Near half of the cases presented with locally advanced disease, while 16.7% of patients had metastatic deposits on presentation.</w:t>
      </w:r>
      <w:r w:rsidR="005B42EA" w:rsidRPr="00FE79B6">
        <w:rPr>
          <w:rFonts w:ascii="Times New Roman" w:hAnsi="Times New Roman" w:cs="Times New Roman"/>
          <w:noProof/>
          <w:sz w:val="20"/>
          <w:szCs w:val="20"/>
          <w:lang w:eastAsia="zh-CN"/>
        </w:rPr>
        <w:drawing>
          <wp:anchor distT="0" distB="0" distL="114300" distR="114300" simplePos="0" relativeHeight="251659776" behindDoc="0" locked="0" layoutInCell="1" allowOverlap="1">
            <wp:simplePos x="0" y="0"/>
            <wp:positionH relativeFrom="column">
              <wp:posOffset>4335145</wp:posOffset>
            </wp:positionH>
            <wp:positionV relativeFrom="paragraph">
              <wp:posOffset>206375</wp:posOffset>
            </wp:positionV>
            <wp:extent cx="24765" cy="24765"/>
            <wp:effectExtent l="0" t="0" r="0" b="0"/>
            <wp:wrapNone/>
            <wp:docPr id="2" name="In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5"/>
                    <pic:cNvPicPr>
                      <a:picLocks noChangeAspect="1" noChangeArrowheads="1"/>
                    </pic:cNvPicPr>
                  </pic:nvPicPr>
                  <pic:blipFill>
                    <a:blip r:embed="rId14" cstate="print"/>
                    <a:srcRect/>
                    <a:stretch>
                      <a:fillRect/>
                    </a:stretch>
                  </pic:blipFill>
                  <pic:spPr bwMode="auto">
                    <a:xfrm>
                      <a:off x="0" y="0"/>
                      <a:ext cx="24765" cy="24765"/>
                    </a:xfrm>
                    <a:prstGeom prst="rect">
                      <a:avLst/>
                    </a:prstGeom>
                    <a:noFill/>
                  </pic:spPr>
                </pic:pic>
              </a:graphicData>
            </a:graphic>
          </wp:anchor>
        </w:drawing>
      </w:r>
      <w:r w:rsidR="005B42EA" w:rsidRPr="00FE79B6">
        <w:rPr>
          <w:rFonts w:ascii="Times New Roman" w:hAnsi="Times New Roman" w:cs="Times New Roman"/>
          <w:noProof/>
          <w:sz w:val="20"/>
          <w:szCs w:val="20"/>
          <w:lang w:eastAsia="zh-CN"/>
        </w:rPr>
        <w:drawing>
          <wp:anchor distT="0" distB="0" distL="114300" distR="114300" simplePos="0" relativeHeight="251658752" behindDoc="0" locked="0" layoutInCell="1" allowOverlap="1">
            <wp:simplePos x="0" y="0"/>
            <wp:positionH relativeFrom="column">
              <wp:posOffset>3110865</wp:posOffset>
            </wp:positionH>
            <wp:positionV relativeFrom="paragraph">
              <wp:posOffset>100330</wp:posOffset>
            </wp:positionV>
            <wp:extent cx="24765" cy="24765"/>
            <wp:effectExtent l="0" t="0" r="0" b="0"/>
            <wp:wrapNone/>
            <wp:docPr id="6" name="In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6"/>
                    <pic:cNvPicPr>
                      <a:picLocks noChangeAspect="1" noChangeArrowheads="1"/>
                    </pic:cNvPicPr>
                  </pic:nvPicPr>
                  <pic:blipFill>
                    <a:blip r:embed="rId14" cstate="print"/>
                    <a:srcRect/>
                    <a:stretch>
                      <a:fillRect/>
                    </a:stretch>
                  </pic:blipFill>
                  <pic:spPr bwMode="auto">
                    <a:xfrm>
                      <a:off x="0" y="0"/>
                      <a:ext cx="24765" cy="24765"/>
                    </a:xfrm>
                    <a:prstGeom prst="rect">
                      <a:avLst/>
                    </a:prstGeom>
                    <a:noFill/>
                  </pic:spPr>
                </pic:pic>
              </a:graphicData>
            </a:graphic>
          </wp:anchor>
        </w:drawing>
      </w:r>
      <w:r w:rsidRPr="00FE79B6">
        <w:rPr>
          <w:rFonts w:ascii="Times New Roman" w:hAnsi="Times New Roman" w:cs="Times New Roman"/>
          <w:sz w:val="20"/>
          <w:szCs w:val="20"/>
        </w:rPr>
        <w:t xml:space="preserve"> Direct surgical exploration was done for 96 patients (34.9%), as 66 patients (24%) were referred to receive </w:t>
      </w:r>
      <w:proofErr w:type="spellStart"/>
      <w:r w:rsidRPr="00FE79B6">
        <w:rPr>
          <w:rFonts w:ascii="Times New Roman" w:hAnsi="Times New Roman" w:cs="Times New Roman"/>
          <w:sz w:val="20"/>
          <w:szCs w:val="20"/>
        </w:rPr>
        <w:t>neoadjuvant</w:t>
      </w:r>
      <w:proofErr w:type="spellEnd"/>
      <w:r w:rsidRPr="00FE79B6">
        <w:rPr>
          <w:rFonts w:ascii="Times New Roman" w:hAnsi="Times New Roman" w:cs="Times New Roman"/>
          <w:sz w:val="20"/>
          <w:szCs w:val="20"/>
        </w:rPr>
        <w:t xml:space="preserve"> therapy; 17 of them showed regressive course and referred for surgical resection. After surgical exploration, 84 patients had surgical resection. </w:t>
      </w:r>
      <w:proofErr w:type="spellStart"/>
      <w:r w:rsidRPr="00FE79B6">
        <w:rPr>
          <w:rFonts w:ascii="Times New Roman" w:hAnsi="Times New Roman" w:cs="Times New Roman"/>
          <w:sz w:val="20"/>
          <w:szCs w:val="20"/>
        </w:rPr>
        <w:t>Transthoracic</w:t>
      </w:r>
      <w:proofErr w:type="spellEnd"/>
      <w:r w:rsidRPr="00FE79B6">
        <w:rPr>
          <w:rFonts w:ascii="Times New Roman" w:hAnsi="Times New Roman" w:cs="Times New Roman"/>
          <w:sz w:val="20"/>
          <w:szCs w:val="20"/>
        </w:rPr>
        <w:t xml:space="preserve"> approach was done 10 about 60% of cases. Postoperative morbidities were recorded in 55 patients (65.5%) and in-hospital mortality in 17 patients (20.2%). Common surgical complications recorded were </w:t>
      </w:r>
      <w:proofErr w:type="spellStart"/>
      <w:r w:rsidRPr="00FE79B6">
        <w:rPr>
          <w:rFonts w:ascii="Times New Roman" w:hAnsi="Times New Roman" w:cs="Times New Roman"/>
          <w:sz w:val="20"/>
          <w:szCs w:val="20"/>
        </w:rPr>
        <w:t>anastomotic</w:t>
      </w:r>
      <w:proofErr w:type="spellEnd"/>
      <w:r w:rsidRPr="00FE79B6">
        <w:rPr>
          <w:rFonts w:ascii="Times New Roman" w:hAnsi="Times New Roman" w:cs="Times New Roman"/>
          <w:sz w:val="20"/>
          <w:szCs w:val="20"/>
        </w:rPr>
        <w:t xml:space="preserve"> leakage and massive </w:t>
      </w:r>
      <w:proofErr w:type="spellStart"/>
      <w:r w:rsidRPr="00FE79B6">
        <w:rPr>
          <w:rFonts w:ascii="Times New Roman" w:hAnsi="Times New Roman" w:cs="Times New Roman"/>
          <w:sz w:val="20"/>
          <w:szCs w:val="20"/>
        </w:rPr>
        <w:t>intraoperative</w:t>
      </w:r>
      <w:proofErr w:type="spellEnd"/>
      <w:r w:rsidRPr="00FE79B6">
        <w:rPr>
          <w:rFonts w:ascii="Times New Roman" w:hAnsi="Times New Roman" w:cs="Times New Roman"/>
          <w:sz w:val="20"/>
          <w:szCs w:val="20"/>
        </w:rPr>
        <w:t xml:space="preserve"> blood loss. Twenty five patients (29.8%) developed postoperative pneumonia; 10 of them died in-hospital. The cumulative overall survival was 56.7%. Postoperative morbidity, lymph node involvement, and inadequate </w:t>
      </w:r>
      <w:proofErr w:type="spellStart"/>
      <w:r w:rsidRPr="00FE79B6">
        <w:rPr>
          <w:rFonts w:ascii="Times New Roman" w:hAnsi="Times New Roman" w:cs="Times New Roman"/>
          <w:sz w:val="20"/>
          <w:szCs w:val="20"/>
        </w:rPr>
        <w:t>lymphadenectomy</w:t>
      </w:r>
      <w:proofErr w:type="spellEnd"/>
      <w:r w:rsidRPr="00FE79B6">
        <w:rPr>
          <w:rFonts w:ascii="Times New Roman" w:hAnsi="Times New Roman" w:cs="Times New Roman"/>
          <w:sz w:val="20"/>
          <w:szCs w:val="20"/>
        </w:rPr>
        <w:t xml:space="preserve"> were the independent factors affecting survival.</w:t>
      </w:r>
      <w:r w:rsidR="00321282" w:rsidRPr="00FE79B6">
        <w:rPr>
          <w:rFonts w:ascii="Times New Roman" w:hAnsi="Times New Roman" w:cs="Times New Roman"/>
          <w:b/>
          <w:bCs/>
          <w:sz w:val="20"/>
          <w:szCs w:val="20"/>
        </w:rPr>
        <w:t xml:space="preserve"> </w:t>
      </w:r>
      <w:r w:rsidRPr="00FE79B6">
        <w:rPr>
          <w:rFonts w:ascii="Times New Roman" w:hAnsi="Times New Roman" w:cs="Times New Roman"/>
          <w:b/>
          <w:bCs/>
          <w:sz w:val="20"/>
          <w:szCs w:val="20"/>
        </w:rPr>
        <w:t>Conclusion</w:t>
      </w:r>
      <w:r w:rsidRPr="00FE79B6">
        <w:rPr>
          <w:rFonts w:ascii="Times New Roman" w:hAnsi="Times New Roman" w:cs="Times New Roman"/>
          <w:sz w:val="20"/>
          <w:szCs w:val="20"/>
        </w:rPr>
        <w:t xml:space="preserve">: Surgical resection of esophageal cancer was possible in only 30% of cases. Postoperative complications and mortalities are rather high. Overall survival is low and unacceptable. Improvement of management modalities and early diagnosis are the required for better outcome in this high-volume hospital. </w:t>
      </w:r>
    </w:p>
    <w:p w:rsidR="00FE79B6" w:rsidRPr="00FE79B6" w:rsidRDefault="00FE79B6" w:rsidP="00FE79B6">
      <w:pPr>
        <w:snapToGrid w:val="0"/>
        <w:spacing w:after="0" w:line="240" w:lineRule="auto"/>
        <w:jc w:val="both"/>
        <w:rPr>
          <w:rFonts w:ascii="Times New Roman" w:hAnsi="Times New Roman" w:cs="Times New Roman"/>
          <w:sz w:val="20"/>
          <w:szCs w:val="20"/>
        </w:rPr>
      </w:pPr>
      <w:r w:rsidRPr="00FE79B6">
        <w:rPr>
          <w:rFonts w:ascii="Times New Roman" w:hAnsi="Times New Roman" w:cs="Times New Roman" w:hint="eastAsia"/>
          <w:b/>
          <w:sz w:val="20"/>
          <w:szCs w:val="20"/>
          <w:lang w:val="en-GB"/>
        </w:rPr>
        <w:t>[</w:t>
      </w:r>
      <w:proofErr w:type="spellStart"/>
      <w:r w:rsidRPr="00FE79B6">
        <w:rPr>
          <w:rFonts w:ascii="Times New Roman" w:hAnsi="Times New Roman" w:cs="Times New Roman"/>
          <w:sz w:val="20"/>
          <w:szCs w:val="20"/>
        </w:rPr>
        <w:t>Ihab</w:t>
      </w:r>
      <w:proofErr w:type="spellEnd"/>
      <w:r w:rsidRPr="00FE79B6">
        <w:rPr>
          <w:rFonts w:ascii="Times New Roman" w:hAnsi="Times New Roman" w:cs="Times New Roman"/>
          <w:sz w:val="20"/>
          <w:szCs w:val="20"/>
        </w:rPr>
        <w:t xml:space="preserve"> </w:t>
      </w:r>
      <w:proofErr w:type="spellStart"/>
      <w:r w:rsidRPr="00FE79B6">
        <w:rPr>
          <w:rFonts w:ascii="Times New Roman" w:hAnsi="Times New Roman" w:cs="Times New Roman"/>
          <w:sz w:val="20"/>
          <w:szCs w:val="20"/>
        </w:rPr>
        <w:t>Saad</w:t>
      </w:r>
      <w:proofErr w:type="spellEnd"/>
      <w:r w:rsidRPr="00FE79B6">
        <w:rPr>
          <w:rFonts w:ascii="Times New Roman" w:hAnsi="Times New Roman" w:cs="Times New Roman"/>
          <w:sz w:val="20"/>
          <w:szCs w:val="20"/>
        </w:rPr>
        <w:t xml:space="preserve"> Hussein Ahmed, Omar </w:t>
      </w:r>
      <w:proofErr w:type="spellStart"/>
      <w:r w:rsidRPr="00FE79B6">
        <w:rPr>
          <w:rFonts w:ascii="Times New Roman" w:hAnsi="Times New Roman" w:cs="Times New Roman"/>
          <w:sz w:val="20"/>
          <w:szCs w:val="20"/>
        </w:rPr>
        <w:t>Muhammed</w:t>
      </w:r>
      <w:proofErr w:type="spellEnd"/>
      <w:r w:rsidRPr="00FE79B6">
        <w:rPr>
          <w:rFonts w:ascii="Times New Roman" w:hAnsi="Times New Roman" w:cs="Times New Roman"/>
          <w:sz w:val="20"/>
          <w:szCs w:val="20"/>
        </w:rPr>
        <w:t xml:space="preserve"> </w:t>
      </w:r>
      <w:proofErr w:type="spellStart"/>
      <w:r w:rsidRPr="00FE79B6">
        <w:rPr>
          <w:rFonts w:ascii="Times New Roman" w:hAnsi="Times New Roman" w:cs="Times New Roman"/>
          <w:sz w:val="20"/>
          <w:szCs w:val="20"/>
        </w:rPr>
        <w:t>Hossam</w:t>
      </w:r>
      <w:proofErr w:type="spellEnd"/>
      <w:r w:rsidRPr="00FE79B6">
        <w:rPr>
          <w:rFonts w:ascii="Times New Roman" w:hAnsi="Times New Roman" w:cs="Times New Roman"/>
          <w:sz w:val="20"/>
          <w:szCs w:val="20"/>
        </w:rPr>
        <w:t xml:space="preserve"> El-</w:t>
      </w:r>
      <w:proofErr w:type="spellStart"/>
      <w:r w:rsidRPr="00FE79B6">
        <w:rPr>
          <w:rFonts w:ascii="Times New Roman" w:hAnsi="Times New Roman" w:cs="Times New Roman"/>
          <w:sz w:val="20"/>
          <w:szCs w:val="20"/>
        </w:rPr>
        <w:t>Sabbagh</w:t>
      </w:r>
      <w:proofErr w:type="spellEnd"/>
      <w:r w:rsidRPr="00FE79B6">
        <w:rPr>
          <w:rFonts w:ascii="Times New Roman" w:hAnsi="Times New Roman" w:cs="Times New Roman"/>
          <w:sz w:val="20"/>
          <w:szCs w:val="20"/>
        </w:rPr>
        <w:t>, Abde</w:t>
      </w:r>
      <w:r w:rsidR="00DE0878" w:rsidRPr="00FE79B6">
        <w:rPr>
          <w:rFonts w:ascii="Times New Roman" w:hAnsi="Times New Roman" w:cs="Times New Roman"/>
          <w:sz w:val="20"/>
          <w:szCs w:val="20"/>
        </w:rPr>
        <w:t>l</w:t>
      </w:r>
      <w:r w:rsidR="00DE0878">
        <w:rPr>
          <w:rFonts w:ascii="Times New Roman" w:hAnsi="Times New Roman" w:cs="Times New Roman"/>
          <w:sz w:val="20"/>
          <w:szCs w:val="20"/>
        </w:rPr>
        <w:t xml:space="preserve"> </w:t>
      </w:r>
      <w:proofErr w:type="spellStart"/>
      <w:r w:rsidR="00DE0878" w:rsidRPr="00FE79B6">
        <w:rPr>
          <w:rFonts w:ascii="Times New Roman" w:hAnsi="Times New Roman" w:cs="Times New Roman"/>
          <w:sz w:val="20"/>
          <w:szCs w:val="20"/>
        </w:rPr>
        <w:t>R</w:t>
      </w:r>
      <w:r w:rsidRPr="00FE79B6">
        <w:rPr>
          <w:rFonts w:ascii="Times New Roman" w:hAnsi="Times New Roman" w:cs="Times New Roman"/>
          <w:sz w:val="20"/>
          <w:szCs w:val="20"/>
        </w:rPr>
        <w:t>ahman</w:t>
      </w:r>
      <w:proofErr w:type="spellEnd"/>
      <w:r w:rsidRPr="00FE79B6">
        <w:rPr>
          <w:rFonts w:ascii="Times New Roman" w:hAnsi="Times New Roman" w:cs="Times New Roman"/>
          <w:sz w:val="20"/>
          <w:szCs w:val="20"/>
        </w:rPr>
        <w:t xml:space="preserve"> Mohamed Abde</w:t>
      </w:r>
      <w:r w:rsidR="00DE0878" w:rsidRPr="00FE79B6">
        <w:rPr>
          <w:rFonts w:ascii="Times New Roman" w:hAnsi="Times New Roman" w:cs="Times New Roman"/>
          <w:sz w:val="20"/>
          <w:szCs w:val="20"/>
        </w:rPr>
        <w:t>l</w:t>
      </w:r>
      <w:r w:rsidR="00DE0878">
        <w:rPr>
          <w:rFonts w:ascii="Times New Roman" w:hAnsi="Times New Roman" w:cs="Times New Roman"/>
          <w:sz w:val="20"/>
          <w:szCs w:val="20"/>
        </w:rPr>
        <w:t xml:space="preserve"> </w:t>
      </w:r>
      <w:proofErr w:type="spellStart"/>
      <w:r w:rsidR="00DE0878" w:rsidRPr="00FE79B6">
        <w:rPr>
          <w:rFonts w:ascii="Times New Roman" w:hAnsi="Times New Roman" w:cs="Times New Roman"/>
          <w:sz w:val="20"/>
          <w:szCs w:val="20"/>
        </w:rPr>
        <w:t>R</w:t>
      </w:r>
      <w:r w:rsidRPr="00FE79B6">
        <w:rPr>
          <w:rFonts w:ascii="Times New Roman" w:hAnsi="Times New Roman" w:cs="Times New Roman"/>
          <w:sz w:val="20"/>
          <w:szCs w:val="20"/>
        </w:rPr>
        <w:t>ahman</w:t>
      </w:r>
      <w:proofErr w:type="spellEnd"/>
      <w:r w:rsidRPr="00FE79B6">
        <w:rPr>
          <w:rFonts w:ascii="Times New Roman" w:hAnsi="Times New Roman" w:cs="Times New Roman"/>
          <w:sz w:val="20"/>
          <w:szCs w:val="20"/>
        </w:rPr>
        <w:t xml:space="preserve">. </w:t>
      </w:r>
      <w:r w:rsidRPr="00FE79B6">
        <w:rPr>
          <w:rFonts w:ascii="Times New Roman" w:hAnsi="Times New Roman" w:cs="Times New Roman"/>
          <w:b/>
          <w:bCs/>
          <w:sz w:val="20"/>
          <w:szCs w:val="20"/>
        </w:rPr>
        <w:t>Surgical management of esophageal cancer: Experience of the National Cancer Institute, Egypt</w:t>
      </w:r>
      <w:r w:rsidRPr="00FE79B6">
        <w:rPr>
          <w:rFonts w:ascii="Times New Roman" w:eastAsia="Times New Roman" w:hAnsi="Times New Roman" w:cs="Times New Roman"/>
          <w:b/>
          <w:bCs/>
          <w:sz w:val="20"/>
          <w:szCs w:val="20"/>
          <w:lang w:bidi="fa-IR"/>
        </w:rPr>
        <w:t>.</w:t>
      </w:r>
      <w:r w:rsidRPr="00FE79B6">
        <w:rPr>
          <w:rFonts w:ascii="Times New Roman" w:hAnsi="Times New Roman" w:cs="Times New Roman"/>
          <w:i/>
          <w:sz w:val="20"/>
          <w:szCs w:val="20"/>
        </w:rPr>
        <w:t xml:space="preserve"> Cancer Biology</w:t>
      </w:r>
      <w:r w:rsidRPr="00FE79B6">
        <w:rPr>
          <w:rFonts w:ascii="Times New Roman" w:hAnsi="Times New Roman" w:cs="Times New Roman"/>
          <w:sz w:val="20"/>
          <w:szCs w:val="20"/>
        </w:rPr>
        <w:t xml:space="preserve"> 201</w:t>
      </w:r>
      <w:r w:rsidRPr="00FE79B6">
        <w:rPr>
          <w:rFonts w:ascii="Times New Roman" w:hAnsi="Times New Roman" w:cs="Times New Roman" w:hint="eastAsia"/>
          <w:sz w:val="20"/>
          <w:szCs w:val="20"/>
        </w:rPr>
        <w:t>8</w:t>
      </w:r>
      <w:r w:rsidRPr="00FE79B6">
        <w:rPr>
          <w:rFonts w:ascii="Times New Roman" w:hAnsi="Times New Roman" w:cs="Times New Roman"/>
          <w:sz w:val="20"/>
          <w:szCs w:val="20"/>
        </w:rPr>
        <w:t>;</w:t>
      </w:r>
      <w:r w:rsidRPr="00FE79B6">
        <w:rPr>
          <w:rFonts w:ascii="Times New Roman" w:hAnsi="Times New Roman" w:cs="Times New Roman" w:hint="eastAsia"/>
          <w:sz w:val="20"/>
          <w:szCs w:val="20"/>
        </w:rPr>
        <w:t>8</w:t>
      </w:r>
      <w:r w:rsidRPr="00FE79B6">
        <w:rPr>
          <w:rFonts w:ascii="Times New Roman" w:hAnsi="Times New Roman" w:cs="Times New Roman"/>
          <w:sz w:val="20"/>
          <w:szCs w:val="20"/>
        </w:rPr>
        <w:t>(</w:t>
      </w:r>
      <w:r w:rsidRPr="00FE79B6">
        <w:rPr>
          <w:rFonts w:ascii="Times New Roman" w:hAnsi="Times New Roman" w:cs="Times New Roman" w:hint="eastAsia"/>
          <w:sz w:val="20"/>
          <w:szCs w:val="20"/>
        </w:rPr>
        <w:t>4</w:t>
      </w:r>
      <w:r w:rsidRPr="00FE79B6">
        <w:rPr>
          <w:rFonts w:ascii="Times New Roman" w:hAnsi="Times New Roman" w:cs="Times New Roman"/>
          <w:sz w:val="20"/>
          <w:szCs w:val="20"/>
        </w:rPr>
        <w:t>):</w:t>
      </w:r>
      <w:r w:rsidR="00361A0C">
        <w:rPr>
          <w:rFonts w:ascii="Times New Roman" w:hAnsi="Times New Roman" w:cs="Times New Roman"/>
          <w:noProof/>
          <w:color w:val="000000"/>
          <w:sz w:val="20"/>
          <w:szCs w:val="20"/>
        </w:rPr>
        <w:t>45-55</w:t>
      </w:r>
      <w:r w:rsidRPr="00FE79B6">
        <w:rPr>
          <w:rFonts w:ascii="Times New Roman" w:hAnsi="Times New Roman" w:cs="Times New Roman"/>
          <w:sz w:val="20"/>
          <w:szCs w:val="20"/>
        </w:rPr>
        <w:t xml:space="preserve">]. </w:t>
      </w:r>
      <w:r w:rsidRPr="00FE79B6">
        <w:rPr>
          <w:rStyle w:val="msonormal0"/>
          <w:rFonts w:ascii="Times New Roman" w:eastAsia="宋" w:hAnsi="Times New Roman" w:cs="Times New Roman"/>
          <w:sz w:val="20"/>
          <w:szCs w:val="20"/>
        </w:rPr>
        <w:t>ISSN: 2150-1041 (print); ISSN: 2150-105X (online)</w:t>
      </w:r>
      <w:r w:rsidRPr="00FE79B6">
        <w:rPr>
          <w:rFonts w:ascii="Times New Roman" w:hAnsi="Times New Roman" w:cs="Times New Roman"/>
          <w:sz w:val="20"/>
          <w:szCs w:val="20"/>
        </w:rPr>
        <w:t xml:space="preserve">. </w:t>
      </w:r>
      <w:hyperlink r:id="rId15" w:history="1">
        <w:r w:rsidRPr="00FE79B6">
          <w:rPr>
            <w:rStyle w:val="Hyperlink"/>
            <w:rFonts w:ascii="Times New Roman" w:hAnsi="Times New Roman" w:cs="Times New Roman"/>
            <w:sz w:val="20"/>
          </w:rPr>
          <w:t>http://www.cancerbio.net</w:t>
        </w:r>
      </w:hyperlink>
      <w:r w:rsidRPr="00FE79B6">
        <w:rPr>
          <w:rFonts w:ascii="Times New Roman" w:hAnsi="Times New Roman" w:cs="Times New Roman"/>
          <w:sz w:val="20"/>
          <w:szCs w:val="20"/>
        </w:rPr>
        <w:t>.</w:t>
      </w:r>
      <w:r w:rsidRPr="00FE79B6">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6</w:t>
      </w:r>
      <w:r w:rsidRPr="00FE79B6">
        <w:rPr>
          <w:rFonts w:ascii="Times New Roman" w:hAnsi="Times New Roman" w:cs="Times New Roman" w:hint="eastAsia"/>
          <w:sz w:val="20"/>
          <w:szCs w:val="20"/>
        </w:rPr>
        <w:t xml:space="preserve">. </w:t>
      </w:r>
      <w:r w:rsidRPr="00FE79B6">
        <w:rPr>
          <w:rFonts w:ascii="Times New Roman" w:hAnsi="Times New Roman" w:cs="Times New Roman"/>
          <w:color w:val="000000"/>
          <w:sz w:val="20"/>
          <w:szCs w:val="20"/>
          <w:shd w:val="clear" w:color="auto" w:fill="FFFFFF"/>
        </w:rPr>
        <w:t>doi:</w:t>
      </w:r>
      <w:hyperlink r:id="rId16" w:history="1">
        <w:r w:rsidRPr="00FE79B6">
          <w:rPr>
            <w:rStyle w:val="Hyperlink"/>
            <w:rFonts w:ascii="Times New Roman" w:hAnsi="Times New Roman" w:cs="Times New Roman"/>
            <w:sz w:val="20"/>
            <w:shd w:val="clear" w:color="auto" w:fill="FFFFFF"/>
          </w:rPr>
          <w:t>10.7537/mars</w:t>
        </w:r>
        <w:r w:rsidRPr="00FE79B6">
          <w:rPr>
            <w:rStyle w:val="Hyperlink"/>
            <w:rFonts w:ascii="Times New Roman" w:hAnsi="Times New Roman" w:cs="Times New Roman" w:hint="eastAsia"/>
            <w:sz w:val="20"/>
            <w:shd w:val="clear" w:color="auto" w:fill="FFFFFF"/>
          </w:rPr>
          <w:t>cbj0804</w:t>
        </w:r>
        <w:r w:rsidRPr="00FE79B6">
          <w:rPr>
            <w:rStyle w:val="Hyperlink"/>
            <w:rFonts w:ascii="Times New Roman" w:hAnsi="Times New Roman" w:cs="Times New Roman"/>
            <w:sz w:val="20"/>
            <w:shd w:val="clear" w:color="auto" w:fill="FFFFFF"/>
          </w:rPr>
          <w:t>1</w:t>
        </w:r>
        <w:r w:rsidRPr="00FE79B6">
          <w:rPr>
            <w:rStyle w:val="Hyperlink"/>
            <w:rFonts w:ascii="Times New Roman" w:hAnsi="Times New Roman" w:cs="Times New Roman" w:hint="eastAsia"/>
            <w:sz w:val="20"/>
            <w:shd w:val="clear" w:color="auto" w:fill="FFFFFF"/>
          </w:rPr>
          <w:t>8.</w:t>
        </w:r>
        <w:r w:rsidRPr="00FE79B6">
          <w:rPr>
            <w:rStyle w:val="Hyperlink"/>
            <w:rFonts w:ascii="Times New Roman" w:hAnsi="Times New Roman" w:cs="Times New Roman"/>
            <w:sz w:val="20"/>
            <w:shd w:val="clear" w:color="auto" w:fill="FFFFFF"/>
          </w:rPr>
          <w:t>0</w:t>
        </w:r>
        <w:r>
          <w:rPr>
            <w:rStyle w:val="Hyperlink"/>
            <w:rFonts w:ascii="Times New Roman" w:hAnsi="Times New Roman" w:cs="Times New Roman" w:hint="eastAsia"/>
            <w:sz w:val="20"/>
            <w:shd w:val="clear" w:color="auto" w:fill="FFFFFF"/>
            <w:lang w:eastAsia="zh-CN"/>
          </w:rPr>
          <w:t>6</w:t>
        </w:r>
      </w:hyperlink>
      <w:r w:rsidRPr="00FE79B6">
        <w:rPr>
          <w:rFonts w:ascii="Times New Roman" w:hAnsi="Times New Roman" w:cs="Times New Roman"/>
          <w:color w:val="000000"/>
          <w:sz w:val="20"/>
          <w:szCs w:val="20"/>
          <w:shd w:val="clear" w:color="auto" w:fill="FFFFFF"/>
        </w:rPr>
        <w:t>.</w:t>
      </w:r>
    </w:p>
    <w:p w:rsidR="001A46C0" w:rsidRPr="000452C6" w:rsidRDefault="001A46C0" w:rsidP="00FE79B6">
      <w:pPr>
        <w:snapToGrid w:val="0"/>
        <w:spacing w:after="0" w:line="240" w:lineRule="auto"/>
        <w:jc w:val="both"/>
        <w:rPr>
          <w:rFonts w:ascii="Times New Roman" w:hAnsi="Times New Roman" w:cs="Times New Roman"/>
          <w:sz w:val="20"/>
          <w:lang w:eastAsia="zh-CN"/>
        </w:rPr>
      </w:pPr>
    </w:p>
    <w:p w:rsidR="001A46C0" w:rsidRPr="000452C6" w:rsidRDefault="001A46C0" w:rsidP="00FE79B6">
      <w:pPr>
        <w:snapToGrid w:val="0"/>
        <w:spacing w:after="0" w:line="240" w:lineRule="auto"/>
        <w:jc w:val="both"/>
        <w:rPr>
          <w:rFonts w:ascii="Times New Roman" w:eastAsia="Times New Roman" w:hAnsi="Times New Roman" w:cs="Times New Roman"/>
          <w:sz w:val="20"/>
          <w:szCs w:val="20"/>
          <w:lang w:eastAsia="zh-CN" w:bidi="ar-EG"/>
        </w:rPr>
      </w:pPr>
      <w:r w:rsidRPr="000452C6">
        <w:rPr>
          <w:rFonts w:ascii="Times New Roman" w:hAnsi="Times New Roman" w:cs="Times New Roman" w:hint="eastAsia"/>
          <w:b/>
          <w:sz w:val="20"/>
          <w:lang w:eastAsia="zh-CN"/>
        </w:rPr>
        <w:t xml:space="preserve">Keywords: </w:t>
      </w:r>
      <w:r w:rsidRPr="000452C6">
        <w:rPr>
          <w:rFonts w:ascii="Times New Roman" w:hAnsi="Times New Roman" w:cs="Times New Roman"/>
          <w:bCs/>
          <w:sz w:val="20"/>
          <w:szCs w:val="20"/>
        </w:rPr>
        <w:t>Surgical</w:t>
      </w:r>
      <w:r w:rsidRPr="000452C6">
        <w:rPr>
          <w:rFonts w:ascii="Times New Roman" w:hAnsi="Times New Roman" w:cs="Times New Roman" w:hint="eastAsia"/>
          <w:bCs/>
          <w:sz w:val="20"/>
          <w:szCs w:val="20"/>
          <w:lang w:eastAsia="zh-CN"/>
        </w:rPr>
        <w:t>;</w:t>
      </w:r>
      <w:r w:rsidRPr="000452C6">
        <w:rPr>
          <w:rFonts w:ascii="Times New Roman" w:hAnsi="Times New Roman" w:cs="Times New Roman"/>
          <w:bCs/>
          <w:sz w:val="20"/>
          <w:szCs w:val="20"/>
        </w:rPr>
        <w:t xml:space="preserve"> management</w:t>
      </w:r>
      <w:r w:rsidRPr="000452C6">
        <w:rPr>
          <w:rFonts w:ascii="Times New Roman" w:hAnsi="Times New Roman" w:cs="Times New Roman" w:hint="eastAsia"/>
          <w:bCs/>
          <w:sz w:val="20"/>
          <w:szCs w:val="20"/>
          <w:lang w:eastAsia="zh-CN"/>
        </w:rPr>
        <w:t>;</w:t>
      </w:r>
      <w:r w:rsidRPr="000452C6">
        <w:rPr>
          <w:rFonts w:ascii="Times New Roman" w:hAnsi="Times New Roman" w:cs="Times New Roman"/>
          <w:bCs/>
          <w:sz w:val="20"/>
          <w:szCs w:val="20"/>
        </w:rPr>
        <w:t xml:space="preserve"> esophageal cancer</w:t>
      </w:r>
      <w:r w:rsidRPr="000452C6">
        <w:rPr>
          <w:rFonts w:ascii="Times New Roman" w:hAnsi="Times New Roman" w:cs="Times New Roman" w:hint="eastAsia"/>
          <w:bCs/>
          <w:sz w:val="20"/>
          <w:szCs w:val="20"/>
          <w:lang w:eastAsia="zh-CN"/>
        </w:rPr>
        <w:t>;</w:t>
      </w:r>
      <w:r w:rsidRPr="000452C6">
        <w:rPr>
          <w:rFonts w:ascii="Times New Roman" w:hAnsi="Times New Roman" w:cs="Times New Roman"/>
          <w:bCs/>
          <w:sz w:val="20"/>
          <w:szCs w:val="20"/>
        </w:rPr>
        <w:t xml:space="preserve"> Experience</w:t>
      </w:r>
      <w:r w:rsidRPr="000452C6">
        <w:rPr>
          <w:rFonts w:ascii="Times New Roman" w:hAnsi="Times New Roman" w:cs="Times New Roman" w:hint="eastAsia"/>
          <w:bCs/>
          <w:sz w:val="20"/>
          <w:szCs w:val="20"/>
          <w:lang w:eastAsia="zh-CN"/>
        </w:rPr>
        <w:t>;</w:t>
      </w:r>
      <w:r w:rsidRPr="000452C6">
        <w:rPr>
          <w:rFonts w:ascii="Times New Roman" w:hAnsi="Times New Roman" w:cs="Times New Roman"/>
          <w:bCs/>
          <w:sz w:val="20"/>
          <w:szCs w:val="20"/>
        </w:rPr>
        <w:t xml:space="preserve"> National Cancer Institute</w:t>
      </w:r>
      <w:r w:rsidRPr="000452C6">
        <w:rPr>
          <w:rFonts w:ascii="Times New Roman" w:hAnsi="Times New Roman" w:cs="Times New Roman" w:hint="eastAsia"/>
          <w:bCs/>
          <w:sz w:val="20"/>
          <w:szCs w:val="20"/>
          <w:lang w:eastAsia="zh-CN"/>
        </w:rPr>
        <w:t>;</w:t>
      </w:r>
      <w:r w:rsidRPr="000452C6">
        <w:rPr>
          <w:rFonts w:ascii="Times New Roman" w:hAnsi="Times New Roman" w:cs="Times New Roman"/>
          <w:bCs/>
          <w:sz w:val="20"/>
          <w:szCs w:val="20"/>
        </w:rPr>
        <w:t xml:space="preserve"> Egypt</w:t>
      </w:r>
    </w:p>
    <w:p w:rsidR="00FE79B6" w:rsidRDefault="000452C6" w:rsidP="00FE79B6">
      <w:pPr>
        <w:snapToGrid w:val="0"/>
        <w:spacing w:after="0" w:line="240" w:lineRule="auto"/>
        <w:jc w:val="both"/>
        <w:rPr>
          <w:rFonts w:ascii="Times New Roman" w:hAnsi="Times New Roman" w:cs="Times New Roman"/>
          <w:b/>
          <w:bCs/>
          <w:sz w:val="20"/>
          <w:szCs w:val="20"/>
        </w:rPr>
        <w:sectPr w:rsidR="00FE79B6" w:rsidSect="00361A0C">
          <w:headerReference w:type="default" r:id="rId17"/>
          <w:footerReference w:type="default" r:id="rId18"/>
          <w:type w:val="continuous"/>
          <w:pgSz w:w="12242" w:h="15842" w:code="1"/>
          <w:pgMar w:top="1440" w:right="1440" w:bottom="1440" w:left="1440" w:header="720" w:footer="720" w:gutter="0"/>
          <w:pgNumType w:start="45"/>
          <w:cols w:space="720"/>
          <w:docGrid w:linePitch="299"/>
        </w:sectPr>
      </w:pPr>
      <w:r>
        <w:rPr>
          <w:rFonts w:ascii="Times New Roman" w:hAnsi="Times New Roman" w:cs="Times New Roman"/>
          <w:b/>
          <w:bCs/>
          <w:sz w:val="20"/>
          <w:szCs w:val="20"/>
        </w:rPr>
        <w:cr/>
      </w:r>
    </w:p>
    <w:p w:rsidR="00867A5E" w:rsidRPr="000452C6" w:rsidRDefault="002B4CD6" w:rsidP="00FE79B6">
      <w:pPr>
        <w:snapToGrid w:val="0"/>
        <w:spacing w:after="0" w:line="240" w:lineRule="auto"/>
        <w:jc w:val="both"/>
        <w:rPr>
          <w:rFonts w:ascii="Times New Roman" w:hAnsi="Times New Roman" w:cs="Times New Roman"/>
          <w:b/>
          <w:bCs/>
          <w:sz w:val="20"/>
          <w:szCs w:val="20"/>
        </w:rPr>
      </w:pPr>
      <w:r w:rsidRPr="000452C6">
        <w:rPr>
          <w:rFonts w:ascii="Times New Roman" w:hAnsi="Times New Roman" w:cs="Times New Roman"/>
          <w:b/>
          <w:bCs/>
          <w:sz w:val="20"/>
          <w:szCs w:val="20"/>
        </w:rPr>
        <w:lastRenderedPageBreak/>
        <w:t xml:space="preserve">1. </w:t>
      </w:r>
      <w:r w:rsidR="00867A5E" w:rsidRPr="000452C6">
        <w:rPr>
          <w:rFonts w:ascii="Times New Roman" w:hAnsi="Times New Roman" w:cs="Times New Roman"/>
          <w:b/>
          <w:bCs/>
          <w:sz w:val="20"/>
          <w:szCs w:val="20"/>
        </w:rPr>
        <w:t>Introduction:</w:t>
      </w:r>
    </w:p>
    <w:p w:rsidR="00F96BEA" w:rsidRPr="000452C6" w:rsidRDefault="000F6848"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Worldwide, e</w:t>
      </w:r>
      <w:r w:rsidR="00FB5E8B" w:rsidRPr="000452C6">
        <w:rPr>
          <w:rFonts w:ascii="Times New Roman" w:hAnsi="Times New Roman" w:cs="Times New Roman"/>
          <w:sz w:val="20"/>
          <w:szCs w:val="20"/>
        </w:rPr>
        <w:t xml:space="preserve">sophageal cancer </w:t>
      </w:r>
      <w:r w:rsidR="00624131" w:rsidRPr="000452C6">
        <w:rPr>
          <w:rFonts w:ascii="Times New Roman" w:hAnsi="Times New Roman" w:cs="Times New Roman"/>
          <w:sz w:val="20"/>
          <w:szCs w:val="20"/>
        </w:rPr>
        <w:t xml:space="preserve">(EC) </w:t>
      </w:r>
      <w:r w:rsidR="00FB5E8B" w:rsidRPr="000452C6">
        <w:rPr>
          <w:rFonts w:ascii="Times New Roman" w:hAnsi="Times New Roman" w:cs="Times New Roman"/>
          <w:sz w:val="20"/>
          <w:szCs w:val="20"/>
        </w:rPr>
        <w:t xml:space="preserve">is the eighth most common </w:t>
      </w:r>
      <w:r w:rsidR="00297FE1" w:rsidRPr="000452C6">
        <w:rPr>
          <w:rFonts w:ascii="Times New Roman" w:hAnsi="Times New Roman" w:cs="Times New Roman"/>
          <w:sz w:val="20"/>
          <w:szCs w:val="20"/>
        </w:rPr>
        <w:t xml:space="preserve">incident </w:t>
      </w:r>
      <w:r w:rsidR="00FB5E8B" w:rsidRPr="000452C6">
        <w:rPr>
          <w:rFonts w:ascii="Times New Roman" w:hAnsi="Times New Roman" w:cs="Times New Roman"/>
          <w:sz w:val="20"/>
          <w:szCs w:val="20"/>
        </w:rPr>
        <w:t xml:space="preserve">cancer and the sixth most common cause of cancer deaths. More than 80% of cases and deaths are reported in developing </w:t>
      </w:r>
      <w:r w:rsidR="004C1EF0" w:rsidRPr="000452C6">
        <w:rPr>
          <w:rFonts w:ascii="Times New Roman" w:hAnsi="Times New Roman" w:cs="Times New Roman"/>
          <w:sz w:val="20"/>
          <w:szCs w:val="20"/>
        </w:rPr>
        <w:t>countries</w:t>
      </w:r>
      <w:r w:rsidR="00FB5E8B" w:rsidRPr="000452C6">
        <w:rPr>
          <w:rFonts w:ascii="Times New Roman" w:hAnsi="Times New Roman" w:cs="Times New Roman"/>
          <w:sz w:val="20"/>
          <w:szCs w:val="20"/>
        </w:rPr>
        <w:t>.</w:t>
      </w:r>
      <w:r w:rsidR="00C561E7" w:rsidRPr="000452C6">
        <w:rPr>
          <w:rFonts w:ascii="Times New Roman" w:hAnsi="Times New Roman" w:cs="Times New Roman"/>
          <w:sz w:val="20"/>
          <w:szCs w:val="20"/>
        </w:rPr>
        <w:fldChar w:fldCharType="begin"/>
      </w:r>
      <w:r w:rsidR="004C1EF0" w:rsidRPr="000452C6">
        <w:rPr>
          <w:rFonts w:ascii="Times New Roman" w:hAnsi="Times New Roman" w:cs="Times New Roman"/>
          <w:sz w:val="20"/>
          <w:szCs w:val="20"/>
        </w:rPr>
        <w:instrText xml:space="preserve"> ADDIN ZOTERO_ITEM CSL_CITATION {"citationID":"FnxD509k","properties":{"formattedCitation":"[1]","plainCitation":"[1]","noteIndex":0},"citationItems":[{"id":5630,"uris":["http://zotero.org/users/2937542/items/GMFFYG7F"],"uri":["http://zotero.org/users/2937542/items/GMFFYG7F"],"itemData":{"id":5630,"type":"article-journal","title":"Epidemiology of gastrointestinal and liver tumors","container-title":"European Review for Medical and Pharmacological Sciences","page":"249-258","volume":"14","issue":"4","source":"PubMed","abstract":"Colorectal cancer (CRC) is a worldwide problem, with an annual incidence of 1 million cases and an annual mortality of more than 500,000 cases. CRC is the second most common cause of cancer mortality. CRC comprises 9% of the global cancer burden and is the most frequent in North America, Australia, New Zealand and parts of Europe, being considered as a disease of the Western lifestyle. Despite a major decline in incidence and mortality, gastric cancer remains an important public health burden worldwide, especially in developing countries. Gastric cancer is still the fourth most common cancer and the second-third most common cause of cancer death. There is a 10-fold variation in incidence between populations at the highest and lowest risk. The incidence is particularly high in East Asia, Eastern Europe, and parts of Central and South America. Esophageal cancer is the eighth most common cancer worldwide and the sixth most common cause of cancer-related death. Regional incidence rates are highest in areas of Southern and Eastern Africa and China. A striking increase in the rates of esophageal adenocarcinoma, in contrast, stable or even decreased trends in squamous cell cancer have been observed. Pancreatic cancer ranks the fourth and fifth most common cancer in man and women, respectively, and has the lowest 5-year survival rate of any gastrointestinal tumors. Hepatocellular carcinoma (HCC) is the sixth most common cancer in the world and the third most common cause of cancer mortality.","ISSN":"1128-3602","note":"PMID: 20496531","journalAbbreviation":"Eur Rev Med Pharmacol Sci","language":"eng","author":[{"family":"Herszényi","given":"László"},{"family":"Tulassay","given":"Zsolt"}],"issued":{"date-parts":[["2010",4]]}}}],"schema":"https://github.com/citation-style-language/schema/raw/master/csl-citation.json"} </w:instrText>
      </w:r>
      <w:r w:rsidR="00C561E7" w:rsidRPr="000452C6">
        <w:rPr>
          <w:rFonts w:ascii="Times New Roman" w:hAnsi="Times New Roman" w:cs="Times New Roman"/>
          <w:sz w:val="20"/>
          <w:szCs w:val="20"/>
        </w:rPr>
        <w:fldChar w:fldCharType="separate"/>
      </w:r>
      <w:r w:rsidR="004C1EF0" w:rsidRPr="000452C6">
        <w:rPr>
          <w:rFonts w:ascii="Times New Roman" w:hAnsi="Times New Roman" w:cs="Times New Roman"/>
          <w:sz w:val="20"/>
          <w:szCs w:val="20"/>
        </w:rPr>
        <w:t>[1]</w:t>
      </w:r>
      <w:r w:rsidR="00C561E7" w:rsidRPr="000452C6">
        <w:rPr>
          <w:rFonts w:ascii="Times New Roman" w:hAnsi="Times New Roman" w:cs="Times New Roman"/>
          <w:sz w:val="20"/>
          <w:szCs w:val="20"/>
        </w:rPr>
        <w:fldChar w:fldCharType="end"/>
      </w:r>
      <w:r w:rsidR="00297FE1" w:rsidRPr="000452C6">
        <w:rPr>
          <w:rFonts w:ascii="Times New Roman" w:hAnsi="Times New Roman" w:cs="Times New Roman"/>
          <w:sz w:val="20"/>
          <w:szCs w:val="20"/>
        </w:rPr>
        <w:t>It is a serious malignancy with highly aggressive nature and poor survival outcome.</w:t>
      </w:r>
      <w:r w:rsidR="00C561E7" w:rsidRPr="000452C6">
        <w:rPr>
          <w:rFonts w:ascii="Times New Roman" w:hAnsi="Times New Roman" w:cs="Times New Roman"/>
          <w:sz w:val="20"/>
          <w:szCs w:val="20"/>
        </w:rPr>
        <w:fldChar w:fldCharType="begin"/>
      </w:r>
      <w:r w:rsidR="00AD2377" w:rsidRPr="000452C6">
        <w:rPr>
          <w:rFonts w:ascii="Times New Roman" w:hAnsi="Times New Roman" w:cs="Times New Roman"/>
          <w:sz w:val="20"/>
          <w:szCs w:val="20"/>
        </w:rPr>
        <w:instrText xml:space="preserve"> ADDIN ZOTERO_ITEM CSL_CITATION {"citationID":"1xqmujFx","properties":{"formattedCitation":"[2]","plainCitation":"[2]","noteIndex":0},"citationItems":[{"id":5632,"uris":["http://zotero.org/users/2937542/items/9BID4ZPZ"],"uri":["http://zotero.org/users/2937542/items/9BID4ZPZ"],"itemData":{"id":5632,"type":"article-journal","title":"Epidemiologic risk factors for esophageal cancer development","container-title":"Asian Pacific journal of cancer prevention: APJCP","page":"2461-2466","volume":"12","issue":"10","source":"PubMed","abstract":"In retrospective studies of esophageal cancer (EC), cigarettes and hookah smoking, nass use (a chewing tobacco product), opium consumption, hot tea drinking, poor oral health, low intake of fresh fruit and vegetables, and low socioeconomic status have been associated with a higher risk of esophageal squamous cell carcinoma. Barrett's esophagus is clearly recognized as a risk factor for EC, and dysplasia remains the only factor useful for identifying patients at increased risk, for the development of esophageal adenocarcinoma in clinical practice. Here, we review the epidemiologic studies that have investigated the epidemiologic patterns and causes of EC.","ISSN":"2476-762X","note":"PMID: 22320939","journalAbbreviation":"Asian Pac. J. Cancer Prev.","language":"eng","author":[{"family":"Mao","given":"Wei-Min"},{"family":"Zheng","given":"Wei-Hui"},{"family":"Ling","given":"Zhi-Qiang"}],"issued":{"date-parts":[["2011"]]}}}],"schema":"https://github.com/citation-style-language/schema/raw/master/csl-citation.json"} </w:instrText>
      </w:r>
      <w:r w:rsidR="00C561E7" w:rsidRPr="000452C6">
        <w:rPr>
          <w:rFonts w:ascii="Times New Roman" w:hAnsi="Times New Roman" w:cs="Times New Roman"/>
          <w:sz w:val="20"/>
          <w:szCs w:val="20"/>
        </w:rPr>
        <w:fldChar w:fldCharType="separate"/>
      </w:r>
      <w:r w:rsidR="00AD2377" w:rsidRPr="000452C6">
        <w:rPr>
          <w:rFonts w:ascii="Times New Roman" w:hAnsi="Times New Roman" w:cs="Times New Roman"/>
          <w:sz w:val="20"/>
          <w:szCs w:val="20"/>
        </w:rPr>
        <w:t>[2]</w:t>
      </w:r>
      <w:r w:rsidR="00C561E7" w:rsidRPr="000452C6">
        <w:rPr>
          <w:rFonts w:ascii="Times New Roman" w:hAnsi="Times New Roman" w:cs="Times New Roman"/>
          <w:sz w:val="20"/>
          <w:szCs w:val="20"/>
        </w:rPr>
        <w:fldChar w:fldCharType="end"/>
      </w:r>
      <w:r w:rsidR="00624131" w:rsidRPr="000452C6">
        <w:rPr>
          <w:rFonts w:ascii="Times New Roman" w:hAnsi="Times New Roman" w:cs="Times New Roman"/>
          <w:sz w:val="20"/>
          <w:szCs w:val="20"/>
        </w:rPr>
        <w:t>In Egypt, EC constituted 1.2% of all cancer cases among males and 0.8% of all cancer cases among females.</w:t>
      </w:r>
      <w:r w:rsidR="00C561E7" w:rsidRPr="000452C6">
        <w:rPr>
          <w:rFonts w:ascii="Times New Roman" w:hAnsi="Times New Roman" w:cs="Times New Roman"/>
          <w:sz w:val="20"/>
          <w:szCs w:val="20"/>
        </w:rPr>
        <w:fldChar w:fldCharType="begin"/>
      </w:r>
      <w:r w:rsidR="00BE1896" w:rsidRPr="000452C6">
        <w:rPr>
          <w:rFonts w:ascii="Times New Roman" w:hAnsi="Times New Roman" w:cs="Times New Roman"/>
          <w:sz w:val="20"/>
          <w:szCs w:val="20"/>
        </w:rPr>
        <w:instrText xml:space="preserve"> ADDIN ZOTERO_ITEM CSL_CITATION {"citationID":"6EOvtYpW","properties":{"formattedCitation":"[3]","plainCitation":"[3]","noteIndex":0},"citationItems":[{"id":6497,"uris":["http://zotero.org/users/2937542/items/CZULPW4A"],"uri":["http://zotero.org/users/2937542/items/CZULPW4A"],"itemData":{"id":6497,"type":"article-journal","title":"Cancer Incidence in Egypt: Results of the National Population-Based Cancer Registry Program","container-title":"Journal of Cancer Epidemiology","volume":"2014","source":"PubMed Central","abstract":"Background. This paper aims to present cancer incidence rates at national and regional level of Egypt, based upon results of National Cancer Registry Program (NCRP).\nMethods. NCRP stratified Egypt into 3 geographical strata: lower, middle, and upper. One governorate represented each region. Abstractors collected data from medical records of cancer centers, national tertiary care institutions, Health Insurance Organization, Government-Subsidized Treatment Program, and death records. Data entry was online. Incidence rates were calculated at a regional and a national level. Future projection up to 2050 was also calculated. Results. Age-standardized incidence rates per 100,000 were 166.6 (both sexes), 175.9 (males), and 157.0 (females). Commonest sites were liver (23.8%), breast (15.4%), and bladder (6.9%) (both sexes): liver (33.6%) and bladder (10.7%) among men, and breast (32.0%) and liver (13.5%) among women. By 2050, a 3-fold increase in incident cancer relative to 2013 was estimated. Conclusion. These data are the only available cancer rates at national and regional levels of Egypt. The pattern of cancer indicated the increased burden of liver cancer. Breast cancer occupied the second rank. Study of rates of individual sites of cancer might help in giving clues for preventive programs.","URL":"https://www.ncbi.nlm.nih.gov/pmc/articles/PMC4189936/","DOI":"10.1155/2014/437971","ISSN":"1687-8558","note":"PMID: 25328522\nPMCID: PMC4189936","shortTitle":"Cancer Incidence in Egypt","journalAbbreviation":"J Cancer Epidemiol","author":[{"family":"Ibrahim","given":"Amal S."},{"family":"Khaled","given":"Hussein M."},{"family":"Mikhail","given":"Nabiel NH"},{"family":"Baraka","given":"Hoda"},{"family":"Kamel","given":"Hossam"}],"issued":{"date-parts":[["2014"]]},"accessed":{"date-parts":[["2018",10,18]]}}}],"schema":"https://github.com/citation-style-language/schema/raw/master/csl-citation.json"} </w:instrText>
      </w:r>
      <w:r w:rsidR="00C561E7" w:rsidRPr="000452C6">
        <w:rPr>
          <w:rFonts w:ascii="Times New Roman" w:hAnsi="Times New Roman" w:cs="Times New Roman"/>
          <w:sz w:val="20"/>
          <w:szCs w:val="20"/>
        </w:rPr>
        <w:fldChar w:fldCharType="separate"/>
      </w:r>
      <w:r w:rsidR="00BE1896" w:rsidRPr="000452C6">
        <w:rPr>
          <w:rFonts w:ascii="Times New Roman" w:hAnsi="Times New Roman" w:cs="Times New Roman"/>
          <w:sz w:val="20"/>
          <w:szCs w:val="20"/>
        </w:rPr>
        <w:t>[3]</w:t>
      </w:r>
      <w:r w:rsidR="00C561E7" w:rsidRPr="000452C6">
        <w:rPr>
          <w:rFonts w:ascii="Times New Roman" w:hAnsi="Times New Roman" w:cs="Times New Roman"/>
          <w:sz w:val="20"/>
          <w:szCs w:val="20"/>
        </w:rPr>
        <w:fldChar w:fldCharType="end"/>
      </w:r>
    </w:p>
    <w:p w:rsidR="009158EB" w:rsidRPr="000452C6" w:rsidRDefault="00E4047F"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Esophageal cancer encompasses two pathologically distinct diseases; </w:t>
      </w:r>
      <w:proofErr w:type="spellStart"/>
      <w:r w:rsidRPr="000452C6">
        <w:rPr>
          <w:rFonts w:ascii="Times New Roman" w:hAnsi="Times New Roman" w:cs="Times New Roman"/>
          <w:sz w:val="20"/>
          <w:szCs w:val="20"/>
        </w:rPr>
        <w:t>squamous</w:t>
      </w:r>
      <w:proofErr w:type="spellEnd"/>
      <w:r w:rsidRPr="000452C6">
        <w:rPr>
          <w:rFonts w:ascii="Times New Roman" w:hAnsi="Times New Roman" w:cs="Times New Roman"/>
          <w:sz w:val="20"/>
          <w:szCs w:val="20"/>
        </w:rPr>
        <w:t xml:space="preserve"> cell carcinoma (SCC) and </w:t>
      </w:r>
      <w:proofErr w:type="spellStart"/>
      <w:r w:rsidRPr="000452C6">
        <w:rPr>
          <w:rFonts w:ascii="Times New Roman" w:hAnsi="Times New Roman" w:cs="Times New Roman"/>
          <w:sz w:val="20"/>
          <w:szCs w:val="20"/>
        </w:rPr>
        <w:t>adenocarcinoma</w:t>
      </w:r>
      <w:proofErr w:type="spellEnd"/>
      <w:r w:rsidRPr="000452C6">
        <w:rPr>
          <w:rFonts w:ascii="Times New Roman" w:hAnsi="Times New Roman" w:cs="Times New Roman"/>
          <w:sz w:val="20"/>
          <w:szCs w:val="20"/>
        </w:rPr>
        <w:t xml:space="preserve"> (ADC). The two diseases have different risk factors and incidence rates.</w:t>
      </w:r>
      <w:r w:rsidR="00C561E7" w:rsidRPr="000452C6">
        <w:rPr>
          <w:rFonts w:ascii="Times New Roman" w:hAnsi="Times New Roman" w:cs="Times New Roman"/>
          <w:sz w:val="20"/>
          <w:szCs w:val="20"/>
        </w:rPr>
        <w:fldChar w:fldCharType="begin"/>
      </w:r>
      <w:r w:rsidR="00BE1896" w:rsidRPr="000452C6">
        <w:rPr>
          <w:rFonts w:ascii="Times New Roman" w:hAnsi="Times New Roman" w:cs="Times New Roman"/>
          <w:sz w:val="20"/>
          <w:szCs w:val="20"/>
        </w:rPr>
        <w:instrText xml:space="preserve"> ADDIN ZOTERO_ITEM CSL_CITATION {"citationID":"jFqIRiIR","properties":{"formattedCitation":"[4]","plainCitation":"[4]","noteIndex":0},"citationItems":[{"id":6495,"uris":["http://zotero.org/users/2937542/items/E9UJWUAQ"],"uri":["http://zotero.org/users/2937542/items/E9UJWUAQ"],"itemData":{"id":6495,"type":"article-journal","title":"Epidemiology of esophageal cancer in Japan and China","container-title":"Journal of Epidemiology","page":"233-242","volume":"23","issue":"4","source":"PubMed","abstract":"In preparation for a collaborative multidisciplinary study of the pathogenesis of esophageal cancer, the authors reviewed the published literature to identify similarities and differences between Japan and China in esophageal cancer epidemiology. Esophageal squamous cell carcinoma (ESCC) is the predominant histologic type, while the incidence of esophageal adenocarcinoma remains extremely low in both countries. Numerous epidemiologic studies in both countries show that alcohol consumption and cigarette smoking are contributing risk factors for ESCC. There are differences, however, in many aspects of esophageal cancer between Japan and China, including cancer burden, patterns of incidence and mortality, sex ratio of mortality, risk factor profiles, and genetic variants. Overall incidence and mortality rates are higher in China than in Japan, and variation in mortality and incidence patterns is greater in China than in Japan. During the study period (1987-2000), the decline in age-adjusted mortality rates was more apparent in China than in Japan. Risk factor profiles differed between high- and low-incidence areas within China, but not in Japan. The association of smoking and drinking with ESCC risk appears to be weaker in China than in Japan. Genome-wide association studies in China showed that variants in several chromosome regions conferred increased risk, but only genetic variants in alcohol-metabolizing genes were significantly associated with ESCC risk in Japan. A well-designed multidisciplinary epidemiologic study is needed to examine the role of diet and eating habits in ESCC risk.","ISSN":"1349-9092","note":"PMID: 23629646\nPMCID: PMC3709543","journalAbbreviation":"J Epidemiol","language":"eng","author":[{"family":"Lin","given":"Yingsong"},{"family":"Totsuka","given":"Yukari"},{"family":"He","given":"Yutong"},{"family":"Kikuchi","given":"Shogo"},{"family":"Qiao","given":"Youlin"},{"family":"Ueda","given":"Junko"},{"family":"Wei","given":"Wenqiang"},{"family":"Inoue","given":"Manami"},{"family":"Tanaka","given":"Hideo"}],"issued":{"date-parts":[["2013"]]}}}],"schema":"https://github.com/citation-style-language/schema/raw/master/csl-citation.json"} </w:instrText>
      </w:r>
      <w:r w:rsidR="00C561E7" w:rsidRPr="000452C6">
        <w:rPr>
          <w:rFonts w:ascii="Times New Roman" w:hAnsi="Times New Roman" w:cs="Times New Roman"/>
          <w:sz w:val="20"/>
          <w:szCs w:val="20"/>
        </w:rPr>
        <w:fldChar w:fldCharType="separate"/>
      </w:r>
      <w:r w:rsidR="00BE1896" w:rsidRPr="000452C6">
        <w:rPr>
          <w:rFonts w:ascii="Times New Roman" w:hAnsi="Times New Roman" w:cs="Times New Roman"/>
          <w:sz w:val="20"/>
          <w:szCs w:val="20"/>
        </w:rPr>
        <w:t>[4]</w:t>
      </w:r>
      <w:r w:rsidR="00C561E7" w:rsidRPr="000452C6">
        <w:rPr>
          <w:rFonts w:ascii="Times New Roman" w:hAnsi="Times New Roman" w:cs="Times New Roman"/>
          <w:sz w:val="20"/>
          <w:szCs w:val="20"/>
        </w:rPr>
        <w:fldChar w:fldCharType="end"/>
      </w:r>
      <w:r w:rsidR="001806E2">
        <w:rPr>
          <w:rFonts w:ascii="Times New Roman" w:hAnsi="Times New Roman" w:cs="Times New Roman" w:hint="eastAsia"/>
          <w:sz w:val="20"/>
          <w:szCs w:val="20"/>
          <w:lang w:eastAsia="zh-CN"/>
        </w:rPr>
        <w:t xml:space="preserve"> </w:t>
      </w:r>
      <w:proofErr w:type="spellStart"/>
      <w:r w:rsidR="00BE1896" w:rsidRPr="000452C6">
        <w:rPr>
          <w:rFonts w:ascii="Times New Roman" w:hAnsi="Times New Roman" w:cs="Times New Roman"/>
          <w:sz w:val="20"/>
          <w:szCs w:val="20"/>
        </w:rPr>
        <w:t>Squamous</w:t>
      </w:r>
      <w:proofErr w:type="spellEnd"/>
      <w:r w:rsidR="00BE1896" w:rsidRPr="000452C6">
        <w:rPr>
          <w:rFonts w:ascii="Times New Roman" w:hAnsi="Times New Roman" w:cs="Times New Roman"/>
          <w:sz w:val="20"/>
          <w:szCs w:val="20"/>
        </w:rPr>
        <w:t xml:space="preserve"> cell carcinoma accounts for 70% of cases of EC globally.</w:t>
      </w:r>
      <w:r w:rsidR="00C561E7" w:rsidRPr="000452C6">
        <w:rPr>
          <w:rFonts w:ascii="Times New Roman" w:hAnsi="Times New Roman" w:cs="Times New Roman"/>
          <w:sz w:val="20"/>
          <w:szCs w:val="20"/>
        </w:rPr>
        <w:fldChar w:fldCharType="begin"/>
      </w:r>
      <w:r w:rsidR="00AE1EAF" w:rsidRPr="000452C6">
        <w:rPr>
          <w:rFonts w:ascii="Times New Roman" w:hAnsi="Times New Roman" w:cs="Times New Roman"/>
          <w:sz w:val="20"/>
          <w:szCs w:val="20"/>
        </w:rPr>
        <w:instrText xml:space="preserve"> ADDIN ZOTERO_ITEM CSL_CITATION {"citationID":"Tcr1NNhX","properties":{"formattedCitation":"[5]","plainCitation":"[5]","noteIndex":0},"citationItems":[{"id":6500,"uris":["http://zotero.org/users/2937542/items/7HM6966F"],"uri":["http://zotero.org/users/2937542/items/7HM6966F"],"itemData":{"id":6500,"type":"article-journal","title":"Oesophageal Cancer","container-title":"Nature reviews. Disease primers","page":"17048","volume":"3","source":"PubMed Central","abstract":"Oesophageal cancer is the sixth most common cause of cancer death worldwide, and is therefore a major global health challenge. The two major subtypes of oesophageal cancer are oesophageal squamous cell carcinoma (OSCC) and adenocarcinoma (OAC) which are epidemiologically and biologically distinct. Pre-neoplastic lesions are identifiable for both OSCC and OAC; these are frequently amenable to endoscopic ablative therapies. Most patients with oesophageal cancer require extensive treatment including chemotherapy, chemoradiotherapy and/or surgical resection. Patients with advanced or metastatic oesophageal cancer are treated with cytotoxic chemotherapy; those who are HER2 positive may also benefit from trastuzumab treatment. Immuno-oncology therapies have also shown promising early results in OSCC and OAC. In this Primer, we review state of the art knowledge on the biology and treatment of oesophageal cancer, including screening, endoscopic ablative therapies, and emerging molecular targets, and review best practices in chemotherapy, chemoradiotherapy, surgery, and maintenance of patient quality of life.","DOI":"10.1038/nrdp.2017.48","ISSN":"2056-676X","note":"PMID: 28748917\nPMCID: PMC6168059","journalAbbreviation":"Nat Rev Dis Primers","author":[{"family":"Smyth","given":"Elizabeth C."},{"family":"Lagergren","given":"Jesper"},{"family":"Fitzgerald","given":"Rebecca C."},{"family":"Lordick","given":"Florian"},{"family":"Shah","given":"Manish A."},{"family":"Lagergren","given":"Pernilla"},{"family":"Cunningham","given":"David"}],"issued":{"date-parts":[["2017",7,27]]}}}],"schema":"https://github.com/citation-style-language/schema/raw/master/csl-citation.json"} </w:instrText>
      </w:r>
      <w:r w:rsidR="00C561E7" w:rsidRPr="000452C6">
        <w:rPr>
          <w:rFonts w:ascii="Times New Roman" w:hAnsi="Times New Roman" w:cs="Times New Roman"/>
          <w:sz w:val="20"/>
          <w:szCs w:val="20"/>
        </w:rPr>
        <w:fldChar w:fldCharType="separate"/>
      </w:r>
      <w:r w:rsidR="00AE1EAF" w:rsidRPr="000452C6">
        <w:rPr>
          <w:rFonts w:ascii="Times New Roman" w:hAnsi="Times New Roman" w:cs="Times New Roman"/>
          <w:sz w:val="20"/>
          <w:szCs w:val="20"/>
        </w:rPr>
        <w:t>[5]</w:t>
      </w:r>
      <w:r w:rsidR="00C561E7" w:rsidRPr="000452C6">
        <w:rPr>
          <w:rFonts w:ascii="Times New Roman" w:hAnsi="Times New Roman" w:cs="Times New Roman"/>
          <w:sz w:val="20"/>
          <w:szCs w:val="20"/>
        </w:rPr>
        <w:fldChar w:fldCharType="end"/>
      </w:r>
      <w:r w:rsidR="009158EB" w:rsidRPr="000452C6">
        <w:rPr>
          <w:rFonts w:ascii="Times New Roman" w:hAnsi="Times New Roman" w:cs="Times New Roman"/>
          <w:sz w:val="20"/>
          <w:szCs w:val="20"/>
        </w:rPr>
        <w:t>Patients with EC cancer usually present late in a relatively locally advanced or even metastatic stage due to the muscular and expansive nature of the esophagus. Therefore, endoscopy is the mainstay of evaluation of these cases.</w:t>
      </w:r>
      <w:r w:rsidR="00C561E7" w:rsidRPr="000452C6">
        <w:rPr>
          <w:rFonts w:ascii="Times New Roman" w:hAnsi="Times New Roman" w:cs="Times New Roman"/>
          <w:sz w:val="20"/>
          <w:szCs w:val="20"/>
        </w:rPr>
        <w:fldChar w:fldCharType="begin"/>
      </w:r>
      <w:r w:rsidR="00E229B3" w:rsidRPr="000452C6">
        <w:rPr>
          <w:rFonts w:ascii="Times New Roman" w:hAnsi="Times New Roman" w:cs="Times New Roman"/>
          <w:sz w:val="20"/>
          <w:szCs w:val="20"/>
        </w:rPr>
        <w:instrText xml:space="preserve"> ADDIN ZOTERO_ITEM CSL_CITATION {"citationID":"24k88x3x","properties":{"formattedCitation":"[6]","plainCitation":"[6]","noteIndex":0},"citationItems":[{"id":6503,"uris":["http://zotero.org/users/2937542/items/LKPKXX37"],"uri":["http://zotero.org/users/2937542/items/LKPKXX37"],"itemData":{"id":6503,"type":"article-journal","title":"Narrow band imaging versus lugol chromoendoscopy to diagnose squamous cell carcinoma of the esophagus: a systematic review and meta-analysis","container-title":"BMC cancer","page":"54","volume":"17","issue":"1","source":"PubMed","abstract":"BACKGROUND: In the early stage esophageal cancer, changes in the mucosa are subtle and pass unnoticed in endoscopic examinations using white light. To increase sensitivity, chromoscopy with Lugol's solution has been used. Technological advancements have led to the emergence of virtual methods of endoscopic chromoscopy, including narrow band imaging (NBI). NBI enhances the relief of the mucosa and the underlying vascular pattern, providing greater convenience without the risks inherent to the use of vital dye. The purpose of this systematic review and meta-analysis was to evaluate the ability of NBI to diagnose squamous cell carcinoma of the esophagus and to compare it to chromoscopy with Lugol's solution.\nMETHODS: This systematic review included all studies comparing the diagnostic accuracy of NBI and Lugol chromoendoscopy performed to identify high-grade dysplasia and/or squamous cell carcinoma in the esophagus. In the meta-analysis, we calculated and demonstrated sensitivity, specificity, and positive and negative likelihood values in forest plots. We also determined summary receiver operating characteristic (sROC) curves and estimates of the areas under the curves for both per-patient and per-lesion analysis.\nRESULTS: The initial search identified 7079 articles. Of these, 18 studies were included in the systematic review and 12 were used in the meta-analysis, for a total of 1911 patients. In per-patient and per-lesion analysis, the sensitivity, specificity, and positive and negative likelihood values for Lugol chromoendoscopy were 92% and 98, 82 and 37%, 5.42 and 1.4, and 0.13 and 0.39, respectively, and for NBI were 88 and 94%, 88 and 65%, 8.32 and 2.62, and 0.16 and 0.12, respectively. There was a statistically significant difference in only specificity values, in which case NBI was superior to Lugol chromoendoscopy in both analyses. In the per-patient analysis, the area under the sROC curve for Lugol chromoendoscopy was 0.9559. In the case of NBI, this value was 0.9611; in the per-lesion analysis, this number was 0.9685 and 0.9587, respectively.\nCONCLUSIONS: NBI was adequate in evaluating the esophagus in order to diagnose high-grade dysplasia and squamous cell carcinoma. In the differentiation of those disorders from other esophageal mucosa alterations, the NBI was shown to be superior than Lugol.","DOI":"10.1186/s12885-016-3011-9","ISSN":"1471-2407","note":"PMID: 28086818\nPMCID: PMC5237308","shortTitle":"Narrow band imaging versus lugol chromoendoscopy to diagnose squamous cell carcinoma of the esophagus","journalAbbreviation":"BMC Cancer","language":"eng","author":[{"family":"Morita","given":"Flavio Hiroshi Ananias"},{"family":"Bernardo","given":"Wanderley Marques"},{"family":"Ide","given":"Edson"},{"family":"Rocha","given":"Rodrigo Silva Paula"},{"family":"Aquino","given":"Julio Cesar Martins"},{"family":"Minata","given":"Mauricio Kazuyoshi"},{"family":"Yamazaki","given":"Kendi"},{"family":"Marques","given":"Sergio Barbosa"},{"family":"Sakai","given":"Paulo"},{"family":"Moura","given":"Eduardo Guimarães Hourneaux","non-dropping-particle":"de"}],"issued":{"date-parts":[["2017"]],"season":"13"}}}],"schema":"https://github.com/citation-style-language/schema/raw/master/csl-citation.json"} </w:instrText>
      </w:r>
      <w:r w:rsidR="00C561E7" w:rsidRPr="000452C6">
        <w:rPr>
          <w:rFonts w:ascii="Times New Roman" w:hAnsi="Times New Roman" w:cs="Times New Roman"/>
          <w:sz w:val="20"/>
          <w:szCs w:val="20"/>
        </w:rPr>
        <w:fldChar w:fldCharType="separate"/>
      </w:r>
      <w:r w:rsidR="00E229B3" w:rsidRPr="000452C6">
        <w:rPr>
          <w:rFonts w:ascii="Times New Roman" w:hAnsi="Times New Roman" w:cs="Times New Roman"/>
          <w:sz w:val="20"/>
          <w:szCs w:val="20"/>
        </w:rPr>
        <w:t>[6]</w:t>
      </w:r>
      <w:r w:rsidR="00C561E7" w:rsidRPr="000452C6">
        <w:rPr>
          <w:rFonts w:ascii="Times New Roman" w:hAnsi="Times New Roman" w:cs="Times New Roman"/>
          <w:sz w:val="20"/>
          <w:szCs w:val="20"/>
        </w:rPr>
        <w:fldChar w:fldCharType="end"/>
      </w:r>
      <w:r w:rsidR="00554050" w:rsidRPr="000452C6">
        <w:rPr>
          <w:rFonts w:ascii="Times New Roman" w:hAnsi="Times New Roman" w:cs="Times New Roman"/>
          <w:sz w:val="20"/>
          <w:szCs w:val="20"/>
        </w:rPr>
        <w:t xml:space="preserve"> Computed tomography (CT) is another imaging modality that can be used for detection and staging of EC.</w:t>
      </w:r>
      <w:r w:rsidR="00C561E7" w:rsidRPr="000452C6">
        <w:rPr>
          <w:rFonts w:ascii="Times New Roman" w:hAnsi="Times New Roman" w:cs="Times New Roman"/>
          <w:sz w:val="20"/>
          <w:szCs w:val="20"/>
        </w:rPr>
        <w:fldChar w:fldCharType="begin"/>
      </w:r>
      <w:r w:rsidR="00527194" w:rsidRPr="000452C6">
        <w:rPr>
          <w:rFonts w:ascii="Times New Roman" w:hAnsi="Times New Roman" w:cs="Times New Roman"/>
          <w:sz w:val="20"/>
          <w:szCs w:val="20"/>
        </w:rPr>
        <w:instrText xml:space="preserve"> ADDIN ZOTERO_ITEM CSL_CITATION {"citationID":"EkzyOqMF","properties":{"formattedCitation":"[7]","plainCitation":"[7]","noteIndex":0},"citationItems":[{"id":6506,"uris":["http://zotero.org/users/2937542/items/TFYSHYS9"],"uri":["http://zotero.org/users/2937542/items/TFYSHYS9"],"itemData":{"id":6506,"type":"article-journal","title":"A study comparing endoscopic ultrasound (EUS) and computed tomography (CT) in staging oesophageal cancer and their role in clinical decision making","container-title":"Journal of Gastrointestinal Cancer","page":"38-42","volume":"41","issue":"1","source":"PubMed","abstract":"BACKGROUND AND AIM: Computed tomography (CT) and endoscopic ultrasound (EUS) are part of the regular preoperative staging protocol in oesophageal cancer. At present, EUS is increasingly being used for preoperative locoregional staging of oesophageal cancer. The aim of this study is to compare EUS and CT findings and their role in clinical decision making.\nMETHODS: The CT staging of 30 patients with oesophageal carcinoma was compared with EUS. This is a single centre-based study, and the EUS was carried out by a single operator.\nRESULTS: The mean age was 58.2 years. On EUS, one (3.3%), five (16.7%), 16(53.3%) and eight (26.7%) patients had T1, T2, T3 and T4 tumours, respectively, compared with CT which showed 12(40%), nine (30%) and seven (23.3%) patients with T2, T3 and T4 tumours. On CT, two (6.7%) were shown as no tumour (T0). EUS revealed lymph node involvement in 25 (83.3%) patients compared with CT which indicated lymph node involvement in seven (23.3%) patients. On EUS, coeliac node involvement was shown in four (13.3%) patients (M1). The TNM staging of CT and EUS were comparable in nine (30%) patients. EUS staging revealed a more advanced stage of oesophageal cancer in 17 (56.7%) patients. Preoperative EUS staging changed the decision of management in 15 (50%) patients (P &lt; 0.005).\nCONCLUSIONS: EUS staging revealed a more advanced stage of cancer in the majority of patients. It appears to be far more superior in detecting lymph node involvement compared with CT. Therefore, EUS may have a significant impact on deciding the treatment modality of a patient with oesophageal carcinoma.","DOI":"10.1007/s12029-009-9105-8","ISSN":"1941-6636","note":"PMID: 19946764","journalAbbreviation":"J Gastrointest Cancer","language":"eng","author":[{"family":"Subasinghe","given":"Duminda"},{"family":"Samarasekera","given":"Dharmabandhu Nandadeva"}],"issued":{"date-parts":[["2010",3]]}}}],"schema":"https://github.com/citation-style-language/schema/raw/master/csl-citation.json"} </w:instrText>
      </w:r>
      <w:r w:rsidR="00C561E7" w:rsidRPr="000452C6">
        <w:rPr>
          <w:rFonts w:ascii="Times New Roman" w:hAnsi="Times New Roman" w:cs="Times New Roman"/>
          <w:sz w:val="20"/>
          <w:szCs w:val="20"/>
        </w:rPr>
        <w:fldChar w:fldCharType="separate"/>
      </w:r>
      <w:r w:rsidR="00527194" w:rsidRPr="000452C6">
        <w:rPr>
          <w:rFonts w:ascii="Times New Roman" w:hAnsi="Times New Roman" w:cs="Times New Roman"/>
          <w:sz w:val="20"/>
          <w:szCs w:val="20"/>
        </w:rPr>
        <w:t>[7]</w:t>
      </w:r>
      <w:r w:rsidR="00C561E7" w:rsidRPr="000452C6">
        <w:rPr>
          <w:rFonts w:ascii="Times New Roman" w:hAnsi="Times New Roman" w:cs="Times New Roman"/>
          <w:sz w:val="20"/>
          <w:szCs w:val="20"/>
        </w:rPr>
        <w:fldChar w:fldCharType="end"/>
      </w:r>
    </w:p>
    <w:p w:rsidR="007C467F" w:rsidRPr="000452C6" w:rsidRDefault="00CE158D"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Management of EC depends on characteristics of the patient and tumor. Surgical resection, </w:t>
      </w:r>
      <w:r w:rsidRPr="000452C6">
        <w:rPr>
          <w:rFonts w:ascii="Times New Roman" w:hAnsi="Times New Roman" w:cs="Times New Roman"/>
          <w:sz w:val="20"/>
          <w:szCs w:val="20"/>
        </w:rPr>
        <w:lastRenderedPageBreak/>
        <w:t xml:space="preserve">chemotherapy, </w:t>
      </w:r>
      <w:proofErr w:type="spellStart"/>
      <w:r w:rsidRPr="000452C6">
        <w:rPr>
          <w:rFonts w:ascii="Times New Roman" w:hAnsi="Times New Roman" w:cs="Times New Roman"/>
          <w:sz w:val="20"/>
          <w:szCs w:val="20"/>
        </w:rPr>
        <w:t>chemoradiotherapy</w:t>
      </w:r>
      <w:proofErr w:type="spellEnd"/>
      <w:r w:rsidRPr="000452C6">
        <w:rPr>
          <w:rFonts w:ascii="Times New Roman" w:hAnsi="Times New Roman" w:cs="Times New Roman"/>
          <w:sz w:val="20"/>
          <w:szCs w:val="20"/>
        </w:rPr>
        <w:t>, or combinations of these modalities can be used for treatment EC.</w:t>
      </w:r>
      <w:r w:rsidR="00C561E7" w:rsidRPr="000452C6">
        <w:rPr>
          <w:rFonts w:ascii="Times New Roman" w:hAnsi="Times New Roman" w:cs="Times New Roman"/>
          <w:sz w:val="20"/>
          <w:szCs w:val="20"/>
        </w:rPr>
        <w:fldChar w:fldCharType="begin"/>
      </w:r>
      <w:r w:rsidR="004617AF" w:rsidRPr="000452C6">
        <w:rPr>
          <w:rFonts w:ascii="Times New Roman" w:hAnsi="Times New Roman" w:cs="Times New Roman"/>
          <w:sz w:val="20"/>
          <w:szCs w:val="20"/>
        </w:rPr>
        <w:instrText xml:space="preserve"> ADDIN ZOTERO_ITEM CSL_CITATION {"citationID":"VdF0X8qD","properties":{"formattedCitation":"[5]","plainCitation":"[5]","noteIndex":0},"citationItems":[{"id":6500,"uris":["http://zotero.org/users/2937542/items/7HM6966F"],"uri":["http://zotero.org/users/2937542/items/7HM6966F"],"itemData":{"id":6500,"type":"article-journal","title":"Oesophageal Cancer","container-title":"Nature reviews. Disease primers","page":"17048","volume":"3","source":"PubMed Central","abstract":"Oesophageal cancer is the sixth most common cause of cancer death worldwide, and is therefore a major global health challenge. The two major subtypes of oesophageal cancer are oesophageal squamous cell carcinoma (OSCC) and adenocarcinoma (OAC) which are epidemiologically and biologically distinct. Pre-neoplastic lesions are identifiable for both OSCC and OAC; these are frequently amenable to endoscopic ablative therapies. Most patients with oesophageal cancer require extensive treatment including chemotherapy, chemoradiotherapy and/or surgical resection. Patients with advanced or metastatic oesophageal cancer are treated with cytotoxic chemotherapy; those who are HER2 positive may also benefit from trastuzumab treatment. Immuno-oncology therapies have also shown promising early results in OSCC and OAC. In this Primer, we review state of the art knowledge on the biology and treatment of oesophageal cancer, including screening, endoscopic ablative therapies, and emerging molecular targets, and review best practices in chemotherapy, chemoradiotherapy, surgery, and maintenance of patient quality of life.","DOI":"10.1038/nrdp.2017.48","ISSN":"2056-676X","note":"PMID: 28748917\nPMCID: PMC6168059","journalAbbreviation":"Nat Rev Dis Primers","author":[{"family":"Smyth","given":"Elizabeth C."},{"family":"Lagergren","given":"Jesper"},{"family":"Fitzgerald","given":"Rebecca C."},{"family":"Lordick","given":"Florian"},{"family":"Shah","given":"Manish A."},{"family":"Lagergren","given":"Pernilla"},{"family":"Cunningham","given":"David"}],"issued":{"date-parts":[["2017",7,27]]}}}],"schema":"https://github.com/citation-style-language/schema/raw/master/csl-citation.json"} </w:instrText>
      </w:r>
      <w:r w:rsidR="00C561E7" w:rsidRPr="000452C6">
        <w:rPr>
          <w:rFonts w:ascii="Times New Roman" w:hAnsi="Times New Roman" w:cs="Times New Roman"/>
          <w:sz w:val="20"/>
          <w:szCs w:val="20"/>
        </w:rPr>
        <w:fldChar w:fldCharType="separate"/>
      </w:r>
      <w:r w:rsidR="004617AF" w:rsidRPr="000452C6">
        <w:rPr>
          <w:rFonts w:ascii="Times New Roman" w:hAnsi="Times New Roman" w:cs="Times New Roman"/>
          <w:sz w:val="20"/>
          <w:szCs w:val="20"/>
        </w:rPr>
        <w:t>[5]</w:t>
      </w:r>
      <w:r w:rsidR="00C561E7" w:rsidRPr="000452C6">
        <w:rPr>
          <w:rFonts w:ascii="Times New Roman" w:hAnsi="Times New Roman" w:cs="Times New Roman"/>
          <w:sz w:val="20"/>
          <w:szCs w:val="20"/>
        </w:rPr>
        <w:fldChar w:fldCharType="end"/>
      </w:r>
      <w:r w:rsidR="001806E2">
        <w:rPr>
          <w:rFonts w:ascii="Times New Roman" w:hAnsi="Times New Roman" w:cs="Times New Roman" w:hint="eastAsia"/>
          <w:sz w:val="20"/>
          <w:szCs w:val="20"/>
          <w:lang w:eastAsia="zh-CN"/>
        </w:rPr>
        <w:t xml:space="preserve"> </w:t>
      </w:r>
      <w:r w:rsidRPr="000452C6">
        <w:rPr>
          <w:rFonts w:ascii="Times New Roman" w:hAnsi="Times New Roman" w:cs="Times New Roman"/>
          <w:sz w:val="20"/>
          <w:szCs w:val="20"/>
        </w:rPr>
        <w:t xml:space="preserve">Surgery can be a performed for </w:t>
      </w:r>
      <w:proofErr w:type="spellStart"/>
      <w:r w:rsidRPr="000452C6">
        <w:rPr>
          <w:rFonts w:ascii="Times New Roman" w:hAnsi="Times New Roman" w:cs="Times New Roman"/>
          <w:sz w:val="20"/>
          <w:szCs w:val="20"/>
        </w:rPr>
        <w:t>Tis</w:t>
      </w:r>
      <w:proofErr w:type="spellEnd"/>
      <w:r w:rsidRPr="000452C6">
        <w:rPr>
          <w:rFonts w:ascii="Times New Roman" w:hAnsi="Times New Roman" w:cs="Times New Roman"/>
          <w:sz w:val="20"/>
          <w:szCs w:val="20"/>
        </w:rPr>
        <w:t>, T1 and some T2 stages.</w:t>
      </w:r>
      <w:r w:rsidR="00C561E7" w:rsidRPr="000452C6">
        <w:rPr>
          <w:rFonts w:ascii="Times New Roman" w:hAnsi="Times New Roman" w:cs="Times New Roman"/>
          <w:sz w:val="20"/>
          <w:szCs w:val="20"/>
        </w:rPr>
        <w:fldChar w:fldCharType="begin"/>
      </w:r>
      <w:r w:rsidR="000F23BA" w:rsidRPr="000452C6">
        <w:rPr>
          <w:rFonts w:ascii="Times New Roman" w:hAnsi="Times New Roman" w:cs="Times New Roman"/>
          <w:sz w:val="20"/>
          <w:szCs w:val="20"/>
        </w:rPr>
        <w:instrText xml:space="preserve"> ADDIN ZOTERO_ITEM CSL_CITATION {"citationID":"m6W0WqKb","properties":{"formattedCitation":"[8]","plainCitation":"[8]","noteIndex":0},"citationItems":[{"id":6508,"uris":["http://zotero.org/users/2937542/items/IA6SUPEC"],"uri":["http://zotero.org/users/2937542/items/IA6SUPEC"],"itemData":{"id":6508,"type":"article-journal","title":"Esophageal cancer: A Review of epidemiology, pathogenesis, staging workup and treatment modalities","container-title":"World Journal of Gastrointestinal Oncology","page":"112-120","volume":"6","issue":"5","source":"PubMed","abstract":"Esophageal cancer is a serious malignancy with regards to mortality and prognosis. It is a growing health concern that is expected to increase in incidence over the next 10 years. Squamous cell carcinoma is the most common histological type of esophageal cancer worldwide, with a higher incidence in developing nations. With the increased prevalence of gastroesophageal reflux disease and obesity in developed nations, the incidence of esophageal adenocarcinoma has dramatically increased in the past 40 years. Esophageal cancer is staged according to the widely accepted TNM system. Staging plays an integral part in guiding stage specific treatment protocols and has a great impact on overall survival. Common imaging modalities used in staging include computed tomography, endoscopic ultrasound and positron emission tomography scans. Current treatment options include multimodality therapy mainstays of current treatment include surgery, radiation and chemotherapy. Tumor markers of esophageal cancer are an advancing area of research that could potentially lead to earlier diagnosis as well as playing a part in assessing tumor response to therapy.","DOI":"10.4251/wjgo.v6.i5.112","ISSN":"1948-5204","note":"PMID: 24834141\nPMCID: PMC4021327","shortTitle":"Esophageal cancer","journalAbbreviation":"World J Gastrointest Oncol","language":"eng","author":[{"family":"Napier","given":"Kyle J."},{"family":"Scheerer","given":"Mary"},{"family":"Misra","given":"Subhasis"}],"issued":{"date-parts":[["2014",5,15]]}}}],"schema":"https://github.com/citation-style-language/schema/raw/master/csl-citation.json"} </w:instrText>
      </w:r>
      <w:r w:rsidR="00C561E7" w:rsidRPr="000452C6">
        <w:rPr>
          <w:rFonts w:ascii="Times New Roman" w:hAnsi="Times New Roman" w:cs="Times New Roman"/>
          <w:sz w:val="20"/>
          <w:szCs w:val="20"/>
        </w:rPr>
        <w:fldChar w:fldCharType="separate"/>
      </w:r>
      <w:r w:rsidR="000F23BA" w:rsidRPr="000452C6">
        <w:rPr>
          <w:rFonts w:ascii="Times New Roman" w:hAnsi="Times New Roman" w:cs="Times New Roman"/>
          <w:sz w:val="20"/>
          <w:szCs w:val="20"/>
        </w:rPr>
        <w:t>[8]</w:t>
      </w:r>
      <w:r w:rsidR="00C561E7" w:rsidRPr="000452C6">
        <w:rPr>
          <w:rFonts w:ascii="Times New Roman" w:hAnsi="Times New Roman" w:cs="Times New Roman"/>
          <w:sz w:val="20"/>
          <w:szCs w:val="20"/>
        </w:rPr>
        <w:fldChar w:fldCharType="end"/>
      </w:r>
      <w:r w:rsidR="00630C64" w:rsidRPr="000452C6">
        <w:rPr>
          <w:rFonts w:ascii="Times New Roman" w:hAnsi="Times New Roman" w:cs="Times New Roman"/>
          <w:sz w:val="20"/>
          <w:szCs w:val="20"/>
        </w:rPr>
        <w:t xml:space="preserve">It is debatable if </w:t>
      </w:r>
      <w:proofErr w:type="spellStart"/>
      <w:r w:rsidR="00630C64" w:rsidRPr="000452C6">
        <w:rPr>
          <w:rFonts w:ascii="Times New Roman" w:hAnsi="Times New Roman" w:cs="Times New Roman"/>
          <w:sz w:val="20"/>
          <w:szCs w:val="20"/>
        </w:rPr>
        <w:t>neoadjuvant</w:t>
      </w:r>
      <w:proofErr w:type="spellEnd"/>
      <w:r w:rsidR="00630C64" w:rsidRPr="000452C6">
        <w:rPr>
          <w:rFonts w:ascii="Times New Roman" w:hAnsi="Times New Roman" w:cs="Times New Roman"/>
          <w:sz w:val="20"/>
          <w:szCs w:val="20"/>
        </w:rPr>
        <w:t xml:space="preserve"> </w:t>
      </w:r>
      <w:proofErr w:type="spellStart"/>
      <w:r w:rsidR="00630C64" w:rsidRPr="000452C6">
        <w:rPr>
          <w:rFonts w:ascii="Times New Roman" w:hAnsi="Times New Roman" w:cs="Times New Roman"/>
          <w:sz w:val="20"/>
          <w:szCs w:val="20"/>
        </w:rPr>
        <w:t>chemoradiotherapy</w:t>
      </w:r>
      <w:proofErr w:type="spellEnd"/>
      <w:r w:rsidR="00630C64" w:rsidRPr="000452C6">
        <w:rPr>
          <w:rFonts w:ascii="Times New Roman" w:hAnsi="Times New Roman" w:cs="Times New Roman"/>
          <w:sz w:val="20"/>
          <w:szCs w:val="20"/>
        </w:rPr>
        <w:t xml:space="preserve"> may be offered for T2 EC cancer.</w:t>
      </w:r>
      <w:r w:rsidR="00C561E7" w:rsidRPr="000452C6">
        <w:rPr>
          <w:rFonts w:ascii="Times New Roman" w:hAnsi="Times New Roman" w:cs="Times New Roman"/>
          <w:sz w:val="20"/>
          <w:szCs w:val="20"/>
        </w:rPr>
        <w:fldChar w:fldCharType="begin"/>
      </w:r>
      <w:r w:rsidR="00245BB0" w:rsidRPr="000452C6">
        <w:rPr>
          <w:rFonts w:ascii="Times New Roman" w:hAnsi="Times New Roman" w:cs="Times New Roman"/>
          <w:sz w:val="20"/>
          <w:szCs w:val="20"/>
        </w:rPr>
        <w:instrText xml:space="preserve"> ADDIN ZOTERO_ITEM CSL_CITATION {"citationID":"Nnh1ihHL","properties":{"formattedCitation":"[9]","plainCitation":"[9]","noteIndex":0},"citationItems":[{"id":6511,"uris":["http://zotero.org/users/2937542/items/N7249KIQ"],"uri":["http://zotero.org/users/2937542/items/N7249KIQ"],"itemData":{"id":6511,"type":"article-journal","title":"Management of T2 esophageal cancer","container-title":"The Surgical Clinics of North America","page":"1169-1178","volume":"92","issue":"5","source":"PubMed","abstract":"Patients with clinically staged T2N0 esophageal cancer are a small subset of patients for whom therapy is not standardized. Current clinical staging modalities are lacking in providing accurate staging for the presumed T2N0 subset. Problems with overstaging and understaging can each have adverse consequences for the patient. Furthermore, the benefit of induction therapy versus esophagectomy followed by adjuvant therapy for upstaged patients is unproven. The management of this challenging group of patients is reviewed.","DOI":"10.1016/j.suc.2012.07.003","ISSN":"1558-3171","note":"PMID: 23026276","journalAbbreviation":"Surg. Clin. North Am.","language":"eng","author":[{"family":"Sancheti","given":"Manu"},{"family":"Fernandez","given":"Felix"}],"issued":{"date-parts":[["2012",10]]}}}],"schema":"https://github.com/citation-style-language/schema/raw/master/csl-citation.json"} </w:instrText>
      </w:r>
      <w:r w:rsidR="00C561E7" w:rsidRPr="000452C6">
        <w:rPr>
          <w:rFonts w:ascii="Times New Roman" w:hAnsi="Times New Roman" w:cs="Times New Roman"/>
          <w:sz w:val="20"/>
          <w:szCs w:val="20"/>
        </w:rPr>
        <w:fldChar w:fldCharType="separate"/>
      </w:r>
      <w:r w:rsidR="00245BB0" w:rsidRPr="000452C6">
        <w:rPr>
          <w:rFonts w:ascii="Times New Roman" w:hAnsi="Times New Roman" w:cs="Times New Roman"/>
          <w:sz w:val="20"/>
          <w:szCs w:val="20"/>
        </w:rPr>
        <w:t>[9]</w:t>
      </w:r>
      <w:r w:rsidR="00C561E7" w:rsidRPr="000452C6">
        <w:rPr>
          <w:rFonts w:ascii="Times New Roman" w:hAnsi="Times New Roman" w:cs="Times New Roman"/>
          <w:sz w:val="20"/>
          <w:szCs w:val="20"/>
        </w:rPr>
        <w:fldChar w:fldCharType="end"/>
      </w:r>
      <w:r w:rsidR="001806E2">
        <w:rPr>
          <w:rFonts w:ascii="Times New Roman" w:hAnsi="Times New Roman" w:cs="Times New Roman" w:hint="eastAsia"/>
          <w:sz w:val="20"/>
          <w:szCs w:val="20"/>
          <w:lang w:eastAsia="zh-CN"/>
        </w:rPr>
        <w:t xml:space="preserve"> </w:t>
      </w:r>
      <w:r w:rsidR="00245BB0" w:rsidRPr="000452C6">
        <w:rPr>
          <w:rFonts w:ascii="Times New Roman" w:hAnsi="Times New Roman" w:cs="Times New Roman"/>
          <w:sz w:val="20"/>
          <w:szCs w:val="20"/>
        </w:rPr>
        <w:t xml:space="preserve">There are several alternative approaches for </w:t>
      </w:r>
      <w:proofErr w:type="spellStart"/>
      <w:r w:rsidR="00245BB0" w:rsidRPr="000452C6">
        <w:rPr>
          <w:rFonts w:ascii="Times New Roman" w:hAnsi="Times New Roman" w:cs="Times New Roman"/>
          <w:sz w:val="20"/>
          <w:szCs w:val="20"/>
        </w:rPr>
        <w:t>esophagectomy</w:t>
      </w:r>
      <w:proofErr w:type="spellEnd"/>
      <w:r w:rsidR="00245BB0" w:rsidRPr="000452C6">
        <w:rPr>
          <w:rFonts w:ascii="Times New Roman" w:hAnsi="Times New Roman" w:cs="Times New Roman"/>
          <w:sz w:val="20"/>
          <w:szCs w:val="20"/>
        </w:rPr>
        <w:t xml:space="preserve">. The main two </w:t>
      </w:r>
      <w:r w:rsidRPr="000452C6">
        <w:rPr>
          <w:rFonts w:ascii="Times New Roman" w:hAnsi="Times New Roman" w:cs="Times New Roman"/>
          <w:sz w:val="20"/>
          <w:szCs w:val="20"/>
        </w:rPr>
        <w:t xml:space="preserve">techniques </w:t>
      </w:r>
      <w:r w:rsidR="00245BB0" w:rsidRPr="000452C6">
        <w:rPr>
          <w:rFonts w:ascii="Times New Roman" w:hAnsi="Times New Roman" w:cs="Times New Roman"/>
          <w:sz w:val="20"/>
          <w:szCs w:val="20"/>
        </w:rPr>
        <w:t xml:space="preserve">are the </w:t>
      </w:r>
      <w:proofErr w:type="spellStart"/>
      <w:r w:rsidRPr="000452C6">
        <w:rPr>
          <w:rFonts w:ascii="Times New Roman" w:hAnsi="Times New Roman" w:cs="Times New Roman"/>
          <w:sz w:val="20"/>
          <w:szCs w:val="20"/>
        </w:rPr>
        <w:t>transhiatal</w:t>
      </w:r>
      <w:proofErr w:type="spellEnd"/>
      <w:r w:rsidRPr="000452C6">
        <w:rPr>
          <w:rFonts w:ascii="Times New Roman" w:hAnsi="Times New Roman" w:cs="Times New Roman"/>
          <w:sz w:val="20"/>
          <w:szCs w:val="20"/>
        </w:rPr>
        <w:t xml:space="preserve"> </w:t>
      </w:r>
      <w:proofErr w:type="spellStart"/>
      <w:r w:rsidRPr="000452C6">
        <w:rPr>
          <w:rFonts w:ascii="Times New Roman" w:hAnsi="Times New Roman" w:cs="Times New Roman"/>
          <w:sz w:val="20"/>
          <w:szCs w:val="20"/>
        </w:rPr>
        <w:t>esophagectomy</w:t>
      </w:r>
      <w:proofErr w:type="spellEnd"/>
      <w:r w:rsidRPr="000452C6">
        <w:rPr>
          <w:rFonts w:ascii="Times New Roman" w:hAnsi="Times New Roman" w:cs="Times New Roman"/>
          <w:sz w:val="20"/>
          <w:szCs w:val="20"/>
        </w:rPr>
        <w:t xml:space="preserve"> (THE) and </w:t>
      </w:r>
      <w:proofErr w:type="spellStart"/>
      <w:r w:rsidRPr="000452C6">
        <w:rPr>
          <w:rFonts w:ascii="Times New Roman" w:hAnsi="Times New Roman" w:cs="Times New Roman"/>
          <w:sz w:val="20"/>
          <w:szCs w:val="20"/>
        </w:rPr>
        <w:t>transthoracicesophagectomy</w:t>
      </w:r>
      <w:proofErr w:type="spellEnd"/>
      <w:r w:rsidRPr="000452C6">
        <w:rPr>
          <w:rFonts w:ascii="Times New Roman" w:hAnsi="Times New Roman" w:cs="Times New Roman"/>
          <w:sz w:val="20"/>
          <w:szCs w:val="20"/>
        </w:rPr>
        <w:t>.</w:t>
      </w:r>
      <w:r w:rsidR="00C561E7" w:rsidRPr="000452C6">
        <w:rPr>
          <w:rFonts w:ascii="Times New Roman" w:hAnsi="Times New Roman" w:cs="Times New Roman"/>
          <w:sz w:val="20"/>
          <w:szCs w:val="20"/>
        </w:rPr>
        <w:fldChar w:fldCharType="begin"/>
      </w:r>
      <w:r w:rsidR="007C467F" w:rsidRPr="000452C6">
        <w:rPr>
          <w:rFonts w:ascii="Times New Roman" w:hAnsi="Times New Roman" w:cs="Times New Roman"/>
          <w:sz w:val="20"/>
          <w:szCs w:val="20"/>
        </w:rPr>
        <w:instrText xml:space="preserve"> ADDIN ZOTERO_ITEM CSL_CITATION {"citationID":"9qOFRjla","properties":{"formattedCitation":"[10]","plainCitation":"[10]","noteIndex":0},"citationItems":[{"id":6513,"uris":["http://zotero.org/users/2937542/items/SN4XAQIU"],"uri":["http://zotero.org/users/2937542/items/SN4XAQIU"],"itemData":{"id":6513,"type":"article-journal","title":"Transthoracic versus transhiatal esophagectomy for the treatment of esophagogastric cancer: a meta-analysis","container-title":"Annals of Surgery","page":"894-906","volume":"254","issue":"6","source":"PubMed","abstract":"OBJECTIVE: To study the differences in short and long-term outcomes of transthoracic and transhiatal esophagectomy for cancer.\nBACKGROUND: Studies have compared transthoracic with transhiatal esophagectomy with varying results. Previous systematic reviews (1999, 2001) do not include the latest randomized controlled trials.\nMETHODS: Systematic review of English-language studies comparing transthoracic with transhiatal esophagectomy up to January 31, 2010. Meta-analysis was used to summate the study outcomes. Methodological and surgical quality of included studies was assessed.\nRESULTS: Fifty-two studies, comprising 5905 patients (3389 transthoracic and 2516 transhiatal) were included in the analysis. No study met all minimum surgical quality standards. Transthoracic operations took longer and were associated with a significantly longer length of stay. There was no difference in blood loss. The transthoracic group had significantly more respiratory complications, wound infections, and early postoperative mortality, whereas anastomotic leak, anastomotic stricture, and recurrent laryngeal nerve palsy rate was significantly higher in the transhiatal group. Lymph node retrieval was reported in 4 studies and was significantly greater in the transthoracic group by on average 8 lymph nodes. Analysis of 5-year survival showed no significant difference between the groups and was subject to significant heterogeneity.\nCONCLUSIONS: This meta-analysis of studies comparing transthoracic with transhiatal esophagectomy for cancer demonstrates no difference in 5-year survival, however lymphadenectomy and reported surgical quality was suboptimal in both groups and the transthoracic group had significantly more advanced cancer. The finding of equivalent survival should therefore be viewed with caution.","DOI":"10.1097/SLA.0b013e3182263781","ISSN":"1528-1140","note":"PMID: 21785341","shortTitle":"Transthoracic versus transhiatal esophagectomy for the treatment of esophagogastric cancer","journalAbbreviation":"Ann. Surg.","language":"eng","author":[{"family":"Boshier","given":"Piers R."},{"family":"Anderson","given":"Oliver"},{"family":"Hanna","given":"George B."}],"issued":{"date-parts":[["2011",12]]}}}],"schema":"https://github.com/citation-style-language/schema/raw/master/csl-citation.json"} </w:instrText>
      </w:r>
      <w:r w:rsidR="00C561E7" w:rsidRPr="000452C6">
        <w:rPr>
          <w:rFonts w:ascii="Times New Roman" w:hAnsi="Times New Roman" w:cs="Times New Roman"/>
          <w:sz w:val="20"/>
          <w:szCs w:val="20"/>
        </w:rPr>
        <w:fldChar w:fldCharType="separate"/>
      </w:r>
      <w:r w:rsidR="007C467F" w:rsidRPr="000452C6">
        <w:rPr>
          <w:rFonts w:ascii="Times New Roman" w:hAnsi="Times New Roman" w:cs="Times New Roman"/>
          <w:sz w:val="20"/>
          <w:szCs w:val="20"/>
        </w:rPr>
        <w:t>[10]</w:t>
      </w:r>
      <w:r w:rsidR="00C561E7" w:rsidRPr="000452C6">
        <w:rPr>
          <w:rFonts w:ascii="Times New Roman" w:hAnsi="Times New Roman" w:cs="Times New Roman"/>
          <w:sz w:val="20"/>
          <w:szCs w:val="20"/>
        </w:rPr>
        <w:fldChar w:fldCharType="end"/>
      </w:r>
    </w:p>
    <w:p w:rsidR="006470CF" w:rsidRPr="000452C6" w:rsidRDefault="006470CF"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This retrospective review </w:t>
      </w:r>
      <w:r w:rsidR="004C297E" w:rsidRPr="000452C6">
        <w:rPr>
          <w:rFonts w:ascii="Times New Roman" w:hAnsi="Times New Roman" w:cs="Times New Roman"/>
          <w:sz w:val="20"/>
          <w:szCs w:val="20"/>
        </w:rPr>
        <w:t xml:space="preserve">demonstrated </w:t>
      </w:r>
      <w:r w:rsidRPr="000452C6">
        <w:rPr>
          <w:rFonts w:ascii="Times New Roman" w:hAnsi="Times New Roman" w:cs="Times New Roman"/>
          <w:sz w:val="20"/>
          <w:szCs w:val="20"/>
        </w:rPr>
        <w:t xml:space="preserve">the experience </w:t>
      </w:r>
      <w:r w:rsidR="00792251" w:rsidRPr="000452C6">
        <w:rPr>
          <w:rFonts w:ascii="Times New Roman" w:hAnsi="Times New Roman" w:cs="Times New Roman"/>
          <w:sz w:val="20"/>
          <w:szCs w:val="20"/>
        </w:rPr>
        <w:t>of</w:t>
      </w:r>
      <w:r w:rsidR="004C297E" w:rsidRPr="000452C6">
        <w:rPr>
          <w:rFonts w:ascii="Times New Roman" w:hAnsi="Times New Roman" w:cs="Times New Roman"/>
          <w:sz w:val="20"/>
          <w:szCs w:val="20"/>
        </w:rPr>
        <w:t xml:space="preserve"> the National Cancer Institute, Cairo University</w:t>
      </w:r>
      <w:r w:rsidR="00397770" w:rsidRPr="000452C6">
        <w:rPr>
          <w:rFonts w:ascii="Times New Roman" w:hAnsi="Times New Roman" w:cs="Times New Roman"/>
          <w:sz w:val="20"/>
          <w:szCs w:val="20"/>
        </w:rPr>
        <w:t>;</w:t>
      </w:r>
      <w:r w:rsidR="004C297E" w:rsidRPr="000452C6">
        <w:rPr>
          <w:rFonts w:ascii="Times New Roman" w:hAnsi="Times New Roman" w:cs="Times New Roman"/>
          <w:sz w:val="20"/>
          <w:szCs w:val="20"/>
        </w:rPr>
        <w:t xml:space="preserve"> a major tertiary hospital in Egypt, </w:t>
      </w:r>
      <w:r w:rsidRPr="000452C6">
        <w:rPr>
          <w:rFonts w:ascii="Times New Roman" w:hAnsi="Times New Roman" w:cs="Times New Roman"/>
          <w:sz w:val="20"/>
          <w:szCs w:val="20"/>
        </w:rPr>
        <w:t xml:space="preserve">with esophageal cancer </w:t>
      </w:r>
      <w:r w:rsidR="004C297E" w:rsidRPr="000452C6">
        <w:rPr>
          <w:rFonts w:ascii="Times New Roman" w:hAnsi="Times New Roman" w:cs="Times New Roman"/>
          <w:sz w:val="20"/>
          <w:szCs w:val="20"/>
        </w:rPr>
        <w:t>over a period of 7 years</w:t>
      </w:r>
      <w:r w:rsidRPr="000452C6">
        <w:rPr>
          <w:rFonts w:ascii="Times New Roman" w:hAnsi="Times New Roman" w:cs="Times New Roman"/>
          <w:sz w:val="20"/>
          <w:szCs w:val="20"/>
        </w:rPr>
        <w:t>.</w:t>
      </w:r>
    </w:p>
    <w:p w:rsidR="00FB25AF" w:rsidRPr="000452C6" w:rsidRDefault="00FB25AF" w:rsidP="00FE79B6">
      <w:pPr>
        <w:snapToGrid w:val="0"/>
        <w:spacing w:after="0" w:line="240" w:lineRule="auto"/>
        <w:jc w:val="both"/>
        <w:rPr>
          <w:rFonts w:ascii="Times New Roman" w:eastAsia="Times New Roman" w:hAnsi="Times New Roman" w:cs="Times New Roman"/>
          <w:b/>
          <w:bCs/>
          <w:sz w:val="20"/>
          <w:szCs w:val="20"/>
        </w:rPr>
      </w:pPr>
    </w:p>
    <w:p w:rsidR="00445BF6" w:rsidRPr="000452C6" w:rsidRDefault="00321282" w:rsidP="00FE79B6">
      <w:pPr>
        <w:snapToGrid w:val="0"/>
        <w:spacing w:after="0" w:line="240" w:lineRule="auto"/>
        <w:jc w:val="both"/>
        <w:rPr>
          <w:rFonts w:ascii="Times New Roman" w:eastAsia="Times New Roman" w:hAnsi="Times New Roman" w:cs="Times New Roman"/>
          <w:b/>
          <w:bCs/>
          <w:sz w:val="20"/>
          <w:szCs w:val="20"/>
        </w:rPr>
      </w:pPr>
      <w:r w:rsidRPr="000452C6">
        <w:rPr>
          <w:rFonts w:ascii="Times New Roman" w:eastAsia="Times New Roman" w:hAnsi="Times New Roman" w:cs="Times New Roman"/>
          <w:b/>
          <w:bCs/>
          <w:sz w:val="20"/>
          <w:szCs w:val="20"/>
        </w:rPr>
        <w:t xml:space="preserve">2. </w:t>
      </w:r>
      <w:r w:rsidR="00445BF6" w:rsidRPr="000452C6">
        <w:rPr>
          <w:rFonts w:ascii="Times New Roman" w:eastAsia="Times New Roman" w:hAnsi="Times New Roman" w:cs="Times New Roman"/>
          <w:b/>
          <w:bCs/>
          <w:sz w:val="20"/>
          <w:szCs w:val="20"/>
        </w:rPr>
        <w:t>Patients and Methods:</w:t>
      </w:r>
    </w:p>
    <w:p w:rsidR="00445BF6" w:rsidRPr="000452C6" w:rsidRDefault="00445BF6" w:rsidP="00FE79B6">
      <w:pPr>
        <w:snapToGrid w:val="0"/>
        <w:spacing w:after="0" w:line="240" w:lineRule="auto"/>
        <w:ind w:firstLine="425"/>
        <w:jc w:val="both"/>
        <w:rPr>
          <w:rFonts w:ascii="Times New Roman" w:eastAsia="Times New Roman" w:hAnsi="Times New Roman" w:cs="Times New Roman"/>
          <w:sz w:val="20"/>
          <w:szCs w:val="20"/>
        </w:rPr>
      </w:pPr>
      <w:r w:rsidRPr="000452C6">
        <w:rPr>
          <w:rFonts w:ascii="Times New Roman" w:eastAsia="Times New Roman" w:hAnsi="Times New Roman" w:cs="Times New Roman"/>
          <w:sz w:val="20"/>
          <w:szCs w:val="20"/>
        </w:rPr>
        <w:t xml:space="preserve">This study showed a retrospective chart review of all patients who were diagnosed as esophageal </w:t>
      </w:r>
      <w:proofErr w:type="spellStart"/>
      <w:r w:rsidRPr="000452C6">
        <w:rPr>
          <w:rFonts w:ascii="Times New Roman" w:eastAsia="Times New Roman" w:hAnsi="Times New Roman" w:cs="Times New Roman"/>
          <w:sz w:val="20"/>
          <w:szCs w:val="20"/>
        </w:rPr>
        <w:t>cancer</w:t>
      </w:r>
      <w:r w:rsidR="003D03EA" w:rsidRPr="000452C6">
        <w:rPr>
          <w:rFonts w:ascii="Times New Roman" w:hAnsi="Times New Roman" w:cs="Times New Roman"/>
          <w:sz w:val="20"/>
          <w:szCs w:val="20"/>
        </w:rPr>
        <w:t>and</w:t>
      </w:r>
      <w:proofErr w:type="spellEnd"/>
      <w:r w:rsidR="003D03EA" w:rsidRPr="000452C6">
        <w:rPr>
          <w:rFonts w:ascii="Times New Roman" w:hAnsi="Times New Roman" w:cs="Times New Roman"/>
          <w:sz w:val="20"/>
          <w:szCs w:val="20"/>
        </w:rPr>
        <w:t xml:space="preserve"> had s</w:t>
      </w:r>
      <w:r w:rsidRPr="000452C6">
        <w:rPr>
          <w:rFonts w:ascii="Times New Roman" w:eastAsia="Times New Roman" w:hAnsi="Times New Roman" w:cs="Times New Roman"/>
          <w:sz w:val="20"/>
          <w:szCs w:val="20"/>
        </w:rPr>
        <w:t>urgery at the National Cancer Institute (NCI) in the period from 2009-2015.</w:t>
      </w:r>
    </w:p>
    <w:p w:rsidR="00445BF6" w:rsidRPr="000452C6" w:rsidRDefault="00445BF6" w:rsidP="00FE79B6">
      <w:pPr>
        <w:snapToGrid w:val="0"/>
        <w:spacing w:after="0" w:line="240" w:lineRule="auto"/>
        <w:ind w:firstLine="425"/>
        <w:jc w:val="both"/>
        <w:rPr>
          <w:rFonts w:ascii="Times New Roman" w:eastAsia="Times New Roman" w:hAnsi="Times New Roman" w:cs="Times New Roman"/>
          <w:sz w:val="20"/>
          <w:szCs w:val="20"/>
        </w:rPr>
      </w:pPr>
      <w:r w:rsidRPr="000452C6">
        <w:rPr>
          <w:rFonts w:ascii="Times New Roman" w:eastAsia="Times New Roman" w:hAnsi="Times New Roman" w:cs="Times New Roman"/>
          <w:sz w:val="20"/>
          <w:szCs w:val="20"/>
        </w:rPr>
        <w:t>On the basis of computed tomography (CT), it was decided whether the case is early-stage (</w:t>
      </w:r>
      <w:proofErr w:type="spellStart"/>
      <w:r w:rsidRPr="000452C6">
        <w:rPr>
          <w:rFonts w:ascii="Times New Roman" w:eastAsia="Times New Roman" w:hAnsi="Times New Roman" w:cs="Times New Roman"/>
          <w:sz w:val="20"/>
          <w:szCs w:val="20"/>
        </w:rPr>
        <w:t>resectable</w:t>
      </w:r>
      <w:proofErr w:type="spellEnd"/>
      <w:r w:rsidRPr="000452C6">
        <w:rPr>
          <w:rFonts w:ascii="Times New Roman" w:eastAsia="Times New Roman" w:hAnsi="Times New Roman" w:cs="Times New Roman"/>
          <w:sz w:val="20"/>
          <w:szCs w:val="20"/>
        </w:rPr>
        <w:t>) disease or locally advanced (T3-4</w:t>
      </w:r>
      <w:r w:rsidR="003D03EA" w:rsidRPr="000452C6">
        <w:rPr>
          <w:rFonts w:ascii="Times New Roman" w:eastAsia="Times New Roman" w:hAnsi="Times New Roman" w:cs="Times New Roman"/>
          <w:sz w:val="20"/>
          <w:szCs w:val="20"/>
        </w:rPr>
        <w:t xml:space="preserve">). The CT findings of the latter cases showed </w:t>
      </w:r>
      <w:r w:rsidRPr="000452C6">
        <w:rPr>
          <w:rFonts w:ascii="Times New Roman" w:eastAsia="Times New Roman" w:hAnsi="Times New Roman" w:cs="Times New Roman"/>
          <w:sz w:val="20"/>
          <w:szCs w:val="20"/>
        </w:rPr>
        <w:t>doubtful plane of tumor with the adjacent organ</w:t>
      </w:r>
      <w:r w:rsidR="003D03EA"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 xml:space="preserve">definite evidence of </w:t>
      </w:r>
      <w:r w:rsidRPr="000452C6">
        <w:rPr>
          <w:rFonts w:ascii="Times New Roman" w:eastAsia="Times New Roman" w:hAnsi="Times New Roman" w:cs="Times New Roman"/>
          <w:sz w:val="20"/>
          <w:szCs w:val="20"/>
        </w:rPr>
        <w:lastRenderedPageBreak/>
        <w:t xml:space="preserve">adjacent organ invasion, bulky </w:t>
      </w:r>
      <w:proofErr w:type="spellStart"/>
      <w:r w:rsidRPr="000452C6">
        <w:rPr>
          <w:rFonts w:ascii="Times New Roman" w:eastAsia="Times New Roman" w:hAnsi="Times New Roman" w:cs="Times New Roman"/>
          <w:sz w:val="20"/>
          <w:szCs w:val="20"/>
        </w:rPr>
        <w:t>mediastinal</w:t>
      </w:r>
      <w:proofErr w:type="spellEnd"/>
      <w:r w:rsidRPr="000452C6">
        <w:rPr>
          <w:rFonts w:ascii="Times New Roman" w:eastAsia="Times New Roman" w:hAnsi="Times New Roman" w:cs="Times New Roman"/>
          <w:sz w:val="20"/>
          <w:szCs w:val="20"/>
        </w:rPr>
        <w:t xml:space="preserve"> nodes</w:t>
      </w:r>
      <w:r w:rsidR="003D03EA" w:rsidRPr="000452C6">
        <w:rPr>
          <w:rFonts w:ascii="Times New Roman" w:eastAsia="Times New Roman" w:hAnsi="Times New Roman" w:cs="Times New Roman"/>
          <w:sz w:val="20"/>
          <w:szCs w:val="20"/>
        </w:rPr>
        <w:t>,</w:t>
      </w:r>
      <w:r w:rsidRPr="000452C6">
        <w:rPr>
          <w:rFonts w:ascii="Times New Roman" w:eastAsia="Times New Roman" w:hAnsi="Times New Roman" w:cs="Times New Roman"/>
          <w:sz w:val="20"/>
          <w:szCs w:val="20"/>
        </w:rPr>
        <w:t xml:space="preserve"> or excisable </w:t>
      </w:r>
      <w:proofErr w:type="spellStart"/>
      <w:r w:rsidRPr="000452C6">
        <w:rPr>
          <w:rFonts w:ascii="Times New Roman" w:eastAsia="Times New Roman" w:hAnsi="Times New Roman" w:cs="Times New Roman"/>
          <w:sz w:val="20"/>
          <w:szCs w:val="20"/>
        </w:rPr>
        <w:t>coeliac</w:t>
      </w:r>
      <w:proofErr w:type="spellEnd"/>
      <w:r w:rsidRPr="000452C6">
        <w:rPr>
          <w:rFonts w:ascii="Times New Roman" w:eastAsia="Times New Roman" w:hAnsi="Times New Roman" w:cs="Times New Roman"/>
          <w:sz w:val="20"/>
          <w:szCs w:val="20"/>
        </w:rPr>
        <w:t xml:space="preserve"> nodes</w:t>
      </w:r>
      <w:r w:rsidR="00322E05"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 xml:space="preserve">Locally advanced cases underwent various treatment modalities: chemotherapy (CTH), radiation therapy (RTH), or </w:t>
      </w:r>
      <w:proofErr w:type="spellStart"/>
      <w:r w:rsidR="00397408" w:rsidRPr="000452C6">
        <w:rPr>
          <w:rFonts w:ascii="Times New Roman" w:eastAsia="Times New Roman" w:hAnsi="Times New Roman" w:cs="Times New Roman"/>
          <w:sz w:val="20"/>
          <w:szCs w:val="20"/>
        </w:rPr>
        <w:t>neoadjuvant</w:t>
      </w:r>
      <w:proofErr w:type="spellEnd"/>
      <w:r w:rsidR="00397408" w:rsidRPr="000452C6">
        <w:rPr>
          <w:rFonts w:ascii="Times New Roman" w:eastAsia="Times New Roman" w:hAnsi="Times New Roman" w:cs="Times New Roman"/>
          <w:sz w:val="20"/>
          <w:szCs w:val="20"/>
        </w:rPr>
        <w:t xml:space="preserve"> </w:t>
      </w:r>
      <w:proofErr w:type="spellStart"/>
      <w:r w:rsidRPr="000452C6">
        <w:rPr>
          <w:rFonts w:ascii="Times New Roman" w:eastAsia="Times New Roman" w:hAnsi="Times New Roman" w:cs="Times New Roman"/>
          <w:sz w:val="20"/>
          <w:szCs w:val="20"/>
        </w:rPr>
        <w:t>chemoradiation</w:t>
      </w:r>
      <w:proofErr w:type="spellEnd"/>
      <w:r w:rsidRPr="000452C6">
        <w:rPr>
          <w:rFonts w:ascii="Times New Roman" w:eastAsia="Times New Roman" w:hAnsi="Times New Roman" w:cs="Times New Roman"/>
          <w:sz w:val="20"/>
          <w:szCs w:val="20"/>
        </w:rPr>
        <w:t xml:space="preserve"> </w:t>
      </w:r>
      <w:r w:rsidR="00322E05" w:rsidRPr="000452C6">
        <w:rPr>
          <w:rFonts w:ascii="Times New Roman" w:eastAsia="Times New Roman" w:hAnsi="Times New Roman" w:cs="Times New Roman"/>
          <w:sz w:val="20"/>
          <w:szCs w:val="20"/>
        </w:rPr>
        <w:t xml:space="preserve">before </w:t>
      </w:r>
      <w:r w:rsidRPr="000452C6">
        <w:rPr>
          <w:rFonts w:ascii="Times New Roman" w:eastAsia="Times New Roman" w:hAnsi="Times New Roman" w:cs="Times New Roman"/>
          <w:sz w:val="20"/>
          <w:szCs w:val="20"/>
        </w:rPr>
        <w:t xml:space="preserve">surgery. The decision was dependent on the treating oncologist. Three weeks after completion of </w:t>
      </w:r>
      <w:proofErr w:type="spellStart"/>
      <w:r w:rsidRPr="000452C6">
        <w:rPr>
          <w:rFonts w:ascii="Times New Roman" w:eastAsia="Times New Roman" w:hAnsi="Times New Roman" w:cs="Times New Roman"/>
          <w:sz w:val="20"/>
          <w:szCs w:val="20"/>
        </w:rPr>
        <w:t>neoadjuvant</w:t>
      </w:r>
      <w:proofErr w:type="spellEnd"/>
      <w:r w:rsidRPr="000452C6">
        <w:rPr>
          <w:rFonts w:ascii="Times New Roman" w:eastAsia="Times New Roman" w:hAnsi="Times New Roman" w:cs="Times New Roman"/>
          <w:sz w:val="20"/>
          <w:szCs w:val="20"/>
        </w:rPr>
        <w:t xml:space="preserve"> treatment, patients were reassessed with chest </w:t>
      </w:r>
      <w:r w:rsidR="00397408" w:rsidRPr="000452C6">
        <w:rPr>
          <w:rFonts w:ascii="Times New Roman" w:eastAsia="Times New Roman" w:hAnsi="Times New Roman" w:cs="Times New Roman"/>
          <w:sz w:val="20"/>
          <w:szCs w:val="20"/>
        </w:rPr>
        <w:t>CT</w:t>
      </w:r>
      <w:r w:rsidRPr="000452C6">
        <w:rPr>
          <w:rFonts w:ascii="Times New Roman" w:eastAsia="Times New Roman" w:hAnsi="Times New Roman" w:cs="Times New Roman"/>
          <w:sz w:val="20"/>
          <w:szCs w:val="20"/>
        </w:rPr>
        <w:t xml:space="preserve"> and if respons</w:t>
      </w:r>
      <w:r w:rsidR="000B34C0" w:rsidRPr="000452C6">
        <w:rPr>
          <w:rFonts w:ascii="Times New Roman" w:eastAsia="Times New Roman" w:hAnsi="Times New Roman" w:cs="Times New Roman"/>
          <w:sz w:val="20"/>
          <w:szCs w:val="20"/>
        </w:rPr>
        <w:t>ive</w:t>
      </w:r>
      <w:r w:rsidRPr="000452C6">
        <w:rPr>
          <w:rFonts w:ascii="Times New Roman" w:eastAsia="Times New Roman" w:hAnsi="Times New Roman" w:cs="Times New Roman"/>
          <w:sz w:val="20"/>
          <w:szCs w:val="20"/>
        </w:rPr>
        <w:t xml:space="preserve">, they were surgically operated </w:t>
      </w:r>
      <w:r w:rsidR="000B34C0" w:rsidRPr="000452C6">
        <w:rPr>
          <w:rFonts w:ascii="Times New Roman" w:eastAsia="Times New Roman" w:hAnsi="Times New Roman" w:cs="Times New Roman"/>
          <w:sz w:val="20"/>
          <w:szCs w:val="20"/>
        </w:rPr>
        <w:t>up</w:t>
      </w:r>
      <w:r w:rsidRPr="000452C6">
        <w:rPr>
          <w:rFonts w:ascii="Times New Roman" w:eastAsia="Times New Roman" w:hAnsi="Times New Roman" w:cs="Times New Roman"/>
          <w:sz w:val="20"/>
          <w:szCs w:val="20"/>
        </w:rPr>
        <w:t xml:space="preserve">on. </w:t>
      </w:r>
    </w:p>
    <w:p w:rsidR="00445BF6" w:rsidRPr="000452C6" w:rsidRDefault="007C1196" w:rsidP="00FE79B6">
      <w:pPr>
        <w:snapToGrid w:val="0"/>
        <w:spacing w:after="0" w:line="240" w:lineRule="auto"/>
        <w:ind w:firstLine="425"/>
        <w:jc w:val="both"/>
        <w:rPr>
          <w:rFonts w:ascii="Times New Roman" w:eastAsia="Times New Roman" w:hAnsi="Times New Roman" w:cs="Times New Roman"/>
          <w:b/>
          <w:bCs/>
          <w:sz w:val="20"/>
          <w:szCs w:val="20"/>
        </w:rPr>
      </w:pPr>
      <w:r w:rsidRPr="000452C6">
        <w:rPr>
          <w:rFonts w:ascii="Times New Roman" w:eastAsia="Times New Roman" w:hAnsi="Times New Roman" w:cs="Times New Roman"/>
          <w:sz w:val="20"/>
          <w:szCs w:val="20"/>
        </w:rPr>
        <w:t>P</w:t>
      </w:r>
      <w:r w:rsidR="00445BF6" w:rsidRPr="000452C6">
        <w:rPr>
          <w:rFonts w:ascii="Times New Roman" w:eastAsia="Times New Roman" w:hAnsi="Times New Roman" w:cs="Times New Roman"/>
          <w:sz w:val="20"/>
          <w:szCs w:val="20"/>
        </w:rPr>
        <w:t>atient</w:t>
      </w:r>
      <w:r w:rsidRPr="000452C6">
        <w:rPr>
          <w:rFonts w:ascii="Times New Roman" w:eastAsia="Times New Roman" w:hAnsi="Times New Roman" w:cs="Times New Roman"/>
          <w:sz w:val="20"/>
          <w:szCs w:val="20"/>
        </w:rPr>
        <w:t>s</w:t>
      </w:r>
      <w:r w:rsidR="00445BF6" w:rsidRPr="000452C6">
        <w:rPr>
          <w:rFonts w:ascii="Times New Roman" w:eastAsia="Times New Roman" w:hAnsi="Times New Roman" w:cs="Times New Roman"/>
          <w:sz w:val="20"/>
          <w:szCs w:val="20"/>
        </w:rPr>
        <w:t xml:space="preserve"> with obvious T4 lesion and no response to preoperative treatment</w:t>
      </w:r>
      <w:r w:rsidRPr="000452C6">
        <w:rPr>
          <w:rFonts w:ascii="Times New Roman" w:eastAsia="Times New Roman" w:hAnsi="Times New Roman" w:cs="Times New Roman"/>
          <w:sz w:val="20"/>
          <w:szCs w:val="20"/>
        </w:rPr>
        <w:t xml:space="preserve">, </w:t>
      </w:r>
      <w:r w:rsidR="00445BF6" w:rsidRPr="000452C6">
        <w:rPr>
          <w:rFonts w:ascii="Times New Roman" w:eastAsia="Times New Roman" w:hAnsi="Times New Roman" w:cs="Times New Roman"/>
          <w:sz w:val="20"/>
          <w:szCs w:val="20"/>
        </w:rPr>
        <w:t>patient</w:t>
      </w:r>
      <w:r w:rsidRPr="000452C6">
        <w:rPr>
          <w:rFonts w:ascii="Times New Roman" w:eastAsia="Times New Roman" w:hAnsi="Times New Roman" w:cs="Times New Roman"/>
          <w:sz w:val="20"/>
          <w:szCs w:val="20"/>
        </w:rPr>
        <w:t>s</w:t>
      </w:r>
      <w:r w:rsidR="00445BF6" w:rsidRPr="000452C6">
        <w:rPr>
          <w:rFonts w:ascii="Times New Roman" w:eastAsia="Times New Roman" w:hAnsi="Times New Roman" w:cs="Times New Roman"/>
          <w:sz w:val="20"/>
          <w:szCs w:val="20"/>
        </w:rPr>
        <w:t xml:space="preserve"> with </w:t>
      </w:r>
      <w:proofErr w:type="spellStart"/>
      <w:r w:rsidR="00445BF6" w:rsidRPr="000452C6">
        <w:rPr>
          <w:rFonts w:ascii="Times New Roman" w:eastAsia="Times New Roman" w:hAnsi="Times New Roman" w:cs="Times New Roman"/>
          <w:sz w:val="20"/>
          <w:szCs w:val="20"/>
        </w:rPr>
        <w:t>tracheo</w:t>
      </w:r>
      <w:proofErr w:type="spellEnd"/>
      <w:r w:rsidR="00445BF6" w:rsidRPr="000452C6">
        <w:rPr>
          <w:rFonts w:ascii="Times New Roman" w:eastAsia="Times New Roman" w:hAnsi="Times New Roman" w:cs="Times New Roman"/>
          <w:sz w:val="20"/>
          <w:szCs w:val="20"/>
        </w:rPr>
        <w:t>-esophageal fistula</w:t>
      </w:r>
      <w:r w:rsidR="00321282" w:rsidRPr="000452C6">
        <w:rPr>
          <w:rFonts w:ascii="Times New Roman" w:eastAsia="Times New Roman" w:hAnsi="Times New Roman" w:cs="Times New Roman"/>
          <w:sz w:val="20"/>
          <w:szCs w:val="20"/>
        </w:rPr>
        <w:t>, and</w:t>
      </w:r>
      <w:r w:rsidRPr="000452C6">
        <w:rPr>
          <w:rFonts w:ascii="Times New Roman" w:eastAsia="Times New Roman" w:hAnsi="Times New Roman" w:cs="Times New Roman"/>
          <w:sz w:val="20"/>
          <w:szCs w:val="20"/>
        </w:rPr>
        <w:t xml:space="preserve"> those with</w:t>
      </w:r>
      <w:r w:rsidR="00445BF6" w:rsidRPr="000452C6">
        <w:rPr>
          <w:rFonts w:ascii="Times New Roman" w:eastAsia="Times New Roman" w:hAnsi="Times New Roman" w:cs="Times New Roman"/>
          <w:sz w:val="20"/>
          <w:szCs w:val="20"/>
        </w:rPr>
        <w:t xml:space="preserve"> stage </w:t>
      </w:r>
      <w:proofErr w:type="spellStart"/>
      <w:r w:rsidR="00445BF6" w:rsidRPr="000452C6">
        <w:rPr>
          <w:rFonts w:ascii="Times New Roman" w:eastAsia="Times New Roman" w:hAnsi="Times New Roman" w:cs="Times New Roman"/>
          <w:sz w:val="20"/>
          <w:szCs w:val="20"/>
        </w:rPr>
        <w:t>IVb</w:t>
      </w:r>
      <w:proofErr w:type="spellEnd"/>
      <w:r w:rsidR="00445BF6" w:rsidRPr="000452C6">
        <w:rPr>
          <w:rFonts w:ascii="Times New Roman" w:eastAsia="Times New Roman" w:hAnsi="Times New Roman" w:cs="Times New Roman"/>
          <w:sz w:val="20"/>
          <w:szCs w:val="20"/>
        </w:rPr>
        <w:t xml:space="preserve"> disease were excluded. Surgical approach also varied, but a 5-cm tumor-free margin was </w:t>
      </w:r>
      <w:r w:rsidR="00FF2C32" w:rsidRPr="000452C6">
        <w:rPr>
          <w:rFonts w:ascii="Times New Roman" w:eastAsia="Times New Roman" w:hAnsi="Times New Roman" w:cs="Times New Roman"/>
          <w:sz w:val="20"/>
          <w:szCs w:val="20"/>
        </w:rPr>
        <w:t xml:space="preserve">always </w:t>
      </w:r>
      <w:r w:rsidR="00445BF6" w:rsidRPr="000452C6">
        <w:rPr>
          <w:rFonts w:ascii="Times New Roman" w:eastAsia="Times New Roman" w:hAnsi="Times New Roman" w:cs="Times New Roman"/>
          <w:sz w:val="20"/>
          <w:szCs w:val="20"/>
        </w:rPr>
        <w:t xml:space="preserve">attempted to achieve. Both the </w:t>
      </w:r>
      <w:proofErr w:type="spellStart"/>
      <w:r w:rsidR="00445BF6" w:rsidRPr="000452C6">
        <w:rPr>
          <w:rFonts w:ascii="Times New Roman" w:eastAsia="Times New Roman" w:hAnsi="Times New Roman" w:cs="Times New Roman"/>
          <w:sz w:val="20"/>
          <w:szCs w:val="20"/>
        </w:rPr>
        <w:t>transhiatal</w:t>
      </w:r>
      <w:proofErr w:type="spellEnd"/>
      <w:r w:rsidR="00445BF6" w:rsidRPr="000452C6">
        <w:rPr>
          <w:rFonts w:ascii="Times New Roman" w:eastAsia="Times New Roman" w:hAnsi="Times New Roman" w:cs="Times New Roman"/>
          <w:sz w:val="20"/>
          <w:szCs w:val="20"/>
        </w:rPr>
        <w:t xml:space="preserve"> (THE) and </w:t>
      </w:r>
      <w:proofErr w:type="spellStart"/>
      <w:r w:rsidR="00445BF6" w:rsidRPr="000452C6">
        <w:rPr>
          <w:rFonts w:ascii="Times New Roman" w:eastAsia="Times New Roman" w:hAnsi="Times New Roman" w:cs="Times New Roman"/>
          <w:sz w:val="20"/>
          <w:szCs w:val="20"/>
        </w:rPr>
        <w:t>transthoracic</w:t>
      </w:r>
      <w:proofErr w:type="spellEnd"/>
      <w:r w:rsidR="00445BF6" w:rsidRPr="000452C6">
        <w:rPr>
          <w:rFonts w:ascii="Times New Roman" w:eastAsia="Times New Roman" w:hAnsi="Times New Roman" w:cs="Times New Roman"/>
          <w:sz w:val="20"/>
          <w:szCs w:val="20"/>
        </w:rPr>
        <w:t xml:space="preserve"> (TTE) approaches were used. In the last 2 years, we always performed two-incision right TTE (</w:t>
      </w:r>
      <w:proofErr w:type="spellStart"/>
      <w:r w:rsidR="00445BF6" w:rsidRPr="000452C6">
        <w:rPr>
          <w:rFonts w:ascii="Times New Roman" w:eastAsia="Times New Roman" w:hAnsi="Times New Roman" w:cs="Times New Roman"/>
          <w:sz w:val="20"/>
          <w:szCs w:val="20"/>
        </w:rPr>
        <w:t>Ivor</w:t>
      </w:r>
      <w:proofErr w:type="spellEnd"/>
      <w:r w:rsidR="00445BF6" w:rsidRPr="000452C6">
        <w:rPr>
          <w:rFonts w:ascii="Times New Roman" w:eastAsia="Times New Roman" w:hAnsi="Times New Roman" w:cs="Times New Roman"/>
          <w:sz w:val="20"/>
          <w:szCs w:val="20"/>
        </w:rPr>
        <w:t xml:space="preserve">-Lewis) or three-incision right TTE (McKeon) </w:t>
      </w:r>
      <w:proofErr w:type="spellStart"/>
      <w:r w:rsidR="00445BF6" w:rsidRPr="000452C6">
        <w:rPr>
          <w:rFonts w:ascii="Times New Roman" w:eastAsia="Times New Roman" w:hAnsi="Times New Roman" w:cs="Times New Roman"/>
          <w:sz w:val="20"/>
          <w:szCs w:val="20"/>
        </w:rPr>
        <w:t>esophagectomy</w:t>
      </w:r>
      <w:proofErr w:type="spellEnd"/>
      <w:r w:rsidR="00445BF6" w:rsidRPr="000452C6">
        <w:rPr>
          <w:rFonts w:ascii="Times New Roman" w:eastAsia="Times New Roman" w:hAnsi="Times New Roman" w:cs="Times New Roman"/>
          <w:sz w:val="20"/>
          <w:szCs w:val="20"/>
        </w:rPr>
        <w:t xml:space="preserve">. Nodal dissection varied from simple sampling to standard two-field (2-FD) or, in </w:t>
      </w:r>
      <w:r w:rsidR="00FF2C32" w:rsidRPr="000452C6">
        <w:rPr>
          <w:rFonts w:ascii="Times New Roman" w:eastAsia="Times New Roman" w:hAnsi="Times New Roman" w:cs="Times New Roman"/>
          <w:sz w:val="20"/>
          <w:szCs w:val="20"/>
        </w:rPr>
        <w:t xml:space="preserve">more </w:t>
      </w:r>
      <w:r w:rsidR="00445BF6" w:rsidRPr="000452C6">
        <w:rPr>
          <w:rFonts w:ascii="Times New Roman" w:eastAsia="Times New Roman" w:hAnsi="Times New Roman" w:cs="Times New Roman"/>
          <w:sz w:val="20"/>
          <w:szCs w:val="20"/>
        </w:rPr>
        <w:t xml:space="preserve">recent years, three-field (3-FD) </w:t>
      </w:r>
      <w:proofErr w:type="spellStart"/>
      <w:r w:rsidR="00445BF6" w:rsidRPr="000452C6">
        <w:rPr>
          <w:rFonts w:ascii="Times New Roman" w:eastAsia="Times New Roman" w:hAnsi="Times New Roman" w:cs="Times New Roman"/>
          <w:sz w:val="20"/>
          <w:szCs w:val="20"/>
        </w:rPr>
        <w:t>lymphadenectomy</w:t>
      </w:r>
      <w:proofErr w:type="spellEnd"/>
      <w:r w:rsidR="00445BF6" w:rsidRPr="000452C6">
        <w:rPr>
          <w:rFonts w:ascii="Times New Roman" w:eastAsia="Times New Roman" w:hAnsi="Times New Roman" w:cs="Times New Roman"/>
          <w:sz w:val="20"/>
          <w:szCs w:val="20"/>
        </w:rPr>
        <w:t xml:space="preserve">. </w:t>
      </w:r>
      <w:r w:rsidR="006E4B93" w:rsidRPr="000452C6">
        <w:rPr>
          <w:rFonts w:ascii="Times New Roman" w:eastAsia="Times New Roman" w:hAnsi="Times New Roman" w:cs="Times New Roman"/>
          <w:sz w:val="20"/>
          <w:szCs w:val="20"/>
        </w:rPr>
        <w:t xml:space="preserve">Patients with microscopic residual tumor (R1), or macroscopic residual (R2) </w:t>
      </w:r>
      <w:r w:rsidR="00445BF6" w:rsidRPr="000452C6">
        <w:rPr>
          <w:rFonts w:ascii="Times New Roman" w:eastAsia="Times New Roman" w:hAnsi="Times New Roman" w:cs="Times New Roman"/>
          <w:sz w:val="20"/>
          <w:szCs w:val="20"/>
        </w:rPr>
        <w:t xml:space="preserve">received postoperative </w:t>
      </w:r>
      <w:proofErr w:type="spellStart"/>
      <w:r w:rsidR="00445BF6" w:rsidRPr="000452C6">
        <w:rPr>
          <w:rFonts w:ascii="Times New Roman" w:eastAsia="Times New Roman" w:hAnsi="Times New Roman" w:cs="Times New Roman"/>
          <w:sz w:val="20"/>
          <w:szCs w:val="20"/>
        </w:rPr>
        <w:t>chemoradiation</w:t>
      </w:r>
      <w:proofErr w:type="spellEnd"/>
      <w:r w:rsidR="00445BF6" w:rsidRPr="000452C6">
        <w:rPr>
          <w:rFonts w:ascii="Times New Roman" w:eastAsia="Times New Roman" w:hAnsi="Times New Roman" w:cs="Times New Roman"/>
          <w:sz w:val="20"/>
          <w:szCs w:val="20"/>
        </w:rPr>
        <w:t xml:space="preserve">. Some patients after curative R0 resection also received chemotherapy. </w:t>
      </w:r>
      <w:r w:rsidR="00256131" w:rsidRPr="000452C6">
        <w:rPr>
          <w:rFonts w:ascii="Times New Roman" w:eastAsia="Times New Roman" w:hAnsi="Times New Roman" w:cs="Times New Roman"/>
          <w:sz w:val="20"/>
          <w:szCs w:val="20"/>
        </w:rPr>
        <w:t>The median follow up period was 12 months (range: 5-84 months)</w:t>
      </w:r>
      <w:r w:rsidR="00445BF6" w:rsidRPr="000452C6">
        <w:rPr>
          <w:rFonts w:ascii="Times New Roman" w:eastAsia="Times New Roman" w:hAnsi="Times New Roman" w:cs="Times New Roman"/>
          <w:sz w:val="20"/>
          <w:szCs w:val="20"/>
        </w:rPr>
        <w:t>.</w:t>
      </w:r>
    </w:p>
    <w:p w:rsidR="00445BF6" w:rsidRPr="000452C6" w:rsidRDefault="00445BF6" w:rsidP="00FE79B6">
      <w:pPr>
        <w:snapToGrid w:val="0"/>
        <w:spacing w:after="0" w:line="240" w:lineRule="auto"/>
        <w:ind w:firstLine="425"/>
        <w:jc w:val="both"/>
        <w:rPr>
          <w:rFonts w:ascii="Times New Roman" w:eastAsia="Times New Roman" w:hAnsi="Times New Roman" w:cs="Times New Roman"/>
          <w:sz w:val="20"/>
          <w:szCs w:val="20"/>
        </w:rPr>
      </w:pPr>
      <w:r w:rsidRPr="000452C6">
        <w:rPr>
          <w:rFonts w:ascii="Times New Roman" w:eastAsia="Times New Roman" w:hAnsi="Times New Roman" w:cs="Times New Roman"/>
          <w:sz w:val="20"/>
          <w:szCs w:val="20"/>
        </w:rPr>
        <w:t xml:space="preserve">Data of the patients </w:t>
      </w:r>
      <w:r w:rsidR="00A70AD3" w:rsidRPr="000452C6">
        <w:rPr>
          <w:rFonts w:ascii="Times New Roman" w:eastAsia="Times New Roman" w:hAnsi="Times New Roman" w:cs="Times New Roman"/>
          <w:sz w:val="20"/>
          <w:szCs w:val="20"/>
        </w:rPr>
        <w:t>were</w:t>
      </w:r>
      <w:r w:rsidR="00321282"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collected</w:t>
      </w:r>
      <w:r w:rsidR="00321282"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from their medical</w:t>
      </w:r>
      <w:r w:rsidR="00321282"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records</w:t>
      </w:r>
      <w:r w:rsidR="00321282"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at</w:t>
      </w:r>
      <w:r w:rsidR="00321282"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the Epidemiology</w:t>
      </w:r>
      <w:r w:rsidR="00321282"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and</w:t>
      </w:r>
      <w:r w:rsidR="00321282"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Biostatistics</w:t>
      </w:r>
      <w:r w:rsidR="00321282"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and</w:t>
      </w:r>
      <w:r w:rsidR="00321282"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t xml:space="preserve">Pathology Departments. These data included </w:t>
      </w:r>
      <w:proofErr w:type="spellStart"/>
      <w:r w:rsidRPr="000452C6">
        <w:rPr>
          <w:rFonts w:ascii="Times New Roman" w:eastAsia="Times New Roman" w:hAnsi="Times New Roman" w:cs="Times New Roman"/>
          <w:sz w:val="20"/>
          <w:szCs w:val="20"/>
        </w:rPr>
        <w:t>patients’demographics</w:t>
      </w:r>
      <w:proofErr w:type="spellEnd"/>
      <w:r w:rsidRPr="000452C6">
        <w:rPr>
          <w:rFonts w:ascii="Times New Roman" w:eastAsia="Times New Roman" w:hAnsi="Times New Roman" w:cs="Times New Roman"/>
          <w:sz w:val="20"/>
          <w:szCs w:val="20"/>
        </w:rPr>
        <w:t>, presenting complaint, preoperative diagnosi</w:t>
      </w:r>
      <w:r w:rsidR="000452C6" w:rsidRPr="000452C6">
        <w:rPr>
          <w:rFonts w:ascii="Times New Roman" w:eastAsia="Times New Roman" w:hAnsi="Times New Roman" w:cs="Times New Roman"/>
          <w:sz w:val="20"/>
          <w:szCs w:val="20"/>
        </w:rPr>
        <w:t>s (</w:t>
      </w:r>
      <w:r w:rsidRPr="000452C6">
        <w:rPr>
          <w:rFonts w:ascii="Times New Roman" w:eastAsia="Times New Roman" w:hAnsi="Times New Roman" w:cs="Times New Roman"/>
          <w:sz w:val="20"/>
          <w:szCs w:val="20"/>
        </w:rPr>
        <w:t xml:space="preserve">endoscopy </w:t>
      </w:r>
      <w:proofErr w:type="spellStart"/>
      <w:r w:rsidRPr="000452C6">
        <w:rPr>
          <w:rFonts w:ascii="Times New Roman" w:eastAsia="Times New Roman" w:hAnsi="Times New Roman" w:cs="Times New Roman"/>
          <w:sz w:val="20"/>
          <w:szCs w:val="20"/>
        </w:rPr>
        <w:t>andpathology</w:t>
      </w:r>
      <w:proofErr w:type="spellEnd"/>
      <w:r w:rsidRPr="000452C6">
        <w:rPr>
          <w:rFonts w:ascii="Times New Roman" w:eastAsia="Times New Roman" w:hAnsi="Times New Roman" w:cs="Times New Roman"/>
          <w:sz w:val="20"/>
          <w:szCs w:val="20"/>
        </w:rPr>
        <w:t xml:space="preserve"> reports), and preoperative staging with </w:t>
      </w:r>
      <w:proofErr w:type="spellStart"/>
      <w:r w:rsidRPr="000452C6">
        <w:rPr>
          <w:rFonts w:ascii="Times New Roman" w:eastAsia="Times New Roman" w:hAnsi="Times New Roman" w:cs="Times New Roman"/>
          <w:sz w:val="20"/>
          <w:szCs w:val="20"/>
        </w:rPr>
        <w:t>CTscan</w:t>
      </w:r>
      <w:proofErr w:type="spellEnd"/>
      <w:r w:rsidR="00DE0878" w:rsidRPr="000452C6">
        <w:rPr>
          <w:rFonts w:ascii="Times New Roman" w:eastAsia="Times New Roman" w:hAnsi="Times New Roman" w:cs="Times New Roman"/>
          <w:sz w:val="20"/>
          <w:szCs w:val="20"/>
        </w:rPr>
        <w:t>.</w:t>
      </w:r>
      <w:r w:rsidR="00DE0878">
        <w:rPr>
          <w:rFonts w:ascii="Times New Roman" w:eastAsia="Times New Roman" w:hAnsi="Times New Roman" w:cs="Times New Roman"/>
          <w:sz w:val="20"/>
          <w:szCs w:val="20"/>
        </w:rPr>
        <w:t xml:space="preserve"> </w:t>
      </w:r>
      <w:r w:rsidR="00DE0878" w:rsidRPr="000452C6">
        <w:rPr>
          <w:rFonts w:ascii="Times New Roman" w:eastAsia="Times New Roman" w:hAnsi="Times New Roman" w:cs="Times New Roman"/>
          <w:sz w:val="20"/>
          <w:szCs w:val="20"/>
        </w:rPr>
        <w:t>T</w:t>
      </w:r>
      <w:r w:rsidRPr="000452C6">
        <w:rPr>
          <w:rFonts w:ascii="Times New Roman" w:eastAsia="Times New Roman" w:hAnsi="Times New Roman" w:cs="Times New Roman"/>
          <w:sz w:val="20"/>
          <w:szCs w:val="20"/>
        </w:rPr>
        <w:t xml:space="preserve">reatment details were collected including </w:t>
      </w:r>
      <w:proofErr w:type="spellStart"/>
      <w:r w:rsidRPr="000452C6">
        <w:rPr>
          <w:rFonts w:ascii="Times New Roman" w:eastAsia="Times New Roman" w:hAnsi="Times New Roman" w:cs="Times New Roman"/>
          <w:sz w:val="20"/>
          <w:szCs w:val="20"/>
        </w:rPr>
        <w:t>neoadjuvanttherapy</w:t>
      </w:r>
      <w:proofErr w:type="spellEnd"/>
      <w:r w:rsidRPr="000452C6">
        <w:rPr>
          <w:rFonts w:ascii="Times New Roman" w:eastAsia="Times New Roman" w:hAnsi="Times New Roman" w:cs="Times New Roman"/>
          <w:sz w:val="20"/>
          <w:szCs w:val="20"/>
        </w:rPr>
        <w:t xml:space="preserve">, operative details, and </w:t>
      </w:r>
      <w:proofErr w:type="spellStart"/>
      <w:r w:rsidRPr="000452C6">
        <w:rPr>
          <w:rFonts w:ascii="Times New Roman" w:eastAsia="Times New Roman" w:hAnsi="Times New Roman" w:cs="Times New Roman"/>
          <w:sz w:val="20"/>
          <w:szCs w:val="20"/>
        </w:rPr>
        <w:t>adjuvanttreatment</w:t>
      </w:r>
      <w:proofErr w:type="spellEnd"/>
      <w:r w:rsidRPr="000452C6">
        <w:rPr>
          <w:rFonts w:ascii="Times New Roman" w:eastAsia="Times New Roman" w:hAnsi="Times New Roman" w:cs="Times New Roman"/>
          <w:sz w:val="20"/>
          <w:szCs w:val="20"/>
        </w:rPr>
        <w:t xml:space="preserve">. Postoperative management details were recorded including </w:t>
      </w:r>
      <w:proofErr w:type="spellStart"/>
      <w:r w:rsidRPr="000452C6">
        <w:rPr>
          <w:rFonts w:ascii="Times New Roman" w:eastAsia="Times New Roman" w:hAnsi="Times New Roman" w:cs="Times New Roman"/>
          <w:sz w:val="20"/>
          <w:szCs w:val="20"/>
        </w:rPr>
        <w:t>ICUand</w:t>
      </w:r>
      <w:proofErr w:type="spellEnd"/>
      <w:r w:rsidRPr="000452C6">
        <w:rPr>
          <w:rFonts w:ascii="Times New Roman" w:eastAsia="Times New Roman" w:hAnsi="Times New Roman" w:cs="Times New Roman"/>
          <w:sz w:val="20"/>
          <w:szCs w:val="20"/>
        </w:rPr>
        <w:t xml:space="preserve"> </w:t>
      </w:r>
      <w:proofErr w:type="spellStart"/>
      <w:r w:rsidRPr="000452C6">
        <w:rPr>
          <w:rFonts w:ascii="Times New Roman" w:eastAsia="Times New Roman" w:hAnsi="Times New Roman" w:cs="Times New Roman"/>
          <w:sz w:val="20"/>
          <w:szCs w:val="20"/>
        </w:rPr>
        <w:t>hospitalstay</w:t>
      </w:r>
      <w:proofErr w:type="spellEnd"/>
      <w:r w:rsidRPr="000452C6">
        <w:rPr>
          <w:rFonts w:ascii="Times New Roman" w:eastAsia="Times New Roman" w:hAnsi="Times New Roman" w:cs="Times New Roman"/>
          <w:sz w:val="20"/>
          <w:szCs w:val="20"/>
        </w:rPr>
        <w:t xml:space="preserve">, complications, and in-hospital mortality. </w:t>
      </w:r>
      <w:proofErr w:type="spellStart"/>
      <w:r w:rsidRPr="000452C6">
        <w:rPr>
          <w:rFonts w:ascii="Times New Roman" w:eastAsia="Times New Roman" w:hAnsi="Times New Roman" w:cs="Times New Roman"/>
          <w:sz w:val="20"/>
          <w:szCs w:val="20"/>
        </w:rPr>
        <w:t>Pathologicalreports</w:t>
      </w:r>
      <w:proofErr w:type="spellEnd"/>
      <w:r w:rsidRPr="000452C6">
        <w:rPr>
          <w:rFonts w:ascii="Times New Roman" w:eastAsia="Times New Roman" w:hAnsi="Times New Roman" w:cs="Times New Roman"/>
          <w:sz w:val="20"/>
          <w:szCs w:val="20"/>
        </w:rPr>
        <w:t xml:space="preserve"> were recorded with determination of pathological subtype, grade, site, </w:t>
      </w:r>
      <w:proofErr w:type="spellStart"/>
      <w:r w:rsidRPr="000452C6">
        <w:rPr>
          <w:rFonts w:ascii="Times New Roman" w:eastAsia="Times New Roman" w:hAnsi="Times New Roman" w:cs="Times New Roman"/>
          <w:sz w:val="20"/>
          <w:szCs w:val="20"/>
        </w:rPr>
        <w:t>resectionmargin</w:t>
      </w:r>
      <w:proofErr w:type="spellEnd"/>
      <w:r w:rsidRPr="000452C6">
        <w:rPr>
          <w:rFonts w:ascii="Times New Roman" w:eastAsia="Times New Roman" w:hAnsi="Times New Roman" w:cs="Times New Roman"/>
          <w:sz w:val="20"/>
          <w:szCs w:val="20"/>
        </w:rPr>
        <w:t xml:space="preserve">, </w:t>
      </w:r>
      <w:proofErr w:type="spellStart"/>
      <w:r w:rsidRPr="000452C6">
        <w:rPr>
          <w:rFonts w:ascii="Times New Roman" w:eastAsia="Times New Roman" w:hAnsi="Times New Roman" w:cs="Times New Roman"/>
          <w:sz w:val="20"/>
          <w:szCs w:val="20"/>
        </w:rPr>
        <w:t>extentof</w:t>
      </w:r>
      <w:proofErr w:type="spellEnd"/>
      <w:r w:rsidRPr="000452C6">
        <w:rPr>
          <w:rFonts w:ascii="Times New Roman" w:eastAsia="Times New Roman" w:hAnsi="Times New Roman" w:cs="Times New Roman"/>
          <w:sz w:val="20"/>
          <w:szCs w:val="20"/>
        </w:rPr>
        <w:t xml:space="preserve"> </w:t>
      </w:r>
      <w:proofErr w:type="spellStart"/>
      <w:r w:rsidRPr="000452C6">
        <w:rPr>
          <w:rFonts w:ascii="Times New Roman" w:eastAsia="Times New Roman" w:hAnsi="Times New Roman" w:cs="Times New Roman"/>
          <w:sz w:val="20"/>
          <w:szCs w:val="20"/>
        </w:rPr>
        <w:t>lymphadenectomy</w:t>
      </w:r>
      <w:proofErr w:type="spellEnd"/>
      <w:r w:rsidRPr="000452C6">
        <w:rPr>
          <w:rFonts w:ascii="Times New Roman" w:eastAsia="Times New Roman" w:hAnsi="Times New Roman" w:cs="Times New Roman"/>
          <w:sz w:val="20"/>
          <w:szCs w:val="20"/>
        </w:rPr>
        <w:t xml:space="preserve">, and </w:t>
      </w:r>
      <w:proofErr w:type="spellStart"/>
      <w:r w:rsidRPr="000452C6">
        <w:rPr>
          <w:rFonts w:ascii="Times New Roman" w:eastAsia="Times New Roman" w:hAnsi="Times New Roman" w:cs="Times New Roman"/>
          <w:sz w:val="20"/>
          <w:szCs w:val="20"/>
        </w:rPr>
        <w:t>TNMandoverallstage</w:t>
      </w:r>
      <w:proofErr w:type="spellEnd"/>
      <w:r w:rsidRPr="000452C6">
        <w:rPr>
          <w:rFonts w:ascii="Times New Roman" w:eastAsia="Times New Roman" w:hAnsi="Times New Roman" w:cs="Times New Roman"/>
          <w:sz w:val="20"/>
          <w:szCs w:val="20"/>
        </w:rPr>
        <w:t>.</w:t>
      </w:r>
      <w:r w:rsidR="00A70AD3" w:rsidRPr="000452C6">
        <w:rPr>
          <w:rFonts w:ascii="Times New Roman" w:eastAsia="Times New Roman" w:hAnsi="Times New Roman" w:cs="Times New Roman"/>
          <w:sz w:val="20"/>
          <w:szCs w:val="20"/>
        </w:rPr>
        <w:t xml:space="preserve"> Overall survival was calculated from the date of diagnosis to date of death or last follow up visit.</w:t>
      </w:r>
    </w:p>
    <w:p w:rsidR="00445BF6" w:rsidRPr="000452C6" w:rsidRDefault="00321282" w:rsidP="00FE79B6">
      <w:pPr>
        <w:snapToGrid w:val="0"/>
        <w:spacing w:after="0" w:line="240" w:lineRule="auto"/>
        <w:jc w:val="both"/>
        <w:rPr>
          <w:rFonts w:ascii="Times New Roman" w:eastAsia="Times New Roman" w:hAnsi="Times New Roman" w:cs="Times New Roman"/>
          <w:b/>
          <w:bCs/>
          <w:sz w:val="20"/>
          <w:szCs w:val="20"/>
        </w:rPr>
      </w:pPr>
      <w:r w:rsidRPr="000452C6">
        <w:rPr>
          <w:rFonts w:ascii="Times New Roman" w:eastAsia="Times New Roman" w:hAnsi="Times New Roman" w:cs="Times New Roman"/>
          <w:b/>
          <w:bCs/>
          <w:sz w:val="20"/>
          <w:szCs w:val="20"/>
        </w:rPr>
        <w:t>Statistical Analysis</w:t>
      </w:r>
    </w:p>
    <w:p w:rsidR="00E279B9" w:rsidRPr="000452C6" w:rsidRDefault="00E279B9" w:rsidP="00FE79B6">
      <w:pPr>
        <w:pStyle w:val="NormalWeb"/>
        <w:snapToGrid w:val="0"/>
        <w:spacing w:before="0" w:beforeAutospacing="0" w:after="0" w:afterAutospacing="0"/>
        <w:ind w:firstLine="425"/>
        <w:jc w:val="both"/>
        <w:rPr>
          <w:sz w:val="20"/>
          <w:szCs w:val="20"/>
        </w:rPr>
      </w:pPr>
      <w:r w:rsidRPr="000452C6">
        <w:rPr>
          <w:sz w:val="20"/>
          <w:szCs w:val="20"/>
        </w:rPr>
        <w:t>Statistical analysis was done using IBM© SPSS© Statistics version 23 (IBM© Corp., Armonk, NY, USA). Chi-square test (Fisher’s exact test) was used to examine the relation between qualitative variables. For quantitative data, comparison between two groups was done using independent sample t-test or Mann-Whitney test. Comparison between 3 groups was done using ANOVA test, then post-Hoc "</w:t>
      </w:r>
      <w:proofErr w:type="spellStart"/>
      <w:r w:rsidRPr="000452C6">
        <w:rPr>
          <w:sz w:val="20"/>
          <w:szCs w:val="20"/>
        </w:rPr>
        <w:t>Schefe</w:t>
      </w:r>
      <w:proofErr w:type="spellEnd"/>
      <w:r w:rsidRPr="000452C6">
        <w:rPr>
          <w:sz w:val="20"/>
          <w:szCs w:val="20"/>
        </w:rPr>
        <w:t xml:space="preserve"> test" was used for pair-wise comparison. Comparison between 3 groups was done using </w:t>
      </w:r>
      <w:proofErr w:type="spellStart"/>
      <w:r w:rsidRPr="000452C6">
        <w:rPr>
          <w:sz w:val="20"/>
          <w:szCs w:val="20"/>
        </w:rPr>
        <w:t>Kruskal</w:t>
      </w:r>
      <w:proofErr w:type="spellEnd"/>
      <w:r w:rsidRPr="000452C6">
        <w:rPr>
          <w:sz w:val="20"/>
          <w:szCs w:val="20"/>
        </w:rPr>
        <w:t xml:space="preserve">-Wallis test (non-parametric ANOVA). Survival analysis was done using Kaplan-Meier method and comparison between two survival curves was done using log-rank test. </w:t>
      </w:r>
      <w:r w:rsidRPr="000452C6">
        <w:rPr>
          <w:sz w:val="20"/>
          <w:szCs w:val="20"/>
        </w:rPr>
        <w:lastRenderedPageBreak/>
        <w:t xml:space="preserve">Multivariate analysis was done using Cox-regression method for the significant factors affecting survival on </w:t>
      </w:r>
      <w:proofErr w:type="spellStart"/>
      <w:r w:rsidRPr="000452C6">
        <w:rPr>
          <w:sz w:val="20"/>
          <w:szCs w:val="20"/>
        </w:rPr>
        <w:t>univariate</w:t>
      </w:r>
      <w:proofErr w:type="spellEnd"/>
      <w:r w:rsidRPr="000452C6">
        <w:rPr>
          <w:sz w:val="20"/>
          <w:szCs w:val="20"/>
        </w:rPr>
        <w:t xml:space="preserve"> analysis. A p-value &lt; 0.05 was considered significant.</w:t>
      </w:r>
    </w:p>
    <w:p w:rsidR="00220050" w:rsidRPr="000452C6" w:rsidRDefault="00220050" w:rsidP="00FE79B6">
      <w:pPr>
        <w:snapToGrid w:val="0"/>
        <w:spacing w:after="0" w:line="240" w:lineRule="auto"/>
        <w:jc w:val="both"/>
        <w:rPr>
          <w:rFonts w:ascii="Times New Roman" w:hAnsi="Times New Roman" w:cs="Times New Roman"/>
          <w:b/>
          <w:bCs/>
          <w:sz w:val="20"/>
          <w:szCs w:val="20"/>
        </w:rPr>
      </w:pPr>
    </w:p>
    <w:p w:rsidR="00535BB8" w:rsidRPr="000452C6" w:rsidRDefault="00321282" w:rsidP="00FE79B6">
      <w:pPr>
        <w:snapToGrid w:val="0"/>
        <w:spacing w:after="0" w:line="240" w:lineRule="auto"/>
        <w:jc w:val="both"/>
        <w:rPr>
          <w:rFonts w:ascii="Times New Roman" w:hAnsi="Times New Roman" w:cs="Times New Roman"/>
          <w:b/>
          <w:bCs/>
          <w:sz w:val="20"/>
          <w:szCs w:val="20"/>
        </w:rPr>
      </w:pPr>
      <w:r w:rsidRPr="000452C6">
        <w:rPr>
          <w:rFonts w:ascii="Times New Roman" w:hAnsi="Times New Roman" w:cs="Times New Roman"/>
          <w:b/>
          <w:bCs/>
          <w:sz w:val="20"/>
          <w:szCs w:val="20"/>
        </w:rPr>
        <w:t xml:space="preserve">3. </w:t>
      </w:r>
      <w:r w:rsidR="00535BB8" w:rsidRPr="000452C6">
        <w:rPr>
          <w:rFonts w:ascii="Times New Roman" w:hAnsi="Times New Roman" w:cs="Times New Roman"/>
          <w:b/>
          <w:bCs/>
          <w:sz w:val="20"/>
          <w:szCs w:val="20"/>
        </w:rPr>
        <w:t>Results:</w:t>
      </w:r>
    </w:p>
    <w:p w:rsidR="008643E6" w:rsidRPr="000452C6" w:rsidRDefault="00A231FD"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During the study period, 275 patients with esophageal cancer were diagnosed and treated in the NCI fulfilling the inclusion criteria. </w:t>
      </w:r>
      <w:proofErr w:type="spellStart"/>
      <w:r w:rsidRPr="000452C6">
        <w:rPr>
          <w:rFonts w:ascii="Times New Roman" w:hAnsi="Times New Roman" w:cs="Times New Roman"/>
          <w:sz w:val="20"/>
          <w:szCs w:val="20"/>
        </w:rPr>
        <w:t>Squamous</w:t>
      </w:r>
      <w:proofErr w:type="spellEnd"/>
      <w:r w:rsidRPr="000452C6">
        <w:rPr>
          <w:rFonts w:ascii="Times New Roman" w:hAnsi="Times New Roman" w:cs="Times New Roman"/>
          <w:sz w:val="20"/>
          <w:szCs w:val="20"/>
        </w:rPr>
        <w:t xml:space="preserve"> cell carcinoma (SCC) accounted for 61% of cases while </w:t>
      </w:r>
      <w:proofErr w:type="spellStart"/>
      <w:r w:rsidRPr="000452C6">
        <w:rPr>
          <w:rFonts w:ascii="Times New Roman" w:hAnsi="Times New Roman" w:cs="Times New Roman"/>
          <w:sz w:val="20"/>
          <w:szCs w:val="20"/>
        </w:rPr>
        <w:t>adenocarcinoma</w:t>
      </w:r>
      <w:proofErr w:type="spellEnd"/>
      <w:r w:rsidRPr="000452C6">
        <w:rPr>
          <w:rFonts w:ascii="Times New Roman" w:hAnsi="Times New Roman" w:cs="Times New Roman"/>
          <w:sz w:val="20"/>
          <w:szCs w:val="20"/>
        </w:rPr>
        <w:t xml:space="preserve"> </w:t>
      </w:r>
      <w:r w:rsidR="0025789B" w:rsidRPr="000452C6">
        <w:rPr>
          <w:rFonts w:ascii="Times New Roman" w:hAnsi="Times New Roman" w:cs="Times New Roman"/>
          <w:sz w:val="20"/>
          <w:szCs w:val="20"/>
        </w:rPr>
        <w:t xml:space="preserve">(ADC) </w:t>
      </w:r>
      <w:r w:rsidRPr="000452C6">
        <w:rPr>
          <w:rFonts w:ascii="Times New Roman" w:hAnsi="Times New Roman" w:cs="Times New Roman"/>
          <w:sz w:val="20"/>
          <w:szCs w:val="20"/>
        </w:rPr>
        <w:t>was diagnosed in the remaining 39% (ratio</w:t>
      </w:r>
      <w:r w:rsidR="00AD4FA6" w:rsidRPr="000452C6">
        <w:rPr>
          <w:rFonts w:ascii="Times New Roman" w:hAnsi="Times New Roman" w:cs="Times New Roman"/>
          <w:sz w:val="20"/>
          <w:szCs w:val="20"/>
        </w:rPr>
        <w:t xml:space="preserve">: </w:t>
      </w:r>
      <w:r w:rsidRPr="000452C6">
        <w:rPr>
          <w:rFonts w:ascii="Times New Roman" w:hAnsi="Times New Roman" w:cs="Times New Roman"/>
          <w:sz w:val="20"/>
          <w:szCs w:val="20"/>
        </w:rPr>
        <w:t xml:space="preserve">1.57:1). </w:t>
      </w:r>
      <w:r w:rsidR="008643E6" w:rsidRPr="000452C6">
        <w:rPr>
          <w:rFonts w:ascii="Times New Roman" w:hAnsi="Times New Roman" w:cs="Times New Roman"/>
          <w:sz w:val="20"/>
          <w:szCs w:val="20"/>
        </w:rPr>
        <w:t>The majority of patients were above the age of 50 years</w:t>
      </w:r>
      <w:r w:rsidR="00452BE4" w:rsidRPr="000452C6">
        <w:rPr>
          <w:rFonts w:ascii="Times New Roman" w:hAnsi="Times New Roman" w:cs="Times New Roman"/>
          <w:sz w:val="20"/>
          <w:szCs w:val="20"/>
        </w:rPr>
        <w:t xml:space="preserve"> with </w:t>
      </w:r>
      <w:r w:rsidR="008643E6" w:rsidRPr="000452C6">
        <w:rPr>
          <w:rFonts w:ascii="Times New Roman" w:hAnsi="Times New Roman" w:cs="Times New Roman"/>
          <w:sz w:val="20"/>
          <w:szCs w:val="20"/>
        </w:rPr>
        <w:t xml:space="preserve">no significant difference between SCC and ADC (p = 0.503). Males were more commonly affected (61.1%) compared to females with a ratio of 1.5:1. </w:t>
      </w:r>
      <w:r w:rsidR="00F55084" w:rsidRPr="000452C6">
        <w:rPr>
          <w:rFonts w:ascii="Times New Roman" w:hAnsi="Times New Roman" w:cs="Times New Roman"/>
          <w:sz w:val="20"/>
          <w:szCs w:val="20"/>
        </w:rPr>
        <w:t>This</w:t>
      </w:r>
      <w:r w:rsidR="008643E6" w:rsidRPr="000452C6">
        <w:rPr>
          <w:rFonts w:ascii="Times New Roman" w:hAnsi="Times New Roman" w:cs="Times New Roman"/>
          <w:sz w:val="20"/>
          <w:szCs w:val="20"/>
        </w:rPr>
        <w:t xml:space="preserve"> sex disparity was much more obvious in ADC (2.5:1) than in SCC (1.3:1) (p=0.014). </w:t>
      </w:r>
      <w:r w:rsidR="005B42EA" w:rsidRPr="000452C6">
        <w:rPr>
          <w:rFonts w:ascii="Times New Roman" w:hAnsi="Times New Roman" w:cs="Times New Roman"/>
          <w:noProof/>
          <w:sz w:val="20"/>
          <w:szCs w:val="20"/>
          <w:lang w:eastAsia="zh-CN"/>
        </w:rPr>
        <w:drawing>
          <wp:anchor distT="0" distB="0" distL="114300" distR="114300" simplePos="0" relativeHeight="251655680" behindDoc="0" locked="0" layoutInCell="1" allowOverlap="1">
            <wp:simplePos x="0" y="0"/>
            <wp:positionH relativeFrom="column">
              <wp:posOffset>7703820</wp:posOffset>
            </wp:positionH>
            <wp:positionV relativeFrom="paragraph">
              <wp:posOffset>424180</wp:posOffset>
            </wp:positionV>
            <wp:extent cx="24765" cy="24765"/>
            <wp:effectExtent l="19050" t="0" r="0" b="0"/>
            <wp:wrapNone/>
            <wp:docPr id="5" name="In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3"/>
                    <pic:cNvPicPr>
                      <a:picLocks noChangeAspect="1" noChangeArrowheads="1"/>
                    </pic:cNvPicPr>
                  </pic:nvPicPr>
                  <pic:blipFill>
                    <a:blip r:embed="rId19"/>
                    <a:srcRect/>
                    <a:stretch>
                      <a:fillRect/>
                    </a:stretch>
                  </pic:blipFill>
                  <pic:spPr bwMode="auto">
                    <a:xfrm>
                      <a:off x="0" y="0"/>
                      <a:ext cx="24765" cy="24765"/>
                    </a:xfrm>
                    <a:prstGeom prst="rect">
                      <a:avLst/>
                    </a:prstGeom>
                    <a:noFill/>
                  </pic:spPr>
                </pic:pic>
              </a:graphicData>
            </a:graphic>
          </wp:anchor>
        </w:drawing>
      </w:r>
      <w:proofErr w:type="spellStart"/>
      <w:r w:rsidR="008643E6" w:rsidRPr="000452C6">
        <w:rPr>
          <w:rFonts w:ascii="Times New Roman" w:hAnsi="Times New Roman" w:cs="Times New Roman"/>
          <w:sz w:val="20"/>
          <w:szCs w:val="20"/>
        </w:rPr>
        <w:t>Adenocarcinoma</w:t>
      </w:r>
      <w:proofErr w:type="spellEnd"/>
      <w:r w:rsidR="008643E6" w:rsidRPr="000452C6">
        <w:rPr>
          <w:rFonts w:ascii="Times New Roman" w:hAnsi="Times New Roman" w:cs="Times New Roman"/>
          <w:sz w:val="20"/>
          <w:szCs w:val="20"/>
        </w:rPr>
        <w:t xml:space="preserve"> was significantly more common in rural areas (p = 0.015).</w:t>
      </w:r>
    </w:p>
    <w:p w:rsidR="00B312A8" w:rsidRPr="000452C6" w:rsidRDefault="00730F77"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The lower third of esophagus harbored almost half of the lesions</w:t>
      </w:r>
      <w:r w:rsidR="00B312A8" w:rsidRPr="000452C6">
        <w:rPr>
          <w:rFonts w:ascii="Times New Roman" w:hAnsi="Times New Roman" w:cs="Times New Roman"/>
          <w:sz w:val="20"/>
          <w:szCs w:val="20"/>
        </w:rPr>
        <w:t xml:space="preserve">. </w:t>
      </w:r>
      <w:proofErr w:type="spellStart"/>
      <w:r w:rsidRPr="000452C6">
        <w:rPr>
          <w:rFonts w:ascii="Times New Roman" w:hAnsi="Times New Roman" w:cs="Times New Roman"/>
          <w:sz w:val="20"/>
          <w:szCs w:val="20"/>
        </w:rPr>
        <w:t>Squamous</w:t>
      </w:r>
      <w:proofErr w:type="spellEnd"/>
      <w:r w:rsidRPr="000452C6">
        <w:rPr>
          <w:rFonts w:ascii="Times New Roman" w:hAnsi="Times New Roman" w:cs="Times New Roman"/>
          <w:sz w:val="20"/>
          <w:szCs w:val="20"/>
        </w:rPr>
        <w:t xml:space="preserve"> cell carcinoma was detected over the entire length of the esophagus, while </w:t>
      </w:r>
      <w:r w:rsidR="00B312A8" w:rsidRPr="000452C6">
        <w:rPr>
          <w:rFonts w:ascii="Times New Roman" w:hAnsi="Times New Roman" w:cs="Times New Roman"/>
          <w:sz w:val="20"/>
          <w:szCs w:val="20"/>
        </w:rPr>
        <w:t>ADC</w:t>
      </w:r>
      <w:r w:rsidR="001806E2">
        <w:rPr>
          <w:rFonts w:ascii="Times New Roman" w:hAnsi="Times New Roman" w:cs="Times New Roman" w:hint="eastAsia"/>
          <w:sz w:val="20"/>
          <w:szCs w:val="20"/>
          <w:lang w:eastAsia="zh-CN"/>
        </w:rPr>
        <w:t xml:space="preserve"> </w:t>
      </w:r>
      <w:r w:rsidR="00B312A8" w:rsidRPr="000452C6">
        <w:rPr>
          <w:rFonts w:ascii="Times New Roman" w:hAnsi="Times New Roman" w:cs="Times New Roman"/>
          <w:sz w:val="20"/>
          <w:szCs w:val="20"/>
        </w:rPr>
        <w:t>occurred</w:t>
      </w:r>
      <w:r w:rsidRPr="000452C6">
        <w:rPr>
          <w:rFonts w:ascii="Times New Roman" w:hAnsi="Times New Roman" w:cs="Times New Roman"/>
          <w:sz w:val="20"/>
          <w:szCs w:val="20"/>
        </w:rPr>
        <w:t xml:space="preserve"> mainly in lower third and GEJ, and only 8.3% occur in middle third with no lesion in upper third (p&lt;0.001).</w:t>
      </w:r>
      <w:r w:rsidR="00B312A8" w:rsidRPr="000452C6">
        <w:rPr>
          <w:rFonts w:ascii="Times New Roman" w:hAnsi="Times New Roman" w:cs="Times New Roman"/>
          <w:sz w:val="20"/>
          <w:szCs w:val="20"/>
        </w:rPr>
        <w:t xml:space="preserve"> Near half of the cases presented with locally advanced disease, while 16.7% of patients had metastatic deposits on presentation.</w:t>
      </w:r>
      <w:r w:rsidR="005B42EA" w:rsidRPr="000452C6">
        <w:rPr>
          <w:rFonts w:ascii="Times New Roman" w:hAnsi="Times New Roman" w:cs="Times New Roman"/>
          <w:noProof/>
          <w:sz w:val="20"/>
          <w:szCs w:val="20"/>
          <w:lang w:eastAsia="zh-CN"/>
        </w:rPr>
        <w:drawing>
          <wp:anchor distT="0" distB="0" distL="114300" distR="114300" simplePos="0" relativeHeight="251657728" behindDoc="0" locked="0" layoutInCell="1" allowOverlap="1">
            <wp:simplePos x="0" y="0"/>
            <wp:positionH relativeFrom="column">
              <wp:posOffset>4335145</wp:posOffset>
            </wp:positionH>
            <wp:positionV relativeFrom="paragraph">
              <wp:posOffset>206375</wp:posOffset>
            </wp:positionV>
            <wp:extent cx="24765" cy="24765"/>
            <wp:effectExtent l="19050" t="0" r="0" b="0"/>
            <wp:wrapNone/>
            <wp:docPr id="4" name="In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2"/>
                    <pic:cNvPicPr>
                      <a:picLocks noChangeAspect="1" noChangeArrowheads="1"/>
                    </pic:cNvPicPr>
                  </pic:nvPicPr>
                  <pic:blipFill>
                    <a:blip r:embed="rId19"/>
                    <a:srcRect/>
                    <a:stretch>
                      <a:fillRect/>
                    </a:stretch>
                  </pic:blipFill>
                  <pic:spPr bwMode="auto">
                    <a:xfrm>
                      <a:off x="0" y="0"/>
                      <a:ext cx="24765" cy="24765"/>
                    </a:xfrm>
                    <a:prstGeom prst="rect">
                      <a:avLst/>
                    </a:prstGeom>
                    <a:noFill/>
                  </pic:spPr>
                </pic:pic>
              </a:graphicData>
            </a:graphic>
          </wp:anchor>
        </w:drawing>
      </w:r>
      <w:r w:rsidR="005B42EA" w:rsidRPr="000452C6">
        <w:rPr>
          <w:rFonts w:ascii="Times New Roman" w:hAnsi="Times New Roman" w:cs="Times New Roman"/>
          <w:noProof/>
          <w:sz w:val="20"/>
          <w:szCs w:val="20"/>
          <w:lang w:eastAsia="zh-CN"/>
        </w:rPr>
        <w:drawing>
          <wp:anchor distT="0" distB="0" distL="114300" distR="114300" simplePos="0" relativeHeight="251656704" behindDoc="0" locked="0" layoutInCell="1" allowOverlap="1">
            <wp:simplePos x="0" y="0"/>
            <wp:positionH relativeFrom="column">
              <wp:posOffset>3110865</wp:posOffset>
            </wp:positionH>
            <wp:positionV relativeFrom="paragraph">
              <wp:posOffset>100330</wp:posOffset>
            </wp:positionV>
            <wp:extent cx="24765" cy="24765"/>
            <wp:effectExtent l="19050" t="0" r="0" b="0"/>
            <wp:wrapNone/>
            <wp:docPr id="3" name="In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1"/>
                    <pic:cNvPicPr>
                      <a:picLocks noChangeAspect="1" noChangeArrowheads="1"/>
                    </pic:cNvPicPr>
                  </pic:nvPicPr>
                  <pic:blipFill>
                    <a:blip r:embed="rId19"/>
                    <a:srcRect/>
                    <a:stretch>
                      <a:fillRect/>
                    </a:stretch>
                  </pic:blipFill>
                  <pic:spPr bwMode="auto">
                    <a:xfrm>
                      <a:off x="0" y="0"/>
                      <a:ext cx="24765" cy="24765"/>
                    </a:xfrm>
                    <a:prstGeom prst="rect">
                      <a:avLst/>
                    </a:prstGeom>
                    <a:noFill/>
                  </pic:spPr>
                </pic:pic>
              </a:graphicData>
            </a:graphic>
          </wp:anchor>
        </w:drawing>
      </w:r>
      <w:r w:rsidR="00B312A8" w:rsidRPr="000452C6">
        <w:rPr>
          <w:rFonts w:ascii="Times New Roman" w:hAnsi="Times New Roman" w:cs="Times New Roman"/>
          <w:sz w:val="20"/>
          <w:szCs w:val="20"/>
        </w:rPr>
        <w:t xml:space="preserve"> Fewer cases of SCC were metastatic at presentation compared to ADC (12.8% vs. 23.9%, respectively), but the difference was not statistically significant (p = 0.070)</w:t>
      </w:r>
      <w:r w:rsidR="00770E7B" w:rsidRPr="000452C6">
        <w:rPr>
          <w:rFonts w:ascii="Times New Roman" w:hAnsi="Times New Roman" w:cs="Times New Roman"/>
          <w:sz w:val="20"/>
          <w:szCs w:val="20"/>
        </w:rPr>
        <w:t xml:space="preserve"> (Table 1)</w:t>
      </w:r>
      <w:r w:rsidR="00B312A8" w:rsidRPr="000452C6">
        <w:rPr>
          <w:rFonts w:ascii="Times New Roman" w:hAnsi="Times New Roman" w:cs="Times New Roman"/>
          <w:sz w:val="20"/>
          <w:szCs w:val="20"/>
        </w:rPr>
        <w:t xml:space="preserve">. Lesions in the upper third were locally advanced in 81.8% of cases, and rarely metastatic (single patient). Metastasis was more common in the other sites (p &lt; 0.001) (Table </w:t>
      </w:r>
      <w:r w:rsidR="00770E7B" w:rsidRPr="000452C6">
        <w:rPr>
          <w:rFonts w:ascii="Times New Roman" w:hAnsi="Times New Roman" w:cs="Times New Roman"/>
          <w:sz w:val="20"/>
          <w:szCs w:val="20"/>
        </w:rPr>
        <w:t>2</w:t>
      </w:r>
      <w:r w:rsidR="00B312A8" w:rsidRPr="000452C6">
        <w:rPr>
          <w:rFonts w:ascii="Times New Roman" w:hAnsi="Times New Roman" w:cs="Times New Roman"/>
          <w:sz w:val="20"/>
          <w:szCs w:val="20"/>
        </w:rPr>
        <w:t>).</w:t>
      </w:r>
    </w:p>
    <w:p w:rsidR="00D76005" w:rsidRPr="000452C6" w:rsidRDefault="00D76005"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The most common presentation was </w:t>
      </w:r>
      <w:proofErr w:type="spellStart"/>
      <w:r w:rsidRPr="000452C6">
        <w:rPr>
          <w:rFonts w:ascii="Times New Roman" w:hAnsi="Times New Roman" w:cs="Times New Roman"/>
          <w:sz w:val="20"/>
          <w:szCs w:val="20"/>
        </w:rPr>
        <w:t>dysphagia</w:t>
      </w:r>
      <w:proofErr w:type="spellEnd"/>
      <w:r w:rsidRPr="000452C6">
        <w:rPr>
          <w:rFonts w:ascii="Times New Roman" w:hAnsi="Times New Roman" w:cs="Times New Roman"/>
          <w:sz w:val="20"/>
          <w:szCs w:val="20"/>
        </w:rPr>
        <w:t xml:space="preserve"> (84%) followed by vomiting (8%). Other symptoms included </w:t>
      </w:r>
      <w:proofErr w:type="spellStart"/>
      <w:r w:rsidRPr="000452C6">
        <w:rPr>
          <w:rFonts w:ascii="Times New Roman" w:hAnsi="Times New Roman" w:cs="Times New Roman"/>
          <w:sz w:val="20"/>
          <w:szCs w:val="20"/>
        </w:rPr>
        <w:t>hematemesis</w:t>
      </w:r>
      <w:proofErr w:type="spellEnd"/>
      <w:r w:rsidRPr="000452C6">
        <w:rPr>
          <w:rFonts w:ascii="Times New Roman" w:hAnsi="Times New Roman" w:cs="Times New Roman"/>
          <w:sz w:val="20"/>
          <w:szCs w:val="20"/>
        </w:rPr>
        <w:t xml:space="preserve"> and epigastria pain in lower third and GEJ lesions, and weight loss in middle third lesions, and hoarseness of voice in upper third lesions. The mean duration of complaint in the upper, middle, lower third and GEJ lesions were 4.5, 4.3, 4.8, 7.8 months, respectively. </w:t>
      </w:r>
    </w:p>
    <w:p w:rsidR="00D76005" w:rsidRPr="000452C6" w:rsidRDefault="00D76005"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On endoscopy, the majority of lesions appeared as </w:t>
      </w:r>
      <w:proofErr w:type="spellStart"/>
      <w:r w:rsidRPr="000452C6">
        <w:rPr>
          <w:rFonts w:ascii="Times New Roman" w:hAnsi="Times New Roman" w:cs="Times New Roman"/>
          <w:sz w:val="20"/>
          <w:szCs w:val="20"/>
        </w:rPr>
        <w:t>fungating-polypoidal</w:t>
      </w:r>
      <w:proofErr w:type="spellEnd"/>
      <w:r w:rsidRPr="000452C6">
        <w:rPr>
          <w:rFonts w:ascii="Times New Roman" w:hAnsi="Times New Roman" w:cs="Times New Roman"/>
          <w:sz w:val="20"/>
          <w:szCs w:val="20"/>
        </w:rPr>
        <w:t xml:space="preserve"> masses with no significant difference between ADC and SCC cases (p=0.252). There was no significant difference between SCC and ADC lesions regarding appearance on CT (p=0.307). No regional </w:t>
      </w:r>
      <w:proofErr w:type="spellStart"/>
      <w:r w:rsidRPr="000452C6">
        <w:rPr>
          <w:rFonts w:ascii="Times New Roman" w:hAnsi="Times New Roman" w:cs="Times New Roman"/>
          <w:sz w:val="20"/>
          <w:szCs w:val="20"/>
        </w:rPr>
        <w:t>lymphadenopathy</w:t>
      </w:r>
      <w:proofErr w:type="spellEnd"/>
      <w:r w:rsidRPr="000452C6">
        <w:rPr>
          <w:rFonts w:ascii="Times New Roman" w:hAnsi="Times New Roman" w:cs="Times New Roman"/>
          <w:sz w:val="20"/>
          <w:szCs w:val="20"/>
        </w:rPr>
        <w:t xml:space="preserve"> was observed in 56.8% of ADC cases and 68.4% of SCC cases (p=0.162) (Table 3).</w:t>
      </w:r>
    </w:p>
    <w:p w:rsidR="00D76005" w:rsidRPr="000452C6" w:rsidRDefault="00D76005" w:rsidP="00FE79B6">
      <w:pPr>
        <w:snapToGrid w:val="0"/>
        <w:spacing w:after="0" w:line="240" w:lineRule="auto"/>
        <w:jc w:val="both"/>
        <w:rPr>
          <w:rFonts w:ascii="Times New Roman" w:hAnsi="Times New Roman" w:cs="Times New Roman"/>
          <w:sz w:val="20"/>
          <w:szCs w:val="20"/>
        </w:rPr>
      </w:pPr>
      <w:r w:rsidRPr="000452C6">
        <w:rPr>
          <w:rFonts w:ascii="Times New Roman" w:hAnsi="Times New Roman" w:cs="Times New Roman"/>
          <w:b/>
          <w:bCs/>
          <w:sz w:val="20"/>
          <w:szCs w:val="20"/>
        </w:rPr>
        <w:t>Management</w:t>
      </w:r>
    </w:p>
    <w:p w:rsidR="00D76005" w:rsidRPr="000452C6" w:rsidRDefault="00D76005"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About 71% of the patients were in a good general condition, while 29% were referred to palliative therapy regardless of their intended plan of management. The medical condition or the tumor burden of these patients interfered with the intended </w:t>
      </w:r>
      <w:r w:rsidRPr="000452C6">
        <w:rPr>
          <w:rFonts w:ascii="Times New Roman" w:hAnsi="Times New Roman" w:cs="Times New Roman"/>
          <w:sz w:val="20"/>
          <w:szCs w:val="20"/>
        </w:rPr>
        <w:lastRenderedPageBreak/>
        <w:t xml:space="preserve">plan of management (surgery). A higher proportion of ADC patients were fit for definitive treatment compared to SCC patients (p=0.031). Patients with metastatic disease were unfit for treatment in 40% of </w:t>
      </w:r>
      <w:r w:rsidRPr="000452C6">
        <w:rPr>
          <w:rFonts w:ascii="Times New Roman" w:hAnsi="Times New Roman" w:cs="Times New Roman"/>
          <w:sz w:val="20"/>
          <w:szCs w:val="20"/>
        </w:rPr>
        <w:lastRenderedPageBreak/>
        <w:t>cases (p = 0.020). Patients with middle third lesions were unfit for treatment in 41.1% of cases compared to 9.1% of those with lesions of the GEJ (p=0.016).</w:t>
      </w:r>
    </w:p>
    <w:p w:rsidR="00FE79B6" w:rsidRDefault="00FE79B6" w:rsidP="00FE79B6">
      <w:pPr>
        <w:snapToGrid w:val="0"/>
        <w:spacing w:after="0" w:line="240" w:lineRule="auto"/>
        <w:ind w:firstLine="425"/>
        <w:jc w:val="both"/>
        <w:rPr>
          <w:rFonts w:ascii="Times New Roman" w:hAnsi="Times New Roman" w:cs="Times New Roman"/>
          <w:sz w:val="20"/>
          <w:szCs w:val="20"/>
        </w:rPr>
        <w:sectPr w:rsidR="00FE79B6" w:rsidSect="00FE79B6">
          <w:type w:val="continuous"/>
          <w:pgSz w:w="12242" w:h="15842" w:code="1"/>
          <w:pgMar w:top="1440" w:right="1440" w:bottom="1440" w:left="1440" w:header="720" w:footer="720" w:gutter="0"/>
          <w:cols w:num="2" w:space="550"/>
          <w:docGrid w:linePitch="299"/>
        </w:sectPr>
      </w:pPr>
    </w:p>
    <w:p w:rsidR="00D76005" w:rsidRPr="000452C6" w:rsidRDefault="00D76005" w:rsidP="00FE79B6">
      <w:pPr>
        <w:snapToGrid w:val="0"/>
        <w:spacing w:after="0" w:line="240" w:lineRule="auto"/>
        <w:ind w:firstLine="425"/>
        <w:jc w:val="both"/>
        <w:rPr>
          <w:rFonts w:ascii="Times New Roman" w:hAnsi="Times New Roman" w:cs="Times New Roman"/>
          <w:sz w:val="20"/>
          <w:szCs w:val="20"/>
        </w:rPr>
      </w:pPr>
    </w:p>
    <w:p w:rsidR="00B92F82" w:rsidRPr="00DE0878" w:rsidRDefault="00B92F82" w:rsidP="00FE79B6">
      <w:pPr>
        <w:snapToGrid w:val="0"/>
        <w:spacing w:after="0" w:line="240" w:lineRule="auto"/>
        <w:jc w:val="center"/>
        <w:rPr>
          <w:rFonts w:ascii="Times New Roman" w:hAnsi="Times New Roman" w:cs="Times New Roman"/>
          <w:sz w:val="16"/>
          <w:szCs w:val="16"/>
        </w:rPr>
      </w:pPr>
      <w:r w:rsidRPr="000452C6">
        <w:rPr>
          <w:rFonts w:ascii="Times New Roman" w:hAnsi="Times New Roman" w:cs="Times New Roman"/>
          <w:sz w:val="20"/>
          <w:szCs w:val="20"/>
        </w:rPr>
        <w:t xml:space="preserve">Table 1: Epidemiology of </w:t>
      </w:r>
      <w:r w:rsidR="00257F46" w:rsidRPr="000452C6">
        <w:rPr>
          <w:rFonts w:ascii="Times New Roman" w:hAnsi="Times New Roman" w:cs="Times New Roman"/>
          <w:sz w:val="20"/>
          <w:szCs w:val="20"/>
        </w:rPr>
        <w:t xml:space="preserve">esophageal cancer </w:t>
      </w:r>
      <w:r w:rsidRPr="000452C6">
        <w:rPr>
          <w:rFonts w:ascii="Times New Roman" w:hAnsi="Times New Roman" w:cs="Times New Roman"/>
          <w:sz w:val="20"/>
          <w:szCs w:val="20"/>
        </w:rPr>
        <w:t>cases present</w:t>
      </w:r>
      <w:r w:rsidR="00220050" w:rsidRPr="000452C6">
        <w:rPr>
          <w:rFonts w:ascii="Times New Roman" w:hAnsi="Times New Roman" w:cs="Times New Roman"/>
          <w:sz w:val="20"/>
          <w:szCs w:val="20"/>
        </w:rPr>
        <w:t xml:space="preserve">ed </w:t>
      </w:r>
      <w:r w:rsidRPr="000452C6">
        <w:rPr>
          <w:rFonts w:ascii="Times New Roman" w:hAnsi="Times New Roman" w:cs="Times New Roman"/>
          <w:sz w:val="20"/>
          <w:szCs w:val="20"/>
        </w:rPr>
        <w:t>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3420"/>
        <w:gridCol w:w="1698"/>
        <w:gridCol w:w="1698"/>
        <w:gridCol w:w="1546"/>
        <w:gridCol w:w="1114"/>
      </w:tblGrid>
      <w:tr w:rsidR="00AA0BD6" w:rsidRPr="00DE0878" w:rsidTr="000452C6">
        <w:trPr>
          <w:jc w:val="center"/>
        </w:trPr>
        <w:tc>
          <w:tcPr>
            <w:tcW w:w="1804"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96"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Total</w:t>
            </w:r>
          </w:p>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n=275</w:t>
            </w:r>
          </w:p>
        </w:tc>
        <w:tc>
          <w:tcPr>
            <w:tcW w:w="896"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SCC</w:t>
            </w:r>
          </w:p>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n=187</w:t>
            </w:r>
          </w:p>
        </w:tc>
        <w:tc>
          <w:tcPr>
            <w:tcW w:w="816"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ADC</w:t>
            </w:r>
          </w:p>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n=88</w:t>
            </w:r>
          </w:p>
        </w:tc>
        <w:tc>
          <w:tcPr>
            <w:tcW w:w="588"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p value</w:t>
            </w:r>
          </w:p>
        </w:tc>
      </w:tr>
      <w:tr w:rsidR="00AA0BD6" w:rsidRPr="00DE0878" w:rsidTr="000452C6">
        <w:trPr>
          <w:jc w:val="center"/>
        </w:trPr>
        <w:tc>
          <w:tcPr>
            <w:tcW w:w="1804"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Age</w:t>
            </w:r>
          </w:p>
        </w:tc>
        <w:tc>
          <w:tcPr>
            <w:tcW w:w="896"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96"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16"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88"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tcBorders>
              <w:top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&lt; 50 years</w:t>
            </w:r>
          </w:p>
        </w:tc>
        <w:tc>
          <w:tcPr>
            <w:tcW w:w="896" w:type="pct"/>
            <w:tcBorders>
              <w:top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65 (23.6%)</w:t>
            </w:r>
          </w:p>
        </w:tc>
        <w:tc>
          <w:tcPr>
            <w:tcW w:w="896" w:type="pct"/>
            <w:tcBorders>
              <w:top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48 (25.7%)</w:t>
            </w:r>
          </w:p>
        </w:tc>
        <w:tc>
          <w:tcPr>
            <w:tcW w:w="816" w:type="pct"/>
            <w:tcBorders>
              <w:top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17 (19.3%)</w:t>
            </w:r>
          </w:p>
        </w:tc>
        <w:tc>
          <w:tcPr>
            <w:tcW w:w="588" w:type="pct"/>
            <w:tcBorders>
              <w:top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0.503</w:t>
            </w: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50-70 years</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170 (61.8%)</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112 (59.9%)</w:t>
            </w: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58 (65.9%)</w:t>
            </w: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&gt; 70 years</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40 (14.5%)</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27 (14.4%)</w:t>
            </w: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13 (14.8%)</w:t>
            </w: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Sex</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Male</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168 (61.1%)</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105 (56.1%)</w:t>
            </w: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63 (71.6%)</w:t>
            </w: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0.014</w:t>
            </w: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Female</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107 (38.9%)</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82 (43.9%)</w:t>
            </w: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25 (28.4%)</w:t>
            </w: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Social Level</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Urban</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133 (48.4%)</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81 (43.3%)</w:t>
            </w: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52 (59.1%)</w:t>
            </w: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0.015</w:t>
            </w: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Rural</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142 (51.6%)</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106 (56.7%)</w:t>
            </w: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35 (39.8%)</w:t>
            </w: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Site</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Upper third</w:t>
            </w:r>
          </w:p>
        </w:tc>
        <w:tc>
          <w:tcPr>
            <w:tcW w:w="89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44 (16.0%)</w:t>
            </w:r>
          </w:p>
        </w:tc>
        <w:tc>
          <w:tcPr>
            <w:tcW w:w="89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44 (23.5%)</w:t>
            </w:r>
          </w:p>
        </w:tc>
        <w:tc>
          <w:tcPr>
            <w:tcW w:w="81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 (0.0%)</w:t>
            </w:r>
          </w:p>
        </w:tc>
        <w:tc>
          <w:tcPr>
            <w:tcW w:w="588"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Middle third</w:t>
            </w:r>
          </w:p>
        </w:tc>
        <w:tc>
          <w:tcPr>
            <w:tcW w:w="89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73 (26.5%)</w:t>
            </w:r>
          </w:p>
        </w:tc>
        <w:tc>
          <w:tcPr>
            <w:tcW w:w="89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66 (35.3%)</w:t>
            </w:r>
          </w:p>
        </w:tc>
        <w:tc>
          <w:tcPr>
            <w:tcW w:w="81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 (6.8%)</w:t>
            </w:r>
          </w:p>
        </w:tc>
        <w:tc>
          <w:tcPr>
            <w:tcW w:w="588"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&lt; 0.001</w:t>
            </w:r>
          </w:p>
        </w:tc>
      </w:tr>
      <w:tr w:rsidR="00AA0BD6" w:rsidRPr="00DE0878" w:rsidTr="000452C6">
        <w:trPr>
          <w:jc w:val="center"/>
        </w:trPr>
        <w:tc>
          <w:tcPr>
            <w:tcW w:w="1804"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Lower third</w:t>
            </w:r>
          </w:p>
        </w:tc>
        <w:tc>
          <w:tcPr>
            <w:tcW w:w="89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136 (49.5%)</w:t>
            </w:r>
          </w:p>
        </w:tc>
        <w:tc>
          <w:tcPr>
            <w:tcW w:w="89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74 (39.6%)</w:t>
            </w:r>
          </w:p>
        </w:tc>
        <w:tc>
          <w:tcPr>
            <w:tcW w:w="81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61 (69.3%)</w:t>
            </w:r>
          </w:p>
        </w:tc>
        <w:tc>
          <w:tcPr>
            <w:tcW w:w="588"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proofErr w:type="spellStart"/>
            <w:r w:rsidRPr="00DE0878">
              <w:rPr>
                <w:rFonts w:ascii="Times New Roman" w:hAnsi="Times New Roman" w:cs="Times New Roman"/>
                <w:sz w:val="16"/>
                <w:szCs w:val="16"/>
              </w:rPr>
              <w:t>Gastroesophageal</w:t>
            </w:r>
            <w:proofErr w:type="spellEnd"/>
            <w:r w:rsidRPr="00DE0878">
              <w:rPr>
                <w:rFonts w:ascii="Times New Roman" w:hAnsi="Times New Roman" w:cs="Times New Roman"/>
                <w:sz w:val="16"/>
                <w:szCs w:val="16"/>
              </w:rPr>
              <w:t xml:space="preserve"> junction</w:t>
            </w:r>
          </w:p>
        </w:tc>
        <w:tc>
          <w:tcPr>
            <w:tcW w:w="89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22 (8.0%)</w:t>
            </w:r>
          </w:p>
        </w:tc>
        <w:tc>
          <w:tcPr>
            <w:tcW w:w="89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 (1.1%)</w:t>
            </w:r>
          </w:p>
        </w:tc>
        <w:tc>
          <w:tcPr>
            <w:tcW w:w="816"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20 (22.7%)</w:t>
            </w:r>
          </w:p>
        </w:tc>
        <w:tc>
          <w:tcPr>
            <w:tcW w:w="588" w:type="pct"/>
            <w:vAlign w:val="center"/>
          </w:tcPr>
          <w:p w:rsidR="00D87E56" w:rsidRPr="00DE0878" w:rsidRDefault="00D87E56"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Stage</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Early</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88 (32.0%)</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62 (33.2%)</w:t>
            </w: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26 (29.5%)</w:t>
            </w: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0.070</w:t>
            </w: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Locally Advanced</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142 (51.6%)</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101 (54.0%)</w:t>
            </w: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41 (46.6%)</w:t>
            </w: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80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Metastatic</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45 (16.4%)</w:t>
            </w:r>
          </w:p>
        </w:tc>
        <w:tc>
          <w:tcPr>
            <w:tcW w:w="89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24 (12.8%)</w:t>
            </w:r>
          </w:p>
        </w:tc>
        <w:tc>
          <w:tcPr>
            <w:tcW w:w="816"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21 (23.9%)</w:t>
            </w:r>
          </w:p>
        </w:tc>
        <w:tc>
          <w:tcPr>
            <w:tcW w:w="58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bl>
    <w:p w:rsidR="00D87E56" w:rsidRPr="00DE0878" w:rsidRDefault="00220050"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 xml:space="preserve">SCC: </w:t>
      </w:r>
      <w:proofErr w:type="spellStart"/>
      <w:r w:rsidRPr="00DE0878">
        <w:rPr>
          <w:rFonts w:ascii="Times New Roman" w:hAnsi="Times New Roman" w:cs="Times New Roman"/>
          <w:sz w:val="16"/>
          <w:szCs w:val="16"/>
        </w:rPr>
        <w:t>Squamous</w:t>
      </w:r>
      <w:proofErr w:type="spellEnd"/>
      <w:r w:rsidRPr="00DE0878">
        <w:rPr>
          <w:rFonts w:ascii="Times New Roman" w:hAnsi="Times New Roman" w:cs="Times New Roman"/>
          <w:sz w:val="16"/>
          <w:szCs w:val="16"/>
        </w:rPr>
        <w:t xml:space="preserve"> cell carcinoma, ADC: </w:t>
      </w:r>
      <w:proofErr w:type="spellStart"/>
      <w:r w:rsidRPr="00DE0878">
        <w:rPr>
          <w:rFonts w:ascii="Times New Roman" w:hAnsi="Times New Roman" w:cs="Times New Roman"/>
          <w:sz w:val="16"/>
          <w:szCs w:val="16"/>
        </w:rPr>
        <w:t>Adenocarcinoma</w:t>
      </w:r>
      <w:proofErr w:type="spellEnd"/>
    </w:p>
    <w:p w:rsidR="00D76005" w:rsidRPr="000452C6" w:rsidRDefault="00D76005" w:rsidP="00FE79B6">
      <w:pPr>
        <w:snapToGrid w:val="0"/>
        <w:spacing w:after="0" w:line="240" w:lineRule="auto"/>
        <w:jc w:val="center"/>
        <w:rPr>
          <w:rFonts w:ascii="Times New Roman" w:hAnsi="Times New Roman" w:cs="Times New Roman"/>
          <w:sz w:val="20"/>
          <w:szCs w:val="20"/>
        </w:rPr>
      </w:pPr>
    </w:p>
    <w:p w:rsidR="00B92F82" w:rsidRPr="00DE0878" w:rsidRDefault="00B92F82" w:rsidP="00FE79B6">
      <w:pPr>
        <w:snapToGrid w:val="0"/>
        <w:spacing w:after="0" w:line="240" w:lineRule="auto"/>
        <w:jc w:val="both"/>
        <w:rPr>
          <w:rFonts w:ascii="Times New Roman" w:hAnsi="Times New Roman" w:cs="Times New Roman"/>
          <w:sz w:val="16"/>
          <w:szCs w:val="16"/>
        </w:rPr>
      </w:pPr>
      <w:r w:rsidRPr="000452C6">
        <w:rPr>
          <w:rFonts w:ascii="Times New Roman" w:hAnsi="Times New Roman" w:cs="Times New Roman"/>
          <w:sz w:val="20"/>
          <w:szCs w:val="20"/>
        </w:rPr>
        <w:t xml:space="preserve">Table 2: Relation between disease </w:t>
      </w:r>
      <w:r w:rsidR="00180566" w:rsidRPr="000452C6">
        <w:rPr>
          <w:rFonts w:ascii="Times New Roman" w:hAnsi="Times New Roman" w:cs="Times New Roman"/>
          <w:sz w:val="20"/>
          <w:szCs w:val="20"/>
        </w:rPr>
        <w:t xml:space="preserve">site and </w:t>
      </w:r>
      <w:proofErr w:type="spellStart"/>
      <w:r w:rsidR="00180566" w:rsidRPr="000452C6">
        <w:rPr>
          <w:rFonts w:ascii="Times New Roman" w:hAnsi="Times New Roman" w:cs="Times New Roman"/>
          <w:sz w:val="20"/>
          <w:szCs w:val="20"/>
        </w:rPr>
        <w:t>stageof</w:t>
      </w:r>
      <w:proofErr w:type="spellEnd"/>
      <w:r w:rsidR="00180566" w:rsidRPr="000452C6">
        <w:rPr>
          <w:rFonts w:ascii="Times New Roman" w:hAnsi="Times New Roman" w:cs="Times New Roman"/>
          <w:sz w:val="20"/>
          <w:szCs w:val="20"/>
        </w:rPr>
        <w:t xml:space="preserve"> esophageal cancer </w:t>
      </w:r>
      <w:r w:rsidRPr="000452C6">
        <w:rPr>
          <w:rFonts w:ascii="Times New Roman" w:hAnsi="Times New Roman" w:cs="Times New Roman"/>
          <w:sz w:val="20"/>
          <w:szCs w:val="20"/>
        </w:rPr>
        <w:t>cases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3588"/>
        <w:gridCol w:w="1622"/>
        <w:gridCol w:w="2644"/>
        <w:gridCol w:w="1622"/>
      </w:tblGrid>
      <w:tr w:rsidR="00AA0BD6" w:rsidRPr="00DE0878" w:rsidTr="000452C6">
        <w:trPr>
          <w:jc w:val="center"/>
        </w:trPr>
        <w:tc>
          <w:tcPr>
            <w:tcW w:w="1893"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p>
        </w:tc>
        <w:tc>
          <w:tcPr>
            <w:tcW w:w="856" w:type="pct"/>
            <w:tcBorders>
              <w:bottom w:val="single" w:sz="4" w:space="0" w:color="auto"/>
            </w:tcBorders>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Early</w:t>
            </w:r>
          </w:p>
        </w:tc>
        <w:tc>
          <w:tcPr>
            <w:tcW w:w="1395" w:type="pct"/>
            <w:tcBorders>
              <w:bottom w:val="single" w:sz="4" w:space="0" w:color="auto"/>
            </w:tcBorders>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Locally Advanced</w:t>
            </w:r>
          </w:p>
        </w:tc>
        <w:tc>
          <w:tcPr>
            <w:tcW w:w="856" w:type="pct"/>
            <w:tcBorders>
              <w:bottom w:val="single" w:sz="4" w:space="0" w:color="auto"/>
            </w:tcBorders>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Metastatic</w:t>
            </w:r>
          </w:p>
        </w:tc>
      </w:tr>
      <w:tr w:rsidR="00AA0BD6" w:rsidRPr="00DE0878" w:rsidTr="000452C6">
        <w:trPr>
          <w:jc w:val="center"/>
        </w:trPr>
        <w:tc>
          <w:tcPr>
            <w:tcW w:w="1893" w:type="pct"/>
            <w:tcBorders>
              <w:top w:val="single" w:sz="4" w:space="0" w:color="auto"/>
              <w:bottom w:val="nil"/>
            </w:tcBorders>
            <w:vAlign w:val="center"/>
          </w:tcPr>
          <w:p w:rsidR="00EE2BF9" w:rsidRPr="00DE0878" w:rsidRDefault="00EE2BF9"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Upper third</w:t>
            </w:r>
          </w:p>
        </w:tc>
        <w:tc>
          <w:tcPr>
            <w:tcW w:w="856" w:type="pct"/>
            <w:tcBorders>
              <w:top w:val="single" w:sz="4" w:space="0" w:color="auto"/>
              <w:bottom w:val="nil"/>
            </w:tcBorders>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7 (15.9%)</w:t>
            </w:r>
          </w:p>
        </w:tc>
        <w:tc>
          <w:tcPr>
            <w:tcW w:w="1395" w:type="pct"/>
            <w:tcBorders>
              <w:top w:val="single" w:sz="4" w:space="0" w:color="auto"/>
              <w:bottom w:val="nil"/>
            </w:tcBorders>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36 (81.8%)</w:t>
            </w:r>
          </w:p>
        </w:tc>
        <w:tc>
          <w:tcPr>
            <w:tcW w:w="856" w:type="pct"/>
            <w:tcBorders>
              <w:top w:val="single" w:sz="4" w:space="0" w:color="auto"/>
              <w:bottom w:val="nil"/>
            </w:tcBorders>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 (2.3%)</w:t>
            </w:r>
          </w:p>
        </w:tc>
      </w:tr>
      <w:tr w:rsidR="00AA0BD6" w:rsidRPr="00DE0878" w:rsidTr="000452C6">
        <w:trPr>
          <w:jc w:val="center"/>
        </w:trPr>
        <w:tc>
          <w:tcPr>
            <w:tcW w:w="1893" w:type="pct"/>
            <w:tcBorders>
              <w:top w:val="nil"/>
            </w:tcBorders>
            <w:vAlign w:val="center"/>
          </w:tcPr>
          <w:p w:rsidR="00EE2BF9" w:rsidRPr="00DE0878" w:rsidRDefault="00EE2BF9"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Middle third</w:t>
            </w:r>
          </w:p>
        </w:tc>
        <w:tc>
          <w:tcPr>
            <w:tcW w:w="856" w:type="pct"/>
            <w:tcBorders>
              <w:top w:val="nil"/>
            </w:tcBorders>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29 (39.7%)</w:t>
            </w:r>
          </w:p>
        </w:tc>
        <w:tc>
          <w:tcPr>
            <w:tcW w:w="1395" w:type="pct"/>
            <w:tcBorders>
              <w:top w:val="nil"/>
            </w:tcBorders>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31 (42.5%)</w:t>
            </w:r>
          </w:p>
        </w:tc>
        <w:tc>
          <w:tcPr>
            <w:tcW w:w="856" w:type="pct"/>
            <w:tcBorders>
              <w:top w:val="nil"/>
            </w:tcBorders>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13 (17.8%)</w:t>
            </w:r>
          </w:p>
        </w:tc>
      </w:tr>
      <w:tr w:rsidR="00AA0BD6" w:rsidRPr="00DE0878" w:rsidTr="000452C6">
        <w:trPr>
          <w:jc w:val="center"/>
        </w:trPr>
        <w:tc>
          <w:tcPr>
            <w:tcW w:w="1893" w:type="pct"/>
            <w:vAlign w:val="center"/>
          </w:tcPr>
          <w:p w:rsidR="00EE2BF9" w:rsidRPr="00DE0878" w:rsidRDefault="00EE2BF9"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Lower third</w:t>
            </w:r>
          </w:p>
        </w:tc>
        <w:tc>
          <w:tcPr>
            <w:tcW w:w="856" w:type="pct"/>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48 (35.3%)</w:t>
            </w:r>
          </w:p>
        </w:tc>
        <w:tc>
          <w:tcPr>
            <w:tcW w:w="1395" w:type="pct"/>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62 (45.6%)</w:t>
            </w:r>
          </w:p>
        </w:tc>
        <w:tc>
          <w:tcPr>
            <w:tcW w:w="856" w:type="pct"/>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26 (19.1%)</w:t>
            </w:r>
          </w:p>
        </w:tc>
      </w:tr>
      <w:tr w:rsidR="00AA0BD6" w:rsidRPr="00DE0878" w:rsidTr="000452C6">
        <w:trPr>
          <w:jc w:val="center"/>
        </w:trPr>
        <w:tc>
          <w:tcPr>
            <w:tcW w:w="1893" w:type="pct"/>
            <w:vAlign w:val="center"/>
          </w:tcPr>
          <w:p w:rsidR="00EE2BF9" w:rsidRPr="00DE0878" w:rsidRDefault="00EE2BF9" w:rsidP="00FE79B6">
            <w:pPr>
              <w:snapToGrid w:val="0"/>
              <w:spacing w:after="0" w:line="240" w:lineRule="auto"/>
              <w:jc w:val="both"/>
              <w:rPr>
                <w:rFonts w:ascii="Times New Roman" w:hAnsi="Times New Roman" w:cs="Times New Roman"/>
                <w:sz w:val="16"/>
                <w:szCs w:val="16"/>
              </w:rPr>
            </w:pPr>
            <w:proofErr w:type="spellStart"/>
            <w:r w:rsidRPr="00DE0878">
              <w:rPr>
                <w:rFonts w:ascii="Times New Roman" w:hAnsi="Times New Roman" w:cs="Times New Roman"/>
                <w:sz w:val="16"/>
                <w:szCs w:val="16"/>
              </w:rPr>
              <w:t>Gastroesophageal</w:t>
            </w:r>
            <w:proofErr w:type="spellEnd"/>
            <w:r w:rsidRPr="00DE0878">
              <w:rPr>
                <w:rFonts w:ascii="Times New Roman" w:hAnsi="Times New Roman" w:cs="Times New Roman"/>
                <w:sz w:val="16"/>
                <w:szCs w:val="16"/>
              </w:rPr>
              <w:t xml:space="preserve"> junction</w:t>
            </w:r>
          </w:p>
        </w:tc>
        <w:tc>
          <w:tcPr>
            <w:tcW w:w="856" w:type="pct"/>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 (18.2%)</w:t>
            </w:r>
          </w:p>
        </w:tc>
        <w:tc>
          <w:tcPr>
            <w:tcW w:w="1395" w:type="pct"/>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13 (59.1%)</w:t>
            </w:r>
          </w:p>
        </w:tc>
        <w:tc>
          <w:tcPr>
            <w:tcW w:w="856" w:type="pct"/>
            <w:vAlign w:val="center"/>
          </w:tcPr>
          <w:p w:rsidR="00EE2BF9" w:rsidRPr="00DE0878" w:rsidRDefault="00EE2BF9"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5 (22.7%)</w:t>
            </w:r>
          </w:p>
        </w:tc>
      </w:tr>
    </w:tbl>
    <w:p w:rsidR="00553ABA" w:rsidRPr="000452C6" w:rsidRDefault="00553ABA" w:rsidP="00FE79B6">
      <w:pPr>
        <w:snapToGrid w:val="0"/>
        <w:spacing w:after="0" w:line="240" w:lineRule="auto"/>
        <w:jc w:val="center"/>
        <w:rPr>
          <w:rFonts w:ascii="Times New Roman" w:hAnsi="Times New Roman" w:cs="Times New Roman"/>
          <w:sz w:val="20"/>
          <w:szCs w:val="20"/>
        </w:rPr>
      </w:pPr>
    </w:p>
    <w:p w:rsidR="00B92F82" w:rsidRPr="000452C6" w:rsidRDefault="00B92F82" w:rsidP="00FE79B6">
      <w:pPr>
        <w:snapToGrid w:val="0"/>
        <w:spacing w:after="0" w:line="240" w:lineRule="auto"/>
        <w:jc w:val="both"/>
        <w:rPr>
          <w:rFonts w:ascii="Times New Roman" w:hAnsi="Times New Roman" w:cs="Times New Roman"/>
          <w:sz w:val="20"/>
          <w:szCs w:val="20"/>
        </w:rPr>
      </w:pPr>
      <w:r w:rsidRPr="000452C6">
        <w:rPr>
          <w:rFonts w:ascii="Times New Roman" w:hAnsi="Times New Roman" w:cs="Times New Roman"/>
          <w:sz w:val="20"/>
          <w:szCs w:val="20"/>
        </w:rPr>
        <w:t xml:space="preserve">Table </w:t>
      </w:r>
      <w:r w:rsidR="00407D5E" w:rsidRPr="000452C6">
        <w:rPr>
          <w:rFonts w:ascii="Times New Roman" w:hAnsi="Times New Roman" w:cs="Times New Roman"/>
          <w:sz w:val="20"/>
          <w:szCs w:val="20"/>
        </w:rPr>
        <w:t>3</w:t>
      </w:r>
      <w:r w:rsidRPr="000452C6">
        <w:rPr>
          <w:rFonts w:ascii="Times New Roman" w:hAnsi="Times New Roman" w:cs="Times New Roman"/>
          <w:sz w:val="20"/>
          <w:szCs w:val="20"/>
        </w:rPr>
        <w:t>: Diagnostic and staging modalities of esophageal cancer patients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3701"/>
        <w:gridCol w:w="1619"/>
        <w:gridCol w:w="1619"/>
        <w:gridCol w:w="1474"/>
        <w:gridCol w:w="1063"/>
      </w:tblGrid>
      <w:tr w:rsidR="00AA0BD6" w:rsidRPr="00DE0878" w:rsidTr="000452C6">
        <w:trPr>
          <w:jc w:val="center"/>
        </w:trPr>
        <w:tc>
          <w:tcPr>
            <w:tcW w:w="1953"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p>
        </w:tc>
        <w:tc>
          <w:tcPr>
            <w:tcW w:w="854"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Total</w:t>
            </w:r>
          </w:p>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n=275</w:t>
            </w:r>
          </w:p>
        </w:tc>
        <w:tc>
          <w:tcPr>
            <w:tcW w:w="854"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SCC</w:t>
            </w:r>
          </w:p>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n=187</w:t>
            </w:r>
          </w:p>
        </w:tc>
        <w:tc>
          <w:tcPr>
            <w:tcW w:w="778"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ADC</w:t>
            </w:r>
          </w:p>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n=88</w:t>
            </w:r>
          </w:p>
        </w:tc>
        <w:tc>
          <w:tcPr>
            <w:tcW w:w="561"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p value</w:t>
            </w:r>
          </w:p>
        </w:tc>
      </w:tr>
      <w:tr w:rsidR="00AA0BD6" w:rsidRPr="00DE0878" w:rsidTr="000452C6">
        <w:trPr>
          <w:jc w:val="center"/>
        </w:trPr>
        <w:tc>
          <w:tcPr>
            <w:tcW w:w="1953"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 xml:space="preserve">Endoscopy </w:t>
            </w:r>
          </w:p>
        </w:tc>
        <w:tc>
          <w:tcPr>
            <w:tcW w:w="854"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54"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778"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61"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tcBorders>
              <w:top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roofErr w:type="spellStart"/>
            <w:r w:rsidRPr="00DE0878">
              <w:rPr>
                <w:rFonts w:ascii="Times New Roman" w:hAnsi="Times New Roman" w:cs="Times New Roman"/>
                <w:sz w:val="16"/>
                <w:szCs w:val="16"/>
              </w:rPr>
              <w:t>Fungating</w:t>
            </w:r>
            <w:proofErr w:type="spellEnd"/>
          </w:p>
        </w:tc>
        <w:tc>
          <w:tcPr>
            <w:tcW w:w="854" w:type="pct"/>
            <w:tcBorders>
              <w:top w:val="nil"/>
            </w:tcBorders>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134 (48.7%)</w:t>
            </w:r>
          </w:p>
        </w:tc>
        <w:tc>
          <w:tcPr>
            <w:tcW w:w="854" w:type="pct"/>
            <w:tcBorders>
              <w:top w:val="nil"/>
            </w:tcBorders>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84 (44.9%)</w:t>
            </w:r>
          </w:p>
        </w:tc>
        <w:tc>
          <w:tcPr>
            <w:tcW w:w="778" w:type="pct"/>
            <w:tcBorders>
              <w:top w:val="nil"/>
            </w:tcBorders>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50 (56.8%)</w:t>
            </w:r>
          </w:p>
        </w:tc>
        <w:tc>
          <w:tcPr>
            <w:tcW w:w="561" w:type="pct"/>
            <w:tcBorders>
              <w:top w:val="nil"/>
            </w:tcBorders>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Nodular</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48 (17.5%)</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36 (19.3%)</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12 (13.6%)</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0.252</w:t>
            </w: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Ulceration</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66 (24.0%)</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46 (24.6%)</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20 (22.7%)</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Stricture</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27 (9.8%)</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21 (11.2%)</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 (6.8%)</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CT Scan</w:t>
            </w:r>
          </w:p>
        </w:tc>
        <w:tc>
          <w:tcPr>
            <w:tcW w:w="85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5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77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6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CMT</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147 (53.5%)</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104 (55.6%)</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43 (48.9%)</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STM</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86 (31.3%)</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52 (27.8%)</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34 (38.6%)</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0.307</w:t>
            </w: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Stricture</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 (2.2%)</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 (2.1%)</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 (2.3%)</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Free</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36 (13.1%)</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27 (14.4%)</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9 (10.2%)</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T Stage</w:t>
            </w:r>
          </w:p>
        </w:tc>
        <w:tc>
          <w:tcPr>
            <w:tcW w:w="85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5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77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6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Clear surrounding planes</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150 (54.5%)</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101 (54.0%)</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49 (55.7%)</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Invading surroundings</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125 (45.5%)</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86 (46.0%)</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39 (44.3%)</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0.795</w:t>
            </w: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N Stage</w:t>
            </w:r>
          </w:p>
        </w:tc>
        <w:tc>
          <w:tcPr>
            <w:tcW w:w="85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5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77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6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 xml:space="preserve">Single </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14 (5.1%)</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9 (4.8%)</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5 (5.7%)</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 xml:space="preserve">Multiple </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83 (30.2%)</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50 (26.7%)</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33 (37.5%)</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0.162</w:t>
            </w: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 xml:space="preserve">No regional </w:t>
            </w:r>
            <w:proofErr w:type="spellStart"/>
            <w:r w:rsidRPr="00DE0878">
              <w:rPr>
                <w:rFonts w:ascii="Times New Roman" w:hAnsi="Times New Roman" w:cs="Times New Roman"/>
                <w:sz w:val="16"/>
                <w:szCs w:val="16"/>
              </w:rPr>
              <w:t>lymphadenopathy</w:t>
            </w:r>
            <w:proofErr w:type="spellEnd"/>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178 (64.7%)</w:t>
            </w:r>
          </w:p>
        </w:tc>
        <w:tc>
          <w:tcPr>
            <w:tcW w:w="854"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128 (68.4%)</w:t>
            </w:r>
          </w:p>
        </w:tc>
        <w:tc>
          <w:tcPr>
            <w:tcW w:w="778"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50 (56.8%)</w:t>
            </w:r>
          </w:p>
        </w:tc>
        <w:tc>
          <w:tcPr>
            <w:tcW w:w="561" w:type="pct"/>
            <w:vAlign w:val="center"/>
          </w:tcPr>
          <w:p w:rsidR="00B92F82" w:rsidRPr="00DE0878" w:rsidRDefault="00B92F82" w:rsidP="00FE79B6">
            <w:pPr>
              <w:autoSpaceDE w:val="0"/>
              <w:autoSpaceDN w:val="0"/>
              <w:adjustRightInd w:val="0"/>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M Stage</w:t>
            </w:r>
          </w:p>
        </w:tc>
        <w:tc>
          <w:tcPr>
            <w:tcW w:w="85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854"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77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6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2F3B38" w:rsidRPr="00DE0878" w:rsidRDefault="002F3B38" w:rsidP="00FE79B6">
            <w:pPr>
              <w:snapToGrid w:val="0"/>
              <w:spacing w:after="0" w:line="240" w:lineRule="auto"/>
              <w:jc w:val="both"/>
              <w:rPr>
                <w:rFonts w:ascii="Times New Roman" w:hAnsi="Times New Roman" w:cs="Times New Roman"/>
                <w:b/>
                <w:bCs/>
                <w:sz w:val="16"/>
                <w:szCs w:val="16"/>
                <w:lang w:val="en-GB"/>
              </w:rPr>
            </w:pPr>
            <w:r w:rsidRPr="00DE0878">
              <w:rPr>
                <w:rFonts w:ascii="Times New Roman" w:hAnsi="Times New Roman" w:cs="Times New Roman"/>
                <w:sz w:val="16"/>
                <w:szCs w:val="16"/>
              </w:rPr>
              <w:t>No Metastases</w:t>
            </w:r>
          </w:p>
        </w:tc>
        <w:tc>
          <w:tcPr>
            <w:tcW w:w="854"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230 (83.6%)</w:t>
            </w:r>
          </w:p>
        </w:tc>
        <w:tc>
          <w:tcPr>
            <w:tcW w:w="854"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163 (87.2%)</w:t>
            </w:r>
          </w:p>
        </w:tc>
        <w:tc>
          <w:tcPr>
            <w:tcW w:w="778"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67 (76.1%)</w:t>
            </w:r>
          </w:p>
        </w:tc>
        <w:tc>
          <w:tcPr>
            <w:tcW w:w="561" w:type="pct"/>
            <w:vAlign w:val="center"/>
          </w:tcPr>
          <w:p w:rsidR="002F3B38" w:rsidRPr="00DE0878" w:rsidRDefault="002F3B38" w:rsidP="00FE79B6">
            <w:pPr>
              <w:snapToGrid w:val="0"/>
              <w:spacing w:after="0" w:line="240" w:lineRule="auto"/>
              <w:jc w:val="both"/>
              <w:rPr>
                <w:rFonts w:ascii="Times New Roman" w:hAnsi="Times New Roman" w:cs="Times New Roman"/>
                <w:sz w:val="16"/>
                <w:szCs w:val="16"/>
                <w:lang w:val="en-GB"/>
              </w:rPr>
            </w:pPr>
          </w:p>
        </w:tc>
      </w:tr>
      <w:tr w:rsidR="00AA0BD6" w:rsidRPr="00DE0878" w:rsidTr="000452C6">
        <w:trPr>
          <w:jc w:val="center"/>
        </w:trPr>
        <w:tc>
          <w:tcPr>
            <w:tcW w:w="1953" w:type="pct"/>
            <w:vAlign w:val="center"/>
          </w:tcPr>
          <w:p w:rsidR="002F3B38" w:rsidRPr="00DE0878" w:rsidRDefault="002F3B38" w:rsidP="00FE79B6">
            <w:pPr>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rPr>
              <w:t>Metastases</w:t>
            </w:r>
          </w:p>
        </w:tc>
        <w:tc>
          <w:tcPr>
            <w:tcW w:w="854" w:type="pct"/>
            <w:vAlign w:val="center"/>
          </w:tcPr>
          <w:p w:rsidR="002F3B38" w:rsidRPr="00DE0878" w:rsidRDefault="002F3B38" w:rsidP="00FE79B6">
            <w:pPr>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45 (16.4%)</w:t>
            </w:r>
          </w:p>
        </w:tc>
        <w:tc>
          <w:tcPr>
            <w:tcW w:w="854" w:type="pct"/>
            <w:vAlign w:val="center"/>
          </w:tcPr>
          <w:p w:rsidR="002F3B38" w:rsidRPr="00DE0878" w:rsidRDefault="002F3B38" w:rsidP="00FE79B6">
            <w:pPr>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24 (12.8%)</w:t>
            </w:r>
          </w:p>
        </w:tc>
        <w:tc>
          <w:tcPr>
            <w:tcW w:w="778" w:type="pct"/>
            <w:vAlign w:val="center"/>
          </w:tcPr>
          <w:p w:rsidR="002F3B38" w:rsidRPr="00DE0878" w:rsidRDefault="002F3B38" w:rsidP="00FE79B6">
            <w:pPr>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21 (23.9%)</w:t>
            </w:r>
          </w:p>
        </w:tc>
        <w:tc>
          <w:tcPr>
            <w:tcW w:w="561" w:type="pct"/>
            <w:vAlign w:val="center"/>
          </w:tcPr>
          <w:p w:rsidR="002F3B38" w:rsidRPr="00DE0878" w:rsidRDefault="002F3B38" w:rsidP="00FE79B6">
            <w:pPr>
              <w:snapToGrid w:val="0"/>
              <w:spacing w:after="0" w:line="240" w:lineRule="auto"/>
              <w:jc w:val="both"/>
              <w:rPr>
                <w:rFonts w:ascii="Times New Roman" w:hAnsi="Times New Roman" w:cs="Times New Roman"/>
                <w:sz w:val="16"/>
                <w:szCs w:val="16"/>
                <w:lang w:val="en-GB"/>
              </w:rPr>
            </w:pPr>
          </w:p>
        </w:tc>
      </w:tr>
      <w:tr w:rsidR="00AA0BD6" w:rsidRPr="00DE0878" w:rsidTr="000452C6">
        <w:trPr>
          <w:jc w:val="center"/>
        </w:trPr>
        <w:tc>
          <w:tcPr>
            <w:tcW w:w="1953" w:type="pct"/>
            <w:vAlign w:val="center"/>
          </w:tcPr>
          <w:p w:rsidR="002F3B38" w:rsidRPr="00DE0878" w:rsidRDefault="002F3B38"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Pulmonary</w:t>
            </w:r>
          </w:p>
        </w:tc>
        <w:tc>
          <w:tcPr>
            <w:tcW w:w="854"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15 (5.5%)</w:t>
            </w:r>
          </w:p>
        </w:tc>
        <w:tc>
          <w:tcPr>
            <w:tcW w:w="854"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8 (4.3%)</w:t>
            </w:r>
          </w:p>
        </w:tc>
        <w:tc>
          <w:tcPr>
            <w:tcW w:w="778"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7 (8.0%)</w:t>
            </w:r>
          </w:p>
        </w:tc>
        <w:tc>
          <w:tcPr>
            <w:tcW w:w="561"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953" w:type="pct"/>
            <w:vAlign w:val="center"/>
          </w:tcPr>
          <w:p w:rsidR="002F3B38" w:rsidRPr="00DE0878" w:rsidRDefault="002F3B38"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Hepatic</w:t>
            </w:r>
          </w:p>
        </w:tc>
        <w:tc>
          <w:tcPr>
            <w:tcW w:w="854"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23 (8.4%)</w:t>
            </w:r>
          </w:p>
        </w:tc>
        <w:tc>
          <w:tcPr>
            <w:tcW w:w="854"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13 (7.0%)</w:t>
            </w:r>
          </w:p>
        </w:tc>
        <w:tc>
          <w:tcPr>
            <w:tcW w:w="778"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10 (11.4%)</w:t>
            </w:r>
          </w:p>
        </w:tc>
        <w:tc>
          <w:tcPr>
            <w:tcW w:w="561"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0.102</w:t>
            </w:r>
          </w:p>
        </w:tc>
      </w:tr>
      <w:tr w:rsidR="00AA0BD6" w:rsidRPr="00DE0878" w:rsidTr="000452C6">
        <w:trPr>
          <w:jc w:val="center"/>
        </w:trPr>
        <w:tc>
          <w:tcPr>
            <w:tcW w:w="1953" w:type="pct"/>
            <w:vAlign w:val="center"/>
          </w:tcPr>
          <w:p w:rsidR="002F3B38" w:rsidRPr="00DE0878" w:rsidRDefault="002F3B38"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Both</w:t>
            </w:r>
          </w:p>
        </w:tc>
        <w:tc>
          <w:tcPr>
            <w:tcW w:w="854"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7 (2.5%)</w:t>
            </w:r>
          </w:p>
        </w:tc>
        <w:tc>
          <w:tcPr>
            <w:tcW w:w="854"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 (1.6%)</w:t>
            </w:r>
          </w:p>
        </w:tc>
        <w:tc>
          <w:tcPr>
            <w:tcW w:w="778"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 (4.5%)</w:t>
            </w:r>
          </w:p>
        </w:tc>
        <w:tc>
          <w:tcPr>
            <w:tcW w:w="561" w:type="pct"/>
            <w:vAlign w:val="center"/>
          </w:tcPr>
          <w:p w:rsidR="002F3B38" w:rsidRPr="00DE0878" w:rsidRDefault="002F3B38" w:rsidP="00FE79B6">
            <w:pPr>
              <w:autoSpaceDE w:val="0"/>
              <w:autoSpaceDN w:val="0"/>
              <w:adjustRightInd w:val="0"/>
              <w:snapToGrid w:val="0"/>
              <w:spacing w:after="0" w:line="240" w:lineRule="auto"/>
              <w:jc w:val="both"/>
              <w:rPr>
                <w:rFonts w:ascii="Times New Roman" w:hAnsi="Times New Roman" w:cs="Times New Roman"/>
                <w:sz w:val="16"/>
                <w:szCs w:val="16"/>
              </w:rPr>
            </w:pPr>
          </w:p>
        </w:tc>
      </w:tr>
    </w:tbl>
    <w:p w:rsidR="00B92F82" w:rsidRPr="00DE0878" w:rsidRDefault="00662176"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sz w:val="16"/>
          <w:szCs w:val="16"/>
        </w:rPr>
        <w:t xml:space="preserve">SCC: </w:t>
      </w:r>
      <w:proofErr w:type="spellStart"/>
      <w:r w:rsidRPr="00DE0878">
        <w:rPr>
          <w:rFonts w:ascii="Times New Roman" w:hAnsi="Times New Roman" w:cs="Times New Roman"/>
          <w:sz w:val="16"/>
          <w:szCs w:val="16"/>
        </w:rPr>
        <w:t>Squamous</w:t>
      </w:r>
      <w:proofErr w:type="spellEnd"/>
      <w:r w:rsidRPr="00DE0878">
        <w:rPr>
          <w:rFonts w:ascii="Times New Roman" w:hAnsi="Times New Roman" w:cs="Times New Roman"/>
          <w:sz w:val="16"/>
          <w:szCs w:val="16"/>
        </w:rPr>
        <w:t xml:space="preserve"> cell carcinoma, ADC: </w:t>
      </w:r>
      <w:proofErr w:type="spellStart"/>
      <w:r w:rsidRPr="00DE0878">
        <w:rPr>
          <w:rFonts w:ascii="Times New Roman" w:hAnsi="Times New Roman" w:cs="Times New Roman"/>
          <w:sz w:val="16"/>
          <w:szCs w:val="16"/>
        </w:rPr>
        <w:t>Adenocarcinoma</w:t>
      </w:r>
      <w:proofErr w:type="spellEnd"/>
      <w:r w:rsidRPr="00DE0878">
        <w:rPr>
          <w:rFonts w:ascii="Times New Roman" w:hAnsi="Times New Roman" w:cs="Times New Roman"/>
          <w:sz w:val="16"/>
          <w:szCs w:val="16"/>
        </w:rPr>
        <w:t xml:space="preserve">, </w:t>
      </w:r>
      <w:r w:rsidR="00B92F82" w:rsidRPr="00DE0878">
        <w:rPr>
          <w:rFonts w:ascii="Times New Roman" w:hAnsi="Times New Roman" w:cs="Times New Roman"/>
          <w:sz w:val="16"/>
          <w:szCs w:val="16"/>
        </w:rPr>
        <w:t>CMT: Circumferential mural thickening, STM: soft tissue mass</w:t>
      </w:r>
    </w:p>
    <w:p w:rsidR="00B92F82" w:rsidRPr="000452C6" w:rsidRDefault="00B92F82" w:rsidP="00FE79B6">
      <w:pPr>
        <w:autoSpaceDE w:val="0"/>
        <w:autoSpaceDN w:val="0"/>
        <w:adjustRightInd w:val="0"/>
        <w:snapToGrid w:val="0"/>
        <w:spacing w:after="0" w:line="240" w:lineRule="auto"/>
        <w:jc w:val="center"/>
        <w:rPr>
          <w:rFonts w:ascii="Times New Roman" w:hAnsi="Times New Roman" w:cs="Times New Roman"/>
          <w:sz w:val="20"/>
          <w:szCs w:val="20"/>
        </w:rPr>
      </w:pPr>
    </w:p>
    <w:p w:rsidR="00B92F82" w:rsidRPr="000452C6" w:rsidRDefault="00B92F82" w:rsidP="00FE79B6">
      <w:pPr>
        <w:snapToGrid w:val="0"/>
        <w:spacing w:after="0" w:line="240" w:lineRule="auto"/>
        <w:jc w:val="both"/>
        <w:rPr>
          <w:rFonts w:ascii="Times New Roman" w:hAnsi="Times New Roman" w:cs="Times New Roman"/>
          <w:sz w:val="20"/>
          <w:szCs w:val="18"/>
        </w:rPr>
      </w:pPr>
      <w:r w:rsidRPr="000452C6">
        <w:rPr>
          <w:rFonts w:ascii="Times New Roman" w:hAnsi="Times New Roman" w:cs="Times New Roman"/>
          <w:sz w:val="20"/>
          <w:szCs w:val="18"/>
        </w:rPr>
        <w:lastRenderedPageBreak/>
        <w:t>Table 3: Fitness for definitive treatment of Esophageal Cancer patients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3378"/>
        <w:gridCol w:w="2348"/>
        <w:gridCol w:w="2649"/>
        <w:gridCol w:w="1101"/>
      </w:tblGrid>
      <w:tr w:rsidR="00AA0BD6" w:rsidRPr="00DE0878" w:rsidTr="000452C6">
        <w:trPr>
          <w:jc w:val="center"/>
        </w:trPr>
        <w:tc>
          <w:tcPr>
            <w:tcW w:w="1782"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p>
        </w:tc>
        <w:tc>
          <w:tcPr>
            <w:tcW w:w="1239"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Fit</w:t>
            </w:r>
            <w:r w:rsidR="00976F41" w:rsidRPr="00DE0878">
              <w:rPr>
                <w:rFonts w:ascii="Times New Roman" w:hAnsi="Times New Roman" w:cs="Times New Roman"/>
                <w:b/>
                <w:bCs/>
                <w:sz w:val="16"/>
                <w:szCs w:val="16"/>
              </w:rPr>
              <w:t xml:space="preserve"> for treatment</w:t>
            </w:r>
          </w:p>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n=195</w:t>
            </w:r>
          </w:p>
        </w:tc>
        <w:tc>
          <w:tcPr>
            <w:tcW w:w="1398"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Unfit</w:t>
            </w:r>
            <w:r w:rsidR="00976F41" w:rsidRPr="00DE0878">
              <w:rPr>
                <w:rFonts w:ascii="Times New Roman" w:hAnsi="Times New Roman" w:cs="Times New Roman"/>
                <w:b/>
                <w:bCs/>
                <w:sz w:val="16"/>
                <w:szCs w:val="16"/>
              </w:rPr>
              <w:t xml:space="preserve"> for treatment</w:t>
            </w:r>
          </w:p>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n=80</w:t>
            </w:r>
          </w:p>
        </w:tc>
        <w:tc>
          <w:tcPr>
            <w:tcW w:w="581" w:type="pct"/>
            <w:tcBorders>
              <w:bottom w:val="single" w:sz="4" w:space="0" w:color="auto"/>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p value</w:t>
            </w:r>
          </w:p>
        </w:tc>
      </w:tr>
      <w:tr w:rsidR="00AA0BD6" w:rsidRPr="00DE0878" w:rsidTr="000452C6">
        <w:trPr>
          <w:jc w:val="center"/>
        </w:trPr>
        <w:tc>
          <w:tcPr>
            <w:tcW w:w="1782"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Pathology</w:t>
            </w:r>
          </w:p>
        </w:tc>
        <w:tc>
          <w:tcPr>
            <w:tcW w:w="1239"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1398"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81"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782" w:type="pct"/>
            <w:tcBorders>
              <w:top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roofErr w:type="spellStart"/>
            <w:r w:rsidRPr="00DE0878">
              <w:rPr>
                <w:rFonts w:ascii="Times New Roman" w:hAnsi="Times New Roman" w:cs="Times New Roman"/>
                <w:sz w:val="16"/>
                <w:szCs w:val="16"/>
              </w:rPr>
              <w:t>A</w:t>
            </w:r>
            <w:r w:rsidR="00A902F5" w:rsidRPr="00DE0878">
              <w:rPr>
                <w:rFonts w:ascii="Times New Roman" w:hAnsi="Times New Roman" w:cs="Times New Roman"/>
                <w:sz w:val="16"/>
                <w:szCs w:val="16"/>
              </w:rPr>
              <w:t>denocarcinoma</w:t>
            </w:r>
            <w:proofErr w:type="spellEnd"/>
          </w:p>
        </w:tc>
        <w:tc>
          <w:tcPr>
            <w:tcW w:w="1239" w:type="pct"/>
            <w:tcBorders>
              <w:top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70 (79.5%)</w:t>
            </w:r>
          </w:p>
        </w:tc>
        <w:tc>
          <w:tcPr>
            <w:tcW w:w="1398" w:type="pct"/>
            <w:tcBorders>
              <w:top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18 (20.5%)</w:t>
            </w:r>
          </w:p>
        </w:tc>
        <w:tc>
          <w:tcPr>
            <w:tcW w:w="581" w:type="pct"/>
            <w:tcBorders>
              <w:top w:val="nil"/>
            </w:tcBorders>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0.031</w:t>
            </w:r>
          </w:p>
        </w:tc>
      </w:tr>
      <w:tr w:rsidR="00AA0BD6" w:rsidRPr="00DE0878" w:rsidTr="000452C6">
        <w:trPr>
          <w:jc w:val="center"/>
        </w:trPr>
        <w:tc>
          <w:tcPr>
            <w:tcW w:w="1782"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roofErr w:type="spellStart"/>
            <w:r w:rsidRPr="00DE0878">
              <w:rPr>
                <w:rFonts w:ascii="Times New Roman" w:hAnsi="Times New Roman" w:cs="Times New Roman"/>
                <w:sz w:val="16"/>
                <w:szCs w:val="16"/>
              </w:rPr>
              <w:t>S</w:t>
            </w:r>
            <w:r w:rsidR="00A902F5" w:rsidRPr="00DE0878">
              <w:rPr>
                <w:rFonts w:ascii="Times New Roman" w:hAnsi="Times New Roman" w:cs="Times New Roman"/>
                <w:sz w:val="16"/>
                <w:szCs w:val="16"/>
              </w:rPr>
              <w:t>quamous</w:t>
            </w:r>
            <w:proofErr w:type="spellEnd"/>
            <w:r w:rsidR="00A902F5" w:rsidRPr="00DE0878">
              <w:rPr>
                <w:rFonts w:ascii="Times New Roman" w:hAnsi="Times New Roman" w:cs="Times New Roman"/>
                <w:sz w:val="16"/>
                <w:szCs w:val="16"/>
              </w:rPr>
              <w:t xml:space="preserve"> cell carcinoma</w:t>
            </w:r>
          </w:p>
        </w:tc>
        <w:tc>
          <w:tcPr>
            <w:tcW w:w="1239"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125 (66.8%)</w:t>
            </w:r>
          </w:p>
        </w:tc>
        <w:tc>
          <w:tcPr>
            <w:tcW w:w="139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62 (33.2%)</w:t>
            </w:r>
          </w:p>
        </w:tc>
        <w:tc>
          <w:tcPr>
            <w:tcW w:w="58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782" w:type="pct"/>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Stage</w:t>
            </w:r>
          </w:p>
        </w:tc>
        <w:tc>
          <w:tcPr>
            <w:tcW w:w="1239"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139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8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782"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Early</w:t>
            </w:r>
          </w:p>
        </w:tc>
        <w:tc>
          <w:tcPr>
            <w:tcW w:w="1239"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57 (64.8%)</w:t>
            </w:r>
          </w:p>
        </w:tc>
        <w:tc>
          <w:tcPr>
            <w:tcW w:w="139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31 (35.2%)</w:t>
            </w:r>
          </w:p>
        </w:tc>
        <w:tc>
          <w:tcPr>
            <w:tcW w:w="58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782"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Advanced</w:t>
            </w:r>
          </w:p>
        </w:tc>
        <w:tc>
          <w:tcPr>
            <w:tcW w:w="1239"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111 (78.2%)</w:t>
            </w:r>
          </w:p>
        </w:tc>
        <w:tc>
          <w:tcPr>
            <w:tcW w:w="139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31 (35.2%)</w:t>
            </w:r>
          </w:p>
        </w:tc>
        <w:tc>
          <w:tcPr>
            <w:tcW w:w="58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0.020</w:t>
            </w:r>
          </w:p>
        </w:tc>
      </w:tr>
      <w:tr w:rsidR="00AA0BD6" w:rsidRPr="00DE0878" w:rsidTr="000452C6">
        <w:trPr>
          <w:jc w:val="center"/>
        </w:trPr>
        <w:tc>
          <w:tcPr>
            <w:tcW w:w="1782"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Metastatic</w:t>
            </w:r>
          </w:p>
        </w:tc>
        <w:tc>
          <w:tcPr>
            <w:tcW w:w="1239"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27 (60.0%)</w:t>
            </w:r>
          </w:p>
        </w:tc>
        <w:tc>
          <w:tcPr>
            <w:tcW w:w="139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18 (40.0%)</w:t>
            </w:r>
          </w:p>
        </w:tc>
        <w:tc>
          <w:tcPr>
            <w:tcW w:w="58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782" w:type="pct"/>
            <w:vAlign w:val="center"/>
          </w:tcPr>
          <w:p w:rsidR="00B92F82" w:rsidRPr="00DE0878" w:rsidRDefault="00B92F82" w:rsidP="00FE79B6">
            <w:pPr>
              <w:snapToGrid w:val="0"/>
              <w:spacing w:after="0" w:line="240" w:lineRule="auto"/>
              <w:jc w:val="both"/>
              <w:rPr>
                <w:rFonts w:ascii="Times New Roman" w:hAnsi="Times New Roman" w:cs="Times New Roman"/>
                <w:b/>
                <w:bCs/>
                <w:sz w:val="16"/>
                <w:szCs w:val="16"/>
              </w:rPr>
            </w:pPr>
            <w:r w:rsidRPr="00DE0878">
              <w:rPr>
                <w:rFonts w:ascii="Times New Roman" w:hAnsi="Times New Roman" w:cs="Times New Roman"/>
                <w:b/>
                <w:bCs/>
                <w:sz w:val="16"/>
                <w:szCs w:val="16"/>
              </w:rPr>
              <w:t>Site</w:t>
            </w:r>
          </w:p>
        </w:tc>
        <w:tc>
          <w:tcPr>
            <w:tcW w:w="1239"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139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c>
          <w:tcPr>
            <w:tcW w:w="58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782"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Upper</w:t>
            </w:r>
            <w:r w:rsidR="00A902F5" w:rsidRPr="00DE0878">
              <w:rPr>
                <w:rFonts w:ascii="Times New Roman" w:hAnsi="Times New Roman" w:cs="Times New Roman"/>
                <w:sz w:val="16"/>
                <w:szCs w:val="16"/>
              </w:rPr>
              <w:t xml:space="preserve"> third</w:t>
            </w:r>
          </w:p>
        </w:tc>
        <w:tc>
          <w:tcPr>
            <w:tcW w:w="1239"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34 (77.3%)</w:t>
            </w:r>
          </w:p>
        </w:tc>
        <w:tc>
          <w:tcPr>
            <w:tcW w:w="139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10 (22.7%)</w:t>
            </w:r>
          </w:p>
        </w:tc>
        <w:tc>
          <w:tcPr>
            <w:tcW w:w="58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782"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Middle</w:t>
            </w:r>
            <w:r w:rsidR="00A902F5" w:rsidRPr="00DE0878">
              <w:rPr>
                <w:rFonts w:ascii="Times New Roman" w:hAnsi="Times New Roman" w:cs="Times New Roman"/>
                <w:sz w:val="16"/>
                <w:szCs w:val="16"/>
              </w:rPr>
              <w:t xml:space="preserve"> third</w:t>
            </w:r>
          </w:p>
        </w:tc>
        <w:tc>
          <w:tcPr>
            <w:tcW w:w="1239"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43 (58.9%)</w:t>
            </w:r>
          </w:p>
        </w:tc>
        <w:tc>
          <w:tcPr>
            <w:tcW w:w="139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30 (41.1%)</w:t>
            </w:r>
          </w:p>
        </w:tc>
        <w:tc>
          <w:tcPr>
            <w:tcW w:w="58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0.016</w:t>
            </w:r>
          </w:p>
        </w:tc>
      </w:tr>
      <w:tr w:rsidR="00AA0BD6" w:rsidRPr="00DE0878" w:rsidTr="000452C6">
        <w:trPr>
          <w:jc w:val="center"/>
        </w:trPr>
        <w:tc>
          <w:tcPr>
            <w:tcW w:w="1782"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Lower</w:t>
            </w:r>
            <w:r w:rsidR="00A902F5" w:rsidRPr="00DE0878">
              <w:rPr>
                <w:rFonts w:ascii="Times New Roman" w:hAnsi="Times New Roman" w:cs="Times New Roman"/>
                <w:sz w:val="16"/>
                <w:szCs w:val="16"/>
              </w:rPr>
              <w:t xml:space="preserve"> third</w:t>
            </w:r>
          </w:p>
        </w:tc>
        <w:tc>
          <w:tcPr>
            <w:tcW w:w="1239"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98 (72.1%)</w:t>
            </w:r>
          </w:p>
        </w:tc>
        <w:tc>
          <w:tcPr>
            <w:tcW w:w="139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38 (27.9%)</w:t>
            </w:r>
          </w:p>
        </w:tc>
        <w:tc>
          <w:tcPr>
            <w:tcW w:w="58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r w:rsidR="00AA0BD6" w:rsidRPr="00DE0878" w:rsidTr="000452C6">
        <w:trPr>
          <w:jc w:val="center"/>
        </w:trPr>
        <w:tc>
          <w:tcPr>
            <w:tcW w:w="1782"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roofErr w:type="spellStart"/>
            <w:r w:rsidRPr="00DE0878">
              <w:rPr>
                <w:rFonts w:ascii="Times New Roman" w:hAnsi="Times New Roman" w:cs="Times New Roman"/>
                <w:sz w:val="16"/>
                <w:szCs w:val="16"/>
              </w:rPr>
              <w:t>G</w:t>
            </w:r>
            <w:r w:rsidR="00A902F5" w:rsidRPr="00DE0878">
              <w:rPr>
                <w:rFonts w:ascii="Times New Roman" w:hAnsi="Times New Roman" w:cs="Times New Roman"/>
                <w:sz w:val="16"/>
                <w:szCs w:val="16"/>
              </w:rPr>
              <w:t>astroesophageal</w:t>
            </w:r>
            <w:proofErr w:type="spellEnd"/>
            <w:r w:rsidR="00A902F5" w:rsidRPr="00DE0878">
              <w:rPr>
                <w:rFonts w:ascii="Times New Roman" w:hAnsi="Times New Roman" w:cs="Times New Roman"/>
                <w:sz w:val="16"/>
                <w:szCs w:val="16"/>
              </w:rPr>
              <w:t xml:space="preserve"> junction</w:t>
            </w:r>
          </w:p>
        </w:tc>
        <w:tc>
          <w:tcPr>
            <w:tcW w:w="1239"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20 (90.9%)</w:t>
            </w:r>
          </w:p>
        </w:tc>
        <w:tc>
          <w:tcPr>
            <w:tcW w:w="1398"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2 (9.1%)</w:t>
            </w:r>
          </w:p>
        </w:tc>
        <w:tc>
          <w:tcPr>
            <w:tcW w:w="581" w:type="pct"/>
            <w:vAlign w:val="center"/>
          </w:tcPr>
          <w:p w:rsidR="00B92F82" w:rsidRPr="00DE0878" w:rsidRDefault="00B92F82" w:rsidP="00FE79B6">
            <w:pPr>
              <w:snapToGrid w:val="0"/>
              <w:spacing w:after="0" w:line="240" w:lineRule="auto"/>
              <w:jc w:val="both"/>
              <w:rPr>
                <w:rFonts w:ascii="Times New Roman" w:hAnsi="Times New Roman" w:cs="Times New Roman"/>
                <w:sz w:val="16"/>
                <w:szCs w:val="16"/>
              </w:rPr>
            </w:pPr>
          </w:p>
        </w:tc>
      </w:tr>
    </w:tbl>
    <w:p w:rsidR="00B92F82" w:rsidRPr="000452C6" w:rsidRDefault="00B92F82" w:rsidP="00FE79B6">
      <w:pPr>
        <w:snapToGrid w:val="0"/>
        <w:spacing w:after="0" w:line="240" w:lineRule="auto"/>
        <w:jc w:val="center"/>
        <w:rPr>
          <w:rFonts w:ascii="Times New Roman" w:hAnsi="Times New Roman" w:cs="Times New Roman"/>
          <w:b/>
          <w:bCs/>
          <w:sz w:val="20"/>
          <w:szCs w:val="18"/>
        </w:rPr>
      </w:pPr>
    </w:p>
    <w:p w:rsidR="00B92F82" w:rsidRPr="000452C6" w:rsidRDefault="00B92F82" w:rsidP="00FE79B6">
      <w:pPr>
        <w:snapToGrid w:val="0"/>
        <w:spacing w:after="0" w:line="240" w:lineRule="auto"/>
        <w:jc w:val="center"/>
        <w:rPr>
          <w:rFonts w:ascii="Times New Roman" w:hAnsi="Times New Roman" w:cs="Times New Roman"/>
          <w:sz w:val="20"/>
          <w:szCs w:val="18"/>
        </w:rPr>
      </w:pPr>
      <w:r w:rsidRPr="000452C6">
        <w:rPr>
          <w:rFonts w:ascii="Times New Roman" w:hAnsi="Times New Roman" w:cs="Times New Roman"/>
          <w:sz w:val="20"/>
          <w:szCs w:val="18"/>
        </w:rPr>
        <w:t xml:space="preserve">Table 4: Management modalities of </w:t>
      </w:r>
      <w:r w:rsidR="00634980" w:rsidRPr="000452C6">
        <w:rPr>
          <w:rFonts w:ascii="Times New Roman" w:hAnsi="Times New Roman" w:cs="Times New Roman"/>
          <w:sz w:val="20"/>
          <w:szCs w:val="18"/>
        </w:rPr>
        <w:t xml:space="preserve">esophageal cancer </w:t>
      </w:r>
      <w:r w:rsidRPr="000452C6">
        <w:rPr>
          <w:rFonts w:ascii="Times New Roman" w:hAnsi="Times New Roman" w:cs="Times New Roman"/>
          <w:sz w:val="20"/>
          <w:szCs w:val="18"/>
        </w:rPr>
        <w:t>patients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1473"/>
        <w:gridCol w:w="1598"/>
        <w:gridCol w:w="1334"/>
        <w:gridCol w:w="3737"/>
        <w:gridCol w:w="1334"/>
      </w:tblGrid>
      <w:tr w:rsidR="00B705C2" w:rsidRPr="00DE0878" w:rsidTr="000452C6">
        <w:trPr>
          <w:jc w:val="center"/>
        </w:trPr>
        <w:tc>
          <w:tcPr>
            <w:tcW w:w="777" w:type="pct"/>
            <w:tcBorders>
              <w:bottom w:val="single" w:sz="4" w:space="0" w:color="auto"/>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 </w:t>
            </w:r>
          </w:p>
        </w:tc>
        <w:tc>
          <w:tcPr>
            <w:tcW w:w="843" w:type="pct"/>
            <w:tcBorders>
              <w:bottom w:val="single" w:sz="4" w:space="0" w:color="auto"/>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proofErr w:type="spellStart"/>
            <w:r w:rsidRPr="00DE0878">
              <w:rPr>
                <w:rFonts w:ascii="Times New Roman" w:eastAsia="Times New Roman" w:hAnsi="Times New Roman" w:cs="Times New Roman"/>
                <w:b/>
                <w:bCs/>
                <w:sz w:val="16"/>
                <w:szCs w:val="16"/>
              </w:rPr>
              <w:t>Neoadjuvant</w:t>
            </w:r>
            <w:proofErr w:type="spellEnd"/>
          </w:p>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n=66</w:t>
            </w:r>
          </w:p>
        </w:tc>
        <w:tc>
          <w:tcPr>
            <w:tcW w:w="704" w:type="pct"/>
            <w:tcBorders>
              <w:bottom w:val="single" w:sz="4" w:space="0" w:color="auto"/>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Surgery</w:t>
            </w:r>
          </w:p>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n=96</w:t>
            </w:r>
          </w:p>
        </w:tc>
        <w:tc>
          <w:tcPr>
            <w:tcW w:w="1972" w:type="pct"/>
            <w:tcBorders>
              <w:bottom w:val="single" w:sz="4" w:space="0" w:color="auto"/>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Definitive Chemo/Radiotherapy</w:t>
            </w:r>
          </w:p>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n=38</w:t>
            </w:r>
          </w:p>
        </w:tc>
        <w:tc>
          <w:tcPr>
            <w:tcW w:w="704" w:type="pct"/>
            <w:tcBorders>
              <w:bottom w:val="single" w:sz="4" w:space="0" w:color="auto"/>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Palliative</w:t>
            </w:r>
          </w:p>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b/>
                <w:bCs/>
                <w:sz w:val="16"/>
                <w:szCs w:val="16"/>
              </w:rPr>
              <w:t>n=75</w:t>
            </w:r>
          </w:p>
        </w:tc>
      </w:tr>
      <w:tr w:rsidR="00B705C2" w:rsidRPr="00DE0878" w:rsidTr="000452C6">
        <w:trPr>
          <w:jc w:val="center"/>
        </w:trPr>
        <w:tc>
          <w:tcPr>
            <w:tcW w:w="777" w:type="pct"/>
            <w:tcBorders>
              <w:top w:val="single" w:sz="4" w:space="0" w:color="auto"/>
              <w:bottom w:val="nil"/>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Pathology</w:t>
            </w:r>
          </w:p>
        </w:tc>
        <w:tc>
          <w:tcPr>
            <w:tcW w:w="843" w:type="pct"/>
            <w:tcBorders>
              <w:top w:val="single" w:sz="4" w:space="0" w:color="auto"/>
              <w:bottom w:val="nil"/>
            </w:tcBorders>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704" w:type="pct"/>
            <w:tcBorders>
              <w:top w:val="single" w:sz="4" w:space="0" w:color="auto"/>
              <w:bottom w:val="nil"/>
            </w:tcBorders>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1972" w:type="pct"/>
            <w:tcBorders>
              <w:top w:val="single" w:sz="4" w:space="0" w:color="auto"/>
              <w:bottom w:val="nil"/>
            </w:tcBorders>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704" w:type="pct"/>
            <w:tcBorders>
              <w:top w:val="single" w:sz="4" w:space="0" w:color="auto"/>
              <w:bottom w:val="nil"/>
            </w:tcBorders>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777" w:type="pct"/>
            <w:tcBorders>
              <w:top w:val="nil"/>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ADC</w:t>
            </w:r>
          </w:p>
        </w:tc>
        <w:tc>
          <w:tcPr>
            <w:tcW w:w="843" w:type="pct"/>
            <w:tcBorders>
              <w:top w:val="nil"/>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22 (25.0%)</w:t>
            </w:r>
          </w:p>
        </w:tc>
        <w:tc>
          <w:tcPr>
            <w:tcW w:w="704" w:type="pct"/>
            <w:tcBorders>
              <w:top w:val="nil"/>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36 (40.9%)</w:t>
            </w:r>
          </w:p>
        </w:tc>
        <w:tc>
          <w:tcPr>
            <w:tcW w:w="1972" w:type="pct"/>
            <w:tcBorders>
              <w:top w:val="nil"/>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 (3.4%)</w:t>
            </w:r>
          </w:p>
        </w:tc>
        <w:tc>
          <w:tcPr>
            <w:tcW w:w="704" w:type="pct"/>
            <w:tcBorders>
              <w:top w:val="nil"/>
            </w:tcBorders>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27 (30.7%)</w:t>
            </w:r>
          </w:p>
        </w:tc>
      </w:tr>
      <w:tr w:rsidR="00B705C2" w:rsidRPr="00DE0878" w:rsidTr="000452C6">
        <w:trPr>
          <w:jc w:val="center"/>
        </w:trPr>
        <w:tc>
          <w:tcPr>
            <w:tcW w:w="777"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SCC</w:t>
            </w:r>
          </w:p>
        </w:tc>
        <w:tc>
          <w:tcPr>
            <w:tcW w:w="843"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44 (23.5%)</w:t>
            </w:r>
          </w:p>
        </w:tc>
        <w:tc>
          <w:tcPr>
            <w:tcW w:w="704"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60 (32.1%)</w:t>
            </w:r>
          </w:p>
        </w:tc>
        <w:tc>
          <w:tcPr>
            <w:tcW w:w="1972"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35 (18.7%)</w:t>
            </w:r>
          </w:p>
        </w:tc>
        <w:tc>
          <w:tcPr>
            <w:tcW w:w="704"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48 (25.7%)</w:t>
            </w:r>
          </w:p>
        </w:tc>
      </w:tr>
      <w:tr w:rsidR="00B705C2" w:rsidRPr="00DE0878" w:rsidTr="000452C6">
        <w:trPr>
          <w:jc w:val="center"/>
        </w:trPr>
        <w:tc>
          <w:tcPr>
            <w:tcW w:w="777"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Stage</w:t>
            </w:r>
          </w:p>
        </w:tc>
        <w:tc>
          <w:tcPr>
            <w:tcW w:w="843" w:type="pct"/>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704" w:type="pct"/>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1972" w:type="pct"/>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704" w:type="pct"/>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777"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Early</w:t>
            </w:r>
          </w:p>
        </w:tc>
        <w:tc>
          <w:tcPr>
            <w:tcW w:w="843"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6 (6.9%)</w:t>
            </w:r>
          </w:p>
        </w:tc>
        <w:tc>
          <w:tcPr>
            <w:tcW w:w="704"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55 (63.2%)</w:t>
            </w:r>
          </w:p>
        </w:tc>
        <w:tc>
          <w:tcPr>
            <w:tcW w:w="1972"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13 (14.9%)</w:t>
            </w:r>
          </w:p>
        </w:tc>
        <w:tc>
          <w:tcPr>
            <w:tcW w:w="704"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13 (14.9%)</w:t>
            </w:r>
          </w:p>
        </w:tc>
      </w:tr>
      <w:tr w:rsidR="00B705C2" w:rsidRPr="00DE0878" w:rsidTr="000452C6">
        <w:trPr>
          <w:jc w:val="center"/>
        </w:trPr>
        <w:tc>
          <w:tcPr>
            <w:tcW w:w="777"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Advanced</w:t>
            </w:r>
          </w:p>
        </w:tc>
        <w:tc>
          <w:tcPr>
            <w:tcW w:w="843"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55 (37.8%)</w:t>
            </w:r>
          </w:p>
        </w:tc>
        <w:tc>
          <w:tcPr>
            <w:tcW w:w="704"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41 (28.9%)</w:t>
            </w:r>
          </w:p>
        </w:tc>
        <w:tc>
          <w:tcPr>
            <w:tcW w:w="1972"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25 (17.6%)</w:t>
            </w:r>
          </w:p>
        </w:tc>
        <w:tc>
          <w:tcPr>
            <w:tcW w:w="704"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21 (14.8%)</w:t>
            </w:r>
          </w:p>
        </w:tc>
      </w:tr>
      <w:tr w:rsidR="00B705C2" w:rsidRPr="00DE0878" w:rsidTr="000452C6">
        <w:trPr>
          <w:jc w:val="center"/>
        </w:trPr>
        <w:tc>
          <w:tcPr>
            <w:tcW w:w="777"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Metastatic</w:t>
            </w:r>
          </w:p>
        </w:tc>
        <w:tc>
          <w:tcPr>
            <w:tcW w:w="843"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5 (10.9%)</w:t>
            </w:r>
          </w:p>
        </w:tc>
        <w:tc>
          <w:tcPr>
            <w:tcW w:w="704"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 (0.0%)</w:t>
            </w:r>
          </w:p>
        </w:tc>
        <w:tc>
          <w:tcPr>
            <w:tcW w:w="1972"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 (0.0%)</w:t>
            </w:r>
          </w:p>
        </w:tc>
        <w:tc>
          <w:tcPr>
            <w:tcW w:w="704"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41 (89.1%)</w:t>
            </w:r>
          </w:p>
        </w:tc>
      </w:tr>
      <w:tr w:rsidR="00B705C2" w:rsidRPr="00DE0878" w:rsidTr="000452C6">
        <w:trPr>
          <w:jc w:val="center"/>
        </w:trPr>
        <w:tc>
          <w:tcPr>
            <w:tcW w:w="777"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Site</w:t>
            </w:r>
          </w:p>
        </w:tc>
        <w:tc>
          <w:tcPr>
            <w:tcW w:w="843" w:type="pct"/>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704" w:type="pct"/>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1972" w:type="pct"/>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704" w:type="pct"/>
            <w:shd w:val="clear" w:color="auto" w:fill="auto"/>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777" w:type="pct"/>
            <w:shd w:val="clear" w:color="auto" w:fill="auto"/>
            <w:vAlign w:val="center"/>
            <w:hideMark/>
          </w:tcPr>
          <w:p w:rsidR="00634980" w:rsidRPr="00DE0878" w:rsidRDefault="00634980"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Upper third</w:t>
            </w:r>
          </w:p>
        </w:tc>
        <w:tc>
          <w:tcPr>
            <w:tcW w:w="843"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8 (18.2%)</w:t>
            </w:r>
          </w:p>
        </w:tc>
        <w:tc>
          <w:tcPr>
            <w:tcW w:w="704"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9 (20.5%)</w:t>
            </w:r>
          </w:p>
        </w:tc>
        <w:tc>
          <w:tcPr>
            <w:tcW w:w="1972"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24 (54.5%)</w:t>
            </w:r>
          </w:p>
        </w:tc>
        <w:tc>
          <w:tcPr>
            <w:tcW w:w="704"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 (6.8%)</w:t>
            </w:r>
          </w:p>
        </w:tc>
      </w:tr>
      <w:tr w:rsidR="00B705C2" w:rsidRPr="00DE0878" w:rsidTr="000452C6">
        <w:trPr>
          <w:jc w:val="center"/>
        </w:trPr>
        <w:tc>
          <w:tcPr>
            <w:tcW w:w="777" w:type="pct"/>
            <w:shd w:val="clear" w:color="auto" w:fill="auto"/>
            <w:vAlign w:val="center"/>
            <w:hideMark/>
          </w:tcPr>
          <w:p w:rsidR="00634980" w:rsidRPr="00DE0878" w:rsidRDefault="00634980"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Middle third</w:t>
            </w:r>
          </w:p>
        </w:tc>
        <w:tc>
          <w:tcPr>
            <w:tcW w:w="843"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21 (28.8%)</w:t>
            </w:r>
          </w:p>
        </w:tc>
        <w:tc>
          <w:tcPr>
            <w:tcW w:w="704"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18 (24.7%)</w:t>
            </w:r>
          </w:p>
        </w:tc>
        <w:tc>
          <w:tcPr>
            <w:tcW w:w="1972"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10 (13.7%)</w:t>
            </w:r>
          </w:p>
        </w:tc>
        <w:tc>
          <w:tcPr>
            <w:tcW w:w="704"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24 (32.9%)</w:t>
            </w:r>
          </w:p>
        </w:tc>
      </w:tr>
      <w:tr w:rsidR="00B705C2" w:rsidRPr="00DE0878" w:rsidTr="000452C6">
        <w:trPr>
          <w:jc w:val="center"/>
        </w:trPr>
        <w:tc>
          <w:tcPr>
            <w:tcW w:w="777" w:type="pct"/>
            <w:shd w:val="clear" w:color="auto" w:fill="auto"/>
            <w:vAlign w:val="center"/>
            <w:hideMark/>
          </w:tcPr>
          <w:p w:rsidR="00634980" w:rsidRPr="00DE0878" w:rsidRDefault="00634980"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Lower third</w:t>
            </w:r>
          </w:p>
        </w:tc>
        <w:tc>
          <w:tcPr>
            <w:tcW w:w="843"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29 (21.3%)</w:t>
            </w:r>
          </w:p>
        </w:tc>
        <w:tc>
          <w:tcPr>
            <w:tcW w:w="704"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59 (43.4%)</w:t>
            </w:r>
          </w:p>
        </w:tc>
        <w:tc>
          <w:tcPr>
            <w:tcW w:w="1972"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4 (2.9%)</w:t>
            </w:r>
          </w:p>
        </w:tc>
        <w:tc>
          <w:tcPr>
            <w:tcW w:w="704" w:type="pct"/>
            <w:shd w:val="clear" w:color="auto" w:fill="auto"/>
            <w:vAlign w:val="center"/>
            <w:hideMark/>
          </w:tcPr>
          <w:p w:rsidR="00634980" w:rsidRPr="00DE0878" w:rsidRDefault="00634980"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44 (32.4%)</w:t>
            </w:r>
          </w:p>
        </w:tc>
      </w:tr>
      <w:tr w:rsidR="00B705C2" w:rsidRPr="00DE0878" w:rsidTr="000452C6">
        <w:trPr>
          <w:jc w:val="center"/>
        </w:trPr>
        <w:tc>
          <w:tcPr>
            <w:tcW w:w="777"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GEJ</w:t>
            </w:r>
          </w:p>
        </w:tc>
        <w:tc>
          <w:tcPr>
            <w:tcW w:w="843"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8 (36.4%)</w:t>
            </w:r>
          </w:p>
        </w:tc>
        <w:tc>
          <w:tcPr>
            <w:tcW w:w="704"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10 (45.5%)</w:t>
            </w:r>
          </w:p>
        </w:tc>
        <w:tc>
          <w:tcPr>
            <w:tcW w:w="1972"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 (0.0%)</w:t>
            </w:r>
          </w:p>
        </w:tc>
        <w:tc>
          <w:tcPr>
            <w:tcW w:w="704" w:type="pct"/>
            <w:shd w:val="clear" w:color="auto" w:fill="auto"/>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4 (18.2%)</w:t>
            </w:r>
          </w:p>
        </w:tc>
      </w:tr>
    </w:tbl>
    <w:p w:rsidR="00F73770" w:rsidRPr="00DE0878" w:rsidRDefault="00422F13" w:rsidP="00FE79B6">
      <w:pPr>
        <w:snapToGrid w:val="0"/>
        <w:spacing w:after="0" w:line="240" w:lineRule="auto"/>
        <w:jc w:val="both"/>
        <w:rPr>
          <w:rFonts w:ascii="Times New Roman" w:hAnsi="Times New Roman" w:cs="Times New Roman"/>
          <w:sz w:val="16"/>
          <w:szCs w:val="16"/>
        </w:rPr>
      </w:pPr>
      <w:r w:rsidRPr="00DE0878">
        <w:rPr>
          <w:rFonts w:ascii="Times New Roman" w:hAnsi="Times New Roman" w:cs="Times New Roman"/>
          <w:sz w:val="16"/>
          <w:szCs w:val="16"/>
        </w:rPr>
        <w:t xml:space="preserve">SCC: </w:t>
      </w:r>
      <w:proofErr w:type="spellStart"/>
      <w:r w:rsidRPr="00DE0878">
        <w:rPr>
          <w:rFonts w:ascii="Times New Roman" w:hAnsi="Times New Roman" w:cs="Times New Roman"/>
          <w:sz w:val="16"/>
          <w:szCs w:val="16"/>
        </w:rPr>
        <w:t>Squamous</w:t>
      </w:r>
      <w:proofErr w:type="spellEnd"/>
      <w:r w:rsidRPr="00DE0878">
        <w:rPr>
          <w:rFonts w:ascii="Times New Roman" w:hAnsi="Times New Roman" w:cs="Times New Roman"/>
          <w:sz w:val="16"/>
          <w:szCs w:val="16"/>
        </w:rPr>
        <w:t xml:space="preserve"> cell carcinoma, ADC: </w:t>
      </w:r>
      <w:proofErr w:type="spellStart"/>
      <w:r w:rsidRPr="00DE0878">
        <w:rPr>
          <w:rFonts w:ascii="Times New Roman" w:hAnsi="Times New Roman" w:cs="Times New Roman"/>
          <w:sz w:val="16"/>
          <w:szCs w:val="16"/>
        </w:rPr>
        <w:t>Adenocarcinoma</w:t>
      </w:r>
      <w:proofErr w:type="spellEnd"/>
      <w:r w:rsidRPr="00DE0878">
        <w:rPr>
          <w:rFonts w:ascii="Times New Roman" w:hAnsi="Times New Roman" w:cs="Times New Roman"/>
          <w:sz w:val="16"/>
          <w:szCs w:val="16"/>
        </w:rPr>
        <w:t xml:space="preserve">, </w:t>
      </w:r>
      <w:r w:rsidR="00F73770" w:rsidRPr="00DE0878">
        <w:rPr>
          <w:rFonts w:ascii="Times New Roman" w:hAnsi="Times New Roman" w:cs="Times New Roman"/>
          <w:sz w:val="16"/>
          <w:szCs w:val="16"/>
        </w:rPr>
        <w:t xml:space="preserve">GEJ: </w:t>
      </w:r>
      <w:proofErr w:type="spellStart"/>
      <w:r w:rsidR="00F73770" w:rsidRPr="00DE0878">
        <w:rPr>
          <w:rFonts w:ascii="Times New Roman" w:hAnsi="Times New Roman" w:cs="Times New Roman"/>
          <w:sz w:val="16"/>
          <w:szCs w:val="16"/>
        </w:rPr>
        <w:t>Gastroesophageal</w:t>
      </w:r>
      <w:proofErr w:type="spellEnd"/>
      <w:r w:rsidR="00F73770" w:rsidRPr="00DE0878">
        <w:rPr>
          <w:rFonts w:ascii="Times New Roman" w:hAnsi="Times New Roman" w:cs="Times New Roman"/>
          <w:sz w:val="16"/>
          <w:szCs w:val="16"/>
        </w:rPr>
        <w:t xml:space="preserve"> Junction</w:t>
      </w:r>
    </w:p>
    <w:p w:rsidR="00FE79B6" w:rsidRDefault="000452C6" w:rsidP="00FE79B6">
      <w:pPr>
        <w:snapToGrid w:val="0"/>
        <w:spacing w:after="0" w:line="240" w:lineRule="auto"/>
        <w:ind w:firstLine="425"/>
        <w:jc w:val="both"/>
        <w:rPr>
          <w:rFonts w:ascii="Times New Roman" w:hAnsi="Times New Roman" w:cs="Times New Roman"/>
          <w:sz w:val="20"/>
          <w:szCs w:val="20"/>
        </w:rPr>
        <w:sectPr w:rsidR="00FE79B6" w:rsidSect="000452C6">
          <w:type w:val="continuous"/>
          <w:pgSz w:w="12242" w:h="15842" w:code="1"/>
          <w:pgMar w:top="1440" w:right="1440" w:bottom="1440" w:left="1440" w:header="720" w:footer="720" w:gutter="0"/>
          <w:cols w:space="720"/>
          <w:docGrid w:linePitch="299"/>
        </w:sectPr>
      </w:pPr>
      <w:r>
        <w:rPr>
          <w:rFonts w:ascii="Times New Roman" w:hAnsi="Times New Roman" w:cs="Times New Roman"/>
          <w:sz w:val="20"/>
          <w:szCs w:val="20"/>
        </w:rPr>
        <w:cr/>
      </w:r>
    </w:p>
    <w:p w:rsidR="00B92F82" w:rsidRPr="000452C6" w:rsidRDefault="00B92F82"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lastRenderedPageBreak/>
        <w:t xml:space="preserve">Surgical exploration without any prior therapy was done for 96 patients (34.9%), while 66 patients (24%) were referred to receive </w:t>
      </w:r>
      <w:proofErr w:type="spellStart"/>
      <w:r w:rsidRPr="000452C6">
        <w:rPr>
          <w:rFonts w:ascii="Times New Roman" w:hAnsi="Times New Roman" w:cs="Times New Roman"/>
          <w:sz w:val="20"/>
          <w:szCs w:val="20"/>
        </w:rPr>
        <w:t>neoadjuvant</w:t>
      </w:r>
      <w:proofErr w:type="spellEnd"/>
      <w:r w:rsidRPr="000452C6">
        <w:rPr>
          <w:rFonts w:ascii="Times New Roman" w:hAnsi="Times New Roman" w:cs="Times New Roman"/>
          <w:sz w:val="20"/>
          <w:szCs w:val="20"/>
        </w:rPr>
        <w:t xml:space="preserve"> therapy. Definitive chemo/radiotherapy was given to 38 pat</w:t>
      </w:r>
      <w:r w:rsidR="00FB25AF" w:rsidRPr="000452C6">
        <w:rPr>
          <w:rFonts w:ascii="Times New Roman" w:hAnsi="Times New Roman" w:cs="Times New Roman"/>
          <w:sz w:val="20"/>
          <w:szCs w:val="20"/>
        </w:rPr>
        <w:t>i</w:t>
      </w:r>
      <w:r w:rsidRPr="000452C6">
        <w:rPr>
          <w:rFonts w:ascii="Times New Roman" w:hAnsi="Times New Roman" w:cs="Times New Roman"/>
          <w:sz w:val="20"/>
          <w:szCs w:val="20"/>
        </w:rPr>
        <w:t xml:space="preserve">ents (13.8%) either because </w:t>
      </w:r>
      <w:r w:rsidR="00FB25AF" w:rsidRPr="000452C6">
        <w:rPr>
          <w:rFonts w:ascii="Times New Roman" w:hAnsi="Times New Roman" w:cs="Times New Roman"/>
          <w:sz w:val="20"/>
          <w:szCs w:val="20"/>
        </w:rPr>
        <w:t xml:space="preserve">of poor </w:t>
      </w:r>
      <w:r w:rsidRPr="000452C6">
        <w:rPr>
          <w:rFonts w:ascii="Times New Roman" w:hAnsi="Times New Roman" w:cs="Times New Roman"/>
          <w:sz w:val="20"/>
          <w:szCs w:val="20"/>
        </w:rPr>
        <w:t xml:space="preserve">performance </w:t>
      </w:r>
      <w:r w:rsidR="00FB25AF" w:rsidRPr="000452C6">
        <w:rPr>
          <w:rFonts w:ascii="Times New Roman" w:hAnsi="Times New Roman" w:cs="Times New Roman"/>
          <w:sz w:val="20"/>
          <w:szCs w:val="20"/>
        </w:rPr>
        <w:t xml:space="preserve">status, site and stage of tumor, </w:t>
      </w:r>
      <w:r w:rsidRPr="000452C6">
        <w:rPr>
          <w:rFonts w:ascii="Times New Roman" w:hAnsi="Times New Roman" w:cs="Times New Roman"/>
          <w:sz w:val="20"/>
          <w:szCs w:val="20"/>
        </w:rPr>
        <w:t>or desire of the patients</w:t>
      </w:r>
      <w:r w:rsidR="00FB25AF" w:rsidRPr="000452C6">
        <w:rPr>
          <w:rFonts w:ascii="Times New Roman" w:hAnsi="Times New Roman" w:cs="Times New Roman"/>
          <w:sz w:val="20"/>
          <w:szCs w:val="20"/>
        </w:rPr>
        <w:t>. Some patients declined s</w:t>
      </w:r>
      <w:r w:rsidR="004211BB" w:rsidRPr="000452C6">
        <w:rPr>
          <w:rFonts w:ascii="Times New Roman" w:hAnsi="Times New Roman" w:cs="Times New Roman"/>
          <w:sz w:val="20"/>
          <w:szCs w:val="20"/>
        </w:rPr>
        <w:t xml:space="preserve">urgery </w:t>
      </w:r>
      <w:r w:rsidR="007E4F77" w:rsidRPr="000452C6">
        <w:rPr>
          <w:rFonts w:ascii="Times New Roman" w:hAnsi="Times New Roman" w:cs="Times New Roman"/>
          <w:sz w:val="20"/>
          <w:szCs w:val="20"/>
        </w:rPr>
        <w:t>to avoid functional disturbance after such operation</w:t>
      </w:r>
      <w:r w:rsidRPr="000452C6">
        <w:rPr>
          <w:rFonts w:ascii="Times New Roman" w:hAnsi="Times New Roman" w:cs="Times New Roman"/>
          <w:sz w:val="20"/>
          <w:szCs w:val="20"/>
        </w:rPr>
        <w:t xml:space="preserve">. Of those who received </w:t>
      </w:r>
      <w:proofErr w:type="spellStart"/>
      <w:r w:rsidRPr="000452C6">
        <w:rPr>
          <w:rFonts w:ascii="Times New Roman" w:hAnsi="Times New Roman" w:cs="Times New Roman"/>
          <w:sz w:val="20"/>
          <w:szCs w:val="20"/>
        </w:rPr>
        <w:t>neoadjuvant</w:t>
      </w:r>
      <w:proofErr w:type="spellEnd"/>
      <w:r w:rsidRPr="000452C6">
        <w:rPr>
          <w:rFonts w:ascii="Times New Roman" w:hAnsi="Times New Roman" w:cs="Times New Roman"/>
          <w:sz w:val="20"/>
          <w:szCs w:val="20"/>
        </w:rPr>
        <w:t xml:space="preserve"> therapy, 17/66 patients (25.7%) showed regressive course and referred for surgical resection. Best supportive care and palliative therapy was given to 75 patients (27.2%). After surgical exploration, 29/113 patients (25.7%) turned out to be inoperable. Therefore, surgical resection was done for 84 patients.</w:t>
      </w:r>
    </w:p>
    <w:p w:rsidR="00B92F82" w:rsidRPr="000452C6" w:rsidRDefault="00B92F82" w:rsidP="00FE79B6">
      <w:pPr>
        <w:snapToGrid w:val="0"/>
        <w:spacing w:after="0" w:line="240" w:lineRule="auto"/>
        <w:jc w:val="both"/>
        <w:rPr>
          <w:rFonts w:ascii="Times New Roman" w:hAnsi="Times New Roman" w:cs="Times New Roman"/>
          <w:b/>
          <w:bCs/>
          <w:sz w:val="20"/>
          <w:szCs w:val="20"/>
        </w:rPr>
      </w:pPr>
      <w:r w:rsidRPr="000452C6">
        <w:rPr>
          <w:rFonts w:ascii="Times New Roman" w:hAnsi="Times New Roman" w:cs="Times New Roman"/>
          <w:b/>
          <w:bCs/>
          <w:sz w:val="20"/>
          <w:szCs w:val="20"/>
        </w:rPr>
        <w:t>Surgical Procedures</w:t>
      </w:r>
    </w:p>
    <w:p w:rsidR="009D2482" w:rsidRPr="000452C6" w:rsidRDefault="009D2482" w:rsidP="00FE79B6">
      <w:pPr>
        <w:snapToGrid w:val="0"/>
        <w:spacing w:after="0" w:line="240" w:lineRule="auto"/>
        <w:ind w:firstLine="425"/>
        <w:jc w:val="both"/>
        <w:rPr>
          <w:rFonts w:ascii="Times New Roman" w:eastAsia="Times New Roman" w:hAnsi="Times New Roman" w:cs="Times New Roman"/>
          <w:sz w:val="20"/>
          <w:szCs w:val="20"/>
        </w:rPr>
      </w:pPr>
      <w:r w:rsidRPr="000452C6">
        <w:rPr>
          <w:rFonts w:ascii="Times New Roman" w:hAnsi="Times New Roman" w:cs="Times New Roman"/>
          <w:sz w:val="20"/>
          <w:szCs w:val="20"/>
        </w:rPr>
        <w:t xml:space="preserve">All upper third lesions were treated with total </w:t>
      </w:r>
      <w:proofErr w:type="spellStart"/>
      <w:r w:rsidRPr="000452C6">
        <w:rPr>
          <w:rFonts w:ascii="Times New Roman" w:hAnsi="Times New Roman" w:cs="Times New Roman"/>
          <w:sz w:val="20"/>
          <w:szCs w:val="20"/>
        </w:rPr>
        <w:t>pharyngolaryngectomy</w:t>
      </w:r>
      <w:proofErr w:type="spellEnd"/>
      <w:r w:rsidRPr="000452C6">
        <w:rPr>
          <w:rFonts w:ascii="Times New Roman" w:hAnsi="Times New Roman" w:cs="Times New Roman"/>
          <w:sz w:val="20"/>
          <w:szCs w:val="20"/>
        </w:rPr>
        <w:t xml:space="preserve"> </w:t>
      </w:r>
      <w:r w:rsidR="00CD4495" w:rsidRPr="000452C6">
        <w:rPr>
          <w:rFonts w:ascii="Times New Roman" w:hAnsi="Times New Roman" w:cs="Times New Roman"/>
          <w:sz w:val="20"/>
          <w:szCs w:val="20"/>
        </w:rPr>
        <w:t xml:space="preserve">(TPL) </w:t>
      </w:r>
      <w:r w:rsidRPr="000452C6">
        <w:rPr>
          <w:rFonts w:ascii="Times New Roman" w:hAnsi="Times New Roman" w:cs="Times New Roman"/>
          <w:sz w:val="20"/>
          <w:szCs w:val="20"/>
        </w:rPr>
        <w:t xml:space="preserve">with gastric pull-up and </w:t>
      </w:r>
      <w:proofErr w:type="spellStart"/>
      <w:r w:rsidRPr="000452C6">
        <w:rPr>
          <w:rFonts w:ascii="Times New Roman" w:hAnsi="Times New Roman" w:cs="Times New Roman"/>
          <w:sz w:val="20"/>
          <w:szCs w:val="20"/>
        </w:rPr>
        <w:t>tracheostomy</w:t>
      </w:r>
      <w:proofErr w:type="spellEnd"/>
      <w:r w:rsidR="0047198F" w:rsidRPr="000452C6">
        <w:rPr>
          <w:rFonts w:ascii="Times New Roman" w:hAnsi="Times New Roman" w:cs="Times New Roman"/>
          <w:sz w:val="20"/>
          <w:szCs w:val="20"/>
        </w:rPr>
        <w:t xml:space="preserve"> (Table 5)</w:t>
      </w:r>
      <w:r w:rsidRPr="000452C6">
        <w:rPr>
          <w:rFonts w:ascii="Times New Roman" w:hAnsi="Times New Roman" w:cs="Times New Roman"/>
          <w:sz w:val="20"/>
          <w:szCs w:val="20"/>
        </w:rPr>
        <w:t xml:space="preserve">. </w:t>
      </w:r>
      <w:proofErr w:type="spellStart"/>
      <w:r w:rsidRPr="000452C6">
        <w:rPr>
          <w:rFonts w:ascii="Times New Roman" w:hAnsi="Times New Roman" w:cs="Times New Roman"/>
          <w:sz w:val="20"/>
          <w:szCs w:val="20"/>
        </w:rPr>
        <w:t>Transthoracic</w:t>
      </w:r>
      <w:proofErr w:type="spellEnd"/>
      <w:r w:rsidRPr="000452C6">
        <w:rPr>
          <w:rFonts w:ascii="Times New Roman" w:hAnsi="Times New Roman" w:cs="Times New Roman"/>
          <w:sz w:val="20"/>
          <w:szCs w:val="20"/>
        </w:rPr>
        <w:t xml:space="preserve"> approach was more lengthy in duration than the other approaches (p = 0.032). Adequate proximal margin was achieved in significantly higher proportion of trans-</w:t>
      </w:r>
      <w:proofErr w:type="spellStart"/>
      <w:r w:rsidRPr="000452C6">
        <w:rPr>
          <w:rFonts w:ascii="Times New Roman" w:hAnsi="Times New Roman" w:cs="Times New Roman"/>
          <w:sz w:val="20"/>
          <w:szCs w:val="20"/>
        </w:rPr>
        <w:t>hiatal</w:t>
      </w:r>
      <w:proofErr w:type="spellEnd"/>
      <w:r w:rsidRPr="000452C6">
        <w:rPr>
          <w:rFonts w:ascii="Times New Roman" w:hAnsi="Times New Roman" w:cs="Times New Roman"/>
          <w:sz w:val="20"/>
          <w:szCs w:val="20"/>
        </w:rPr>
        <w:t xml:space="preserve"> approaches (p = 0.002). Adequate distal margin was achieved in significantly higher proportion of TPL approaches (p = 0.031). </w:t>
      </w:r>
      <w:r w:rsidRPr="000452C6">
        <w:rPr>
          <w:rFonts w:ascii="Times New Roman" w:eastAsia="Times New Roman" w:hAnsi="Times New Roman" w:cs="Times New Roman"/>
          <w:sz w:val="20"/>
          <w:szCs w:val="20"/>
        </w:rPr>
        <w:t xml:space="preserve">Adequate </w:t>
      </w:r>
      <w:proofErr w:type="spellStart"/>
      <w:r w:rsidRPr="000452C6">
        <w:rPr>
          <w:rFonts w:ascii="Times New Roman" w:eastAsia="Times New Roman" w:hAnsi="Times New Roman" w:cs="Times New Roman"/>
          <w:sz w:val="20"/>
          <w:szCs w:val="20"/>
        </w:rPr>
        <w:t>Lymphadenectomy</w:t>
      </w:r>
      <w:proofErr w:type="spellEnd"/>
      <w:r w:rsidRPr="000452C6">
        <w:rPr>
          <w:rFonts w:ascii="Times New Roman" w:eastAsia="Times New Roman" w:hAnsi="Times New Roman" w:cs="Times New Roman"/>
          <w:sz w:val="20"/>
          <w:szCs w:val="20"/>
        </w:rPr>
        <w:t xml:space="preserve"> </w:t>
      </w:r>
      <w:r w:rsidRPr="000452C6">
        <w:rPr>
          <w:rFonts w:ascii="Times New Roman" w:eastAsia="Times New Roman" w:hAnsi="Times New Roman" w:cs="Times New Roman"/>
          <w:sz w:val="20"/>
          <w:szCs w:val="20"/>
        </w:rPr>
        <w:lastRenderedPageBreak/>
        <w:t>was significantly more in TPL approach but the difference was not statistically significant (p = 0.082).</w:t>
      </w:r>
    </w:p>
    <w:p w:rsidR="00D76005" w:rsidRPr="000452C6" w:rsidRDefault="00D76005" w:rsidP="00FE79B6">
      <w:pPr>
        <w:snapToGrid w:val="0"/>
        <w:spacing w:after="0" w:line="240" w:lineRule="auto"/>
        <w:jc w:val="both"/>
        <w:rPr>
          <w:rFonts w:ascii="Times New Roman" w:hAnsi="Times New Roman" w:cs="Times New Roman"/>
          <w:b/>
          <w:bCs/>
          <w:sz w:val="20"/>
          <w:szCs w:val="20"/>
        </w:rPr>
      </w:pPr>
      <w:r w:rsidRPr="000452C6">
        <w:rPr>
          <w:rFonts w:ascii="Times New Roman" w:hAnsi="Times New Roman" w:cs="Times New Roman"/>
          <w:b/>
          <w:bCs/>
          <w:sz w:val="20"/>
          <w:szCs w:val="20"/>
        </w:rPr>
        <w:t>Outcome of treatment</w:t>
      </w:r>
    </w:p>
    <w:p w:rsidR="00D76005" w:rsidRPr="000452C6" w:rsidRDefault="00D76005" w:rsidP="00FE79B6">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Postoperative morbidities were recorded in 55 patients (65.5%). These complications were respiratory (n=29, 34.6%), cardiovascular (n=18, 21.4%), surgical (n=26, 30.9%), and other complications (n=13, 15.4%). In-hospital mortality occurred in 17 patients (20.2%). Morbidities occurred more frequently in older patients but the difference was not statistically significant (p=0.093), also mortality did not differ by age (p=0.131). Also, there was no significant association of morbidities and mortalities with pre-, intra- and postoperative risk factors (Tables 6-8).</w:t>
      </w:r>
    </w:p>
    <w:p w:rsidR="00D76005" w:rsidRPr="000452C6" w:rsidRDefault="00D76005"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Postoperative anemia (</w:t>
      </w:r>
      <w:proofErr w:type="spellStart"/>
      <w:r w:rsidRPr="000452C6">
        <w:rPr>
          <w:rFonts w:ascii="Times New Roman" w:hAnsi="Times New Roman" w:cs="Times New Roman"/>
          <w:sz w:val="20"/>
          <w:szCs w:val="20"/>
        </w:rPr>
        <w:t>Hb</w:t>
      </w:r>
      <w:proofErr w:type="spellEnd"/>
      <w:r w:rsidRPr="000452C6">
        <w:rPr>
          <w:rFonts w:ascii="Times New Roman" w:hAnsi="Times New Roman" w:cs="Times New Roman"/>
          <w:sz w:val="20"/>
          <w:szCs w:val="20"/>
        </w:rPr>
        <w:t>&lt; 10 gm/</w:t>
      </w:r>
      <w:proofErr w:type="spellStart"/>
      <w:r w:rsidRPr="000452C6">
        <w:rPr>
          <w:rFonts w:ascii="Times New Roman" w:hAnsi="Times New Roman" w:cs="Times New Roman"/>
          <w:sz w:val="20"/>
          <w:szCs w:val="20"/>
        </w:rPr>
        <w:t>dL</w:t>
      </w:r>
      <w:proofErr w:type="spellEnd"/>
      <w:r w:rsidRPr="000452C6">
        <w:rPr>
          <w:rFonts w:ascii="Times New Roman" w:hAnsi="Times New Roman" w:cs="Times New Roman"/>
          <w:sz w:val="20"/>
          <w:szCs w:val="20"/>
        </w:rPr>
        <w:t>) was significantly associated with higher postoperative morbidities (p = 0.037) and in-hospital mortality (p&lt;0.001). Low postoperative albumin level (≤2.5 mg/dl) was associated with higher in-hospital mortality (p&lt;0.001). The in-hospital mortality was significantly higher in patients who did not start feeding more than 4 postoperative days (p &lt; 0.001) (Table 8).</w:t>
      </w:r>
    </w:p>
    <w:p w:rsidR="00FE79B6" w:rsidRDefault="00FE79B6" w:rsidP="00FE79B6">
      <w:pPr>
        <w:snapToGrid w:val="0"/>
        <w:spacing w:after="0" w:line="240" w:lineRule="auto"/>
        <w:ind w:firstLine="425"/>
        <w:jc w:val="both"/>
        <w:rPr>
          <w:rFonts w:ascii="Times New Roman" w:eastAsia="Times New Roman" w:hAnsi="Times New Roman" w:cs="Times New Roman"/>
          <w:sz w:val="20"/>
          <w:szCs w:val="20"/>
        </w:rPr>
        <w:sectPr w:rsidR="00FE79B6" w:rsidSect="00FE79B6">
          <w:type w:val="continuous"/>
          <w:pgSz w:w="12242" w:h="15842" w:code="1"/>
          <w:pgMar w:top="1440" w:right="1440" w:bottom="1440" w:left="1440" w:header="720" w:footer="720" w:gutter="0"/>
          <w:cols w:num="2" w:space="550"/>
          <w:docGrid w:linePitch="299"/>
        </w:sectPr>
      </w:pPr>
    </w:p>
    <w:p w:rsidR="00D76005" w:rsidRPr="000452C6" w:rsidRDefault="00D76005" w:rsidP="00FE79B6">
      <w:pPr>
        <w:snapToGrid w:val="0"/>
        <w:spacing w:after="0" w:line="240" w:lineRule="auto"/>
        <w:ind w:firstLine="425"/>
        <w:jc w:val="both"/>
        <w:rPr>
          <w:rFonts w:ascii="Times New Roman" w:eastAsia="Times New Roman" w:hAnsi="Times New Roman" w:cs="Times New Roman"/>
          <w:sz w:val="20"/>
          <w:szCs w:val="20"/>
        </w:rPr>
      </w:pPr>
    </w:p>
    <w:p w:rsidR="00B92F82" w:rsidRPr="00DE0878" w:rsidRDefault="00B92F82" w:rsidP="00FE79B6">
      <w:pPr>
        <w:snapToGrid w:val="0"/>
        <w:spacing w:after="0" w:line="240" w:lineRule="auto"/>
        <w:jc w:val="both"/>
        <w:rPr>
          <w:rFonts w:ascii="Times New Roman" w:hAnsi="Times New Roman" w:cs="Times New Roman"/>
          <w:sz w:val="15"/>
          <w:szCs w:val="15"/>
        </w:rPr>
      </w:pPr>
      <w:r w:rsidRPr="000452C6">
        <w:rPr>
          <w:rFonts w:ascii="Times New Roman" w:hAnsi="Times New Roman" w:cs="Times New Roman"/>
          <w:sz w:val="20"/>
          <w:szCs w:val="20"/>
        </w:rPr>
        <w:lastRenderedPageBreak/>
        <w:t xml:space="preserve">Table 5: The </w:t>
      </w:r>
      <w:proofErr w:type="spellStart"/>
      <w:r w:rsidRPr="000452C6">
        <w:rPr>
          <w:rFonts w:ascii="Times New Roman" w:hAnsi="Times New Roman" w:cs="Times New Roman"/>
          <w:sz w:val="20"/>
          <w:szCs w:val="20"/>
        </w:rPr>
        <w:t>intraoperative</w:t>
      </w:r>
      <w:proofErr w:type="spellEnd"/>
      <w:r w:rsidRPr="000452C6">
        <w:rPr>
          <w:rFonts w:ascii="Times New Roman" w:hAnsi="Times New Roman" w:cs="Times New Roman"/>
          <w:sz w:val="20"/>
          <w:szCs w:val="20"/>
        </w:rPr>
        <w:t xml:space="preserve"> factors in different surgical approache</w:t>
      </w:r>
      <w:r w:rsidR="009D2482" w:rsidRPr="000452C6">
        <w:rPr>
          <w:rFonts w:ascii="Times New Roman" w:hAnsi="Times New Roman" w:cs="Times New Roman"/>
          <w:sz w:val="20"/>
          <w:szCs w:val="20"/>
        </w:rPr>
        <w:t>s</w:t>
      </w:r>
      <w:r w:rsidRPr="000452C6">
        <w:rPr>
          <w:rFonts w:ascii="Times New Roman" w:hAnsi="Times New Roman" w:cs="Times New Roman"/>
          <w:sz w:val="20"/>
          <w:szCs w:val="20"/>
        </w:rPr>
        <w:t xml:space="preserve"> done for 84 patients with esophageal cancer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3109"/>
        <w:gridCol w:w="1646"/>
        <w:gridCol w:w="1395"/>
        <w:gridCol w:w="1198"/>
        <w:gridCol w:w="1264"/>
        <w:gridCol w:w="864"/>
      </w:tblGrid>
      <w:tr w:rsidR="00B705C2" w:rsidRPr="00DE0878" w:rsidTr="000452C6">
        <w:trPr>
          <w:jc w:val="center"/>
        </w:trPr>
        <w:tc>
          <w:tcPr>
            <w:tcW w:w="1640" w:type="pct"/>
            <w:tcBorders>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sz w:val="15"/>
                <w:szCs w:val="15"/>
              </w:rPr>
            </w:pPr>
          </w:p>
        </w:tc>
        <w:tc>
          <w:tcPr>
            <w:tcW w:w="868" w:type="pct"/>
            <w:tcBorders>
              <w:bottom w:val="single" w:sz="4" w:space="0" w:color="auto"/>
            </w:tcBorders>
            <w:shd w:val="clear" w:color="auto" w:fill="auto"/>
            <w:noWrap/>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Trans-thoracic</w:t>
            </w:r>
            <w:r w:rsidR="00FE79B6" w:rsidRPr="00DE0878">
              <w:rPr>
                <w:rFonts w:ascii="Times New Roman" w:eastAsia="Times New Roman" w:hAnsi="Times New Roman" w:cs="Times New Roman"/>
                <w:b/>
                <w:bCs/>
                <w:sz w:val="15"/>
                <w:szCs w:val="15"/>
              </w:rPr>
              <w:t xml:space="preserve"> </w:t>
            </w:r>
            <w:r w:rsidRPr="00DE0878">
              <w:rPr>
                <w:rFonts w:ascii="Times New Roman" w:eastAsia="Times New Roman" w:hAnsi="Times New Roman" w:cs="Times New Roman"/>
                <w:b/>
                <w:bCs/>
                <w:sz w:val="15"/>
                <w:szCs w:val="15"/>
              </w:rPr>
              <w:t>n=51</w:t>
            </w:r>
          </w:p>
        </w:tc>
        <w:tc>
          <w:tcPr>
            <w:tcW w:w="736" w:type="pct"/>
            <w:tcBorders>
              <w:bottom w:val="single" w:sz="4" w:space="0" w:color="auto"/>
            </w:tcBorders>
            <w:shd w:val="clear" w:color="auto" w:fill="auto"/>
            <w:noWrap/>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Trans-</w:t>
            </w:r>
            <w:proofErr w:type="spellStart"/>
            <w:r w:rsidRPr="00DE0878">
              <w:rPr>
                <w:rFonts w:ascii="Times New Roman" w:eastAsia="Times New Roman" w:hAnsi="Times New Roman" w:cs="Times New Roman"/>
                <w:b/>
                <w:bCs/>
                <w:sz w:val="15"/>
                <w:szCs w:val="15"/>
              </w:rPr>
              <w:t>hiatal</w:t>
            </w:r>
            <w:proofErr w:type="spellEnd"/>
            <w:r w:rsidR="00FE79B6" w:rsidRPr="00DE0878">
              <w:rPr>
                <w:rFonts w:ascii="Times New Roman" w:eastAsia="Times New Roman" w:hAnsi="Times New Roman" w:cs="Times New Roman"/>
                <w:b/>
                <w:bCs/>
                <w:sz w:val="15"/>
                <w:szCs w:val="15"/>
              </w:rPr>
              <w:t xml:space="preserve"> </w:t>
            </w:r>
            <w:r w:rsidRPr="00DE0878">
              <w:rPr>
                <w:rFonts w:ascii="Times New Roman" w:eastAsia="Times New Roman" w:hAnsi="Times New Roman" w:cs="Times New Roman"/>
                <w:b/>
                <w:bCs/>
                <w:sz w:val="15"/>
                <w:szCs w:val="15"/>
              </w:rPr>
              <w:t>n=12</w:t>
            </w:r>
          </w:p>
        </w:tc>
        <w:tc>
          <w:tcPr>
            <w:tcW w:w="632" w:type="pct"/>
            <w:tcBorders>
              <w:bottom w:val="single" w:sz="4" w:space="0" w:color="auto"/>
            </w:tcBorders>
            <w:shd w:val="clear" w:color="auto" w:fill="auto"/>
            <w:noWrap/>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TPL</w:t>
            </w:r>
            <w:r w:rsidR="00FE79B6" w:rsidRPr="00DE0878">
              <w:rPr>
                <w:rFonts w:ascii="Times New Roman" w:eastAsia="Times New Roman" w:hAnsi="Times New Roman" w:cs="Times New Roman"/>
                <w:b/>
                <w:bCs/>
                <w:sz w:val="15"/>
                <w:szCs w:val="15"/>
              </w:rPr>
              <w:t xml:space="preserve"> </w:t>
            </w:r>
            <w:r w:rsidRPr="00DE0878">
              <w:rPr>
                <w:rFonts w:ascii="Times New Roman" w:eastAsia="Times New Roman" w:hAnsi="Times New Roman" w:cs="Times New Roman"/>
                <w:b/>
                <w:bCs/>
                <w:sz w:val="15"/>
                <w:szCs w:val="15"/>
              </w:rPr>
              <w:t>n=9</w:t>
            </w:r>
          </w:p>
        </w:tc>
        <w:tc>
          <w:tcPr>
            <w:tcW w:w="667" w:type="pct"/>
            <w:tcBorders>
              <w:bottom w:val="single" w:sz="4" w:space="0" w:color="auto"/>
            </w:tcBorders>
            <w:shd w:val="clear" w:color="auto" w:fill="auto"/>
            <w:noWrap/>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Abdominal</w:t>
            </w:r>
            <w:r w:rsidR="00FE79B6" w:rsidRPr="00DE0878">
              <w:rPr>
                <w:rFonts w:ascii="Times New Roman" w:eastAsia="Times New Roman" w:hAnsi="Times New Roman" w:cs="Times New Roman"/>
                <w:b/>
                <w:bCs/>
                <w:sz w:val="15"/>
                <w:szCs w:val="15"/>
              </w:rPr>
              <w:t xml:space="preserve"> </w:t>
            </w:r>
            <w:r w:rsidRPr="00DE0878">
              <w:rPr>
                <w:rFonts w:ascii="Times New Roman" w:eastAsia="Times New Roman" w:hAnsi="Times New Roman" w:cs="Times New Roman"/>
                <w:b/>
                <w:bCs/>
                <w:sz w:val="15"/>
                <w:szCs w:val="15"/>
              </w:rPr>
              <w:t>n=12</w:t>
            </w:r>
          </w:p>
        </w:tc>
        <w:tc>
          <w:tcPr>
            <w:tcW w:w="456" w:type="pct"/>
            <w:tcBorders>
              <w:bottom w:val="single" w:sz="4" w:space="0" w:color="auto"/>
            </w:tcBorders>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p value</w:t>
            </w:r>
          </w:p>
        </w:tc>
      </w:tr>
      <w:tr w:rsidR="00B705C2" w:rsidRPr="00DE0878" w:rsidTr="000452C6">
        <w:trPr>
          <w:jc w:val="center"/>
        </w:trPr>
        <w:tc>
          <w:tcPr>
            <w:tcW w:w="1640" w:type="pct"/>
            <w:tcBorders>
              <w:top w:val="single" w:sz="4" w:space="0" w:color="auto"/>
              <w:bottom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Site</w:t>
            </w:r>
          </w:p>
        </w:tc>
        <w:tc>
          <w:tcPr>
            <w:tcW w:w="868" w:type="pct"/>
            <w:tcBorders>
              <w:top w:val="single" w:sz="4" w:space="0" w:color="auto"/>
              <w:bottom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36" w:type="pct"/>
            <w:tcBorders>
              <w:top w:val="single" w:sz="4" w:space="0" w:color="auto"/>
              <w:bottom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32" w:type="pct"/>
            <w:tcBorders>
              <w:top w:val="single" w:sz="4" w:space="0" w:color="auto"/>
              <w:bottom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67" w:type="pct"/>
            <w:tcBorders>
              <w:top w:val="single" w:sz="4" w:space="0" w:color="auto"/>
              <w:bottom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456" w:type="pct"/>
            <w:tcBorders>
              <w:top w:val="single" w:sz="4" w:space="0" w:color="auto"/>
              <w:bottom w:val="nil"/>
            </w:tcBorders>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640"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Upper (</w:t>
            </w:r>
            <w:r w:rsidR="00195C6D" w:rsidRPr="00DE0878">
              <w:rPr>
                <w:rFonts w:ascii="Times New Roman" w:eastAsia="Times New Roman" w:hAnsi="Times New Roman" w:cs="Times New Roman"/>
                <w:sz w:val="15"/>
                <w:szCs w:val="15"/>
              </w:rPr>
              <w:t>n=</w:t>
            </w:r>
            <w:r w:rsidRPr="00DE0878">
              <w:rPr>
                <w:rFonts w:ascii="Times New Roman" w:eastAsia="Times New Roman" w:hAnsi="Times New Roman" w:cs="Times New Roman"/>
                <w:sz w:val="15"/>
                <w:szCs w:val="15"/>
              </w:rPr>
              <w:t>9)</w:t>
            </w:r>
          </w:p>
        </w:tc>
        <w:tc>
          <w:tcPr>
            <w:tcW w:w="868"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736"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632"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9 (100.0%)</w:t>
            </w:r>
          </w:p>
        </w:tc>
        <w:tc>
          <w:tcPr>
            <w:tcW w:w="667"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456" w:type="pct"/>
            <w:tcBorders>
              <w:top w:val="nil"/>
            </w:tcBorders>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w:t>
            </w: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Middle (</w:t>
            </w:r>
            <w:r w:rsidR="00195C6D" w:rsidRPr="00DE0878">
              <w:rPr>
                <w:rFonts w:ascii="Times New Roman" w:eastAsia="Times New Roman" w:hAnsi="Times New Roman" w:cs="Times New Roman"/>
                <w:sz w:val="15"/>
                <w:szCs w:val="15"/>
              </w:rPr>
              <w:t>n=</w:t>
            </w:r>
            <w:r w:rsidRPr="00DE0878">
              <w:rPr>
                <w:rFonts w:ascii="Times New Roman" w:eastAsia="Times New Roman" w:hAnsi="Times New Roman" w:cs="Times New Roman"/>
                <w:sz w:val="15"/>
                <w:szCs w:val="15"/>
              </w:rPr>
              <w:t>19)</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16 (84.2%)</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 (15.8%)</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Lower (</w:t>
            </w:r>
            <w:r w:rsidR="00195C6D" w:rsidRPr="00DE0878">
              <w:rPr>
                <w:rFonts w:ascii="Times New Roman" w:eastAsia="Times New Roman" w:hAnsi="Times New Roman" w:cs="Times New Roman"/>
                <w:sz w:val="15"/>
                <w:szCs w:val="15"/>
              </w:rPr>
              <w:t>n=</w:t>
            </w:r>
            <w:r w:rsidRPr="00DE0878">
              <w:rPr>
                <w:rFonts w:ascii="Times New Roman" w:eastAsia="Times New Roman" w:hAnsi="Times New Roman" w:cs="Times New Roman"/>
                <w:sz w:val="15"/>
                <w:szCs w:val="15"/>
              </w:rPr>
              <w:t>42)</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30 (71.4%)</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(16.7%)</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 (11.9%)</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GEJ (</w:t>
            </w:r>
            <w:r w:rsidR="00195C6D" w:rsidRPr="00DE0878">
              <w:rPr>
                <w:rFonts w:ascii="Times New Roman" w:eastAsia="Times New Roman" w:hAnsi="Times New Roman" w:cs="Times New Roman"/>
                <w:sz w:val="15"/>
                <w:szCs w:val="15"/>
              </w:rPr>
              <w:t>n=</w:t>
            </w:r>
            <w:r w:rsidRPr="00DE0878">
              <w:rPr>
                <w:rFonts w:ascii="Times New Roman" w:eastAsia="Times New Roman" w:hAnsi="Times New Roman" w:cs="Times New Roman"/>
                <w:sz w:val="15"/>
                <w:szCs w:val="15"/>
              </w:rPr>
              <w:t>14)</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 (35.7%)</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 (14.3%)</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(50.0%)</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Duration</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&lt; 4 hrs</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8 (15.7%)</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 (50.0%)</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 (33.3%)</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 (50.0%)</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4-6 hrs</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33 (64.7%)</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 (50.0%)</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 (44.4%)</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 (50.0%)</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0.032</w:t>
            </w: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&gt; 6 hrs</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10 (19.6%)</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 (22.2%)</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640" w:type="pct"/>
            <w:shd w:val="clear" w:color="auto" w:fill="auto"/>
            <w:noWrap/>
            <w:vAlign w:val="center"/>
          </w:tcPr>
          <w:p w:rsidR="00B92F82" w:rsidRPr="00DE0878" w:rsidRDefault="00B92F82"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Blood Loss</w:t>
            </w:r>
          </w:p>
        </w:tc>
        <w:tc>
          <w:tcPr>
            <w:tcW w:w="868" w:type="pct"/>
            <w:shd w:val="clear" w:color="auto" w:fill="auto"/>
            <w:noWrap/>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36" w:type="pct"/>
            <w:shd w:val="clear" w:color="auto" w:fill="auto"/>
            <w:noWrap/>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32" w:type="pct"/>
            <w:shd w:val="clear" w:color="auto" w:fill="auto"/>
            <w:noWrap/>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67" w:type="pct"/>
            <w:shd w:val="clear" w:color="auto" w:fill="auto"/>
            <w:noWrap/>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&lt; 500 ml</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14 (27.5%)</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 (50.0%)</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 (22.2%)</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 (16.7%)</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w:t>
            </w: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500-1000 ml</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27 (52.9%)</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 (41.7%)</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 (44.4%)</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(58.3%)</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&gt; 1000 ml</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10 (19.6%)</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 (8.3%)</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 (33.3%)</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 (25.0%)</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Adequate Proximal Margin</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14 (27.5%)</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(58.3%)</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 (0.0%)</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0.002</w:t>
            </w: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Adequate Distal Margin</w:t>
            </w:r>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27 (52.9%)</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 (25.0%)</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 (66.7%)</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10 (83.3%)</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0.031</w:t>
            </w:r>
          </w:p>
        </w:tc>
      </w:tr>
      <w:tr w:rsidR="00B705C2" w:rsidRPr="00DE0878" w:rsidTr="000452C6">
        <w:trPr>
          <w:jc w:val="center"/>
        </w:trPr>
        <w:tc>
          <w:tcPr>
            <w:tcW w:w="1640"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 xml:space="preserve">Adequate </w:t>
            </w:r>
            <w:proofErr w:type="spellStart"/>
            <w:r w:rsidRPr="00DE0878">
              <w:rPr>
                <w:rFonts w:ascii="Times New Roman" w:eastAsia="Times New Roman" w:hAnsi="Times New Roman" w:cs="Times New Roman"/>
                <w:b/>
                <w:bCs/>
                <w:sz w:val="15"/>
                <w:szCs w:val="15"/>
              </w:rPr>
              <w:t>Lymphadenectomy</w:t>
            </w:r>
            <w:proofErr w:type="spellEnd"/>
          </w:p>
        </w:tc>
        <w:tc>
          <w:tcPr>
            <w:tcW w:w="8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17 (33.3%)</w:t>
            </w:r>
          </w:p>
        </w:tc>
        <w:tc>
          <w:tcPr>
            <w:tcW w:w="73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 (33.3%)</w:t>
            </w:r>
          </w:p>
        </w:tc>
        <w:tc>
          <w:tcPr>
            <w:tcW w:w="63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(77.8%)</w:t>
            </w:r>
          </w:p>
        </w:tc>
        <w:tc>
          <w:tcPr>
            <w:tcW w:w="66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 (50.0%)</w:t>
            </w:r>
          </w:p>
        </w:tc>
        <w:tc>
          <w:tcPr>
            <w:tcW w:w="45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0.082</w:t>
            </w:r>
          </w:p>
        </w:tc>
      </w:tr>
    </w:tbl>
    <w:p w:rsidR="00B92F82" w:rsidRPr="00DE0878" w:rsidRDefault="00B92F82"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 no p value because of small number of cases in subgroups</w:t>
      </w:r>
    </w:p>
    <w:p w:rsidR="003C12DF" w:rsidRPr="00DE0878" w:rsidRDefault="00B92F82"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 xml:space="preserve">TPL: total </w:t>
      </w:r>
      <w:proofErr w:type="spellStart"/>
      <w:r w:rsidRPr="00DE0878">
        <w:rPr>
          <w:rFonts w:ascii="Times New Roman" w:hAnsi="Times New Roman" w:cs="Times New Roman"/>
          <w:sz w:val="15"/>
          <w:szCs w:val="15"/>
        </w:rPr>
        <w:t>pharyngolaryngectomy</w:t>
      </w:r>
      <w:proofErr w:type="spellEnd"/>
      <w:r w:rsidR="003C12DF" w:rsidRPr="00DE0878">
        <w:rPr>
          <w:rFonts w:ascii="Times New Roman" w:hAnsi="Times New Roman" w:cs="Times New Roman"/>
          <w:sz w:val="15"/>
          <w:szCs w:val="15"/>
        </w:rPr>
        <w:t xml:space="preserve">, GEJ: </w:t>
      </w:r>
      <w:proofErr w:type="spellStart"/>
      <w:r w:rsidR="003C12DF" w:rsidRPr="00DE0878">
        <w:rPr>
          <w:rFonts w:ascii="Times New Roman" w:hAnsi="Times New Roman" w:cs="Times New Roman"/>
          <w:sz w:val="15"/>
          <w:szCs w:val="15"/>
        </w:rPr>
        <w:t>Gastroesophageal</w:t>
      </w:r>
      <w:proofErr w:type="spellEnd"/>
      <w:r w:rsidR="003C12DF" w:rsidRPr="00DE0878">
        <w:rPr>
          <w:rFonts w:ascii="Times New Roman" w:hAnsi="Times New Roman" w:cs="Times New Roman"/>
          <w:sz w:val="15"/>
          <w:szCs w:val="15"/>
        </w:rPr>
        <w:t xml:space="preserve"> Junction</w:t>
      </w:r>
    </w:p>
    <w:p w:rsidR="006C57CF" w:rsidRPr="000452C6" w:rsidRDefault="006C57CF" w:rsidP="00FE79B6">
      <w:pPr>
        <w:snapToGrid w:val="0"/>
        <w:spacing w:after="0" w:line="240" w:lineRule="auto"/>
        <w:jc w:val="center"/>
        <w:rPr>
          <w:rFonts w:ascii="Times New Roman" w:hAnsi="Times New Roman" w:cs="Times New Roman"/>
          <w:sz w:val="20"/>
          <w:szCs w:val="20"/>
        </w:rPr>
      </w:pPr>
    </w:p>
    <w:p w:rsidR="00B92F82" w:rsidRPr="00DE0878" w:rsidRDefault="00B92F82" w:rsidP="00FE79B6">
      <w:pPr>
        <w:snapToGrid w:val="0"/>
        <w:spacing w:after="0" w:line="240" w:lineRule="auto"/>
        <w:jc w:val="both"/>
        <w:rPr>
          <w:rFonts w:ascii="Times New Roman" w:hAnsi="Times New Roman" w:cs="Times New Roman"/>
          <w:sz w:val="15"/>
          <w:szCs w:val="15"/>
        </w:rPr>
      </w:pPr>
      <w:r w:rsidRPr="000452C6">
        <w:rPr>
          <w:rFonts w:ascii="Times New Roman" w:hAnsi="Times New Roman" w:cs="Times New Roman"/>
          <w:sz w:val="20"/>
          <w:szCs w:val="20"/>
        </w:rPr>
        <w:t>Table 6: Preoperative risk factors for postoperative morbidity and mortality of Esophageal Cancer patients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3796"/>
        <w:gridCol w:w="1719"/>
        <w:gridCol w:w="1319"/>
        <w:gridCol w:w="1495"/>
        <w:gridCol w:w="1147"/>
      </w:tblGrid>
      <w:tr w:rsidR="00B705C2" w:rsidRPr="00DE0878" w:rsidTr="000452C6">
        <w:trPr>
          <w:jc w:val="center"/>
        </w:trPr>
        <w:tc>
          <w:tcPr>
            <w:tcW w:w="2003" w:type="pct"/>
            <w:vMerge w:val="restart"/>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sz w:val="15"/>
                <w:szCs w:val="15"/>
              </w:rPr>
            </w:pPr>
          </w:p>
        </w:tc>
        <w:tc>
          <w:tcPr>
            <w:tcW w:w="1603" w:type="pct"/>
            <w:gridSpan w:val="2"/>
            <w:tcBorders>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Postoperative Morbidity</w:t>
            </w:r>
            <w:r w:rsidR="00FE79B6" w:rsidRPr="00DE0878">
              <w:rPr>
                <w:rFonts w:ascii="Times New Roman" w:eastAsia="Times New Roman" w:hAnsi="Times New Roman" w:cs="Times New Roman"/>
                <w:b/>
                <w:bCs/>
                <w:sz w:val="15"/>
                <w:szCs w:val="15"/>
              </w:rPr>
              <w:t xml:space="preserve"> </w:t>
            </w:r>
            <w:r w:rsidRPr="00DE0878">
              <w:rPr>
                <w:rFonts w:ascii="Times New Roman" w:eastAsia="Times New Roman" w:hAnsi="Times New Roman" w:cs="Times New Roman"/>
                <w:b/>
                <w:bCs/>
                <w:sz w:val="15"/>
                <w:szCs w:val="15"/>
              </w:rPr>
              <w:t>n=55</w:t>
            </w:r>
          </w:p>
        </w:tc>
        <w:tc>
          <w:tcPr>
            <w:tcW w:w="1394" w:type="pct"/>
            <w:gridSpan w:val="2"/>
            <w:tcBorders>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In-hospital Mortality</w:t>
            </w:r>
            <w:r w:rsidR="00FE79B6" w:rsidRPr="00DE0878">
              <w:rPr>
                <w:rFonts w:ascii="Times New Roman" w:eastAsia="Times New Roman" w:hAnsi="Times New Roman" w:cs="Times New Roman"/>
                <w:b/>
                <w:bCs/>
                <w:sz w:val="15"/>
                <w:szCs w:val="15"/>
              </w:rPr>
              <w:t xml:space="preserve"> </w:t>
            </w:r>
            <w:r w:rsidRPr="00DE0878">
              <w:rPr>
                <w:rFonts w:ascii="Times New Roman" w:eastAsia="Times New Roman" w:hAnsi="Times New Roman" w:cs="Times New Roman"/>
                <w:b/>
                <w:bCs/>
                <w:sz w:val="15"/>
                <w:szCs w:val="15"/>
              </w:rPr>
              <w:t>n=17</w:t>
            </w:r>
          </w:p>
        </w:tc>
      </w:tr>
      <w:tr w:rsidR="00B705C2" w:rsidRPr="00DE0878" w:rsidTr="000452C6">
        <w:trPr>
          <w:jc w:val="center"/>
        </w:trPr>
        <w:tc>
          <w:tcPr>
            <w:tcW w:w="2003" w:type="pct"/>
            <w:vMerge/>
            <w:tcBorders>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p>
        </w:tc>
        <w:tc>
          <w:tcPr>
            <w:tcW w:w="907" w:type="pct"/>
            <w:tcBorders>
              <w:top w:val="single" w:sz="4" w:space="0" w:color="auto"/>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No. (%)</w:t>
            </w:r>
          </w:p>
        </w:tc>
        <w:tc>
          <w:tcPr>
            <w:tcW w:w="696" w:type="pct"/>
            <w:tcBorders>
              <w:top w:val="single" w:sz="4" w:space="0" w:color="auto"/>
              <w:bottom w:val="single" w:sz="4" w:space="0" w:color="auto"/>
            </w:tcBorders>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p value</w:t>
            </w:r>
          </w:p>
        </w:tc>
        <w:tc>
          <w:tcPr>
            <w:tcW w:w="789" w:type="pct"/>
            <w:tcBorders>
              <w:top w:val="single" w:sz="4" w:space="0" w:color="auto"/>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No. (%)</w:t>
            </w:r>
          </w:p>
        </w:tc>
        <w:tc>
          <w:tcPr>
            <w:tcW w:w="605" w:type="pct"/>
            <w:tcBorders>
              <w:top w:val="single" w:sz="4" w:space="0" w:color="auto"/>
              <w:bottom w:val="single" w:sz="4" w:space="0" w:color="auto"/>
            </w:tcBorders>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p value</w:t>
            </w:r>
          </w:p>
        </w:tc>
      </w:tr>
      <w:tr w:rsidR="00B705C2" w:rsidRPr="00DE0878" w:rsidTr="000452C6">
        <w:trPr>
          <w:jc w:val="center"/>
        </w:trPr>
        <w:tc>
          <w:tcPr>
            <w:tcW w:w="2003" w:type="pct"/>
            <w:tcBorders>
              <w:top w:val="single" w:sz="4" w:space="0" w:color="auto"/>
              <w:bottom w:val="nil"/>
            </w:tcBorders>
            <w:shd w:val="clear" w:color="auto" w:fill="auto"/>
            <w:noWrap/>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Age</w:t>
            </w:r>
          </w:p>
        </w:tc>
        <w:tc>
          <w:tcPr>
            <w:tcW w:w="907" w:type="pct"/>
            <w:tcBorders>
              <w:top w:val="single" w:sz="4" w:space="0" w:color="auto"/>
              <w:bottom w:val="nil"/>
            </w:tcBorders>
            <w:shd w:val="clear" w:color="auto" w:fill="auto"/>
            <w:noWrap/>
            <w:vAlign w:val="center"/>
          </w:tcPr>
          <w:p w:rsidR="000B03C0" w:rsidRPr="00DE0878" w:rsidRDefault="000B03C0" w:rsidP="00FE79B6">
            <w:pPr>
              <w:snapToGrid w:val="0"/>
              <w:spacing w:after="0" w:line="240" w:lineRule="auto"/>
              <w:jc w:val="both"/>
              <w:rPr>
                <w:rFonts w:ascii="Times New Roman" w:eastAsia="Times New Roman" w:hAnsi="Times New Roman" w:cs="Times New Roman"/>
                <w:sz w:val="15"/>
                <w:szCs w:val="15"/>
              </w:rPr>
            </w:pPr>
          </w:p>
        </w:tc>
        <w:tc>
          <w:tcPr>
            <w:tcW w:w="696" w:type="pct"/>
            <w:tcBorders>
              <w:top w:val="single" w:sz="4" w:space="0" w:color="auto"/>
              <w:bottom w:val="nil"/>
            </w:tcBorders>
            <w:vAlign w:val="center"/>
          </w:tcPr>
          <w:p w:rsidR="000B03C0" w:rsidRPr="00DE0878" w:rsidRDefault="000B03C0" w:rsidP="00FE79B6">
            <w:pPr>
              <w:snapToGrid w:val="0"/>
              <w:spacing w:after="0" w:line="240" w:lineRule="auto"/>
              <w:jc w:val="both"/>
              <w:rPr>
                <w:rFonts w:ascii="Times New Roman" w:eastAsia="Times New Roman" w:hAnsi="Times New Roman" w:cs="Times New Roman"/>
                <w:sz w:val="15"/>
                <w:szCs w:val="15"/>
              </w:rPr>
            </w:pPr>
          </w:p>
        </w:tc>
        <w:tc>
          <w:tcPr>
            <w:tcW w:w="789" w:type="pct"/>
            <w:tcBorders>
              <w:top w:val="single" w:sz="4" w:space="0" w:color="auto"/>
              <w:bottom w:val="nil"/>
            </w:tcBorders>
            <w:shd w:val="clear" w:color="auto" w:fill="auto"/>
            <w:noWrap/>
            <w:vAlign w:val="center"/>
          </w:tcPr>
          <w:p w:rsidR="000B03C0" w:rsidRPr="00DE0878" w:rsidRDefault="000B03C0" w:rsidP="00FE79B6">
            <w:pPr>
              <w:snapToGrid w:val="0"/>
              <w:spacing w:after="0" w:line="240" w:lineRule="auto"/>
              <w:jc w:val="both"/>
              <w:rPr>
                <w:rFonts w:ascii="Times New Roman" w:eastAsia="Times New Roman" w:hAnsi="Times New Roman" w:cs="Times New Roman"/>
                <w:sz w:val="15"/>
                <w:szCs w:val="15"/>
              </w:rPr>
            </w:pPr>
          </w:p>
        </w:tc>
        <w:tc>
          <w:tcPr>
            <w:tcW w:w="605" w:type="pct"/>
            <w:tcBorders>
              <w:top w:val="single" w:sz="4" w:space="0" w:color="auto"/>
              <w:bottom w:val="nil"/>
            </w:tcBorders>
            <w:vAlign w:val="center"/>
          </w:tcPr>
          <w:p w:rsidR="000B03C0" w:rsidRPr="00DE0878" w:rsidRDefault="000B03C0"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&lt; 50 yrs (n=26)</w:t>
            </w:r>
          </w:p>
        </w:tc>
        <w:tc>
          <w:tcPr>
            <w:tcW w:w="907"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13 (50.0)</w:t>
            </w:r>
          </w:p>
        </w:tc>
        <w:tc>
          <w:tcPr>
            <w:tcW w:w="696" w:type="pct"/>
            <w:tcBorders>
              <w:top w:val="nil"/>
            </w:tcBorders>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 (7.7)</w:t>
            </w:r>
          </w:p>
        </w:tc>
        <w:tc>
          <w:tcPr>
            <w:tcW w:w="605" w:type="pct"/>
            <w:tcBorders>
              <w:top w:val="nil"/>
            </w:tcBorders>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50-60 yrs (n=42)</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29 (69.0)</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0.093</w:t>
            </w: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10 (23.8)</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0.131</w:t>
            </w: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&gt; 60 yrs (n=16)</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13 (81.3)</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 (31.3)</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Site</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 xml:space="preserve">Upper </w:t>
            </w:r>
            <w:r w:rsidR="004D0408" w:rsidRPr="00DE0878">
              <w:rPr>
                <w:rFonts w:ascii="Times New Roman" w:eastAsia="Times New Roman" w:hAnsi="Times New Roman" w:cs="Times New Roman"/>
                <w:sz w:val="15"/>
                <w:szCs w:val="15"/>
              </w:rPr>
              <w:t xml:space="preserve">third </w:t>
            </w:r>
            <w:r w:rsidRPr="00DE0878">
              <w:rPr>
                <w:rFonts w:ascii="Times New Roman" w:eastAsia="Times New Roman" w:hAnsi="Times New Roman" w:cs="Times New Roman"/>
                <w:sz w:val="15"/>
                <w:szCs w:val="15"/>
              </w:rPr>
              <w:t>(n=9)</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(77.8)</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 (11.1)</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 xml:space="preserve">Middle </w:t>
            </w:r>
            <w:r w:rsidR="004D0408" w:rsidRPr="00DE0878">
              <w:rPr>
                <w:rFonts w:ascii="Times New Roman" w:eastAsia="Times New Roman" w:hAnsi="Times New Roman" w:cs="Times New Roman"/>
                <w:sz w:val="15"/>
                <w:szCs w:val="15"/>
              </w:rPr>
              <w:t xml:space="preserve">third </w:t>
            </w:r>
            <w:r w:rsidRPr="00DE0878">
              <w:rPr>
                <w:rFonts w:ascii="Times New Roman" w:eastAsia="Times New Roman" w:hAnsi="Times New Roman" w:cs="Times New Roman"/>
                <w:sz w:val="15"/>
                <w:szCs w:val="15"/>
              </w:rPr>
              <w:t>(n=19)</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14 (73.7)</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0.444</w:t>
            </w: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 (26.3)</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0.814</w:t>
            </w: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 xml:space="preserve">Lower </w:t>
            </w:r>
            <w:r w:rsidR="004D0408" w:rsidRPr="00DE0878">
              <w:rPr>
                <w:rFonts w:ascii="Times New Roman" w:eastAsia="Times New Roman" w:hAnsi="Times New Roman" w:cs="Times New Roman"/>
                <w:sz w:val="15"/>
                <w:szCs w:val="15"/>
              </w:rPr>
              <w:t xml:space="preserve">third </w:t>
            </w:r>
            <w:r w:rsidRPr="00DE0878">
              <w:rPr>
                <w:rFonts w:ascii="Times New Roman" w:eastAsia="Times New Roman" w:hAnsi="Times New Roman" w:cs="Times New Roman"/>
                <w:sz w:val="15"/>
                <w:szCs w:val="15"/>
              </w:rPr>
              <w:t>(n=42)</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27 (64.3)</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8 (19.0)</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GEJ (n=14)</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(50.0)</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 (21.4)</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Stage</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Early (n=42)</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28 (66.7)</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0.818</w:t>
            </w: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10 (28.6)</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0.551</w:t>
            </w: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Advanced (n=42)</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27 (64.3)</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(14.3)</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N</w:t>
            </w:r>
            <w:r w:rsidR="004D0408" w:rsidRPr="00DE0878">
              <w:rPr>
                <w:rFonts w:ascii="Times New Roman" w:eastAsia="Times New Roman" w:hAnsi="Times New Roman" w:cs="Times New Roman"/>
                <w:b/>
                <w:bCs/>
                <w:sz w:val="15"/>
                <w:szCs w:val="15"/>
              </w:rPr>
              <w:t xml:space="preserve">umber </w:t>
            </w:r>
            <w:r w:rsidRPr="00DE0878">
              <w:rPr>
                <w:rFonts w:ascii="Times New Roman" w:eastAsia="Times New Roman" w:hAnsi="Times New Roman" w:cs="Times New Roman"/>
                <w:b/>
                <w:bCs/>
                <w:sz w:val="15"/>
                <w:szCs w:val="15"/>
              </w:rPr>
              <w:t xml:space="preserve">of </w:t>
            </w:r>
            <w:proofErr w:type="spellStart"/>
            <w:r w:rsidR="004D0408" w:rsidRPr="00DE0878">
              <w:rPr>
                <w:rFonts w:ascii="Times New Roman" w:eastAsia="Times New Roman" w:hAnsi="Times New Roman" w:cs="Times New Roman"/>
                <w:b/>
                <w:bCs/>
                <w:sz w:val="15"/>
                <w:szCs w:val="15"/>
              </w:rPr>
              <w:t>Comorbidities</w:t>
            </w:r>
            <w:proofErr w:type="spellEnd"/>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None (n=30)</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16 (53.3)</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 (20.0)</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Single (n=36)</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26 (72.2)</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0.218</w:t>
            </w: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 (16.7)</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0.631</w:t>
            </w: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Two or more (n=18)</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13 (72.2)</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 (27.8)</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5"/>
                <w:szCs w:val="15"/>
              </w:rPr>
            </w:pPr>
            <w:proofErr w:type="spellStart"/>
            <w:r w:rsidRPr="00DE0878">
              <w:rPr>
                <w:rFonts w:ascii="Times New Roman" w:eastAsia="Times New Roman" w:hAnsi="Times New Roman" w:cs="Times New Roman"/>
                <w:b/>
                <w:bCs/>
                <w:sz w:val="15"/>
                <w:szCs w:val="15"/>
              </w:rPr>
              <w:t>Neoadjuvant</w:t>
            </w:r>
            <w:proofErr w:type="spellEnd"/>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Received (n=17)</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11 (64.7)</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0.940</w:t>
            </w: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 (17.6)</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1.000</w:t>
            </w: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Not Received (n=67)</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44 (65.7)</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14 (20.9)</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b/>
                <w:bCs/>
                <w:sz w:val="15"/>
                <w:szCs w:val="15"/>
              </w:rPr>
              <w:t>Respiratory diseases</w:t>
            </w:r>
            <w:r w:rsidRPr="00DE0878">
              <w:rPr>
                <w:rFonts w:ascii="Times New Roman" w:eastAsia="Times New Roman" w:hAnsi="Times New Roman" w:cs="Times New Roman"/>
                <w:sz w:val="15"/>
                <w:szCs w:val="15"/>
              </w:rPr>
              <w:t xml:space="preserve"> (n=27)</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21 (77.8)</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0.103</w:t>
            </w: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 (11.1)</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0.152</w:t>
            </w:r>
          </w:p>
        </w:tc>
      </w:tr>
      <w:tr w:rsidR="00B705C2" w:rsidRPr="00DE0878" w:rsidTr="000452C6">
        <w:trPr>
          <w:jc w:val="center"/>
        </w:trPr>
        <w:tc>
          <w:tcPr>
            <w:tcW w:w="2003"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b/>
                <w:bCs/>
                <w:sz w:val="15"/>
                <w:szCs w:val="15"/>
              </w:rPr>
              <w:t>Cardiovascular diseases</w:t>
            </w:r>
            <w:r w:rsidRPr="00DE0878">
              <w:rPr>
                <w:rFonts w:ascii="Times New Roman" w:eastAsia="Times New Roman" w:hAnsi="Times New Roman" w:cs="Times New Roman"/>
                <w:sz w:val="15"/>
                <w:szCs w:val="15"/>
              </w:rPr>
              <w:t xml:space="preserve"> (n=17)</w:t>
            </w:r>
          </w:p>
        </w:tc>
        <w:tc>
          <w:tcPr>
            <w:tcW w:w="907"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 (70.6)</w:t>
            </w:r>
          </w:p>
        </w:tc>
        <w:tc>
          <w:tcPr>
            <w:tcW w:w="696"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0.620</w:t>
            </w:r>
          </w:p>
        </w:tc>
        <w:tc>
          <w:tcPr>
            <w:tcW w:w="789"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(41.2)</w:t>
            </w:r>
          </w:p>
        </w:tc>
        <w:tc>
          <w:tcPr>
            <w:tcW w:w="605" w:type="pct"/>
            <w:vAlign w:val="center"/>
          </w:tcPr>
          <w:p w:rsidR="00B92F82" w:rsidRPr="00DE0878" w:rsidRDefault="00B92F82"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0.242</w:t>
            </w:r>
          </w:p>
        </w:tc>
      </w:tr>
    </w:tbl>
    <w:p w:rsidR="00BF54A9" w:rsidRPr="00DE0878" w:rsidRDefault="004D0408"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 xml:space="preserve">GEJ: </w:t>
      </w:r>
      <w:proofErr w:type="spellStart"/>
      <w:r w:rsidRPr="00DE0878">
        <w:rPr>
          <w:rFonts w:ascii="Times New Roman" w:hAnsi="Times New Roman" w:cs="Times New Roman"/>
          <w:sz w:val="15"/>
          <w:szCs w:val="15"/>
        </w:rPr>
        <w:t>Gastroesophageal</w:t>
      </w:r>
      <w:proofErr w:type="spellEnd"/>
      <w:r w:rsidRPr="00DE0878">
        <w:rPr>
          <w:rFonts w:ascii="Times New Roman" w:hAnsi="Times New Roman" w:cs="Times New Roman"/>
          <w:sz w:val="15"/>
          <w:szCs w:val="15"/>
        </w:rPr>
        <w:t xml:space="preserve"> Junction</w:t>
      </w:r>
    </w:p>
    <w:p w:rsidR="00DE0878" w:rsidRDefault="00DE0878" w:rsidP="00FE79B6">
      <w:pPr>
        <w:snapToGrid w:val="0"/>
        <w:spacing w:after="0" w:line="240" w:lineRule="auto"/>
        <w:jc w:val="both"/>
        <w:rPr>
          <w:rFonts w:ascii="Times New Roman" w:hAnsi="Times New Roman" w:cs="Times New Roman"/>
          <w:sz w:val="20"/>
          <w:szCs w:val="20"/>
          <w:lang w:eastAsia="zh-CN"/>
        </w:rPr>
      </w:pPr>
    </w:p>
    <w:p w:rsidR="00B92F82" w:rsidRPr="00DE0878" w:rsidRDefault="00B92F82" w:rsidP="00FE79B6">
      <w:pPr>
        <w:snapToGrid w:val="0"/>
        <w:spacing w:after="0" w:line="240" w:lineRule="auto"/>
        <w:jc w:val="both"/>
        <w:rPr>
          <w:rFonts w:ascii="Times New Roman" w:hAnsi="Times New Roman" w:cs="Times New Roman"/>
          <w:sz w:val="15"/>
          <w:szCs w:val="15"/>
        </w:rPr>
      </w:pPr>
      <w:r w:rsidRPr="000452C6">
        <w:rPr>
          <w:rFonts w:ascii="Times New Roman" w:hAnsi="Times New Roman" w:cs="Times New Roman"/>
          <w:sz w:val="20"/>
          <w:szCs w:val="20"/>
        </w:rPr>
        <w:t xml:space="preserve">Table 7: </w:t>
      </w:r>
      <w:proofErr w:type="spellStart"/>
      <w:r w:rsidRPr="000452C6">
        <w:rPr>
          <w:rFonts w:ascii="Times New Roman" w:hAnsi="Times New Roman" w:cs="Times New Roman"/>
          <w:sz w:val="20"/>
          <w:szCs w:val="20"/>
        </w:rPr>
        <w:t>Intraoperative</w:t>
      </w:r>
      <w:proofErr w:type="spellEnd"/>
      <w:r w:rsidRPr="000452C6">
        <w:rPr>
          <w:rFonts w:ascii="Times New Roman" w:hAnsi="Times New Roman" w:cs="Times New Roman"/>
          <w:sz w:val="20"/>
          <w:szCs w:val="20"/>
        </w:rPr>
        <w:t xml:space="preserve"> </w:t>
      </w:r>
      <w:r w:rsidR="00AD49B8" w:rsidRPr="000452C6">
        <w:rPr>
          <w:rFonts w:ascii="Times New Roman" w:hAnsi="Times New Roman" w:cs="Times New Roman"/>
          <w:sz w:val="20"/>
          <w:szCs w:val="20"/>
        </w:rPr>
        <w:t>risk factors for postoperative morbidity and mortality of esophageal cancer patients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2963"/>
        <w:gridCol w:w="1973"/>
        <w:gridCol w:w="1512"/>
        <w:gridCol w:w="1715"/>
        <w:gridCol w:w="1313"/>
      </w:tblGrid>
      <w:tr w:rsidR="00B705C2" w:rsidRPr="00DE0878" w:rsidTr="000452C6">
        <w:trPr>
          <w:jc w:val="center"/>
        </w:trPr>
        <w:tc>
          <w:tcPr>
            <w:tcW w:w="1563" w:type="pct"/>
            <w:vMerge w:val="restart"/>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sz w:val="15"/>
                <w:szCs w:val="15"/>
              </w:rPr>
            </w:pPr>
          </w:p>
        </w:tc>
        <w:tc>
          <w:tcPr>
            <w:tcW w:w="1839" w:type="pct"/>
            <w:gridSpan w:val="2"/>
            <w:tcBorders>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Postoperative Morbidity</w:t>
            </w:r>
            <w:r w:rsidR="00DE0878">
              <w:rPr>
                <w:rFonts w:ascii="Times New Roman" w:eastAsia="Times New Roman" w:hAnsi="Times New Roman" w:cs="Times New Roman"/>
                <w:b/>
                <w:bCs/>
                <w:sz w:val="15"/>
                <w:szCs w:val="15"/>
              </w:rPr>
              <w:t xml:space="preserve"> </w:t>
            </w:r>
            <w:r w:rsidRPr="00DE0878">
              <w:rPr>
                <w:rFonts w:ascii="Times New Roman" w:eastAsia="Times New Roman" w:hAnsi="Times New Roman" w:cs="Times New Roman"/>
                <w:b/>
                <w:bCs/>
                <w:sz w:val="15"/>
                <w:szCs w:val="15"/>
              </w:rPr>
              <w:t>n=55</w:t>
            </w:r>
          </w:p>
        </w:tc>
        <w:tc>
          <w:tcPr>
            <w:tcW w:w="1598" w:type="pct"/>
            <w:gridSpan w:val="2"/>
            <w:tcBorders>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In-hospital Mortality</w:t>
            </w:r>
            <w:r w:rsidR="00DE0878">
              <w:rPr>
                <w:rFonts w:ascii="Times New Roman" w:eastAsia="Times New Roman" w:hAnsi="Times New Roman" w:cs="Times New Roman"/>
                <w:b/>
                <w:bCs/>
                <w:sz w:val="15"/>
                <w:szCs w:val="15"/>
              </w:rPr>
              <w:t xml:space="preserve"> </w:t>
            </w:r>
            <w:r w:rsidRPr="00DE0878">
              <w:rPr>
                <w:rFonts w:ascii="Times New Roman" w:eastAsia="Times New Roman" w:hAnsi="Times New Roman" w:cs="Times New Roman"/>
                <w:b/>
                <w:bCs/>
                <w:sz w:val="15"/>
                <w:szCs w:val="15"/>
              </w:rPr>
              <w:t>n=17</w:t>
            </w:r>
          </w:p>
        </w:tc>
      </w:tr>
      <w:tr w:rsidR="00B705C2" w:rsidRPr="00DE0878" w:rsidTr="000452C6">
        <w:trPr>
          <w:jc w:val="center"/>
        </w:trPr>
        <w:tc>
          <w:tcPr>
            <w:tcW w:w="1563" w:type="pct"/>
            <w:vMerge/>
            <w:tcBorders>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p>
        </w:tc>
        <w:tc>
          <w:tcPr>
            <w:tcW w:w="1041" w:type="pct"/>
            <w:tcBorders>
              <w:top w:val="single" w:sz="4" w:space="0" w:color="auto"/>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No. (%)</w:t>
            </w:r>
          </w:p>
        </w:tc>
        <w:tc>
          <w:tcPr>
            <w:tcW w:w="798" w:type="pct"/>
            <w:tcBorders>
              <w:top w:val="single" w:sz="4" w:space="0" w:color="auto"/>
              <w:bottom w:val="single" w:sz="4" w:space="0" w:color="auto"/>
            </w:tcBorders>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p value</w:t>
            </w:r>
          </w:p>
        </w:tc>
        <w:tc>
          <w:tcPr>
            <w:tcW w:w="905" w:type="pct"/>
            <w:tcBorders>
              <w:top w:val="single" w:sz="4" w:space="0" w:color="auto"/>
              <w:bottom w:val="single" w:sz="4" w:space="0" w:color="auto"/>
            </w:tcBorders>
            <w:shd w:val="clear" w:color="auto" w:fill="auto"/>
            <w:noWrap/>
            <w:vAlign w:val="center"/>
            <w:hideMark/>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No. (%)</w:t>
            </w:r>
          </w:p>
        </w:tc>
        <w:tc>
          <w:tcPr>
            <w:tcW w:w="693" w:type="pct"/>
            <w:tcBorders>
              <w:top w:val="single" w:sz="4" w:space="0" w:color="auto"/>
              <w:bottom w:val="single" w:sz="4" w:space="0" w:color="auto"/>
            </w:tcBorders>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p value</w:t>
            </w:r>
          </w:p>
        </w:tc>
      </w:tr>
      <w:tr w:rsidR="00B705C2" w:rsidRPr="00DE0878" w:rsidTr="000452C6">
        <w:trPr>
          <w:jc w:val="center"/>
        </w:trPr>
        <w:tc>
          <w:tcPr>
            <w:tcW w:w="1563" w:type="pct"/>
            <w:tcBorders>
              <w:top w:val="single" w:sz="4" w:space="0" w:color="auto"/>
              <w:bottom w:val="nil"/>
            </w:tcBorders>
            <w:shd w:val="clear" w:color="auto" w:fill="auto"/>
            <w:noWrap/>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Procedure</w:t>
            </w:r>
          </w:p>
        </w:tc>
        <w:tc>
          <w:tcPr>
            <w:tcW w:w="1041" w:type="pct"/>
            <w:tcBorders>
              <w:top w:val="single" w:sz="4" w:space="0" w:color="auto"/>
              <w:bottom w:val="nil"/>
            </w:tcBorders>
            <w:shd w:val="clear" w:color="auto" w:fill="auto"/>
            <w:noWrap/>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p>
        </w:tc>
        <w:tc>
          <w:tcPr>
            <w:tcW w:w="798" w:type="pct"/>
            <w:tcBorders>
              <w:top w:val="single" w:sz="4" w:space="0" w:color="auto"/>
              <w:bottom w:val="nil"/>
            </w:tcBorders>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p>
        </w:tc>
        <w:tc>
          <w:tcPr>
            <w:tcW w:w="905" w:type="pct"/>
            <w:tcBorders>
              <w:top w:val="single" w:sz="4" w:space="0" w:color="auto"/>
              <w:bottom w:val="nil"/>
            </w:tcBorders>
            <w:shd w:val="clear" w:color="auto" w:fill="auto"/>
            <w:noWrap/>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p>
        </w:tc>
        <w:tc>
          <w:tcPr>
            <w:tcW w:w="693" w:type="pct"/>
            <w:tcBorders>
              <w:top w:val="single" w:sz="4" w:space="0" w:color="auto"/>
              <w:bottom w:val="nil"/>
            </w:tcBorders>
            <w:vAlign w:val="center"/>
          </w:tcPr>
          <w:p w:rsidR="000B03C0" w:rsidRPr="00DE0878" w:rsidRDefault="000B03C0" w:rsidP="00FE79B6">
            <w:pPr>
              <w:snapToGrid w:val="0"/>
              <w:spacing w:after="0" w:line="240" w:lineRule="auto"/>
              <w:jc w:val="both"/>
              <w:rPr>
                <w:rFonts w:ascii="Times New Roman" w:eastAsia="Times New Roman" w:hAnsi="Times New Roman" w:cs="Times New Roman"/>
                <w:b/>
                <w:bCs/>
                <w:sz w:val="15"/>
                <w:szCs w:val="15"/>
              </w:rPr>
            </w:pPr>
          </w:p>
        </w:tc>
      </w:tr>
      <w:tr w:rsidR="00B705C2" w:rsidRPr="00DE0878" w:rsidTr="000452C6">
        <w:trPr>
          <w:jc w:val="center"/>
        </w:trPr>
        <w:tc>
          <w:tcPr>
            <w:tcW w:w="1563" w:type="pct"/>
            <w:tcBorders>
              <w:top w:val="nil"/>
            </w:tcBorders>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Trans-thoracic (n=51)</w:t>
            </w:r>
          </w:p>
        </w:tc>
        <w:tc>
          <w:tcPr>
            <w:tcW w:w="1041" w:type="pct"/>
            <w:tcBorders>
              <w:top w:val="nil"/>
            </w:tcBorders>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35 (68.6)</w:t>
            </w:r>
          </w:p>
        </w:tc>
        <w:tc>
          <w:tcPr>
            <w:tcW w:w="798" w:type="pct"/>
            <w:tcBorders>
              <w:top w:val="nil"/>
            </w:tcBorders>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c>
          <w:tcPr>
            <w:tcW w:w="905" w:type="pct"/>
            <w:tcBorders>
              <w:top w:val="nil"/>
            </w:tcBorders>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8 (15.7)</w:t>
            </w:r>
          </w:p>
        </w:tc>
        <w:tc>
          <w:tcPr>
            <w:tcW w:w="693" w:type="pct"/>
            <w:tcBorders>
              <w:top w:val="nil"/>
            </w:tcBorders>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563"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Trans-</w:t>
            </w:r>
            <w:proofErr w:type="spellStart"/>
            <w:r w:rsidRPr="00DE0878">
              <w:rPr>
                <w:rFonts w:ascii="Times New Roman" w:eastAsia="Times New Roman" w:hAnsi="Times New Roman" w:cs="Times New Roman"/>
                <w:sz w:val="15"/>
                <w:szCs w:val="15"/>
              </w:rPr>
              <w:t>hiatal</w:t>
            </w:r>
            <w:proofErr w:type="spellEnd"/>
            <w:r w:rsidRPr="00DE0878">
              <w:rPr>
                <w:rFonts w:ascii="Times New Roman" w:eastAsia="Times New Roman" w:hAnsi="Times New Roman" w:cs="Times New Roman"/>
                <w:sz w:val="15"/>
                <w:szCs w:val="15"/>
              </w:rPr>
              <w:t xml:space="preserve"> (n=12)</w:t>
            </w:r>
          </w:p>
        </w:tc>
        <w:tc>
          <w:tcPr>
            <w:tcW w:w="1041"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 (41.7)</w:t>
            </w:r>
          </w:p>
        </w:tc>
        <w:tc>
          <w:tcPr>
            <w:tcW w:w="798"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0.279</w:t>
            </w:r>
          </w:p>
        </w:tc>
        <w:tc>
          <w:tcPr>
            <w:tcW w:w="905"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 (8.3)</w:t>
            </w:r>
          </w:p>
        </w:tc>
        <w:tc>
          <w:tcPr>
            <w:tcW w:w="693"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0.108</w:t>
            </w:r>
          </w:p>
        </w:tc>
      </w:tr>
      <w:tr w:rsidR="00B705C2" w:rsidRPr="00DE0878" w:rsidTr="000452C6">
        <w:trPr>
          <w:jc w:val="center"/>
        </w:trPr>
        <w:tc>
          <w:tcPr>
            <w:tcW w:w="1563"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hAnsi="Times New Roman" w:cs="Times New Roman"/>
                <w:sz w:val="15"/>
                <w:szCs w:val="15"/>
              </w:rPr>
              <w:t>TPL (n=9)</w:t>
            </w:r>
          </w:p>
        </w:tc>
        <w:tc>
          <w:tcPr>
            <w:tcW w:w="1041"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(77.8)</w:t>
            </w:r>
          </w:p>
        </w:tc>
        <w:tc>
          <w:tcPr>
            <w:tcW w:w="798"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c>
          <w:tcPr>
            <w:tcW w:w="905"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 (33.3)</w:t>
            </w:r>
          </w:p>
        </w:tc>
        <w:tc>
          <w:tcPr>
            <w:tcW w:w="693"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563"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Abdominal (n=12)</w:t>
            </w:r>
          </w:p>
        </w:tc>
        <w:tc>
          <w:tcPr>
            <w:tcW w:w="1041"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8 (66.7)</w:t>
            </w:r>
          </w:p>
        </w:tc>
        <w:tc>
          <w:tcPr>
            <w:tcW w:w="798"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c>
          <w:tcPr>
            <w:tcW w:w="905"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 (41.7)</w:t>
            </w:r>
          </w:p>
        </w:tc>
        <w:tc>
          <w:tcPr>
            <w:tcW w:w="693"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563"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Duration</w:t>
            </w:r>
          </w:p>
        </w:tc>
        <w:tc>
          <w:tcPr>
            <w:tcW w:w="1041"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c>
          <w:tcPr>
            <w:tcW w:w="798" w:type="pct"/>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c>
          <w:tcPr>
            <w:tcW w:w="905"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c>
          <w:tcPr>
            <w:tcW w:w="693" w:type="pct"/>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563"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&lt; 4 hrs (n=23)</w:t>
            </w:r>
          </w:p>
        </w:tc>
        <w:tc>
          <w:tcPr>
            <w:tcW w:w="1041"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14 (60.9)</w:t>
            </w:r>
          </w:p>
        </w:tc>
        <w:tc>
          <w:tcPr>
            <w:tcW w:w="798"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c>
          <w:tcPr>
            <w:tcW w:w="905"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 (21.7)</w:t>
            </w:r>
          </w:p>
        </w:tc>
        <w:tc>
          <w:tcPr>
            <w:tcW w:w="693"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563"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4-6 hrs (n=49)</w:t>
            </w:r>
          </w:p>
        </w:tc>
        <w:tc>
          <w:tcPr>
            <w:tcW w:w="1041"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32 (65.3)</w:t>
            </w:r>
          </w:p>
        </w:tc>
        <w:tc>
          <w:tcPr>
            <w:tcW w:w="798"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0.705</w:t>
            </w:r>
          </w:p>
        </w:tc>
        <w:tc>
          <w:tcPr>
            <w:tcW w:w="905"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10 (20.4)</w:t>
            </w:r>
          </w:p>
        </w:tc>
        <w:tc>
          <w:tcPr>
            <w:tcW w:w="693"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0.938</w:t>
            </w:r>
          </w:p>
        </w:tc>
      </w:tr>
      <w:tr w:rsidR="00B705C2" w:rsidRPr="00DE0878" w:rsidTr="000452C6">
        <w:trPr>
          <w:jc w:val="center"/>
        </w:trPr>
        <w:tc>
          <w:tcPr>
            <w:tcW w:w="1563"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&gt; 6 hrs (n=12)</w:t>
            </w:r>
          </w:p>
        </w:tc>
        <w:tc>
          <w:tcPr>
            <w:tcW w:w="1041"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9 (75.0)</w:t>
            </w:r>
          </w:p>
        </w:tc>
        <w:tc>
          <w:tcPr>
            <w:tcW w:w="798"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c>
          <w:tcPr>
            <w:tcW w:w="905"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 (16.7)</w:t>
            </w:r>
          </w:p>
        </w:tc>
        <w:tc>
          <w:tcPr>
            <w:tcW w:w="693"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563"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Blood loss</w:t>
            </w:r>
          </w:p>
        </w:tc>
        <w:tc>
          <w:tcPr>
            <w:tcW w:w="1041"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c>
          <w:tcPr>
            <w:tcW w:w="798" w:type="pct"/>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c>
          <w:tcPr>
            <w:tcW w:w="905"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c>
          <w:tcPr>
            <w:tcW w:w="693" w:type="pct"/>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563"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&lt; 500 ml (n=24)</w:t>
            </w:r>
          </w:p>
        </w:tc>
        <w:tc>
          <w:tcPr>
            <w:tcW w:w="1041"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15 (62.5)</w:t>
            </w:r>
          </w:p>
        </w:tc>
        <w:tc>
          <w:tcPr>
            <w:tcW w:w="798"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c>
          <w:tcPr>
            <w:tcW w:w="905"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 (8.3)</w:t>
            </w:r>
          </w:p>
        </w:tc>
        <w:tc>
          <w:tcPr>
            <w:tcW w:w="693"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563"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500-1000 ml (n=43)</w:t>
            </w:r>
          </w:p>
        </w:tc>
        <w:tc>
          <w:tcPr>
            <w:tcW w:w="1041"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27 (62.8)</w:t>
            </w:r>
          </w:p>
        </w:tc>
        <w:tc>
          <w:tcPr>
            <w:tcW w:w="798"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0.565</w:t>
            </w:r>
          </w:p>
        </w:tc>
        <w:tc>
          <w:tcPr>
            <w:tcW w:w="905"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10 (23.3)</w:t>
            </w:r>
          </w:p>
        </w:tc>
        <w:tc>
          <w:tcPr>
            <w:tcW w:w="693"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0.198</w:t>
            </w:r>
          </w:p>
        </w:tc>
      </w:tr>
      <w:tr w:rsidR="00B705C2" w:rsidRPr="00DE0878" w:rsidTr="000452C6">
        <w:trPr>
          <w:jc w:val="center"/>
        </w:trPr>
        <w:tc>
          <w:tcPr>
            <w:tcW w:w="1563"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&gt; 1000 ml (n=17)</w:t>
            </w:r>
          </w:p>
        </w:tc>
        <w:tc>
          <w:tcPr>
            <w:tcW w:w="1041"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13 (76.5)</w:t>
            </w:r>
          </w:p>
        </w:tc>
        <w:tc>
          <w:tcPr>
            <w:tcW w:w="798"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c>
          <w:tcPr>
            <w:tcW w:w="905" w:type="pct"/>
            <w:shd w:val="clear" w:color="auto" w:fill="auto"/>
            <w:noWrap/>
            <w:vAlign w:val="center"/>
            <w:hideMark/>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 (29.4)</w:t>
            </w:r>
          </w:p>
        </w:tc>
        <w:tc>
          <w:tcPr>
            <w:tcW w:w="693" w:type="pct"/>
            <w:vAlign w:val="center"/>
          </w:tcPr>
          <w:p w:rsidR="00823238" w:rsidRPr="00DE0878" w:rsidRDefault="00823238"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563"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b/>
                <w:bCs/>
                <w:sz w:val="15"/>
                <w:szCs w:val="15"/>
              </w:rPr>
            </w:pPr>
            <w:proofErr w:type="spellStart"/>
            <w:r w:rsidRPr="00DE0878">
              <w:rPr>
                <w:rFonts w:ascii="Times New Roman" w:eastAsia="Times New Roman" w:hAnsi="Times New Roman" w:cs="Times New Roman"/>
                <w:b/>
                <w:bCs/>
                <w:sz w:val="15"/>
                <w:szCs w:val="15"/>
              </w:rPr>
              <w:t>Anastomosis</w:t>
            </w:r>
            <w:proofErr w:type="spellEnd"/>
            <w:r w:rsidRPr="00DE0878">
              <w:rPr>
                <w:rFonts w:ascii="Times New Roman" w:eastAsia="Times New Roman" w:hAnsi="Times New Roman" w:cs="Times New Roman"/>
                <w:b/>
                <w:bCs/>
                <w:sz w:val="15"/>
                <w:szCs w:val="15"/>
              </w:rPr>
              <w:t xml:space="preserve"> Site</w:t>
            </w:r>
          </w:p>
        </w:tc>
        <w:tc>
          <w:tcPr>
            <w:tcW w:w="1041"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c>
          <w:tcPr>
            <w:tcW w:w="798" w:type="pct"/>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c>
          <w:tcPr>
            <w:tcW w:w="905"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c>
          <w:tcPr>
            <w:tcW w:w="693" w:type="pct"/>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1563" w:type="pct"/>
            <w:shd w:val="clear" w:color="auto" w:fill="auto"/>
            <w:noWrap/>
            <w:vAlign w:val="center"/>
            <w:hideMark/>
          </w:tcPr>
          <w:p w:rsidR="004B6BD3" w:rsidRPr="00DE0878" w:rsidRDefault="004B6BD3"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Neck (n=40)</w:t>
            </w:r>
          </w:p>
        </w:tc>
        <w:tc>
          <w:tcPr>
            <w:tcW w:w="1041" w:type="pct"/>
            <w:shd w:val="clear" w:color="auto" w:fill="auto"/>
            <w:noWrap/>
            <w:vAlign w:val="center"/>
            <w:hideMark/>
          </w:tcPr>
          <w:p w:rsidR="004B6BD3" w:rsidRPr="00DE0878" w:rsidRDefault="004B6BD3"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22 (55.0)</w:t>
            </w:r>
          </w:p>
        </w:tc>
        <w:tc>
          <w:tcPr>
            <w:tcW w:w="798" w:type="pct"/>
            <w:vAlign w:val="center"/>
          </w:tcPr>
          <w:p w:rsidR="004B6BD3" w:rsidRPr="00DE0878" w:rsidRDefault="004B6BD3"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0.054</w:t>
            </w:r>
          </w:p>
        </w:tc>
        <w:tc>
          <w:tcPr>
            <w:tcW w:w="905" w:type="pct"/>
            <w:shd w:val="clear" w:color="auto" w:fill="auto"/>
            <w:noWrap/>
            <w:vAlign w:val="center"/>
            <w:hideMark/>
          </w:tcPr>
          <w:p w:rsidR="004B6BD3" w:rsidRPr="00DE0878" w:rsidRDefault="004B6BD3"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 (17.5)</w:t>
            </w:r>
          </w:p>
        </w:tc>
        <w:tc>
          <w:tcPr>
            <w:tcW w:w="693" w:type="pct"/>
            <w:vAlign w:val="center"/>
          </w:tcPr>
          <w:p w:rsidR="004B6BD3" w:rsidRPr="00DE0878" w:rsidRDefault="004B6BD3"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0.551</w:t>
            </w:r>
          </w:p>
        </w:tc>
      </w:tr>
      <w:tr w:rsidR="00B705C2" w:rsidRPr="00DE0878" w:rsidTr="000452C6">
        <w:trPr>
          <w:jc w:val="center"/>
        </w:trPr>
        <w:tc>
          <w:tcPr>
            <w:tcW w:w="1563" w:type="pct"/>
            <w:shd w:val="clear" w:color="auto" w:fill="auto"/>
            <w:noWrap/>
            <w:vAlign w:val="center"/>
            <w:hideMark/>
          </w:tcPr>
          <w:p w:rsidR="004B6BD3" w:rsidRPr="00DE0878" w:rsidRDefault="004B6BD3"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Chest (n=44)</w:t>
            </w:r>
          </w:p>
        </w:tc>
        <w:tc>
          <w:tcPr>
            <w:tcW w:w="1041" w:type="pct"/>
            <w:shd w:val="clear" w:color="auto" w:fill="auto"/>
            <w:noWrap/>
            <w:vAlign w:val="center"/>
            <w:hideMark/>
          </w:tcPr>
          <w:p w:rsidR="004B6BD3" w:rsidRPr="00DE0878" w:rsidRDefault="004B6BD3"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33 (75.0)</w:t>
            </w:r>
          </w:p>
        </w:tc>
        <w:tc>
          <w:tcPr>
            <w:tcW w:w="798" w:type="pct"/>
            <w:vAlign w:val="center"/>
          </w:tcPr>
          <w:p w:rsidR="004B6BD3" w:rsidRPr="00DE0878" w:rsidRDefault="004B6BD3" w:rsidP="00FE79B6">
            <w:pPr>
              <w:snapToGrid w:val="0"/>
              <w:spacing w:after="0" w:line="240" w:lineRule="auto"/>
              <w:jc w:val="both"/>
              <w:rPr>
                <w:rFonts w:ascii="Times New Roman" w:eastAsia="Times New Roman" w:hAnsi="Times New Roman" w:cs="Times New Roman"/>
                <w:sz w:val="15"/>
                <w:szCs w:val="15"/>
              </w:rPr>
            </w:pPr>
          </w:p>
        </w:tc>
        <w:tc>
          <w:tcPr>
            <w:tcW w:w="905" w:type="pct"/>
            <w:shd w:val="clear" w:color="auto" w:fill="auto"/>
            <w:noWrap/>
            <w:vAlign w:val="center"/>
            <w:hideMark/>
          </w:tcPr>
          <w:p w:rsidR="004B6BD3" w:rsidRPr="00DE0878" w:rsidRDefault="004B6BD3"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10 (22.7)</w:t>
            </w:r>
          </w:p>
        </w:tc>
        <w:tc>
          <w:tcPr>
            <w:tcW w:w="693" w:type="pct"/>
            <w:vAlign w:val="center"/>
          </w:tcPr>
          <w:p w:rsidR="004B6BD3" w:rsidRPr="00DE0878" w:rsidRDefault="004B6BD3" w:rsidP="00FE79B6">
            <w:pPr>
              <w:snapToGrid w:val="0"/>
              <w:spacing w:after="0" w:line="240" w:lineRule="auto"/>
              <w:jc w:val="both"/>
              <w:rPr>
                <w:rFonts w:ascii="Times New Roman" w:eastAsia="Times New Roman" w:hAnsi="Times New Roman" w:cs="Times New Roman"/>
                <w:sz w:val="15"/>
                <w:szCs w:val="15"/>
              </w:rPr>
            </w:pPr>
          </w:p>
        </w:tc>
      </w:tr>
    </w:tbl>
    <w:p w:rsidR="00A648F0" w:rsidRPr="00DE0878" w:rsidRDefault="00A648F0"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 xml:space="preserve">TPL: total </w:t>
      </w:r>
      <w:proofErr w:type="spellStart"/>
      <w:r w:rsidRPr="00DE0878">
        <w:rPr>
          <w:rFonts w:ascii="Times New Roman" w:hAnsi="Times New Roman" w:cs="Times New Roman"/>
          <w:sz w:val="15"/>
          <w:szCs w:val="15"/>
        </w:rPr>
        <w:t>pharyngolaryngectomy</w:t>
      </w:r>
      <w:proofErr w:type="spellEnd"/>
    </w:p>
    <w:p w:rsidR="00B92F82" w:rsidRPr="000452C6" w:rsidRDefault="00B92F82" w:rsidP="00FE79B6">
      <w:pPr>
        <w:snapToGrid w:val="0"/>
        <w:spacing w:after="0" w:line="240" w:lineRule="auto"/>
        <w:jc w:val="center"/>
        <w:rPr>
          <w:rFonts w:ascii="Times New Roman" w:hAnsi="Times New Roman" w:cs="Times New Roman"/>
          <w:sz w:val="20"/>
          <w:szCs w:val="20"/>
        </w:rPr>
      </w:pPr>
    </w:p>
    <w:p w:rsidR="00F341B8" w:rsidRPr="000452C6" w:rsidRDefault="00B92F82" w:rsidP="00FE79B6">
      <w:pPr>
        <w:snapToGrid w:val="0"/>
        <w:spacing w:after="0" w:line="240" w:lineRule="auto"/>
        <w:jc w:val="both"/>
        <w:rPr>
          <w:rFonts w:ascii="Times New Roman" w:hAnsi="Times New Roman" w:cs="Times New Roman"/>
          <w:sz w:val="20"/>
          <w:szCs w:val="20"/>
        </w:rPr>
      </w:pPr>
      <w:r w:rsidRPr="000452C6">
        <w:rPr>
          <w:rFonts w:ascii="Times New Roman" w:hAnsi="Times New Roman" w:cs="Times New Roman"/>
          <w:sz w:val="20"/>
          <w:szCs w:val="20"/>
        </w:rPr>
        <w:lastRenderedPageBreak/>
        <w:t xml:space="preserve">Table 8: Postoperative </w:t>
      </w:r>
      <w:r w:rsidR="00F341B8" w:rsidRPr="000452C6">
        <w:rPr>
          <w:rFonts w:ascii="Times New Roman" w:hAnsi="Times New Roman" w:cs="Times New Roman"/>
          <w:sz w:val="20"/>
          <w:szCs w:val="20"/>
        </w:rPr>
        <w:t xml:space="preserve">risk factors </w:t>
      </w:r>
      <w:r w:rsidRPr="000452C6">
        <w:rPr>
          <w:rFonts w:ascii="Times New Roman" w:hAnsi="Times New Roman" w:cs="Times New Roman"/>
          <w:sz w:val="20"/>
          <w:szCs w:val="20"/>
        </w:rPr>
        <w:t xml:space="preserve">for </w:t>
      </w:r>
      <w:r w:rsidR="00F341B8" w:rsidRPr="000452C6">
        <w:rPr>
          <w:rFonts w:ascii="Times New Roman" w:hAnsi="Times New Roman" w:cs="Times New Roman"/>
          <w:sz w:val="20"/>
          <w:szCs w:val="20"/>
        </w:rPr>
        <w:t>postoperative morbidity and mortality of esophageal cancer patients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3499"/>
        <w:gridCol w:w="1717"/>
        <w:gridCol w:w="1482"/>
        <w:gridCol w:w="1493"/>
        <w:gridCol w:w="1285"/>
      </w:tblGrid>
      <w:tr w:rsidR="00B705C2" w:rsidRPr="00DE0878" w:rsidTr="000452C6">
        <w:trPr>
          <w:jc w:val="center"/>
        </w:trPr>
        <w:tc>
          <w:tcPr>
            <w:tcW w:w="1846" w:type="pct"/>
            <w:vMerge w:val="restart"/>
            <w:shd w:val="clear" w:color="auto" w:fill="auto"/>
            <w:noWrap/>
            <w:vAlign w:val="center"/>
            <w:hideMark/>
          </w:tcPr>
          <w:p w:rsidR="006E7D41" w:rsidRPr="00DE0878" w:rsidRDefault="006E7D41" w:rsidP="00FE79B6">
            <w:pPr>
              <w:snapToGrid w:val="0"/>
              <w:spacing w:after="0" w:line="240" w:lineRule="auto"/>
              <w:jc w:val="both"/>
              <w:rPr>
                <w:rFonts w:ascii="Times New Roman" w:eastAsia="Times New Roman" w:hAnsi="Times New Roman" w:cs="Times New Roman"/>
                <w:sz w:val="16"/>
                <w:szCs w:val="16"/>
              </w:rPr>
            </w:pPr>
          </w:p>
        </w:tc>
        <w:tc>
          <w:tcPr>
            <w:tcW w:w="1688" w:type="pct"/>
            <w:gridSpan w:val="2"/>
            <w:tcBorders>
              <w:bottom w:val="single" w:sz="4" w:space="0" w:color="auto"/>
            </w:tcBorders>
            <w:shd w:val="clear" w:color="auto" w:fill="auto"/>
            <w:noWrap/>
            <w:vAlign w:val="center"/>
          </w:tcPr>
          <w:p w:rsidR="006E7D41" w:rsidRPr="00DE0878" w:rsidRDefault="006E7D41"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Postoperative Morbidity</w:t>
            </w:r>
          </w:p>
          <w:p w:rsidR="006E7D41" w:rsidRPr="00DE0878" w:rsidRDefault="006E7D41"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n=55</w:t>
            </w:r>
          </w:p>
        </w:tc>
        <w:tc>
          <w:tcPr>
            <w:tcW w:w="1467" w:type="pct"/>
            <w:gridSpan w:val="2"/>
            <w:tcBorders>
              <w:bottom w:val="single" w:sz="4" w:space="0" w:color="auto"/>
            </w:tcBorders>
            <w:shd w:val="clear" w:color="auto" w:fill="auto"/>
            <w:noWrap/>
            <w:vAlign w:val="center"/>
          </w:tcPr>
          <w:p w:rsidR="006E7D41" w:rsidRPr="00DE0878" w:rsidRDefault="006E7D41"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In-hospital Mortality</w:t>
            </w:r>
          </w:p>
          <w:p w:rsidR="006E7D41" w:rsidRPr="00DE0878" w:rsidRDefault="006E7D41"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n=17</w:t>
            </w:r>
          </w:p>
        </w:tc>
      </w:tr>
      <w:tr w:rsidR="00B705C2" w:rsidRPr="00DE0878" w:rsidTr="000452C6">
        <w:trPr>
          <w:jc w:val="center"/>
        </w:trPr>
        <w:tc>
          <w:tcPr>
            <w:tcW w:w="1846" w:type="pct"/>
            <w:vMerge/>
            <w:tcBorders>
              <w:bottom w:val="single" w:sz="4" w:space="0" w:color="auto"/>
            </w:tcBorders>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906" w:type="pct"/>
            <w:tcBorders>
              <w:top w:val="single" w:sz="4" w:space="0" w:color="auto"/>
              <w:bottom w:val="single" w:sz="4" w:space="0" w:color="auto"/>
            </w:tcBorders>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No. (%)</w:t>
            </w:r>
          </w:p>
        </w:tc>
        <w:tc>
          <w:tcPr>
            <w:tcW w:w="782" w:type="pct"/>
            <w:tcBorders>
              <w:top w:val="single" w:sz="4" w:space="0" w:color="auto"/>
              <w:bottom w:val="single" w:sz="4" w:space="0" w:color="auto"/>
            </w:tcBorders>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p value</w:t>
            </w:r>
          </w:p>
        </w:tc>
        <w:tc>
          <w:tcPr>
            <w:tcW w:w="788" w:type="pct"/>
            <w:tcBorders>
              <w:top w:val="single" w:sz="4" w:space="0" w:color="auto"/>
              <w:bottom w:val="single" w:sz="4" w:space="0" w:color="auto"/>
            </w:tcBorders>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No. (%)</w:t>
            </w:r>
          </w:p>
        </w:tc>
        <w:tc>
          <w:tcPr>
            <w:tcW w:w="679" w:type="pct"/>
            <w:tcBorders>
              <w:top w:val="single" w:sz="4" w:space="0" w:color="auto"/>
              <w:bottom w:val="single" w:sz="4" w:space="0" w:color="auto"/>
            </w:tcBorders>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p value</w:t>
            </w:r>
          </w:p>
        </w:tc>
      </w:tr>
      <w:tr w:rsidR="00B705C2" w:rsidRPr="00DE0878" w:rsidTr="000452C6">
        <w:trPr>
          <w:jc w:val="center"/>
        </w:trPr>
        <w:tc>
          <w:tcPr>
            <w:tcW w:w="1846" w:type="pct"/>
            <w:tcBorders>
              <w:top w:val="single" w:sz="4" w:space="0" w:color="auto"/>
              <w:bottom w:val="nil"/>
            </w:tcBorders>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 xml:space="preserve">Hemoglobin </w:t>
            </w:r>
          </w:p>
        </w:tc>
        <w:tc>
          <w:tcPr>
            <w:tcW w:w="906" w:type="pct"/>
            <w:tcBorders>
              <w:top w:val="single" w:sz="4" w:space="0" w:color="auto"/>
              <w:bottom w:val="nil"/>
            </w:tcBorders>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2" w:type="pct"/>
            <w:tcBorders>
              <w:top w:val="single" w:sz="4" w:space="0" w:color="auto"/>
              <w:bottom w:val="nil"/>
            </w:tcBorders>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8" w:type="pct"/>
            <w:tcBorders>
              <w:top w:val="single" w:sz="4" w:space="0" w:color="auto"/>
              <w:bottom w:val="nil"/>
            </w:tcBorders>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679" w:type="pct"/>
            <w:tcBorders>
              <w:top w:val="single" w:sz="4" w:space="0" w:color="auto"/>
              <w:bottom w:val="nil"/>
            </w:tcBorders>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1846" w:type="pct"/>
            <w:tcBorders>
              <w:top w:val="nil"/>
            </w:tcBorders>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&lt; 10 gm/</w:t>
            </w:r>
            <w:proofErr w:type="spellStart"/>
            <w:r w:rsidRPr="00DE0878">
              <w:rPr>
                <w:rFonts w:ascii="Times New Roman" w:eastAsia="Times New Roman" w:hAnsi="Times New Roman" w:cs="Times New Roman"/>
                <w:sz w:val="16"/>
                <w:szCs w:val="16"/>
              </w:rPr>
              <w:t>dL</w:t>
            </w:r>
            <w:proofErr w:type="spellEnd"/>
            <w:r w:rsidRPr="00DE0878">
              <w:rPr>
                <w:rFonts w:ascii="Times New Roman" w:eastAsia="Times New Roman" w:hAnsi="Times New Roman" w:cs="Times New Roman"/>
                <w:sz w:val="16"/>
                <w:szCs w:val="16"/>
              </w:rPr>
              <w:t xml:space="preserve"> (n=30)</w:t>
            </w:r>
          </w:p>
        </w:tc>
        <w:tc>
          <w:tcPr>
            <w:tcW w:w="906" w:type="pct"/>
            <w:tcBorders>
              <w:top w:val="nil"/>
            </w:tcBorders>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24 (80.0)</w:t>
            </w:r>
          </w:p>
        </w:tc>
        <w:tc>
          <w:tcPr>
            <w:tcW w:w="782" w:type="pct"/>
            <w:tcBorders>
              <w:top w:val="nil"/>
            </w:tcBorders>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0.037</w:t>
            </w:r>
          </w:p>
        </w:tc>
        <w:tc>
          <w:tcPr>
            <w:tcW w:w="788" w:type="pct"/>
            <w:tcBorders>
              <w:top w:val="nil"/>
            </w:tcBorders>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13 (43.3)</w:t>
            </w:r>
          </w:p>
        </w:tc>
        <w:tc>
          <w:tcPr>
            <w:tcW w:w="679" w:type="pct"/>
            <w:tcBorders>
              <w:top w:val="nil"/>
            </w:tcBorders>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&lt; 0.001</w:t>
            </w:r>
          </w:p>
        </w:tc>
      </w:tr>
      <w:tr w:rsidR="00B705C2" w:rsidRPr="00DE0878" w:rsidTr="000452C6">
        <w:trPr>
          <w:jc w:val="center"/>
        </w:trPr>
        <w:tc>
          <w:tcPr>
            <w:tcW w:w="184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 10 gm/</w:t>
            </w:r>
            <w:proofErr w:type="spellStart"/>
            <w:r w:rsidRPr="00DE0878">
              <w:rPr>
                <w:rFonts w:ascii="Times New Roman" w:eastAsia="Times New Roman" w:hAnsi="Times New Roman" w:cs="Times New Roman"/>
                <w:sz w:val="16"/>
                <w:szCs w:val="16"/>
              </w:rPr>
              <w:t>dL</w:t>
            </w:r>
            <w:proofErr w:type="spellEnd"/>
            <w:r w:rsidRPr="00DE0878">
              <w:rPr>
                <w:rFonts w:ascii="Times New Roman" w:eastAsia="Times New Roman" w:hAnsi="Times New Roman" w:cs="Times New Roman"/>
                <w:sz w:val="16"/>
                <w:szCs w:val="16"/>
              </w:rPr>
              <w:t xml:space="preserve"> (n=54)</w:t>
            </w:r>
          </w:p>
        </w:tc>
        <w:tc>
          <w:tcPr>
            <w:tcW w:w="90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31 (57.4)</w:t>
            </w:r>
          </w:p>
        </w:tc>
        <w:tc>
          <w:tcPr>
            <w:tcW w:w="782"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8"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4 (7.4)</w:t>
            </w:r>
          </w:p>
        </w:tc>
        <w:tc>
          <w:tcPr>
            <w:tcW w:w="679"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184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Albumin</w:t>
            </w:r>
          </w:p>
        </w:tc>
        <w:tc>
          <w:tcPr>
            <w:tcW w:w="90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2"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8"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679"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184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 2.5 mg/</w:t>
            </w:r>
            <w:proofErr w:type="spellStart"/>
            <w:r w:rsidRPr="00DE0878">
              <w:rPr>
                <w:rFonts w:ascii="Times New Roman" w:eastAsia="Times New Roman" w:hAnsi="Times New Roman" w:cs="Times New Roman"/>
                <w:sz w:val="16"/>
                <w:szCs w:val="16"/>
              </w:rPr>
              <w:t>dL</w:t>
            </w:r>
            <w:proofErr w:type="spellEnd"/>
            <w:r w:rsidRPr="00DE0878">
              <w:rPr>
                <w:rFonts w:ascii="Times New Roman" w:eastAsia="Times New Roman" w:hAnsi="Times New Roman" w:cs="Times New Roman"/>
                <w:sz w:val="16"/>
                <w:szCs w:val="16"/>
              </w:rPr>
              <w:t xml:space="preserve"> (n=30)</w:t>
            </w:r>
          </w:p>
        </w:tc>
        <w:tc>
          <w:tcPr>
            <w:tcW w:w="90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21 (70.0)</w:t>
            </w:r>
          </w:p>
        </w:tc>
        <w:tc>
          <w:tcPr>
            <w:tcW w:w="782"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0.516</w:t>
            </w:r>
          </w:p>
        </w:tc>
        <w:tc>
          <w:tcPr>
            <w:tcW w:w="788"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12 (40.0)</w:t>
            </w:r>
          </w:p>
        </w:tc>
        <w:tc>
          <w:tcPr>
            <w:tcW w:w="679"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&lt; 0.001</w:t>
            </w:r>
          </w:p>
        </w:tc>
      </w:tr>
      <w:tr w:rsidR="00B705C2" w:rsidRPr="00DE0878" w:rsidTr="000452C6">
        <w:trPr>
          <w:jc w:val="center"/>
        </w:trPr>
        <w:tc>
          <w:tcPr>
            <w:tcW w:w="184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&gt; 2.5 mg/</w:t>
            </w:r>
            <w:proofErr w:type="spellStart"/>
            <w:r w:rsidRPr="00DE0878">
              <w:rPr>
                <w:rFonts w:ascii="Times New Roman" w:eastAsia="Times New Roman" w:hAnsi="Times New Roman" w:cs="Times New Roman"/>
                <w:sz w:val="16"/>
                <w:szCs w:val="16"/>
              </w:rPr>
              <w:t>dL</w:t>
            </w:r>
            <w:proofErr w:type="spellEnd"/>
            <w:r w:rsidRPr="00DE0878">
              <w:rPr>
                <w:rFonts w:ascii="Times New Roman" w:eastAsia="Times New Roman" w:hAnsi="Times New Roman" w:cs="Times New Roman"/>
                <w:sz w:val="16"/>
                <w:szCs w:val="16"/>
              </w:rPr>
              <w:t xml:space="preserve"> (n=54)</w:t>
            </w:r>
          </w:p>
        </w:tc>
        <w:tc>
          <w:tcPr>
            <w:tcW w:w="90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34 (63.0)</w:t>
            </w:r>
          </w:p>
        </w:tc>
        <w:tc>
          <w:tcPr>
            <w:tcW w:w="782"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8"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5 (9.3)</w:t>
            </w:r>
          </w:p>
        </w:tc>
        <w:tc>
          <w:tcPr>
            <w:tcW w:w="679"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1846"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Diet Start</w:t>
            </w:r>
          </w:p>
        </w:tc>
        <w:tc>
          <w:tcPr>
            <w:tcW w:w="906"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2"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8"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679"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1846"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1-3 days (n=11)</w:t>
            </w:r>
          </w:p>
        </w:tc>
        <w:tc>
          <w:tcPr>
            <w:tcW w:w="906"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7 (63.6)</w:t>
            </w:r>
          </w:p>
        </w:tc>
        <w:tc>
          <w:tcPr>
            <w:tcW w:w="782"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8"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 xml:space="preserve"> 1 (9.1)</w:t>
            </w:r>
          </w:p>
        </w:tc>
        <w:tc>
          <w:tcPr>
            <w:tcW w:w="679"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1846"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 4 days (n=64)</w:t>
            </w:r>
          </w:p>
        </w:tc>
        <w:tc>
          <w:tcPr>
            <w:tcW w:w="906"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39 (60.9)</w:t>
            </w:r>
          </w:p>
        </w:tc>
        <w:tc>
          <w:tcPr>
            <w:tcW w:w="782"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0.051</w:t>
            </w:r>
          </w:p>
        </w:tc>
        <w:tc>
          <w:tcPr>
            <w:tcW w:w="788"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7 (10.9)</w:t>
            </w:r>
          </w:p>
        </w:tc>
        <w:tc>
          <w:tcPr>
            <w:tcW w:w="679"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&lt; 0.001</w:t>
            </w:r>
          </w:p>
        </w:tc>
      </w:tr>
      <w:tr w:rsidR="00B705C2" w:rsidRPr="00DE0878" w:rsidTr="000452C6">
        <w:trPr>
          <w:jc w:val="center"/>
        </w:trPr>
        <w:tc>
          <w:tcPr>
            <w:tcW w:w="1846"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None (n=9)</w:t>
            </w:r>
          </w:p>
        </w:tc>
        <w:tc>
          <w:tcPr>
            <w:tcW w:w="906"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9 (100.0)</w:t>
            </w:r>
          </w:p>
        </w:tc>
        <w:tc>
          <w:tcPr>
            <w:tcW w:w="782"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8"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9 (100.0)</w:t>
            </w:r>
          </w:p>
        </w:tc>
        <w:tc>
          <w:tcPr>
            <w:tcW w:w="679"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184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Feeding</w:t>
            </w:r>
          </w:p>
        </w:tc>
        <w:tc>
          <w:tcPr>
            <w:tcW w:w="90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2"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8"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679"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184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Oral (n=41)</w:t>
            </w:r>
          </w:p>
        </w:tc>
        <w:tc>
          <w:tcPr>
            <w:tcW w:w="90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26 (63.4)</w:t>
            </w:r>
          </w:p>
        </w:tc>
        <w:tc>
          <w:tcPr>
            <w:tcW w:w="782"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8"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6 (14.6)</w:t>
            </w:r>
          </w:p>
        </w:tc>
        <w:tc>
          <w:tcPr>
            <w:tcW w:w="679"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184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Ryle (n=23)</w:t>
            </w:r>
          </w:p>
        </w:tc>
        <w:tc>
          <w:tcPr>
            <w:tcW w:w="90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14 (60.9)</w:t>
            </w:r>
          </w:p>
        </w:tc>
        <w:tc>
          <w:tcPr>
            <w:tcW w:w="782"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0.865</w:t>
            </w:r>
          </w:p>
        </w:tc>
        <w:tc>
          <w:tcPr>
            <w:tcW w:w="788"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 (8.7)</w:t>
            </w:r>
          </w:p>
        </w:tc>
        <w:tc>
          <w:tcPr>
            <w:tcW w:w="679"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0.859</w:t>
            </w:r>
          </w:p>
        </w:tc>
      </w:tr>
      <w:tr w:rsidR="00B705C2" w:rsidRPr="00DE0878" w:rsidTr="000452C6">
        <w:trPr>
          <w:jc w:val="center"/>
        </w:trPr>
        <w:tc>
          <w:tcPr>
            <w:tcW w:w="184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 xml:space="preserve">Feeding </w:t>
            </w:r>
            <w:proofErr w:type="spellStart"/>
            <w:r w:rsidRPr="00DE0878">
              <w:rPr>
                <w:rFonts w:ascii="Times New Roman" w:eastAsia="Times New Roman" w:hAnsi="Times New Roman" w:cs="Times New Roman"/>
                <w:sz w:val="16"/>
                <w:szCs w:val="16"/>
              </w:rPr>
              <w:t>Jejunostomy</w:t>
            </w:r>
            <w:proofErr w:type="spellEnd"/>
            <w:r w:rsidRPr="00DE0878">
              <w:rPr>
                <w:rFonts w:ascii="Times New Roman" w:eastAsia="Times New Roman" w:hAnsi="Times New Roman" w:cs="Times New Roman"/>
                <w:sz w:val="16"/>
                <w:szCs w:val="16"/>
              </w:rPr>
              <w:t xml:space="preserve"> (n=11)</w:t>
            </w:r>
          </w:p>
        </w:tc>
        <w:tc>
          <w:tcPr>
            <w:tcW w:w="906"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6 (54.5)</w:t>
            </w:r>
          </w:p>
        </w:tc>
        <w:tc>
          <w:tcPr>
            <w:tcW w:w="782"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c>
          <w:tcPr>
            <w:tcW w:w="788" w:type="pct"/>
            <w:shd w:val="clear" w:color="auto" w:fill="auto"/>
            <w:noWrap/>
            <w:vAlign w:val="center"/>
            <w:hideMark/>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 (0.0)</w:t>
            </w:r>
          </w:p>
        </w:tc>
        <w:tc>
          <w:tcPr>
            <w:tcW w:w="679" w:type="pct"/>
            <w:shd w:val="clear" w:color="auto" w:fill="auto"/>
            <w:noWrap/>
            <w:vAlign w:val="center"/>
          </w:tcPr>
          <w:p w:rsidR="00B76353" w:rsidRPr="00DE0878" w:rsidRDefault="00B76353" w:rsidP="00FE79B6">
            <w:pPr>
              <w:snapToGrid w:val="0"/>
              <w:spacing w:after="0" w:line="240" w:lineRule="auto"/>
              <w:jc w:val="both"/>
              <w:rPr>
                <w:rFonts w:ascii="Times New Roman" w:eastAsia="Times New Roman" w:hAnsi="Times New Roman" w:cs="Times New Roman"/>
                <w:sz w:val="16"/>
                <w:szCs w:val="16"/>
              </w:rPr>
            </w:pPr>
          </w:p>
        </w:tc>
      </w:tr>
    </w:tbl>
    <w:p w:rsidR="00FE79B6" w:rsidRDefault="000452C6" w:rsidP="00FE79B6">
      <w:pPr>
        <w:snapToGrid w:val="0"/>
        <w:spacing w:after="0" w:line="240" w:lineRule="auto"/>
        <w:jc w:val="both"/>
        <w:rPr>
          <w:rFonts w:ascii="Times New Roman" w:hAnsi="Times New Roman" w:cs="Times New Roman"/>
          <w:b/>
          <w:bCs/>
          <w:sz w:val="20"/>
          <w:szCs w:val="20"/>
        </w:rPr>
        <w:sectPr w:rsidR="00FE79B6" w:rsidSect="000452C6">
          <w:type w:val="continuous"/>
          <w:pgSz w:w="12242" w:h="15842" w:code="1"/>
          <w:pgMar w:top="1440" w:right="1440" w:bottom="1440" w:left="1440" w:header="720" w:footer="720" w:gutter="0"/>
          <w:cols w:space="720"/>
          <w:docGrid w:linePitch="299"/>
        </w:sectPr>
      </w:pPr>
      <w:r>
        <w:rPr>
          <w:rFonts w:ascii="Times New Roman" w:hAnsi="Times New Roman" w:cs="Times New Roman"/>
          <w:b/>
          <w:bCs/>
          <w:sz w:val="20"/>
          <w:szCs w:val="20"/>
        </w:rPr>
        <w:cr/>
      </w:r>
    </w:p>
    <w:p w:rsidR="00B92F82" w:rsidRPr="000452C6" w:rsidRDefault="00BC1A52" w:rsidP="00FE79B6">
      <w:pPr>
        <w:snapToGrid w:val="0"/>
        <w:spacing w:after="0" w:line="240" w:lineRule="auto"/>
        <w:jc w:val="both"/>
        <w:rPr>
          <w:rFonts w:ascii="Times New Roman" w:hAnsi="Times New Roman" w:cs="Times New Roman"/>
          <w:b/>
          <w:bCs/>
          <w:sz w:val="20"/>
          <w:szCs w:val="20"/>
        </w:rPr>
      </w:pPr>
      <w:r w:rsidRPr="000452C6">
        <w:rPr>
          <w:rFonts w:ascii="Times New Roman" w:hAnsi="Times New Roman" w:cs="Times New Roman"/>
          <w:b/>
          <w:bCs/>
          <w:sz w:val="20"/>
          <w:szCs w:val="20"/>
        </w:rPr>
        <w:lastRenderedPageBreak/>
        <w:t xml:space="preserve">Hospital </w:t>
      </w:r>
      <w:r w:rsidR="00B92F82" w:rsidRPr="000452C6">
        <w:rPr>
          <w:rFonts w:ascii="Times New Roman" w:hAnsi="Times New Roman" w:cs="Times New Roman"/>
          <w:b/>
          <w:bCs/>
          <w:sz w:val="20"/>
          <w:szCs w:val="20"/>
        </w:rPr>
        <w:t>stay</w:t>
      </w:r>
    </w:p>
    <w:p w:rsidR="00B92F82" w:rsidRPr="000452C6" w:rsidRDefault="00B92F82"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All patients enter ICU after operation, with only 10 patients (12%) staying for one or two days (a routine practice after such major operation); and they did not need readmission. Another 55 patients (65.5%) needed 3-5 days in ICU due to associated co-morbidities or occurrence of </w:t>
      </w:r>
      <w:proofErr w:type="spellStart"/>
      <w:r w:rsidRPr="000452C6">
        <w:rPr>
          <w:rFonts w:ascii="Times New Roman" w:hAnsi="Times New Roman" w:cs="Times New Roman"/>
          <w:sz w:val="20"/>
          <w:szCs w:val="20"/>
        </w:rPr>
        <w:t>intraoperative</w:t>
      </w:r>
      <w:proofErr w:type="spellEnd"/>
      <w:r w:rsidRPr="000452C6">
        <w:rPr>
          <w:rFonts w:ascii="Times New Roman" w:hAnsi="Times New Roman" w:cs="Times New Roman"/>
          <w:sz w:val="20"/>
          <w:szCs w:val="20"/>
        </w:rPr>
        <w:t xml:space="preserve"> or postoperative complications. The remaining 19 patients (22.6%) needed six days or more for close monitoring and management of postoperative complications; that either were successfully m</w:t>
      </w:r>
      <w:r w:rsidR="00BC1A52" w:rsidRPr="000452C6">
        <w:rPr>
          <w:rFonts w:ascii="Times New Roman" w:hAnsi="Times New Roman" w:cs="Times New Roman"/>
          <w:sz w:val="20"/>
          <w:szCs w:val="20"/>
        </w:rPr>
        <w:t xml:space="preserve">anaged or ended in mortality. </w:t>
      </w:r>
      <w:r w:rsidRPr="000452C6">
        <w:rPr>
          <w:rFonts w:ascii="Times New Roman" w:hAnsi="Times New Roman" w:cs="Times New Roman"/>
          <w:sz w:val="20"/>
          <w:szCs w:val="20"/>
        </w:rPr>
        <w:t>Twenty-four patients (28.6%) were discharged within 12 days, 26 (30.9%) required prolonged stay (13-18 days) in hospital for adequate postoperative recovery. The remaining 34 patients (40.5%) stayed longer than 19 days for proper management of complications.</w:t>
      </w:r>
    </w:p>
    <w:p w:rsidR="00B92F82" w:rsidRPr="000452C6" w:rsidRDefault="00607D07" w:rsidP="00FE79B6">
      <w:pPr>
        <w:snapToGrid w:val="0"/>
        <w:spacing w:after="0" w:line="240" w:lineRule="auto"/>
        <w:ind w:firstLine="425"/>
        <w:jc w:val="both"/>
        <w:rPr>
          <w:rFonts w:ascii="Times New Roman" w:hAnsi="Times New Roman" w:cs="Times New Roman"/>
          <w:i/>
          <w:iCs/>
          <w:sz w:val="20"/>
          <w:szCs w:val="20"/>
        </w:rPr>
      </w:pPr>
      <w:r w:rsidRPr="000452C6">
        <w:rPr>
          <w:rFonts w:ascii="Times New Roman" w:hAnsi="Times New Roman" w:cs="Times New Roman"/>
          <w:i/>
          <w:iCs/>
          <w:sz w:val="20"/>
          <w:szCs w:val="20"/>
        </w:rPr>
        <w:t>Surgical</w:t>
      </w:r>
      <w:r w:rsidR="00B92F82" w:rsidRPr="000452C6">
        <w:rPr>
          <w:rFonts w:ascii="Times New Roman" w:hAnsi="Times New Roman" w:cs="Times New Roman"/>
          <w:i/>
          <w:iCs/>
          <w:sz w:val="20"/>
          <w:szCs w:val="20"/>
        </w:rPr>
        <w:t xml:space="preserve"> Complications</w:t>
      </w:r>
    </w:p>
    <w:p w:rsidR="00B92F82" w:rsidRPr="000452C6" w:rsidRDefault="00607D07"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Surgical complications recorded were </w:t>
      </w:r>
      <w:proofErr w:type="spellStart"/>
      <w:r w:rsidRPr="000452C6">
        <w:rPr>
          <w:rFonts w:ascii="Times New Roman" w:hAnsi="Times New Roman" w:cs="Times New Roman"/>
          <w:sz w:val="20"/>
          <w:szCs w:val="20"/>
        </w:rPr>
        <w:t>anastomotic</w:t>
      </w:r>
      <w:proofErr w:type="spellEnd"/>
      <w:r w:rsidRPr="000452C6">
        <w:rPr>
          <w:rFonts w:ascii="Times New Roman" w:hAnsi="Times New Roman" w:cs="Times New Roman"/>
          <w:sz w:val="20"/>
          <w:szCs w:val="20"/>
        </w:rPr>
        <w:t xml:space="preserve"> leakage (n=12; 14.3%), </w:t>
      </w:r>
      <w:proofErr w:type="spellStart"/>
      <w:r w:rsidRPr="000452C6">
        <w:rPr>
          <w:rFonts w:ascii="Times New Roman" w:hAnsi="Times New Roman" w:cs="Times New Roman"/>
          <w:sz w:val="20"/>
          <w:szCs w:val="20"/>
        </w:rPr>
        <w:t>intraoperative</w:t>
      </w:r>
      <w:proofErr w:type="spellEnd"/>
      <w:r w:rsidRPr="000452C6">
        <w:rPr>
          <w:rFonts w:ascii="Times New Roman" w:hAnsi="Times New Roman" w:cs="Times New Roman"/>
          <w:sz w:val="20"/>
          <w:szCs w:val="20"/>
        </w:rPr>
        <w:t xml:space="preserve"> blood loss requiring massive blood transfusion or circulatory support in (n=6</w:t>
      </w:r>
      <w:r w:rsidR="00D373A7" w:rsidRPr="000452C6">
        <w:rPr>
          <w:rFonts w:ascii="Times New Roman" w:hAnsi="Times New Roman" w:cs="Times New Roman"/>
          <w:sz w:val="20"/>
          <w:szCs w:val="20"/>
        </w:rPr>
        <w:t>; 7.1%</w:t>
      </w:r>
      <w:r w:rsidRPr="000452C6">
        <w:rPr>
          <w:rFonts w:ascii="Times New Roman" w:hAnsi="Times New Roman" w:cs="Times New Roman"/>
          <w:sz w:val="20"/>
          <w:szCs w:val="20"/>
        </w:rPr>
        <w:t xml:space="preserve">), </w:t>
      </w:r>
      <w:proofErr w:type="spellStart"/>
      <w:r w:rsidRPr="000452C6">
        <w:rPr>
          <w:rFonts w:ascii="Times New Roman" w:hAnsi="Times New Roman" w:cs="Times New Roman"/>
          <w:sz w:val="20"/>
          <w:szCs w:val="20"/>
        </w:rPr>
        <w:t>bronchopleural</w:t>
      </w:r>
      <w:proofErr w:type="spellEnd"/>
      <w:r w:rsidRPr="000452C6">
        <w:rPr>
          <w:rFonts w:ascii="Times New Roman" w:hAnsi="Times New Roman" w:cs="Times New Roman"/>
          <w:sz w:val="20"/>
          <w:szCs w:val="20"/>
        </w:rPr>
        <w:t xml:space="preserve"> </w:t>
      </w:r>
      <w:r w:rsidRPr="000452C6">
        <w:rPr>
          <w:rFonts w:ascii="Times New Roman" w:hAnsi="Times New Roman" w:cs="Times New Roman"/>
          <w:sz w:val="20"/>
          <w:szCs w:val="20"/>
        </w:rPr>
        <w:lastRenderedPageBreak/>
        <w:t>fistula (n=4</w:t>
      </w:r>
      <w:r w:rsidR="00D373A7" w:rsidRPr="000452C6">
        <w:rPr>
          <w:rFonts w:ascii="Times New Roman" w:hAnsi="Times New Roman" w:cs="Times New Roman"/>
          <w:sz w:val="20"/>
          <w:szCs w:val="20"/>
        </w:rPr>
        <w:t>; 4.8%</w:t>
      </w:r>
      <w:r w:rsidRPr="000452C6">
        <w:rPr>
          <w:rFonts w:ascii="Times New Roman" w:hAnsi="Times New Roman" w:cs="Times New Roman"/>
          <w:sz w:val="20"/>
          <w:szCs w:val="20"/>
        </w:rPr>
        <w:t xml:space="preserve">), and single case of </w:t>
      </w:r>
      <w:proofErr w:type="spellStart"/>
      <w:r w:rsidRPr="000452C6">
        <w:rPr>
          <w:rFonts w:ascii="Times New Roman" w:hAnsi="Times New Roman" w:cs="Times New Roman"/>
          <w:sz w:val="20"/>
          <w:szCs w:val="20"/>
        </w:rPr>
        <w:t>chylous</w:t>
      </w:r>
      <w:proofErr w:type="spellEnd"/>
      <w:r w:rsidRPr="000452C6">
        <w:rPr>
          <w:rFonts w:ascii="Times New Roman" w:hAnsi="Times New Roman" w:cs="Times New Roman"/>
          <w:sz w:val="20"/>
          <w:szCs w:val="20"/>
        </w:rPr>
        <w:t xml:space="preserve"> fistula, reactionary hemorrhage, pancreatic tear, and </w:t>
      </w:r>
      <w:proofErr w:type="spellStart"/>
      <w:r w:rsidRPr="000452C6">
        <w:rPr>
          <w:rFonts w:ascii="Times New Roman" w:hAnsi="Times New Roman" w:cs="Times New Roman"/>
          <w:sz w:val="20"/>
          <w:szCs w:val="20"/>
        </w:rPr>
        <w:t>empyema</w:t>
      </w:r>
      <w:proofErr w:type="spellEnd"/>
      <w:r w:rsidR="00DE0878" w:rsidRPr="000452C6">
        <w:rPr>
          <w:rFonts w:ascii="Times New Roman" w:hAnsi="Times New Roman" w:cs="Times New Roman"/>
          <w:sz w:val="20"/>
          <w:szCs w:val="20"/>
        </w:rPr>
        <w:t>.</w:t>
      </w:r>
      <w:r w:rsidR="00DE0878">
        <w:rPr>
          <w:rFonts w:ascii="Times New Roman" w:hAnsi="Times New Roman" w:cs="Times New Roman"/>
          <w:sz w:val="20"/>
          <w:szCs w:val="20"/>
        </w:rPr>
        <w:t xml:space="preserve"> </w:t>
      </w:r>
      <w:r w:rsidR="00DE0878" w:rsidRPr="000452C6">
        <w:rPr>
          <w:rFonts w:ascii="Times New Roman" w:hAnsi="Times New Roman" w:cs="Times New Roman"/>
          <w:sz w:val="20"/>
          <w:szCs w:val="20"/>
        </w:rPr>
        <w:t>T</w:t>
      </w:r>
      <w:r w:rsidR="00B92F82" w:rsidRPr="000452C6">
        <w:rPr>
          <w:rFonts w:ascii="Times New Roman" w:hAnsi="Times New Roman" w:cs="Times New Roman"/>
          <w:sz w:val="20"/>
          <w:szCs w:val="20"/>
        </w:rPr>
        <w:t>here was no significant effect of the surgical app</w:t>
      </w:r>
      <w:r w:rsidR="00DA5083" w:rsidRPr="000452C6">
        <w:rPr>
          <w:rFonts w:ascii="Times New Roman" w:hAnsi="Times New Roman" w:cs="Times New Roman"/>
          <w:sz w:val="20"/>
          <w:szCs w:val="20"/>
        </w:rPr>
        <w:t xml:space="preserve">roach (p=0.234), </w:t>
      </w:r>
      <w:r w:rsidR="00B92F82" w:rsidRPr="000452C6">
        <w:rPr>
          <w:rFonts w:ascii="Times New Roman" w:hAnsi="Times New Roman" w:cs="Times New Roman"/>
          <w:sz w:val="20"/>
          <w:szCs w:val="20"/>
        </w:rPr>
        <w:t xml:space="preserve">procedure duration (p = 0.911), site of placing </w:t>
      </w:r>
      <w:proofErr w:type="spellStart"/>
      <w:r w:rsidR="00B92F82" w:rsidRPr="000452C6">
        <w:rPr>
          <w:rFonts w:ascii="Times New Roman" w:hAnsi="Times New Roman" w:cs="Times New Roman"/>
          <w:sz w:val="20"/>
          <w:szCs w:val="20"/>
        </w:rPr>
        <w:t>anastomosis</w:t>
      </w:r>
      <w:proofErr w:type="spellEnd"/>
      <w:r w:rsidR="00B92F82" w:rsidRPr="000452C6">
        <w:rPr>
          <w:rFonts w:ascii="Times New Roman" w:hAnsi="Times New Roman" w:cs="Times New Roman"/>
          <w:sz w:val="20"/>
          <w:szCs w:val="20"/>
        </w:rPr>
        <w:t xml:space="preserve"> (p = 0.422), and type of </w:t>
      </w:r>
      <w:proofErr w:type="spellStart"/>
      <w:r w:rsidR="00B92F82" w:rsidRPr="000452C6">
        <w:rPr>
          <w:rFonts w:ascii="Times New Roman" w:hAnsi="Times New Roman" w:cs="Times New Roman"/>
          <w:sz w:val="20"/>
          <w:szCs w:val="20"/>
        </w:rPr>
        <w:t>anastomosis</w:t>
      </w:r>
      <w:proofErr w:type="spellEnd"/>
      <w:r w:rsidR="00B92F82" w:rsidRPr="000452C6">
        <w:rPr>
          <w:rFonts w:ascii="Times New Roman" w:hAnsi="Times New Roman" w:cs="Times New Roman"/>
          <w:sz w:val="20"/>
          <w:szCs w:val="20"/>
        </w:rPr>
        <w:t xml:space="preserve"> closure (p = 0.447)</w:t>
      </w:r>
      <w:r w:rsidRPr="000452C6">
        <w:rPr>
          <w:rFonts w:ascii="Times New Roman" w:hAnsi="Times New Roman" w:cs="Times New Roman"/>
          <w:sz w:val="20"/>
          <w:szCs w:val="20"/>
        </w:rPr>
        <w:t xml:space="preserve"> on the frequency of </w:t>
      </w:r>
      <w:proofErr w:type="spellStart"/>
      <w:r w:rsidRPr="000452C6">
        <w:rPr>
          <w:rFonts w:ascii="Times New Roman" w:hAnsi="Times New Roman" w:cs="Times New Roman"/>
          <w:sz w:val="20"/>
          <w:szCs w:val="20"/>
        </w:rPr>
        <w:t>anastomotic</w:t>
      </w:r>
      <w:proofErr w:type="spellEnd"/>
      <w:r w:rsidRPr="000452C6">
        <w:rPr>
          <w:rFonts w:ascii="Times New Roman" w:hAnsi="Times New Roman" w:cs="Times New Roman"/>
          <w:sz w:val="20"/>
          <w:szCs w:val="20"/>
        </w:rPr>
        <w:t xml:space="preserve"> leakage</w:t>
      </w:r>
      <w:r w:rsidR="00B92F82" w:rsidRPr="000452C6">
        <w:rPr>
          <w:rFonts w:ascii="Times New Roman" w:hAnsi="Times New Roman" w:cs="Times New Roman"/>
          <w:sz w:val="20"/>
          <w:szCs w:val="20"/>
        </w:rPr>
        <w:t xml:space="preserve">. Leakage stopped and </w:t>
      </w:r>
      <w:proofErr w:type="spellStart"/>
      <w:r w:rsidR="00B92F82" w:rsidRPr="000452C6">
        <w:rPr>
          <w:rFonts w:ascii="Times New Roman" w:hAnsi="Times New Roman" w:cs="Times New Roman"/>
          <w:sz w:val="20"/>
          <w:szCs w:val="20"/>
        </w:rPr>
        <w:t>anastomosis</w:t>
      </w:r>
      <w:proofErr w:type="spellEnd"/>
      <w:r w:rsidR="00B92F82" w:rsidRPr="000452C6">
        <w:rPr>
          <w:rFonts w:ascii="Times New Roman" w:hAnsi="Times New Roman" w:cs="Times New Roman"/>
          <w:sz w:val="20"/>
          <w:szCs w:val="20"/>
        </w:rPr>
        <w:t xml:space="preserve"> healed with conservative management in </w:t>
      </w:r>
      <w:r w:rsidR="004A1A17" w:rsidRPr="000452C6">
        <w:rPr>
          <w:rFonts w:ascii="Times New Roman" w:hAnsi="Times New Roman" w:cs="Times New Roman"/>
          <w:sz w:val="20"/>
          <w:szCs w:val="20"/>
        </w:rPr>
        <w:t>five patients</w:t>
      </w:r>
      <w:r w:rsidR="00B92F82" w:rsidRPr="000452C6">
        <w:rPr>
          <w:rFonts w:ascii="Times New Roman" w:hAnsi="Times New Roman" w:cs="Times New Roman"/>
          <w:sz w:val="20"/>
          <w:szCs w:val="20"/>
        </w:rPr>
        <w:t xml:space="preserve">. Surgical exploration was done in </w:t>
      </w:r>
      <w:r w:rsidR="00C45EA3" w:rsidRPr="000452C6">
        <w:rPr>
          <w:rFonts w:ascii="Times New Roman" w:hAnsi="Times New Roman" w:cs="Times New Roman"/>
          <w:sz w:val="20"/>
          <w:szCs w:val="20"/>
        </w:rPr>
        <w:t>four</w:t>
      </w:r>
      <w:r w:rsidR="00B92F82" w:rsidRPr="000452C6">
        <w:rPr>
          <w:rFonts w:ascii="Times New Roman" w:hAnsi="Times New Roman" w:cs="Times New Roman"/>
          <w:sz w:val="20"/>
          <w:szCs w:val="20"/>
        </w:rPr>
        <w:t xml:space="preserve"> cases; repair was successful in only one of them. Postoperative leakage was associated with prolonged hospital stay, i.e. 19 days or more for the majority of patients. Six patients (50%) died during the postoperative period.</w:t>
      </w:r>
    </w:p>
    <w:p w:rsidR="000452C6" w:rsidRPr="000452C6" w:rsidRDefault="00B705C2"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Twenty five patients (29.8%) developed postoperative pneumonia. There was no significant effect of any of the preoperative risk factors on the development of postoperative pneumonia (Table 10). Table 11 shows that the only factors associated with higher risk of developing pneumonia were placing </w:t>
      </w:r>
      <w:proofErr w:type="spellStart"/>
      <w:r w:rsidRPr="000452C6">
        <w:rPr>
          <w:rFonts w:ascii="Times New Roman" w:hAnsi="Times New Roman" w:cs="Times New Roman"/>
          <w:sz w:val="20"/>
          <w:szCs w:val="20"/>
        </w:rPr>
        <w:t>anastomosis</w:t>
      </w:r>
      <w:proofErr w:type="spellEnd"/>
      <w:r w:rsidRPr="000452C6">
        <w:rPr>
          <w:rFonts w:ascii="Times New Roman" w:hAnsi="Times New Roman" w:cs="Times New Roman"/>
          <w:sz w:val="20"/>
          <w:szCs w:val="20"/>
        </w:rPr>
        <w:t xml:space="preserve"> in the neck (p = 0.015) and associated surgical complications (p &lt; 0.001). </w:t>
      </w:r>
    </w:p>
    <w:p w:rsidR="00FE79B6" w:rsidRDefault="00FE79B6" w:rsidP="00FE79B6">
      <w:pPr>
        <w:snapToGrid w:val="0"/>
        <w:spacing w:after="0" w:line="240" w:lineRule="auto"/>
        <w:jc w:val="center"/>
        <w:rPr>
          <w:rFonts w:ascii="Times New Roman" w:hAnsi="Times New Roman" w:cs="Times New Roman"/>
          <w:sz w:val="20"/>
          <w:szCs w:val="20"/>
        </w:rPr>
        <w:sectPr w:rsidR="00FE79B6" w:rsidSect="00FE79B6">
          <w:type w:val="continuous"/>
          <w:pgSz w:w="12242" w:h="15842" w:code="1"/>
          <w:pgMar w:top="1440" w:right="1440" w:bottom="1440" w:left="1440" w:header="720" w:footer="720" w:gutter="0"/>
          <w:cols w:num="2" w:space="550"/>
          <w:docGrid w:linePitch="299"/>
        </w:sectPr>
      </w:pPr>
    </w:p>
    <w:p w:rsidR="00B705C2" w:rsidRPr="000452C6" w:rsidRDefault="00B705C2" w:rsidP="00FE79B6">
      <w:pPr>
        <w:snapToGrid w:val="0"/>
        <w:spacing w:after="0" w:line="240" w:lineRule="auto"/>
        <w:jc w:val="center"/>
        <w:rPr>
          <w:rFonts w:ascii="Times New Roman" w:hAnsi="Times New Roman" w:cs="Times New Roman"/>
          <w:sz w:val="20"/>
          <w:szCs w:val="20"/>
        </w:rPr>
      </w:pPr>
    </w:p>
    <w:p w:rsidR="00B92F82" w:rsidRPr="000452C6" w:rsidRDefault="00B92F82" w:rsidP="00FE79B6">
      <w:pPr>
        <w:snapToGrid w:val="0"/>
        <w:spacing w:after="0" w:line="240" w:lineRule="auto"/>
        <w:jc w:val="both"/>
        <w:rPr>
          <w:rFonts w:ascii="Times New Roman" w:hAnsi="Times New Roman" w:cs="Times New Roman"/>
          <w:sz w:val="20"/>
          <w:szCs w:val="20"/>
        </w:rPr>
      </w:pPr>
      <w:r w:rsidRPr="000452C6">
        <w:rPr>
          <w:rFonts w:ascii="Times New Roman" w:hAnsi="Times New Roman" w:cs="Times New Roman"/>
          <w:sz w:val="20"/>
          <w:szCs w:val="20"/>
        </w:rPr>
        <w:t xml:space="preserve">Table 9: </w:t>
      </w:r>
      <w:proofErr w:type="spellStart"/>
      <w:r w:rsidRPr="000452C6">
        <w:rPr>
          <w:rFonts w:ascii="Times New Roman" w:hAnsi="Times New Roman" w:cs="Times New Roman"/>
          <w:sz w:val="20"/>
          <w:szCs w:val="20"/>
        </w:rPr>
        <w:t>Intraoperative</w:t>
      </w:r>
      <w:proofErr w:type="spellEnd"/>
      <w:r w:rsidRPr="000452C6">
        <w:rPr>
          <w:rFonts w:ascii="Times New Roman" w:hAnsi="Times New Roman" w:cs="Times New Roman"/>
          <w:sz w:val="20"/>
          <w:szCs w:val="20"/>
        </w:rPr>
        <w:t xml:space="preserve"> Risk Factors for postoperative </w:t>
      </w:r>
      <w:r w:rsidR="003B3B7B" w:rsidRPr="000452C6">
        <w:rPr>
          <w:rFonts w:ascii="Times New Roman" w:hAnsi="Times New Roman" w:cs="Times New Roman"/>
          <w:sz w:val="20"/>
          <w:szCs w:val="20"/>
        </w:rPr>
        <w:t>l</w:t>
      </w:r>
      <w:r w:rsidRPr="000452C6">
        <w:rPr>
          <w:rFonts w:ascii="Times New Roman" w:hAnsi="Times New Roman" w:cs="Times New Roman"/>
          <w:sz w:val="20"/>
          <w:szCs w:val="20"/>
        </w:rPr>
        <w:t>eakage</w:t>
      </w:r>
      <w:r w:rsidR="003B3B7B" w:rsidRPr="000452C6">
        <w:rPr>
          <w:rFonts w:ascii="Times New Roman" w:hAnsi="Times New Roman" w:cs="Times New Roman"/>
          <w:sz w:val="20"/>
          <w:szCs w:val="20"/>
        </w:rPr>
        <w:t xml:space="preserve"> in esophageal cancer patients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5013"/>
        <w:gridCol w:w="1410"/>
        <w:gridCol w:w="1806"/>
        <w:gridCol w:w="1247"/>
      </w:tblGrid>
      <w:tr w:rsidR="00B705C2" w:rsidRPr="00DE0878" w:rsidTr="000452C6">
        <w:trPr>
          <w:jc w:val="center"/>
        </w:trPr>
        <w:tc>
          <w:tcPr>
            <w:tcW w:w="2645" w:type="pct"/>
            <w:tcBorders>
              <w:bottom w:val="single" w:sz="4" w:space="0" w:color="auto"/>
            </w:tcBorders>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 </w:t>
            </w:r>
          </w:p>
        </w:tc>
        <w:tc>
          <w:tcPr>
            <w:tcW w:w="744" w:type="pct"/>
            <w:tcBorders>
              <w:bottom w:val="single" w:sz="4" w:space="0" w:color="auto"/>
            </w:tcBorders>
            <w:shd w:val="clear" w:color="auto" w:fill="auto"/>
            <w:noWrap/>
            <w:vAlign w:val="center"/>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Number</w:t>
            </w:r>
          </w:p>
        </w:tc>
        <w:tc>
          <w:tcPr>
            <w:tcW w:w="953" w:type="pct"/>
            <w:tcBorders>
              <w:bottom w:val="single" w:sz="4" w:space="0" w:color="auto"/>
            </w:tcBorders>
            <w:shd w:val="clear" w:color="auto" w:fill="auto"/>
            <w:noWrap/>
            <w:vAlign w:val="center"/>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Percentage</w:t>
            </w:r>
          </w:p>
        </w:tc>
        <w:tc>
          <w:tcPr>
            <w:tcW w:w="658" w:type="pct"/>
            <w:tcBorders>
              <w:bottom w:val="single" w:sz="4" w:space="0" w:color="auto"/>
            </w:tcBorders>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p value</w:t>
            </w:r>
          </w:p>
        </w:tc>
      </w:tr>
      <w:tr w:rsidR="00B705C2" w:rsidRPr="00DE0878" w:rsidTr="000452C6">
        <w:trPr>
          <w:jc w:val="center"/>
        </w:trPr>
        <w:tc>
          <w:tcPr>
            <w:tcW w:w="2645" w:type="pct"/>
            <w:tcBorders>
              <w:top w:val="single" w:sz="4" w:space="0" w:color="auto"/>
              <w:bottom w:val="nil"/>
            </w:tcBorders>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Procedure</w:t>
            </w:r>
          </w:p>
        </w:tc>
        <w:tc>
          <w:tcPr>
            <w:tcW w:w="744" w:type="pct"/>
            <w:tcBorders>
              <w:top w:val="single" w:sz="4" w:space="0" w:color="auto"/>
              <w:bottom w:val="nil"/>
            </w:tcBorders>
            <w:shd w:val="clear" w:color="auto" w:fill="auto"/>
            <w:noWrap/>
            <w:vAlign w:val="center"/>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c>
          <w:tcPr>
            <w:tcW w:w="953" w:type="pct"/>
            <w:tcBorders>
              <w:top w:val="single" w:sz="4" w:space="0" w:color="auto"/>
              <w:bottom w:val="nil"/>
            </w:tcBorders>
            <w:shd w:val="clear" w:color="auto" w:fill="auto"/>
            <w:noWrap/>
            <w:vAlign w:val="center"/>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c>
          <w:tcPr>
            <w:tcW w:w="658" w:type="pct"/>
            <w:tcBorders>
              <w:top w:val="single" w:sz="4" w:space="0" w:color="auto"/>
              <w:bottom w:val="nil"/>
            </w:tcBorders>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45" w:type="pct"/>
            <w:tcBorders>
              <w:top w:val="nil"/>
            </w:tcBorders>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Trans-thoracic (n=51)</w:t>
            </w:r>
          </w:p>
        </w:tc>
        <w:tc>
          <w:tcPr>
            <w:tcW w:w="744" w:type="pct"/>
            <w:tcBorders>
              <w:top w:val="nil"/>
            </w:tcBorders>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5</w:t>
            </w:r>
          </w:p>
        </w:tc>
        <w:tc>
          <w:tcPr>
            <w:tcW w:w="953" w:type="pct"/>
            <w:tcBorders>
              <w:top w:val="nil"/>
            </w:tcBorders>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9.8</w:t>
            </w:r>
          </w:p>
        </w:tc>
        <w:tc>
          <w:tcPr>
            <w:tcW w:w="658" w:type="pct"/>
            <w:tcBorders>
              <w:top w:val="nil"/>
            </w:tcBorders>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45"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Trans-</w:t>
            </w:r>
            <w:proofErr w:type="spellStart"/>
            <w:r w:rsidRPr="00DE0878">
              <w:rPr>
                <w:rFonts w:ascii="Times New Roman" w:eastAsia="Times New Roman" w:hAnsi="Times New Roman" w:cs="Times New Roman"/>
                <w:sz w:val="16"/>
                <w:szCs w:val="16"/>
              </w:rPr>
              <w:t>hiatal</w:t>
            </w:r>
            <w:proofErr w:type="spellEnd"/>
            <w:r w:rsidRPr="00DE0878">
              <w:rPr>
                <w:rFonts w:ascii="Times New Roman" w:eastAsia="Times New Roman" w:hAnsi="Times New Roman" w:cs="Times New Roman"/>
                <w:sz w:val="16"/>
                <w:szCs w:val="16"/>
              </w:rPr>
              <w:t xml:space="preserve"> (n=12)</w:t>
            </w:r>
          </w:p>
        </w:tc>
        <w:tc>
          <w:tcPr>
            <w:tcW w:w="744"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w:t>
            </w:r>
          </w:p>
        </w:tc>
        <w:tc>
          <w:tcPr>
            <w:tcW w:w="953"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16.7</w:t>
            </w:r>
          </w:p>
        </w:tc>
        <w:tc>
          <w:tcPr>
            <w:tcW w:w="658"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0.234</w:t>
            </w:r>
          </w:p>
        </w:tc>
      </w:tr>
      <w:tr w:rsidR="00B705C2" w:rsidRPr="00DE0878" w:rsidTr="000452C6">
        <w:trPr>
          <w:jc w:val="center"/>
        </w:trPr>
        <w:tc>
          <w:tcPr>
            <w:tcW w:w="2645"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hAnsi="Times New Roman" w:cs="Times New Roman"/>
                <w:sz w:val="16"/>
                <w:szCs w:val="16"/>
              </w:rPr>
              <w:t xml:space="preserve">Total </w:t>
            </w:r>
            <w:proofErr w:type="spellStart"/>
            <w:r w:rsidRPr="00DE0878">
              <w:rPr>
                <w:rFonts w:ascii="Times New Roman" w:hAnsi="Times New Roman" w:cs="Times New Roman"/>
                <w:sz w:val="16"/>
                <w:szCs w:val="16"/>
              </w:rPr>
              <w:t>pharyngolaryngectomy</w:t>
            </w:r>
            <w:proofErr w:type="spellEnd"/>
            <w:r w:rsidRPr="00DE0878">
              <w:rPr>
                <w:rFonts w:ascii="Times New Roman" w:hAnsi="Times New Roman" w:cs="Times New Roman"/>
                <w:sz w:val="16"/>
                <w:szCs w:val="16"/>
              </w:rPr>
              <w:t xml:space="preserve"> (n=9)</w:t>
            </w:r>
          </w:p>
        </w:tc>
        <w:tc>
          <w:tcPr>
            <w:tcW w:w="744"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w:t>
            </w:r>
          </w:p>
        </w:tc>
        <w:tc>
          <w:tcPr>
            <w:tcW w:w="953"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33.3</w:t>
            </w:r>
          </w:p>
        </w:tc>
        <w:tc>
          <w:tcPr>
            <w:tcW w:w="658"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45"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Abdominal (n=12)</w:t>
            </w:r>
          </w:p>
        </w:tc>
        <w:tc>
          <w:tcPr>
            <w:tcW w:w="744"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w:t>
            </w:r>
          </w:p>
        </w:tc>
        <w:tc>
          <w:tcPr>
            <w:tcW w:w="953"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16.7</w:t>
            </w:r>
          </w:p>
        </w:tc>
        <w:tc>
          <w:tcPr>
            <w:tcW w:w="658" w:type="pct"/>
            <w:shd w:val="clear" w:color="auto" w:fill="auto"/>
            <w:noWrap/>
            <w:vAlign w:val="center"/>
            <w:hideMark/>
          </w:tcPr>
          <w:p w:rsidR="006C0FAC" w:rsidRPr="00DE0878" w:rsidRDefault="006C0FAC"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45"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Duration</w:t>
            </w:r>
          </w:p>
        </w:tc>
        <w:tc>
          <w:tcPr>
            <w:tcW w:w="744"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c>
          <w:tcPr>
            <w:tcW w:w="953"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c>
          <w:tcPr>
            <w:tcW w:w="658"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45"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&lt; 4 hrs (n=23)</w:t>
            </w:r>
          </w:p>
        </w:tc>
        <w:tc>
          <w:tcPr>
            <w:tcW w:w="744"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w:t>
            </w:r>
          </w:p>
        </w:tc>
        <w:tc>
          <w:tcPr>
            <w:tcW w:w="953"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13.0</w:t>
            </w:r>
          </w:p>
        </w:tc>
        <w:tc>
          <w:tcPr>
            <w:tcW w:w="658"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0.911</w:t>
            </w:r>
          </w:p>
        </w:tc>
      </w:tr>
      <w:tr w:rsidR="00B705C2" w:rsidRPr="00DE0878" w:rsidTr="000452C6">
        <w:trPr>
          <w:jc w:val="center"/>
        </w:trPr>
        <w:tc>
          <w:tcPr>
            <w:tcW w:w="2645"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4-6 hrs (n=49)</w:t>
            </w:r>
          </w:p>
        </w:tc>
        <w:tc>
          <w:tcPr>
            <w:tcW w:w="744"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8</w:t>
            </w:r>
          </w:p>
        </w:tc>
        <w:tc>
          <w:tcPr>
            <w:tcW w:w="953"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16.3</w:t>
            </w:r>
          </w:p>
        </w:tc>
        <w:tc>
          <w:tcPr>
            <w:tcW w:w="658"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45"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&gt; 6 hrs (n=12)</w:t>
            </w:r>
          </w:p>
        </w:tc>
        <w:tc>
          <w:tcPr>
            <w:tcW w:w="744"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w:t>
            </w:r>
          </w:p>
        </w:tc>
        <w:tc>
          <w:tcPr>
            <w:tcW w:w="953"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8.3</w:t>
            </w:r>
          </w:p>
        </w:tc>
        <w:tc>
          <w:tcPr>
            <w:tcW w:w="658"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45"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Site</w:t>
            </w:r>
            <w:r w:rsidR="0082553E" w:rsidRPr="00DE0878">
              <w:rPr>
                <w:rFonts w:ascii="Times New Roman" w:eastAsia="Times New Roman" w:hAnsi="Times New Roman" w:cs="Times New Roman"/>
                <w:b/>
                <w:bCs/>
                <w:sz w:val="16"/>
                <w:szCs w:val="16"/>
              </w:rPr>
              <w:t xml:space="preserve"> of </w:t>
            </w:r>
            <w:proofErr w:type="spellStart"/>
            <w:r w:rsidR="0082553E" w:rsidRPr="00DE0878">
              <w:rPr>
                <w:rFonts w:ascii="Times New Roman" w:eastAsia="Times New Roman" w:hAnsi="Times New Roman" w:cs="Times New Roman"/>
                <w:b/>
                <w:bCs/>
                <w:sz w:val="16"/>
                <w:szCs w:val="16"/>
              </w:rPr>
              <w:t>anastomosis</w:t>
            </w:r>
            <w:proofErr w:type="spellEnd"/>
          </w:p>
        </w:tc>
        <w:tc>
          <w:tcPr>
            <w:tcW w:w="744"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c>
          <w:tcPr>
            <w:tcW w:w="953"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c>
          <w:tcPr>
            <w:tcW w:w="658"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45"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Neck (n=40)</w:t>
            </w:r>
          </w:p>
        </w:tc>
        <w:tc>
          <w:tcPr>
            <w:tcW w:w="744"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7</w:t>
            </w:r>
          </w:p>
        </w:tc>
        <w:tc>
          <w:tcPr>
            <w:tcW w:w="953"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17.5</w:t>
            </w:r>
          </w:p>
        </w:tc>
        <w:tc>
          <w:tcPr>
            <w:tcW w:w="658"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0.422</w:t>
            </w:r>
          </w:p>
        </w:tc>
      </w:tr>
      <w:tr w:rsidR="00B705C2" w:rsidRPr="00DE0878" w:rsidTr="000452C6">
        <w:trPr>
          <w:jc w:val="center"/>
        </w:trPr>
        <w:tc>
          <w:tcPr>
            <w:tcW w:w="2645"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Chest (n=44)</w:t>
            </w:r>
          </w:p>
        </w:tc>
        <w:tc>
          <w:tcPr>
            <w:tcW w:w="744"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5</w:t>
            </w:r>
          </w:p>
        </w:tc>
        <w:tc>
          <w:tcPr>
            <w:tcW w:w="953"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11.4</w:t>
            </w:r>
          </w:p>
        </w:tc>
        <w:tc>
          <w:tcPr>
            <w:tcW w:w="658" w:type="pct"/>
            <w:shd w:val="clear" w:color="auto" w:fill="auto"/>
            <w:noWrap/>
            <w:vAlign w:val="center"/>
            <w:hideMark/>
          </w:tcPr>
          <w:p w:rsidR="00546DE4" w:rsidRPr="00DE0878" w:rsidRDefault="00546DE4"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45"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Type</w:t>
            </w:r>
            <w:r w:rsidR="003C6338" w:rsidRPr="00DE0878">
              <w:rPr>
                <w:rFonts w:ascii="Times New Roman" w:eastAsia="Times New Roman" w:hAnsi="Times New Roman" w:cs="Times New Roman"/>
                <w:b/>
                <w:bCs/>
                <w:sz w:val="16"/>
                <w:szCs w:val="16"/>
              </w:rPr>
              <w:t xml:space="preserve"> of </w:t>
            </w:r>
            <w:proofErr w:type="spellStart"/>
            <w:r w:rsidR="003C6338" w:rsidRPr="00DE0878">
              <w:rPr>
                <w:rFonts w:ascii="Times New Roman" w:eastAsia="Times New Roman" w:hAnsi="Times New Roman" w:cs="Times New Roman"/>
                <w:b/>
                <w:bCs/>
                <w:sz w:val="16"/>
                <w:szCs w:val="16"/>
              </w:rPr>
              <w:t>anastomosis</w:t>
            </w:r>
            <w:proofErr w:type="spellEnd"/>
          </w:p>
        </w:tc>
        <w:tc>
          <w:tcPr>
            <w:tcW w:w="744"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c>
          <w:tcPr>
            <w:tcW w:w="953"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c>
          <w:tcPr>
            <w:tcW w:w="658"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45"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Stapler</w:t>
            </w:r>
            <w:r w:rsidR="00546DE4" w:rsidRPr="00DE0878">
              <w:rPr>
                <w:rFonts w:ascii="Times New Roman" w:eastAsia="Times New Roman" w:hAnsi="Times New Roman" w:cs="Times New Roman"/>
                <w:sz w:val="16"/>
                <w:szCs w:val="16"/>
              </w:rPr>
              <w:t xml:space="preserve"> (n=16)</w:t>
            </w:r>
          </w:p>
        </w:tc>
        <w:tc>
          <w:tcPr>
            <w:tcW w:w="744"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w:t>
            </w:r>
          </w:p>
        </w:tc>
        <w:tc>
          <w:tcPr>
            <w:tcW w:w="953"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6.3</w:t>
            </w:r>
          </w:p>
        </w:tc>
        <w:tc>
          <w:tcPr>
            <w:tcW w:w="658"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0.447</w:t>
            </w:r>
          </w:p>
        </w:tc>
      </w:tr>
      <w:tr w:rsidR="00B705C2" w:rsidRPr="00DE0878" w:rsidTr="000452C6">
        <w:trPr>
          <w:jc w:val="center"/>
        </w:trPr>
        <w:tc>
          <w:tcPr>
            <w:tcW w:w="2645"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Hand sewn</w:t>
            </w:r>
            <w:r w:rsidR="00546DE4" w:rsidRPr="00DE0878">
              <w:rPr>
                <w:rFonts w:ascii="Times New Roman" w:eastAsia="Times New Roman" w:hAnsi="Times New Roman" w:cs="Times New Roman"/>
                <w:sz w:val="16"/>
                <w:szCs w:val="16"/>
              </w:rPr>
              <w:t xml:space="preserve"> (n=68)</w:t>
            </w:r>
          </w:p>
        </w:tc>
        <w:tc>
          <w:tcPr>
            <w:tcW w:w="744"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11</w:t>
            </w:r>
          </w:p>
        </w:tc>
        <w:tc>
          <w:tcPr>
            <w:tcW w:w="953"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16.2</w:t>
            </w:r>
          </w:p>
        </w:tc>
        <w:tc>
          <w:tcPr>
            <w:tcW w:w="658" w:type="pct"/>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sz w:val="16"/>
                <w:szCs w:val="16"/>
              </w:rPr>
            </w:pPr>
          </w:p>
        </w:tc>
      </w:tr>
    </w:tbl>
    <w:p w:rsidR="003C6338" w:rsidRPr="000452C6" w:rsidRDefault="003C6338" w:rsidP="00FE79B6">
      <w:pPr>
        <w:snapToGrid w:val="0"/>
        <w:spacing w:after="0" w:line="240" w:lineRule="auto"/>
        <w:jc w:val="center"/>
        <w:rPr>
          <w:rFonts w:ascii="Times New Roman" w:hAnsi="Times New Roman" w:cs="Times New Roman"/>
          <w:sz w:val="20"/>
          <w:szCs w:val="20"/>
        </w:rPr>
      </w:pPr>
    </w:p>
    <w:p w:rsidR="00B92F82" w:rsidRPr="000452C6" w:rsidRDefault="00B92F82" w:rsidP="00FE79B6">
      <w:pPr>
        <w:snapToGrid w:val="0"/>
        <w:spacing w:after="0" w:line="240" w:lineRule="auto"/>
        <w:jc w:val="both"/>
        <w:rPr>
          <w:rFonts w:ascii="Times New Roman" w:hAnsi="Times New Roman" w:cs="Times New Roman"/>
          <w:sz w:val="20"/>
          <w:szCs w:val="20"/>
        </w:rPr>
      </w:pPr>
      <w:r w:rsidRPr="000452C6">
        <w:rPr>
          <w:rFonts w:ascii="Times New Roman" w:hAnsi="Times New Roman" w:cs="Times New Roman"/>
          <w:sz w:val="20"/>
          <w:szCs w:val="20"/>
        </w:rPr>
        <w:lastRenderedPageBreak/>
        <w:t xml:space="preserve">Table 10: Preoperative Risk Factor for </w:t>
      </w:r>
      <w:proofErr w:type="spellStart"/>
      <w:r w:rsidRPr="000452C6">
        <w:rPr>
          <w:rFonts w:ascii="Times New Roman" w:hAnsi="Times New Roman" w:cs="Times New Roman"/>
          <w:sz w:val="20"/>
          <w:szCs w:val="20"/>
        </w:rPr>
        <w:t>Pneumonia</w:t>
      </w:r>
      <w:r w:rsidR="00607D07" w:rsidRPr="000452C6">
        <w:rPr>
          <w:rFonts w:ascii="Times New Roman" w:hAnsi="Times New Roman" w:cs="Times New Roman"/>
          <w:sz w:val="20"/>
          <w:szCs w:val="20"/>
        </w:rPr>
        <w:t>in</w:t>
      </w:r>
      <w:proofErr w:type="spellEnd"/>
      <w:r w:rsidR="00607D07" w:rsidRPr="000452C6">
        <w:rPr>
          <w:rFonts w:ascii="Times New Roman" w:hAnsi="Times New Roman" w:cs="Times New Roman"/>
          <w:sz w:val="20"/>
          <w:szCs w:val="20"/>
        </w:rPr>
        <w:t xml:space="preserve"> esophageal cancer patients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4950"/>
        <w:gridCol w:w="1429"/>
        <w:gridCol w:w="1831"/>
        <w:gridCol w:w="1266"/>
      </w:tblGrid>
      <w:tr w:rsidR="00B705C2" w:rsidRPr="00DE0878" w:rsidTr="000452C6">
        <w:trPr>
          <w:jc w:val="center"/>
        </w:trPr>
        <w:tc>
          <w:tcPr>
            <w:tcW w:w="2612" w:type="pct"/>
            <w:tcBorders>
              <w:bottom w:val="single" w:sz="4" w:space="0" w:color="auto"/>
            </w:tcBorders>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 </w:t>
            </w:r>
          </w:p>
        </w:tc>
        <w:tc>
          <w:tcPr>
            <w:tcW w:w="754" w:type="pct"/>
            <w:tcBorders>
              <w:bottom w:val="single" w:sz="4" w:space="0" w:color="auto"/>
            </w:tcBorders>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Number</w:t>
            </w:r>
          </w:p>
        </w:tc>
        <w:tc>
          <w:tcPr>
            <w:tcW w:w="966" w:type="pct"/>
            <w:tcBorders>
              <w:bottom w:val="single" w:sz="4" w:space="0" w:color="auto"/>
            </w:tcBorders>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Percentage</w:t>
            </w:r>
          </w:p>
        </w:tc>
        <w:tc>
          <w:tcPr>
            <w:tcW w:w="668" w:type="pct"/>
            <w:tcBorders>
              <w:bottom w:val="single" w:sz="4" w:space="0" w:color="auto"/>
            </w:tcBorders>
            <w:shd w:val="clear" w:color="auto" w:fill="auto"/>
            <w:noWrap/>
            <w:vAlign w:val="center"/>
            <w:hideMark/>
          </w:tcPr>
          <w:p w:rsidR="00CD1AFB" w:rsidRPr="00DE0878" w:rsidRDefault="00CD1AFB"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p value</w:t>
            </w:r>
          </w:p>
        </w:tc>
      </w:tr>
      <w:tr w:rsidR="00B705C2" w:rsidRPr="00DE0878" w:rsidTr="000452C6">
        <w:trPr>
          <w:jc w:val="center"/>
        </w:trPr>
        <w:tc>
          <w:tcPr>
            <w:tcW w:w="2612" w:type="pct"/>
            <w:tcBorders>
              <w:top w:val="single" w:sz="4" w:space="0" w:color="auto"/>
              <w:bottom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Age</w:t>
            </w:r>
          </w:p>
        </w:tc>
        <w:tc>
          <w:tcPr>
            <w:tcW w:w="754" w:type="pct"/>
            <w:tcBorders>
              <w:top w:val="single" w:sz="4" w:space="0" w:color="auto"/>
              <w:bottom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966" w:type="pct"/>
            <w:tcBorders>
              <w:top w:val="single" w:sz="4" w:space="0" w:color="auto"/>
              <w:bottom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668" w:type="pct"/>
            <w:tcBorders>
              <w:top w:val="single" w:sz="4" w:space="0" w:color="auto"/>
              <w:bottom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&lt; 50 yrs</w:t>
            </w:r>
            <w:r w:rsidR="008E6EC5" w:rsidRPr="00DE0878">
              <w:rPr>
                <w:rFonts w:ascii="Times New Roman" w:eastAsia="Times New Roman" w:hAnsi="Times New Roman" w:cs="Times New Roman"/>
                <w:sz w:val="16"/>
                <w:szCs w:val="16"/>
              </w:rPr>
              <w:t xml:space="preserve"> (n=26)</w:t>
            </w:r>
          </w:p>
        </w:tc>
        <w:tc>
          <w:tcPr>
            <w:tcW w:w="754"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8</w:t>
            </w:r>
          </w:p>
        </w:tc>
        <w:tc>
          <w:tcPr>
            <w:tcW w:w="966"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30.8</w:t>
            </w:r>
          </w:p>
        </w:tc>
        <w:tc>
          <w:tcPr>
            <w:tcW w:w="668" w:type="pct"/>
            <w:tcBorders>
              <w:top w:val="nil"/>
            </w:tcBorders>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50</w:t>
            </w:r>
            <w:r w:rsidR="00CD1AFB" w:rsidRPr="00DE0878">
              <w:rPr>
                <w:rFonts w:ascii="Times New Roman" w:eastAsia="Times New Roman" w:hAnsi="Times New Roman" w:cs="Times New Roman"/>
                <w:sz w:val="16"/>
                <w:szCs w:val="16"/>
              </w:rPr>
              <w:t>-</w:t>
            </w:r>
            <w:r w:rsidRPr="00DE0878">
              <w:rPr>
                <w:rFonts w:ascii="Times New Roman" w:eastAsia="Times New Roman" w:hAnsi="Times New Roman" w:cs="Times New Roman"/>
                <w:sz w:val="16"/>
                <w:szCs w:val="16"/>
              </w:rPr>
              <w:t>60 yrs</w:t>
            </w:r>
            <w:r w:rsidR="008E6EC5" w:rsidRPr="00DE0878">
              <w:rPr>
                <w:rFonts w:ascii="Times New Roman" w:eastAsia="Times New Roman" w:hAnsi="Times New Roman" w:cs="Times New Roman"/>
                <w:sz w:val="16"/>
                <w:szCs w:val="16"/>
              </w:rPr>
              <w:t xml:space="preserve"> (n=42)</w:t>
            </w:r>
          </w:p>
        </w:tc>
        <w:tc>
          <w:tcPr>
            <w:tcW w:w="754"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11</w:t>
            </w:r>
          </w:p>
        </w:tc>
        <w:tc>
          <w:tcPr>
            <w:tcW w:w="96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26.2</w:t>
            </w:r>
          </w:p>
        </w:tc>
        <w:tc>
          <w:tcPr>
            <w:tcW w:w="6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0.695</w:t>
            </w:r>
          </w:p>
        </w:tc>
      </w:tr>
      <w:tr w:rsidR="00B705C2" w:rsidRPr="00DE0878" w:rsidTr="000452C6">
        <w:trPr>
          <w:jc w:val="center"/>
        </w:trPr>
        <w:tc>
          <w:tcPr>
            <w:tcW w:w="261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&gt; 60 yrs</w:t>
            </w:r>
            <w:r w:rsidR="008E6EC5" w:rsidRPr="00DE0878">
              <w:rPr>
                <w:rFonts w:ascii="Times New Roman" w:eastAsia="Times New Roman" w:hAnsi="Times New Roman" w:cs="Times New Roman"/>
                <w:sz w:val="16"/>
                <w:szCs w:val="16"/>
              </w:rPr>
              <w:t xml:space="preserve"> (n=16)</w:t>
            </w:r>
          </w:p>
        </w:tc>
        <w:tc>
          <w:tcPr>
            <w:tcW w:w="754"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6</w:t>
            </w:r>
          </w:p>
        </w:tc>
        <w:tc>
          <w:tcPr>
            <w:tcW w:w="96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37.5</w:t>
            </w:r>
          </w:p>
        </w:tc>
        <w:tc>
          <w:tcPr>
            <w:tcW w:w="6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Stage</w:t>
            </w:r>
          </w:p>
        </w:tc>
        <w:tc>
          <w:tcPr>
            <w:tcW w:w="754"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96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6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Early</w:t>
            </w:r>
            <w:r w:rsidR="008E6EC5" w:rsidRPr="00DE0878">
              <w:rPr>
                <w:rFonts w:ascii="Times New Roman" w:eastAsia="Times New Roman" w:hAnsi="Times New Roman" w:cs="Times New Roman"/>
                <w:sz w:val="16"/>
                <w:szCs w:val="16"/>
              </w:rPr>
              <w:t xml:space="preserve"> (n=42)</w:t>
            </w:r>
          </w:p>
        </w:tc>
        <w:tc>
          <w:tcPr>
            <w:tcW w:w="754"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14</w:t>
            </w:r>
          </w:p>
        </w:tc>
        <w:tc>
          <w:tcPr>
            <w:tcW w:w="96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33.3</w:t>
            </w:r>
          </w:p>
        </w:tc>
        <w:tc>
          <w:tcPr>
            <w:tcW w:w="6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0.474</w:t>
            </w:r>
          </w:p>
        </w:tc>
      </w:tr>
      <w:tr w:rsidR="00B705C2" w:rsidRPr="00DE0878" w:rsidTr="000452C6">
        <w:trPr>
          <w:jc w:val="center"/>
        </w:trPr>
        <w:tc>
          <w:tcPr>
            <w:tcW w:w="261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Advanced</w:t>
            </w:r>
            <w:r w:rsidR="008E6EC5" w:rsidRPr="00DE0878">
              <w:rPr>
                <w:rFonts w:ascii="Times New Roman" w:eastAsia="Times New Roman" w:hAnsi="Times New Roman" w:cs="Times New Roman"/>
                <w:sz w:val="16"/>
                <w:szCs w:val="16"/>
              </w:rPr>
              <w:t xml:space="preserve"> (n=42)</w:t>
            </w:r>
          </w:p>
        </w:tc>
        <w:tc>
          <w:tcPr>
            <w:tcW w:w="754"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11</w:t>
            </w:r>
          </w:p>
        </w:tc>
        <w:tc>
          <w:tcPr>
            <w:tcW w:w="96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26.2</w:t>
            </w:r>
          </w:p>
        </w:tc>
        <w:tc>
          <w:tcPr>
            <w:tcW w:w="6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Site</w:t>
            </w:r>
            <w:r w:rsidR="001E0FBD" w:rsidRPr="00DE0878">
              <w:rPr>
                <w:rFonts w:ascii="Times New Roman" w:eastAsia="Times New Roman" w:hAnsi="Times New Roman" w:cs="Times New Roman"/>
                <w:b/>
                <w:bCs/>
                <w:sz w:val="16"/>
                <w:szCs w:val="16"/>
              </w:rPr>
              <w:t xml:space="preserve"> of lesion</w:t>
            </w:r>
          </w:p>
        </w:tc>
        <w:tc>
          <w:tcPr>
            <w:tcW w:w="754"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966"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c>
          <w:tcPr>
            <w:tcW w:w="668" w:type="pct"/>
            <w:shd w:val="clear" w:color="auto" w:fill="auto"/>
            <w:noWrap/>
            <w:vAlign w:val="center"/>
            <w:hideMark/>
          </w:tcPr>
          <w:p w:rsidR="00B92F82" w:rsidRPr="00DE0878"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Upper third (n=9)</w:t>
            </w:r>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5</w:t>
            </w: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55.6</w:t>
            </w: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0.093</w:t>
            </w:r>
          </w:p>
        </w:tc>
      </w:tr>
      <w:tr w:rsidR="00B705C2" w:rsidRPr="00DE0878" w:rsidTr="000452C6">
        <w:trPr>
          <w:jc w:val="center"/>
        </w:trPr>
        <w:tc>
          <w:tcPr>
            <w:tcW w:w="2612"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Middle third (n=19)</w:t>
            </w:r>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8</w:t>
            </w: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42.1</w:t>
            </w: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Lower third (n=42)</w:t>
            </w:r>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10</w:t>
            </w: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23.8</w:t>
            </w: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roofErr w:type="spellStart"/>
            <w:r w:rsidRPr="00DE0878">
              <w:rPr>
                <w:rFonts w:ascii="Times New Roman" w:hAnsi="Times New Roman" w:cs="Times New Roman"/>
                <w:sz w:val="16"/>
                <w:szCs w:val="16"/>
              </w:rPr>
              <w:t>Gastroesophageal</w:t>
            </w:r>
            <w:proofErr w:type="spellEnd"/>
            <w:r w:rsidRPr="00DE0878">
              <w:rPr>
                <w:rFonts w:ascii="Times New Roman" w:hAnsi="Times New Roman" w:cs="Times New Roman"/>
                <w:sz w:val="16"/>
                <w:szCs w:val="16"/>
              </w:rPr>
              <w:t xml:space="preserve"> Junction (n=14)</w:t>
            </w:r>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w:t>
            </w: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14.3</w:t>
            </w: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Respiratory Complications</w:t>
            </w:r>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Present</w:t>
            </w:r>
            <w:r w:rsidR="0074173B" w:rsidRPr="00DE0878">
              <w:rPr>
                <w:rFonts w:ascii="Times New Roman" w:eastAsia="Times New Roman" w:hAnsi="Times New Roman" w:cs="Times New Roman"/>
                <w:sz w:val="16"/>
                <w:szCs w:val="16"/>
              </w:rPr>
              <w:t xml:space="preserve"> (n=27)</w:t>
            </w:r>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9</w:t>
            </w: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33.3</w:t>
            </w: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0.622</w:t>
            </w:r>
          </w:p>
        </w:tc>
      </w:tr>
      <w:tr w:rsidR="00B705C2" w:rsidRPr="00DE0878" w:rsidTr="000452C6">
        <w:trPr>
          <w:jc w:val="center"/>
        </w:trPr>
        <w:tc>
          <w:tcPr>
            <w:tcW w:w="2612"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Absent</w:t>
            </w:r>
            <w:r w:rsidR="0074173B" w:rsidRPr="00DE0878">
              <w:rPr>
                <w:rFonts w:ascii="Times New Roman" w:eastAsia="Times New Roman" w:hAnsi="Times New Roman" w:cs="Times New Roman"/>
                <w:sz w:val="16"/>
                <w:szCs w:val="16"/>
              </w:rPr>
              <w:t xml:space="preserve"> (n=57)</w:t>
            </w:r>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16</w:t>
            </w: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28.1</w:t>
            </w: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C961A3" w:rsidRPr="00DE0878" w:rsidRDefault="00DC5B4A" w:rsidP="00FE79B6">
            <w:pPr>
              <w:snapToGrid w:val="0"/>
              <w:spacing w:after="0" w:line="240" w:lineRule="auto"/>
              <w:jc w:val="both"/>
              <w:rPr>
                <w:rFonts w:ascii="Times New Roman" w:eastAsia="Times New Roman" w:hAnsi="Times New Roman" w:cs="Times New Roman"/>
                <w:b/>
                <w:bCs/>
                <w:sz w:val="16"/>
                <w:szCs w:val="16"/>
              </w:rPr>
            </w:pPr>
            <w:r w:rsidRPr="00DE0878">
              <w:rPr>
                <w:rFonts w:ascii="Times New Roman" w:eastAsia="Times New Roman" w:hAnsi="Times New Roman" w:cs="Times New Roman"/>
                <w:b/>
                <w:bCs/>
                <w:sz w:val="16"/>
                <w:szCs w:val="16"/>
              </w:rPr>
              <w:t xml:space="preserve">Number </w:t>
            </w:r>
            <w:r w:rsidR="00C961A3" w:rsidRPr="00DE0878">
              <w:rPr>
                <w:rFonts w:ascii="Times New Roman" w:eastAsia="Times New Roman" w:hAnsi="Times New Roman" w:cs="Times New Roman"/>
                <w:b/>
                <w:bCs/>
                <w:sz w:val="16"/>
                <w:szCs w:val="16"/>
              </w:rPr>
              <w:t xml:space="preserve">of </w:t>
            </w:r>
            <w:proofErr w:type="spellStart"/>
            <w:r w:rsidR="00C961A3" w:rsidRPr="00DE0878">
              <w:rPr>
                <w:rFonts w:ascii="Times New Roman" w:eastAsia="Times New Roman" w:hAnsi="Times New Roman" w:cs="Times New Roman"/>
                <w:b/>
                <w:bCs/>
                <w:sz w:val="16"/>
                <w:szCs w:val="16"/>
              </w:rPr>
              <w:t>comorbidities</w:t>
            </w:r>
            <w:proofErr w:type="spellEnd"/>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None</w:t>
            </w:r>
            <w:r w:rsidR="00611165" w:rsidRPr="00DE0878">
              <w:rPr>
                <w:rFonts w:ascii="Times New Roman" w:eastAsia="Times New Roman" w:hAnsi="Times New Roman" w:cs="Times New Roman"/>
                <w:sz w:val="16"/>
                <w:szCs w:val="16"/>
              </w:rPr>
              <w:t xml:space="preserve"> (n=30)</w:t>
            </w:r>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8</w:t>
            </w: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26.7</w:t>
            </w: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r>
      <w:tr w:rsidR="00B705C2" w:rsidRPr="00DE0878" w:rsidTr="000452C6">
        <w:trPr>
          <w:jc w:val="center"/>
        </w:trPr>
        <w:tc>
          <w:tcPr>
            <w:tcW w:w="2612"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Single</w:t>
            </w:r>
            <w:r w:rsidR="00611165" w:rsidRPr="00DE0878">
              <w:rPr>
                <w:rFonts w:ascii="Times New Roman" w:eastAsia="Times New Roman" w:hAnsi="Times New Roman" w:cs="Times New Roman"/>
                <w:sz w:val="16"/>
                <w:szCs w:val="16"/>
              </w:rPr>
              <w:t xml:space="preserve"> (n=36)</w:t>
            </w:r>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14</w:t>
            </w: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38.9</w:t>
            </w: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0.218</w:t>
            </w:r>
          </w:p>
        </w:tc>
      </w:tr>
      <w:tr w:rsidR="00B705C2" w:rsidRPr="00DE0878" w:rsidTr="000452C6">
        <w:trPr>
          <w:jc w:val="center"/>
        </w:trPr>
        <w:tc>
          <w:tcPr>
            <w:tcW w:w="2612"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Two or more</w:t>
            </w:r>
            <w:r w:rsidR="00611165" w:rsidRPr="00DE0878">
              <w:rPr>
                <w:rFonts w:ascii="Times New Roman" w:eastAsia="Times New Roman" w:hAnsi="Times New Roman" w:cs="Times New Roman"/>
                <w:sz w:val="16"/>
                <w:szCs w:val="16"/>
              </w:rPr>
              <w:t xml:space="preserve"> (n=18)</w:t>
            </w:r>
          </w:p>
        </w:tc>
        <w:tc>
          <w:tcPr>
            <w:tcW w:w="754"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3</w:t>
            </w:r>
          </w:p>
        </w:tc>
        <w:tc>
          <w:tcPr>
            <w:tcW w:w="966"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r w:rsidRPr="00DE0878">
              <w:rPr>
                <w:rFonts w:ascii="Times New Roman" w:eastAsia="Times New Roman" w:hAnsi="Times New Roman" w:cs="Times New Roman"/>
                <w:sz w:val="16"/>
                <w:szCs w:val="16"/>
              </w:rPr>
              <w:t>16.7</w:t>
            </w:r>
          </w:p>
        </w:tc>
        <w:tc>
          <w:tcPr>
            <w:tcW w:w="668" w:type="pct"/>
            <w:shd w:val="clear" w:color="auto" w:fill="auto"/>
            <w:noWrap/>
            <w:vAlign w:val="center"/>
            <w:hideMark/>
          </w:tcPr>
          <w:p w:rsidR="00C961A3" w:rsidRPr="00DE0878" w:rsidRDefault="00C961A3" w:rsidP="00FE79B6">
            <w:pPr>
              <w:snapToGrid w:val="0"/>
              <w:spacing w:after="0" w:line="240" w:lineRule="auto"/>
              <w:jc w:val="both"/>
              <w:rPr>
                <w:rFonts w:ascii="Times New Roman" w:eastAsia="Times New Roman" w:hAnsi="Times New Roman" w:cs="Times New Roman"/>
                <w:sz w:val="16"/>
                <w:szCs w:val="16"/>
              </w:rPr>
            </w:pPr>
          </w:p>
        </w:tc>
      </w:tr>
    </w:tbl>
    <w:p w:rsidR="000452C6" w:rsidRPr="000452C6" w:rsidRDefault="000452C6" w:rsidP="00FE79B6">
      <w:pPr>
        <w:snapToGrid w:val="0"/>
        <w:spacing w:after="0" w:line="240" w:lineRule="auto"/>
        <w:ind w:firstLine="425"/>
        <w:jc w:val="both"/>
        <w:rPr>
          <w:rFonts w:ascii="Times New Roman" w:hAnsi="Times New Roman" w:cs="Times New Roman"/>
          <w:sz w:val="20"/>
          <w:szCs w:val="20"/>
        </w:rPr>
      </w:pPr>
    </w:p>
    <w:p w:rsidR="00FE79B6" w:rsidRDefault="00FE79B6" w:rsidP="00FE79B6">
      <w:pPr>
        <w:snapToGrid w:val="0"/>
        <w:spacing w:after="0" w:line="240" w:lineRule="auto"/>
        <w:ind w:firstLine="425"/>
        <w:jc w:val="both"/>
        <w:rPr>
          <w:rFonts w:ascii="Times New Roman" w:hAnsi="Times New Roman" w:cs="Times New Roman"/>
          <w:sz w:val="20"/>
          <w:szCs w:val="20"/>
        </w:rPr>
        <w:sectPr w:rsidR="00FE79B6" w:rsidSect="000452C6">
          <w:type w:val="continuous"/>
          <w:pgSz w:w="12242" w:h="15842" w:code="1"/>
          <w:pgMar w:top="1440" w:right="1440" w:bottom="1440" w:left="1440" w:header="720" w:footer="720" w:gutter="0"/>
          <w:cols w:space="720"/>
          <w:docGrid w:linePitch="299"/>
        </w:sectPr>
      </w:pPr>
    </w:p>
    <w:p w:rsidR="00D76005" w:rsidRPr="000452C6" w:rsidRDefault="00D76005"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lastRenderedPageBreak/>
        <w:t>Nine patients (36%) with postoperative pneumonia stayed in ICU for 3-5 days, with 64% stayed for six days or more, readmitted to ICU or died postoperatively. Ten patients (40%) died postoperatively and only 3 patients (12%) were discharged within 12 days.</w:t>
      </w:r>
    </w:p>
    <w:p w:rsidR="00D76005" w:rsidRPr="000452C6" w:rsidRDefault="00D76005"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The median overall survival of the studied group (n=67) was 12 months (range: 10-14). The cumulative </w:t>
      </w:r>
      <w:r w:rsidRPr="000452C6">
        <w:rPr>
          <w:rFonts w:ascii="Times New Roman" w:hAnsi="Times New Roman" w:cs="Times New Roman"/>
          <w:sz w:val="20"/>
          <w:szCs w:val="20"/>
        </w:rPr>
        <w:lastRenderedPageBreak/>
        <w:t xml:space="preserve">overall survival was 56.7%. Advanced stage, lymph node involvement, development of postoperative morbidity, and inadequate </w:t>
      </w:r>
      <w:proofErr w:type="spellStart"/>
      <w:r w:rsidRPr="000452C6">
        <w:rPr>
          <w:rFonts w:ascii="Times New Roman" w:hAnsi="Times New Roman" w:cs="Times New Roman"/>
          <w:sz w:val="20"/>
          <w:szCs w:val="20"/>
        </w:rPr>
        <w:t>lymphadenectomy</w:t>
      </w:r>
      <w:proofErr w:type="spellEnd"/>
      <w:r w:rsidRPr="000452C6">
        <w:rPr>
          <w:rFonts w:ascii="Times New Roman" w:hAnsi="Times New Roman" w:cs="Times New Roman"/>
          <w:sz w:val="20"/>
          <w:szCs w:val="20"/>
        </w:rPr>
        <w:t xml:space="preserve"> were associated with worse overall survival (Table 12).</w:t>
      </w:r>
    </w:p>
    <w:p w:rsidR="00D76005" w:rsidRPr="000452C6" w:rsidRDefault="00D76005"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Multivariate analysis revealed that development of postoperative morbidity, lymph node involvement, and inadequate </w:t>
      </w:r>
      <w:proofErr w:type="spellStart"/>
      <w:r w:rsidRPr="000452C6">
        <w:rPr>
          <w:rFonts w:ascii="Times New Roman" w:hAnsi="Times New Roman" w:cs="Times New Roman"/>
          <w:sz w:val="20"/>
          <w:szCs w:val="20"/>
        </w:rPr>
        <w:t>lymphadenectomy</w:t>
      </w:r>
      <w:proofErr w:type="spellEnd"/>
      <w:r w:rsidRPr="000452C6">
        <w:rPr>
          <w:rFonts w:ascii="Times New Roman" w:hAnsi="Times New Roman" w:cs="Times New Roman"/>
          <w:sz w:val="20"/>
          <w:szCs w:val="20"/>
        </w:rPr>
        <w:t xml:space="preserve"> were the independent factors affecting survival (Table 13)</w:t>
      </w:r>
    </w:p>
    <w:p w:rsidR="00FE79B6" w:rsidRDefault="00FE79B6" w:rsidP="00FE79B6">
      <w:pPr>
        <w:snapToGrid w:val="0"/>
        <w:spacing w:after="0" w:line="240" w:lineRule="auto"/>
        <w:ind w:firstLine="425"/>
        <w:jc w:val="both"/>
        <w:rPr>
          <w:rFonts w:ascii="Times New Roman" w:hAnsi="Times New Roman" w:cs="Times New Roman"/>
          <w:sz w:val="20"/>
          <w:szCs w:val="20"/>
        </w:rPr>
        <w:sectPr w:rsidR="00FE79B6" w:rsidSect="00FE79B6">
          <w:type w:val="continuous"/>
          <w:pgSz w:w="12242" w:h="15842" w:code="1"/>
          <w:pgMar w:top="1440" w:right="1440" w:bottom="1440" w:left="1440" w:header="720" w:footer="720" w:gutter="0"/>
          <w:cols w:num="2" w:space="550"/>
          <w:docGrid w:linePitch="299"/>
        </w:sectPr>
      </w:pPr>
    </w:p>
    <w:p w:rsidR="000452C6" w:rsidRPr="000452C6" w:rsidRDefault="000452C6" w:rsidP="00FE79B6">
      <w:pPr>
        <w:snapToGrid w:val="0"/>
        <w:spacing w:after="0" w:line="240" w:lineRule="auto"/>
        <w:ind w:firstLine="425"/>
        <w:jc w:val="both"/>
        <w:rPr>
          <w:rFonts w:ascii="Times New Roman" w:hAnsi="Times New Roman" w:cs="Times New Roman"/>
          <w:sz w:val="20"/>
          <w:szCs w:val="20"/>
        </w:rPr>
      </w:pPr>
    </w:p>
    <w:p w:rsidR="00B92F82" w:rsidRPr="000452C6" w:rsidRDefault="00B92F82" w:rsidP="00FE79B6">
      <w:pPr>
        <w:snapToGrid w:val="0"/>
        <w:spacing w:after="0" w:line="240" w:lineRule="auto"/>
        <w:jc w:val="both"/>
        <w:rPr>
          <w:rFonts w:ascii="Times New Roman" w:hAnsi="Times New Roman" w:cs="Times New Roman"/>
          <w:sz w:val="20"/>
          <w:szCs w:val="18"/>
        </w:rPr>
      </w:pPr>
      <w:r w:rsidRPr="000452C6">
        <w:rPr>
          <w:rFonts w:ascii="Times New Roman" w:hAnsi="Times New Roman" w:cs="Times New Roman"/>
          <w:sz w:val="20"/>
          <w:szCs w:val="18"/>
        </w:rPr>
        <w:t>Table 11: Intra</w:t>
      </w:r>
      <w:r w:rsidR="00BC11EA" w:rsidRPr="000452C6">
        <w:rPr>
          <w:rFonts w:ascii="Times New Roman" w:hAnsi="Times New Roman" w:cs="Times New Roman"/>
          <w:sz w:val="20"/>
          <w:szCs w:val="18"/>
        </w:rPr>
        <w:t>- and p</w:t>
      </w:r>
      <w:r w:rsidRPr="000452C6">
        <w:rPr>
          <w:rFonts w:ascii="Times New Roman" w:hAnsi="Times New Roman" w:cs="Times New Roman"/>
          <w:sz w:val="20"/>
          <w:szCs w:val="18"/>
        </w:rPr>
        <w:t>ostoperative Risk Factors for Pneumonia</w:t>
      </w:r>
      <w:r w:rsidR="00607D07" w:rsidRPr="000452C6">
        <w:rPr>
          <w:rFonts w:ascii="Times New Roman" w:hAnsi="Times New Roman" w:cs="Times New Roman"/>
          <w:sz w:val="20"/>
          <w:szCs w:val="18"/>
        </w:rPr>
        <w:t xml:space="preserve"> in esophageal cancer patients presenting to the NCI between 2009 and 2015</w:t>
      </w:r>
    </w:p>
    <w:tbl>
      <w:tblPr>
        <w:tblW w:w="5000" w:type="pct"/>
        <w:jc w:val="center"/>
        <w:tblBorders>
          <w:top w:val="single" w:sz="4" w:space="0" w:color="auto"/>
          <w:bottom w:val="single" w:sz="4" w:space="0" w:color="auto"/>
        </w:tblBorders>
        <w:tblCellMar>
          <w:left w:w="57" w:type="dxa"/>
          <w:right w:w="57" w:type="dxa"/>
        </w:tblCellMar>
        <w:tblLook w:val="04A0"/>
      </w:tblPr>
      <w:tblGrid>
        <w:gridCol w:w="5013"/>
        <w:gridCol w:w="1410"/>
        <w:gridCol w:w="1806"/>
        <w:gridCol w:w="1247"/>
      </w:tblGrid>
      <w:tr w:rsidR="00B705C2" w:rsidRPr="00FE79B6" w:rsidTr="000452C6">
        <w:trPr>
          <w:jc w:val="center"/>
        </w:trPr>
        <w:tc>
          <w:tcPr>
            <w:tcW w:w="2645" w:type="pct"/>
            <w:tcBorders>
              <w:bottom w:val="single" w:sz="4" w:space="0" w:color="auto"/>
            </w:tcBorders>
            <w:shd w:val="clear" w:color="auto" w:fill="auto"/>
            <w:noWrap/>
            <w:vAlign w:val="center"/>
            <w:hideMark/>
          </w:tcPr>
          <w:p w:rsidR="001A324E" w:rsidRPr="00FE79B6" w:rsidRDefault="001A324E" w:rsidP="00FE79B6">
            <w:pPr>
              <w:snapToGrid w:val="0"/>
              <w:spacing w:after="0" w:line="240" w:lineRule="auto"/>
              <w:jc w:val="both"/>
              <w:rPr>
                <w:rFonts w:ascii="Times New Roman" w:eastAsia="Times New Roman" w:hAnsi="Times New Roman" w:cs="Times New Roman"/>
                <w:b/>
                <w:bCs/>
                <w:sz w:val="16"/>
                <w:szCs w:val="16"/>
              </w:rPr>
            </w:pPr>
          </w:p>
        </w:tc>
        <w:tc>
          <w:tcPr>
            <w:tcW w:w="744" w:type="pct"/>
            <w:tcBorders>
              <w:bottom w:val="single" w:sz="4" w:space="0" w:color="auto"/>
            </w:tcBorders>
            <w:shd w:val="clear" w:color="auto" w:fill="auto"/>
            <w:noWrap/>
            <w:vAlign w:val="center"/>
            <w:hideMark/>
          </w:tcPr>
          <w:p w:rsidR="001A324E" w:rsidRPr="00FE79B6" w:rsidRDefault="001A324E" w:rsidP="00FE79B6">
            <w:pPr>
              <w:snapToGrid w:val="0"/>
              <w:spacing w:after="0" w:line="240" w:lineRule="auto"/>
              <w:jc w:val="both"/>
              <w:rPr>
                <w:rFonts w:ascii="Times New Roman" w:eastAsia="Times New Roman" w:hAnsi="Times New Roman" w:cs="Times New Roman"/>
                <w:b/>
                <w:bCs/>
                <w:sz w:val="16"/>
                <w:szCs w:val="16"/>
              </w:rPr>
            </w:pPr>
            <w:r w:rsidRPr="00FE79B6">
              <w:rPr>
                <w:rFonts w:ascii="Times New Roman" w:eastAsia="Times New Roman" w:hAnsi="Times New Roman" w:cs="Times New Roman"/>
                <w:b/>
                <w:bCs/>
                <w:sz w:val="16"/>
                <w:szCs w:val="16"/>
              </w:rPr>
              <w:t>Number</w:t>
            </w:r>
          </w:p>
        </w:tc>
        <w:tc>
          <w:tcPr>
            <w:tcW w:w="953" w:type="pct"/>
            <w:tcBorders>
              <w:bottom w:val="single" w:sz="4" w:space="0" w:color="auto"/>
            </w:tcBorders>
            <w:shd w:val="clear" w:color="auto" w:fill="auto"/>
            <w:noWrap/>
            <w:vAlign w:val="center"/>
            <w:hideMark/>
          </w:tcPr>
          <w:p w:rsidR="001A324E" w:rsidRPr="00FE79B6" w:rsidRDefault="001A324E" w:rsidP="00FE79B6">
            <w:pPr>
              <w:snapToGrid w:val="0"/>
              <w:spacing w:after="0" w:line="240" w:lineRule="auto"/>
              <w:jc w:val="both"/>
              <w:rPr>
                <w:rFonts w:ascii="Times New Roman" w:eastAsia="Times New Roman" w:hAnsi="Times New Roman" w:cs="Times New Roman"/>
                <w:b/>
                <w:bCs/>
                <w:sz w:val="16"/>
                <w:szCs w:val="16"/>
              </w:rPr>
            </w:pPr>
            <w:r w:rsidRPr="00FE79B6">
              <w:rPr>
                <w:rFonts w:ascii="Times New Roman" w:eastAsia="Times New Roman" w:hAnsi="Times New Roman" w:cs="Times New Roman"/>
                <w:b/>
                <w:bCs/>
                <w:sz w:val="16"/>
                <w:szCs w:val="16"/>
              </w:rPr>
              <w:t>Percentage</w:t>
            </w:r>
          </w:p>
        </w:tc>
        <w:tc>
          <w:tcPr>
            <w:tcW w:w="658" w:type="pct"/>
            <w:tcBorders>
              <w:bottom w:val="single" w:sz="4" w:space="0" w:color="auto"/>
            </w:tcBorders>
            <w:shd w:val="clear" w:color="auto" w:fill="auto"/>
            <w:noWrap/>
            <w:vAlign w:val="center"/>
            <w:hideMark/>
          </w:tcPr>
          <w:p w:rsidR="001A324E" w:rsidRPr="00FE79B6" w:rsidRDefault="001A324E" w:rsidP="00FE79B6">
            <w:pPr>
              <w:snapToGrid w:val="0"/>
              <w:spacing w:after="0" w:line="240" w:lineRule="auto"/>
              <w:jc w:val="both"/>
              <w:rPr>
                <w:rFonts w:ascii="Times New Roman" w:eastAsia="Times New Roman" w:hAnsi="Times New Roman" w:cs="Times New Roman"/>
                <w:b/>
                <w:bCs/>
                <w:sz w:val="16"/>
                <w:szCs w:val="16"/>
              </w:rPr>
            </w:pPr>
            <w:r w:rsidRPr="00FE79B6">
              <w:rPr>
                <w:rFonts w:ascii="Times New Roman" w:eastAsia="Times New Roman" w:hAnsi="Times New Roman" w:cs="Times New Roman"/>
                <w:b/>
                <w:bCs/>
                <w:sz w:val="16"/>
                <w:szCs w:val="16"/>
              </w:rPr>
              <w:t>p value</w:t>
            </w:r>
          </w:p>
        </w:tc>
      </w:tr>
      <w:tr w:rsidR="00B705C2" w:rsidRPr="00FE79B6" w:rsidTr="000452C6">
        <w:trPr>
          <w:jc w:val="center"/>
        </w:trPr>
        <w:tc>
          <w:tcPr>
            <w:tcW w:w="2645" w:type="pct"/>
            <w:tcBorders>
              <w:top w:val="single" w:sz="4" w:space="0" w:color="auto"/>
              <w:bottom w:val="nil"/>
            </w:tcBorders>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b/>
                <w:bCs/>
                <w:sz w:val="16"/>
                <w:szCs w:val="16"/>
              </w:rPr>
            </w:pPr>
            <w:r w:rsidRPr="00FE79B6">
              <w:rPr>
                <w:rFonts w:ascii="Times New Roman" w:eastAsia="Times New Roman" w:hAnsi="Times New Roman" w:cs="Times New Roman"/>
                <w:b/>
                <w:bCs/>
                <w:sz w:val="16"/>
                <w:szCs w:val="16"/>
              </w:rPr>
              <w:t>Procedure</w:t>
            </w:r>
          </w:p>
        </w:tc>
        <w:tc>
          <w:tcPr>
            <w:tcW w:w="744" w:type="pct"/>
            <w:tcBorders>
              <w:top w:val="single" w:sz="4" w:space="0" w:color="auto"/>
              <w:bottom w:val="nil"/>
            </w:tcBorders>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c>
          <w:tcPr>
            <w:tcW w:w="953" w:type="pct"/>
            <w:tcBorders>
              <w:top w:val="single" w:sz="4" w:space="0" w:color="auto"/>
              <w:bottom w:val="nil"/>
            </w:tcBorders>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c>
          <w:tcPr>
            <w:tcW w:w="658" w:type="pct"/>
            <w:tcBorders>
              <w:top w:val="single" w:sz="4" w:space="0" w:color="auto"/>
              <w:bottom w:val="nil"/>
            </w:tcBorders>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tcBorders>
              <w:top w:val="nil"/>
            </w:tcBorders>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Trans-thoracic</w:t>
            </w:r>
            <w:r w:rsidR="005D6B04" w:rsidRPr="00FE79B6">
              <w:rPr>
                <w:rFonts w:ascii="Times New Roman" w:eastAsia="Times New Roman" w:hAnsi="Times New Roman" w:cs="Times New Roman"/>
                <w:sz w:val="16"/>
                <w:szCs w:val="16"/>
              </w:rPr>
              <w:t xml:space="preserve"> (n=51)</w:t>
            </w:r>
          </w:p>
        </w:tc>
        <w:tc>
          <w:tcPr>
            <w:tcW w:w="744" w:type="pct"/>
            <w:tcBorders>
              <w:top w:val="nil"/>
            </w:tcBorders>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14</w:t>
            </w:r>
          </w:p>
        </w:tc>
        <w:tc>
          <w:tcPr>
            <w:tcW w:w="953" w:type="pct"/>
            <w:tcBorders>
              <w:top w:val="nil"/>
            </w:tcBorders>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27.5</w:t>
            </w:r>
          </w:p>
        </w:tc>
        <w:tc>
          <w:tcPr>
            <w:tcW w:w="658" w:type="pct"/>
            <w:tcBorders>
              <w:top w:val="nil"/>
            </w:tcBorders>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Trans-</w:t>
            </w:r>
            <w:proofErr w:type="spellStart"/>
            <w:r w:rsidRPr="00FE79B6">
              <w:rPr>
                <w:rFonts w:ascii="Times New Roman" w:eastAsia="Times New Roman" w:hAnsi="Times New Roman" w:cs="Times New Roman"/>
                <w:sz w:val="16"/>
                <w:szCs w:val="16"/>
              </w:rPr>
              <w:t>hiatal</w:t>
            </w:r>
            <w:proofErr w:type="spellEnd"/>
            <w:r w:rsidR="005D6B04" w:rsidRPr="00FE79B6">
              <w:rPr>
                <w:rFonts w:ascii="Times New Roman" w:eastAsia="Times New Roman" w:hAnsi="Times New Roman" w:cs="Times New Roman"/>
                <w:sz w:val="16"/>
                <w:szCs w:val="16"/>
              </w:rPr>
              <w:t xml:space="preserve"> (n=12)</w:t>
            </w:r>
          </w:p>
        </w:tc>
        <w:tc>
          <w:tcPr>
            <w:tcW w:w="744"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3</w:t>
            </w:r>
          </w:p>
        </w:tc>
        <w:tc>
          <w:tcPr>
            <w:tcW w:w="953"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25.0</w:t>
            </w:r>
          </w:p>
        </w:tc>
        <w:tc>
          <w:tcPr>
            <w:tcW w:w="658"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hAnsi="Times New Roman" w:cs="Times New Roman"/>
                <w:sz w:val="16"/>
                <w:szCs w:val="16"/>
              </w:rPr>
              <w:t xml:space="preserve">Total </w:t>
            </w:r>
            <w:proofErr w:type="spellStart"/>
            <w:r w:rsidRPr="00FE79B6">
              <w:rPr>
                <w:rFonts w:ascii="Times New Roman" w:hAnsi="Times New Roman" w:cs="Times New Roman"/>
                <w:sz w:val="16"/>
                <w:szCs w:val="16"/>
              </w:rPr>
              <w:t>pharyngolaryngectomy</w:t>
            </w:r>
            <w:proofErr w:type="spellEnd"/>
            <w:r w:rsidR="00780111" w:rsidRPr="00FE79B6">
              <w:rPr>
                <w:rFonts w:ascii="Times New Roman" w:hAnsi="Times New Roman" w:cs="Times New Roman"/>
                <w:sz w:val="16"/>
                <w:szCs w:val="16"/>
              </w:rPr>
              <w:t xml:space="preserve"> (n=9)</w:t>
            </w:r>
          </w:p>
        </w:tc>
        <w:tc>
          <w:tcPr>
            <w:tcW w:w="744"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5</w:t>
            </w:r>
          </w:p>
        </w:tc>
        <w:tc>
          <w:tcPr>
            <w:tcW w:w="953"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55.6</w:t>
            </w:r>
          </w:p>
        </w:tc>
        <w:tc>
          <w:tcPr>
            <w:tcW w:w="658"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0.406</w:t>
            </w:r>
          </w:p>
        </w:tc>
      </w:tr>
      <w:tr w:rsidR="00B705C2" w:rsidRPr="00FE79B6" w:rsidTr="000452C6">
        <w:trPr>
          <w:jc w:val="center"/>
        </w:trPr>
        <w:tc>
          <w:tcPr>
            <w:tcW w:w="2645"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Abdominal</w:t>
            </w:r>
            <w:r w:rsidR="00780111" w:rsidRPr="00FE79B6">
              <w:rPr>
                <w:rFonts w:ascii="Times New Roman" w:eastAsia="Times New Roman" w:hAnsi="Times New Roman" w:cs="Times New Roman"/>
                <w:sz w:val="16"/>
                <w:szCs w:val="16"/>
              </w:rPr>
              <w:t xml:space="preserve"> (n=12)</w:t>
            </w:r>
          </w:p>
        </w:tc>
        <w:tc>
          <w:tcPr>
            <w:tcW w:w="744"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3</w:t>
            </w:r>
          </w:p>
        </w:tc>
        <w:tc>
          <w:tcPr>
            <w:tcW w:w="953"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25.0</w:t>
            </w:r>
          </w:p>
        </w:tc>
        <w:tc>
          <w:tcPr>
            <w:tcW w:w="658" w:type="pct"/>
            <w:shd w:val="clear" w:color="auto" w:fill="auto"/>
            <w:noWrap/>
            <w:vAlign w:val="center"/>
            <w:hideMark/>
          </w:tcPr>
          <w:p w:rsidR="007D1496" w:rsidRPr="00FE79B6" w:rsidRDefault="007D1496"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b/>
                <w:bCs/>
                <w:sz w:val="16"/>
                <w:szCs w:val="16"/>
              </w:rPr>
            </w:pPr>
            <w:r w:rsidRPr="00FE79B6">
              <w:rPr>
                <w:rFonts w:ascii="Times New Roman" w:eastAsia="Times New Roman" w:hAnsi="Times New Roman" w:cs="Times New Roman"/>
                <w:b/>
                <w:bCs/>
                <w:sz w:val="16"/>
                <w:szCs w:val="16"/>
              </w:rPr>
              <w:t>Duration</w:t>
            </w:r>
            <w:r w:rsidR="001A324E" w:rsidRPr="00FE79B6">
              <w:rPr>
                <w:rFonts w:ascii="Times New Roman" w:eastAsia="Times New Roman" w:hAnsi="Times New Roman" w:cs="Times New Roman"/>
                <w:b/>
                <w:bCs/>
                <w:sz w:val="16"/>
                <w:szCs w:val="16"/>
              </w:rPr>
              <w:t xml:space="preserve"> of surgery</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&lt; 4 hrs</w:t>
            </w:r>
            <w:r w:rsidR="008B39B1" w:rsidRPr="00FE79B6">
              <w:rPr>
                <w:rFonts w:ascii="Times New Roman" w:eastAsia="Times New Roman" w:hAnsi="Times New Roman" w:cs="Times New Roman"/>
                <w:sz w:val="16"/>
                <w:szCs w:val="16"/>
              </w:rPr>
              <w:t xml:space="preserve"> (n=23)</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7</w:t>
            </w: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30.4</w:t>
            </w: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0.946</w:t>
            </w: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4</w:t>
            </w:r>
            <w:r w:rsidR="001A324E" w:rsidRPr="00FE79B6">
              <w:rPr>
                <w:rFonts w:ascii="Times New Roman" w:eastAsia="Times New Roman" w:hAnsi="Times New Roman" w:cs="Times New Roman"/>
                <w:sz w:val="16"/>
                <w:szCs w:val="16"/>
              </w:rPr>
              <w:t>-</w:t>
            </w:r>
            <w:r w:rsidRPr="00FE79B6">
              <w:rPr>
                <w:rFonts w:ascii="Times New Roman" w:eastAsia="Times New Roman" w:hAnsi="Times New Roman" w:cs="Times New Roman"/>
                <w:sz w:val="16"/>
                <w:szCs w:val="16"/>
              </w:rPr>
              <w:t>6 hrs</w:t>
            </w:r>
            <w:r w:rsidR="008B39B1" w:rsidRPr="00FE79B6">
              <w:rPr>
                <w:rFonts w:ascii="Times New Roman" w:eastAsia="Times New Roman" w:hAnsi="Times New Roman" w:cs="Times New Roman"/>
                <w:sz w:val="16"/>
                <w:szCs w:val="16"/>
              </w:rPr>
              <w:t xml:space="preserve"> (n=49)</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14</w:t>
            </w: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28.6</w:t>
            </w: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&gt; 6 hrs</w:t>
            </w:r>
            <w:r w:rsidR="008B39B1" w:rsidRPr="00FE79B6">
              <w:rPr>
                <w:rFonts w:ascii="Times New Roman" w:eastAsia="Times New Roman" w:hAnsi="Times New Roman" w:cs="Times New Roman"/>
                <w:sz w:val="16"/>
                <w:szCs w:val="16"/>
              </w:rPr>
              <w:t xml:space="preserve"> (n=12)</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4</w:t>
            </w: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33.3</w:t>
            </w: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b/>
                <w:bCs/>
                <w:sz w:val="16"/>
                <w:szCs w:val="16"/>
              </w:rPr>
            </w:pPr>
            <w:r w:rsidRPr="00FE79B6">
              <w:rPr>
                <w:rFonts w:ascii="Times New Roman" w:eastAsia="Times New Roman" w:hAnsi="Times New Roman" w:cs="Times New Roman"/>
                <w:b/>
                <w:bCs/>
                <w:sz w:val="16"/>
                <w:szCs w:val="16"/>
              </w:rPr>
              <w:t>Site</w:t>
            </w:r>
            <w:r w:rsidR="001A324E" w:rsidRPr="00FE79B6">
              <w:rPr>
                <w:rFonts w:ascii="Times New Roman" w:eastAsia="Times New Roman" w:hAnsi="Times New Roman" w:cs="Times New Roman"/>
                <w:b/>
                <w:bCs/>
                <w:sz w:val="16"/>
                <w:szCs w:val="16"/>
              </w:rPr>
              <w:t xml:space="preserve"> of </w:t>
            </w:r>
            <w:proofErr w:type="spellStart"/>
            <w:r w:rsidR="001A324E" w:rsidRPr="00FE79B6">
              <w:rPr>
                <w:rFonts w:ascii="Times New Roman" w:eastAsia="Times New Roman" w:hAnsi="Times New Roman" w:cs="Times New Roman"/>
                <w:b/>
                <w:bCs/>
                <w:sz w:val="16"/>
                <w:szCs w:val="16"/>
              </w:rPr>
              <w:t>anastomosis</w:t>
            </w:r>
            <w:proofErr w:type="spellEnd"/>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 xml:space="preserve">Neck </w:t>
            </w:r>
            <w:r w:rsidR="008B39B1" w:rsidRPr="00FE79B6">
              <w:rPr>
                <w:rFonts w:ascii="Times New Roman" w:eastAsia="Times New Roman" w:hAnsi="Times New Roman" w:cs="Times New Roman"/>
                <w:sz w:val="16"/>
                <w:szCs w:val="16"/>
              </w:rPr>
              <w:t>(n=40)</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17</w:t>
            </w: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42.5</w:t>
            </w: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0.015</w:t>
            </w: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Chest</w:t>
            </w:r>
            <w:r w:rsidR="008B39B1" w:rsidRPr="00FE79B6">
              <w:rPr>
                <w:rFonts w:ascii="Times New Roman" w:eastAsia="Times New Roman" w:hAnsi="Times New Roman" w:cs="Times New Roman"/>
                <w:sz w:val="16"/>
                <w:szCs w:val="16"/>
              </w:rPr>
              <w:t xml:space="preserve"> (n=44)</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8</w:t>
            </w: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18.2</w:t>
            </w: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b/>
                <w:bCs/>
                <w:sz w:val="16"/>
                <w:szCs w:val="16"/>
              </w:rPr>
            </w:pPr>
            <w:r w:rsidRPr="00FE79B6">
              <w:rPr>
                <w:rFonts w:ascii="Times New Roman" w:eastAsia="Times New Roman" w:hAnsi="Times New Roman" w:cs="Times New Roman"/>
                <w:b/>
                <w:bCs/>
                <w:sz w:val="16"/>
                <w:szCs w:val="16"/>
              </w:rPr>
              <w:t>Blood Loss</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&lt; 500 ml</w:t>
            </w:r>
            <w:r w:rsidR="008B39B1" w:rsidRPr="00FE79B6">
              <w:rPr>
                <w:rFonts w:ascii="Times New Roman" w:eastAsia="Times New Roman" w:hAnsi="Times New Roman" w:cs="Times New Roman"/>
                <w:sz w:val="16"/>
                <w:szCs w:val="16"/>
              </w:rPr>
              <w:t xml:space="preserve"> (n=24)</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7</w:t>
            </w: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29.2</w:t>
            </w: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0.851</w:t>
            </w: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500</w:t>
            </w:r>
            <w:r w:rsidR="001A324E" w:rsidRPr="00FE79B6">
              <w:rPr>
                <w:rFonts w:ascii="Times New Roman" w:eastAsia="Times New Roman" w:hAnsi="Times New Roman" w:cs="Times New Roman"/>
                <w:sz w:val="16"/>
                <w:szCs w:val="16"/>
              </w:rPr>
              <w:t>-</w:t>
            </w:r>
            <w:r w:rsidRPr="00FE79B6">
              <w:rPr>
                <w:rFonts w:ascii="Times New Roman" w:eastAsia="Times New Roman" w:hAnsi="Times New Roman" w:cs="Times New Roman"/>
                <w:sz w:val="16"/>
                <w:szCs w:val="16"/>
              </w:rPr>
              <w:t>1000 ml</w:t>
            </w:r>
            <w:r w:rsidR="008B39B1" w:rsidRPr="00FE79B6">
              <w:rPr>
                <w:rFonts w:ascii="Times New Roman" w:eastAsia="Times New Roman" w:hAnsi="Times New Roman" w:cs="Times New Roman"/>
                <w:sz w:val="16"/>
                <w:szCs w:val="16"/>
              </w:rPr>
              <w:t xml:space="preserve"> (n=43)</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12</w:t>
            </w: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27.9</w:t>
            </w: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&gt; 1000 ml</w:t>
            </w:r>
            <w:r w:rsidR="008B39B1" w:rsidRPr="00FE79B6">
              <w:rPr>
                <w:rFonts w:ascii="Times New Roman" w:eastAsia="Times New Roman" w:hAnsi="Times New Roman" w:cs="Times New Roman"/>
                <w:sz w:val="16"/>
                <w:szCs w:val="16"/>
              </w:rPr>
              <w:t xml:space="preserve"> (n=17)</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6</w:t>
            </w: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35.3</w:t>
            </w: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b/>
                <w:bCs/>
                <w:sz w:val="16"/>
                <w:szCs w:val="16"/>
              </w:rPr>
            </w:pPr>
            <w:r w:rsidRPr="00FE79B6">
              <w:rPr>
                <w:rFonts w:ascii="Times New Roman" w:eastAsia="Times New Roman" w:hAnsi="Times New Roman" w:cs="Times New Roman"/>
                <w:b/>
                <w:bCs/>
                <w:sz w:val="16"/>
                <w:szCs w:val="16"/>
              </w:rPr>
              <w:t>Surgical</w:t>
            </w:r>
            <w:r w:rsidR="001A324E" w:rsidRPr="00FE79B6">
              <w:rPr>
                <w:rFonts w:ascii="Times New Roman" w:eastAsia="Times New Roman" w:hAnsi="Times New Roman" w:cs="Times New Roman"/>
                <w:b/>
                <w:bCs/>
                <w:sz w:val="16"/>
                <w:szCs w:val="16"/>
              </w:rPr>
              <w:t xml:space="preserve"> Complications</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Present</w:t>
            </w:r>
            <w:r w:rsidR="00B31087" w:rsidRPr="00FE79B6">
              <w:rPr>
                <w:rFonts w:ascii="Times New Roman" w:eastAsia="Times New Roman" w:hAnsi="Times New Roman" w:cs="Times New Roman"/>
                <w:sz w:val="16"/>
                <w:szCs w:val="16"/>
              </w:rPr>
              <w:t xml:space="preserve"> (n=26)</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15</w:t>
            </w: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57.7</w:t>
            </w: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&lt; 0.001</w:t>
            </w:r>
          </w:p>
        </w:tc>
      </w:tr>
      <w:tr w:rsidR="00B705C2" w:rsidRPr="00FE79B6" w:rsidTr="000452C6">
        <w:trPr>
          <w:jc w:val="center"/>
        </w:trPr>
        <w:tc>
          <w:tcPr>
            <w:tcW w:w="2645"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Absent</w:t>
            </w:r>
            <w:r w:rsidR="00B31087" w:rsidRPr="00FE79B6">
              <w:rPr>
                <w:rFonts w:ascii="Times New Roman" w:eastAsia="Times New Roman" w:hAnsi="Times New Roman" w:cs="Times New Roman"/>
                <w:sz w:val="16"/>
                <w:szCs w:val="16"/>
              </w:rPr>
              <w:t xml:space="preserve"> (n=58)</w:t>
            </w:r>
          </w:p>
        </w:tc>
        <w:tc>
          <w:tcPr>
            <w:tcW w:w="744"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10</w:t>
            </w:r>
          </w:p>
        </w:tc>
        <w:tc>
          <w:tcPr>
            <w:tcW w:w="953"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r w:rsidRPr="00FE79B6">
              <w:rPr>
                <w:rFonts w:ascii="Times New Roman" w:eastAsia="Times New Roman" w:hAnsi="Times New Roman" w:cs="Times New Roman"/>
                <w:sz w:val="16"/>
                <w:szCs w:val="16"/>
              </w:rPr>
              <w:t>17.2</w:t>
            </w:r>
          </w:p>
        </w:tc>
        <w:tc>
          <w:tcPr>
            <w:tcW w:w="658" w:type="pct"/>
            <w:shd w:val="clear" w:color="auto" w:fill="auto"/>
            <w:noWrap/>
            <w:vAlign w:val="center"/>
            <w:hideMark/>
          </w:tcPr>
          <w:p w:rsidR="00B92F82" w:rsidRPr="00FE79B6" w:rsidRDefault="00B92F82" w:rsidP="00FE79B6">
            <w:pPr>
              <w:snapToGrid w:val="0"/>
              <w:spacing w:after="0" w:line="240" w:lineRule="auto"/>
              <w:jc w:val="both"/>
              <w:rPr>
                <w:rFonts w:ascii="Times New Roman" w:eastAsia="Times New Roman" w:hAnsi="Times New Roman" w:cs="Times New Roman"/>
                <w:sz w:val="16"/>
                <w:szCs w:val="16"/>
              </w:rPr>
            </w:pPr>
          </w:p>
        </w:tc>
      </w:tr>
    </w:tbl>
    <w:p w:rsidR="008B39B1" w:rsidRPr="000452C6" w:rsidRDefault="008B39B1" w:rsidP="00FE79B6">
      <w:pPr>
        <w:snapToGrid w:val="0"/>
        <w:spacing w:after="0" w:line="240" w:lineRule="auto"/>
        <w:jc w:val="center"/>
        <w:rPr>
          <w:rFonts w:ascii="Times New Roman" w:hAnsi="Times New Roman" w:cs="Times New Roman"/>
          <w:sz w:val="20"/>
          <w:szCs w:val="18"/>
        </w:rPr>
      </w:pPr>
    </w:p>
    <w:p w:rsidR="00B92F82" w:rsidRPr="000452C6" w:rsidRDefault="00BC11EA" w:rsidP="00FE79B6">
      <w:pPr>
        <w:snapToGrid w:val="0"/>
        <w:spacing w:after="0" w:line="240" w:lineRule="auto"/>
        <w:jc w:val="center"/>
        <w:rPr>
          <w:rFonts w:ascii="Times New Roman" w:hAnsi="Times New Roman" w:cs="Times New Roman"/>
          <w:sz w:val="20"/>
          <w:szCs w:val="18"/>
        </w:rPr>
      </w:pPr>
      <w:r w:rsidRPr="000452C6">
        <w:rPr>
          <w:rFonts w:ascii="Times New Roman" w:hAnsi="Times New Roman" w:cs="Times New Roman"/>
          <w:sz w:val="20"/>
          <w:szCs w:val="18"/>
        </w:rPr>
        <w:t>Table 12</w:t>
      </w:r>
      <w:r w:rsidR="00B92F82" w:rsidRPr="000452C6">
        <w:rPr>
          <w:rFonts w:ascii="Times New Roman" w:hAnsi="Times New Roman" w:cs="Times New Roman"/>
          <w:sz w:val="20"/>
          <w:szCs w:val="18"/>
        </w:rPr>
        <w:t xml:space="preserve">: </w:t>
      </w:r>
      <w:r w:rsidRPr="000452C6">
        <w:rPr>
          <w:rFonts w:ascii="Times New Roman" w:hAnsi="Times New Roman" w:cs="Times New Roman"/>
          <w:sz w:val="20"/>
          <w:szCs w:val="18"/>
        </w:rPr>
        <w:t xml:space="preserve">Overall survival of the studied group in </w:t>
      </w:r>
      <w:r w:rsidR="001E4CDC" w:rsidRPr="000452C6">
        <w:rPr>
          <w:rFonts w:ascii="Times New Roman" w:hAnsi="Times New Roman" w:cs="Times New Roman"/>
          <w:sz w:val="20"/>
          <w:szCs w:val="18"/>
        </w:rPr>
        <w:t>relation</w:t>
      </w:r>
      <w:r w:rsidRPr="000452C6">
        <w:rPr>
          <w:rFonts w:ascii="Times New Roman" w:hAnsi="Times New Roman" w:cs="Times New Roman"/>
          <w:sz w:val="20"/>
          <w:szCs w:val="18"/>
        </w:rPr>
        <w:t xml:space="preserve"> to the prognostic factors (n=67)</w:t>
      </w:r>
    </w:p>
    <w:tbl>
      <w:tblPr>
        <w:tblW w:w="5000" w:type="pct"/>
        <w:jc w:val="center"/>
        <w:tblBorders>
          <w:top w:val="single" w:sz="4" w:space="0" w:color="auto"/>
          <w:bottom w:val="single" w:sz="4" w:space="0" w:color="auto"/>
        </w:tblBorders>
        <w:tblCellMar>
          <w:left w:w="57" w:type="dxa"/>
          <w:right w:w="57" w:type="dxa"/>
        </w:tblCellMar>
        <w:tblLook w:val="04A0"/>
      </w:tblPr>
      <w:tblGrid>
        <w:gridCol w:w="1799"/>
        <w:gridCol w:w="320"/>
        <w:gridCol w:w="707"/>
        <w:gridCol w:w="3499"/>
        <w:gridCol w:w="2402"/>
        <w:gridCol w:w="749"/>
      </w:tblGrid>
      <w:tr w:rsidR="00B705C2" w:rsidRPr="00DE0878" w:rsidTr="00DE0878">
        <w:trPr>
          <w:tblHeader/>
          <w:jc w:val="center"/>
        </w:trPr>
        <w:tc>
          <w:tcPr>
            <w:tcW w:w="949" w:type="pct"/>
            <w:tcBorders>
              <w:bottom w:val="single" w:sz="4" w:space="0" w:color="auto"/>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 </w:t>
            </w:r>
          </w:p>
        </w:tc>
        <w:tc>
          <w:tcPr>
            <w:tcW w:w="169" w:type="pct"/>
            <w:tcBorders>
              <w:bottom w:val="single" w:sz="4" w:space="0" w:color="auto"/>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n</w:t>
            </w:r>
          </w:p>
        </w:tc>
        <w:tc>
          <w:tcPr>
            <w:tcW w:w="373" w:type="pct"/>
            <w:tcBorders>
              <w:bottom w:val="single" w:sz="4" w:space="0" w:color="auto"/>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Events</w:t>
            </w:r>
          </w:p>
        </w:tc>
        <w:tc>
          <w:tcPr>
            <w:tcW w:w="1846" w:type="pct"/>
            <w:tcBorders>
              <w:bottom w:val="single" w:sz="4" w:space="0" w:color="auto"/>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Cumulative Survival (%) at 12 months</w:t>
            </w:r>
          </w:p>
        </w:tc>
        <w:tc>
          <w:tcPr>
            <w:tcW w:w="1267" w:type="pct"/>
            <w:tcBorders>
              <w:bottom w:val="single" w:sz="4" w:space="0" w:color="auto"/>
            </w:tcBorders>
            <w:shd w:val="clear" w:color="auto" w:fill="auto"/>
            <w:noWrap/>
            <w:vAlign w:val="center"/>
            <w:hideMark/>
          </w:tcPr>
          <w:p w:rsidR="00BC11EA" w:rsidRPr="00DE0878" w:rsidRDefault="00BC11EA" w:rsidP="00DE0878">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Median Survival (95%CI)</w:t>
            </w:r>
            <w:r w:rsidR="00DE0878" w:rsidRPr="00DE0878">
              <w:rPr>
                <w:rFonts w:ascii="Times New Roman" w:hAnsi="Times New Roman" w:cs="Times New Roman" w:hint="eastAsia"/>
                <w:b/>
                <w:bCs/>
                <w:sz w:val="15"/>
                <w:szCs w:val="15"/>
                <w:lang w:eastAsia="zh-CN"/>
              </w:rPr>
              <w:t xml:space="preserve"> </w:t>
            </w:r>
            <w:r w:rsidRPr="00DE0878">
              <w:rPr>
                <w:rFonts w:ascii="Times New Roman" w:eastAsia="Times New Roman" w:hAnsi="Times New Roman" w:cs="Times New Roman"/>
                <w:b/>
                <w:bCs/>
                <w:sz w:val="15"/>
                <w:szCs w:val="15"/>
              </w:rPr>
              <w:t>(months)</w:t>
            </w:r>
          </w:p>
        </w:tc>
        <w:tc>
          <w:tcPr>
            <w:tcW w:w="395" w:type="pct"/>
            <w:tcBorders>
              <w:bottom w:val="single" w:sz="4" w:space="0" w:color="auto"/>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p value</w:t>
            </w:r>
          </w:p>
        </w:tc>
      </w:tr>
      <w:tr w:rsidR="00B705C2" w:rsidRPr="00DE0878" w:rsidTr="000452C6">
        <w:trPr>
          <w:jc w:val="center"/>
        </w:trPr>
        <w:tc>
          <w:tcPr>
            <w:tcW w:w="949" w:type="pct"/>
            <w:tcBorders>
              <w:top w:val="single" w:sz="4" w:space="0" w:color="auto"/>
              <w:bottom w:val="nil"/>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Whole Group</w:t>
            </w:r>
          </w:p>
        </w:tc>
        <w:tc>
          <w:tcPr>
            <w:tcW w:w="169" w:type="pct"/>
            <w:tcBorders>
              <w:top w:val="single" w:sz="4" w:space="0" w:color="auto"/>
              <w:bottom w:val="nil"/>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67</w:t>
            </w:r>
          </w:p>
        </w:tc>
        <w:tc>
          <w:tcPr>
            <w:tcW w:w="373" w:type="pct"/>
            <w:tcBorders>
              <w:top w:val="single" w:sz="4" w:space="0" w:color="auto"/>
              <w:bottom w:val="nil"/>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60</w:t>
            </w:r>
          </w:p>
        </w:tc>
        <w:tc>
          <w:tcPr>
            <w:tcW w:w="1846" w:type="pct"/>
            <w:tcBorders>
              <w:top w:val="single" w:sz="4" w:space="0" w:color="auto"/>
              <w:bottom w:val="nil"/>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56.7</w:t>
            </w:r>
          </w:p>
        </w:tc>
        <w:tc>
          <w:tcPr>
            <w:tcW w:w="1267" w:type="pct"/>
            <w:tcBorders>
              <w:top w:val="single" w:sz="4" w:space="0" w:color="auto"/>
              <w:bottom w:val="nil"/>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 (10-14)</w:t>
            </w:r>
          </w:p>
        </w:tc>
        <w:tc>
          <w:tcPr>
            <w:tcW w:w="395" w:type="pct"/>
            <w:tcBorders>
              <w:top w:val="single" w:sz="4" w:space="0" w:color="auto"/>
              <w:bottom w:val="nil"/>
            </w:tcBorders>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949" w:type="pct"/>
            <w:tcBorders>
              <w:top w:val="nil"/>
            </w:tcBorders>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Morbidity</w:t>
            </w:r>
          </w:p>
        </w:tc>
        <w:tc>
          <w:tcPr>
            <w:tcW w:w="169" w:type="pct"/>
            <w:tcBorders>
              <w:top w:val="nil"/>
            </w:tcBorders>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73" w:type="pct"/>
            <w:tcBorders>
              <w:top w:val="nil"/>
            </w:tcBorders>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846" w:type="pct"/>
            <w:tcBorders>
              <w:top w:val="nil"/>
            </w:tcBorders>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267" w:type="pct"/>
            <w:tcBorders>
              <w:top w:val="nil"/>
            </w:tcBorders>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95" w:type="pct"/>
            <w:tcBorders>
              <w:top w:val="nil"/>
            </w:tcBorders>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Present</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38</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37</w:t>
            </w:r>
          </w:p>
        </w:tc>
        <w:tc>
          <w:tcPr>
            <w:tcW w:w="1846"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71.1</w:t>
            </w:r>
          </w:p>
        </w:tc>
        <w:tc>
          <w:tcPr>
            <w:tcW w:w="1267"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10.0 (7.0-13.0)</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0.013</w:t>
            </w: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Absent</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29</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23</w:t>
            </w:r>
          </w:p>
        </w:tc>
        <w:tc>
          <w:tcPr>
            <w:tcW w:w="1846"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62.1</w:t>
            </w:r>
          </w:p>
        </w:tc>
        <w:tc>
          <w:tcPr>
            <w:tcW w:w="1267"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18.0 (7.4-28.5)</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Site</w:t>
            </w:r>
          </w:p>
        </w:tc>
        <w:tc>
          <w:tcPr>
            <w:tcW w:w="169"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73"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846"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267"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95"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Upper</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50</w:t>
            </w:r>
          </w:p>
        </w:tc>
        <w:tc>
          <w:tcPr>
            <w:tcW w:w="1267"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9.0 (1.0-17.0)</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0.482</w:t>
            </w: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Middle</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15</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14</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40</w:t>
            </w:r>
          </w:p>
        </w:tc>
        <w:tc>
          <w:tcPr>
            <w:tcW w:w="1267"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11.0 (6.0-16.0)</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Lower</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34</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31</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58.8</w:t>
            </w:r>
          </w:p>
        </w:tc>
        <w:tc>
          <w:tcPr>
            <w:tcW w:w="1267"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13.0 (7.3-18.7)</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GEJ</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11</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66.7</w:t>
            </w:r>
          </w:p>
        </w:tc>
        <w:tc>
          <w:tcPr>
            <w:tcW w:w="1267"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12.0 (1.8-22.2)</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lastRenderedPageBreak/>
              <w:t>Pathology</w:t>
            </w:r>
          </w:p>
        </w:tc>
        <w:tc>
          <w:tcPr>
            <w:tcW w:w="169"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73"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846"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267"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95"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ADC</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32</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30</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56.3</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12.0 (7.8-16.2)</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0.442</w:t>
            </w: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SCC</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35</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30</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57.1</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12.0 (6.2-17.8)</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Grade</w:t>
            </w:r>
          </w:p>
        </w:tc>
        <w:tc>
          <w:tcPr>
            <w:tcW w:w="169"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73"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846"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267"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95"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II</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53</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48</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56.6</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12.0 (7.9-16.1)</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0.749</w:t>
            </w: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III</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14</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57.1</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13.0 (2.1-23.9)</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proofErr w:type="spellStart"/>
            <w:r w:rsidRPr="00DE0878">
              <w:rPr>
                <w:rFonts w:ascii="Times New Roman" w:eastAsia="Times New Roman" w:hAnsi="Times New Roman" w:cs="Times New Roman"/>
                <w:b/>
                <w:bCs/>
                <w:sz w:val="15"/>
                <w:szCs w:val="15"/>
              </w:rPr>
              <w:t>Lymphadenectomy</w:t>
            </w:r>
            <w:proofErr w:type="spellEnd"/>
          </w:p>
        </w:tc>
        <w:tc>
          <w:tcPr>
            <w:tcW w:w="169"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73"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846"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267"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95"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Adequate</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22</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17</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54.5</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17.0 (2.1-31.9)</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0.015</w:t>
            </w:r>
          </w:p>
        </w:tc>
      </w:tr>
      <w:tr w:rsidR="000452C6" w:rsidRPr="00DE0878" w:rsidTr="000452C6">
        <w:trPr>
          <w:jc w:val="center"/>
        </w:trPr>
        <w:tc>
          <w:tcPr>
            <w:tcW w:w="94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Inadequate</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45</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43</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46.7</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12.0 (10.1-13.9)</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T Stage</w:t>
            </w:r>
          </w:p>
        </w:tc>
        <w:tc>
          <w:tcPr>
            <w:tcW w:w="169"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73"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846"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267"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95"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T2</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25</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20</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56.0</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15.0 (3.6-26.4)</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0.031</w:t>
            </w: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T3</w:t>
            </w:r>
            <w:r w:rsidR="00FA6931" w:rsidRPr="00DE0878">
              <w:rPr>
                <w:rFonts w:ascii="Times New Roman" w:eastAsia="Times New Roman" w:hAnsi="Times New Roman" w:cs="Times New Roman"/>
                <w:sz w:val="15"/>
                <w:szCs w:val="15"/>
              </w:rPr>
              <w:t xml:space="preserve"> and T4</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42</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40</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54.8</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12.0 (9.3-14.7)</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N Stage</w:t>
            </w:r>
          </w:p>
        </w:tc>
        <w:tc>
          <w:tcPr>
            <w:tcW w:w="169"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73"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846"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267"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95"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N0</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22</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16</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72.7</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23.0 (16.6-29.4)</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0.001</w:t>
            </w:r>
          </w:p>
        </w:tc>
      </w:tr>
      <w:tr w:rsidR="000452C6"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N1+</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25</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hAnsi="Times New Roman" w:cs="Times New Roman"/>
                <w:sz w:val="15"/>
                <w:szCs w:val="15"/>
              </w:rPr>
            </w:pPr>
            <w:r w:rsidRPr="00DE0878">
              <w:rPr>
                <w:rFonts w:ascii="Times New Roman" w:hAnsi="Times New Roman" w:cs="Times New Roman"/>
                <w:sz w:val="15"/>
                <w:szCs w:val="15"/>
              </w:rPr>
              <w:t>25</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40.0</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9.0 (7.4-10.6)</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Stage53</w:t>
            </w:r>
          </w:p>
        </w:tc>
        <w:tc>
          <w:tcPr>
            <w:tcW w:w="169"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73"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846"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267"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95"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Stage I- II</w:t>
            </w:r>
          </w:p>
        </w:tc>
        <w:tc>
          <w:tcPr>
            <w:tcW w:w="16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25</w:t>
            </w:r>
          </w:p>
        </w:tc>
        <w:tc>
          <w:tcPr>
            <w:tcW w:w="373"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19</w:t>
            </w:r>
          </w:p>
        </w:tc>
        <w:tc>
          <w:tcPr>
            <w:tcW w:w="1846"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68.0</w:t>
            </w:r>
          </w:p>
        </w:tc>
        <w:tc>
          <w:tcPr>
            <w:tcW w:w="1267"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19.0 (10.4-27.6)</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&lt; 0.001</w:t>
            </w:r>
          </w:p>
        </w:tc>
      </w:tr>
      <w:tr w:rsidR="00B705C2" w:rsidRPr="00DE0878" w:rsidTr="000452C6">
        <w:trPr>
          <w:jc w:val="center"/>
        </w:trPr>
        <w:tc>
          <w:tcPr>
            <w:tcW w:w="94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Stage III</w:t>
            </w:r>
          </w:p>
        </w:tc>
        <w:tc>
          <w:tcPr>
            <w:tcW w:w="169"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28</w:t>
            </w:r>
          </w:p>
        </w:tc>
        <w:tc>
          <w:tcPr>
            <w:tcW w:w="373"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28</w:t>
            </w:r>
          </w:p>
        </w:tc>
        <w:tc>
          <w:tcPr>
            <w:tcW w:w="1846"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42.9</w:t>
            </w:r>
          </w:p>
        </w:tc>
        <w:tc>
          <w:tcPr>
            <w:tcW w:w="1267"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9.0 (6.4-11.6)</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B705C2" w:rsidRPr="00DE0878" w:rsidTr="000452C6">
        <w:trPr>
          <w:jc w:val="center"/>
        </w:trPr>
        <w:tc>
          <w:tcPr>
            <w:tcW w:w="949"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Treatment plan</w:t>
            </w:r>
          </w:p>
        </w:tc>
        <w:tc>
          <w:tcPr>
            <w:tcW w:w="169"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73"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846"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267"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95"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Surgery</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16</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15</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37.5</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9.0 (7.1-10.9)</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0.711</w:t>
            </w:r>
          </w:p>
        </w:tc>
      </w:tr>
      <w:tr w:rsidR="000452C6" w:rsidRPr="00DE0878" w:rsidTr="000452C6">
        <w:trPr>
          <w:jc w:val="center"/>
        </w:trPr>
        <w:tc>
          <w:tcPr>
            <w:tcW w:w="94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roofErr w:type="spellStart"/>
            <w:r w:rsidRPr="00DE0878">
              <w:rPr>
                <w:rFonts w:ascii="Times New Roman" w:eastAsia="Times New Roman" w:hAnsi="Times New Roman" w:cs="Times New Roman"/>
                <w:sz w:val="15"/>
                <w:szCs w:val="15"/>
              </w:rPr>
              <w:t>Neo+Surgery</w:t>
            </w:r>
            <w:proofErr w:type="spellEnd"/>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14</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13</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57.1</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17.0 (11.5-22.5)</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roofErr w:type="spellStart"/>
            <w:r w:rsidRPr="00DE0878">
              <w:rPr>
                <w:rFonts w:ascii="Times New Roman" w:eastAsia="Times New Roman" w:hAnsi="Times New Roman" w:cs="Times New Roman"/>
                <w:sz w:val="15"/>
                <w:szCs w:val="15"/>
              </w:rPr>
              <w:t>Surgery+Adj</w:t>
            </w:r>
            <w:proofErr w:type="spellEnd"/>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37</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32</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59.5</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13.0 (11.0-15.0)</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b/>
                <w:bCs/>
                <w:sz w:val="15"/>
                <w:szCs w:val="15"/>
              </w:rPr>
            </w:pPr>
            <w:r w:rsidRPr="00DE0878">
              <w:rPr>
                <w:rFonts w:ascii="Times New Roman" w:eastAsia="Times New Roman" w:hAnsi="Times New Roman" w:cs="Times New Roman"/>
                <w:b/>
                <w:bCs/>
                <w:sz w:val="15"/>
                <w:szCs w:val="15"/>
              </w:rPr>
              <w:t>Procedure</w:t>
            </w:r>
          </w:p>
        </w:tc>
        <w:tc>
          <w:tcPr>
            <w:tcW w:w="169"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73"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846"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1267" w:type="pct"/>
            <w:shd w:val="clear" w:color="000000" w:fill="FFFFFF"/>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c>
          <w:tcPr>
            <w:tcW w:w="395" w:type="pct"/>
            <w:shd w:val="clear" w:color="auto" w:fill="auto"/>
            <w:noWrap/>
            <w:vAlign w:val="center"/>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roofErr w:type="spellStart"/>
            <w:r w:rsidRPr="00DE0878">
              <w:rPr>
                <w:rFonts w:ascii="Times New Roman" w:eastAsia="Times New Roman" w:hAnsi="Times New Roman" w:cs="Times New Roman"/>
                <w:sz w:val="15"/>
                <w:szCs w:val="15"/>
              </w:rPr>
              <w:t>Transthoracic</w:t>
            </w:r>
            <w:proofErr w:type="spellEnd"/>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43</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38</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53.5</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 (8.2-15.8)</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0.384</w:t>
            </w:r>
          </w:p>
        </w:tc>
      </w:tr>
      <w:tr w:rsidR="000452C6" w:rsidRPr="00DE0878" w:rsidTr="000452C6">
        <w:trPr>
          <w:jc w:val="center"/>
        </w:trPr>
        <w:tc>
          <w:tcPr>
            <w:tcW w:w="94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roofErr w:type="spellStart"/>
            <w:r w:rsidRPr="00DE0878">
              <w:rPr>
                <w:rFonts w:ascii="Times New Roman" w:eastAsia="Times New Roman" w:hAnsi="Times New Roman" w:cs="Times New Roman"/>
                <w:sz w:val="15"/>
                <w:szCs w:val="15"/>
              </w:rPr>
              <w:t>Transhiatal</w:t>
            </w:r>
            <w:proofErr w:type="spellEnd"/>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11</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11</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63.6</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12 (7.7-16.3)</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TPL</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6</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4</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50.0</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9 (1.0-17.0)</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r w:rsidR="000452C6" w:rsidRPr="00DE0878" w:rsidTr="000452C6">
        <w:trPr>
          <w:jc w:val="center"/>
        </w:trPr>
        <w:tc>
          <w:tcPr>
            <w:tcW w:w="94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Abdominal</w:t>
            </w:r>
          </w:p>
        </w:tc>
        <w:tc>
          <w:tcPr>
            <w:tcW w:w="169"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w:t>
            </w:r>
          </w:p>
        </w:tc>
        <w:tc>
          <w:tcPr>
            <w:tcW w:w="373"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w:t>
            </w:r>
          </w:p>
        </w:tc>
        <w:tc>
          <w:tcPr>
            <w:tcW w:w="1846"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71.4</w:t>
            </w:r>
          </w:p>
        </w:tc>
        <w:tc>
          <w:tcPr>
            <w:tcW w:w="1267" w:type="pct"/>
            <w:shd w:val="clear" w:color="000000" w:fill="FFFFFF"/>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r w:rsidRPr="00DE0878">
              <w:rPr>
                <w:rFonts w:ascii="Times New Roman" w:eastAsia="Times New Roman" w:hAnsi="Times New Roman" w:cs="Times New Roman"/>
                <w:sz w:val="15"/>
                <w:szCs w:val="15"/>
              </w:rPr>
              <w:t>15 (9.9-20.1)</w:t>
            </w:r>
          </w:p>
        </w:tc>
        <w:tc>
          <w:tcPr>
            <w:tcW w:w="395" w:type="pct"/>
            <w:shd w:val="clear" w:color="auto" w:fill="auto"/>
            <w:noWrap/>
            <w:vAlign w:val="center"/>
            <w:hideMark/>
          </w:tcPr>
          <w:p w:rsidR="00BC11EA" w:rsidRPr="00DE0878" w:rsidRDefault="00BC11EA" w:rsidP="00FE79B6">
            <w:pPr>
              <w:snapToGrid w:val="0"/>
              <w:spacing w:after="0" w:line="240" w:lineRule="auto"/>
              <w:jc w:val="both"/>
              <w:rPr>
                <w:rFonts w:ascii="Times New Roman" w:eastAsia="Times New Roman" w:hAnsi="Times New Roman" w:cs="Times New Roman"/>
                <w:sz w:val="15"/>
                <w:szCs w:val="15"/>
              </w:rPr>
            </w:pPr>
          </w:p>
        </w:tc>
      </w:tr>
    </w:tbl>
    <w:p w:rsidR="000452C6" w:rsidRPr="000452C6" w:rsidRDefault="000452C6" w:rsidP="00FE79B6">
      <w:pPr>
        <w:snapToGrid w:val="0"/>
        <w:spacing w:after="0" w:line="240" w:lineRule="auto"/>
        <w:jc w:val="center"/>
        <w:rPr>
          <w:rFonts w:ascii="Times New Roman" w:hAnsi="Times New Roman" w:cs="Times New Roman"/>
          <w:sz w:val="20"/>
          <w:szCs w:val="20"/>
          <w:lang w:eastAsia="zh-CN"/>
        </w:rPr>
      </w:pPr>
    </w:p>
    <w:p w:rsidR="0017263D" w:rsidRPr="000452C6" w:rsidRDefault="0017263D" w:rsidP="00FE79B6">
      <w:pPr>
        <w:snapToGrid w:val="0"/>
        <w:spacing w:after="0" w:line="240" w:lineRule="auto"/>
        <w:jc w:val="center"/>
        <w:rPr>
          <w:rFonts w:ascii="Times New Roman" w:hAnsi="Times New Roman" w:cs="Times New Roman"/>
          <w:sz w:val="20"/>
          <w:szCs w:val="20"/>
        </w:rPr>
      </w:pPr>
      <w:r w:rsidRPr="000452C6">
        <w:rPr>
          <w:rFonts w:ascii="Times New Roman" w:hAnsi="Times New Roman" w:cs="Times New Roman"/>
          <w:sz w:val="20"/>
          <w:szCs w:val="20"/>
        </w:rPr>
        <w:t>Table 13: Multivariate model of factors affecting overall survival of the studied group (n=67)</w:t>
      </w:r>
    </w:p>
    <w:tbl>
      <w:tblPr>
        <w:tblW w:w="5000" w:type="pct"/>
        <w:jc w:val="center"/>
        <w:tblBorders>
          <w:top w:val="single" w:sz="4" w:space="0" w:color="auto"/>
          <w:bottom w:val="single" w:sz="4" w:space="0" w:color="auto"/>
        </w:tblBorders>
        <w:tblCellMar>
          <w:left w:w="57" w:type="dxa"/>
          <w:right w:w="57" w:type="dxa"/>
        </w:tblCellMar>
        <w:tblLook w:val="04A0"/>
      </w:tblPr>
      <w:tblGrid>
        <w:gridCol w:w="4567"/>
        <w:gridCol w:w="1022"/>
        <w:gridCol w:w="1325"/>
        <w:gridCol w:w="2562"/>
      </w:tblGrid>
      <w:tr w:rsidR="00AA0BD6" w:rsidRPr="00DE0878" w:rsidTr="000452C6">
        <w:trPr>
          <w:jc w:val="center"/>
        </w:trPr>
        <w:tc>
          <w:tcPr>
            <w:tcW w:w="2409" w:type="pct"/>
            <w:tcBorders>
              <w:bottom w:val="single" w:sz="4" w:space="0" w:color="auto"/>
            </w:tcBorders>
            <w:vAlign w:val="center"/>
          </w:tcPr>
          <w:p w:rsidR="0005573F" w:rsidRPr="00DE0878" w:rsidRDefault="0005573F" w:rsidP="00FE79B6">
            <w:pPr>
              <w:snapToGrid w:val="0"/>
              <w:spacing w:after="0" w:line="240" w:lineRule="auto"/>
              <w:jc w:val="both"/>
              <w:rPr>
                <w:rFonts w:ascii="Times New Roman" w:hAnsi="Times New Roman" w:cs="Times New Roman"/>
                <w:sz w:val="16"/>
                <w:szCs w:val="16"/>
                <w:lang w:val="en-GB"/>
              </w:rPr>
            </w:pPr>
          </w:p>
        </w:tc>
        <w:tc>
          <w:tcPr>
            <w:tcW w:w="539" w:type="pct"/>
            <w:tcBorders>
              <w:bottom w:val="single" w:sz="4" w:space="0" w:color="auto"/>
            </w:tcBorders>
            <w:vAlign w:val="center"/>
          </w:tcPr>
          <w:p w:rsidR="0005573F" w:rsidRPr="00DE0878" w:rsidRDefault="0017263D" w:rsidP="00FE79B6">
            <w:pPr>
              <w:snapToGrid w:val="0"/>
              <w:spacing w:after="0" w:line="240" w:lineRule="auto"/>
              <w:jc w:val="both"/>
              <w:rPr>
                <w:rFonts w:ascii="Times New Roman" w:hAnsi="Times New Roman" w:cs="Times New Roman"/>
                <w:b/>
                <w:bCs/>
                <w:sz w:val="16"/>
                <w:szCs w:val="16"/>
                <w:lang w:val="en-GB"/>
              </w:rPr>
            </w:pPr>
            <w:r w:rsidRPr="00DE0878">
              <w:rPr>
                <w:rFonts w:ascii="Times New Roman" w:hAnsi="Times New Roman" w:cs="Times New Roman"/>
                <w:b/>
                <w:bCs/>
                <w:sz w:val="16"/>
                <w:szCs w:val="16"/>
                <w:lang w:val="en-GB"/>
              </w:rPr>
              <w:t>B</w:t>
            </w:r>
          </w:p>
        </w:tc>
        <w:tc>
          <w:tcPr>
            <w:tcW w:w="699" w:type="pct"/>
            <w:tcBorders>
              <w:bottom w:val="single" w:sz="4" w:space="0" w:color="auto"/>
            </w:tcBorders>
            <w:vAlign w:val="center"/>
          </w:tcPr>
          <w:p w:rsidR="0005573F" w:rsidRPr="00DE0878" w:rsidRDefault="0017263D" w:rsidP="00FE79B6">
            <w:pPr>
              <w:snapToGrid w:val="0"/>
              <w:spacing w:after="0" w:line="240" w:lineRule="auto"/>
              <w:jc w:val="both"/>
              <w:rPr>
                <w:rFonts w:ascii="Times New Roman" w:hAnsi="Times New Roman" w:cs="Times New Roman"/>
                <w:b/>
                <w:bCs/>
                <w:sz w:val="16"/>
                <w:szCs w:val="16"/>
                <w:lang w:val="en-GB"/>
              </w:rPr>
            </w:pPr>
            <w:r w:rsidRPr="00DE0878">
              <w:rPr>
                <w:rFonts w:ascii="Times New Roman" w:hAnsi="Times New Roman" w:cs="Times New Roman"/>
                <w:b/>
                <w:bCs/>
                <w:sz w:val="16"/>
                <w:szCs w:val="16"/>
                <w:lang w:val="en-GB"/>
              </w:rPr>
              <w:t>p value</w:t>
            </w:r>
          </w:p>
        </w:tc>
        <w:tc>
          <w:tcPr>
            <w:tcW w:w="1352" w:type="pct"/>
            <w:tcBorders>
              <w:bottom w:val="single" w:sz="4" w:space="0" w:color="auto"/>
            </w:tcBorders>
            <w:vAlign w:val="center"/>
          </w:tcPr>
          <w:p w:rsidR="0005573F" w:rsidRPr="00DE0878" w:rsidRDefault="0005573F" w:rsidP="00FE79B6">
            <w:pPr>
              <w:snapToGrid w:val="0"/>
              <w:spacing w:after="0" w:line="240" w:lineRule="auto"/>
              <w:jc w:val="both"/>
              <w:rPr>
                <w:rFonts w:ascii="Times New Roman" w:hAnsi="Times New Roman" w:cs="Times New Roman"/>
                <w:b/>
                <w:bCs/>
                <w:sz w:val="16"/>
                <w:szCs w:val="16"/>
                <w:lang w:val="en-GB"/>
              </w:rPr>
            </w:pPr>
            <w:r w:rsidRPr="00DE0878">
              <w:rPr>
                <w:rFonts w:ascii="Times New Roman" w:hAnsi="Times New Roman" w:cs="Times New Roman"/>
                <w:b/>
                <w:bCs/>
                <w:sz w:val="16"/>
                <w:szCs w:val="16"/>
                <w:lang w:val="en-GB"/>
              </w:rPr>
              <w:t>HR (95%CI)</w:t>
            </w:r>
          </w:p>
        </w:tc>
      </w:tr>
      <w:tr w:rsidR="00AA0BD6" w:rsidRPr="00DE0878" w:rsidTr="000452C6">
        <w:trPr>
          <w:jc w:val="center"/>
        </w:trPr>
        <w:tc>
          <w:tcPr>
            <w:tcW w:w="2409" w:type="pct"/>
            <w:tcBorders>
              <w:top w:val="single" w:sz="4" w:space="0" w:color="auto"/>
              <w:bottom w:val="nil"/>
            </w:tcBorders>
            <w:vAlign w:val="center"/>
          </w:tcPr>
          <w:p w:rsidR="0005573F" w:rsidRPr="00DE0878" w:rsidRDefault="0005573F" w:rsidP="00FE79B6">
            <w:pPr>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 xml:space="preserve">Postoperative morbidity </w:t>
            </w:r>
          </w:p>
        </w:tc>
        <w:tc>
          <w:tcPr>
            <w:tcW w:w="539" w:type="pct"/>
            <w:tcBorders>
              <w:top w:val="single" w:sz="4" w:space="0" w:color="auto"/>
              <w:bottom w:val="nil"/>
            </w:tcBorders>
            <w:vAlign w:val="center"/>
          </w:tcPr>
          <w:p w:rsidR="0005573F" w:rsidRPr="00DE0878" w:rsidRDefault="0005573F" w:rsidP="00FE79B6">
            <w:pPr>
              <w:autoSpaceDE w:val="0"/>
              <w:autoSpaceDN w:val="0"/>
              <w:adjustRightInd w:val="0"/>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0.767</w:t>
            </w:r>
          </w:p>
        </w:tc>
        <w:tc>
          <w:tcPr>
            <w:tcW w:w="699" w:type="pct"/>
            <w:tcBorders>
              <w:top w:val="single" w:sz="4" w:space="0" w:color="auto"/>
              <w:bottom w:val="nil"/>
            </w:tcBorders>
            <w:vAlign w:val="center"/>
          </w:tcPr>
          <w:p w:rsidR="0005573F" w:rsidRPr="00DE0878" w:rsidRDefault="0005573F" w:rsidP="00FE79B6">
            <w:pPr>
              <w:autoSpaceDE w:val="0"/>
              <w:autoSpaceDN w:val="0"/>
              <w:adjustRightInd w:val="0"/>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0.026</w:t>
            </w:r>
          </w:p>
        </w:tc>
        <w:tc>
          <w:tcPr>
            <w:tcW w:w="1352" w:type="pct"/>
            <w:tcBorders>
              <w:top w:val="single" w:sz="4" w:space="0" w:color="auto"/>
              <w:bottom w:val="nil"/>
            </w:tcBorders>
            <w:vAlign w:val="center"/>
          </w:tcPr>
          <w:p w:rsidR="0005573F" w:rsidRPr="00DE0878" w:rsidRDefault="0005573F" w:rsidP="00FE79B6">
            <w:pPr>
              <w:autoSpaceDE w:val="0"/>
              <w:autoSpaceDN w:val="0"/>
              <w:adjustRightInd w:val="0"/>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2.15 (1.10-4.23)</w:t>
            </w:r>
          </w:p>
        </w:tc>
      </w:tr>
      <w:tr w:rsidR="00AA0BD6" w:rsidRPr="00DE0878" w:rsidTr="000452C6">
        <w:trPr>
          <w:jc w:val="center"/>
        </w:trPr>
        <w:tc>
          <w:tcPr>
            <w:tcW w:w="2409" w:type="pct"/>
            <w:tcBorders>
              <w:top w:val="nil"/>
            </w:tcBorders>
            <w:vAlign w:val="center"/>
          </w:tcPr>
          <w:p w:rsidR="0005573F" w:rsidRPr="00DE0878" w:rsidRDefault="0005573F" w:rsidP="00FE79B6">
            <w:pPr>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 xml:space="preserve">Inadequate </w:t>
            </w:r>
            <w:proofErr w:type="spellStart"/>
            <w:r w:rsidR="00B071A2" w:rsidRPr="00DE0878">
              <w:rPr>
                <w:rFonts w:ascii="Times New Roman" w:hAnsi="Times New Roman" w:cs="Times New Roman"/>
                <w:sz w:val="16"/>
                <w:szCs w:val="16"/>
                <w:lang w:val="en-GB"/>
              </w:rPr>
              <w:t>l</w:t>
            </w:r>
            <w:r w:rsidRPr="00DE0878">
              <w:rPr>
                <w:rFonts w:ascii="Times New Roman" w:hAnsi="Times New Roman" w:cs="Times New Roman"/>
                <w:sz w:val="16"/>
                <w:szCs w:val="16"/>
                <w:lang w:val="en-GB"/>
              </w:rPr>
              <w:t>ymphadenectomy</w:t>
            </w:r>
            <w:proofErr w:type="spellEnd"/>
          </w:p>
        </w:tc>
        <w:tc>
          <w:tcPr>
            <w:tcW w:w="539" w:type="pct"/>
            <w:tcBorders>
              <w:top w:val="nil"/>
            </w:tcBorders>
            <w:vAlign w:val="center"/>
          </w:tcPr>
          <w:p w:rsidR="0005573F" w:rsidRPr="00DE0878" w:rsidRDefault="0005573F" w:rsidP="00FE79B6">
            <w:pPr>
              <w:autoSpaceDE w:val="0"/>
              <w:autoSpaceDN w:val="0"/>
              <w:adjustRightInd w:val="0"/>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1.165</w:t>
            </w:r>
          </w:p>
        </w:tc>
        <w:tc>
          <w:tcPr>
            <w:tcW w:w="699" w:type="pct"/>
            <w:tcBorders>
              <w:top w:val="nil"/>
            </w:tcBorders>
            <w:vAlign w:val="center"/>
          </w:tcPr>
          <w:p w:rsidR="0005573F" w:rsidRPr="00DE0878" w:rsidRDefault="0005573F" w:rsidP="00FE79B6">
            <w:pPr>
              <w:autoSpaceDE w:val="0"/>
              <w:autoSpaceDN w:val="0"/>
              <w:adjustRightInd w:val="0"/>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0.002</w:t>
            </w:r>
          </w:p>
        </w:tc>
        <w:tc>
          <w:tcPr>
            <w:tcW w:w="1352" w:type="pct"/>
            <w:tcBorders>
              <w:top w:val="nil"/>
            </w:tcBorders>
            <w:vAlign w:val="center"/>
          </w:tcPr>
          <w:p w:rsidR="0005573F" w:rsidRPr="00DE0878" w:rsidRDefault="0005573F" w:rsidP="00FE79B6">
            <w:pPr>
              <w:autoSpaceDE w:val="0"/>
              <w:autoSpaceDN w:val="0"/>
              <w:adjustRightInd w:val="0"/>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3.20 (1.54-6.66)</w:t>
            </w:r>
          </w:p>
        </w:tc>
      </w:tr>
      <w:tr w:rsidR="00AA0BD6" w:rsidRPr="00DE0878" w:rsidTr="000452C6">
        <w:trPr>
          <w:jc w:val="center"/>
        </w:trPr>
        <w:tc>
          <w:tcPr>
            <w:tcW w:w="2409" w:type="pct"/>
            <w:vAlign w:val="center"/>
          </w:tcPr>
          <w:p w:rsidR="0005573F" w:rsidRPr="00DE0878" w:rsidRDefault="0017263D" w:rsidP="00FE79B6">
            <w:pPr>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N stage (N1+ vs. N0)</w:t>
            </w:r>
          </w:p>
        </w:tc>
        <w:tc>
          <w:tcPr>
            <w:tcW w:w="539" w:type="pct"/>
            <w:vAlign w:val="center"/>
          </w:tcPr>
          <w:p w:rsidR="0005573F" w:rsidRPr="00DE0878" w:rsidRDefault="0005573F" w:rsidP="00FE79B6">
            <w:pPr>
              <w:autoSpaceDE w:val="0"/>
              <w:autoSpaceDN w:val="0"/>
              <w:adjustRightInd w:val="0"/>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1.301</w:t>
            </w:r>
          </w:p>
        </w:tc>
        <w:tc>
          <w:tcPr>
            <w:tcW w:w="699" w:type="pct"/>
            <w:vAlign w:val="center"/>
          </w:tcPr>
          <w:p w:rsidR="0005573F" w:rsidRPr="00DE0878" w:rsidRDefault="0005573F" w:rsidP="00FE79B6">
            <w:pPr>
              <w:autoSpaceDE w:val="0"/>
              <w:autoSpaceDN w:val="0"/>
              <w:adjustRightInd w:val="0"/>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&lt; 0.001</w:t>
            </w:r>
          </w:p>
        </w:tc>
        <w:tc>
          <w:tcPr>
            <w:tcW w:w="1352" w:type="pct"/>
            <w:vAlign w:val="center"/>
          </w:tcPr>
          <w:p w:rsidR="0005573F" w:rsidRPr="00DE0878" w:rsidRDefault="0005573F" w:rsidP="00FE79B6">
            <w:pPr>
              <w:autoSpaceDE w:val="0"/>
              <w:autoSpaceDN w:val="0"/>
              <w:adjustRightInd w:val="0"/>
              <w:snapToGrid w:val="0"/>
              <w:spacing w:after="0" w:line="240" w:lineRule="auto"/>
              <w:jc w:val="both"/>
              <w:rPr>
                <w:rFonts w:ascii="Times New Roman" w:hAnsi="Times New Roman" w:cs="Times New Roman"/>
                <w:sz w:val="16"/>
                <w:szCs w:val="16"/>
                <w:lang w:val="en-GB"/>
              </w:rPr>
            </w:pPr>
            <w:r w:rsidRPr="00DE0878">
              <w:rPr>
                <w:rFonts w:ascii="Times New Roman" w:hAnsi="Times New Roman" w:cs="Times New Roman"/>
                <w:sz w:val="16"/>
                <w:szCs w:val="16"/>
                <w:lang w:val="en-GB"/>
              </w:rPr>
              <w:t>3.67 (1.77-7.61)</w:t>
            </w:r>
          </w:p>
        </w:tc>
      </w:tr>
    </w:tbl>
    <w:p w:rsidR="000452C6" w:rsidRPr="000452C6" w:rsidRDefault="000452C6" w:rsidP="00FE79B6">
      <w:pPr>
        <w:snapToGrid w:val="0"/>
        <w:spacing w:after="0" w:line="240" w:lineRule="auto"/>
        <w:jc w:val="both"/>
        <w:rPr>
          <w:rFonts w:ascii="Times New Roman" w:hAnsi="Times New Roman" w:cs="Times New Roman"/>
          <w:b/>
          <w:bCs/>
          <w:sz w:val="20"/>
          <w:szCs w:val="20"/>
        </w:rPr>
      </w:pPr>
    </w:p>
    <w:p w:rsidR="00FE79B6" w:rsidRDefault="00FE79B6" w:rsidP="00FE79B6">
      <w:pPr>
        <w:snapToGrid w:val="0"/>
        <w:spacing w:after="0" w:line="240" w:lineRule="auto"/>
        <w:jc w:val="both"/>
        <w:rPr>
          <w:rFonts w:ascii="Times New Roman" w:hAnsi="Times New Roman" w:cs="Times New Roman"/>
          <w:b/>
          <w:bCs/>
          <w:sz w:val="20"/>
          <w:szCs w:val="20"/>
        </w:rPr>
        <w:sectPr w:rsidR="00FE79B6" w:rsidSect="000452C6">
          <w:type w:val="continuous"/>
          <w:pgSz w:w="12242" w:h="15842" w:code="1"/>
          <w:pgMar w:top="1440" w:right="1440" w:bottom="1440" w:left="1440" w:header="720" w:footer="720" w:gutter="0"/>
          <w:cols w:space="720"/>
          <w:docGrid w:linePitch="299"/>
        </w:sectPr>
      </w:pPr>
    </w:p>
    <w:p w:rsidR="00103666" w:rsidRPr="000452C6" w:rsidRDefault="0019070D" w:rsidP="00FE79B6">
      <w:pPr>
        <w:snapToGrid w:val="0"/>
        <w:spacing w:after="0" w:line="240" w:lineRule="auto"/>
        <w:jc w:val="both"/>
        <w:rPr>
          <w:rFonts w:ascii="Times New Roman" w:hAnsi="Times New Roman" w:cs="Times New Roman"/>
          <w:b/>
          <w:bCs/>
          <w:sz w:val="20"/>
          <w:szCs w:val="20"/>
        </w:rPr>
      </w:pPr>
      <w:r w:rsidRPr="000452C6">
        <w:rPr>
          <w:rFonts w:ascii="Times New Roman" w:hAnsi="Times New Roman" w:cs="Times New Roman"/>
          <w:b/>
          <w:bCs/>
          <w:sz w:val="20"/>
          <w:szCs w:val="20"/>
        </w:rPr>
        <w:lastRenderedPageBreak/>
        <w:t xml:space="preserve">4. </w:t>
      </w:r>
      <w:r w:rsidR="00103666" w:rsidRPr="000452C6">
        <w:rPr>
          <w:rFonts w:ascii="Times New Roman" w:hAnsi="Times New Roman" w:cs="Times New Roman"/>
          <w:b/>
          <w:bCs/>
          <w:sz w:val="20"/>
          <w:szCs w:val="20"/>
        </w:rPr>
        <w:t>Discussion:</w:t>
      </w:r>
    </w:p>
    <w:p w:rsidR="00103666" w:rsidRPr="000452C6" w:rsidRDefault="00103666"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Over the 6-year period of the study, 275 patients with EC were diagnosed and treated in NCI, Cairo University. In the current series SCC accounted for 61% of esophageal cancers; with the highest affection in the sixth and seventh decades of life. Male to female ratio was 1.57:1. Worldwide, SCC is the most prevalent histological type of EC, but in certain developed countries including Australia, United States and some European nations, ADC of the esophagus dominates.</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pNXjxqj7","properties":{"formattedCitation":"[1]","plainCitation":"[1]","noteIndex":0},"citationItems":[{"id":6515,"uris":["http://zotero.org/users/2937542/items/56FX54JB"],"uri":["http://zotero.org/users/2937542/items/56FX54JB"],"itemData":{"id":6515,"type":"article-journal","title":"Continuing rapid increase in esophageal adenocarcinoma in England and Wales","container-title":"The American Journal of Gastroenterology","page":"2694-2699","volume":"103","issue":"11","source":"PubMed","abstract":"BACKGROUND AND AIMS: Substantial changes have occurred in the epidemiology of esophageal adenocarcinoma. We examined trends in incidence in a large national population.\nMETHODS: All esophageal adenocarcinomas registered in England and Wales over a 31-year period (1971-2001) were included. Incidence rates were calculated by age, sex, and socio-economic category, by 5-year period, and by birth cohort.\nRESULTS: A total of 43,753 esophageal adenocarcinomas were analyzed. Age-standardized (world) incidence rates rose rapidly, by an average of 39.6% (95% CI 38.6-40.6) every 5 years in men, and 37.5% (35.8-39.2) every 5 years in women. Incidence has increased about three-fold in men and women since 1971. Incidence has risen in all deprivation categories since 1986, especially in the most affluent groups. The cumulative risk of esophageal adenocarcinoma over the age range 15-74 years in men rose ten-fold, from 0.1% for those born in 1900 to 1.1% for those born in 1940. The cumulative risk rose five-fold in women.\nCONCLUSIONS: The incidence of esophageal adenocarcinoma has increased sharply over the past few decades, both by period and birth cohort. Etiological studies are required to explain the rapid increase of this lethal cancer.","DOI":"10.1111/j.1572-0241.2008.02191.x","ISSN":"1572-0241","note":"PMID: 18853967","journalAbbreviation":"Am. J. Gastroenterol.","language":"eng","author":[{"family":"Lepage","given":"Côme"},{"family":"Rachet","given":"Bernard"},{"family":"Jooste","given":"Valérie"},{"family":"Faivre","given":"Jean"},{"family":"Coleman","given":"Michel P."}],"issued":{"date-parts":[["2008",11]]}}}],"schema":"https://github.com/citation-style-language/schema/raw/master/csl-citation.json"}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[1]</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It has been reported that the incidence of SCC increases with age, reaching a peak in the seventh decade. The major risk factors include alcohol consumption and tobacco use.</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cQepWFtH","properties":{"formattedCitation":"[2]","plainCitation":"[2]","noteIndex":0},"citationItems":[{"id":6517,"uris":["http://zotero.org/users/2937542/items/R7WHCMGC"],"uri":["http://zotero.org/users/2937542/items/R7WHCMGC"],"itemData":{"id":6517,"type":"article-journal","title":"Prospective study of risk factors for esophageal and gastric cancers in the Linxian general population trial cohort in China","container-title":"International Journal of Cancer","page":"456-463","volume":"113","issue":"3","source":"PubMed","abstract":"Esophageal cancer incidence and mortality rates in Linxian, China are among the highest in the world. We examined risk factors for esophageal squamous cell carcinoma (ESCC), gastric cardia cancer (GCC), and gastric noncardia cancer (GNCC) in a population-based, prospective study of 29,584 adults who participated in the Linxian General Population Trial. All study participants completed a baseline questionnaire that included questions on demographic characteristics, personal and family history of disease, and lifestyle factors. After 15 years of follow-up, a total of 3,410 incident upper gastrointestinal cancers were identified, including 1,958 ESCC, 1,089 GCC and 363 GNCC. Cox proportional hazard models were used to estimate risks. Increased age and a positive family history of esophageal cancer (including ESCC or GCC) were significantly associated with risk at all 3 cancer sites. Additional risk factors for ESCC included being born in Linxian, increased height, cigarette smoking and pipe smoking; for GCC, male gender, consumption of moldy breads and pipe smoking; and for GNCC, male gender and cigarette smoking. Protective factors for ESCC included formal education, water piped into the home, increased consumption of meat, eggs and fresh fruits and increased BMI; for GCC, formal education, water piped into the home, increased consumption of eggs and fresh fruits and alcohol consumption; and for GNCC, increased weight and BMI. General socioeconomic status (SES) is a common denominator in many of these factors and improving SES is a promising approach for reducing the tremendous burden of upper gastrointestinal cancers in Linxian.","DOI":"10.1002/ijc.20616","ISSN":"0020-7136","note":"PMID: 15455378","journalAbbreviation":"Int. J. Cancer","language":"eng","author":[{"family":"Tran","given":"Gina D."},{"family":"Sun","given":"Xiu-Di"},{"family":"Abnet","given":"Christian C."},{"family":"Fan","given":"Jin-Hu"},{"family":"Dawsey","given":"Sanford M."},{"family":"Dong","given":"Zhi-Wei"},{"family":"Mark","given":"Steven D."},{"family":"Qiao","given":"You-Lin"},{"family":"Taylor","given":"Philip R."}],"issued":{"date-parts":[["2005",1,20]]}}}],"schema":"https://github.com/citation-style-language/schema/raw/master/csl-citation.json"}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[2]</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This may explain the higher affection of males in the current study as tobacco smoking is more prevalent among males. It was reported that active smoking is associated with a 5 to 9-fold increased risk of SCC.</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599wrY93","properties":{"formattedCitation":"[3]","plainCitation":"[3]","noteIndex":0},"citationItems":[{"id":6519,"uris":["http://zotero.org/users/2937542/items/74PPWR5B"],"uri":["http://zotero.org/users/2937542/items/74PPWR5B"],"itemData":{"id":6519,"type":"article-journal","title":"A prospective study of tobacco, alcohol, and the risk of esophageal and gastric cancer subtypes","container-title":"American Journal of Epidemiology","page":"1424-1433","volume":"165","issue":"12","source":"PubMed","abstract":"Rates of esophageal adenocarcinoma and gastric cardia adenocarcinoma have increased, while rates of esophageal squamous cell carcinoma (ESCC) and gastric noncardia adenocarcinoma have decreased, suggesting distinct etiologies. The authors prospectively investigated the associations of alcohol and tobacco with these cancers in 474,606 US participants using Cox models adjusted for potential confounders. Between 1995/1996 and 2000, 97 incident cases of ESCC, 205 of esophageal adenocarcinoma, 188 of gastric cardia, and 187 of gastric noncardia cancer occurred. Compared with nonsmokers, current smokers were at increased risk for ESCC (hazard ratio (HR) = 9.27, 95% confidence interval (CI): 4.04, 21.29), esophageal adenocarcinoma (HR = 3.70, 95% CI: 2.20, 6.22), gastric cardia (HR = 2.86, 95% CI: 1.73, 4.70), and gastric noncardia (HR = 2.04, 95% CI: 1.32, 3.16). Assuming causality, ever smoking had population attributable risks of 77% (95% CI: 0.55, 0.89) for ESCC, 58% (95% CI: 0.38, 0.72) for esophageal adenocarcinoma, 47% (95% CI: 0.27, 0.63) for gastric cardia, and 19% (95% CI: 0.00, 0.37) for gastric noncardia. For drinkers of more than three alcoholic beverages per day, compared with those whose intake was up to one drink per day, the authors found significant associations between alcohol intake and ESCC risk (HR = 4.93, 95% CI: 2.69, 9.03) but not risk for esophageal, gastric cardia, or gastric noncardia adenocarcinoma.","DOI":"10.1093/aje/kwm051","ISSN":"0002-9262","note":"PMID: 17420181","journalAbbreviation":"Am. J. Epidemiol.","language":"eng","author":[{"family":"Freedman","given":"Neal D."},{"family":"Abnet","given":"Christian C."},{"family":"Leitzmann","given":"Michael F."},{"family":"Mouw","given":"Traci"},{"family":"Subar","given":"Amy F."},{"family":"Hollenbeck","given":"Albert R."},{"family":"Schatzkin","given":"Arthur"}],"issued":{"date-parts":[["2007",6,15]]}}}],"schema":"https://github.com/citation-style-language/schema/raw/master/csl-citation.json"}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[3]</w:t>
      </w:r>
      <w:r w:rsidR="00C561E7" w:rsidRPr="000452C6">
        <w:rPr>
          <w:rFonts w:ascii="Times New Roman" w:hAnsi="Times New Roman" w:cs="Times New Roman"/>
          <w:sz w:val="20"/>
          <w:szCs w:val="20"/>
        </w:rPr>
        <w:fldChar w:fldCharType="end"/>
      </w:r>
    </w:p>
    <w:p w:rsidR="00103666" w:rsidRPr="000452C6" w:rsidRDefault="00103666"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In the current study, ADC was mainly identified in the lower third of the esophagus and the </w:t>
      </w:r>
      <w:proofErr w:type="spellStart"/>
      <w:r w:rsidRPr="000452C6">
        <w:rPr>
          <w:rFonts w:ascii="Times New Roman" w:hAnsi="Times New Roman" w:cs="Times New Roman"/>
          <w:sz w:val="20"/>
          <w:szCs w:val="20"/>
        </w:rPr>
        <w:t>gastroesophageal</w:t>
      </w:r>
      <w:proofErr w:type="spellEnd"/>
      <w:r w:rsidRPr="000452C6">
        <w:rPr>
          <w:rFonts w:ascii="Times New Roman" w:hAnsi="Times New Roman" w:cs="Times New Roman"/>
          <w:sz w:val="20"/>
          <w:szCs w:val="20"/>
        </w:rPr>
        <w:t xml:space="preserve"> junction (GEJ), while SCC was found along the whole length of the esophagus. This finding is consistent with previous studies demonstrating that </w:t>
      </w:r>
      <w:proofErr w:type="spellStart"/>
      <w:r w:rsidRPr="000452C6">
        <w:rPr>
          <w:rFonts w:ascii="Times New Roman" w:hAnsi="Times New Roman" w:cs="Times New Roman"/>
          <w:sz w:val="20"/>
          <w:szCs w:val="20"/>
        </w:rPr>
        <w:t>adenocarcinoma</w:t>
      </w:r>
      <w:proofErr w:type="spellEnd"/>
      <w:r w:rsidRPr="000452C6">
        <w:rPr>
          <w:rFonts w:ascii="Times New Roman" w:hAnsi="Times New Roman" w:cs="Times New Roman"/>
          <w:sz w:val="20"/>
          <w:szCs w:val="20"/>
        </w:rPr>
        <w:t xml:space="preserve"> occurs in the distal esophagus in approximately 75% of cases.</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HZvJUKk1","properties":{"formattedCitation":"[4]","plainCitation":"[4]","noteIndex":0},"citationItems":[{"id":6522,"uris":["http://zotero.org/users/2937542/items/UGRH79T2"],"uri":["http://zotero.org/users/2937542/items/UGRH79T2"],"itemData":{"id":6522,"type":"article-journal","title":"Epidemiology of esophageal cancer","container-title":"World Journal of Gastroenterology","page":"5598-5606","volume":"19","issue":"34","source":"PubMed","abstract":"Esophageal cancer (EsC) is one of the least studied and deadliest cancers worldwide because of its extremely aggressive nature and poor survival rate. It ranks sixth among all cancers in mortality. In retrospective studies of EsC, smoking, hot tea drinking, red meat consumption, poor oral health, low intake of fresh fruit and vegetables, and low socioeconomic status have been associated with a higher risk of esophageal squamous cell carcinoma. Barrett's esophagus is clearly recognized as a risk factor for EsC, and dysplasia remains the only factor useful for identifying patients at increased risk, for the development of esophageal adenocarcinoma in clinical practice. Here, we investigated the epidemiologic patterns and causes of EsC. Using population based cancer data from the Surveillance, Epidemiology and End Results Program of the United States; we generated the most up-to-date stage distribution and 5-year relative survival by stage at diagnosis for 1998-2009. Special note should be given to the fact that esophageal cancer, mainly adenocarcinoma, is one of the very few cancers that is contributing to increasing death rates (20%) among males in the United States. To further explore the mechanism of development of EsC will hopefully decrease the incidence of EsC and improve outcomes.","DOI":"10.3748/wjg.v19.i34.5598","ISSN":"2219-2840","note":"PMID: 24039351\nPMCID: PMC3769895","journalAbbreviation":"World J. Gastroenterol.","language":"eng","author":[{"family":"Zhang","given":"Yuwei"}],"issued":{"date-parts":[["2013",9,14]]}}}],"schema":"https://github.com/citation-style-language/schema/raw/master/csl-citation.json"}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[4]</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It was frequently linked to </w:t>
      </w:r>
      <w:proofErr w:type="spellStart"/>
      <w:r w:rsidRPr="000452C6">
        <w:rPr>
          <w:rFonts w:ascii="Times New Roman" w:hAnsi="Times New Roman" w:cs="Times New Roman"/>
          <w:sz w:val="20"/>
          <w:szCs w:val="20"/>
        </w:rPr>
        <w:t>gastroesophageal</w:t>
      </w:r>
      <w:proofErr w:type="spellEnd"/>
      <w:r w:rsidRPr="000452C6">
        <w:rPr>
          <w:rFonts w:ascii="Times New Roman" w:hAnsi="Times New Roman" w:cs="Times New Roman"/>
          <w:sz w:val="20"/>
          <w:szCs w:val="20"/>
        </w:rPr>
        <w:t xml:space="preserve"> reflux disease (GERD).</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fs1o7CZc","properties":{"formattedCitation":"[5]","plainCitation":"[5]","noteIndex":0},"citationItems":[{"id":6525,"uris":["http://zotero.org/users/2937542/items/YBVMYVNS"],"uri":["http://zotero.org/users/2937542/items/YBVMYVNS"],"itemData":{"id":6525,"type":"article-journal","title":"Gastroesophageal reflux disease and non-esophageal cancer","container-title":"World Journal of Gastroenterology : WJG","page":"815-819","volume":"21","issue":"3","source":"PubMed Central","abstract":"The association of gastroesophageal reflux disease (GERD) and esophageal cancer is well known. The carcinogenic properties of the gastroduodenal contents may also lead to cancer in target organs for GERD especially considering that they do not have intrinsic protective mechanisms as found in the esophagus. This review focuses on the putative relation between GERD and non-esophageal cancer. Most of the papers reviewed are far from ideal to prove the relationship of extra-esophageal cancer and GERD since a small number of patients is presented, most do not control cases based on tobacco usage and obesity, and the diagnosis of GERD is variable, not always from an objective measurement such as pH monitoring but relying on symptoms in most reports. Nevertheless, head and neck and lung cancer have a growing incidence parallel to GERD and a shift towards non-smoking, female gender and adenocarcinoma (compared to squamous cell carcinoma) is arising, similar to the example of esophageal cancer with the exception of the female gender.","DOI":"10.3748/wjg.v21.i3.815","ISSN":"1007-9327","note":"PMID: 25624714\nPMCID: PMC4299333","journalAbbreviation":"World J Gastroenterol","author":[{"family":"Herbella","given":"Fernando AM"},{"family":"Neto","given":"Sebastião Pannocchia"},{"family":"Santoro","given":"Ilka Lopes"},{"family":"Figueiredo","given":"Licia Caldas"}],"issued":{"date-parts":[["2015",1,21]]}}}],"schema":"https://github.com/citation-style-language/schema/raw/master/csl-citation.json"}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[5]</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In fact, GERD is a very prevalent disease affecting about 9%-33% in the Middle East </w:t>
      </w:r>
      <w:r w:rsidRPr="000452C6">
        <w:rPr>
          <w:rFonts w:ascii="Times New Roman" w:hAnsi="Times New Roman" w:cs="Times New Roman"/>
          <w:sz w:val="20"/>
          <w:szCs w:val="20"/>
        </w:rPr>
        <w:lastRenderedPageBreak/>
        <w:t>region.</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zE2RoJgQ","properties":{"formattedCitation":"[5]","plainCitation":"[5]","noteIndex":0},"citationItems":[{"id":6525,"uris":["http://zotero.org/users/2937542/items/YBVMYVNS"],"uri":["http://zotero.org/users/2937542/items/YBVMYVNS"],"itemData":{"id":6525,"type":"article-journal","title":"Gastroesophageal reflux disease and non-esophageal cancer","container-title":"World Journal of Gastroenterology : WJG","page":"815-819","volume":"21","issue":"3","source":"PubMed Central","abstract":"The association of gastroesophageal reflux disease (GERD) and esophageal cancer is well known. The carcinogenic properties of the gastroduodenal contents may also lead to cancer in target organs for GERD especially considering that they do not have intrinsic protective mechanisms as found in the esophagus. This review focuses on the putative relation between GERD and non-esophageal cancer. Most of the papers reviewed are far from ideal to prove the relationship of extra-esophageal cancer and GERD since a small number of patients is presented, most do not control cases based on tobacco usage and obesity, and the diagnosis of GERD is variable, not always from an objective measurement such as pH monitoring but relying on symptoms in most reports. Nevertheless, head and neck and lung cancer have a growing incidence parallel to GERD and a shift towards non-smoking, female gender and adenocarcinoma (compared to squamous cell carcinoma) is arising, similar to the example of esophageal cancer with the exception of the female gender.","DOI":"10.3748/wjg.v21.i3.815","ISSN":"1007-9327","note":"PMID: 25624714\nPMCID: PMC4299333","journalAbbreviation":"World J Gastroenterol","author":[{"family":"Herbella","given":"Fernando AM"},{"family":"Neto","given":"Sebastião Pannocchia"},{"family":"Santoro","given":"Ilka Lopes"},{"family":"Figueiredo","given":"Licia Caldas"}],"issued":{"date-parts":[["2015",1,21]]}}}],"schema":"https://github.com/citation-style-language/schema/raw/master/csl-citation.json"}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[5]</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A retrospective study conducted in a secondary referral hospital in Egypt reported that among patients presenting with gastro-esophageal reflux symptoms, 24% have reflux </w:t>
      </w:r>
      <w:proofErr w:type="spellStart"/>
      <w:r w:rsidRPr="000452C6">
        <w:rPr>
          <w:rFonts w:ascii="Times New Roman" w:hAnsi="Times New Roman" w:cs="Times New Roman"/>
          <w:sz w:val="20"/>
          <w:szCs w:val="20"/>
        </w:rPr>
        <w:t>esophagitis</w:t>
      </w:r>
      <w:proofErr w:type="spellEnd"/>
      <w:r w:rsidRPr="000452C6">
        <w:rPr>
          <w:rFonts w:ascii="Times New Roman" w:hAnsi="Times New Roman" w:cs="Times New Roman"/>
          <w:sz w:val="20"/>
          <w:szCs w:val="20"/>
        </w:rPr>
        <w:t>, but 92% of them had only grade 1 lesions.</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67Lt16zj","properties":{"formattedCitation":"[6]","plainCitation":"[6]","noteIndex":0},"citationItems":[{"id":6528,"uris":["http://zotero.org/users/2937542/items/Z4ZTB3Q6"],"uri":["http://zotero.org/users/2937542/items/Z4ZTB3Q6"],"itemData":{"id":6528,"type":"article-journal","title":"Prevalence of reflux esophagitis among patients undergoing endoscopy in a secondary referral hospital in Giza, Egypt","container-title":"Alexandria Journal of Medicine","page":"89-94","volume":"51","issue":"2","source":"ScienceDirect","abstract":"Background\nGastro-esophageal reflux disease (GERD) is one of the most prevalent diseases seen in western countries. The prevalence of GERD is lower in the Asian population and the spectrum of the disease is mild. Data from Africa and the Middle East are sparse.\nAim\nThe aim of the study was to determine the prevalence, severity and risk factors of reflux esophagitis (RE) among patients undergoing endoscopy in a secondary referral hospital in Egypt.\nMaterials and methods\nThis was a retrospective study. Data on patients presenting with gastro-esophageal reflux symptoms (RS) and scheduled for upper gastrointestinal endoscopy between January 2000 and January 2013 were collected.\nResults\nFour hundred and thirty-three patients were assessed. Two hundred and fifty-four (59%) were male. Ages ranged from 18 to 85 years, mean 45 ± 15 years. One hundred and forty-four patients (33%) had a history of smoking, 120 (28%) were taking aspirin or non-steroidal anti-inflammatory drugs and 8 (2%) were consuming alcohol. The duration of RS ranged from one month to 20 years, mean 21 ± 30 months. One hundred and forty-six patients (34%) had the RS daily, 70 (16%) classified RS as severe intensity and 99 (23%) had acid regurgitation. One hundred and six patients (24%) were found to have RE. Ninety-eight of them (23%) showed grade 1. Barrett’s esophagus (BE) was diagnosed in seven patients (2%) and esophageal stricture in one (0.2%). One hundred and four patients (24%) had hiatus hernia (HH), 16 (4%) gastric ulcers and 45 (10%) duodenal ulcers. In multivariate analysis, male sex and HH were two independent risk factors for the development of RE.\nConclusion\nThe prevalence of RE is low among patients undergoing endoscopy. Most of the patients had a mild degree of esophagitis. BE and stricture were rarely seen. Male sex and HH were risk factors of RE.","DOI":"10.1016/j.ajme.2013.09.002","ISSN":"2090-5068","journalAbbreviation":"Alexandria Journal of Medicine","author":[{"family":"Gado","given":"Ahmed"},{"family":"Ebeid","given":"Basel"},{"family":"Abdelmohsen","given":"Aida"},{"family":"Axon","given":"Anthony"}],"issued":{"date-parts":[["2015",6,1]]}}}],"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[6]</w:t>
      </w:r>
      <w:r w:rsidR="00C561E7" w:rsidRPr="000452C6">
        <w:rPr>
          <w:rFonts w:ascii="Times New Roman" w:hAnsi="Times New Roman" w:cs="Times New Roman"/>
          <w:sz w:val="20"/>
          <w:szCs w:val="20"/>
        </w:rPr>
        <w:fldChar w:fldCharType="end"/>
      </w:r>
    </w:p>
    <w:p w:rsidR="00103666" w:rsidRPr="000452C6" w:rsidRDefault="00103666"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Nearly 70% of the patients of the current series presented with locally advanced or metastatic disease. Lesions in the upper third were locally advanced in 81.8% of cases, and rarely metastatic (single patient). This is a major problem in cases of EC; late presentation is almost the rule. This problem is commonly encountered in previous series especially in low-income countries</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2U5uTn2K","properties":{"formattedCitation":"[7,8]","plainCitation":"[7,8]","noteIndex":0},"citationItems":[{"id":6534,"uris":["http://zotero.org/users/2937542/items/GT3WLPKA"],"uri":["http://zotero.org/users/2937542/items/GT3WLPKA"],"itemData":{"id":6534,"type":"article-journal","title":"Survival data and prognostic factors seen in Pakistani patients with esophageal cancer","container-title":"Annals of Oncology: Official Journal of the European Society for Medical Oncology","page":"118-122","volume":"15","issue":"1","source":"PubMed","abstract":"BACKGROUND: Esophageal cancer is common in Pakistan. An attempt has been made for the first time to look at the survival data and prognostic factors associated with esophageal cancer in this region.\nPATIENTS AND METHODS: We did a retrospective review of 263 cases seen at the Aga Khan University Hospital in Karachi. Data analysis was done using the Kaplan-Meier method and the Cox proportional hazard model.\nRESULTS: Squamous cell carcinoma was noted in 81% of the cases, whereas adenocarcinoma was the second most common. At the time of diagnosis, early-stage disease was found in 25%, locally advanced in 41% and metastatic in 34% of all cases. Mean age at diagnosis was 56 years, with 59% males and 41% females. Survival data were available in 89 cases. Median survival was 7 months. On univariate analysis, the following factors were of prognostic significance: obstruction, histology, albumin level at diagnosis, age and platelet count. On multivariate analysis, three factors were found prognostic: presence or absence of obstruction, squamous cell carcinoma versus adenocarcinoma and platelet count.\nCONCLUSIONS: We found that patients with squamous cell carcinoma and absence of thrombocytopenia and obstruction had a better overall survival. However, this is a limited retrospective analysis; we therefore recommend that these prognostic factors be evaluated in larger studies.","ISSN":"0923-7534","note":"PMID: 14679130","journalAbbreviation":"Ann. Oncol.","language":"eng","author":[{"family":"Alidina","given":"A."},{"family":"Gaffar","given":"A."},{"family":"Hussain","given":"F."},{"family":"Islam","given":"M."},{"family":"Vaziri","given":"I."},{"family":"Burney","given":"I."},{"family":"Valimohd","given":"A."},{"family":"Jafri","given":"W."}],"issued":{"date-parts":[["2004",1]]}},"label":"page"},{"id":6536,"uris":["http://zotero.org/users/2937542/items/Q3X5P34L"],"uri":["http://zotero.org/users/2937542/items/Q3X5P34L"],"itemData":{"id":6536,"type":"article-journal","title":"Population-based survival from cancers having a poor prognosis in Mumbai (Bombay), India","container-title":"Asian Pacific journal of cancer prevention: APJCP","page":"175-182","volume":"5","issue":"2","source":"PubMed","abstract":"BACKGROUND: Oesophagus, stomach, pancreas and lung cancers contribute more than 35% of the total cancer incidence in Mumbai and survival rates for these cancers are very poor in most populations in the world. The authors here report and discuss the population-based survival from these cancers in Mumbai, India.\nMETHODS: Follow-up information on 5717 cancers patients having a low prognosis, registered in the Mumbai Population-Based Cancer Registry for the period 1987-1991, was obtained by a variety of methods, including matching with death certificates from the Mumbai vital statistics registration system, postal/telephone enquiries, home visits and scrutiny of medical records. The survival for each case was determined as the duration between the date of diagnosis and date of death, loss to follow-up or the closing date of the study at the end of 1996. Cumulative observed and relative survival rates were calculated by the Hakulinen Method. For comparison of results with other populations, age-standardized relative survival (ASRS) was calculated by directly standardizing age specific relative survival to the specific age distributions of the estimated global incidence of major cancers in 1985. The log rank test was used with univariate analysis to identify the potentially important prognostic variables. The variables showing statistical significance in univariate analysis were introduced stepwise into a Cox Regression model to identify the independent predictors of survival.\nRESULTS: The 5-year relative survival rates were 11.8% for oesophagus, 10.1% for the stomach, 4.1% for the pancreas, and 7.0% for lung. Females had higher survival rates than males, except with lung cancer. Lower survival was observed for those younger than 35 years for all 4 sites. For each site, survival declined with advancing age. Single patients who remained unmarried had better survival, except with pancreatic cancer. For all sites Muslims had a better survival and Christians had a lower survival as compared to Hindus. Education did not show any pattern for any site. Survival decreased rapidly with advancing clinical extent of disease for all sites. Survival for localized cancer ranged from 12.5% to 31.3%, for regional spread 1.3% to 3.4% and with distant metastasis not a single site recorded more than 1%. On multivariate analysis, extent of disease emerged as an independent predictor of survival with all the sites. Also, age for oesophagus, stomach and lung, religion for oesophagus and stomach, and education for stomach and lung, emerged as independent predictors of survival.\nCONCLUSION: All the sites included in the study demonstrated very low survival rates with significant variation. Comparison with other populations revealed lower survival rates than for Shanghai-China. In remaining populations, survival proportions did not show much variation for pancreas and lung cancers. For stomach cancer, European countries showed better survival rates. Early detection with treatment is clearly important to reduce the mortality from these cancers.","ISSN":"1513-7368","note":"PMID: 15244521","journalAbbreviation":"Asian Pac. J. Cancer Prev.","language":"eng","author":[{"family":"Yeole","given":"Balkrishna Bhika"},{"family":"Kumar","given":"A. Venkata Ramana"}],"issued":{"date-parts":[["2004",6]]}},"label":"page"}],"schema":"https://github.com/citation-style-language/schema/raw/master/csl-citation.json"}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[7,8]</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In a Malaysian study, 90% of the patients presented in stage III or IV.</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9on6t8UR","properties":{"formattedCitation":"[9]","plainCitation":"[9]","noteIndex":0},"citationItems":[{"id":6531,"uris":["http://zotero.org/users/2937542/items/664PVQZX"],"uri":["http://zotero.org/users/2937542/items/664PVQZX"],"itemData":{"id":6531,"type":"article-journal","title":"Late presentation of esophageal cancer: observations in a multiracial South-East Asian population","container-title":"Journal of Digestive Diseases","page":"28-33","volume":"11","issue":"1","source":"PubMed","abstract":"OBJECTIVE: Esophageal cancer (ECA) is an important cancer in Malaysia. The aim of the study is to review the demographic data and clinical presentation of patients with ECA seen at the University of Malaya Medical Centre, Kuala Lumpur.\nMETHODS: Patients with histologically proven ECA were recruited for the study. Patients' case notes, endoscopy and operating theater records were reviewed. All cases were histologically confirmed.\nRESULTS: A total of 143 patients with ECA was diagnosed between 1998 and 2003. The mean age of the patients was 63.1 +/- 12.1 years with a male : female ratio of 1.8:1. Of these 50.3 percent were Indians, 32.9 percent, Chinese and 16.8 percent Malays. The overall hospital-based prevalence rates per 100 000 admissions according to races were: Malay; 23.5, Chinese; 57.4 and Indian; 134.1. The location of the tumors was: upper; 16 (11.2%) middle; 52 (36.4%) and lower; 75 (52.4%). The histological type of ECA were: squamous cell carcinomas; 113 (79.0%) and adenocarcinomas; 30 (21.0%). The ECA stage at diagnosis, was: II; 18 (12.6%), III; 23 (16.1%) and IV; 102 (71.3%). Only 24 (16.8%) patients underwent surgery and13 (9.1%) were considered curative. Overall 114 (79.7%) patients underwent palliative endoscopic stenting and six (4.2%) were given other palliative therapy including radiotherapy.\nCONCLUSIONS: Squamous cell cancer was the predominant type. ECA presents late in our patients and only a minority of patients underwent curative surgery.","DOI":"10.1111/j.1751-2980.2009.00410.x","ISSN":"1751-2980","note":"PMID: 20132428","shortTitle":"Late presentation of esophageal cancer","journalAbbreviation":"J Dig Dis","language":"eng","author":[{"family":"Abdullah","given":"Muhammad"},{"family":"Karim","given":"Adil Abdel"},{"family":"Goh","given":"Khean-Lee"}],"issued":{"date-parts":[["2010",2]]}}}],"schema":"https://github.com/citation-style-language/schema/raw/master/csl-citation.json"}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[9]</w:t>
      </w:r>
      <w:r w:rsidR="00C561E7" w:rsidRPr="000452C6">
        <w:rPr>
          <w:rFonts w:ascii="Times New Roman" w:hAnsi="Times New Roman" w:cs="Times New Roman"/>
          <w:sz w:val="20"/>
          <w:szCs w:val="20"/>
        </w:rPr>
        <w:fldChar w:fldCharType="end"/>
      </w:r>
    </w:p>
    <w:p w:rsidR="00103666" w:rsidRPr="000452C6" w:rsidRDefault="00103666"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The late presentation of disease adds to the difficulty of treatment of EC. It leads to only supportive or palliative care. In the current series, best supportive care and palliative therapy was offered for 75 patients (27.2%). The treatment modality depends largely on fitness for definitive treatment in general and surgery in particular. In the current series, nearly 71% of patients were fit for aggressive management. Thus, direct surgical exploration without any prior therapy was possible in 96 patients (34.9%), while 66 patients (24%) received </w:t>
      </w:r>
      <w:proofErr w:type="spellStart"/>
      <w:r w:rsidRPr="000452C6">
        <w:rPr>
          <w:rFonts w:ascii="Times New Roman" w:hAnsi="Times New Roman" w:cs="Times New Roman"/>
          <w:sz w:val="20"/>
          <w:szCs w:val="20"/>
        </w:rPr>
        <w:t>neoadjuvant</w:t>
      </w:r>
      <w:proofErr w:type="spellEnd"/>
      <w:r w:rsidRPr="000452C6">
        <w:rPr>
          <w:rFonts w:ascii="Times New Roman" w:hAnsi="Times New Roman" w:cs="Times New Roman"/>
          <w:sz w:val="20"/>
          <w:szCs w:val="20"/>
        </w:rPr>
        <w:t xml:space="preserve"> therapy, then 17 patients had surgical exploration. Higher fitness and physiological reserve are required to help the patient tolerate the burdens of surgery. Determinants of </w:t>
      </w:r>
      <w:r w:rsidRPr="000452C6">
        <w:rPr>
          <w:rFonts w:ascii="Times New Roman" w:hAnsi="Times New Roman" w:cs="Times New Roman"/>
          <w:sz w:val="20"/>
          <w:szCs w:val="20"/>
        </w:rPr>
        <w:lastRenderedPageBreak/>
        <w:t>fitness are interrelated and include lung and cardiac function, body composition, inflammatory mediators, and exercise performance. Older age has was to have a negative impact on these fitness variables.</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8Ds9hxrx","properties":{"formattedCitation":"[10]","plainCitation":"[10]","noteIndex":0},"citationItems":[{"id":6538,"uris":["http://zotero.org/users/2937542/items/RAFG8XER"],"uri":["http://zotero.org/users/2937542/items/RAFG8XER"],"itemData":{"id":6538,"type":"article-journal","title":"Assessment of physical fitness for esophageal surgery, and targeting interventions to optimize outcomes","container-title":"Diseases of the Esophagus: Official Journal of the International Society for Diseases of the Esophagus","page":"529-539","volume":"23","issue":"7","source":"PubMed","abstract":"This review examines how higher levels of physiological reserve and fitness can help the patient endure the demands of esophageal surgery. Lung function, body composition, cardiac function, inflammatory mediators and exercise performance are all determinants of fitness. Physical fitness, both as an independent risk factor and through its effect on other risk factors, has been found to be significantly associated with the risk of developing postoperative pulmonary complications (PPCs) in patients following esophagectomy. Respiratory dysfunction preoperatively poses the dominant risk of developing complications, and PPCs are the most common causes of morbidity and mortality. The incidence of PPCs is between 15 and 40% with an associated 4.5-fold increase in operative mortality leading to approximately 45% of all deaths post-esophagectomy. Cardiac complications are the other principal postoperative complications, and pulmonary and cardiac complications are reported to account for up to 70% of postoperative deaths after esophagectomy. Risk reduction in patients planned for surgery is key in attaining optimal outcomes. The goal of this review was to discuss the risk factors associated with the development of postoperative pulmonary complications and how these may be modified prior to surgery with a specific focus on the pulmonary complications associated with esophageal resection. There are few studies that have examined the effect of modifying physical fitness pre-esophageal surgery. The data to date would indicate a need to develop targeted interventions preoperatively to increase physical function with the aim of decreasing postoperative complications.","DOI":"10.1111/j.1442-2050.2010.01058.x","ISSN":"1442-2050","note":"PMID: 20459443","journalAbbreviation":"Dis. Esophagus","language":"eng","author":[{"family":"Feeney","given":"C."},{"family":"Hussey","given":"J."},{"family":"Carey","given":"M."},{"family":"Reynolds","given":"J. V."}],"issued":{"date-parts":[["2010",9]]}}}],"schema":"https://github.com/citation-style-language/schema/raw/master/csl-citation.json"}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[10]</w:t>
      </w:r>
      <w:r w:rsidR="00C561E7" w:rsidRPr="000452C6">
        <w:rPr>
          <w:rFonts w:ascii="Times New Roman" w:hAnsi="Times New Roman" w:cs="Times New Roman"/>
          <w:sz w:val="20"/>
          <w:szCs w:val="20"/>
        </w:rPr>
        <w:fldChar w:fldCharType="end"/>
      </w:r>
    </w:p>
    <w:p w:rsidR="00103666" w:rsidRPr="000452C6" w:rsidRDefault="00103666"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In the current series, fitness for definitive treatment was significantly associated with ADC pathological type (p=0.031), early stage (p = 0.020) and lesions involving the GEJ compared to middle third lesions (p=0.016). </w:t>
      </w:r>
      <w:proofErr w:type="spellStart"/>
      <w:r w:rsidRPr="000452C6">
        <w:rPr>
          <w:rFonts w:ascii="Times New Roman" w:hAnsi="Times New Roman" w:cs="Times New Roman"/>
          <w:sz w:val="20"/>
          <w:szCs w:val="20"/>
        </w:rPr>
        <w:t>Transthoracic</w:t>
      </w:r>
      <w:proofErr w:type="spellEnd"/>
      <w:r w:rsidRPr="000452C6">
        <w:rPr>
          <w:rFonts w:ascii="Times New Roman" w:hAnsi="Times New Roman" w:cs="Times New Roman"/>
          <w:sz w:val="20"/>
          <w:szCs w:val="20"/>
        </w:rPr>
        <w:t xml:space="preserve"> approach was in nearly 60% of cases; while total </w:t>
      </w:r>
      <w:proofErr w:type="spellStart"/>
      <w:r w:rsidRPr="000452C6">
        <w:rPr>
          <w:rFonts w:ascii="Times New Roman" w:hAnsi="Times New Roman" w:cs="Times New Roman"/>
          <w:sz w:val="20"/>
          <w:szCs w:val="20"/>
        </w:rPr>
        <w:t>pharyngolaryngectomy</w:t>
      </w:r>
      <w:proofErr w:type="spellEnd"/>
      <w:r w:rsidRPr="000452C6">
        <w:rPr>
          <w:rFonts w:ascii="Times New Roman" w:hAnsi="Times New Roman" w:cs="Times New Roman"/>
          <w:sz w:val="20"/>
          <w:szCs w:val="20"/>
        </w:rPr>
        <w:t xml:space="preserve"> (TPL) was used in only 9 patients (10.7%), who have upper third lesions. Distal tumors (n=12) were treated through the abdominal approach.</w:t>
      </w:r>
    </w:p>
    <w:p w:rsidR="00103666" w:rsidRPr="000452C6" w:rsidRDefault="00103666"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After surgical exploration, 29/113 patients (25.7%) turned out to be inoperable. This may reflect the poor assessment of the stage by CT scan and the lack of proper assessment by the alternative simple techniques as endoscopic </w:t>
      </w:r>
      <w:proofErr w:type="spellStart"/>
      <w:r w:rsidRPr="000452C6">
        <w:rPr>
          <w:rFonts w:ascii="Times New Roman" w:hAnsi="Times New Roman" w:cs="Times New Roman"/>
          <w:sz w:val="20"/>
          <w:szCs w:val="20"/>
        </w:rPr>
        <w:t>ultrasonography</w:t>
      </w:r>
      <w:proofErr w:type="spellEnd"/>
      <w:r w:rsidRPr="000452C6">
        <w:rPr>
          <w:rFonts w:ascii="Times New Roman" w:hAnsi="Times New Roman" w:cs="Times New Roman"/>
          <w:sz w:val="20"/>
          <w:szCs w:val="20"/>
        </w:rPr>
        <w:t xml:space="preserve"> (EUS). This would save unnecessary surgery and delay to the start of neo adjuvant therapy in a large proportion of patients. Moreover, due to lack of proper assessment of the response of tumor to </w:t>
      </w:r>
      <w:proofErr w:type="spellStart"/>
      <w:r w:rsidRPr="000452C6">
        <w:rPr>
          <w:rFonts w:ascii="Times New Roman" w:hAnsi="Times New Roman" w:cs="Times New Roman"/>
          <w:sz w:val="20"/>
          <w:szCs w:val="20"/>
        </w:rPr>
        <w:t>neoadjuvant</w:t>
      </w:r>
      <w:proofErr w:type="spellEnd"/>
      <w:r w:rsidRPr="000452C6">
        <w:rPr>
          <w:rFonts w:ascii="Times New Roman" w:hAnsi="Times New Roman" w:cs="Times New Roman"/>
          <w:sz w:val="20"/>
          <w:szCs w:val="20"/>
        </w:rPr>
        <w:t xml:space="preserve"> therapy by CT scan instead of positron emission tomography (PET/CT), only 25% of patients showed regressive course and a chance for </w:t>
      </w:r>
      <w:proofErr w:type="spellStart"/>
      <w:r w:rsidRPr="000452C6">
        <w:rPr>
          <w:rFonts w:ascii="Times New Roman" w:hAnsi="Times New Roman" w:cs="Times New Roman"/>
          <w:sz w:val="20"/>
          <w:szCs w:val="20"/>
        </w:rPr>
        <w:t>resectability</w:t>
      </w:r>
      <w:proofErr w:type="spellEnd"/>
      <w:r w:rsidRPr="000452C6">
        <w:rPr>
          <w:rFonts w:ascii="Times New Roman" w:hAnsi="Times New Roman" w:cs="Times New Roman"/>
          <w:sz w:val="20"/>
          <w:szCs w:val="20"/>
        </w:rPr>
        <w:t>. Therefore, we presented the data of 84 patients who underwent surgical resection.</w:t>
      </w:r>
    </w:p>
    <w:p w:rsidR="00103666" w:rsidRPr="000452C6" w:rsidRDefault="00103666"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For proper staging, it was recommended that all patients should first undergo CT to exclude distant metastasis.</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LauvKh1e","properties":{"formattedCitation":"[11]","plainCitation":"[11]","noteIndex":0},"citationItems":[{"id":6540,"uris":["http://zotero.org/users/2937542/items/58JKPTX6"],"uri":["http://zotero.org/users/2937542/items/58JKPTX6"],"itemData":{"id":6540,"type":"article-journal","title":"Oesophageal cancer: ESMO Clinical Practice Guidelines for diagnosis, treatment and follow-up","container-title":"Annals of Oncology","page":"v50-v57","volume":"27","issue":"suppl_5","source":"academic.oup.com","abstract":"Oesophageal cancer is the 19th most common cancer in the European Union (EU), with ∼45 900 new cases diagnosed in 2012 (1% of the total). In the EU, the highest","DOI":"10.1093/annonc/mdw329","ISSN":"0923-7534","shortTitle":"Oesophageal cancer","journalAbbreviation":"Ann Oncol","language":"en","author":[{"family":"Lordick","given":"F."},{"family":"Mariette","given":"C."},{"family":"Haustermans","given":"K."},{"family":"Obermannová","given":"R."},{"family":"Arnold","given":"D."}],"issued":{"date-parts":[["2016",9,1]]}}}],"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[11]</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If metastasis is not detected, endoscopic EUS, or PET-CT can be considered. It was shown that EUS is more sensitive and specific than CT for identification of T-stage of esophageal cancer and for sampling of suspicious lymph nodes.</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GpqXnaNL","properties":{"formattedCitation":"[12,13]","plainCitation":"[12,13]","noteIndex":0},"citationItems":[{"id":6543,"uris":["http://zotero.org/users/2937542/items/GV2SYJUW"],"uri":["http://zotero.org/users/2937542/items/GV2SYJUW"],"itemData":{"id":6543,"type":"article-journal","title":"Staging accuracy of esophageal cancer by endoscopic ultrasound: a meta-analysis and systematic review","container-title":"World Journal of Gastroenterology","page":"1479-1490","volume":"14","issue":"10","source":"PubMed","abstract":"AIM: To evaluate the accuracy of endoscopic ultrasound (EUS) in the staging of esophageal cancer.\nMETHODS: Only EUS studies confirmed by surgery were selected. Articles were searched in Medline and Pubmed. Two reviewers independently searched and extracted data. Meta-analysis of the accuracy of EUS was analyzed by calculating pooled estimates of sensitivity, specificity, likelihood ratios, and diagnostic odds ratio. Pooling was conducted by both the Mantel-Haenszel method (fixed effects model) and DerSimonian Laird method (random effects model). The heterogeneity of studies was tested using Cochran's Q test based upon inverse variance weights.\nRESULTS: Forty-nine studies (n = 2558) which met the inclusion criteria were included in this analysis. Pooled sensitivity and specificity of EUS to diagnose T1 was 81.6% (95% CI: 77.8-84.9) and 99.4% (95% CI: 99.0-99.7), respectively. To diagnose T4, EUS had a pooled sensitivity of 92.4% (95% CI: 89.2-95.0) and specificity of 97.4% (95% CI: 96.6-98.0). With Fine Needle Aspiration (FNA), sensitivity of EUS to diagnose N stage improved from 84.7% (95% CI: 82.9-86.4) to 96.7% (95% CI: 92.4-98.9). The P value for the c2 test of heterogeneity for all pooled estimates was &gt; 0.10.\nCONCLUSION: EUS has excellent sensitivity and specificity in accurately diagnosing the TN stage of esophageal cancer. EUS performs better with advanced (T4) than early (T1) disease. FNA substantially improves the sensitivity and specificity of EUS in evaluating N stage disease. EUS should be strongly considered for staging esophageal cancer.","ISSN":"1007-9327","note":"PMID: 18330935\nPMCID: PMC2693739","shortTitle":"Staging accuracy of esophageal cancer by endoscopic ultrasound","journalAbbreviation":"World J. Gastroenterol.","language":"eng","author":[{"family":"Puli","given":"Srinivas-R."},{"family":"Reddy","given":"Jyotsna-Bk"},{"family":"Bechtold","given":"Matthew-L."},{"family":"Antillon","given":"Daphne"},{"family":"Ibdah","given":"Jamal-A."},{"family":"Antillon","given":"Mainor-R."}],"issued":{"date-parts":[["2008",3,14]]}},"label":"page"},{"id":6545,"uris":["http://zotero.org/users/2937542/items/VV2PFL8U"],"uri":["http://zotero.org/users/2937542/items/VV2PFL8U"],"itemData":{"id":6545,"type":"article-journal","title":"How useful is preoperative imaging for tumor, node, metastasis (TNM) staging of gastric cancer? A meta-analysis","container-title":"Gastric Cancer: Official Journal of the International Gastric Cancer Association and the Japanese Gastric Cancer Association","page":"S3-18","volume":"15 Suppl 1","source":"PubMed","abstract":"BACKGROUND: Surgery is the fundamental curative option for gastric cancer patients. Imaging scans are routinely prescribed in an attempt to stage the disease prior to surgery. Consequently, the correlation between radiology exams and pathology is crucial for appropriate treatment planning.\nMETHODS: Systematic searches were conducted using Medline, Embase, and the Cochrane Central Register of Controlled Trials from January 1, 1998 to December 1, 2009. We calculated the accuracy, overstaging rate, understaging rate, Kappa statistic, sensitivity, and specificity for abdominal ultrasound (AUS), computed tomography (CT), magnetic resonance imaging (MRI), and positron emission tomography (PET) with respect to the gold standard (pathology). We also compared the performance of CT by detector number and image type. A meta-analysis was performed.\nRESULTS: For pre-operative T staging MRI scans had better performance accuracy than CT and AUS; CT scanners using ≥ 4 detectors and multi-planar reformatted (MPR) images had higher staging performances than scanners with &lt;4 detectors and axial images only. For pre-operative N staging PET had the lowest sensitivity, but the highest specificity among modalities; CT performance did not significantly differ by detector number or addition of MPR images. For pre-operative M staging performance did not significantly differ by modality, detector number, or MPR images.\nCONCLUSIONS: The agreement between pre-operative TNM staging by imaging scans and post-operative staging by pathology is not perfect and may affect treatment decisions. Operator dependence and heterogeneity of data may account for the variations in staging performance. Physicians should consider this discrepancy when creating their treatment plans.","DOI":"10.1007/s10120-011-0069-6","ISSN":"1436-3305","note":"PMID: 21837458","shortTitle":"How useful is preoperative imaging for tumor, node, metastasis (TNM) staging of gastric cancer?","journalAbbreviation":"Gastric Cancer","language":"eng","author":[{"family":"Seevaratnam","given":"Rajini"},{"family":"Cardoso","given":"Roberta"},{"family":"McGregor","given":"Caitlin"},{"family":"Lourenco","given":"Laercio"},{"family":"Mahar","given":"Alyson"},{"family":"Sutradhar","given":"Rinku"},{"family":"Law","given":"Calvin"},{"family":"Paszat","given":"Lawrence"},{"family":"Coburn","given":"Natalie"}],"issued":{"date-parts":[["2012",9]]}},"label":"page"}],"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[12,13]</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PET-CT can detect occult metastases in about 15% of patients.</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tZDe2LD2","properties":{"formattedCitation":"[14,15]","plainCitation":"[14,15]","noteIndex":0},"citationItems":[{"id":6548,"uris":["http://zotero.org/users/2937542/items/SBB88T2Y"],"uri":["http://zotero.org/users/2937542/items/SBB88T2Y"],"itemData":{"id":6548,"type":"article-journal","title":"A prospective evaluation of the utility of 2-deoxy-2-[(18) F]fluoro-D-glucose positron emission tomography and computed tomography in staging locally advanced gastric cancer","container-title":"Cancer","page":"5481-5488","volume":"118","issue":"22","source":"PubMed","abstract":"BACKGROUND: The aim of this study was to examine prospectively the utility of adding preoperative [(18) F]fluorodeoxyglucose positron emission tomography (FDG-PET)/computed tomography (CT) to routine CT, endoscopic ultrasound (EUS), and laparoscopic staging of localized gastric cancer.\nMETHODS: Patients with locally advanced gastric/gastroesophageal cancer were screened for 2 institutional review board-approved Memorial Sloan-Kettering Cancer Center neoadjuvant chemotherapy protocols. Locally advanced disease was defined as T3 or T4, or lymph node-positive, based on EUS and high-resolution CT scan. All patients underwent both standard FDG-PET/CT and laparoscopy with cytological examination of washings. The sensitivity and specificity of FDG-PET/CT for the identification of metastatic disease not seen on CT was determined. An economic model using Medicare/Medicaid reimbursement charges was developed to assess the cost-effectiveness of these interventions.\nRESULTS: A total of 113 patients were enrolled from 2003 to 2010. All patients were assessed as having locally advanced disease by CT/EUS. FDG uptake in the primary tumor was associated with male sex, proximal tumors, and nondiffuse Lauren's subtype. 31 (27%) patients had occult metastatic disease detected by PET/CT (n = 11, 10%) and/or laparoscopy (n = 21, 19%), with a single overlap. Economic modeling suggests that the addition of FDG-PET/CT to the standard staging evaluation of patients with locally advanced gastric cancer resulted in an estimated cost savings of ∼US $13,000 per patient.\nCONCLUSIONS: FDG-PET/CT identifies occult metastatic lesions in approximately 10% of patients with locally advanced gastric cancer. Because of reduced morbidity from fewer futile surgeries and lower patient care costs, PET/CT should be considered as a component of the standard staging algorithm for localized gastric cancer.","DOI":"10.1002/cncr.27550","ISSN":"1097-0142","note":"PMID: 22549558","journalAbbreviation":"Cancer","language":"eng","author":[{"family":"Smyth","given":"Elizabeth"},{"family":"Schöder","given":"Heiko"},{"family":"Strong","given":"Vivian E."},{"family":"Capanu","given":"Marinela"},{"family":"Kelsen","given":"David P."},{"family":"Coit","given":"Daniel G."},{"family":"Shah","given":"Manish A."}],"issued":{"date-parts":[["2012",11,15]]}},"label":"page"},{"id":6550,"uris":["http://zotero.org/users/2937542/items/4YXVM8G3"],"uri":["http://zotero.org/users/2937542/items/4YXVM8G3"],"itemData":{"id":6550,"type":"article-journal","title":"Pragmatic staging of oesophageal cancer using decision theory involving selective endoscopic ultrasonography, PET and laparoscopy","container-title":"The British Journal of Surgery","page":"1488-1499","volume":"102","issue":"12","source":"PubMed","abstract":"BACKGROUND: Following CT, guidelines for staging oesophageal and gastro-oesophageal junction (GOJ) cancer recommend endoscopic ultrasonography (EUS), PET-CT and laparoscopy for T3-T4 GOJ tumours. These recommendations are based on generic utilities, but it is unclear whether the test risk outweighs the potential benefit for some patients. This study sought to quantify investigation risks, benefits and utilities, in order to develop pragmatic, personalized staging recommendations.\nMETHODS: All patients with a histological diagnosis of oesophageal or GOJ cancer staged between May 2006 and July 2013 comprised a development set; those staged from July 2013 to July 2014 formed the prospective validation set. Probability thresholds of altering management were calculated and predictive factors identified. Algorithms and models (decision tree analysis, logistic regression, artificial neural networks) were validated internally and independently.\nRESULTS: Some 953 patients were staged following CT, by [(18) F]fluorodeoxyglucose PET-CT (918), EUS (798) and laparoscopy (458). Of these patients, 829 comprised the development set (800 PET-CT, 698 EUS, 397 laparoscopy) and 124 the validation set (118 PET-CT, 100 EUS, 61 laparoscopy). EUS utility in the 71.8 per cent of patients with T2-T4a disease on CT was minimal (0.4 per cent), its risk exceeding benefit. EUS was moderately accurate for pT1 N0 disease. A number of factors predicted metastases on PET-CT and laparoscopy, although none could inform an algorithm. PET-CT altered management in 23.0 per cent, and laparoscopy in 7.1 per cent, including those with T2 and distal oesophageal tumours.\nCONCLUSION: Although EUS provided additional information on T and N category, its risk outweighed potential benefit in patients with T2-T4a disease on CT. Laparoscopy seemed justified for distal oesophageal tumours of T2 or greater.","DOI":"10.1002/bjs.9905","ISSN":"1365-2168","note":"PMID: 26458070","journalAbbreviation":"Br J Surg","language":"eng","author":[{"family":"Findlay","given":"J. M."},{"family":"Bradley","given":"K. M."},{"family":"Maile","given":"E. J."},{"family":"Braden","given":"B."},{"family":"Maw","given":"J."},{"family":"Phillips-Hughes","given":"J."},{"family":"Gillies","given":"R. S."},{"family":"Maynard","given":"N. D."},{"family":"Middleton","given":"M. R."}],"issued":{"date-parts":[["2015",11]]}},"label":"page"}],"schema":"https://github.com/citation-style-language/schema/raw/master/csl-citation.json"}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[14,15]</w:t>
      </w:r>
      <w:r w:rsidR="00C561E7" w:rsidRPr="000452C6">
        <w:rPr>
          <w:rFonts w:ascii="Times New Roman" w:hAnsi="Times New Roman" w:cs="Times New Roman"/>
          <w:sz w:val="20"/>
          <w:szCs w:val="20"/>
        </w:rPr>
        <w:fldChar w:fldCharType="end"/>
      </w:r>
    </w:p>
    <w:p w:rsidR="00103666" w:rsidRPr="000452C6" w:rsidRDefault="00103666"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Trans-thoracic approach was the most commonly used in the current series, as half of the lesions were situated in the middle third of the esophagus. </w:t>
      </w:r>
      <w:proofErr w:type="spellStart"/>
      <w:r w:rsidRPr="000452C6">
        <w:rPr>
          <w:rFonts w:ascii="Times New Roman" w:hAnsi="Times New Roman" w:cs="Times New Roman"/>
          <w:sz w:val="20"/>
          <w:szCs w:val="20"/>
        </w:rPr>
        <w:t>Transthoracic</w:t>
      </w:r>
      <w:proofErr w:type="spellEnd"/>
      <w:r w:rsidRPr="000452C6">
        <w:rPr>
          <w:rFonts w:ascii="Times New Roman" w:hAnsi="Times New Roman" w:cs="Times New Roman"/>
          <w:sz w:val="20"/>
          <w:szCs w:val="20"/>
        </w:rPr>
        <w:t xml:space="preserve"> approach was more lengthy (p = 0.032). Adequate proximal margin was achieved in significantly higher proportion of trans-</w:t>
      </w:r>
      <w:proofErr w:type="spellStart"/>
      <w:r w:rsidRPr="000452C6">
        <w:rPr>
          <w:rFonts w:ascii="Times New Roman" w:hAnsi="Times New Roman" w:cs="Times New Roman"/>
          <w:sz w:val="20"/>
          <w:szCs w:val="20"/>
        </w:rPr>
        <w:t>hiatal</w:t>
      </w:r>
      <w:proofErr w:type="spellEnd"/>
      <w:r w:rsidRPr="000452C6">
        <w:rPr>
          <w:rFonts w:ascii="Times New Roman" w:hAnsi="Times New Roman" w:cs="Times New Roman"/>
          <w:sz w:val="20"/>
          <w:szCs w:val="20"/>
        </w:rPr>
        <w:t xml:space="preserve"> approaches (p = 0.002). Adequate distal margin was achieved in significantly higher proportion of TPL approaches (p = 0.031). </w:t>
      </w:r>
      <w:r w:rsidRPr="000452C6">
        <w:rPr>
          <w:rFonts w:ascii="Times New Roman" w:eastAsia="Times New Roman" w:hAnsi="Times New Roman" w:cs="Times New Roman"/>
          <w:sz w:val="20"/>
          <w:szCs w:val="20"/>
        </w:rPr>
        <w:t xml:space="preserve">Adequate </w:t>
      </w:r>
      <w:proofErr w:type="spellStart"/>
      <w:r w:rsidRPr="000452C6">
        <w:rPr>
          <w:rFonts w:ascii="Times New Roman" w:eastAsia="Times New Roman" w:hAnsi="Times New Roman" w:cs="Times New Roman"/>
          <w:sz w:val="20"/>
          <w:szCs w:val="20"/>
        </w:rPr>
        <w:t>Lymphadenectomy</w:t>
      </w:r>
      <w:proofErr w:type="spellEnd"/>
      <w:r w:rsidRPr="000452C6">
        <w:rPr>
          <w:rFonts w:ascii="Times New Roman" w:eastAsia="Times New Roman" w:hAnsi="Times New Roman" w:cs="Times New Roman"/>
          <w:sz w:val="20"/>
          <w:szCs w:val="20"/>
        </w:rPr>
        <w:t xml:space="preserve"> was significantly more in TPL approach but the difference was not statistically significant (p = 0.082). Generally, in-hospital mortality and surgical complications were comparable relative to the type of surgical approach.</w:t>
      </w:r>
    </w:p>
    <w:p w:rsidR="00103666" w:rsidRPr="000452C6" w:rsidRDefault="00103666"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In the current series, in-hospital mortality rate after </w:t>
      </w:r>
      <w:proofErr w:type="spellStart"/>
      <w:r w:rsidRPr="000452C6">
        <w:rPr>
          <w:rFonts w:ascii="Times New Roman" w:hAnsi="Times New Roman" w:cs="Times New Roman"/>
          <w:sz w:val="20"/>
          <w:szCs w:val="20"/>
        </w:rPr>
        <w:t>esophagectomy</w:t>
      </w:r>
      <w:proofErr w:type="spellEnd"/>
      <w:r w:rsidRPr="000452C6">
        <w:rPr>
          <w:rFonts w:ascii="Times New Roman" w:hAnsi="Times New Roman" w:cs="Times New Roman"/>
          <w:sz w:val="20"/>
          <w:szCs w:val="20"/>
        </w:rPr>
        <w:t xml:space="preserve"> was about 20% and morbidity rate was 65%. These figures are considerably high than what is reported in comparable high-volume centers. Other centers reported mortality rates of 10% </w:t>
      </w:r>
      <w:r w:rsidR="00C561E7" w:rsidRPr="000452C6">
        <w:rPr>
          <w:rFonts w:ascii="Times New Roman" w:hAnsi="Times New Roman" w:cs="Times New Roman"/>
          <w:sz w:val="20"/>
          <w:szCs w:val="20"/>
        </w:rPr>
        <w:lastRenderedPageBreak/>
        <w:fldChar w:fldCharType="begin"/>
      </w:r>
      <w:r w:rsidRPr="000452C6">
        <w:rPr>
          <w:rFonts w:ascii="Times New Roman" w:hAnsi="Times New Roman" w:cs="Times New Roman"/>
          <w:sz w:val="20"/>
          <w:szCs w:val="20"/>
        </w:rPr>
        <w:instrText xml:space="preserve"> ADDIN ZOTERO_ITEM CSL_CITATION {"citationID":"Hv6Uezul","properties":{"formattedCitation":"[16]","plainCitation":"[16]","noteIndex":0},"citationItems":[{"id":7148,"uris":["http://zotero.org/users/2937542/items/8VAYCU6N"],"uri":["http://zotero.org/users/2937542/items/8VAYCU6N"],"itemData":{"id":7148,"type":"article-journal","title":"Surgical mortality in patients with esophageal cancer: development and validation of a simple risk score","container-title":"Journal of Clinical Oncology: Official Journal of the American Society of Clinical Oncology","page":"4277-4284","volume":"24","issue":"26","source":"PubMed","abstract":"PURPOSE: Surgery has curative potential in a proportion of patients with esophageal cancer, but is associated with considerable perioperative risks. We aimed to develop and validate a simple risk score for surgical mortality that could be applied to administrative data.\nPATIENTS AND METHODS: We analyzed 3,592 esophagectomy patients from four cohorts. We applied logistic regression analysis to predict mortality occurring within 30 days after esophagectomy for 1,327 esophageal cancer patients older than 65 years of age, diagnosed between 1991 and 1996 in the linked Surveillance, Epidemiology and End Results (SEER)--Medicare database. A simple score chart for preoperative risk assessment of surgical mortality was developed and validated on three other cohorts, including 714 SEER-Medicare patients diagnosed between 1997 and 1999, 349 patients from a population-based registry in the Netherlands diagnosed between 1993 and 2001, and 1,202 patients from a referral hospital in the Netherlands diagnosed between 1980 and 2002.\nRESULTS: Surgical mortality in the four cohorts was 11% (147 of 1,327), 10% (74 of 714), 7% (25 of 349), and 4% (45 of 1,202), respectively. Predictive patient characteristics included age, comorbidity (cardiac, pulmonary, renal, hepatic, and diabetes), preoperative radiotherapy or combined chemoradiotherapy, and a relatively low hospital volume. At validation, the simple score showed good agreement of predicted risks with observed mortality rates (calibration), but low discrimination (area under the receiver operating characteristic curve 0.58 to 0.66).\nCONCLUSION: A simple risk score combining clinical characteristics along with hospital volume to predict surgical mortality after esophagectomy from administrative data may form a basis for risk adjustment in quality of care assessment.","DOI":"10.1200/JCO.2005.05.0658","ISSN":"1527-7755","note":"PMID: 16963730","shortTitle":"Surgical mortality in patients with esophageal cancer","journalAbbreviation":"J. Clin. Oncol.","language":"eng","author":[{"family":"Steyerberg","given":"Ewout W."},{"family":"Neville","given":"Bridget A."},{"family":"Koppert","given":"Linetta B."},{"family":"Lemmens","given":"Valery E. P. P."},{"family":"Tilanus","given":"Hugo W."},{"family":"Coebergh","given":"Jan-Willem W."},{"family":"Weeks","given":"Jane C."},{"family":"Earle","given":"Craig C."}],"issued":{"date-parts":[["2006",9,10]]}}}],"schema":"https://github.com/citation-style-language/schema/raw/master/csl-citation.json"}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[16]</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to 14% </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HxNnUyJi","properties":{"formattedCitation":"[17]","plainCitation":"[17]","noteIndex":0},"citationItems":[{"id":7146,"uris":["http://zotero.org/users/2937542/items/6CZ6WWPM"],"uri":["http://zotero.org/users/2937542/items/6CZ6WWPM"],"itemData":{"id":7146,"type":"article-journal","title":"Postoperative mortality after esophagectomy for cancer: development of a preoperative risk prediction model","container-title":"Annals of Surgical Oncology","page":"1577-1584","volume":"15","issue":"6","source":"PubMed","abstract":"BACKGROUND: Surgical resection for the treatment of esophageal cancer remains a high-risk procedure. To develop a model to predict risk of postoperative death, we sought to identify factors associated with postoperative mortality for Medicare patients undergoing esophagectomy for cancer.\nMETHODS: We evaluated patients in the Surveillance, Epidemiology, and End Results Program (SEER)-Medicare database who underwent esophagectomy for esophageal cancer from 1997 to 2003. Variables evaluated were patient age, race, marital status, sex, tumor stage, Charlson score, and hospital volume. Hospital volume was evaluated in tertiles of even volume groups (low, &lt; .67 cases a year; medium, .68 to 2.33 cases a year; high, &gt; 2.33 cases a year). The primary outcome measure was postoperative mortality, defined as death within 30 days of esophagectomy or death during the hospitalization in which the primary surgical procedure was performed. In-hospital deaths more than 30 days after esophagectomy were included in the outcomes to more accurately estimate the true mortality of this procedure. Multivariable logistic regression analyses were performed to evaluate the relationship between patient and provider characteristics and postoperative mortality. Finally, characteristics identified by the regression analysis were used to generate a simplified, clinically applicable model predicting risk of postoperative mortality in the Medicare population.\nRESULTS: A total of 1172 patients underwent esophageal cancer surgery during this study period. Overall postoperative mortality was 14%. Multivariable logistic regression demonstrated that age, Charlson score, and hospital volume were statistically significant predictors of postoperative mortality. The other variables such as race, martial status, sex, and disease stage were not found to be significant. The odds of postoperative mortality at low-volume hospitals were almost twice those at a high-volume hospital. Age greater than 80 increased odds of mortality almost twofold. Similarly, Charlson scores of &gt; or = 2 resulted in more than a 1.5-fold risk of postoperative mortality. Our prediction model using these variables accurately stratified postoperative mortality for this population.\nCONCLUSIONS: Postoperative mortality (30-day and in-hospital) remains high after esophagectomy. Age, Charlson score, and hospital volume were identified as independent predictors of postoperative mortality. A simple risk prediction model that uses preoperative clinical data accurately predicted patient postoperative mortality for this SEER-Medicare population.","DOI":"10.1245/s10434-008-9867-4","ISSN":"1534-4681","note":"PMID: 18379852","shortTitle":"Postoperative mortality after esophagectomy for cancer","journalAbbreviation":"Ann. Surg. Oncol.","language":"eng","author":[{"family":"Ra","given":"Jin"},{"family":"Paulson","given":"E. Carter"},{"family":"Kucharczuk","given":"John"},{"family":"Armstrong","given":"Katrina"},{"family":"Wirtalla","given":"Christopher"},{"family":"Rapaport-Kelz","given":"Rachel"},{"family":"Kaiser","given":"Larry R."},{"family":"Spitz","given":"Francis R."}],"issued":{"date-parts":[["2008",6]]}}}],"schema":"https://github.com/citation-style-language/schema/raw/master/csl-citation.json"}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[17]</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There was no clear association between in-hospital mortality rate and the risk factors including age, site of lesion, stage and presence of associated morbidities. Previous studies found that age increased30-day mortality rate from 10.7% for patients 65-69 years old to more than 20% for those older than 80 years.</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KuIsCsKu","properties":{"formattedCitation":"[18]","plainCitation":"[18]","noteIndex":0},"citationItems":[{"id":7150,"uris":["http://zotero.org/users/2937542/items/U3GUT93S"],"uri":["http://zotero.org/users/2937542/items/U3GUT93S"],"itemData":{"id":7150,"type":"article-journal","title":"Operative mortality with elective surgery in older adults","container-title":"Effective clinical practice: ECP","page":"172-177","volume":"4","issue":"4","source":"PubMed","abstract":"CONTEXT: For patients considering elective major surgery, information about operative mortality risks is essential for careful decision making. Because available information is often limited to educated guesses or optimistic data from case series, we examined surgical mortality by using nationwide data.\nPRACTICE PATTERN EXAMINED: Operative mortality in 1.2 million patients in the Medicare system who were hospitalized between 1994 and 1999 for major elective surgery (six cardiovascular procedures and eight major cancer resections).\nDATA SOURCE: MEDPAR file of the National Medicare claims database for patients 65 years of age and older.\nOUTCOMES: Operative mortality, defined as death within 30 days of the operation or death before discharge.\nRESULTS: Overall operative mortality varied widely according to procedure. Procedures associated with relatively low mortality risk included carotid endarterectomy (1.3%) and nephrectomy (2.3%). Overall mortality was greater than 10% for other procedures, such as mitral valve replacement (10.5%), esophagectomy (13.6%), and pneumonectomy (13.7%). In general, mortality risk increased with age. Operative mortality for patients 80 years of age and older was more than twice that for patients 65 to 69 years of age.\nCONCLUSION: Population-based operative mortality for major surgery varies by procedure and patient age and is considerably higher than that typically reported in case series and trials.","ISSN":"1099-8128","note":"PMID: 11525104","journalAbbreviation":"Eff Clin Pract","language":"eng","author":[{"family":"Finlayson","given":"E. V."},{"family":"Birkmeyer","given":"J. D."}],"issued":{"date-parts":[["2001",8]]}}}],"schema":"https://github.com/citation-style-language/schema/raw/master/csl-citation.json"}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[18]</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In the current cases, patients above 60 years were only 19% of those who had </w:t>
      </w:r>
      <w:proofErr w:type="spellStart"/>
      <w:r w:rsidRPr="000452C6">
        <w:rPr>
          <w:rFonts w:ascii="Times New Roman" w:hAnsi="Times New Roman" w:cs="Times New Roman"/>
          <w:sz w:val="20"/>
          <w:szCs w:val="20"/>
        </w:rPr>
        <w:t>esophagectomy</w:t>
      </w:r>
      <w:proofErr w:type="spellEnd"/>
      <w:r w:rsidRPr="000452C6">
        <w:rPr>
          <w:rFonts w:ascii="Times New Roman" w:hAnsi="Times New Roman" w:cs="Times New Roman"/>
          <w:sz w:val="20"/>
          <w:szCs w:val="20"/>
        </w:rPr>
        <w:t>.</w:t>
      </w:r>
    </w:p>
    <w:p w:rsidR="00103666" w:rsidRPr="000452C6" w:rsidRDefault="00103666" w:rsidP="00FE79B6">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Postoperative pulmonary complications were recorded in about 35% of cases in the current series. Previous studies reported rates of postoperative pulmonary complications 16%.</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zi8pyqwi","properties":{"formattedCitation":"[19]","plainCitation":"[19]","noteIndex":0},"citationItems":[{"id":7152,"uris":["http://zotero.org/users/2937542/items/4K2J8XSC"],"uri":["http://zotero.org/users/2937542/items/4K2J8XSC"],"itemData":{"id":7152,"type":"article-journal","title":"Preoperative prediction of the risk of pulmonary complications after esophagectomy for cancer","container-title":"The Journal of Thoracic and Cardiovascular Surgery","page":"661-669","volume":"123","issue":"4","source":"PubMed","abstract":"OBJECTIVES: Pulmonary complication is a frequent morbid event after esophagectomy for cancer. Its prediction may help select patients for preoperative rehabilitation.\nMETHODS: We performed a retrospective review of 292 patients (231 men and 61 women; mean age, 60.1 years) who underwent esophagectomy for cancer between 1980 and 2000. Data were analyzed to identify factors associated with the development of pulmonary complications (reintubation for isolated respiratory failure and pneumonia). A scoring system was developed, and its ability to predict complications was assessed.\nRESULTS: Resection was performed for squamous cancer (n = 100), adenocarcinoma (n = 186), and other histologic types (n = 6) in patients with stages 0 or I (n = 53), II (n = 94), III (n = 114), and IV (n = 23) disease. Pulmonary complications, which developed in 78 (27%) patients, were associated with a 4.5-fold increase in operative mortality (7%-32%). Multivariable analysis identified independent predictors of pulmonary complications to be patient age (odds ratio [OR], 1.31; 95% confidence interval [CI], 0.99-1.74; P =.059), percentage forced expiratory volume in 1 second (OR, 1.21; 95% CI, 1.07-1.38; P =.003), and possibly performance status (OR, 1.48; 95% CI, 0.88-2.50; P =.14). A scoring system using these 3 covariates was developed, which predicted incremental risk of pulmonary complications (P =.013). The incremental risks of cardiovascular and overall cardiopulmonary complications were also predicted with this scoring system (P &lt;.01 for each).\nCONCLUSIONS: A scoring system using patient age, spirometry, and performance status helps predict the likelihood of pulmonary and cardiovascular complications after esophagectomy and can help select patients who may benefit from preoperative cardiopulmonary rehabilitation.","ISSN":"0022-5223","note":"PMID: 11986593","journalAbbreviation":"J. Thorac. Cardiovasc. Surg.","language":"eng","author":[{"family":"Ferguson","given":"Mark K."},{"family":"Durkin","given":"Amy E."}],"issued":{"date-parts":[["2002",4]]}}}],"schema":"https://github.com/citation-style-language/schema/raw/master/csl-citation.json"}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[19]</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Pulmonary complications have been designated as the most common cause of post-</w:t>
      </w:r>
      <w:proofErr w:type="spellStart"/>
      <w:r w:rsidRPr="000452C6">
        <w:rPr>
          <w:rFonts w:ascii="Times New Roman" w:hAnsi="Times New Roman" w:cs="Times New Roman"/>
          <w:sz w:val="20"/>
          <w:szCs w:val="20"/>
        </w:rPr>
        <w:t>esophagectomy</w:t>
      </w:r>
      <w:proofErr w:type="spellEnd"/>
      <w:r w:rsidRPr="000452C6">
        <w:rPr>
          <w:rFonts w:ascii="Times New Roman" w:hAnsi="Times New Roman" w:cs="Times New Roman"/>
          <w:sz w:val="20"/>
          <w:szCs w:val="20"/>
        </w:rPr>
        <w:t xml:space="preserve"> deaths.</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mewgnIHQ","properties":{"formattedCitation":"[20]","plainCitation":"[20]","noteIndex":0},"citationItems":[{"id":7154,"uris":["http://zotero.org/users/2937542/items/ZZPICNEF"],"uri":["http://zotero.org/users/2937542/items/ZZPICNEF"],"itemData":{"id":7154,"type":"article-journal","title":"An analysis of the factors contributing to a reduction in the incidence of pulmonary complications following an esophagectomy for esophageal cancer","container-title":"Langenbeck's Archives of Surgery","page":"127-133","volume":"393","issue":"2","source":"PubMed","abstract":"BACKGROUND: Pulmonary complications occur most frequently following a transthoracic esophagectomy for esophageal cancer and would get to be lethal occasionally. In this study, we sought to determine the effect of respiratory physiotherapy, corticosteroid administration, and the use of the video-assisted thoracoscopic (VATS) esophagectomy with a small thoracotomy incision, on the incidence of pulmonary complications following a transthoracic subtotal esophagectomy.\nMATERIALS AND METHODS: Approximately 184 patients who had undergone a right transthoracic subtotal esophagectomy for squamous cell carcinoma of the thoracic esophagus were studied. To reduce the incidence of pulmonary complications, we performed clinical trials using respiratory physiotherapy, corticosteroid administration, and the VATS-esophagectomy surgical technique.\nRESULTS: The independent risk factors for pulmonary complications in the multivariate logistic regression analysis were not administering corticosteroids, blood loss greater than 630 ml, and not providing respiratory physiotherapy. In addition, the use of a small surgical incision, less than 10 cm, for the thoracotomy had no effect on the prevention of pulmonary complications.\nCONCLUSIONS: We concluded that patients with thoracic esophageal cancer could undergo a three-field dissection in comparative safety if the patients were provided with corticosteroid medication in the perioperative period, if the patients received sufficient respiratory physiotherapy, and if surgical blood loss was reduced.","DOI":"10.1007/s00423-007-0253-7","ISSN":"1435-2451","note":"PMID: 18071746","journalAbbreviation":"Langenbecks Arch Surg","language":"eng","author":[{"family":"Nakamura","given":"Masaki"},{"family":"Iwahashi","given":"Makoto"},{"family":"Nakamori","given":"Mikihito"},{"family":"Ishida","given":"Koichiro"},{"family":"Naka","given":"Teiji"},{"family":"Iida","given":"Takeshi"},{"family":"Katsuda","given":"Masahiro"},{"family":"Tsuji","given":"Toshiaki"},{"family":"Nakatani","given":"Yoshihiro"},{"family":"Yamaue","given":"Hiroki"}],"issued":{"date-parts":[["2008",3]]}}}],"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[20]</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Pulmonary complications leads to between 45.5% and 55% of all deaths </w:t>
      </w:r>
      <w:proofErr w:type="spellStart"/>
      <w:r w:rsidRPr="000452C6">
        <w:rPr>
          <w:rFonts w:ascii="Times New Roman" w:hAnsi="Times New Roman" w:cs="Times New Roman"/>
          <w:sz w:val="20"/>
          <w:szCs w:val="20"/>
        </w:rPr>
        <w:t>postesophagectomy</w:t>
      </w:r>
      <w:proofErr w:type="spellEnd"/>
      <w:r w:rsidRPr="000452C6">
        <w:rPr>
          <w:rFonts w:ascii="Times New Roman" w:hAnsi="Times New Roman" w:cs="Times New Roman"/>
          <w:sz w:val="20"/>
          <w:szCs w:val="20"/>
        </w:rPr>
        <w:t>.</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A3ocSvKl","properties":{"formattedCitation":"[21,22]","plainCitation":"[21,22]","noteIndex":0},"citationItems":[{"id":7158,"uris":["http://zotero.org/users/2937542/items/QDGQW63C"],"uri":["http://zotero.org/users/2937542/items/QDGQW63C"],"itemData":{"id":7158,"type":"article-journal","title":"Predictive factors for postoperative pulmonary complications and mortality after esophagectomy for cancer","container-title":"Annals of Surgery","page":"791-800","volume":"240","issue":"5","source":"PubMed","abstract":"OBJECTIVE: This study aimed at: (1) documenting the evolution of surgical results of esophagectomy in a high-volume center, (2) identifying predictive factors of pulmonary complications and mortality, and (3) examining whether preoperative chemoradiation therapy would complicate postoperative recovery.\nSUMMARY BACKGROUND DATA: Pulmonary complications and mortality rate after esophagectomy remain substantial, and factors responsible have not been adequately studied. Neoadjuvant chemoradiation is widely used; it is hypothesized that this may lead to adverse postoperative outcome.\nMETHODS: Prospectively collected data were used to analyze outcome in 421 patients with intrathoracic squamous cell esophageal cancer who underwent resection. Logistic regression analyses determined independent predictors of pulmonary complications and death. Two time periods were compared: period I (January 1990 to June 1995) and period II (July 1995 to December 2001). In the later period, neoadjuvant chemoradiation therapy was introduced.\nRESULTS: Transthoracic resections were carried out in 83% of patients. Neoadjuvant chemoradiation was given to 42% of patients in period II. Major pulmonary complications occurred in 15.9%, and were primarily responsible for 55% of hospital deaths. Thirty-day and hospital mortality rates were 1.4% and 4.8%, respectively. Logistic regression analysis identified age, operation duration, and proximal tumor location as risk factors for pulmonary complications, whereas advanced age and higher blood loss were predictive of mortality. Chemoradiation did not lead to worse outcome. When period I and II were compared, hospital mortality rate reduced from 7.8% to 1.1%, P = 0.001, with correspondingly less blood loss (median blood loss was 700 ml (range: 200-2700 (period I) and 450 ml (range: 100-7000) (period II), P &lt; 0.01).\nCONCLUSION: A 1.1% mortality rate was achieved in the last 6 years of the study period. Preoperative chemoradiation did not result in worse outcome. Reduction in mortality rate correlated with decreased blood loss.","ISSN":"0003-4932","note":"PMID: 15492560\nPMCID: PMC1356484","journalAbbreviation":"Ann. Surg.","language":"eng","author":[{"family":"Law","given":"Simon"},{"family":"Wong","given":"Kam-Ho"},{"family":"Kwok","given":"Ka-Fai"},{"family":"Chu","given":"Kent-Man"},{"family":"Wong","given":"John"}],"issued":{"date-parts":[["2004",11]]}},"label":"page"},{"id":7156,"uris":["http://zotero.org/users/2937542/items/DI298U6G"],"uri":["http://zotero.org/users/2937542/items/DI298U6G"],"itemData":{"id":7156,"type":"article-journal","title":"Analysis of reduced death and complication rates after esophageal resection","container-title":"Annals of Surgery","page":"338-344","volume":"233","issue":"3","source":"PubMed","abstract":"OBJECTIVE: To identify factors that have contributed to reduced rates of death and complications after esophageal resection in a 17-year period at a tertiary referral center.\nSUMMARY BACKGROUND DATA: There has been an evolving refinement in surgical technique and perioperative management of patients undergoing esophageal resection at Queen Mary Hospital during the past two decades. As of the end of 1998, there had been no hospital deaths among the last 105 consecutive resections performed for esophageal squamous cancer.\nMETHODS: The results of esophageal resection for squamous cell carcinoma were analyzed using a prospective esophageal database. A longitudinal study was performed to compare and analyze rates of death and complications for three consecutive time periods.\nRESULTS: The study group comprised 710 patients who underwent one-stage esophageal resection between 1982 and 1998. A transthoracic esophagectomy was the preferred approach in 590 patients (83%). The overall hospital death rate was 11%. The leading causes of hospital death were pulmonary complications (45.5%) and progression of malignant disease (21.5%); anastomotic leakage accounted for 9% of deaths. During the study period, the hospital death rate decreased from 16% to 3.2%, and the incidence of postoperative respiratory failure decreased from 15.5% to 6.5%. Perioperative factors that correlated with the decreased death rate over time were the increased postoperative use of epidural analgesia and bronchoscopy (for clearance of pulmonary secretions), a decrease in history of smoking, and a decrease in surgical blood loss of more than 1,000 mL.\nCONCLUSIONS: In this series of predominantly transthoracic esophagectomies, there has been a decline in the hospital death rate to less than 5%. These results are largely attributable to factors aimed at reducing postoperative pulmonary complications.","ISSN":"0003-4932","note":"PMID: 11224620\nPMCID: PMC1421248","journalAbbreviation":"Ann. Surg.","language":"eng","author":[{"family":"Whooley","given":"B. P."},{"family":"Law","given":"S."},{"family":"Murthy","given":"S. C."},{"family":"Alexandrou","given":"A."},{"family":"Wong","given":"J."}],"issued":{"date-parts":[["2001",3]]}},"label":"page"}],"schema":"https://github.com/citation-style-language/schema/raw/master/csl-citation.json"}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[21,22]</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Postoperative pneumonia in the current series was responsible for 10 out of the 17 in-hospital deaths; i.e. 59%.</w:t>
      </w:r>
    </w:p>
    <w:p w:rsidR="00103666" w:rsidRPr="000452C6" w:rsidRDefault="00103666" w:rsidP="00FE79B6">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One-year cumulative overall survival in the current series was 56.7% among the 84 patients who had surgical resection. Development of postoperative morbidity, lymph node involvement, and inadequate </w:t>
      </w:r>
      <w:proofErr w:type="spellStart"/>
      <w:r w:rsidRPr="000452C6">
        <w:rPr>
          <w:rFonts w:ascii="Times New Roman" w:hAnsi="Times New Roman" w:cs="Times New Roman"/>
          <w:sz w:val="20"/>
          <w:szCs w:val="20"/>
        </w:rPr>
        <w:t>lymphadenectomy</w:t>
      </w:r>
      <w:proofErr w:type="spellEnd"/>
      <w:r w:rsidRPr="000452C6">
        <w:rPr>
          <w:rFonts w:ascii="Times New Roman" w:hAnsi="Times New Roman" w:cs="Times New Roman"/>
          <w:sz w:val="20"/>
          <w:szCs w:val="20"/>
        </w:rPr>
        <w:t xml:space="preserve"> were independently associated with worse overall survival. Surgical resection is the mainstay of treatment in esophageal cancer so long as the patient is in a good medical condition. It is supposed to improve long-term survival.</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BzRI4bD6","properties":{"formattedCitation":"[23]","plainCitation":"[23]","noteIndex":0},"citationItems":[{"id":7160,"uris":["http://zotero.org/users/2937542/items/7ME9Y27I"],"uri":["http://zotero.org/users/2937542/items/7ME9Y27I"],"itemData":{"id":7160,"type":"article-journal","title":"Optimal therapy for oesophageal cancer","container-title":"Cancer Treatment Reviews","page":"275-282","volume":"29","issue":"4","source":"PubMed","abstract":"Oesophageal carcinoma is one of the commonest cancers in the world and has an increasing incidence in Western civilisation. As the epidemiology of the disease has changed so too has our treatment strategies. The present standard of care is surgery but this is associated with disappointing survival figures. The role of chemotherapy and radiation is now established in inoperable disease. How best to deliver these modes of therapy has yet to be defined. Extrapolation of data from previous trials is difficult as these trials have many deficiencies and do not account for recent advances in therapeutics or techniques of delivery. The role of chemo-radiotherapy in operable disease is even more controversial. A number of prospective randomised trials of trimodality therapy versus surgery alone suggests a benefit for multimodal therapy. These trials also reveal evidence to support the use of chemo-radiotherapy alone in a subset of patients with resectable disease. The appropriate application of these varied therapeutic interventions remains unanswered. Further progress in diagnostic techniques and predictive markers may allow us to stratify patients into different treatment groups. Continued investigation is required to keep pace with the evolution of oesophageal cancer and its therapy. This will facilitate a better understanding of the disease and optimise the treatment offered to patients.","ISSN":"0305-7372","note":"PMID: 12927567","journalAbbreviation":"Cancer Treat. Rev.","language":"eng","author":[{"family":"Leonard","given":"Gregory D."},{"family":"McCaffrey","given":"John A."},{"family":"Maher","given":"Michael"}],"issued":{"date-parts":[["2003",8]]}}}],"schema":"https://github.com/citation-style-language/schema/raw/master/csl-citation.json"}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[23]</w:t>
      </w:r>
      <w:r w:rsidR="00C561E7" w:rsidRPr="000452C6">
        <w:rPr>
          <w:rFonts w:ascii="Times New Roman" w:hAnsi="Times New Roman" w:cs="Times New Roman"/>
          <w:sz w:val="20"/>
          <w:szCs w:val="20"/>
        </w:rPr>
        <w:fldChar w:fldCharType="end"/>
      </w:r>
      <w:r w:rsidRPr="000452C6">
        <w:rPr>
          <w:rFonts w:ascii="Times New Roman" w:hAnsi="Times New Roman" w:cs="Times New Roman"/>
          <w:sz w:val="20"/>
          <w:szCs w:val="20"/>
        </w:rPr>
        <w:t xml:space="preserve"> However, survival in these cases is always disappointing with less than 25% of patients surviving at 5 years after </w:t>
      </w:r>
      <w:proofErr w:type="spellStart"/>
      <w:r w:rsidRPr="000452C6">
        <w:rPr>
          <w:rFonts w:ascii="Times New Roman" w:hAnsi="Times New Roman" w:cs="Times New Roman"/>
          <w:sz w:val="20"/>
          <w:szCs w:val="20"/>
        </w:rPr>
        <w:t>esophagectomy</w:t>
      </w:r>
      <w:proofErr w:type="spellEnd"/>
      <w:r w:rsidRPr="000452C6">
        <w:rPr>
          <w:rFonts w:ascii="Times New Roman" w:hAnsi="Times New Roman" w:cs="Times New Roman"/>
          <w:sz w:val="20"/>
          <w:szCs w:val="20"/>
        </w:rPr>
        <w:t>.</w:t>
      </w:r>
      <w:r w:rsidR="00C561E7" w:rsidRPr="000452C6">
        <w:rPr>
          <w:rFonts w:ascii="Times New Roman" w:hAnsi="Times New Roman" w:cs="Times New Roman"/>
          <w:sz w:val="20"/>
          <w:szCs w:val="20"/>
        </w:rPr>
        <w:fldChar w:fldCharType="begin"/>
      </w:r>
      <w:r w:rsidRPr="000452C6">
        <w:rPr>
          <w:rFonts w:ascii="Times New Roman" w:hAnsi="Times New Roman" w:cs="Times New Roman"/>
          <w:sz w:val="20"/>
          <w:szCs w:val="20"/>
        </w:rPr>
        <w:instrText xml:space="preserve"> ADDIN ZOTERO_ITEM CSL_CITATION {"citationID":"j1TlNxjp","properties":{"formattedCitation":"[24]","plainCitation":"[24]","noteIndex":0},"citationItems":[{"id":7162,"uris":["http://zotero.org/users/2937542/items/M77TNLCK"],"uri":["http://zotero.org/users/2937542/items/M77TNLCK"],"itemData":{"id":7162,"type":"article-journal","title":"The role of surgery in the management of oesophageal cancer","container-title":"The Lancet. Oncology","page":"481-488","volume":"4","issue":"8","source":"PubMed","abstract":"In the absence of medical contraindications to surgery, resection is the mainstay of treatment for localised oesophageal cancer. Advancements in preoperative staging and imaging, anaesthesia delivery, surgical technique, and postoperative care, now enable the surgeon to safely operate on patients with oesophageal tumours and to tailor the procedure on the basis of performance status, tumour location, and extent of disease. During the past 10 years, several \"minimally invasive\" techniques, which aim to limit the extent of resection, have been introduced; these procedures are currently being investigated for use in both staging and treatment of oesophageal malignant diseases. Despite these accomplishments however, overall 5-year survival remains disappointing: less than 25% of patients live for 5 years after oesophagectomy. For patients with locally or regionally advanced disease (stage IIa, IIb, III, and IVa), combining several treatment approaches, either with or without surgery, can result in good objective responses and, in some patients, durable survival. The role of surgery in such combined modality approaches is still evolving and some investigators have challenged its worth. To provide a definitive review of the issues involved, we outline the types of surgery used to treat cancer of the oesophagus and summarise the available data about their effectiveness. Clinical outcomes, the value of preoperative chemoradiotherapy, and the use of surgery are all considered.","ISSN":"1470-2045","note":"PMID: 12901962","journalAbbreviation":"Lancet Oncol.","language":"eng","author":[{"family":"Wu","given":"Peter C."},{"family":"Posner","given":"Mitchell C."}],"issued":{"date-parts":[["2003",8]]}}}],"schema":"https://github.com/citation-style-language/schema/raw/master/csl-citation.json"} </w:instrText>
      </w:r>
      <w:r w:rsidR="00C561E7" w:rsidRPr="000452C6">
        <w:rPr>
          <w:rFonts w:ascii="Times New Roman" w:hAnsi="Times New Roman" w:cs="Times New Roman"/>
          <w:sz w:val="20"/>
          <w:szCs w:val="20"/>
        </w:rPr>
        <w:fldChar w:fldCharType="separate"/>
      </w:r>
      <w:r w:rsidRPr="000452C6">
        <w:rPr>
          <w:rFonts w:ascii="Times New Roman" w:hAnsi="Times New Roman" w:cs="Times New Roman"/>
          <w:sz w:val="20"/>
          <w:szCs w:val="20"/>
        </w:rPr>
        <w:t>[24]</w:t>
      </w:r>
      <w:r w:rsidR="00C561E7" w:rsidRPr="000452C6">
        <w:rPr>
          <w:rFonts w:ascii="Times New Roman" w:hAnsi="Times New Roman" w:cs="Times New Roman"/>
          <w:sz w:val="20"/>
          <w:szCs w:val="20"/>
        </w:rPr>
        <w:fldChar w:fldCharType="end"/>
      </w:r>
    </w:p>
    <w:p w:rsidR="00A233E8" w:rsidRPr="000452C6" w:rsidRDefault="00A233E8" w:rsidP="00FE79B6">
      <w:pPr>
        <w:snapToGrid w:val="0"/>
        <w:spacing w:after="0" w:line="240" w:lineRule="auto"/>
        <w:ind w:firstLine="425"/>
        <w:jc w:val="both"/>
        <w:rPr>
          <w:rFonts w:ascii="Times New Roman" w:hAnsi="Times New Roman" w:cs="Times New Roman"/>
          <w:sz w:val="20"/>
          <w:szCs w:val="20"/>
        </w:rPr>
      </w:pPr>
      <w:r w:rsidRPr="000452C6">
        <w:rPr>
          <w:rFonts w:ascii="Times New Roman" w:hAnsi="Times New Roman" w:cs="Times New Roman"/>
          <w:sz w:val="20"/>
          <w:szCs w:val="20"/>
        </w:rPr>
        <w:t xml:space="preserve">In conclusion, definitive surgical management was possible in only 30% of patients presenting with esophageal cancer to the NCI during a 7-year period ended in 2015. All cases with operated upon using open techniques, mainly through the </w:t>
      </w:r>
      <w:proofErr w:type="spellStart"/>
      <w:r w:rsidRPr="000452C6">
        <w:rPr>
          <w:rFonts w:ascii="Times New Roman" w:hAnsi="Times New Roman" w:cs="Times New Roman"/>
          <w:sz w:val="20"/>
          <w:szCs w:val="20"/>
        </w:rPr>
        <w:t>transthoracic</w:t>
      </w:r>
      <w:proofErr w:type="spellEnd"/>
      <w:r w:rsidRPr="000452C6">
        <w:rPr>
          <w:rFonts w:ascii="Times New Roman" w:hAnsi="Times New Roman" w:cs="Times New Roman"/>
          <w:sz w:val="20"/>
          <w:szCs w:val="20"/>
        </w:rPr>
        <w:t xml:space="preserve"> approach. No cases of minimally invasive surgery were recorded. Treatment outcome in terms of postoperative morbidities and mortality and one-year overall survival were unsatisfactory if we consider the high experience of surgeons and high-volume nature of the NCI. </w:t>
      </w:r>
      <w:r w:rsidR="00142D23" w:rsidRPr="000452C6">
        <w:rPr>
          <w:rFonts w:ascii="Times New Roman" w:hAnsi="Times New Roman" w:cs="Times New Roman"/>
          <w:sz w:val="20"/>
          <w:szCs w:val="20"/>
        </w:rPr>
        <w:t xml:space="preserve">Locally advanced stage at presentation may be a reason for disappointing results. </w:t>
      </w:r>
      <w:r w:rsidR="0037769B" w:rsidRPr="000452C6">
        <w:rPr>
          <w:rFonts w:ascii="Times New Roman" w:hAnsi="Times New Roman" w:cs="Times New Roman"/>
          <w:sz w:val="20"/>
          <w:szCs w:val="20"/>
        </w:rPr>
        <w:t xml:space="preserve">Therefore, early detection and increasing awareness of the patients of the early symptoms of the disease may help diagnosis in stages more amenable to definitive treatment. Multidisciplinary approach can improve the outcome of treatment. </w:t>
      </w:r>
    </w:p>
    <w:p w:rsidR="00A233E8" w:rsidRPr="000452C6" w:rsidRDefault="00A233E8" w:rsidP="00FE79B6">
      <w:pPr>
        <w:snapToGrid w:val="0"/>
        <w:spacing w:after="0" w:line="240" w:lineRule="auto"/>
        <w:ind w:firstLine="425"/>
        <w:jc w:val="both"/>
        <w:rPr>
          <w:rFonts w:ascii="Times New Roman" w:hAnsi="Times New Roman" w:cs="Times New Roman"/>
          <w:sz w:val="20"/>
          <w:szCs w:val="20"/>
        </w:rPr>
      </w:pPr>
    </w:p>
    <w:p w:rsidR="00DE0878" w:rsidRPr="00DE0878" w:rsidRDefault="00737BA7" w:rsidP="00DE0878">
      <w:pPr>
        <w:snapToGrid w:val="0"/>
        <w:spacing w:after="0" w:line="240" w:lineRule="auto"/>
        <w:ind w:left="425" w:hanging="425"/>
        <w:jc w:val="both"/>
        <w:rPr>
          <w:rFonts w:ascii="Times New Roman" w:hAnsi="Times New Roman" w:cs="Times New Roman"/>
          <w:b/>
          <w:bCs/>
          <w:sz w:val="20"/>
          <w:szCs w:val="19"/>
        </w:rPr>
      </w:pPr>
      <w:r w:rsidRPr="000452C6">
        <w:rPr>
          <w:rFonts w:ascii="Times New Roman" w:hAnsi="Times New Roman" w:cs="Times New Roman"/>
          <w:b/>
          <w:bCs/>
          <w:sz w:val="20"/>
          <w:szCs w:val="20"/>
        </w:rPr>
        <w:t>References:</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H</w:t>
      </w:r>
      <w:r w:rsidR="00737BA7" w:rsidRPr="00DE0878">
        <w:rPr>
          <w:rFonts w:ascii="Times New Roman" w:hAnsi="Times New Roman" w:cs="Times New Roman"/>
          <w:sz w:val="20"/>
          <w:szCs w:val="19"/>
        </w:rPr>
        <w:t>erszényi</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Tulassay</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Z.</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Epidemiology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gastrointestinal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liver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tumors.</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Eur</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Rev</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Med</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Pharmacol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Sci.</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2010;14:249–58.</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M</w:t>
      </w:r>
      <w:r w:rsidR="00737BA7" w:rsidRPr="00DE0878">
        <w:rPr>
          <w:rFonts w:ascii="Times New Roman" w:hAnsi="Times New Roman" w:cs="Times New Roman"/>
          <w:sz w:val="20"/>
          <w:szCs w:val="19"/>
        </w:rPr>
        <w:t>ao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W-M,</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Zheng</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Z-Q.</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Epidemiologic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risk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factors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lastRenderedPageBreak/>
        <w:t>development.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Asian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Pac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Prev</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APJCP.</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2011;12:2461–6.</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I</w:t>
      </w:r>
      <w:r w:rsidR="00737BA7" w:rsidRPr="00DE0878">
        <w:rPr>
          <w:rFonts w:ascii="Times New Roman" w:hAnsi="Times New Roman" w:cs="Times New Roman"/>
          <w:sz w:val="20"/>
          <w:szCs w:val="19"/>
        </w:rPr>
        <w:t>brahim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AS,</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Khaled</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Mikhail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NN,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Baraka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Kamel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Incidence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Egypt: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Results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National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Population-Based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Registry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Program.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Epidemiol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[Internet].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2014</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[cited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2018</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Oct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18];2014.</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Available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from: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https://www.ncbi.nlm.nih.gov/pmc/articles/PMC4189936/</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L</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Totsuka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Kikuchi</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Qiao</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Ueda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Epidemiology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Japan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China.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Epidemiol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2013;23:233–42.</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S</w:t>
      </w:r>
      <w:r w:rsidR="00737BA7" w:rsidRPr="00DE0878">
        <w:rPr>
          <w:rFonts w:ascii="Times New Roman" w:hAnsi="Times New Roman" w:cs="Times New Roman"/>
          <w:sz w:val="20"/>
          <w:szCs w:val="19"/>
        </w:rPr>
        <w:t>myth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Lagergren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Fitzgerald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Lordick</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Shah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MA,</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Lagergren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Oesophageal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Nat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Rev</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Dis</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Primer.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2017;3:17048.</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M</w:t>
      </w:r>
      <w:r w:rsidR="00737BA7" w:rsidRPr="00DE0878">
        <w:rPr>
          <w:rFonts w:ascii="Times New Roman" w:hAnsi="Times New Roman" w:cs="Times New Roman"/>
          <w:sz w:val="20"/>
          <w:szCs w:val="19"/>
        </w:rPr>
        <w:t>orita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FHA,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Bernardo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WM,</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Ide</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Rocha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RSP,</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Aquino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JCM,</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Minata</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Narrow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imaging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versus</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lugol</w:t>
      </w:r>
      <w:proofErr w:type="spellEnd"/>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chromoendoscopy</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diagnose</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squamous</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cell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carcinoma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esophagus: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systematic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review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meta-analysis.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BMC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2017;17:54.</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S</w:t>
      </w:r>
      <w:r w:rsidR="00737BA7" w:rsidRPr="00DE0878">
        <w:rPr>
          <w:rFonts w:ascii="Times New Roman" w:hAnsi="Times New Roman" w:cs="Times New Roman"/>
          <w:sz w:val="20"/>
          <w:szCs w:val="19"/>
        </w:rPr>
        <w:t>ubasinghe</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Samarasekera</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study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comparing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endoscopic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ultrasound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(EUS)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computed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tomography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staging</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oesophageal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their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role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clinical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decision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making.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Gastrointest</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2010;41:38–42.</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N</w:t>
      </w:r>
      <w:r w:rsidR="00737BA7" w:rsidRPr="00DE0878">
        <w:rPr>
          <w:rFonts w:ascii="Times New Roman" w:hAnsi="Times New Roman" w:cs="Times New Roman"/>
          <w:sz w:val="20"/>
          <w:szCs w:val="19"/>
        </w:rPr>
        <w:t>apier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Scheerer</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Misra</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Review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epidemiology,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pathogenesis,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staging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workup</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treatment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modalities.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World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Gastrointest</w:t>
      </w:r>
      <w:proofErr w:type="spellEnd"/>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Oncol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2014;6:112–20.</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S</w:t>
      </w:r>
      <w:r w:rsidR="00737BA7" w:rsidRPr="00DE0878">
        <w:rPr>
          <w:rFonts w:ascii="Times New Roman" w:hAnsi="Times New Roman" w:cs="Times New Roman"/>
          <w:sz w:val="20"/>
          <w:szCs w:val="19"/>
        </w:rPr>
        <w:t>ancheti</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Fernandez</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Management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T2</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Surg</w:t>
      </w:r>
      <w:proofErr w:type="spellEnd"/>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Clin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North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2012;92:1169–78.</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B</w:t>
      </w:r>
      <w:r w:rsidR="00737BA7" w:rsidRPr="00DE0878">
        <w:rPr>
          <w:rFonts w:ascii="Times New Roman" w:hAnsi="Times New Roman" w:cs="Times New Roman"/>
          <w:sz w:val="20"/>
          <w:szCs w:val="19"/>
        </w:rPr>
        <w:t>oshier</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Anderson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Hanna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GB.</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Transthoracic</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versus</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transhiatal</w:t>
      </w:r>
      <w:proofErr w:type="spellEnd"/>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esophagectomy</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treatment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esophagogastric</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meta-analysis.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2011;254:894–906.</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L</w:t>
      </w:r>
      <w:r w:rsidR="00737BA7" w:rsidRPr="00DE0878">
        <w:rPr>
          <w:rFonts w:ascii="Times New Roman" w:hAnsi="Times New Roman" w:cs="Times New Roman"/>
          <w:sz w:val="20"/>
          <w:szCs w:val="19"/>
        </w:rPr>
        <w:t>epage</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Rachet</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Jooste</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V,</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Faivre</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Coleman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MP.</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Continuing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rapid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increase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adenocarcinoma</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England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Wales.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Gastroenterol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2008;103:2694–9.</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T</w:t>
      </w:r>
      <w:r w:rsidR="00737BA7" w:rsidRPr="00DE0878">
        <w:rPr>
          <w:rFonts w:ascii="Times New Roman" w:hAnsi="Times New Roman" w:cs="Times New Roman"/>
          <w:sz w:val="20"/>
          <w:szCs w:val="19"/>
        </w:rPr>
        <w:t>ran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X-D,</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Abnet</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Fan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J-H,</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Dawsey</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Dong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Z-W,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Prospective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study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risk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factors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gastric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Linxian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general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population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trial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cohort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China.</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Int</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2005;113:456–63.</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F</w:t>
      </w:r>
      <w:r w:rsidR="00737BA7" w:rsidRPr="00DE0878">
        <w:rPr>
          <w:rFonts w:ascii="Times New Roman" w:hAnsi="Times New Roman" w:cs="Times New Roman"/>
          <w:sz w:val="20"/>
          <w:szCs w:val="19"/>
        </w:rPr>
        <w:t>reedman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ND,</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Abnet</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Leitzmann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MF,</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Mouw</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Subar</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Hollenbeck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prospective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study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tobacco,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alcohol,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risk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gastric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subtypes.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Epidemiol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2007;165:1424–33.</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Z</w:t>
      </w:r>
      <w:r w:rsidR="00737BA7" w:rsidRPr="00DE0878">
        <w:rPr>
          <w:rFonts w:ascii="Times New Roman" w:hAnsi="Times New Roman" w:cs="Times New Roman"/>
          <w:sz w:val="20"/>
          <w:szCs w:val="19"/>
        </w:rPr>
        <w:t>hang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Epidemiology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World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Gastroenterol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2013;19:5598–606.</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lastRenderedPageBreak/>
        <w:t>H</w:t>
      </w:r>
      <w:r w:rsidR="00737BA7" w:rsidRPr="00DE0878">
        <w:rPr>
          <w:rFonts w:ascii="Times New Roman" w:hAnsi="Times New Roman" w:cs="Times New Roman"/>
          <w:sz w:val="20"/>
          <w:szCs w:val="19"/>
        </w:rPr>
        <w:t>erbella</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FA,</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Neto</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SP,</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Santoro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IL,</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Figueiredo</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Gastroesophageal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reflux</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disease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non-esophageal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World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Gastroenterol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WJG.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2015;21:815–9.</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G</w:t>
      </w:r>
      <w:r w:rsidR="00737BA7" w:rsidRPr="00DE0878">
        <w:rPr>
          <w:rFonts w:ascii="Times New Roman" w:hAnsi="Times New Roman" w:cs="Times New Roman"/>
          <w:sz w:val="20"/>
          <w:szCs w:val="19"/>
        </w:rPr>
        <w:t>ado</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Ebeid</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Abdelmohsen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Axon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Prevalence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reflux</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esophagitis</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among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patients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undergoing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endoscopy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secondary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referral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hospital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Giza,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Egypt.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Alex</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Med.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2015;51:89–94.</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A</w:t>
      </w:r>
      <w:r w:rsidR="00737BA7" w:rsidRPr="00DE0878">
        <w:rPr>
          <w:rFonts w:ascii="Times New Roman" w:hAnsi="Times New Roman" w:cs="Times New Roman"/>
          <w:sz w:val="20"/>
          <w:szCs w:val="19"/>
        </w:rPr>
        <w:t>lidina</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Gaffar</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Hussain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Islam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Vaziri</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Burney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Survival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data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prognostic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factors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seen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Pakistani</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patients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with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Ann</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Oncol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Eur</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Soc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Med</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Oncol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2004;15:118–22.</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Y</w:t>
      </w:r>
      <w:r w:rsidR="00737BA7" w:rsidRPr="00DE0878">
        <w:rPr>
          <w:rFonts w:ascii="Times New Roman" w:hAnsi="Times New Roman" w:cs="Times New Roman"/>
          <w:sz w:val="20"/>
          <w:szCs w:val="19"/>
        </w:rPr>
        <w:t>eole</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BB,</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Kumar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AVR.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Population-based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survival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from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having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poor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prognosis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Mumbai</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(Bombay),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India.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Asian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Pac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Prev</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APJCP.</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2004;5:175–82.</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A</w:t>
      </w:r>
      <w:r w:rsidR="00737BA7" w:rsidRPr="00DE0878">
        <w:rPr>
          <w:rFonts w:ascii="Times New Roman" w:hAnsi="Times New Roman" w:cs="Times New Roman"/>
          <w:sz w:val="20"/>
          <w:szCs w:val="19"/>
        </w:rPr>
        <w:t>bdullah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Karim</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AA,</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Goh</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Late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presentation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observations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multiracial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South-East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Asian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population.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Dig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2010;11:28–33.</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F</w:t>
      </w:r>
      <w:r w:rsidR="00737BA7" w:rsidRPr="00DE0878">
        <w:rPr>
          <w:rFonts w:ascii="Times New Roman" w:hAnsi="Times New Roman" w:cs="Times New Roman"/>
          <w:sz w:val="20"/>
          <w:szCs w:val="19"/>
        </w:rPr>
        <w:t>eeney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Hussey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Carey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Reynolds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JV.</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Assessment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physical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fitness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surgery,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targeting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interventions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optimize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outcomes.</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Dis</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Esophagus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Int</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Soc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Dis</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Esophagus.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2010;23:529–39.</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L</w:t>
      </w:r>
      <w:r w:rsidR="00737BA7" w:rsidRPr="00DE0878">
        <w:rPr>
          <w:rFonts w:ascii="Times New Roman" w:hAnsi="Times New Roman" w:cs="Times New Roman"/>
          <w:sz w:val="20"/>
          <w:szCs w:val="19"/>
        </w:rPr>
        <w:t>ordick</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Mariette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Haustermans</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Obermannová</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Arnold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Oesophageal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ESMO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Clinical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Practice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Guidelines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diagnosis,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treatment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follow-up.</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Ann</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Oncol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2016;27</w:t>
      </w:r>
      <w:r w:rsidRPr="00DE0878">
        <w:rPr>
          <w:rFonts w:ascii="Times New Roman" w:hAnsi="Times New Roman" w:cs="Times New Roman"/>
          <w:sz w:val="20"/>
          <w:szCs w:val="19"/>
        </w:rPr>
        <w:t>:</w:t>
      </w:r>
      <w:r>
        <w:rPr>
          <w:rFonts w:ascii="Times New Roman" w:hAnsi="Times New Roman" w:cs="Times New Roman"/>
          <w:sz w:val="20"/>
          <w:szCs w:val="19"/>
        </w:rPr>
        <w:t xml:space="preserve"> </w:t>
      </w:r>
      <w:r w:rsidRPr="00DE0878">
        <w:rPr>
          <w:rFonts w:ascii="Times New Roman" w:hAnsi="Times New Roman" w:cs="Times New Roman"/>
          <w:sz w:val="20"/>
          <w:szCs w:val="19"/>
        </w:rPr>
        <w:t>v</w:t>
      </w:r>
      <w:r w:rsidR="00737BA7" w:rsidRPr="00DE0878">
        <w:rPr>
          <w:rFonts w:ascii="Times New Roman" w:hAnsi="Times New Roman" w:cs="Times New Roman"/>
          <w:sz w:val="20"/>
          <w:szCs w:val="19"/>
        </w:rPr>
        <w:t>50–7.</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P</w:t>
      </w:r>
      <w:r w:rsidR="00737BA7" w:rsidRPr="00DE0878">
        <w:rPr>
          <w:rFonts w:ascii="Times New Roman" w:hAnsi="Times New Roman" w:cs="Times New Roman"/>
          <w:sz w:val="20"/>
          <w:szCs w:val="19"/>
        </w:rPr>
        <w:t>uli</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Reddy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J-B,</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Bechtold</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M-L,</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Antillon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Ibdah</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J-A,</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Antillon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Staging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accuracy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endoscopic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ultrasound: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meta-analysis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systematic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review.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World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Gastroenterol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2008;14:1479–90.</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S</w:t>
      </w:r>
      <w:r w:rsidR="00737BA7" w:rsidRPr="00DE0878">
        <w:rPr>
          <w:rFonts w:ascii="Times New Roman" w:hAnsi="Times New Roman" w:cs="Times New Roman"/>
          <w:sz w:val="20"/>
          <w:szCs w:val="19"/>
        </w:rPr>
        <w:t>eevaratnam</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Cardoso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McGregor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Lourenco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Mahar</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Sutradhar</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How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useful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preoperative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imaging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tumor,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node,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metastasis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(TNM)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staging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gastric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meta-analysis.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Gastric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Int</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Gastric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Assoc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Jpn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Gastric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Assoc.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2012;15</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Suppl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1</w:t>
      </w:r>
      <w:r w:rsidRPr="00DE0878">
        <w:rPr>
          <w:rFonts w:ascii="Times New Roman" w:hAnsi="Times New Roman" w:cs="Times New Roman"/>
          <w:sz w:val="20"/>
          <w:szCs w:val="19"/>
        </w:rPr>
        <w:t>:</w:t>
      </w:r>
      <w:r>
        <w:rPr>
          <w:rFonts w:ascii="Times New Roman" w:hAnsi="Times New Roman" w:cs="Times New Roman"/>
          <w:sz w:val="20"/>
          <w:szCs w:val="19"/>
        </w:rPr>
        <w:t xml:space="preserve"> </w:t>
      </w:r>
      <w:r w:rsidRPr="00DE0878">
        <w:rPr>
          <w:rFonts w:ascii="Times New Roman" w:hAnsi="Times New Roman" w:cs="Times New Roman"/>
          <w:sz w:val="20"/>
          <w:szCs w:val="19"/>
        </w:rPr>
        <w:t>S</w:t>
      </w:r>
      <w:r w:rsidR="00737BA7" w:rsidRPr="00DE0878">
        <w:rPr>
          <w:rFonts w:ascii="Times New Roman" w:hAnsi="Times New Roman" w:cs="Times New Roman"/>
          <w:sz w:val="20"/>
          <w:szCs w:val="19"/>
        </w:rPr>
        <w:t>3-18.</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S</w:t>
      </w:r>
      <w:r w:rsidR="00737BA7" w:rsidRPr="00DE0878">
        <w:rPr>
          <w:rFonts w:ascii="Times New Roman" w:hAnsi="Times New Roman" w:cs="Times New Roman"/>
          <w:sz w:val="20"/>
          <w:szCs w:val="19"/>
        </w:rPr>
        <w:t>myth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Schöder</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Strong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VE,</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Capanu</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Kelsen</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DP,</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Coit</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prospective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evaluation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utility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2-deoxy-2-</w:t>
      </w:r>
      <w:r w:rsidR="000452C6" w:rsidRPr="00DE0878">
        <w:rPr>
          <w:rFonts w:ascii="Times New Roman" w:hAnsi="Times New Roman" w:cs="Times New Roman"/>
          <w:sz w:val="20"/>
          <w:szCs w:val="19"/>
        </w:rPr>
        <w:t>[ (</w:t>
      </w:r>
      <w:r w:rsidR="00737BA7" w:rsidRPr="00DE0878">
        <w:rPr>
          <w:rFonts w:ascii="Times New Roman" w:hAnsi="Times New Roman" w:cs="Times New Roman"/>
          <w:sz w:val="20"/>
          <w:szCs w:val="19"/>
        </w:rPr>
        <w:t>18)</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w:t>
      </w:r>
      <w:r w:rsidRPr="00DE0878">
        <w:rPr>
          <w:rFonts w:ascii="Times New Roman" w:hAnsi="Times New Roman" w:cs="Times New Roman"/>
          <w:sz w:val="20"/>
          <w:szCs w:val="19"/>
        </w:rPr>
        <w:t>]</w:t>
      </w:r>
      <w:r>
        <w:rPr>
          <w:rFonts w:ascii="Times New Roman" w:hAnsi="Times New Roman" w:cs="Times New Roman"/>
          <w:sz w:val="20"/>
          <w:szCs w:val="19"/>
        </w:rPr>
        <w:t xml:space="preserve"> </w:t>
      </w:r>
      <w:proofErr w:type="spellStart"/>
      <w:r w:rsidRPr="00DE0878">
        <w:rPr>
          <w:rFonts w:ascii="Times New Roman" w:hAnsi="Times New Roman" w:cs="Times New Roman"/>
          <w:sz w:val="20"/>
          <w:szCs w:val="19"/>
        </w:rPr>
        <w:t>f</w:t>
      </w:r>
      <w:r w:rsidR="00737BA7" w:rsidRPr="00DE0878">
        <w:rPr>
          <w:rFonts w:ascii="Times New Roman" w:hAnsi="Times New Roman" w:cs="Times New Roman"/>
          <w:sz w:val="20"/>
          <w:szCs w:val="19"/>
        </w:rPr>
        <w:t>luoro</w:t>
      </w:r>
      <w:proofErr w:type="spellEnd"/>
      <w:r w:rsidR="00737BA7" w:rsidRPr="00DE0878">
        <w:rPr>
          <w:rFonts w:ascii="Times New Roman" w:hAnsi="Times New Roman" w:cs="Times New Roman"/>
          <w:sz w:val="20"/>
          <w:szCs w:val="19"/>
        </w:rPr>
        <w:t>-D-glucose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positron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emission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tomography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computed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tomography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staging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locally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advanced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gastric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2012;118:5481–8.</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F</w:t>
      </w:r>
      <w:r w:rsidR="00737BA7" w:rsidRPr="00DE0878">
        <w:rPr>
          <w:rFonts w:ascii="Times New Roman" w:hAnsi="Times New Roman" w:cs="Times New Roman"/>
          <w:sz w:val="20"/>
          <w:szCs w:val="19"/>
        </w:rPr>
        <w:t>indlay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Bradley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KM,</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Maile</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Braden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Maw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Phillips-Hughes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Pragmatic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staging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oesophageal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using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decision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theory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involving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selective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endoscopic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lastRenderedPageBreak/>
        <w:t>ultrasonography</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laparoscopy.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2015;102:1488–99.</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S</w:t>
      </w:r>
      <w:r w:rsidR="00737BA7" w:rsidRPr="00DE0878">
        <w:rPr>
          <w:rFonts w:ascii="Times New Roman" w:hAnsi="Times New Roman" w:cs="Times New Roman"/>
          <w:sz w:val="20"/>
          <w:szCs w:val="19"/>
        </w:rPr>
        <w:t>teyerberg</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Neville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BA,</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Koppert</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LB,</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Lemmens</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VEPP,</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Tilanus</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HW,</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Coebergh</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Surgical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mortality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patients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with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development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validation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simple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risk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score.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Clin</w:t>
      </w:r>
      <w:proofErr w:type="spellEnd"/>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Oncol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Soc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Clin</w:t>
      </w:r>
      <w:proofErr w:type="spellEnd"/>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Oncol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2006;24:4277–84.</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R</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Paulson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Kucharczuk</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Armstrong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Wirtalla</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Rapaport-Kelz</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Postoperative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mortality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after</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esophagectomy</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development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preoperative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risk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prediction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model.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Ann</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Surg</w:t>
      </w:r>
      <w:proofErr w:type="spellEnd"/>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Oncol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2008;15:1577–84.</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F</w:t>
      </w:r>
      <w:r w:rsidR="00737BA7" w:rsidRPr="00DE0878">
        <w:rPr>
          <w:rFonts w:ascii="Times New Roman" w:hAnsi="Times New Roman" w:cs="Times New Roman"/>
          <w:sz w:val="20"/>
          <w:szCs w:val="19"/>
        </w:rPr>
        <w:t>inlayson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EV,</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Birkmeyer</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Operative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mortality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with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elective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surgery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older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adults.</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Eff</w:t>
      </w:r>
      <w:proofErr w:type="spellEnd"/>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Clin</w:t>
      </w:r>
      <w:proofErr w:type="spellEnd"/>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Pract</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ECP.</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2001;4:172–7.</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F</w:t>
      </w:r>
      <w:r w:rsidR="00737BA7" w:rsidRPr="00DE0878">
        <w:rPr>
          <w:rFonts w:ascii="Times New Roman" w:hAnsi="Times New Roman" w:cs="Times New Roman"/>
          <w:sz w:val="20"/>
          <w:szCs w:val="19"/>
        </w:rPr>
        <w:t>erguson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Durkin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Preoperative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prediction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risk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pulmonary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complications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after</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esophagectomy</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Thorac</w:t>
      </w:r>
      <w:proofErr w:type="spellEnd"/>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Cardiovasc</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2002;123:661–9.</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lastRenderedPageBreak/>
        <w:t>N</w:t>
      </w:r>
      <w:r w:rsidR="00737BA7" w:rsidRPr="00DE0878">
        <w:rPr>
          <w:rFonts w:ascii="Times New Roman" w:hAnsi="Times New Roman" w:cs="Times New Roman"/>
          <w:sz w:val="20"/>
          <w:szCs w:val="19"/>
        </w:rPr>
        <w:t>akamura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Iwahashi</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Nakamori</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Ishida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Naka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Iida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analysis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factors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contributing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to</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reduction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incidence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pulmonary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complications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following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esophagectomy</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Langenbecks</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Arch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2008;393:127–33.</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L</w:t>
      </w:r>
      <w:r w:rsidR="00737BA7" w:rsidRPr="00DE0878">
        <w:rPr>
          <w:rFonts w:ascii="Times New Roman" w:hAnsi="Times New Roman" w:cs="Times New Roman"/>
          <w:sz w:val="20"/>
          <w:szCs w:val="19"/>
        </w:rPr>
        <w:t>aw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Wong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Kwok</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Chu</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K-M,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Wong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Predictive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factors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postoperative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pulmonary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complications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mortality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after</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esophagectomy</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2004;240:791–800.</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proofErr w:type="spellStart"/>
      <w:r w:rsidRPr="00DE0878">
        <w:rPr>
          <w:rFonts w:ascii="Times New Roman" w:hAnsi="Times New Roman" w:cs="Times New Roman"/>
          <w:sz w:val="20"/>
          <w:szCs w:val="19"/>
        </w:rPr>
        <w:t>W</w:t>
      </w:r>
      <w:r w:rsidR="00737BA7" w:rsidRPr="00DE0878">
        <w:rPr>
          <w:rFonts w:ascii="Times New Roman" w:hAnsi="Times New Roman" w:cs="Times New Roman"/>
          <w:sz w:val="20"/>
          <w:szCs w:val="19"/>
        </w:rPr>
        <w:t>hooley</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BP,</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Law</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Murthy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SC,</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Alexandrou</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Wong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Analysis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reduced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death</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complication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rates</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after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esophageal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resection.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Ann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Surg.</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2001;233:338–44.</w:t>
      </w:r>
      <w:r w:rsidR="000452C6" w:rsidRPr="00DE0878">
        <w:rPr>
          <w:rFonts w:ascii="Times New Roman" w:hAnsi="Times New Roman" w:cs="Times New Roman"/>
          <w:sz w:val="20"/>
          <w:szCs w:val="19"/>
        </w:rPr>
        <w:t xml:space="preserve"> </w:t>
      </w:r>
    </w:p>
    <w:p w:rsidR="00DE0878"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19"/>
        </w:rPr>
      </w:pPr>
      <w:r w:rsidRPr="00DE0878">
        <w:rPr>
          <w:rFonts w:ascii="Times New Roman" w:hAnsi="Times New Roman" w:cs="Times New Roman"/>
          <w:sz w:val="20"/>
          <w:szCs w:val="19"/>
        </w:rPr>
        <w:t>L</w:t>
      </w:r>
      <w:r w:rsidR="00737BA7" w:rsidRPr="00DE0878">
        <w:rPr>
          <w:rFonts w:ascii="Times New Roman" w:hAnsi="Times New Roman" w:cs="Times New Roman"/>
          <w:sz w:val="20"/>
          <w:szCs w:val="19"/>
        </w:rPr>
        <w:t>eonard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GD,</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McCaffrey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JA,</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Maher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Optimal</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therapy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for</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oesophageal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Treat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Rev.</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2003;29:275–82.</w:t>
      </w:r>
      <w:r w:rsidR="000452C6" w:rsidRPr="00DE0878">
        <w:rPr>
          <w:rFonts w:ascii="Times New Roman" w:hAnsi="Times New Roman" w:cs="Times New Roman"/>
          <w:sz w:val="20"/>
          <w:szCs w:val="19"/>
        </w:rPr>
        <w:t xml:space="preserve"> </w:t>
      </w:r>
    </w:p>
    <w:p w:rsidR="000452C6" w:rsidRPr="00DE0878" w:rsidRDefault="00DE0878" w:rsidP="00DE0878">
      <w:pPr>
        <w:pStyle w:val="Bibliography"/>
        <w:numPr>
          <w:ilvl w:val="1"/>
          <w:numId w:val="7"/>
        </w:numPr>
        <w:snapToGrid w:val="0"/>
        <w:spacing w:after="0"/>
        <w:ind w:left="425" w:hanging="425"/>
        <w:jc w:val="both"/>
        <w:rPr>
          <w:rFonts w:ascii="Times New Roman" w:hAnsi="Times New Roman" w:cs="Times New Roman"/>
          <w:sz w:val="20"/>
          <w:szCs w:val="20"/>
        </w:rPr>
      </w:pPr>
      <w:r w:rsidRPr="00DE0878">
        <w:rPr>
          <w:rFonts w:ascii="Times New Roman" w:hAnsi="Times New Roman" w:cs="Times New Roman"/>
          <w:sz w:val="20"/>
          <w:szCs w:val="19"/>
        </w:rPr>
        <w:t>W</w:t>
      </w:r>
      <w:r w:rsidR="00737BA7" w:rsidRPr="00DE0878">
        <w:rPr>
          <w:rFonts w:ascii="Times New Roman" w:hAnsi="Times New Roman" w:cs="Times New Roman"/>
          <w:sz w:val="20"/>
          <w:szCs w:val="19"/>
        </w:rPr>
        <w:t>u</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Posner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MC.</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role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surgery</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in</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the</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management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of</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oesophageal</w:t>
      </w:r>
      <w:proofErr w:type="spellEnd"/>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cancer.</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Lancet</w:t>
      </w:r>
      <w:r w:rsidR="000452C6" w:rsidRPr="00DE0878">
        <w:rPr>
          <w:rFonts w:ascii="Times New Roman" w:hAnsi="Times New Roman" w:cs="Times New Roman"/>
          <w:sz w:val="20"/>
          <w:szCs w:val="19"/>
        </w:rPr>
        <w:t xml:space="preserve"> </w:t>
      </w:r>
      <w:proofErr w:type="spellStart"/>
      <w:r w:rsidR="00737BA7" w:rsidRPr="00DE0878">
        <w:rPr>
          <w:rFonts w:ascii="Times New Roman" w:hAnsi="Times New Roman" w:cs="Times New Roman"/>
          <w:sz w:val="20"/>
          <w:szCs w:val="19"/>
        </w:rPr>
        <w:t>Oncol</w:t>
      </w:r>
      <w:proofErr w:type="spellEnd"/>
      <w:r w:rsidR="00737BA7" w:rsidRPr="00DE0878">
        <w:rPr>
          <w:rFonts w:ascii="Times New Roman" w:hAnsi="Times New Roman" w:cs="Times New Roman"/>
          <w:sz w:val="20"/>
          <w:szCs w:val="19"/>
        </w:rPr>
        <w:t>.</w:t>
      </w:r>
      <w:r w:rsidR="000452C6" w:rsidRPr="00DE0878">
        <w:rPr>
          <w:rFonts w:ascii="Times New Roman" w:hAnsi="Times New Roman" w:cs="Times New Roman"/>
          <w:sz w:val="20"/>
          <w:szCs w:val="19"/>
        </w:rPr>
        <w:t xml:space="preserve"> </w:t>
      </w:r>
      <w:r w:rsidR="00737BA7" w:rsidRPr="00DE0878">
        <w:rPr>
          <w:rFonts w:ascii="Times New Roman" w:hAnsi="Times New Roman" w:cs="Times New Roman"/>
          <w:sz w:val="20"/>
          <w:szCs w:val="19"/>
        </w:rPr>
        <w:t>2003;4:481–8.</w:t>
      </w:r>
      <w:r w:rsidR="000452C6" w:rsidRPr="00DE0878">
        <w:rPr>
          <w:rFonts w:ascii="Times New Roman" w:hAnsi="Times New Roman" w:cs="Times New Roman"/>
          <w:sz w:val="20"/>
          <w:szCs w:val="19"/>
        </w:rPr>
        <w:t xml:space="preserve"> </w:t>
      </w:r>
      <w:bookmarkStart w:id="0" w:name="_GoBack"/>
      <w:bookmarkEnd w:id="0"/>
    </w:p>
    <w:p w:rsidR="00FE79B6" w:rsidRPr="00DE0878" w:rsidRDefault="00FE79B6" w:rsidP="00DE0878">
      <w:pPr>
        <w:pStyle w:val="Bibliography"/>
        <w:snapToGrid w:val="0"/>
        <w:spacing w:after="0"/>
        <w:ind w:left="425" w:hanging="425"/>
        <w:jc w:val="both"/>
        <w:rPr>
          <w:rFonts w:ascii="Times New Roman" w:hAnsi="Times New Roman" w:cs="Times New Roman"/>
          <w:sz w:val="20"/>
          <w:szCs w:val="20"/>
        </w:rPr>
        <w:sectPr w:rsidR="00FE79B6" w:rsidRPr="00DE0878" w:rsidSect="00FE79B6">
          <w:type w:val="continuous"/>
          <w:pgSz w:w="12242" w:h="15842" w:code="1"/>
          <w:pgMar w:top="1440" w:right="1440" w:bottom="1440" w:left="1440" w:header="720" w:footer="720" w:gutter="0"/>
          <w:cols w:num="2" w:space="550"/>
          <w:docGrid w:linePitch="299"/>
        </w:sectPr>
      </w:pPr>
    </w:p>
    <w:p w:rsidR="000452C6" w:rsidRPr="000452C6" w:rsidRDefault="000452C6" w:rsidP="00DE0878">
      <w:pPr>
        <w:pStyle w:val="Bibliography"/>
        <w:snapToGrid w:val="0"/>
        <w:spacing w:after="0"/>
        <w:ind w:left="425" w:hanging="425"/>
        <w:jc w:val="both"/>
        <w:rPr>
          <w:rFonts w:ascii="Times New Roman" w:hAnsi="Times New Roman" w:cs="Times New Roman"/>
          <w:sz w:val="20"/>
          <w:szCs w:val="20"/>
        </w:rPr>
      </w:pPr>
      <w:r w:rsidRPr="00DE0878">
        <w:rPr>
          <w:rFonts w:ascii="Times New Roman" w:hAnsi="Times New Roman" w:cs="Times New Roman"/>
          <w:sz w:val="20"/>
          <w:szCs w:val="20"/>
        </w:rPr>
        <w:lastRenderedPageBreak/>
        <w:cr/>
        <w:t xml:space="preserve"> </w:t>
      </w:r>
      <w:r w:rsidR="00DE0878">
        <w:rPr>
          <w:rFonts w:ascii="Times New Roman" w:hAnsi="Times New Roman" w:cs="Times New Roman" w:hint="eastAsia"/>
          <w:sz w:val="20"/>
          <w:szCs w:val="20"/>
          <w:lang w:eastAsia="zh-CN"/>
        </w:rPr>
        <w:t xml:space="preserve"> </w:t>
      </w:r>
      <w:r w:rsidRPr="00DE0878">
        <w:rPr>
          <w:rFonts w:ascii="Times New Roman" w:hAnsi="Times New Roman" w:cs="Times New Roman"/>
          <w:sz w:val="20"/>
          <w:szCs w:val="20"/>
        </w:rPr>
        <w:cr/>
      </w:r>
    </w:p>
    <w:p w:rsidR="004B51F1" w:rsidRPr="000452C6" w:rsidRDefault="000452C6" w:rsidP="00FE79B6">
      <w:pPr>
        <w:snapToGrid w:val="0"/>
        <w:spacing w:after="0" w:line="240" w:lineRule="auto"/>
        <w:jc w:val="both"/>
        <w:rPr>
          <w:rFonts w:ascii="Times New Roman" w:hAnsi="Times New Roman" w:cs="Times New Roman"/>
          <w:sz w:val="20"/>
        </w:rPr>
      </w:pPr>
      <w:r w:rsidRPr="000452C6">
        <w:rPr>
          <w:rFonts w:ascii="Times New Roman" w:hAnsi="Times New Roman" w:cs="Times New Roman"/>
          <w:sz w:val="20"/>
        </w:rPr>
        <w:t>12/11/2018</w:t>
      </w:r>
    </w:p>
    <w:sectPr w:rsidR="004B51F1" w:rsidRPr="000452C6" w:rsidSect="000452C6">
      <w:type w:val="continuous"/>
      <w:pgSz w:w="12242" w:h="15842"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C7" w:rsidRDefault="003465C7" w:rsidP="00E57086">
      <w:pPr>
        <w:spacing w:after="0" w:line="240" w:lineRule="auto"/>
      </w:pPr>
      <w:r>
        <w:separator/>
      </w:r>
    </w:p>
  </w:endnote>
  <w:endnote w:type="continuationSeparator" w:id="0">
    <w:p w:rsidR="003465C7" w:rsidRDefault="003465C7" w:rsidP="00E57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7A" w:rsidRPr="00FE79B6" w:rsidRDefault="00C561E7" w:rsidP="00FE79B6">
    <w:pPr>
      <w:spacing w:after="0" w:line="240" w:lineRule="auto"/>
      <w:jc w:val="center"/>
      <w:rPr>
        <w:rFonts w:ascii="Times New Roman" w:hAnsi="Times New Roman" w:cs="Times New Roman"/>
        <w:sz w:val="20"/>
      </w:rPr>
    </w:pPr>
    <w:r w:rsidRPr="00FE79B6">
      <w:rPr>
        <w:rFonts w:ascii="Times New Roman" w:hAnsi="Times New Roman" w:cs="Times New Roman"/>
        <w:sz w:val="20"/>
      </w:rPr>
      <w:fldChar w:fldCharType="begin"/>
    </w:r>
    <w:r w:rsidR="00FE79B6" w:rsidRPr="00FE79B6">
      <w:rPr>
        <w:rFonts w:ascii="Times New Roman" w:hAnsi="Times New Roman" w:cs="Times New Roman"/>
        <w:sz w:val="20"/>
      </w:rPr>
      <w:instrText xml:space="preserve"> page </w:instrText>
    </w:r>
    <w:r w:rsidRPr="00FE79B6">
      <w:rPr>
        <w:rFonts w:ascii="Times New Roman" w:hAnsi="Times New Roman" w:cs="Times New Roman"/>
        <w:sz w:val="20"/>
      </w:rPr>
      <w:fldChar w:fldCharType="separate"/>
    </w:r>
    <w:r w:rsidR="001806E2">
      <w:rPr>
        <w:rFonts w:ascii="Times New Roman" w:hAnsi="Times New Roman" w:cs="Times New Roman"/>
        <w:noProof/>
        <w:sz w:val="20"/>
      </w:rPr>
      <w:t>55</w:t>
    </w:r>
    <w:r w:rsidRPr="00FE79B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C7" w:rsidRDefault="003465C7" w:rsidP="00E57086">
      <w:pPr>
        <w:spacing w:after="0" w:line="240" w:lineRule="auto"/>
      </w:pPr>
      <w:r>
        <w:separator/>
      </w:r>
    </w:p>
  </w:footnote>
  <w:footnote w:type="continuationSeparator" w:id="0">
    <w:p w:rsidR="003465C7" w:rsidRDefault="003465C7" w:rsidP="00E57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B6" w:rsidRPr="00FE79B6" w:rsidRDefault="00FE79B6" w:rsidP="00FE79B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FE79B6">
      <w:rPr>
        <w:rFonts w:ascii="Times New Roman" w:hAnsi="Times New Roman" w:cs="Times New Roman" w:hint="eastAsia"/>
        <w:iCs/>
        <w:color w:val="000000"/>
        <w:sz w:val="20"/>
      </w:rPr>
      <w:tab/>
    </w:r>
    <w:r w:rsidRPr="00FE79B6">
      <w:rPr>
        <w:rFonts w:ascii="Times New Roman" w:hAnsi="Times New Roman" w:cs="Times New Roman"/>
        <w:iCs/>
        <w:color w:val="000000"/>
        <w:sz w:val="20"/>
      </w:rPr>
      <w:t xml:space="preserve">Cancer Biology </w:t>
    </w:r>
    <w:r w:rsidRPr="00FE79B6">
      <w:rPr>
        <w:rFonts w:ascii="Times New Roman" w:hAnsi="Times New Roman" w:cs="Times New Roman"/>
        <w:iCs/>
        <w:sz w:val="20"/>
      </w:rPr>
      <w:t>201</w:t>
    </w:r>
    <w:r w:rsidRPr="00FE79B6">
      <w:rPr>
        <w:rFonts w:ascii="Times New Roman" w:hAnsi="Times New Roman" w:cs="Times New Roman" w:hint="eastAsia"/>
        <w:iCs/>
        <w:sz w:val="20"/>
      </w:rPr>
      <w:t>8</w:t>
    </w:r>
    <w:r w:rsidRPr="00FE79B6">
      <w:rPr>
        <w:rFonts w:ascii="Times New Roman" w:hAnsi="Times New Roman" w:cs="Times New Roman"/>
        <w:iCs/>
        <w:sz w:val="20"/>
      </w:rPr>
      <w:t>;</w:t>
    </w:r>
    <w:r w:rsidRPr="00FE79B6">
      <w:rPr>
        <w:rFonts w:ascii="Times New Roman" w:hAnsi="Times New Roman" w:cs="Times New Roman" w:hint="eastAsia"/>
        <w:iCs/>
        <w:sz w:val="20"/>
      </w:rPr>
      <w:t>8</w:t>
    </w:r>
    <w:r w:rsidRPr="00FE79B6">
      <w:rPr>
        <w:rFonts w:ascii="Times New Roman" w:hAnsi="Times New Roman" w:cs="Times New Roman"/>
        <w:iCs/>
        <w:sz w:val="20"/>
      </w:rPr>
      <w:t>(</w:t>
    </w:r>
    <w:r w:rsidRPr="00FE79B6">
      <w:rPr>
        <w:rFonts w:ascii="Times New Roman" w:hAnsi="Times New Roman" w:cs="Times New Roman" w:hint="eastAsia"/>
        <w:iCs/>
        <w:sz w:val="20"/>
      </w:rPr>
      <w:t>4</w:t>
    </w:r>
    <w:r w:rsidRPr="00FE79B6">
      <w:rPr>
        <w:rFonts w:ascii="Times New Roman" w:hAnsi="Times New Roman" w:cs="Times New Roman"/>
        <w:iCs/>
        <w:sz w:val="20"/>
      </w:rPr>
      <w:t xml:space="preserve">)  </w:t>
    </w:r>
    <w:r w:rsidRPr="00FE79B6">
      <w:rPr>
        <w:rFonts w:ascii="Times New Roman" w:hAnsi="Times New Roman" w:cs="Times New Roman" w:hint="eastAsia"/>
        <w:iCs/>
        <w:sz w:val="20"/>
      </w:rPr>
      <w:t xml:space="preserve">   </w:t>
    </w:r>
    <w:r w:rsidRPr="00FE79B6">
      <w:rPr>
        <w:rFonts w:ascii="Times New Roman" w:hAnsi="Times New Roman" w:cs="Times New Roman" w:hint="eastAsia"/>
        <w:iCs/>
        <w:sz w:val="20"/>
      </w:rPr>
      <w:tab/>
      <w:t xml:space="preserve">     </w:t>
    </w:r>
    <w:r w:rsidRPr="00FE79B6">
      <w:rPr>
        <w:rFonts w:ascii="Times New Roman" w:hAnsi="Times New Roman" w:cs="Times New Roman"/>
        <w:iCs/>
        <w:sz w:val="20"/>
      </w:rPr>
      <w:t xml:space="preserve"> </w:t>
    </w:r>
    <w:r w:rsidRPr="00FE79B6">
      <w:rPr>
        <w:rFonts w:ascii="Times New Roman" w:hAnsi="Times New Roman" w:cs="Times New Roman"/>
        <w:sz w:val="20"/>
      </w:rPr>
      <w:t xml:space="preserve">  </w:t>
    </w:r>
    <w:hyperlink r:id="rId1" w:history="1">
      <w:r w:rsidRPr="00FE79B6">
        <w:rPr>
          <w:rStyle w:val="Hyperlink"/>
          <w:rFonts w:ascii="Times New Roman" w:hAnsi="Times New Roman" w:cs="Times New Roman"/>
          <w:sz w:val="20"/>
        </w:rPr>
        <w:t>http://www.cancerbio.net</w:t>
      </w:r>
    </w:hyperlink>
  </w:p>
  <w:p w:rsidR="00FE79B6" w:rsidRPr="00FE79B6" w:rsidRDefault="00FE79B6" w:rsidP="00FE79B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FB6"/>
    <w:multiLevelType w:val="hybridMultilevel"/>
    <w:tmpl w:val="69CE6D2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4C6B93"/>
    <w:multiLevelType w:val="hybridMultilevel"/>
    <w:tmpl w:val="E140E74A"/>
    <w:lvl w:ilvl="0" w:tplc="1BFC1AF8">
      <w:start w:val="79"/>
      <w:numFmt w:val="bullet"/>
      <w:lvlText w:val="-"/>
      <w:lvlJc w:val="left"/>
      <w:pPr>
        <w:ind w:left="900" w:hanging="360"/>
      </w:pPr>
      <w:rPr>
        <w:rFonts w:ascii="Calibri" w:eastAsia="Calibr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EFB33A4"/>
    <w:multiLevelType w:val="hybridMultilevel"/>
    <w:tmpl w:val="28023D56"/>
    <w:lvl w:ilvl="0" w:tplc="F1445B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157AA0"/>
    <w:multiLevelType w:val="hybridMultilevel"/>
    <w:tmpl w:val="1896A7D0"/>
    <w:lvl w:ilvl="0" w:tplc="0A141DAE">
      <w:numFmt w:val="bullet"/>
      <w:lvlText w:val="-"/>
      <w:lvlJc w:val="left"/>
      <w:pPr>
        <w:ind w:left="960" w:hanging="360"/>
      </w:pPr>
      <w:rPr>
        <w:rFonts w:ascii="Calibri" w:eastAsia="Calibri" w:hAnsi="Calibri"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nsid w:val="45C6795C"/>
    <w:multiLevelType w:val="hybridMultilevel"/>
    <w:tmpl w:val="8C62F4AE"/>
    <w:lvl w:ilvl="0" w:tplc="D0CCA84A">
      <w:start w:val="1"/>
      <w:numFmt w:val="bullet"/>
      <w:lvlText w:val="-"/>
      <w:lvlJc w:val="left"/>
      <w:pPr>
        <w:ind w:left="900" w:hanging="360"/>
      </w:pPr>
      <w:rPr>
        <w:rFonts w:ascii="Calibri" w:eastAsia="Calibri" w:hAnsi="Calibri"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51090BC3"/>
    <w:multiLevelType w:val="hybridMultilevel"/>
    <w:tmpl w:val="CB0C27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F2617D"/>
    <w:multiLevelType w:val="hybridMultilevel"/>
    <w:tmpl w:val="3094151E"/>
    <w:lvl w:ilvl="0" w:tplc="35627A1E">
      <w:start w:val="3"/>
      <w:numFmt w:val="bullet"/>
      <w:lvlText w:val="-"/>
      <w:lvlJc w:val="left"/>
      <w:pPr>
        <w:ind w:left="1065" w:hanging="360"/>
      </w:pPr>
      <w:rPr>
        <w:rFonts w:ascii="Calibri" w:eastAsia="Calibri" w:hAnsi="Calibri"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t7Q0sjSzMDMwsjAzM7ZU0lEKTi0uzszPAykwNKgFAEh0e6UtAAAA"/>
  </w:docVars>
  <w:rsids>
    <w:rsidRoot w:val="00FB5E8B"/>
    <w:rsid w:val="00011738"/>
    <w:rsid w:val="00016341"/>
    <w:rsid w:val="00023A6B"/>
    <w:rsid w:val="00026C06"/>
    <w:rsid w:val="000271A8"/>
    <w:rsid w:val="00030558"/>
    <w:rsid w:val="000314F7"/>
    <w:rsid w:val="00031B15"/>
    <w:rsid w:val="00034EA1"/>
    <w:rsid w:val="0003730A"/>
    <w:rsid w:val="0003798A"/>
    <w:rsid w:val="000452C6"/>
    <w:rsid w:val="00051ADB"/>
    <w:rsid w:val="00052366"/>
    <w:rsid w:val="0005573F"/>
    <w:rsid w:val="00057074"/>
    <w:rsid w:val="000721FF"/>
    <w:rsid w:val="00083835"/>
    <w:rsid w:val="00087453"/>
    <w:rsid w:val="000936F6"/>
    <w:rsid w:val="00096610"/>
    <w:rsid w:val="000A18E9"/>
    <w:rsid w:val="000A4A91"/>
    <w:rsid w:val="000A5A3D"/>
    <w:rsid w:val="000B03C0"/>
    <w:rsid w:val="000B34C0"/>
    <w:rsid w:val="000C6C62"/>
    <w:rsid w:val="000E2461"/>
    <w:rsid w:val="000E2D5A"/>
    <w:rsid w:val="000E4773"/>
    <w:rsid w:val="000F0B58"/>
    <w:rsid w:val="000F23BA"/>
    <w:rsid w:val="000F6848"/>
    <w:rsid w:val="00100D1A"/>
    <w:rsid w:val="001016EA"/>
    <w:rsid w:val="00103666"/>
    <w:rsid w:val="00104F78"/>
    <w:rsid w:val="00105430"/>
    <w:rsid w:val="00112618"/>
    <w:rsid w:val="00113B92"/>
    <w:rsid w:val="001206CB"/>
    <w:rsid w:val="00121B50"/>
    <w:rsid w:val="001365CC"/>
    <w:rsid w:val="00137161"/>
    <w:rsid w:val="00142D23"/>
    <w:rsid w:val="001439ED"/>
    <w:rsid w:val="00144050"/>
    <w:rsid w:val="00150F5A"/>
    <w:rsid w:val="001603F8"/>
    <w:rsid w:val="00167FFD"/>
    <w:rsid w:val="00171998"/>
    <w:rsid w:val="0017263D"/>
    <w:rsid w:val="00174FEC"/>
    <w:rsid w:val="00175D7F"/>
    <w:rsid w:val="001760E0"/>
    <w:rsid w:val="00180566"/>
    <w:rsid w:val="001806E2"/>
    <w:rsid w:val="0019070D"/>
    <w:rsid w:val="00195C6D"/>
    <w:rsid w:val="001960AD"/>
    <w:rsid w:val="00196C3D"/>
    <w:rsid w:val="001A0314"/>
    <w:rsid w:val="001A324E"/>
    <w:rsid w:val="001A46C0"/>
    <w:rsid w:val="001A61FC"/>
    <w:rsid w:val="001B03D8"/>
    <w:rsid w:val="001B48F1"/>
    <w:rsid w:val="001B5673"/>
    <w:rsid w:val="001B59BC"/>
    <w:rsid w:val="001C7F6C"/>
    <w:rsid w:val="001D0A91"/>
    <w:rsid w:val="001D135C"/>
    <w:rsid w:val="001D3BE4"/>
    <w:rsid w:val="001E0FBD"/>
    <w:rsid w:val="001E4722"/>
    <w:rsid w:val="001E4CDC"/>
    <w:rsid w:val="001F3741"/>
    <w:rsid w:val="00220050"/>
    <w:rsid w:val="00223DDA"/>
    <w:rsid w:val="00224398"/>
    <w:rsid w:val="00230EF4"/>
    <w:rsid w:val="002328AF"/>
    <w:rsid w:val="00236FA3"/>
    <w:rsid w:val="00237304"/>
    <w:rsid w:val="00237BC0"/>
    <w:rsid w:val="00245946"/>
    <w:rsid w:val="00245BB0"/>
    <w:rsid w:val="00246B47"/>
    <w:rsid w:val="00250DF9"/>
    <w:rsid w:val="00252D61"/>
    <w:rsid w:val="00256131"/>
    <w:rsid w:val="0025789B"/>
    <w:rsid w:val="00257F46"/>
    <w:rsid w:val="002822A9"/>
    <w:rsid w:val="002835E4"/>
    <w:rsid w:val="00297FE1"/>
    <w:rsid w:val="002A0138"/>
    <w:rsid w:val="002B244C"/>
    <w:rsid w:val="002B422C"/>
    <w:rsid w:val="002B4CD6"/>
    <w:rsid w:val="002B5BA7"/>
    <w:rsid w:val="002C4208"/>
    <w:rsid w:val="002E62F7"/>
    <w:rsid w:val="002F3B38"/>
    <w:rsid w:val="002F3FC3"/>
    <w:rsid w:val="002F7043"/>
    <w:rsid w:val="003078E7"/>
    <w:rsid w:val="0031167A"/>
    <w:rsid w:val="003152B8"/>
    <w:rsid w:val="00316D25"/>
    <w:rsid w:val="0031733E"/>
    <w:rsid w:val="0032005E"/>
    <w:rsid w:val="00321282"/>
    <w:rsid w:val="00322E05"/>
    <w:rsid w:val="003271D6"/>
    <w:rsid w:val="003316A5"/>
    <w:rsid w:val="003408DF"/>
    <w:rsid w:val="003465C7"/>
    <w:rsid w:val="00361A0C"/>
    <w:rsid w:val="003657D6"/>
    <w:rsid w:val="003721C0"/>
    <w:rsid w:val="0037769B"/>
    <w:rsid w:val="00381822"/>
    <w:rsid w:val="003851C8"/>
    <w:rsid w:val="00387F61"/>
    <w:rsid w:val="003927A3"/>
    <w:rsid w:val="0039482D"/>
    <w:rsid w:val="00397408"/>
    <w:rsid w:val="00397770"/>
    <w:rsid w:val="003A5C7D"/>
    <w:rsid w:val="003A714A"/>
    <w:rsid w:val="003B2B33"/>
    <w:rsid w:val="003B3B7B"/>
    <w:rsid w:val="003B3E8C"/>
    <w:rsid w:val="003B7E5C"/>
    <w:rsid w:val="003C12DF"/>
    <w:rsid w:val="003C43EC"/>
    <w:rsid w:val="003C60BB"/>
    <w:rsid w:val="003C6338"/>
    <w:rsid w:val="003D03EA"/>
    <w:rsid w:val="003D23C0"/>
    <w:rsid w:val="003D2AA3"/>
    <w:rsid w:val="003E2506"/>
    <w:rsid w:val="003E2981"/>
    <w:rsid w:val="003F74B1"/>
    <w:rsid w:val="003F7E78"/>
    <w:rsid w:val="00405421"/>
    <w:rsid w:val="00407D5E"/>
    <w:rsid w:val="00417654"/>
    <w:rsid w:val="00420F0A"/>
    <w:rsid w:val="004211BB"/>
    <w:rsid w:val="0042245E"/>
    <w:rsid w:val="00422F13"/>
    <w:rsid w:val="00424587"/>
    <w:rsid w:val="004246BA"/>
    <w:rsid w:val="00425F79"/>
    <w:rsid w:val="0043485F"/>
    <w:rsid w:val="00445BF6"/>
    <w:rsid w:val="00446BC7"/>
    <w:rsid w:val="0045014D"/>
    <w:rsid w:val="00452BE4"/>
    <w:rsid w:val="0045777B"/>
    <w:rsid w:val="00457FA9"/>
    <w:rsid w:val="004614BF"/>
    <w:rsid w:val="004617AF"/>
    <w:rsid w:val="0047186F"/>
    <w:rsid w:val="0047198F"/>
    <w:rsid w:val="00485ACA"/>
    <w:rsid w:val="0049034B"/>
    <w:rsid w:val="00493BD3"/>
    <w:rsid w:val="004971D2"/>
    <w:rsid w:val="004A1A17"/>
    <w:rsid w:val="004A2CD0"/>
    <w:rsid w:val="004A6C9E"/>
    <w:rsid w:val="004B51F1"/>
    <w:rsid w:val="004B6BD3"/>
    <w:rsid w:val="004C1EF0"/>
    <w:rsid w:val="004C297E"/>
    <w:rsid w:val="004C5044"/>
    <w:rsid w:val="004D0408"/>
    <w:rsid w:val="004E329F"/>
    <w:rsid w:val="005001B8"/>
    <w:rsid w:val="005010D9"/>
    <w:rsid w:val="00501BE5"/>
    <w:rsid w:val="005178CE"/>
    <w:rsid w:val="00523DA6"/>
    <w:rsid w:val="00525080"/>
    <w:rsid w:val="00527194"/>
    <w:rsid w:val="0052784A"/>
    <w:rsid w:val="005350A1"/>
    <w:rsid w:val="0053541E"/>
    <w:rsid w:val="00535BB8"/>
    <w:rsid w:val="0054122B"/>
    <w:rsid w:val="0054222A"/>
    <w:rsid w:val="00546DE4"/>
    <w:rsid w:val="00550B4C"/>
    <w:rsid w:val="00551497"/>
    <w:rsid w:val="00553ABA"/>
    <w:rsid w:val="00554050"/>
    <w:rsid w:val="005601E4"/>
    <w:rsid w:val="00562766"/>
    <w:rsid w:val="005671AA"/>
    <w:rsid w:val="005671C7"/>
    <w:rsid w:val="005677A2"/>
    <w:rsid w:val="00567960"/>
    <w:rsid w:val="00572686"/>
    <w:rsid w:val="00574354"/>
    <w:rsid w:val="00580701"/>
    <w:rsid w:val="0058194B"/>
    <w:rsid w:val="005850B4"/>
    <w:rsid w:val="005A6E5E"/>
    <w:rsid w:val="005A6F91"/>
    <w:rsid w:val="005B0FEF"/>
    <w:rsid w:val="005B42EA"/>
    <w:rsid w:val="005B48CF"/>
    <w:rsid w:val="005C1726"/>
    <w:rsid w:val="005D4D9B"/>
    <w:rsid w:val="005D5F92"/>
    <w:rsid w:val="005D6B04"/>
    <w:rsid w:val="005D70EF"/>
    <w:rsid w:val="005E3B09"/>
    <w:rsid w:val="005F1F5E"/>
    <w:rsid w:val="005F4A48"/>
    <w:rsid w:val="005F56C1"/>
    <w:rsid w:val="00600E58"/>
    <w:rsid w:val="0060677E"/>
    <w:rsid w:val="00607D07"/>
    <w:rsid w:val="00611165"/>
    <w:rsid w:val="00624131"/>
    <w:rsid w:val="006255A5"/>
    <w:rsid w:val="00625708"/>
    <w:rsid w:val="00630C64"/>
    <w:rsid w:val="006314B9"/>
    <w:rsid w:val="00633172"/>
    <w:rsid w:val="00634980"/>
    <w:rsid w:val="0064134D"/>
    <w:rsid w:val="00641C6E"/>
    <w:rsid w:val="006470CF"/>
    <w:rsid w:val="006517AA"/>
    <w:rsid w:val="00651D13"/>
    <w:rsid w:val="00656857"/>
    <w:rsid w:val="006616F6"/>
    <w:rsid w:val="00662176"/>
    <w:rsid w:val="00675DFA"/>
    <w:rsid w:val="006971A2"/>
    <w:rsid w:val="006A521B"/>
    <w:rsid w:val="006A56B2"/>
    <w:rsid w:val="006B0DA9"/>
    <w:rsid w:val="006C0FAC"/>
    <w:rsid w:val="006C57CF"/>
    <w:rsid w:val="006C6F3D"/>
    <w:rsid w:val="006D5250"/>
    <w:rsid w:val="006D6AAA"/>
    <w:rsid w:val="006D7570"/>
    <w:rsid w:val="006E0515"/>
    <w:rsid w:val="006E06FF"/>
    <w:rsid w:val="006E4B93"/>
    <w:rsid w:val="006E7D33"/>
    <w:rsid w:val="006E7D41"/>
    <w:rsid w:val="00703B63"/>
    <w:rsid w:val="007065F8"/>
    <w:rsid w:val="007262C7"/>
    <w:rsid w:val="00730D53"/>
    <w:rsid w:val="00730F77"/>
    <w:rsid w:val="00732CF9"/>
    <w:rsid w:val="00736E02"/>
    <w:rsid w:val="00737BA7"/>
    <w:rsid w:val="0074173B"/>
    <w:rsid w:val="00751031"/>
    <w:rsid w:val="00755EDD"/>
    <w:rsid w:val="0076402B"/>
    <w:rsid w:val="00766856"/>
    <w:rsid w:val="00770E7B"/>
    <w:rsid w:val="00770F1C"/>
    <w:rsid w:val="00776DA1"/>
    <w:rsid w:val="00780111"/>
    <w:rsid w:val="00790792"/>
    <w:rsid w:val="00792251"/>
    <w:rsid w:val="007A2E44"/>
    <w:rsid w:val="007A63A0"/>
    <w:rsid w:val="007B5B56"/>
    <w:rsid w:val="007C0BE6"/>
    <w:rsid w:val="007C1196"/>
    <w:rsid w:val="007C467F"/>
    <w:rsid w:val="007C5991"/>
    <w:rsid w:val="007D1496"/>
    <w:rsid w:val="007D6C5F"/>
    <w:rsid w:val="007E0098"/>
    <w:rsid w:val="007E1200"/>
    <w:rsid w:val="007E3A56"/>
    <w:rsid w:val="007E4F77"/>
    <w:rsid w:val="007E5787"/>
    <w:rsid w:val="007F208C"/>
    <w:rsid w:val="007F38DB"/>
    <w:rsid w:val="007F64C7"/>
    <w:rsid w:val="00801C52"/>
    <w:rsid w:val="00807CD6"/>
    <w:rsid w:val="00821AC8"/>
    <w:rsid w:val="00822CBC"/>
    <w:rsid w:val="00823238"/>
    <w:rsid w:val="008236E2"/>
    <w:rsid w:val="0082553E"/>
    <w:rsid w:val="00826189"/>
    <w:rsid w:val="0082685F"/>
    <w:rsid w:val="008276BB"/>
    <w:rsid w:val="00830C5F"/>
    <w:rsid w:val="00834CFB"/>
    <w:rsid w:val="00834FB0"/>
    <w:rsid w:val="008368E8"/>
    <w:rsid w:val="0084256E"/>
    <w:rsid w:val="00855FCA"/>
    <w:rsid w:val="008643E6"/>
    <w:rsid w:val="00866199"/>
    <w:rsid w:val="00866251"/>
    <w:rsid w:val="00867A5E"/>
    <w:rsid w:val="00874494"/>
    <w:rsid w:val="00874920"/>
    <w:rsid w:val="00890A6D"/>
    <w:rsid w:val="00892F97"/>
    <w:rsid w:val="00893C19"/>
    <w:rsid w:val="00894C00"/>
    <w:rsid w:val="00897BCF"/>
    <w:rsid w:val="008A11F3"/>
    <w:rsid w:val="008A6E79"/>
    <w:rsid w:val="008B39B1"/>
    <w:rsid w:val="008C0BE3"/>
    <w:rsid w:val="008C324F"/>
    <w:rsid w:val="008C4A28"/>
    <w:rsid w:val="008D230C"/>
    <w:rsid w:val="008D275E"/>
    <w:rsid w:val="008E29AE"/>
    <w:rsid w:val="008E31E8"/>
    <w:rsid w:val="008E3658"/>
    <w:rsid w:val="008E6EC5"/>
    <w:rsid w:val="008F3283"/>
    <w:rsid w:val="0090022F"/>
    <w:rsid w:val="00900583"/>
    <w:rsid w:val="00905AEE"/>
    <w:rsid w:val="0091048C"/>
    <w:rsid w:val="00912272"/>
    <w:rsid w:val="009158EB"/>
    <w:rsid w:val="00930851"/>
    <w:rsid w:val="00932C05"/>
    <w:rsid w:val="009461C4"/>
    <w:rsid w:val="009616AB"/>
    <w:rsid w:val="00974603"/>
    <w:rsid w:val="00976F41"/>
    <w:rsid w:val="00977C69"/>
    <w:rsid w:val="009876D4"/>
    <w:rsid w:val="00991E2E"/>
    <w:rsid w:val="009A0496"/>
    <w:rsid w:val="009A067A"/>
    <w:rsid w:val="009A7A99"/>
    <w:rsid w:val="009C1231"/>
    <w:rsid w:val="009C17FD"/>
    <w:rsid w:val="009C742B"/>
    <w:rsid w:val="009D1123"/>
    <w:rsid w:val="009D2482"/>
    <w:rsid w:val="009D358C"/>
    <w:rsid w:val="009D588F"/>
    <w:rsid w:val="009E6424"/>
    <w:rsid w:val="009F01D9"/>
    <w:rsid w:val="009F05FE"/>
    <w:rsid w:val="009F0AD0"/>
    <w:rsid w:val="009F1F3A"/>
    <w:rsid w:val="00A02E2B"/>
    <w:rsid w:val="00A04F88"/>
    <w:rsid w:val="00A162C1"/>
    <w:rsid w:val="00A16C61"/>
    <w:rsid w:val="00A231FD"/>
    <w:rsid w:val="00A233E8"/>
    <w:rsid w:val="00A30B4F"/>
    <w:rsid w:val="00A32F1F"/>
    <w:rsid w:val="00A40D0A"/>
    <w:rsid w:val="00A46375"/>
    <w:rsid w:val="00A47626"/>
    <w:rsid w:val="00A522FE"/>
    <w:rsid w:val="00A648F0"/>
    <w:rsid w:val="00A66950"/>
    <w:rsid w:val="00A66CA0"/>
    <w:rsid w:val="00A70AD3"/>
    <w:rsid w:val="00A7478A"/>
    <w:rsid w:val="00A8422C"/>
    <w:rsid w:val="00A902F5"/>
    <w:rsid w:val="00A9399D"/>
    <w:rsid w:val="00A950E4"/>
    <w:rsid w:val="00A95FC4"/>
    <w:rsid w:val="00A965EB"/>
    <w:rsid w:val="00AA0BC5"/>
    <w:rsid w:val="00AA0BD6"/>
    <w:rsid w:val="00AA3E4D"/>
    <w:rsid w:val="00AA4819"/>
    <w:rsid w:val="00AA5D60"/>
    <w:rsid w:val="00AA6894"/>
    <w:rsid w:val="00AA75E3"/>
    <w:rsid w:val="00AA7CCF"/>
    <w:rsid w:val="00AB2DE8"/>
    <w:rsid w:val="00AB47CE"/>
    <w:rsid w:val="00AB7387"/>
    <w:rsid w:val="00AC020C"/>
    <w:rsid w:val="00AC681A"/>
    <w:rsid w:val="00AD2377"/>
    <w:rsid w:val="00AD3D99"/>
    <w:rsid w:val="00AD49B8"/>
    <w:rsid w:val="00AD4FA6"/>
    <w:rsid w:val="00AE1EAF"/>
    <w:rsid w:val="00AE3FBB"/>
    <w:rsid w:val="00AE5912"/>
    <w:rsid w:val="00AF433B"/>
    <w:rsid w:val="00B012C6"/>
    <w:rsid w:val="00B0392C"/>
    <w:rsid w:val="00B06D9C"/>
    <w:rsid w:val="00B071A2"/>
    <w:rsid w:val="00B072DC"/>
    <w:rsid w:val="00B108DA"/>
    <w:rsid w:val="00B143D1"/>
    <w:rsid w:val="00B148ED"/>
    <w:rsid w:val="00B15B26"/>
    <w:rsid w:val="00B21230"/>
    <w:rsid w:val="00B277A4"/>
    <w:rsid w:val="00B27A85"/>
    <w:rsid w:val="00B31087"/>
    <w:rsid w:val="00B312A8"/>
    <w:rsid w:val="00B322CB"/>
    <w:rsid w:val="00B33FBB"/>
    <w:rsid w:val="00B47411"/>
    <w:rsid w:val="00B47DF2"/>
    <w:rsid w:val="00B57878"/>
    <w:rsid w:val="00B62615"/>
    <w:rsid w:val="00B64AF7"/>
    <w:rsid w:val="00B705C2"/>
    <w:rsid w:val="00B71C47"/>
    <w:rsid w:val="00B72B9A"/>
    <w:rsid w:val="00B76353"/>
    <w:rsid w:val="00B770DA"/>
    <w:rsid w:val="00B807BB"/>
    <w:rsid w:val="00B80A74"/>
    <w:rsid w:val="00B87C83"/>
    <w:rsid w:val="00B92F82"/>
    <w:rsid w:val="00BA5827"/>
    <w:rsid w:val="00BA6CD8"/>
    <w:rsid w:val="00BB0470"/>
    <w:rsid w:val="00BB178B"/>
    <w:rsid w:val="00BB5B3C"/>
    <w:rsid w:val="00BB6957"/>
    <w:rsid w:val="00BC11EA"/>
    <w:rsid w:val="00BC14C3"/>
    <w:rsid w:val="00BC1A52"/>
    <w:rsid w:val="00BC3031"/>
    <w:rsid w:val="00BC7A22"/>
    <w:rsid w:val="00BC7D55"/>
    <w:rsid w:val="00BD5BE3"/>
    <w:rsid w:val="00BE1896"/>
    <w:rsid w:val="00BE1A31"/>
    <w:rsid w:val="00BE7825"/>
    <w:rsid w:val="00BF0063"/>
    <w:rsid w:val="00BF54A9"/>
    <w:rsid w:val="00BF5EA6"/>
    <w:rsid w:val="00BF6224"/>
    <w:rsid w:val="00C001A7"/>
    <w:rsid w:val="00C00CF4"/>
    <w:rsid w:val="00C0419B"/>
    <w:rsid w:val="00C05602"/>
    <w:rsid w:val="00C07DFA"/>
    <w:rsid w:val="00C10567"/>
    <w:rsid w:val="00C110B1"/>
    <w:rsid w:val="00C1289E"/>
    <w:rsid w:val="00C172AF"/>
    <w:rsid w:val="00C24303"/>
    <w:rsid w:val="00C2502F"/>
    <w:rsid w:val="00C33526"/>
    <w:rsid w:val="00C414EF"/>
    <w:rsid w:val="00C45EA3"/>
    <w:rsid w:val="00C5317E"/>
    <w:rsid w:val="00C561E7"/>
    <w:rsid w:val="00C61A6A"/>
    <w:rsid w:val="00C62D09"/>
    <w:rsid w:val="00C65DA1"/>
    <w:rsid w:val="00C66AFC"/>
    <w:rsid w:val="00C722CB"/>
    <w:rsid w:val="00C737BF"/>
    <w:rsid w:val="00C86488"/>
    <w:rsid w:val="00C961A3"/>
    <w:rsid w:val="00C96A67"/>
    <w:rsid w:val="00CA00B8"/>
    <w:rsid w:val="00CA03FA"/>
    <w:rsid w:val="00CB2794"/>
    <w:rsid w:val="00CC0C4F"/>
    <w:rsid w:val="00CC3DE4"/>
    <w:rsid w:val="00CC765A"/>
    <w:rsid w:val="00CD052E"/>
    <w:rsid w:val="00CD1AFB"/>
    <w:rsid w:val="00CD4495"/>
    <w:rsid w:val="00CD61D0"/>
    <w:rsid w:val="00CE158D"/>
    <w:rsid w:val="00CE249F"/>
    <w:rsid w:val="00CE4E8D"/>
    <w:rsid w:val="00CE6043"/>
    <w:rsid w:val="00CF016D"/>
    <w:rsid w:val="00CF09B5"/>
    <w:rsid w:val="00CF09F1"/>
    <w:rsid w:val="00CF4B4F"/>
    <w:rsid w:val="00CF66AA"/>
    <w:rsid w:val="00D0327B"/>
    <w:rsid w:val="00D11CA4"/>
    <w:rsid w:val="00D13CA7"/>
    <w:rsid w:val="00D24384"/>
    <w:rsid w:val="00D261F8"/>
    <w:rsid w:val="00D274F4"/>
    <w:rsid w:val="00D373A7"/>
    <w:rsid w:val="00D40952"/>
    <w:rsid w:val="00D509D0"/>
    <w:rsid w:val="00D511E1"/>
    <w:rsid w:val="00D60865"/>
    <w:rsid w:val="00D60ABE"/>
    <w:rsid w:val="00D7081C"/>
    <w:rsid w:val="00D70926"/>
    <w:rsid w:val="00D735DA"/>
    <w:rsid w:val="00D75030"/>
    <w:rsid w:val="00D76005"/>
    <w:rsid w:val="00D82C22"/>
    <w:rsid w:val="00D83EF2"/>
    <w:rsid w:val="00D86D1C"/>
    <w:rsid w:val="00D87E56"/>
    <w:rsid w:val="00D9248E"/>
    <w:rsid w:val="00D928C7"/>
    <w:rsid w:val="00D9343D"/>
    <w:rsid w:val="00D9379D"/>
    <w:rsid w:val="00D95864"/>
    <w:rsid w:val="00DA0CF4"/>
    <w:rsid w:val="00DA434F"/>
    <w:rsid w:val="00DA5083"/>
    <w:rsid w:val="00DA516E"/>
    <w:rsid w:val="00DA516F"/>
    <w:rsid w:val="00DA7009"/>
    <w:rsid w:val="00DA7C59"/>
    <w:rsid w:val="00DB0B7F"/>
    <w:rsid w:val="00DB5D5B"/>
    <w:rsid w:val="00DC051D"/>
    <w:rsid w:val="00DC5792"/>
    <w:rsid w:val="00DC5B4A"/>
    <w:rsid w:val="00DD135C"/>
    <w:rsid w:val="00DD3C6C"/>
    <w:rsid w:val="00DD726E"/>
    <w:rsid w:val="00DE0878"/>
    <w:rsid w:val="00DE155C"/>
    <w:rsid w:val="00DE15E1"/>
    <w:rsid w:val="00DF0CBB"/>
    <w:rsid w:val="00DF0D0F"/>
    <w:rsid w:val="00DF13AD"/>
    <w:rsid w:val="00DF1E00"/>
    <w:rsid w:val="00DF2F47"/>
    <w:rsid w:val="00DF3D7E"/>
    <w:rsid w:val="00DF5B19"/>
    <w:rsid w:val="00E10D78"/>
    <w:rsid w:val="00E11760"/>
    <w:rsid w:val="00E1705B"/>
    <w:rsid w:val="00E229B3"/>
    <w:rsid w:val="00E26A0D"/>
    <w:rsid w:val="00E26ABB"/>
    <w:rsid w:val="00E279B9"/>
    <w:rsid w:val="00E31693"/>
    <w:rsid w:val="00E35799"/>
    <w:rsid w:val="00E359FA"/>
    <w:rsid w:val="00E4047F"/>
    <w:rsid w:val="00E4420D"/>
    <w:rsid w:val="00E46412"/>
    <w:rsid w:val="00E55465"/>
    <w:rsid w:val="00E57086"/>
    <w:rsid w:val="00E60933"/>
    <w:rsid w:val="00E66DE5"/>
    <w:rsid w:val="00E7581B"/>
    <w:rsid w:val="00E80E4C"/>
    <w:rsid w:val="00E8424F"/>
    <w:rsid w:val="00E91D77"/>
    <w:rsid w:val="00E91E6E"/>
    <w:rsid w:val="00E93146"/>
    <w:rsid w:val="00E976F5"/>
    <w:rsid w:val="00EA273B"/>
    <w:rsid w:val="00EB0C0B"/>
    <w:rsid w:val="00EB23E7"/>
    <w:rsid w:val="00EB4E8D"/>
    <w:rsid w:val="00EC1F8B"/>
    <w:rsid w:val="00ED017F"/>
    <w:rsid w:val="00ED40DA"/>
    <w:rsid w:val="00EE2BF9"/>
    <w:rsid w:val="00EF026F"/>
    <w:rsid w:val="00EF3D9A"/>
    <w:rsid w:val="00EF4A79"/>
    <w:rsid w:val="00F01C94"/>
    <w:rsid w:val="00F04D19"/>
    <w:rsid w:val="00F06CB4"/>
    <w:rsid w:val="00F13108"/>
    <w:rsid w:val="00F14C14"/>
    <w:rsid w:val="00F15E09"/>
    <w:rsid w:val="00F17595"/>
    <w:rsid w:val="00F17D26"/>
    <w:rsid w:val="00F2270A"/>
    <w:rsid w:val="00F26DB7"/>
    <w:rsid w:val="00F3161C"/>
    <w:rsid w:val="00F341B8"/>
    <w:rsid w:val="00F40331"/>
    <w:rsid w:val="00F44676"/>
    <w:rsid w:val="00F50F14"/>
    <w:rsid w:val="00F52BED"/>
    <w:rsid w:val="00F55084"/>
    <w:rsid w:val="00F61E33"/>
    <w:rsid w:val="00F65ABE"/>
    <w:rsid w:val="00F7060C"/>
    <w:rsid w:val="00F70D25"/>
    <w:rsid w:val="00F73770"/>
    <w:rsid w:val="00F762A0"/>
    <w:rsid w:val="00F829EB"/>
    <w:rsid w:val="00F87C13"/>
    <w:rsid w:val="00F910C2"/>
    <w:rsid w:val="00F92177"/>
    <w:rsid w:val="00F927A4"/>
    <w:rsid w:val="00F9596B"/>
    <w:rsid w:val="00F95BD3"/>
    <w:rsid w:val="00F961A5"/>
    <w:rsid w:val="00F96980"/>
    <w:rsid w:val="00F96BEA"/>
    <w:rsid w:val="00F9779F"/>
    <w:rsid w:val="00FA6931"/>
    <w:rsid w:val="00FA79EE"/>
    <w:rsid w:val="00FB0F44"/>
    <w:rsid w:val="00FB25AF"/>
    <w:rsid w:val="00FB5E8B"/>
    <w:rsid w:val="00FD18FA"/>
    <w:rsid w:val="00FD20F8"/>
    <w:rsid w:val="00FD2AB9"/>
    <w:rsid w:val="00FD540E"/>
    <w:rsid w:val="00FD7F92"/>
    <w:rsid w:val="00FE1530"/>
    <w:rsid w:val="00FE3E6B"/>
    <w:rsid w:val="00FE79B6"/>
    <w:rsid w:val="00FF29A8"/>
    <w:rsid w:val="00FF2C32"/>
    <w:rsid w:val="00FF6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3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96BEA"/>
    <w:pPr>
      <w:spacing w:after="240" w:line="240" w:lineRule="auto"/>
    </w:pPr>
  </w:style>
  <w:style w:type="character" w:styleId="CommentReference">
    <w:name w:val="annotation reference"/>
    <w:basedOn w:val="DefaultParagraphFont"/>
    <w:uiPriority w:val="99"/>
    <w:semiHidden/>
    <w:unhideWhenUsed/>
    <w:rsid w:val="003D23C0"/>
    <w:rPr>
      <w:sz w:val="16"/>
      <w:szCs w:val="16"/>
    </w:rPr>
  </w:style>
  <w:style w:type="paragraph" w:styleId="CommentText">
    <w:name w:val="annotation text"/>
    <w:basedOn w:val="Normal"/>
    <w:link w:val="CommentTextChar"/>
    <w:uiPriority w:val="99"/>
    <w:semiHidden/>
    <w:unhideWhenUsed/>
    <w:rsid w:val="003D23C0"/>
    <w:pPr>
      <w:spacing w:line="240" w:lineRule="auto"/>
    </w:pPr>
    <w:rPr>
      <w:sz w:val="20"/>
      <w:szCs w:val="20"/>
    </w:rPr>
  </w:style>
  <w:style w:type="character" w:customStyle="1" w:styleId="CommentTextChar">
    <w:name w:val="Comment Text Char"/>
    <w:basedOn w:val="DefaultParagraphFont"/>
    <w:link w:val="CommentText"/>
    <w:uiPriority w:val="99"/>
    <w:semiHidden/>
    <w:rsid w:val="003D23C0"/>
    <w:rPr>
      <w:sz w:val="20"/>
      <w:szCs w:val="20"/>
    </w:rPr>
  </w:style>
  <w:style w:type="paragraph" w:styleId="CommentSubject">
    <w:name w:val="annotation subject"/>
    <w:basedOn w:val="CommentText"/>
    <w:next w:val="CommentText"/>
    <w:link w:val="CommentSubjectChar"/>
    <w:uiPriority w:val="99"/>
    <w:semiHidden/>
    <w:unhideWhenUsed/>
    <w:rsid w:val="003D23C0"/>
    <w:rPr>
      <w:b/>
      <w:bCs/>
    </w:rPr>
  </w:style>
  <w:style w:type="character" w:customStyle="1" w:styleId="CommentSubjectChar">
    <w:name w:val="Comment Subject Char"/>
    <w:basedOn w:val="CommentTextChar"/>
    <w:link w:val="CommentSubject"/>
    <w:uiPriority w:val="99"/>
    <w:semiHidden/>
    <w:rsid w:val="003D23C0"/>
    <w:rPr>
      <w:b/>
      <w:bCs/>
      <w:sz w:val="20"/>
      <w:szCs w:val="20"/>
    </w:rPr>
  </w:style>
  <w:style w:type="paragraph" w:styleId="BalloonText">
    <w:name w:val="Balloon Text"/>
    <w:basedOn w:val="Normal"/>
    <w:link w:val="BalloonTextChar"/>
    <w:uiPriority w:val="99"/>
    <w:semiHidden/>
    <w:unhideWhenUsed/>
    <w:rsid w:val="003D2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3C0"/>
    <w:rPr>
      <w:rFonts w:ascii="Tahoma" w:hAnsi="Tahoma" w:cs="Tahoma"/>
      <w:sz w:val="16"/>
      <w:szCs w:val="16"/>
    </w:rPr>
  </w:style>
  <w:style w:type="paragraph" w:styleId="ListParagraph">
    <w:name w:val="List Paragraph"/>
    <w:basedOn w:val="Normal"/>
    <w:uiPriority w:val="34"/>
    <w:qFormat/>
    <w:rsid w:val="00445BF6"/>
    <w:pPr>
      <w:ind w:left="720"/>
      <w:contextualSpacing/>
    </w:pPr>
    <w:rPr>
      <w:lang w:val="en-GB"/>
    </w:rPr>
  </w:style>
  <w:style w:type="table" w:styleId="TableGrid">
    <w:name w:val="Table Grid"/>
    <w:basedOn w:val="TableNormal"/>
    <w:uiPriority w:val="59"/>
    <w:rsid w:val="00445BF6"/>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2F82"/>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B92F82"/>
    <w:rPr>
      <w:lang w:val="en-GB"/>
    </w:rPr>
  </w:style>
  <w:style w:type="paragraph" w:styleId="Footer">
    <w:name w:val="footer"/>
    <w:basedOn w:val="Normal"/>
    <w:link w:val="FooterChar"/>
    <w:uiPriority w:val="99"/>
    <w:unhideWhenUsed/>
    <w:rsid w:val="00B92F82"/>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B92F82"/>
    <w:rPr>
      <w:lang w:val="en-GB"/>
    </w:rPr>
  </w:style>
  <w:style w:type="paragraph" w:styleId="NormalWeb">
    <w:name w:val="Normal (Web)"/>
    <w:basedOn w:val="Normal"/>
    <w:rsid w:val="00E279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27A3"/>
    <w:rPr>
      <w:color w:val="0000FF"/>
      <w:u w:val="single"/>
    </w:rPr>
  </w:style>
  <w:style w:type="paragraph" w:styleId="NoSpacing">
    <w:name w:val="No Spacing"/>
    <w:basedOn w:val="Normal"/>
    <w:link w:val="NoSpacingChar"/>
    <w:qFormat/>
    <w:rsid w:val="00FE79B6"/>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FE79B6"/>
    <w:rPr>
      <w:rFonts w:ascii="Times New Roman" w:eastAsia="宋体" w:hAnsi="Times New Roman" w:cs="Times New Roman"/>
      <w:sz w:val="24"/>
      <w:szCs w:val="24"/>
    </w:rPr>
  </w:style>
  <w:style w:type="character" w:customStyle="1" w:styleId="msonormal0">
    <w:name w:val="msonormal0"/>
    <w:basedOn w:val="DefaultParagraphFont"/>
    <w:rsid w:val="00FE79B6"/>
  </w:style>
</w:styles>
</file>

<file path=word/webSettings.xml><?xml version="1.0" encoding="utf-8"?>
<w:webSettings xmlns:r="http://schemas.openxmlformats.org/officeDocument/2006/relationships" xmlns:w="http://schemas.openxmlformats.org/wordprocessingml/2006/main">
  <w:divs>
    <w:div w:id="411898188">
      <w:bodyDiv w:val="1"/>
      <w:marLeft w:val="0"/>
      <w:marRight w:val="0"/>
      <w:marTop w:val="0"/>
      <w:marBottom w:val="0"/>
      <w:divBdr>
        <w:top w:val="none" w:sz="0" w:space="0" w:color="auto"/>
        <w:left w:val="none" w:sz="0" w:space="0" w:color="auto"/>
        <w:bottom w:val="none" w:sz="0" w:space="0" w:color="auto"/>
        <w:right w:val="none" w:sz="0" w:space="0" w:color="auto"/>
      </w:divBdr>
    </w:div>
    <w:div w:id="921257274">
      <w:bodyDiv w:val="1"/>
      <w:marLeft w:val="0"/>
      <w:marRight w:val="0"/>
      <w:marTop w:val="0"/>
      <w:marBottom w:val="0"/>
      <w:divBdr>
        <w:top w:val="none" w:sz="0" w:space="0" w:color="auto"/>
        <w:left w:val="none" w:sz="0" w:space="0" w:color="auto"/>
        <w:bottom w:val="none" w:sz="0" w:space="0" w:color="auto"/>
        <w:right w:val="none" w:sz="0" w:space="0" w:color="auto"/>
      </w:divBdr>
    </w:div>
    <w:div w:id="1199197396">
      <w:bodyDiv w:val="1"/>
      <w:marLeft w:val="0"/>
      <w:marRight w:val="0"/>
      <w:marTop w:val="0"/>
      <w:marBottom w:val="0"/>
      <w:divBdr>
        <w:top w:val="none" w:sz="0" w:space="0" w:color="auto"/>
        <w:left w:val="none" w:sz="0" w:space="0" w:color="auto"/>
        <w:bottom w:val="none" w:sz="0" w:space="0" w:color="auto"/>
        <w:right w:val="none" w:sz="0" w:space="0" w:color="auto"/>
      </w:divBdr>
    </w:div>
    <w:div w:id="1896967141">
      <w:bodyDiv w:val="1"/>
      <w:marLeft w:val="0"/>
      <w:marRight w:val="0"/>
      <w:marTop w:val="0"/>
      <w:marBottom w:val="0"/>
      <w:divBdr>
        <w:top w:val="none" w:sz="0" w:space="0" w:color="auto"/>
        <w:left w:val="none" w:sz="0" w:space="0" w:color="auto"/>
        <w:bottom w:val="none" w:sz="0" w:space="0" w:color="auto"/>
        <w:right w:val="none" w:sz="0" w:space="0" w:color="auto"/>
      </w:divBdr>
    </w:div>
    <w:div w:id="19498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rihab2013@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hab.saad@nci.cu.edu.e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x.doi.org/10.7537/marscbj080418.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ncerbio.net"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nkml:ink xmlns:inkml="http://www.w3.org/2003/InkML">
  <inkml:definitions>
    <inkml:context xml:id="ctx0">
      <inkml:inkSource xml:id="inkSrc0">
        <inkml:traceFormat>
          <inkml:channel name="X" type="integer" max="800" units="cm"/>
          <inkml:channel name="Y" type="integer" max="1280" units="cm"/>
        </inkml:traceFormat>
        <inkml:channelProperties>
          <inkml:channelProperty channel="X" name="resolution" value="50.40958" units="1/cm"/>
          <inkml:channelProperty channel="Y" name="resolution" value="107.47271" units="1/cm"/>
        </inkml:channelProperties>
      </inkml:inkSource>
      <inkml:timestamp xml:id="ts0" timeString="2017-08-25T10:12:06.572"/>
    </inkml:context>
    <inkml:brush xml:id="br0">
      <inkml:brushProperty name="width" value="0.06667" units="cm"/>
      <inkml:brushProperty name="height" value="0.06667" units="cm"/>
      <inkml:brushProperty name="fitToCurve" value="1"/>
    </inkml:brush>
  </inkml:definitions>
  <inkml:trace contextRef="#ctx0" brushRef="#br0">0 0,'0'0,"0"0,0 0</inkml:trace>
</inkml:ink>
</file>

<file path=customXml/item2.xml><?xml version="1.0" encoding="utf-8"?>
<inkml:ink xmlns:inkml="http://www.w3.org/2003/InkML">
  <inkml:definitions>
    <inkml:context xml:id="ctx0">
      <inkml:inkSource xml:id="inkSrc0">
        <inkml:traceFormat>
          <inkml:channel name="X" type="integer" max="800" units="cm"/>
          <inkml:channel name="Y" type="integer" max="1280" units="cm"/>
        </inkml:traceFormat>
        <inkml:channelProperties>
          <inkml:channelProperty channel="X" name="resolution" value="50.40958" units="1/cm"/>
          <inkml:channelProperty channel="Y" name="resolution" value="107.47271" units="1/cm"/>
        </inkml:channelProperties>
      </inkml:inkSource>
      <inkml:timestamp xml:id="ts0" timeString="2018-12-10T15:07:06.484"/>
    </inkml:context>
    <inkml:brush xml:id="br0">
      <inkml:brushProperty name="width" value="0.06667" units="cm"/>
      <inkml:brushProperty name="height" value="0.06667" units="cm"/>
      <inkml:brushProperty name="fitToCurve" value="1"/>
    </inkml:brush>
  </inkml:definitions>
  <inkml:trace contextRef="#ctx0" brushRef="#br0">0 0,'0'0,"0"0,0 0</inkml:trace>
</inkml:ink>
</file>

<file path=customXml/item3.xml><?xml version="1.0" encoding="utf-8"?>
<inkml:ink xmlns:inkml="http://www.w3.org/2003/InkML">
  <inkml:definitions>
    <inkml:context xml:id="ctx0">
      <inkml:inkSource xml:id="inkSrc0">
        <inkml:traceFormat>
          <inkml:channel name="X" type="integer" max="800" units="cm"/>
          <inkml:channel name="Y" type="integer" max="1280" units="cm"/>
        </inkml:traceFormat>
        <inkml:channelProperties>
          <inkml:channelProperty channel="X" name="resolution" value="50.40958" units="1/cm"/>
          <inkml:channelProperty channel="Y" name="resolution" value="107.47271" units="1/cm"/>
        </inkml:channelProperties>
      </inkml:inkSource>
      <inkml:timestamp xml:id="ts0" timeString="2017-08-25T10:12:04.994"/>
    </inkml:context>
    <inkml:brush xml:id="br0">
      <inkml:brushProperty name="width" value="0.06667" units="cm"/>
      <inkml:brushProperty name="height" value="0.06667" units="cm"/>
      <inkml:brushProperty name="fitToCurve" value="1"/>
    </inkml:brush>
  </inkml:definitions>
  <inkml:trace contextRef="#ctx0" brushRef="#br0">0 0,'0'0,"0"0,0 0</inkml:trace>
</inkml:ink>
</file>

<file path=customXml/item4.xml><?xml version="1.0" encoding="utf-8"?>
<inkml:ink xmlns:inkml="http://www.w3.org/2003/InkML">
  <inkml:definitions>
    <inkml:context xml:id="ctx0">
      <inkml:inkSource xml:id="inkSrc0">
        <inkml:traceFormat>
          <inkml:channel name="X" type="integer" max="800" units="cm"/>
          <inkml:channel name="Y" type="integer" max="1280" units="cm"/>
        </inkml:traceFormat>
        <inkml:channelProperties>
          <inkml:channelProperty channel="X" name="resolution" value="50.40958" units="1/cm"/>
          <inkml:channelProperty channel="Y" name="resolution" value="107.47271" units="1/cm"/>
        </inkml:channelProperties>
      </inkml:inkSource>
      <inkml:timestamp xml:id="ts0" timeString="2017-08-25T10:12:10.401"/>
    </inkml:context>
    <inkml:brush xml:id="br0">
      <inkml:brushProperty name="width" value="0.06667" units="cm"/>
      <inkml:brushProperty name="height" value="0.06667" units="cm"/>
      <inkml:brushProperty name="fitToCurve" value="1"/>
    </inkml:brush>
  </inkml:definitions>
  <inkml:trace contextRef="#ctx0" brushRef="#br0">0 0,'0'0,"0"0</inkml:trace>
</inkml:ink>
</file>

<file path=customXml/item5.xml><?xml version="1.0" encoding="utf-8"?>
<inkml:ink xmlns:inkml="http://www.w3.org/2003/InkML">
  <inkml:definitions>
    <inkml:context xml:id="ctx0">
      <inkml:inkSource xml:id="inkSrc0">
        <inkml:traceFormat>
          <inkml:channel name="X" type="integer" max="800" units="cm"/>
          <inkml:channel name="Y" type="integer" max="1280" units="cm"/>
        </inkml:traceFormat>
        <inkml:channelProperties>
          <inkml:channelProperty channel="X" name="resolution" value="50.40958" units="1/cm"/>
          <inkml:channelProperty channel="Y" name="resolution" value="107.47271" units="1/cm"/>
        </inkml:channelProperties>
      </inkml:inkSource>
      <inkml:timestamp xml:id="ts0" timeString="2018-12-10T15:07:06.483"/>
    </inkml:context>
    <inkml:brush xml:id="br0">
      <inkml:brushProperty name="width" value="0.06667" units="cm"/>
      <inkml:brushProperty name="height" value="0.06667" units="cm"/>
      <inkml:brushProperty name="fitToCurve" value="1"/>
    </inkml:brush>
  </inkml:definitions>
  <inkml:trace contextRef="#ctx0" brushRef="#br0">0 0,'0'0,"0"0,0 0</inkml:trace>
</inkml:ink>
</file>

<file path=customXml/itemProps1.xml><?xml version="1.0" encoding="utf-8"?>
<ds:datastoreItem xmlns:ds="http://schemas.openxmlformats.org/officeDocument/2006/customXml" ds:itemID="{E1388348-0A13-44C7-8A3D-BF62AAEBC10A}">
  <ds:schemaRefs>
    <ds:schemaRef ds:uri="http://www.w3.org/2003/InkML"/>
  </ds:schemaRefs>
</ds:datastoreItem>
</file>

<file path=customXml/itemProps2.xml><?xml version="1.0" encoding="utf-8"?>
<ds:datastoreItem xmlns:ds="http://schemas.openxmlformats.org/officeDocument/2006/customXml" ds:itemID="{F6C11479-B1B8-4B60-90A5-395783FA1739}">
  <ds:schemaRefs>
    <ds:schemaRef ds:uri="http://www.w3.org/2003/InkML"/>
  </ds:schemaRefs>
</ds:datastoreItem>
</file>

<file path=customXml/itemProps3.xml><?xml version="1.0" encoding="utf-8"?>
<ds:datastoreItem xmlns:ds="http://schemas.openxmlformats.org/officeDocument/2006/customXml" ds:itemID="{5B644B6A-2DD9-4D94-8497-5364051E08D1}">
  <ds:schemaRefs>
    <ds:schemaRef ds:uri="http://www.w3.org/2003/InkML"/>
  </ds:schemaRefs>
</ds:datastoreItem>
</file>

<file path=customXml/itemProps4.xml><?xml version="1.0" encoding="utf-8"?>
<ds:datastoreItem xmlns:ds="http://schemas.openxmlformats.org/officeDocument/2006/customXml" ds:itemID="{49EA58A2-A02F-40DE-A7CD-8054A313F55D}">
  <ds:schemaRefs>
    <ds:schemaRef ds:uri="http://www.w3.org/2003/InkML"/>
  </ds:schemaRefs>
</ds:datastoreItem>
</file>

<file path=customXml/itemProps5.xml><?xml version="1.0" encoding="utf-8"?>
<ds:datastoreItem xmlns:ds="http://schemas.openxmlformats.org/officeDocument/2006/customXml" ds:itemID="{A07DB25A-AAA9-4C4C-A480-10CFD0661F28}">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19906</Words>
  <Characters>113470</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133110</CharactersWithSpaces>
  <SharedDoc>false</SharedDoc>
  <HLinks>
    <vt:vector size="24" baseType="variant">
      <vt:variant>
        <vt:i4>5505026</vt:i4>
      </vt:variant>
      <vt:variant>
        <vt:i4>6</vt:i4>
      </vt:variant>
      <vt:variant>
        <vt:i4>0</vt:i4>
      </vt:variant>
      <vt:variant>
        <vt:i4>5</vt:i4>
      </vt:variant>
      <vt:variant>
        <vt:lpwstr>http://www.cancerbio.net/</vt:lpwstr>
      </vt:variant>
      <vt:variant>
        <vt:lpwstr/>
      </vt:variant>
      <vt:variant>
        <vt:i4>524344</vt:i4>
      </vt:variant>
      <vt:variant>
        <vt:i4>3</vt:i4>
      </vt:variant>
      <vt:variant>
        <vt:i4>0</vt:i4>
      </vt:variant>
      <vt:variant>
        <vt:i4>5</vt:i4>
      </vt:variant>
      <vt:variant>
        <vt:lpwstr>mailto:drihab2013@gmail.com</vt:lpwstr>
      </vt:variant>
      <vt:variant>
        <vt:lpwstr/>
      </vt:variant>
      <vt:variant>
        <vt:i4>2490463</vt:i4>
      </vt:variant>
      <vt:variant>
        <vt:i4>0</vt:i4>
      </vt:variant>
      <vt:variant>
        <vt:i4>0</vt:i4>
      </vt:variant>
      <vt:variant>
        <vt:i4>5</vt:i4>
      </vt:variant>
      <vt:variant>
        <vt:lpwstr>mailto:Ihab.saad@nci.cu.edu.eg</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Salah</dc:creator>
  <cp:lastModifiedBy>Administrator</cp:lastModifiedBy>
  <cp:revision>3</cp:revision>
  <dcterms:created xsi:type="dcterms:W3CDTF">2018-12-13T10:16:00Z</dcterms:created>
  <dcterms:modified xsi:type="dcterms:W3CDTF">2018-12-15T03:28:00Z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id="EEcMxIrF"/&gt;&lt;style id="http://www.zotero.org/styles/springer-vancouver-brackets" locale="en-US" hasBibliography="1" bibliographyStyleHasBeenSet="1"/&gt;&lt;prefs&gt;&lt;pref name="fieldType" value="Field"/&gt;&lt;p</vt:lpwstr>
  </property>
  <property fmtid="{D5CDD505-2E9C-101B-9397-08002B2CF9AE}" pid="3" name="ZOTERO_PREF_2">
    <vt:lpwstr>ref name="automaticJournalAbbreviations" value="true"/&gt;&lt;/prefs&gt;&lt;/data&gt;</vt:lpwstr>
  </property>
</Properties>
</file>