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3A" w:rsidRPr="00087BC6" w:rsidRDefault="008A4918" w:rsidP="00087BC6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87BC6">
        <w:rPr>
          <w:b/>
          <w:bCs/>
          <w:sz w:val="20"/>
          <w:szCs w:val="20"/>
          <w:lang w:bidi="ar-SA"/>
        </w:rPr>
        <w:t>Modified FOLFIRINOX Regimen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as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Front-Line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T</w:t>
      </w:r>
      <w:r w:rsidR="005A5FD0" w:rsidRPr="00087BC6">
        <w:rPr>
          <w:b/>
          <w:bCs/>
          <w:sz w:val="20"/>
          <w:szCs w:val="20"/>
          <w:lang w:bidi="ar-SA"/>
        </w:rPr>
        <w:t>h</w:t>
      </w:r>
      <w:r w:rsidRPr="00087BC6">
        <w:rPr>
          <w:b/>
          <w:bCs/>
          <w:sz w:val="20"/>
          <w:szCs w:val="20"/>
          <w:lang w:bidi="ar-SA"/>
        </w:rPr>
        <w:t>erapy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for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Metastatic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Pancreatic</w:t>
      </w:r>
      <w:r w:rsidR="002B0D3A" w:rsidRPr="00087BC6">
        <w:rPr>
          <w:b/>
          <w:bCs/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A</w:t>
      </w:r>
      <w:r w:rsidRPr="00087BC6">
        <w:rPr>
          <w:b/>
          <w:bCs/>
          <w:sz w:val="20"/>
          <w:szCs w:val="20"/>
        </w:rPr>
        <w:t>denocarcinoma</w:t>
      </w:r>
    </w:p>
    <w:p w:rsidR="002B0D3A" w:rsidRPr="00087BC6" w:rsidRDefault="002B0D3A" w:rsidP="00087BC6">
      <w:pPr>
        <w:pStyle w:val="Heading1"/>
        <w:keepNext w:val="0"/>
        <w:snapToGrid w:val="0"/>
        <w:jc w:val="center"/>
        <w:rPr>
          <w:b/>
          <w:bCs/>
          <w:sz w:val="20"/>
          <w:szCs w:val="20"/>
        </w:rPr>
      </w:pPr>
    </w:p>
    <w:p w:rsidR="002B0D3A" w:rsidRPr="00087BC6" w:rsidRDefault="008A4918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087BC6">
        <w:rPr>
          <w:sz w:val="20"/>
          <w:szCs w:val="20"/>
        </w:rPr>
        <w:t>Mohamed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El-Shebiney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M.D.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Alaa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Maria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M.D.</w:t>
      </w:r>
    </w:p>
    <w:p w:rsidR="002B0D3A" w:rsidRPr="00087BC6" w:rsidRDefault="002B0D3A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8A4918" w:rsidRPr="00087BC6" w:rsidRDefault="008A4918" w:rsidP="00087BC6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087BC6">
        <w:rPr>
          <w:sz w:val="20"/>
          <w:szCs w:val="20"/>
        </w:rPr>
        <w:t>Clinical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Oncology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Department,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Faculty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Medicine,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Tanta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University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Hospital,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Egypt.</w:t>
      </w:r>
    </w:p>
    <w:p w:rsidR="002B0D3A" w:rsidRPr="00087BC6" w:rsidRDefault="003C0550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16"/>
          <w:u w:val="single"/>
        </w:rPr>
      </w:pPr>
      <w:hyperlink r:id="rId9" w:history="1">
        <w:r w:rsidR="00C573B0" w:rsidRPr="00087BC6">
          <w:rPr>
            <w:rStyle w:val="Hyperlink"/>
            <w:sz w:val="20"/>
            <w:szCs w:val="20"/>
          </w:rPr>
          <w:t>alaamaria1@hotmail.com</w:t>
        </w:r>
      </w:hyperlink>
    </w:p>
    <w:p w:rsidR="002B0D3A" w:rsidRPr="00087BC6" w:rsidRDefault="002B0D3A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16"/>
          <w:u w:val="single"/>
        </w:rPr>
      </w:pPr>
    </w:p>
    <w:p w:rsidR="002B0D3A" w:rsidRPr="00087BC6" w:rsidRDefault="008A4918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087BC6">
        <w:rPr>
          <w:b/>
          <w:bCs/>
          <w:sz w:val="20"/>
          <w:szCs w:val="20"/>
        </w:rPr>
        <w:t>Abstract: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Purpose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we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conducted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this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prospective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using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regimen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[</w:t>
      </w:r>
      <w:r w:rsidRPr="00087BC6">
        <w:rPr>
          <w:sz w:val="20"/>
          <w:szCs w:val="20"/>
          <w:lang w:bidi="ar-SA"/>
        </w:rPr>
        <w:t>5-fluorouracil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</w:rPr>
        <w:t>5-FU),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leucovorin,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irinotecan,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oxaliplatin]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front-line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therapy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cancer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(MPC)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patients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aiming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at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safer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therapy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maintained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efficacy.</w:t>
      </w:r>
      <w:r w:rsidR="002B0D3A" w:rsidRPr="00087BC6">
        <w:rPr>
          <w:rFonts w:hint="eastAsia"/>
          <w:sz w:val="20"/>
          <w:szCs w:val="20"/>
          <w:lang w:eastAsia="zh-CN"/>
        </w:rPr>
        <w:t xml:space="preserve"> </w:t>
      </w:r>
      <w:r w:rsidRPr="00087BC6">
        <w:rPr>
          <w:b/>
          <w:bCs/>
          <w:sz w:val="20"/>
          <w:szCs w:val="20"/>
          <w:lang w:bidi="ar-SA"/>
        </w:rPr>
        <w:t>Patients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and</w:t>
      </w:r>
      <w:r w:rsidR="002B0D3A" w:rsidRPr="00087BC6">
        <w:rPr>
          <w:b/>
          <w:bCs/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Methods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prospective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single-arm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including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28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MPC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treated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between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March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2016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October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2017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conducted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at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our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department.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consisted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oxaliplatin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85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Pr="00087BC6">
        <w:rPr>
          <w:sz w:val="20"/>
          <w:szCs w:val="20"/>
          <w:lang w:bidi="ar-SA"/>
        </w:rPr>
        <w:t>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irinotecan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135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Pr="00087BC6">
        <w:rPr>
          <w:sz w:val="20"/>
          <w:szCs w:val="20"/>
          <w:lang w:bidi="ar-SA"/>
        </w:rPr>
        <w:t>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leucovorin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400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infused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intravenously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(IV)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5-FU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2400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mg/m</w:t>
      </w:r>
      <w:r w:rsidRPr="00087BC6">
        <w:rPr>
          <w:sz w:val="20"/>
          <w:szCs w:val="20"/>
          <w:vertAlign w:val="superscript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infused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IV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over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46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h</w:t>
      </w:r>
      <w:r w:rsidR="00983971" w:rsidRPr="00087BC6">
        <w:rPr>
          <w:sz w:val="20"/>
          <w:szCs w:val="20"/>
          <w:lang w:bidi="ar-SA"/>
        </w:rPr>
        <w:t>ours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days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1–2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cycles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repeated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every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weeks.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b/>
          <w:bCs/>
          <w:sz w:val="20"/>
          <w:szCs w:val="20"/>
        </w:rPr>
        <w:t>Results</w:t>
      </w:r>
      <w:r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median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follow-up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period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all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10.75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(range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5.5–18)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months.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Only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(14.3%)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alive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at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time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data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analysis.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median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overall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survival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OS</w:t>
      </w:r>
      <w:r w:rsidR="004D4135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progression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free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survival</w:t>
      </w:r>
      <w:r w:rsidR="002B0D3A" w:rsidRPr="00087BC6">
        <w:rPr>
          <w:sz w:val="20"/>
          <w:szCs w:val="20"/>
          <w:lang w:bidi="ar-SA"/>
        </w:rPr>
        <w:t xml:space="preserve"> </w:t>
      </w:r>
      <w:r w:rsidR="004D4135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PFS</w:t>
      </w:r>
      <w:r w:rsidR="004D4135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times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10.5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(95%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CI,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8.4–12.6)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7.7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(95%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CI,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6.8-8.6)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months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respectively.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1-year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PFS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rates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39.3%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10.7%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respectively.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objective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response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rate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ORR</w:t>
      </w:r>
      <w:r w:rsidR="00543FAB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28.6%,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disease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control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rate</w:t>
      </w:r>
      <w:r w:rsidR="002B0D3A" w:rsidRPr="00087BC6">
        <w:rPr>
          <w:sz w:val="20"/>
          <w:szCs w:val="20"/>
          <w:lang w:bidi="ar-SA"/>
        </w:rPr>
        <w:t xml:space="preserve"> </w:t>
      </w:r>
      <w:r w:rsidR="00543FAB" w:rsidRPr="00087BC6">
        <w:rPr>
          <w:sz w:val="20"/>
          <w:szCs w:val="20"/>
          <w:lang w:bidi="ar-SA"/>
        </w:rPr>
        <w:t>(</w:t>
      </w:r>
      <w:r w:rsidRPr="00087BC6">
        <w:rPr>
          <w:sz w:val="20"/>
          <w:szCs w:val="20"/>
          <w:lang w:bidi="ar-SA"/>
        </w:rPr>
        <w:t>DCR</w:t>
      </w:r>
      <w:r w:rsidR="00543FAB" w:rsidRPr="00087BC6">
        <w:rPr>
          <w:sz w:val="20"/>
          <w:szCs w:val="20"/>
          <w:lang w:bidi="ar-SA"/>
        </w:rPr>
        <w:t>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67.9%.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adverse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occurred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9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(32.1%)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patients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incidence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3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neutropenia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was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21.4%.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No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grade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4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adverse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events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or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treatment-related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death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were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recorded.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b/>
          <w:bCs/>
          <w:sz w:val="20"/>
          <w:szCs w:val="20"/>
        </w:rPr>
        <w:t>Conclusions: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  <w:lang w:bidi="ar-SA"/>
        </w:rPr>
        <w:t>The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front-line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has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an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acceptable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safety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profile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maintained</w:t>
      </w:r>
      <w:r w:rsidR="002B0D3A" w:rsidRPr="00087BC6">
        <w:rPr>
          <w:sz w:val="20"/>
          <w:szCs w:val="20"/>
        </w:rPr>
        <w:t xml:space="preserve"> </w:t>
      </w:r>
      <w:r w:rsidRPr="00087BC6">
        <w:rPr>
          <w:sz w:val="20"/>
          <w:szCs w:val="20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Pr="00087BC6">
        <w:rPr>
          <w:color w:val="000000"/>
          <w:sz w:val="20"/>
          <w:szCs w:val="20"/>
          <w:lang w:bidi="ar-SA"/>
        </w:rPr>
        <w:t>MPC</w:t>
      </w:r>
      <w:r w:rsidRPr="00087BC6">
        <w:rPr>
          <w:sz w:val="20"/>
          <w:szCs w:val="20"/>
        </w:rPr>
        <w:t>.</w:t>
      </w:r>
    </w:p>
    <w:p w:rsidR="00087BC6" w:rsidRPr="00087BC6" w:rsidRDefault="002B0D3A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eastAsia="zh-CN"/>
        </w:rPr>
      </w:pPr>
      <w:r w:rsidRPr="00087BC6">
        <w:rPr>
          <w:color w:val="000000"/>
          <w:sz w:val="20"/>
          <w:szCs w:val="20"/>
          <w:lang w:bidi="ar-SA"/>
        </w:rPr>
        <w:t>[</w:t>
      </w:r>
      <w:r w:rsidR="00E35D30" w:rsidRPr="00087BC6">
        <w:rPr>
          <w:sz w:val="20"/>
          <w:szCs w:val="20"/>
        </w:rPr>
        <w:t>Mohamed</w:t>
      </w:r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El-Shebiney</w:t>
      </w:r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and</w:t>
      </w:r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Alaa</w:t>
      </w:r>
      <w:r w:rsidRPr="00087BC6">
        <w:rPr>
          <w:sz w:val="20"/>
          <w:szCs w:val="20"/>
        </w:rPr>
        <w:t xml:space="preserve"> </w:t>
      </w:r>
      <w:r w:rsidR="00E35D30" w:rsidRPr="00087BC6">
        <w:rPr>
          <w:sz w:val="20"/>
          <w:szCs w:val="20"/>
        </w:rPr>
        <w:t>Maria.</w:t>
      </w:r>
      <w:r w:rsidR="00087BC6" w:rsidRPr="00087BC6">
        <w:rPr>
          <w:sz w:val="20"/>
          <w:szCs w:val="20"/>
        </w:rPr>
        <w:t xml:space="preserve"> </w:t>
      </w:r>
      <w:r w:rsidR="00087BC6" w:rsidRPr="00087BC6">
        <w:rPr>
          <w:b/>
          <w:bCs/>
          <w:sz w:val="20"/>
          <w:szCs w:val="20"/>
          <w:lang w:bidi="ar-SA"/>
        </w:rPr>
        <w:t>Modified FOLFIRINOX Regimen as Front-Line Therapy for Metastatic Pancreatic A</w:t>
      </w:r>
      <w:r w:rsidR="00087BC6" w:rsidRPr="00087BC6">
        <w:rPr>
          <w:b/>
          <w:bCs/>
          <w:sz w:val="20"/>
          <w:szCs w:val="20"/>
        </w:rPr>
        <w:t>denocarcinoma</w:t>
      </w:r>
      <w:r w:rsidR="00087BC6" w:rsidRPr="00087BC6">
        <w:rPr>
          <w:rFonts w:eastAsia="Times New Roman"/>
          <w:b/>
          <w:bCs/>
          <w:sz w:val="20"/>
          <w:szCs w:val="20"/>
          <w:lang w:bidi="fa-IR"/>
        </w:rPr>
        <w:t>.</w:t>
      </w:r>
      <w:r w:rsidR="00087BC6" w:rsidRPr="00087BC6">
        <w:rPr>
          <w:i/>
          <w:sz w:val="20"/>
          <w:szCs w:val="20"/>
        </w:rPr>
        <w:t xml:space="preserve"> Cancer Biology</w:t>
      </w:r>
      <w:r w:rsidR="00087BC6" w:rsidRPr="00087BC6">
        <w:rPr>
          <w:sz w:val="20"/>
          <w:szCs w:val="20"/>
        </w:rPr>
        <w:t xml:space="preserve"> 201</w:t>
      </w:r>
      <w:r w:rsidR="00087BC6" w:rsidRPr="00087BC6">
        <w:rPr>
          <w:rFonts w:hint="eastAsia"/>
          <w:sz w:val="20"/>
          <w:szCs w:val="20"/>
        </w:rPr>
        <w:t>8</w:t>
      </w:r>
      <w:r w:rsidR="00087BC6" w:rsidRPr="00087BC6">
        <w:rPr>
          <w:sz w:val="20"/>
          <w:szCs w:val="20"/>
        </w:rPr>
        <w:t>;</w:t>
      </w:r>
      <w:r w:rsidR="00087BC6" w:rsidRPr="00087BC6">
        <w:rPr>
          <w:rFonts w:hint="eastAsia"/>
          <w:sz w:val="20"/>
          <w:szCs w:val="20"/>
        </w:rPr>
        <w:t>8</w:t>
      </w:r>
      <w:r w:rsidR="00087BC6" w:rsidRPr="00087BC6">
        <w:rPr>
          <w:sz w:val="20"/>
          <w:szCs w:val="20"/>
        </w:rPr>
        <w:t>(</w:t>
      </w:r>
      <w:r w:rsidR="00087BC6" w:rsidRPr="00087BC6">
        <w:rPr>
          <w:rFonts w:hint="eastAsia"/>
          <w:sz w:val="20"/>
          <w:szCs w:val="20"/>
        </w:rPr>
        <w:t>4</w:t>
      </w:r>
      <w:r w:rsidR="00087BC6" w:rsidRPr="00087BC6">
        <w:rPr>
          <w:sz w:val="20"/>
          <w:szCs w:val="20"/>
        </w:rPr>
        <w:t>):</w:t>
      </w:r>
      <w:r w:rsidR="00202C0D">
        <w:rPr>
          <w:rFonts w:hint="eastAsia"/>
          <w:sz w:val="20"/>
          <w:szCs w:val="20"/>
          <w:lang w:eastAsia="zh-CN"/>
        </w:rPr>
        <w:t>71</w:t>
      </w:r>
      <w:r w:rsidR="00757EB8">
        <w:rPr>
          <w:noProof/>
          <w:color w:val="000000"/>
          <w:sz w:val="20"/>
          <w:szCs w:val="20"/>
        </w:rPr>
        <w:t>-</w:t>
      </w:r>
      <w:r w:rsidR="00202C0D">
        <w:rPr>
          <w:rFonts w:hint="eastAsia"/>
          <w:noProof/>
          <w:color w:val="000000"/>
          <w:sz w:val="20"/>
          <w:szCs w:val="20"/>
          <w:lang w:eastAsia="zh-CN"/>
        </w:rPr>
        <w:t>77</w:t>
      </w:r>
      <w:r w:rsidR="00087BC6" w:rsidRPr="00087BC6">
        <w:rPr>
          <w:sz w:val="20"/>
          <w:szCs w:val="20"/>
        </w:rPr>
        <w:t xml:space="preserve">]. </w:t>
      </w:r>
      <w:r w:rsidR="00087BC6" w:rsidRPr="00087BC6">
        <w:rPr>
          <w:rStyle w:val="msonormal0"/>
          <w:rFonts w:eastAsia="宋"/>
          <w:sz w:val="20"/>
          <w:szCs w:val="20"/>
        </w:rPr>
        <w:t>ISSN: 2150-1041 (print); ISSN: 2150-105X (online)</w:t>
      </w:r>
      <w:r w:rsidR="00087BC6" w:rsidRPr="00087BC6">
        <w:rPr>
          <w:sz w:val="20"/>
          <w:szCs w:val="20"/>
        </w:rPr>
        <w:t xml:space="preserve">. </w:t>
      </w:r>
      <w:hyperlink r:id="rId10" w:history="1">
        <w:r w:rsidR="00087BC6" w:rsidRPr="00087BC6">
          <w:rPr>
            <w:rStyle w:val="Hyperlink"/>
            <w:sz w:val="20"/>
            <w:szCs w:val="20"/>
          </w:rPr>
          <w:t>http://www.cancerbio.net</w:t>
        </w:r>
      </w:hyperlink>
      <w:r w:rsidR="00087BC6" w:rsidRPr="00087BC6">
        <w:rPr>
          <w:sz w:val="20"/>
          <w:szCs w:val="20"/>
        </w:rPr>
        <w:t>.</w:t>
      </w:r>
      <w:r w:rsidR="00087BC6" w:rsidRPr="00087BC6">
        <w:rPr>
          <w:rFonts w:hint="eastAsia"/>
          <w:sz w:val="20"/>
          <w:szCs w:val="20"/>
        </w:rPr>
        <w:t xml:space="preserve"> </w:t>
      </w:r>
      <w:r w:rsidR="00202C0D">
        <w:rPr>
          <w:rFonts w:hint="eastAsia"/>
          <w:sz w:val="20"/>
          <w:szCs w:val="20"/>
          <w:lang w:eastAsia="zh-CN"/>
        </w:rPr>
        <w:t>9</w:t>
      </w:r>
      <w:r w:rsidR="00087BC6" w:rsidRPr="00087BC6">
        <w:rPr>
          <w:rFonts w:hint="eastAsia"/>
          <w:sz w:val="20"/>
          <w:szCs w:val="20"/>
        </w:rPr>
        <w:t xml:space="preserve">. </w:t>
      </w:r>
      <w:r w:rsidR="00087BC6" w:rsidRPr="00087BC6">
        <w:rPr>
          <w:color w:val="000000"/>
          <w:sz w:val="20"/>
          <w:szCs w:val="20"/>
          <w:shd w:val="clear" w:color="auto" w:fill="FFFFFF"/>
        </w:rPr>
        <w:t>doi:</w:t>
      </w:r>
      <w:hyperlink r:id="rId11" w:history="1">
        <w:r w:rsidR="00087BC6" w:rsidRPr="00087BC6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087BC6" w:rsidRPr="00087BC6">
          <w:rPr>
            <w:rStyle w:val="Hyperlink"/>
            <w:rFonts w:hint="eastAsia"/>
            <w:sz w:val="20"/>
            <w:szCs w:val="20"/>
            <w:shd w:val="clear" w:color="auto" w:fill="FFFFFF"/>
          </w:rPr>
          <w:t>cbj0804</w:t>
        </w:r>
        <w:r w:rsidR="00087BC6" w:rsidRPr="00087BC6">
          <w:rPr>
            <w:rStyle w:val="Hyperlink"/>
            <w:sz w:val="20"/>
            <w:szCs w:val="20"/>
            <w:shd w:val="clear" w:color="auto" w:fill="FFFFFF"/>
          </w:rPr>
          <w:t>1</w:t>
        </w:r>
        <w:r w:rsidR="00087BC6" w:rsidRPr="00087BC6">
          <w:rPr>
            <w:rStyle w:val="Hyperlink"/>
            <w:rFonts w:hint="eastAsia"/>
            <w:sz w:val="20"/>
            <w:szCs w:val="20"/>
            <w:shd w:val="clear" w:color="auto" w:fill="FFFFFF"/>
          </w:rPr>
          <w:t>8.</w:t>
        </w:r>
        <w:r w:rsidR="00202C0D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09</w:t>
        </w:r>
      </w:hyperlink>
      <w:r w:rsidR="00087BC6" w:rsidRPr="00087BC6">
        <w:rPr>
          <w:color w:val="000000"/>
          <w:sz w:val="20"/>
          <w:szCs w:val="20"/>
          <w:shd w:val="clear" w:color="auto" w:fill="FFFFFF"/>
        </w:rPr>
        <w:t>.</w:t>
      </w:r>
    </w:p>
    <w:p w:rsidR="002B0D3A" w:rsidRPr="002B0D3A" w:rsidRDefault="002B0D3A" w:rsidP="00087BC6">
      <w:pPr>
        <w:autoSpaceDE w:val="0"/>
        <w:autoSpaceDN w:val="0"/>
        <w:adjustRightInd w:val="0"/>
        <w:snapToGrid w:val="0"/>
        <w:jc w:val="both"/>
        <w:rPr>
          <w:rFonts w:eastAsia="Times New Roman+FPEF"/>
          <w:color w:val="000000"/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</w:rPr>
        <w:t>Key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Words: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Metastatic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pancreatic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chemotherapy,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</w:p>
    <w:p w:rsidR="00087BC6" w:rsidRDefault="002B0D3A" w:rsidP="00087BC6">
      <w:pPr>
        <w:snapToGrid w:val="0"/>
        <w:jc w:val="both"/>
        <w:rPr>
          <w:b/>
          <w:bCs/>
          <w:sz w:val="20"/>
          <w:szCs w:val="20"/>
        </w:rPr>
        <w:sectPr w:rsidR="00087BC6" w:rsidSect="00202C0D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71"/>
          <w:cols w:space="720"/>
          <w:bidi/>
          <w:docGrid w:linePitch="360"/>
        </w:sectPr>
      </w:pPr>
      <w:r>
        <w:rPr>
          <w:b/>
          <w:bCs/>
          <w:sz w:val="20"/>
          <w:szCs w:val="20"/>
        </w:rPr>
        <w:cr/>
      </w:r>
    </w:p>
    <w:p w:rsidR="008A4918" w:rsidRPr="002B0D3A" w:rsidRDefault="00C573B0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lastRenderedPageBreak/>
        <w:t>1.</w:t>
      </w:r>
      <w:r w:rsidR="002B0D3A" w:rsidRPr="002B0D3A">
        <w:rPr>
          <w:b/>
          <w:bCs/>
          <w:sz w:val="20"/>
          <w:szCs w:val="20"/>
        </w:rPr>
        <w:t xml:space="preserve"> </w:t>
      </w:r>
      <w:r w:rsidR="008A4918" w:rsidRPr="002B0D3A">
        <w:rPr>
          <w:b/>
          <w:bCs/>
          <w:sz w:val="20"/>
          <w:szCs w:val="20"/>
        </w:rPr>
        <w:t>Introduction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ductal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adenocarcinomas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metastasize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early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resistance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conventional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such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radiation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(RT)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chemotherapy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(CT)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presented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165F"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stages,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globally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cancer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(PC)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fatal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malignant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tumors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[1].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About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50%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distant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metastases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30%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locally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disease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time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diagnosis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[2].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5-year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8%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advanced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stage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[3].</w:t>
      </w:r>
    </w:p>
    <w:p w:rsidR="008A4918" w:rsidRPr="002B0D3A" w:rsidRDefault="008A4918" w:rsidP="006C2618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Historically,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1997,</w:t>
      </w:r>
      <w:r w:rsidR="002B0D3A" w:rsidRPr="002B0D3A">
        <w:rPr>
          <w:rFonts w:ascii="Times New Roman" w:hAnsi="Times New Roman" w:cs="Times New Roman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sz w:val="20"/>
          <w:szCs w:val="20"/>
        </w:rPr>
        <w:t>Burris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B165F" w:rsidRPr="002B0D3A">
        <w:rPr>
          <w:rFonts w:ascii="Times New Roman" w:hAnsi="Times New Roman" w:cs="Times New Roman"/>
          <w:color w:val="auto"/>
          <w:sz w:val="20"/>
          <w:szCs w:val="20"/>
        </w:rPr>
        <w:t>[</w:t>
      </w:r>
      <w:r w:rsidR="006C261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5B165F" w:rsidRPr="002B0D3A">
        <w:rPr>
          <w:rFonts w:ascii="Times New Roman" w:hAnsi="Times New Roman" w:cs="Times New Roman"/>
          <w:color w:val="auto"/>
          <w:sz w:val="20"/>
          <w:szCs w:val="20"/>
        </w:rPr>
        <w:t>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recorded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improvement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overall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(OS)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gemcitabine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(GEM)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traditional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5-fluorouracil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(5-FU)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</w:t>
      </w:r>
      <w:r w:rsidR="006C2618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date,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GEM-based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CT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regimens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82E"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been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standard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adjuvant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palliative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settings;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however,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treatment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monotherapy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low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survival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minimal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response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(RR).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French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II/III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versus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showed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improvements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median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PFS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(3.3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6.4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months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(6.8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11.1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months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increased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(9.4%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31.6%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respectively)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[6].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Following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Japanese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lastRenderedPageBreak/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Okusaka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[7]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showed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equivalent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Concerning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safety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profile,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rates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grade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</w:t>
      </w:r>
      <w:r w:rsidR="00367D99" w:rsidRPr="002B0D3A">
        <w:rPr>
          <w:rFonts w:ascii="Times New Roman" w:hAnsi="Times New Roman" w:cs="Times New Roman"/>
          <w:color w:val="auto"/>
          <w:sz w:val="20"/>
          <w:szCs w:val="20"/>
        </w:rPr>
        <w:t>ies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(neutropenia,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sensory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neuropathy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diarrhea)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associated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GEM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reported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[6].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Also,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Japanese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35F07"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particularly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hematological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toxicities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[7].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need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treatment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delays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52E22"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preferred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very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good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performance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status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(PS)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[8].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Many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trials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aiming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modifications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original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Mahaseth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[9]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omitting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5-FU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bolus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reported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decreased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incidence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events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similar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median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compared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full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Similarly,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Stein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[10]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demonstrated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irinotecan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bolus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5-FU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25%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resulted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significantly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incidence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7372"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7372" w:rsidRPr="002B0D3A">
        <w:rPr>
          <w:rFonts w:ascii="Times New Roman" w:hAnsi="Times New Roman" w:cs="Times New Roman"/>
          <w:color w:val="auto"/>
          <w:sz w:val="20"/>
          <w:szCs w:val="20"/>
        </w:rPr>
        <w:t>grade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neutropenia,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fatigue,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vomiting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relatively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35.1%.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Based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previous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studies,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although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be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considered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patients;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high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toxicity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remains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concern.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Dose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modification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initial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lastRenderedPageBreak/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might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reduce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serious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adverse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effects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Thus,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conducted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prospective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phase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II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study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using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modified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FOLFIRINOX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regimen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MPC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front-line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aiming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safer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therapy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maintained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efficacy.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</w:p>
    <w:p w:rsidR="008A4918" w:rsidRPr="002B0D3A" w:rsidRDefault="00C573B0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2.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Patients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and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8A4918" w:rsidRPr="002B0D3A">
        <w:rPr>
          <w:b/>
          <w:bCs/>
          <w:sz w:val="20"/>
          <w:szCs w:val="20"/>
          <w:lang w:bidi="ar-SA"/>
        </w:rPr>
        <w:t>methods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Study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design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prospective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single-center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involving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2016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October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2017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Clinical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Oncology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Department,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Tanta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University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Hospital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approved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Ethics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Committee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Faculty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Medicine,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Tanta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University,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written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informed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obtained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participants.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primary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endpoints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tolerability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Secondary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endpoints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(ORR),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control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(DCR)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progression-free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(PFS).</w:t>
      </w:r>
    </w:p>
    <w:p w:rsidR="008A4918" w:rsidRPr="002B0D3A" w:rsidRDefault="008A4918" w:rsidP="00087BC6">
      <w:pPr>
        <w:pStyle w:val="Default"/>
        <w:snapToGrid w:val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>Inclusion</w:t>
      </w:r>
      <w:r w:rsidR="002B0D3A"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b/>
          <w:bCs/>
          <w:color w:val="auto"/>
          <w:sz w:val="20"/>
          <w:szCs w:val="20"/>
        </w:rPr>
        <w:t>criteria</w:t>
      </w:r>
    </w:p>
    <w:p w:rsidR="008A4918" w:rsidRPr="002B0D3A" w:rsidRDefault="008A4918" w:rsidP="00087BC6">
      <w:pPr>
        <w:pStyle w:val="Default"/>
        <w:snapToGrid w:val="0"/>
        <w:ind w:firstLine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D3A">
        <w:rPr>
          <w:rFonts w:ascii="Times New Roman" w:hAnsi="Times New Roman" w:cs="Times New Roman"/>
          <w:color w:val="auto"/>
          <w:sz w:val="20"/>
          <w:szCs w:val="20"/>
        </w:rPr>
        <w:t>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included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were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older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than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years.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They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should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cytologic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histologic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diagnosis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of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pancreatic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adenocarcinoma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good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(0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or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according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to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Eastern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Cooperative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Oncology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Group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(ECOG).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All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patients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should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have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least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one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measurable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metastatic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lesion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with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adequate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hematological,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liver,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renal</w:t>
      </w:r>
      <w:r w:rsidR="002B0D3A" w:rsidRPr="002B0D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color w:val="auto"/>
          <w:sz w:val="20"/>
          <w:szCs w:val="20"/>
        </w:rPr>
        <w:t>functions.</w:t>
      </w:r>
    </w:p>
    <w:p w:rsidR="008A4918" w:rsidRPr="002B0D3A" w:rsidRDefault="008A4918" w:rsidP="00087BC6">
      <w:pPr>
        <w:pStyle w:val="Default"/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B0D3A">
        <w:rPr>
          <w:rFonts w:ascii="Times New Roman" w:hAnsi="Times New Roman" w:cs="Times New Roman"/>
          <w:b/>
          <w:bCs/>
          <w:sz w:val="20"/>
          <w:szCs w:val="20"/>
        </w:rPr>
        <w:t>Exclusion</w:t>
      </w:r>
      <w:r w:rsidR="002B0D3A" w:rsidRPr="002B0D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0D3A">
        <w:rPr>
          <w:rFonts w:ascii="Times New Roman" w:hAnsi="Times New Roman" w:cs="Times New Roman"/>
          <w:b/>
          <w:bCs/>
          <w:sz w:val="20"/>
          <w:szCs w:val="20"/>
        </w:rPr>
        <w:t>criteria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Any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prior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RT;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≥grade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</w:t>
      </w:r>
      <w:r w:rsidR="00E7184F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peripheral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sensory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neuropathy;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infection;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uncontrolled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diabetes;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malignancies;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serious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comorbid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diseases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excluded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from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Diagnostic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work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b/>
          <w:bCs/>
          <w:sz w:val="20"/>
          <w:szCs w:val="20"/>
        </w:rPr>
        <w:t>up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should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history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complete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physical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examinations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evaluation.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Imaging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abdomen-pelvis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computed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tomography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(CT)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magnetic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resonance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imaging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(MRI),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indicated).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Laboratory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tests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complete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blood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counts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(CBC),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blood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chemistry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profile,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serum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antigen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(CA)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19.9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carcinoembryonic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antigen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(CEA)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markers.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Treatment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Prodige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4/Accord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[6]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intravenous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(IV)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2-h</w:t>
      </w:r>
      <w:r w:rsidR="00556570" w:rsidRPr="002B0D3A">
        <w:rPr>
          <w:sz w:val="20"/>
          <w:szCs w:val="20"/>
          <w:lang w:bidi="ar-SA"/>
        </w:rPr>
        <w:t>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infusion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(IVI)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oxaliplatin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(85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2-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leucovorin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(400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concomitantly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additional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1.5-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(135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subsequent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(2400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mg/m</w:t>
      </w:r>
      <w:r w:rsidRPr="002B0D3A">
        <w:rPr>
          <w:sz w:val="20"/>
          <w:szCs w:val="20"/>
          <w:vertAlign w:val="superscript"/>
          <w:lang w:bidi="ar-SA"/>
        </w:rPr>
        <w:t>2</w:t>
      </w:r>
      <w:r w:rsidRPr="002B0D3A">
        <w:rPr>
          <w:sz w:val="20"/>
          <w:szCs w:val="20"/>
          <w:lang w:bidi="ar-SA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over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46</w:t>
      </w:r>
      <w:r w:rsidR="002B0D3A" w:rsidRPr="002B0D3A">
        <w:rPr>
          <w:sz w:val="20"/>
          <w:szCs w:val="20"/>
          <w:lang w:bidi="ar-SA"/>
        </w:rPr>
        <w:t xml:space="preserve"> </w:t>
      </w:r>
      <w:r w:rsidR="00556570" w:rsidRPr="002B0D3A">
        <w:rPr>
          <w:sz w:val="20"/>
          <w:szCs w:val="20"/>
          <w:lang w:bidi="ar-SA"/>
        </w:rPr>
        <w:t>hours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1–2.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Each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repeated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routinely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dexamethasone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rStyle w:val="st"/>
          <w:sz w:val="20"/>
          <w:szCs w:val="20"/>
        </w:rPr>
        <w:t xml:space="preserve"> </w:t>
      </w:r>
      <w:r w:rsidRPr="002B0D3A">
        <w:rPr>
          <w:rStyle w:val="st"/>
          <w:sz w:val="20"/>
          <w:szCs w:val="20"/>
        </w:rPr>
        <w:t>ondansetron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emesis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prophylaxis.</w:t>
      </w:r>
      <w:r w:rsidR="002B0D3A" w:rsidRPr="002B0D3A">
        <w:rPr>
          <w:sz w:val="20"/>
          <w:szCs w:val="20"/>
          <w:lang w:bidi="ar-SA"/>
        </w:rPr>
        <w:t xml:space="preserve"> </w:t>
      </w:r>
      <w:r w:rsidR="00C735B4" w:rsidRPr="002B0D3A">
        <w:rPr>
          <w:rStyle w:val="st"/>
          <w:sz w:val="20"/>
          <w:szCs w:val="20"/>
        </w:rPr>
        <w:t>Granulocyte-colony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stimulating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factor</w:t>
      </w:r>
      <w:r w:rsidR="002B0D3A" w:rsidRPr="002B0D3A">
        <w:rPr>
          <w:rStyle w:val="st"/>
          <w:sz w:val="20"/>
          <w:szCs w:val="20"/>
        </w:rPr>
        <w:t xml:space="preserve"> </w:t>
      </w:r>
      <w:r w:rsidR="00C735B4" w:rsidRPr="002B0D3A">
        <w:rPr>
          <w:rStyle w:val="st"/>
          <w:sz w:val="20"/>
          <w:szCs w:val="20"/>
        </w:rPr>
        <w:t>(</w:t>
      </w:r>
      <w:r w:rsidR="00C735B4" w:rsidRPr="002B0D3A">
        <w:rPr>
          <w:rStyle w:val="Emphasis"/>
          <w:i w:val="0"/>
          <w:iCs w:val="0"/>
          <w:sz w:val="20"/>
          <w:szCs w:val="20"/>
        </w:rPr>
        <w:t>G</w:t>
      </w:r>
      <w:r w:rsidR="00C735B4" w:rsidRPr="002B0D3A">
        <w:rPr>
          <w:rStyle w:val="st"/>
          <w:i/>
          <w:iCs/>
          <w:sz w:val="20"/>
          <w:szCs w:val="20"/>
        </w:rPr>
        <w:t>-</w:t>
      </w:r>
      <w:r w:rsidR="00C735B4" w:rsidRPr="002B0D3A">
        <w:rPr>
          <w:rStyle w:val="Emphasis"/>
          <w:i w:val="0"/>
          <w:iCs w:val="0"/>
          <w:sz w:val="20"/>
          <w:szCs w:val="20"/>
        </w:rPr>
        <w:t>CSF</w:t>
      </w:r>
      <w:r w:rsidR="00C735B4" w:rsidRPr="002B0D3A">
        <w:rPr>
          <w:rStyle w:val="st"/>
          <w:sz w:val="20"/>
          <w:szCs w:val="20"/>
        </w:rPr>
        <w:t>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consecutive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after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primary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prophylaxis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neutrophile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count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nearby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lower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normal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value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also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developed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≥grade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during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course.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Progression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intolerable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refusal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reason</w:t>
      </w:r>
      <w:r w:rsidR="0053792E" w:rsidRPr="002B0D3A">
        <w:rPr>
          <w:sz w:val="20"/>
          <w:szCs w:val="20"/>
          <w:lang w:bidi="ar-SA"/>
        </w:rPr>
        <w:t>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received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least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analysis.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protocol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delayed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≥3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due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high-grade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Assessments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Before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start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each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cycle,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evaluated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history,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physical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examination,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assessment,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laboratory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investigations.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according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National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Cancer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Institute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Common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Terminology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Criteria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</w:t>
      </w:r>
      <w:r w:rsidR="00763E81" w:rsidRPr="002B0D3A">
        <w:rPr>
          <w:sz w:val="20"/>
          <w:szCs w:val="20"/>
          <w:lang w:bidi="ar-SA"/>
        </w:rPr>
        <w:t>NCI-</w:t>
      </w:r>
      <w:r w:rsidRPr="002B0D3A">
        <w:rPr>
          <w:sz w:val="20"/>
          <w:szCs w:val="20"/>
          <w:lang w:bidi="ar-SA"/>
        </w:rPr>
        <w:t>CTCAE)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4.0.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radiologically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according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Response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Evaluation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Criteria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Solid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Tumors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(</w:t>
      </w:r>
      <w:r w:rsidR="0061682D" w:rsidRPr="002B0D3A">
        <w:rPr>
          <w:rStyle w:val="st"/>
          <w:sz w:val="20"/>
          <w:szCs w:val="20"/>
        </w:rPr>
        <w:t>RECIST)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1.1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[11]</w:t>
      </w:r>
      <w:r w:rsidR="002B0D3A" w:rsidRPr="002B0D3A">
        <w:rPr>
          <w:sz w:val="20"/>
          <w:szCs w:val="20"/>
          <w:lang w:bidi="ar-SA"/>
        </w:rPr>
        <w:t xml:space="preserve"> </w:t>
      </w:r>
      <w:r w:rsidR="0061682D"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tumor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marker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estimation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every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weeks</w:t>
      </w:r>
      <w:r w:rsidR="0061682D" w:rsidRPr="002B0D3A">
        <w:rPr>
          <w:sz w:val="20"/>
          <w:szCs w:val="20"/>
          <w:lang w:bidi="ar-SA"/>
        </w:rPr>
        <w:t>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defined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diagnosis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death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cause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follow-up.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Progression-free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defined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between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start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first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documentation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disease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progression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death.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  <w:lang w:bidi="ar-SA"/>
        </w:rPr>
        <w:t>Statistical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analysis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Categorical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described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frequency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distribution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percentage.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mean±SD,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range.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calculated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corresponding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95%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(confidence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interval).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Overall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utilizing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Kaplan-Meier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method.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data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analyzed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SPSS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software,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version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(SPSS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Chicago,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IL,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USA).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</w:p>
    <w:p w:rsidR="008A4918" w:rsidRPr="002B0D3A" w:rsidRDefault="00C573B0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3.</w:t>
      </w:r>
      <w:r w:rsidR="002B0D3A" w:rsidRPr="002B0D3A">
        <w:rPr>
          <w:b/>
          <w:bCs/>
          <w:sz w:val="20"/>
          <w:szCs w:val="20"/>
        </w:rPr>
        <w:t xml:space="preserve"> </w:t>
      </w:r>
      <w:r w:rsidR="008A4918" w:rsidRPr="002B0D3A">
        <w:rPr>
          <w:b/>
          <w:bCs/>
          <w:sz w:val="20"/>
          <w:szCs w:val="20"/>
        </w:rPr>
        <w:t>Results</w:t>
      </w:r>
    </w:p>
    <w:p w:rsidR="008A4918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Patient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b/>
          <w:bCs/>
          <w:sz w:val="20"/>
          <w:szCs w:val="20"/>
          <w:lang w:bidi="ar-SA"/>
        </w:rPr>
        <w:t>characteristics</w:t>
      </w:r>
    </w:p>
    <w:p w:rsidR="000111DA" w:rsidRDefault="000111DA" w:rsidP="000111DA">
      <w:pPr>
        <w:autoSpaceDE w:val="0"/>
        <w:autoSpaceDN w:val="0"/>
        <w:adjustRightInd w:val="0"/>
        <w:snapToGrid w:val="0"/>
        <w:ind w:firstLine="450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Patients’ age ranged from 41 to 65 years (median 60 years), with 57.1% of the patients had PS 1. Obstructive jaundice was the first presentation in 17.9% of patients with 14.3% had a biliary stent. The head of the pancreas as a primary tumor site was represented in 46.4% of patients. The most frequent metastatic site was the liver (71.4%), with 10 patients (35.7%) had multiple metastatic organ involvement. Median serum CA19-9 and CEA values were 356 </w:t>
      </w:r>
      <w:r w:rsidRPr="002B0D3A">
        <w:rPr>
          <w:sz w:val="20"/>
          <w:szCs w:val="20"/>
          <w:lang w:bidi="ar-SA"/>
        </w:rPr>
        <w:lastRenderedPageBreak/>
        <w:t xml:space="preserve">(range, 145–1750) U/mL and 4.6 (range, 1.3–15.4) </w:t>
      </w:r>
      <w:r w:rsidRPr="002B0D3A">
        <w:rPr>
          <w:sz w:val="20"/>
          <w:szCs w:val="20"/>
        </w:rPr>
        <w:t>ng/mL</w:t>
      </w:r>
      <w:r w:rsidRPr="002B0D3A">
        <w:rPr>
          <w:sz w:val="20"/>
          <w:szCs w:val="20"/>
          <w:lang w:bidi="ar-SA"/>
        </w:rPr>
        <w:t>, respectively. Baseline level of CA 19-9 was &gt;1000 U/mL in 10 (35.7%) patients (Table 1).</w:t>
      </w:r>
    </w:p>
    <w:p w:rsidR="000111DA" w:rsidRPr="002B0D3A" w:rsidRDefault="000111DA" w:rsidP="000111D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 xml:space="preserve">Treatment </w:t>
      </w:r>
    </w:p>
    <w:p w:rsidR="000111DA" w:rsidRDefault="000111DA" w:rsidP="000111DA">
      <w:pPr>
        <w:autoSpaceDE w:val="0"/>
        <w:autoSpaceDN w:val="0"/>
        <w:adjustRightInd w:val="0"/>
        <w:snapToGrid w:val="0"/>
        <w:ind w:firstLine="450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None of the included patients achieved complete response (CR). Eight </w:t>
      </w:r>
      <w:r w:rsidRPr="002B0D3A">
        <w:rPr>
          <w:sz w:val="20"/>
          <w:szCs w:val="20"/>
        </w:rPr>
        <w:t>(28.6</w:t>
      </w:r>
      <w:r w:rsidRPr="002B0D3A">
        <w:rPr>
          <w:sz w:val="20"/>
          <w:szCs w:val="20"/>
          <w:lang w:bidi="ar-SA"/>
        </w:rPr>
        <w:t>%</w:t>
      </w:r>
      <w:r w:rsidRPr="002B0D3A">
        <w:rPr>
          <w:sz w:val="20"/>
          <w:szCs w:val="20"/>
        </w:rPr>
        <w:t>)</w:t>
      </w:r>
      <w:r w:rsidRPr="002B0D3A">
        <w:rPr>
          <w:sz w:val="20"/>
          <w:szCs w:val="20"/>
          <w:lang w:bidi="ar-SA"/>
        </w:rPr>
        <w:t xml:space="preserve"> patients achieved partial response (PR), 11 (</w:t>
      </w:r>
      <w:r w:rsidRPr="002B0D3A">
        <w:rPr>
          <w:sz w:val="20"/>
          <w:szCs w:val="20"/>
        </w:rPr>
        <w:t>39.3</w:t>
      </w:r>
      <w:r w:rsidRPr="002B0D3A">
        <w:rPr>
          <w:sz w:val="20"/>
          <w:szCs w:val="20"/>
          <w:lang w:bidi="ar-SA"/>
        </w:rPr>
        <w:t>%) patients had stable disease (SD), and 9</w:t>
      </w:r>
      <w:r w:rsidRPr="002B0D3A">
        <w:rPr>
          <w:sz w:val="20"/>
          <w:szCs w:val="20"/>
        </w:rPr>
        <w:t xml:space="preserve"> (32.1</w:t>
      </w:r>
      <w:r w:rsidRPr="002B0D3A">
        <w:rPr>
          <w:sz w:val="20"/>
          <w:szCs w:val="20"/>
          <w:lang w:bidi="ar-SA"/>
        </w:rPr>
        <w:t>%</w:t>
      </w:r>
      <w:r w:rsidRPr="002B0D3A">
        <w:rPr>
          <w:sz w:val="20"/>
          <w:szCs w:val="20"/>
        </w:rPr>
        <w:t>)</w:t>
      </w:r>
      <w:r w:rsidRPr="002B0D3A">
        <w:rPr>
          <w:sz w:val="20"/>
          <w:szCs w:val="20"/>
          <w:lang w:bidi="ar-SA"/>
        </w:rPr>
        <w:t xml:space="preserve"> patients had progressive disease (PD). The ORR (CR+PR) was 28.6%, and the DCR (CR+PR+SD) was 67.9% (19 of 28 patients) (Table 2).</w:t>
      </w:r>
    </w:p>
    <w:p w:rsidR="000111DA" w:rsidRDefault="000111DA" w:rsidP="000111D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A total of 127 cycles were delivered to 28 patients with a median of 4 cycles (range, 2–10 cycles). The treatment protocol was discontinued in 15 (53.6%) patients. The main reason for discontinuation was disease progression (</w:t>
      </w:r>
      <w:r w:rsidRPr="002B0D3A">
        <w:rPr>
          <w:sz w:val="20"/>
          <w:szCs w:val="20"/>
        </w:rPr>
        <w:t>32.1</w:t>
      </w:r>
      <w:r w:rsidRPr="002B0D3A">
        <w:rPr>
          <w:sz w:val="20"/>
          <w:szCs w:val="20"/>
          <w:lang w:bidi="ar-SA"/>
        </w:rPr>
        <w:t>%). Out of 9 patients who suffered from grade 3 adverse events, 6 (21.4%) patients had treatment discontinuation while the other 3 (10.7%) patients had treatment delay till the toxicity was corrected. Neutropenia was the most frequent toxicity cause of both dose discontinuation and treatment delay.</w:t>
      </w:r>
    </w:p>
    <w:p w:rsidR="000111DA" w:rsidRPr="002B0D3A" w:rsidRDefault="000111DA" w:rsidP="000111D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Outcomes</w:t>
      </w:r>
    </w:p>
    <w:p w:rsidR="000111DA" w:rsidRDefault="000111DA" w:rsidP="000111D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At the end of the study with 10.75 months median follow-up period for all patients (range 5.5–18 months), only 4 (14.3%) patients were alive. As regards the survival outcome, the median OS and PFS times were 10.5 (95% CI, 8.4–12.6) and 7.7 (95% CI, 6.8-8.6) months respectively. The 1-year OS and PFS rates were 39.3% and 10.7% respectively (Fig. 1 &amp; 2).</w:t>
      </w:r>
    </w:p>
    <w:p w:rsidR="000111DA" w:rsidRPr="002B0D3A" w:rsidRDefault="000111DA" w:rsidP="000111DA">
      <w:pPr>
        <w:autoSpaceDE w:val="0"/>
        <w:autoSpaceDN w:val="0"/>
        <w:adjustRightInd w:val="0"/>
        <w:snapToGrid w:val="0"/>
        <w:ind w:firstLine="425"/>
        <w:jc w:val="both"/>
        <w:rPr>
          <w:b/>
          <w:bCs/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Out of the 15 patients who discontinued their treatment, nine patients received second-line therapy most commonly in the form of GEM monotherapy (7 patients) </w:t>
      </w:r>
      <w:r w:rsidRPr="002B0D3A">
        <w:rPr>
          <w:sz w:val="20"/>
          <w:szCs w:val="20"/>
        </w:rPr>
        <w:t>while the remaining 6 patients did not receive any further therapy.</w:t>
      </w:r>
      <w:r w:rsidRPr="002B0D3A">
        <w:rPr>
          <w:b/>
          <w:bCs/>
          <w:sz w:val="20"/>
          <w:szCs w:val="20"/>
          <w:lang w:bidi="ar-SA"/>
        </w:rPr>
        <w:t xml:space="preserve"> </w:t>
      </w:r>
    </w:p>
    <w:p w:rsidR="000111DA" w:rsidRPr="002B0D3A" w:rsidRDefault="000111DA" w:rsidP="000111D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In 7 out of 8 patients who achieved PR, serum CA 19-9 values were normalized or decreased while in patients with PD, no improvement of serum CA 19-9 level was found.</w:t>
      </w:r>
    </w:p>
    <w:p w:rsidR="000111DA" w:rsidRPr="002B0D3A" w:rsidRDefault="000111DA" w:rsidP="000111D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 xml:space="preserve">Adverse events </w:t>
      </w:r>
    </w:p>
    <w:p w:rsidR="000111DA" w:rsidRDefault="000111DA" w:rsidP="000111DA">
      <w:pPr>
        <w:autoSpaceDE w:val="0"/>
        <w:autoSpaceDN w:val="0"/>
        <w:adjustRightInd w:val="0"/>
        <w:snapToGrid w:val="0"/>
        <w:ind w:firstLine="450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No grade 4 adverse events were recorded. Nine (32.1%) patients developed grade 3 toxicities, among which 6 (21.4%) patients had neutropenia with 2 (7.1%) of them developed febrile neutropenia, 1 (3.6%) patient had grade 3 thrombocytopenia. As regard grade 3 non-hematological toxicities, 2 (7.1%) patients had fatigue and each of vomiting and diarrhea were represented in only 1 (3.6%) patient (Table 3). None of the patients developed grade 3/4 sensory neuropathy or thromboembolism. </w:t>
      </w:r>
      <w:r w:rsidRPr="002B0D3A">
        <w:rPr>
          <w:sz w:val="20"/>
          <w:szCs w:val="20"/>
        </w:rPr>
        <w:t xml:space="preserve">Five (17.9%) patients received G-CSF prophylactically with the first CT cycle as the neutrophil count was nearby the lower normal value. Further 6 (21.4%) patients </w:t>
      </w:r>
      <w:r w:rsidRPr="002B0D3A">
        <w:rPr>
          <w:sz w:val="20"/>
          <w:szCs w:val="20"/>
          <w:lang w:bidi="ar-SA"/>
        </w:rPr>
        <w:t>developed grade 3</w:t>
      </w:r>
      <w:r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neutropenia</w:t>
      </w:r>
      <w:r w:rsidRPr="002B0D3A">
        <w:rPr>
          <w:sz w:val="20"/>
          <w:szCs w:val="20"/>
        </w:rPr>
        <w:t xml:space="preserve"> received G-CSF support in later cycles. </w:t>
      </w:r>
      <w:r w:rsidRPr="002B0D3A">
        <w:rPr>
          <w:sz w:val="20"/>
          <w:szCs w:val="20"/>
          <w:lang w:bidi="ar-SA"/>
        </w:rPr>
        <w:t>Totally, 11 (</w:t>
      </w:r>
      <w:r w:rsidRPr="002B0D3A">
        <w:rPr>
          <w:sz w:val="20"/>
          <w:szCs w:val="20"/>
        </w:rPr>
        <w:t>39.3%</w:t>
      </w:r>
      <w:r w:rsidRPr="002B0D3A">
        <w:rPr>
          <w:sz w:val="20"/>
          <w:szCs w:val="20"/>
          <w:lang w:bidi="ar-SA"/>
        </w:rPr>
        <w:t xml:space="preserve">) patients received </w:t>
      </w:r>
      <w:r w:rsidRPr="002B0D3A">
        <w:rPr>
          <w:sz w:val="20"/>
          <w:szCs w:val="20"/>
        </w:rPr>
        <w:t>G-CSF</w:t>
      </w:r>
      <w:r w:rsidRPr="002B0D3A">
        <w:rPr>
          <w:sz w:val="20"/>
          <w:szCs w:val="20"/>
          <w:lang w:bidi="ar-SA"/>
        </w:rPr>
        <w:t xml:space="preserve"> treatment before or after </w:t>
      </w:r>
      <w:r w:rsidRPr="002B0D3A">
        <w:rPr>
          <w:sz w:val="20"/>
          <w:szCs w:val="20"/>
        </w:rPr>
        <w:t>CT</w:t>
      </w:r>
      <w:r w:rsidRPr="002B0D3A">
        <w:rPr>
          <w:sz w:val="20"/>
          <w:szCs w:val="20"/>
          <w:lang w:bidi="ar-SA"/>
        </w:rPr>
        <w:t>.</w:t>
      </w:r>
    </w:p>
    <w:p w:rsidR="000111DA" w:rsidRDefault="000111DA" w:rsidP="000111DA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lastRenderedPageBreak/>
        <w:t>Table (1): Baseline characteristics of 28 patients with MPC</w:t>
      </w:r>
    </w:p>
    <w:p w:rsidR="007F3DDC" w:rsidRPr="002B0D3A" w:rsidRDefault="007F3DDC" w:rsidP="000111DA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6"/>
        <w:gridCol w:w="1573"/>
      </w:tblGrid>
      <w:tr w:rsidR="000111DA" w:rsidRPr="00087BC6" w:rsidTr="007F3DDC">
        <w:trPr>
          <w:trHeight w:val="305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7184F">
            <w:pPr>
              <w:snapToGrid w:val="0"/>
              <w:jc w:val="center"/>
              <w:rPr>
                <w:b/>
                <w:bCs/>
                <w:sz w:val="17"/>
                <w:szCs w:val="17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Characteristic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7184F">
            <w:pPr>
              <w:snapToGrid w:val="0"/>
              <w:jc w:val="center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No (%)</w:t>
            </w:r>
          </w:p>
        </w:tc>
      </w:tr>
      <w:tr w:rsidR="000111DA" w:rsidRPr="00087BC6" w:rsidTr="007F3DDC">
        <w:trPr>
          <w:trHeight w:val="908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Age (years)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Median (Range)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≤ 60 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&gt; 60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60 (41-65)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15 (53.6)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 (46.4)</w:t>
            </w:r>
          </w:p>
        </w:tc>
      </w:tr>
      <w:tr w:rsidR="000111DA" w:rsidRPr="00087BC6" w:rsidTr="007F3DDC">
        <w:trPr>
          <w:trHeight w:val="656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 xml:space="preserve">Gender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Male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Female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18 (64.3)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10 (35.7)</w:t>
            </w:r>
          </w:p>
        </w:tc>
      </w:tr>
      <w:tr w:rsidR="000111DA" w:rsidRPr="00087BC6" w:rsidTr="007F3DDC">
        <w:trPr>
          <w:trHeight w:val="611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ECOG PS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0111DA" w:rsidRPr="00087BC6">
              <w:rPr>
                <w:sz w:val="17"/>
                <w:szCs w:val="17"/>
              </w:rPr>
              <w:t>0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0111DA" w:rsidRPr="00087BC6">
              <w:rPr>
                <w:sz w:val="17"/>
                <w:szCs w:val="17"/>
              </w:rPr>
              <w:t>1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12 (42.9)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16 (57.1)</w:t>
            </w:r>
          </w:p>
        </w:tc>
      </w:tr>
      <w:tr w:rsidR="000111DA" w:rsidRPr="00087BC6" w:rsidTr="007F3DDC">
        <w:trPr>
          <w:trHeight w:val="800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Presenting symptoms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Jaundice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Pain 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Weight loss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5 (17.9)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22 (78.6)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 (46.4)</w:t>
            </w:r>
          </w:p>
        </w:tc>
      </w:tr>
      <w:tr w:rsidR="000111DA" w:rsidRPr="00087BC6" w:rsidTr="007F3DDC">
        <w:trPr>
          <w:trHeight w:val="719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Biliary stent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Yes 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No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 (14.3)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24 (85.7)</w:t>
            </w:r>
          </w:p>
        </w:tc>
      </w:tr>
      <w:tr w:rsidR="000111DA" w:rsidRPr="00087BC6" w:rsidTr="007F3DDC">
        <w:trPr>
          <w:trHeight w:val="701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Tumor location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Head or uncinated process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Body or tail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 (46.4)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15 (53.6)</w:t>
            </w:r>
          </w:p>
        </w:tc>
      </w:tr>
      <w:tr w:rsidR="000111DA" w:rsidRPr="00087BC6" w:rsidTr="007F3DDC">
        <w:trPr>
          <w:trHeight w:val="1259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Metastatic sites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Liver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Lymph Nodes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Peritoneal</w:t>
            </w:r>
          </w:p>
          <w:p w:rsidR="000111DA" w:rsidRPr="00087BC6" w:rsidRDefault="00DE5503" w:rsidP="00DD319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="000111DA" w:rsidRPr="00087BC6">
              <w:rPr>
                <w:rFonts w:ascii="Times New Roman" w:hAnsi="Times New Roman" w:cs="Times New Roman"/>
                <w:sz w:val="17"/>
                <w:szCs w:val="17"/>
              </w:rPr>
              <w:t>Lung</w:t>
            </w:r>
            <w:r w:rsidR="000111D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:rsidR="000111DA" w:rsidRPr="00087BC6" w:rsidRDefault="00DE5503" w:rsidP="00DD319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  <w:r w:rsidR="000111D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Bone 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20 (71.4)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13 (46.4)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5 (17.9)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 (14.3)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2</w:t>
            </w:r>
            <w:r w:rsidRPr="00087BC6">
              <w:rPr>
                <w:sz w:val="17"/>
                <w:szCs w:val="17"/>
                <w:lang w:bidi="ar-SA"/>
              </w:rPr>
              <w:t xml:space="preserve"> </w:t>
            </w:r>
            <w:r w:rsidRPr="00087BC6">
              <w:rPr>
                <w:sz w:val="17"/>
                <w:szCs w:val="17"/>
              </w:rPr>
              <w:t>(7.1)</w:t>
            </w:r>
          </w:p>
        </w:tc>
      </w:tr>
      <w:tr w:rsidR="000111DA" w:rsidRPr="00087BC6" w:rsidTr="007F3DDC">
        <w:trPr>
          <w:trHeight w:val="854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b/>
                <w:bCs/>
                <w:color w:val="auto"/>
                <w:sz w:val="17"/>
                <w:szCs w:val="17"/>
              </w:rPr>
              <w:t xml:space="preserve">Number of sites involved </w:t>
            </w:r>
          </w:p>
          <w:p w:rsidR="000111DA" w:rsidRPr="00087BC6" w:rsidRDefault="00DE5503" w:rsidP="00DD319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  <w:r w:rsidR="000111D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1 </w:t>
            </w:r>
          </w:p>
          <w:p w:rsidR="000111DA" w:rsidRPr="00087BC6" w:rsidRDefault="00DE5503" w:rsidP="00DD3194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  <w:r w:rsidR="000111DA"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2 </w:t>
            </w:r>
          </w:p>
          <w:p w:rsidR="000111DA" w:rsidRPr="00087BC6" w:rsidRDefault="00DE5503" w:rsidP="00DD319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 w:rsidR="000111DA" w:rsidRPr="00087BC6">
              <w:rPr>
                <w:sz w:val="17"/>
                <w:szCs w:val="17"/>
              </w:rPr>
              <w:t xml:space="preserve">≥3 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18 (64.3)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7 (25)</w:t>
            </w:r>
          </w:p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3 (10.7)</w:t>
            </w:r>
          </w:p>
        </w:tc>
      </w:tr>
      <w:tr w:rsidR="000111DA" w:rsidRPr="00087BC6" w:rsidTr="007F3DDC">
        <w:trPr>
          <w:trHeight w:val="881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Serum CA19-9 (U/mL)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Median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Mean±SD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Range 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pStyle w:val="Pa16"/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356.0</w:t>
            </w:r>
          </w:p>
          <w:p w:rsidR="000111DA" w:rsidRPr="00087BC6" w:rsidRDefault="000111DA" w:rsidP="00DE550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698.4±559.2</w:t>
            </w:r>
          </w:p>
          <w:p w:rsidR="000111DA" w:rsidRPr="00087BC6" w:rsidRDefault="000111DA" w:rsidP="00DE5503">
            <w:pPr>
              <w:pStyle w:val="Pa16"/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145-1750</w:t>
            </w:r>
          </w:p>
        </w:tc>
      </w:tr>
      <w:tr w:rsidR="000111DA" w:rsidRPr="00087BC6" w:rsidTr="007F3DDC">
        <w:trPr>
          <w:trHeight w:val="890"/>
          <w:jc w:val="center"/>
        </w:trPr>
        <w:tc>
          <w:tcPr>
            <w:tcW w:w="3192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7"/>
                <w:szCs w:val="17"/>
                <w:lang w:bidi="ar-SA"/>
              </w:rPr>
            </w:pPr>
            <w:r w:rsidRPr="00087BC6">
              <w:rPr>
                <w:b/>
                <w:bCs/>
                <w:sz w:val="17"/>
                <w:szCs w:val="17"/>
                <w:lang w:bidi="ar-SA"/>
              </w:rPr>
              <w:t>Serum CEA (</w:t>
            </w:r>
            <w:r w:rsidRPr="00087BC6">
              <w:rPr>
                <w:sz w:val="17"/>
                <w:szCs w:val="17"/>
              </w:rPr>
              <w:t>ng/mL</w:t>
            </w:r>
            <w:r w:rsidRPr="00087BC6">
              <w:rPr>
                <w:b/>
                <w:bCs/>
                <w:sz w:val="17"/>
                <w:szCs w:val="17"/>
                <w:lang w:bidi="ar-SA"/>
              </w:rPr>
              <w:t>)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Median 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>Mean±SD</w:t>
            </w:r>
          </w:p>
          <w:p w:rsidR="000111DA" w:rsidRPr="00087BC6" w:rsidRDefault="00DE5503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sz w:val="17"/>
                <w:szCs w:val="17"/>
                <w:lang w:bidi="ar-SA"/>
              </w:rPr>
            </w:pPr>
            <w:r>
              <w:rPr>
                <w:sz w:val="17"/>
                <w:szCs w:val="17"/>
                <w:lang w:bidi="ar-SA"/>
              </w:rPr>
              <w:t xml:space="preserve">  </w:t>
            </w:r>
            <w:r w:rsidR="000111DA" w:rsidRPr="00087BC6">
              <w:rPr>
                <w:sz w:val="17"/>
                <w:szCs w:val="17"/>
                <w:lang w:bidi="ar-SA"/>
              </w:rPr>
              <w:t xml:space="preserve">Range </w:t>
            </w:r>
          </w:p>
        </w:tc>
        <w:tc>
          <w:tcPr>
            <w:tcW w:w="180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DE5503">
            <w:pPr>
              <w:snapToGrid w:val="0"/>
              <w:jc w:val="center"/>
              <w:rPr>
                <w:sz w:val="17"/>
                <w:szCs w:val="17"/>
              </w:rPr>
            </w:pPr>
          </w:p>
          <w:p w:rsidR="000111DA" w:rsidRPr="00087BC6" w:rsidRDefault="000111DA" w:rsidP="00DE5503">
            <w:pPr>
              <w:pStyle w:val="Pa16"/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4.6</w:t>
            </w:r>
          </w:p>
          <w:p w:rsidR="000111DA" w:rsidRPr="00087BC6" w:rsidRDefault="000111DA" w:rsidP="00DE550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87BC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4.9±3.0</w:t>
            </w:r>
          </w:p>
          <w:p w:rsidR="000111DA" w:rsidRPr="00087BC6" w:rsidRDefault="000111DA" w:rsidP="00DE5503">
            <w:pPr>
              <w:pStyle w:val="Pa16"/>
              <w:snapToGrid w:val="0"/>
              <w:spacing w:line="240" w:lineRule="auto"/>
              <w:jc w:val="center"/>
              <w:rPr>
                <w:sz w:val="17"/>
                <w:szCs w:val="17"/>
              </w:rPr>
            </w:pPr>
            <w:r w:rsidRPr="00087BC6">
              <w:rPr>
                <w:sz w:val="17"/>
                <w:szCs w:val="17"/>
              </w:rPr>
              <w:t>1.3-15.4</w:t>
            </w:r>
          </w:p>
        </w:tc>
      </w:tr>
    </w:tbl>
    <w:p w:rsidR="000111DA" w:rsidRDefault="000111DA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7F3DDC" w:rsidRDefault="007F3DDC" w:rsidP="000111DA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0111DA" w:rsidRDefault="000111DA" w:rsidP="000111DA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Table (2): Clinical treatment response of 28 patients with MPC</w:t>
      </w:r>
    </w:p>
    <w:p w:rsidR="007F3DDC" w:rsidRPr="002B0D3A" w:rsidRDefault="007F3DDC" w:rsidP="000111DA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7"/>
        <w:gridCol w:w="1172"/>
        <w:gridCol w:w="1072"/>
      </w:tblGrid>
      <w:tr w:rsidR="000111DA" w:rsidRPr="00087BC6" w:rsidTr="007F3DDC">
        <w:trPr>
          <w:trHeight w:val="350"/>
          <w:jc w:val="center"/>
        </w:trPr>
        <w:tc>
          <w:tcPr>
            <w:tcW w:w="2367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05297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Clinical response</w:t>
            </w:r>
          </w:p>
        </w:tc>
        <w:tc>
          <w:tcPr>
            <w:tcW w:w="1375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05297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</w:t>
            </w:r>
          </w:p>
        </w:tc>
        <w:tc>
          <w:tcPr>
            <w:tcW w:w="125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05297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(%)</w:t>
            </w:r>
          </w:p>
        </w:tc>
      </w:tr>
      <w:tr w:rsidR="000111DA" w:rsidRPr="00087BC6" w:rsidTr="007F3DDC">
        <w:trPr>
          <w:trHeight w:val="395"/>
          <w:jc w:val="center"/>
        </w:trPr>
        <w:tc>
          <w:tcPr>
            <w:tcW w:w="2367" w:type="pct"/>
            <w:tcBorders>
              <w:left w:val="nil"/>
              <w:right w:val="nil"/>
            </w:tcBorders>
            <w:vAlign w:val="center"/>
          </w:tcPr>
          <w:p w:rsidR="000111DA" w:rsidRPr="00087BC6" w:rsidRDefault="00472020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0111DA" w:rsidRPr="00087BC6">
              <w:rPr>
                <w:b/>
                <w:bCs/>
                <w:sz w:val="18"/>
                <w:szCs w:val="18"/>
                <w:lang w:bidi="ar-SA"/>
              </w:rPr>
              <w:t>CR</w:t>
            </w:r>
          </w:p>
        </w:tc>
        <w:tc>
          <w:tcPr>
            <w:tcW w:w="1375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0</w:t>
            </w:r>
          </w:p>
        </w:tc>
        <w:tc>
          <w:tcPr>
            <w:tcW w:w="125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(0)</w:t>
            </w:r>
          </w:p>
        </w:tc>
      </w:tr>
      <w:tr w:rsidR="000111DA" w:rsidRPr="00087BC6" w:rsidTr="007F3DDC">
        <w:trPr>
          <w:trHeight w:val="359"/>
          <w:jc w:val="center"/>
        </w:trPr>
        <w:tc>
          <w:tcPr>
            <w:tcW w:w="2367" w:type="pct"/>
            <w:tcBorders>
              <w:left w:val="nil"/>
              <w:right w:val="nil"/>
            </w:tcBorders>
            <w:vAlign w:val="center"/>
          </w:tcPr>
          <w:p w:rsidR="000111DA" w:rsidRPr="00087BC6" w:rsidRDefault="00472020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0111DA" w:rsidRPr="00087BC6">
              <w:rPr>
                <w:b/>
                <w:bCs/>
                <w:sz w:val="18"/>
                <w:szCs w:val="18"/>
                <w:lang w:bidi="ar-SA"/>
              </w:rPr>
              <w:t>PR</w:t>
            </w:r>
          </w:p>
        </w:tc>
        <w:tc>
          <w:tcPr>
            <w:tcW w:w="1375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25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(28.6)</w:t>
            </w:r>
          </w:p>
        </w:tc>
      </w:tr>
      <w:tr w:rsidR="000111DA" w:rsidRPr="00087BC6" w:rsidTr="007F3DDC">
        <w:trPr>
          <w:trHeight w:val="341"/>
          <w:jc w:val="center"/>
        </w:trPr>
        <w:tc>
          <w:tcPr>
            <w:tcW w:w="2367" w:type="pct"/>
            <w:tcBorders>
              <w:left w:val="nil"/>
              <w:right w:val="nil"/>
            </w:tcBorders>
            <w:vAlign w:val="center"/>
          </w:tcPr>
          <w:p w:rsidR="000111DA" w:rsidRPr="00087BC6" w:rsidRDefault="00472020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0111DA" w:rsidRPr="00087BC6">
              <w:rPr>
                <w:b/>
                <w:bCs/>
                <w:sz w:val="18"/>
                <w:szCs w:val="18"/>
                <w:lang w:bidi="ar-SA"/>
              </w:rPr>
              <w:t>SD</w:t>
            </w:r>
          </w:p>
        </w:tc>
        <w:tc>
          <w:tcPr>
            <w:tcW w:w="1375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125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(39.3)</w:t>
            </w:r>
          </w:p>
        </w:tc>
      </w:tr>
      <w:tr w:rsidR="000111DA" w:rsidRPr="00087BC6" w:rsidTr="007F3DDC">
        <w:trPr>
          <w:trHeight w:val="350"/>
          <w:jc w:val="center"/>
        </w:trPr>
        <w:tc>
          <w:tcPr>
            <w:tcW w:w="2367" w:type="pct"/>
            <w:tcBorders>
              <w:left w:val="nil"/>
              <w:right w:val="nil"/>
            </w:tcBorders>
            <w:vAlign w:val="center"/>
          </w:tcPr>
          <w:p w:rsidR="000111DA" w:rsidRPr="00087BC6" w:rsidRDefault="00472020" w:rsidP="00DD3194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>
              <w:rPr>
                <w:b/>
                <w:bCs/>
                <w:sz w:val="18"/>
                <w:szCs w:val="18"/>
                <w:lang w:bidi="ar-SA"/>
              </w:rPr>
              <w:t xml:space="preserve"> </w:t>
            </w:r>
            <w:r w:rsidR="000111DA" w:rsidRPr="00087BC6">
              <w:rPr>
                <w:b/>
                <w:bCs/>
                <w:sz w:val="18"/>
                <w:szCs w:val="18"/>
                <w:lang w:bidi="ar-SA"/>
              </w:rPr>
              <w:t>PD</w:t>
            </w:r>
          </w:p>
        </w:tc>
        <w:tc>
          <w:tcPr>
            <w:tcW w:w="1375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258" w:type="pct"/>
            <w:tcBorders>
              <w:left w:val="nil"/>
              <w:right w:val="nil"/>
            </w:tcBorders>
            <w:vAlign w:val="center"/>
          </w:tcPr>
          <w:p w:rsidR="000111DA" w:rsidRPr="00087BC6" w:rsidRDefault="000111DA" w:rsidP="00E05745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  <w:lang w:bidi="ar-SA"/>
              </w:rPr>
              <w:t>(32.1)</w:t>
            </w:r>
          </w:p>
        </w:tc>
      </w:tr>
    </w:tbl>
    <w:p w:rsidR="000111DA" w:rsidRDefault="000111DA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</w:p>
    <w:p w:rsidR="00087BC6" w:rsidRDefault="00087BC6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087BC6" w:rsidRDefault="00087BC6" w:rsidP="00087BC6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02C0D" w:rsidRDefault="00202C0D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 w:bidi="ar-SA"/>
        </w:rPr>
        <w:sectPr w:rsidR="00202C0D" w:rsidSect="002B0D3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737E08" w:rsidTr="00737E08">
        <w:tc>
          <w:tcPr>
            <w:tcW w:w="4597" w:type="dxa"/>
          </w:tcPr>
          <w:p w:rsidR="00737E08" w:rsidRDefault="00737E08" w:rsidP="0047202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B0D3A">
              <w:rPr>
                <w:noProof/>
                <w:color w:val="FF0000"/>
                <w:sz w:val="20"/>
                <w:szCs w:val="20"/>
                <w:lang w:bidi="ar-SA"/>
              </w:rPr>
              <w:lastRenderedPageBreak/>
              <w:drawing>
                <wp:inline distT="0" distB="0" distL="0" distR="0" wp14:anchorId="426B3AC6" wp14:editId="26BA8689">
                  <wp:extent cx="2867069" cy="2681654"/>
                  <wp:effectExtent l="0" t="0" r="0" b="4445"/>
                  <wp:docPr id="1" name="Picture 1" descr="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696" cy="2687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E08" w:rsidTr="00737E08">
        <w:tc>
          <w:tcPr>
            <w:tcW w:w="4597" w:type="dxa"/>
          </w:tcPr>
          <w:p w:rsidR="00737E08" w:rsidRDefault="00737E08" w:rsidP="0047202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B0D3A">
              <w:rPr>
                <w:b/>
                <w:bCs/>
                <w:sz w:val="20"/>
                <w:szCs w:val="20"/>
                <w:lang w:bidi="ar-SA"/>
              </w:rPr>
              <w:t xml:space="preserve">Figure 1: </w:t>
            </w:r>
            <w:r w:rsidRPr="002B0D3A">
              <w:rPr>
                <w:sz w:val="20"/>
                <w:szCs w:val="20"/>
                <w:lang w:bidi="ar-SA"/>
              </w:rPr>
              <w:t>Overall survival of all patients.</w:t>
            </w:r>
          </w:p>
        </w:tc>
      </w:tr>
    </w:tbl>
    <w:p w:rsidR="00737E08" w:rsidRDefault="00737E08" w:rsidP="00472020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737E08" w:rsidRDefault="00737E08" w:rsidP="00472020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737E08" w:rsidTr="000B5052">
        <w:tc>
          <w:tcPr>
            <w:tcW w:w="4597" w:type="dxa"/>
          </w:tcPr>
          <w:p w:rsidR="00737E08" w:rsidRDefault="00737E08" w:rsidP="0047202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B0D3A">
              <w:rPr>
                <w:noProof/>
                <w:color w:val="FF0000"/>
                <w:sz w:val="20"/>
                <w:szCs w:val="20"/>
                <w:lang w:bidi="ar-SA"/>
              </w:rPr>
              <w:drawing>
                <wp:inline distT="0" distB="0" distL="0" distR="0" wp14:anchorId="256BF682" wp14:editId="39DCB05E">
                  <wp:extent cx="2859031" cy="2581275"/>
                  <wp:effectExtent l="0" t="0" r="0" b="0"/>
                  <wp:docPr id="2" name="Picture 2" descr="P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031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E08" w:rsidTr="000B5052">
        <w:tc>
          <w:tcPr>
            <w:tcW w:w="4597" w:type="dxa"/>
          </w:tcPr>
          <w:p w:rsidR="00737E08" w:rsidRDefault="00737E08" w:rsidP="0047202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B0D3A">
              <w:rPr>
                <w:b/>
                <w:bCs/>
                <w:sz w:val="20"/>
                <w:szCs w:val="20"/>
                <w:lang w:bidi="ar-SA"/>
              </w:rPr>
              <w:t xml:space="preserve">Figure 2: </w:t>
            </w:r>
            <w:r w:rsidRPr="002B0D3A">
              <w:rPr>
                <w:sz w:val="20"/>
                <w:szCs w:val="20"/>
                <w:lang w:bidi="ar-SA"/>
              </w:rPr>
              <w:t>Progression-free survival of all patients.</w:t>
            </w:r>
          </w:p>
        </w:tc>
      </w:tr>
    </w:tbl>
    <w:p w:rsidR="00737E08" w:rsidRDefault="00737E08" w:rsidP="00472020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737E08" w:rsidRPr="002B0D3A" w:rsidRDefault="00737E08" w:rsidP="00737E08">
      <w:pPr>
        <w:autoSpaceDE w:val="0"/>
        <w:autoSpaceDN w:val="0"/>
        <w:adjustRightInd w:val="0"/>
        <w:snapToGrid w:val="0"/>
        <w:jc w:val="both"/>
        <w:rPr>
          <w:b/>
          <w:bCs/>
          <w:color w:val="FF0000"/>
          <w:sz w:val="20"/>
          <w:szCs w:val="20"/>
          <w:lang w:bidi="ar-SA"/>
        </w:rPr>
      </w:pPr>
      <w:r w:rsidRPr="002B0D3A">
        <w:rPr>
          <w:b/>
          <w:bCs/>
          <w:sz w:val="20"/>
          <w:szCs w:val="20"/>
          <w:lang w:bidi="ar-SA"/>
        </w:rPr>
        <w:t>4. Discussion</w:t>
      </w:r>
    </w:p>
    <w:p w:rsidR="00737E08" w:rsidRDefault="00737E08" w:rsidP="00737E0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Metastatic PC patients have extremely short survival with few established treatment modalities in such highly lethal clinical condition [12]. These patients may be selected for systemic </w:t>
      </w:r>
      <w:r w:rsidRPr="002B0D3A">
        <w:rPr>
          <w:sz w:val="20"/>
          <w:szCs w:val="20"/>
        </w:rPr>
        <w:t>CT</w:t>
      </w:r>
      <w:r w:rsidRPr="002B0D3A">
        <w:rPr>
          <w:sz w:val="20"/>
          <w:szCs w:val="20"/>
          <w:lang w:bidi="ar-SA"/>
        </w:rPr>
        <w:t xml:space="preserve"> with the aim of survival prolongation, minimizing symptoms and improving or at least maintaining the quality of life (QoL) [13].</w:t>
      </w:r>
    </w:p>
    <w:p w:rsidR="00737E08" w:rsidRDefault="00737E08" w:rsidP="00737E08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 xml:space="preserve">Compared to </w:t>
      </w:r>
      <w:r w:rsidRPr="002B0D3A">
        <w:rPr>
          <w:sz w:val="20"/>
          <w:szCs w:val="20"/>
        </w:rPr>
        <w:t>GEM</w:t>
      </w:r>
      <w:r w:rsidRPr="002B0D3A">
        <w:rPr>
          <w:sz w:val="20"/>
          <w:szCs w:val="20"/>
          <w:lang w:bidi="ar-SA"/>
        </w:rPr>
        <w:t xml:space="preserve"> monotherapy, FOLFIRINOX regimen can produce a significant improvement of the survival with remarkable efficacy in MPC patients. However, the considerable FOLFIRINOX regimen toxicity largely limits its application [6].</w:t>
      </w:r>
    </w:p>
    <w:p w:rsidR="00737E08" w:rsidRDefault="00737E08" w:rsidP="00472020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p w:rsidR="00C20537" w:rsidRDefault="00C20537" w:rsidP="00737E08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  <w:lang w:bidi="ar-SA"/>
        </w:rPr>
        <w:lastRenderedPageBreak/>
        <w:t xml:space="preserve">Table (3): </w:t>
      </w:r>
      <w:r w:rsidRPr="002B0D3A">
        <w:rPr>
          <w:b/>
          <w:bCs/>
          <w:sz w:val="20"/>
          <w:szCs w:val="20"/>
        </w:rPr>
        <w:t xml:space="preserve">Treatment </w:t>
      </w:r>
      <w:r w:rsidRPr="002B0D3A">
        <w:rPr>
          <w:b/>
          <w:bCs/>
          <w:sz w:val="20"/>
          <w:szCs w:val="20"/>
          <w:lang w:bidi="ar-SA"/>
        </w:rPr>
        <w:t>adverse events</w:t>
      </w:r>
      <w:r w:rsidRPr="002B0D3A">
        <w:rPr>
          <w:b/>
          <w:bCs/>
          <w:sz w:val="20"/>
          <w:szCs w:val="20"/>
        </w:rPr>
        <w:t xml:space="preserve"> of</w:t>
      </w:r>
      <w:r w:rsidRPr="002B0D3A">
        <w:rPr>
          <w:b/>
          <w:bCs/>
          <w:sz w:val="20"/>
          <w:szCs w:val="20"/>
          <w:lang w:bidi="ar-SA"/>
        </w:rPr>
        <w:t xml:space="preserve"> modified</w:t>
      </w:r>
      <w:r w:rsidRPr="002B0D3A">
        <w:rPr>
          <w:b/>
          <w:bCs/>
          <w:sz w:val="20"/>
          <w:szCs w:val="20"/>
        </w:rPr>
        <w:t xml:space="preserve"> F</w:t>
      </w:r>
      <w:r w:rsidR="00472020">
        <w:rPr>
          <w:b/>
          <w:bCs/>
          <w:sz w:val="20"/>
          <w:szCs w:val="20"/>
        </w:rPr>
        <w:t>OLFIRINOX</w:t>
      </w:r>
      <w:r w:rsidRPr="002B0D3A">
        <w:rPr>
          <w:b/>
          <w:bCs/>
          <w:sz w:val="20"/>
          <w:szCs w:val="20"/>
        </w:rPr>
        <w:t xml:space="preserve"> regimen </w:t>
      </w:r>
    </w:p>
    <w:p w:rsidR="007F3DDC" w:rsidRPr="002B0D3A" w:rsidRDefault="007F3DDC" w:rsidP="00472020">
      <w:pPr>
        <w:autoSpaceDE w:val="0"/>
        <w:autoSpaceDN w:val="0"/>
        <w:adjustRightInd w:val="0"/>
        <w:snapToGrid w:val="0"/>
        <w:jc w:val="center"/>
        <w:rPr>
          <w:b/>
          <w:bCs/>
          <w:sz w:val="20"/>
          <w:szCs w:val="20"/>
          <w:lang w:bidi="ar-SA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8"/>
        <w:gridCol w:w="1017"/>
        <w:gridCol w:w="982"/>
      </w:tblGrid>
      <w:tr w:rsidR="00C20537" w:rsidRPr="00087BC6" w:rsidTr="007F3DDC">
        <w:trPr>
          <w:trHeight w:val="602"/>
          <w:jc w:val="center"/>
        </w:trPr>
        <w:tc>
          <w:tcPr>
            <w:tcW w:w="2742" w:type="pct"/>
            <w:tcBorders>
              <w:left w:val="nil"/>
              <w:right w:val="nil"/>
            </w:tcBorders>
            <w:vAlign w:val="center"/>
          </w:tcPr>
          <w:p w:rsidR="00C20537" w:rsidRPr="00087BC6" w:rsidRDefault="00C20537" w:rsidP="00E7184F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Adverse events</w:t>
            </w:r>
          </w:p>
        </w:tc>
        <w:tc>
          <w:tcPr>
            <w:tcW w:w="1149" w:type="pct"/>
            <w:tcBorders>
              <w:left w:val="nil"/>
              <w:right w:val="nil"/>
            </w:tcBorders>
            <w:vAlign w:val="center"/>
          </w:tcPr>
          <w:p w:rsidR="00C20537" w:rsidRPr="00087BC6" w:rsidRDefault="00C20537" w:rsidP="00E7184F">
            <w:pPr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</w:rPr>
              <w:t>Grade 1/2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 (%)</w:t>
            </w:r>
          </w:p>
        </w:tc>
        <w:tc>
          <w:tcPr>
            <w:tcW w:w="1109" w:type="pct"/>
            <w:tcBorders>
              <w:left w:val="nil"/>
              <w:right w:val="nil"/>
            </w:tcBorders>
            <w:vAlign w:val="center"/>
          </w:tcPr>
          <w:p w:rsidR="00C20537" w:rsidRPr="00087BC6" w:rsidRDefault="00C20537" w:rsidP="00E7184F">
            <w:pPr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</w:rPr>
              <w:t>Grade</w:t>
            </w:r>
            <w:r w:rsidRPr="00087BC6">
              <w:rPr>
                <w:b/>
                <w:bCs/>
                <w:sz w:val="18"/>
                <w:szCs w:val="18"/>
                <w:lang w:bidi="ar-SA"/>
              </w:rPr>
              <w:t xml:space="preserve"> 3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 (%)</w:t>
            </w:r>
          </w:p>
        </w:tc>
      </w:tr>
      <w:tr w:rsidR="00C20537" w:rsidRPr="00087BC6" w:rsidTr="007F3DDC">
        <w:trPr>
          <w:trHeight w:val="1232"/>
          <w:jc w:val="center"/>
        </w:trPr>
        <w:tc>
          <w:tcPr>
            <w:tcW w:w="2742" w:type="pct"/>
            <w:tcBorders>
              <w:left w:val="nil"/>
              <w:right w:val="nil"/>
            </w:tcBorders>
            <w:vAlign w:val="center"/>
          </w:tcPr>
          <w:p w:rsidR="00C20537" w:rsidRDefault="00C20537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Hematologic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Neutropenia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Febrile neutropenia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 xml:space="preserve">Thrombocytopenia </w:t>
            </w:r>
          </w:p>
          <w:p w:rsidR="00C20537" w:rsidRPr="00087BC6" w:rsidRDefault="007F3DDC" w:rsidP="007E1260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Anemia</w:t>
            </w:r>
          </w:p>
        </w:tc>
        <w:tc>
          <w:tcPr>
            <w:tcW w:w="1149" w:type="pct"/>
            <w:tcBorders>
              <w:left w:val="nil"/>
              <w:right w:val="nil"/>
            </w:tcBorders>
            <w:vAlign w:val="center"/>
          </w:tcPr>
          <w:p w:rsidR="00857E21" w:rsidRDefault="00857E21" w:rsidP="00E7184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11 (39.3)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 (3.6)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4 (14.3)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8 (28.6)</w:t>
            </w:r>
          </w:p>
        </w:tc>
        <w:tc>
          <w:tcPr>
            <w:tcW w:w="1109" w:type="pct"/>
            <w:tcBorders>
              <w:left w:val="nil"/>
              <w:right w:val="nil"/>
            </w:tcBorders>
            <w:vAlign w:val="center"/>
          </w:tcPr>
          <w:p w:rsidR="00857E21" w:rsidRDefault="00857E21" w:rsidP="00E7184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6 (21.4)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 (7.1)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1 (3.6)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</w:tc>
      </w:tr>
      <w:tr w:rsidR="00C20537" w:rsidRPr="00087BC6" w:rsidTr="007F3DDC">
        <w:trPr>
          <w:trHeight w:val="2060"/>
          <w:jc w:val="center"/>
        </w:trPr>
        <w:tc>
          <w:tcPr>
            <w:tcW w:w="2742" w:type="pct"/>
            <w:tcBorders>
              <w:left w:val="nil"/>
              <w:right w:val="nil"/>
            </w:tcBorders>
            <w:vAlign w:val="center"/>
          </w:tcPr>
          <w:p w:rsidR="00C20537" w:rsidRDefault="00C20537" w:rsidP="007E1260">
            <w:pPr>
              <w:snapToGrid w:val="0"/>
              <w:jc w:val="both"/>
              <w:rPr>
                <w:b/>
                <w:bCs/>
                <w:sz w:val="18"/>
                <w:szCs w:val="18"/>
                <w:lang w:bidi="ar-SA"/>
              </w:rPr>
            </w:pPr>
            <w:r w:rsidRPr="00087BC6">
              <w:rPr>
                <w:b/>
                <w:bCs/>
                <w:sz w:val="18"/>
                <w:szCs w:val="18"/>
                <w:lang w:bidi="ar-SA"/>
              </w:rPr>
              <w:t>Non-hemotologic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Infection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Mucositis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 xml:space="preserve">Fatigue 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Nausea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 xml:space="preserve">Vomiting </w:t>
            </w:r>
          </w:p>
          <w:p w:rsidR="00C20537" w:rsidRPr="00087BC6" w:rsidRDefault="007F3DDC" w:rsidP="007E1260">
            <w:pPr>
              <w:autoSpaceDE w:val="0"/>
              <w:autoSpaceDN w:val="0"/>
              <w:adjustRightInd w:val="0"/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 xml:space="preserve">Diarrhea </w:t>
            </w:r>
          </w:p>
          <w:p w:rsidR="00C20537" w:rsidRPr="00087BC6" w:rsidRDefault="007F3DDC" w:rsidP="007E1260">
            <w:pPr>
              <w:pStyle w:val="Pa17"/>
              <w:snapToGrid w:val="0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C20537" w:rsidRPr="00087BC6">
              <w:rPr>
                <w:color w:val="000000"/>
                <w:sz w:val="18"/>
                <w:szCs w:val="18"/>
              </w:rPr>
              <w:t xml:space="preserve">Peripheral sensory neuropathy </w:t>
            </w:r>
          </w:p>
          <w:p w:rsidR="00C20537" w:rsidRPr="00087BC6" w:rsidRDefault="007F3DDC" w:rsidP="007E1260">
            <w:pPr>
              <w:snapToGrid w:val="0"/>
              <w:jc w:val="both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 xml:space="preserve">  </w:t>
            </w:r>
            <w:r w:rsidR="00C20537" w:rsidRPr="00087BC6">
              <w:rPr>
                <w:sz w:val="18"/>
                <w:szCs w:val="18"/>
                <w:lang w:bidi="ar-SA"/>
              </w:rPr>
              <w:t>Anorexia</w:t>
            </w:r>
          </w:p>
        </w:tc>
        <w:tc>
          <w:tcPr>
            <w:tcW w:w="1149" w:type="pct"/>
            <w:tcBorders>
              <w:left w:val="nil"/>
              <w:right w:val="nil"/>
            </w:tcBorders>
            <w:vAlign w:val="center"/>
          </w:tcPr>
          <w:p w:rsidR="00857E21" w:rsidRDefault="00857E21" w:rsidP="00E7184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4 (14.3)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7 (25)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6 (21.4)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14 (50)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4 (14.3)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5 (17.9)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</w:t>
            </w:r>
            <w:r w:rsidRPr="00087BC6">
              <w:rPr>
                <w:sz w:val="18"/>
                <w:szCs w:val="18"/>
                <w:lang w:bidi="ar-SA"/>
              </w:rPr>
              <w:t xml:space="preserve"> </w:t>
            </w:r>
            <w:r w:rsidRPr="00087BC6">
              <w:rPr>
                <w:sz w:val="18"/>
                <w:szCs w:val="18"/>
              </w:rPr>
              <w:t>(7.1)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9 (32.1)</w:t>
            </w:r>
          </w:p>
        </w:tc>
        <w:tc>
          <w:tcPr>
            <w:tcW w:w="1109" w:type="pct"/>
            <w:tcBorders>
              <w:left w:val="nil"/>
              <w:right w:val="nil"/>
            </w:tcBorders>
            <w:vAlign w:val="center"/>
          </w:tcPr>
          <w:p w:rsidR="00857E21" w:rsidRDefault="00857E21" w:rsidP="00E7184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2 (7.1)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</w:rPr>
            </w:pPr>
            <w:r w:rsidRPr="00087BC6">
              <w:rPr>
                <w:sz w:val="18"/>
                <w:szCs w:val="18"/>
              </w:rPr>
              <w:t>1 (3.6)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1 (3.6)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  <w:p w:rsidR="00C20537" w:rsidRPr="00087BC6" w:rsidRDefault="00C20537" w:rsidP="00E7184F">
            <w:pPr>
              <w:snapToGrid w:val="0"/>
              <w:jc w:val="center"/>
              <w:rPr>
                <w:sz w:val="18"/>
                <w:szCs w:val="18"/>
                <w:lang w:bidi="ar-SA"/>
              </w:rPr>
            </w:pPr>
            <w:r w:rsidRPr="00087BC6">
              <w:rPr>
                <w:sz w:val="18"/>
                <w:szCs w:val="18"/>
              </w:rPr>
              <w:t>0 (0)</w:t>
            </w:r>
          </w:p>
        </w:tc>
      </w:tr>
    </w:tbl>
    <w:p w:rsidR="00C20537" w:rsidRDefault="00C20537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practice,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high-grade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developed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dosage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discontinue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[14].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high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initial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previous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unwillingness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majority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clinicians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prescribe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</w:t>
      </w:r>
      <w:r w:rsidR="007706D7" w:rsidRPr="002B0D3A">
        <w:rPr>
          <w:sz w:val="20"/>
          <w:szCs w:val="20"/>
          <w:lang w:bidi="ar-SA"/>
        </w:rPr>
        <w:t>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have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encouraged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widespread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use</w:t>
      </w:r>
      <w:r w:rsidR="002B0D3A" w:rsidRPr="002B0D3A">
        <w:rPr>
          <w:sz w:val="20"/>
          <w:szCs w:val="20"/>
          <w:lang w:bidi="ar-SA"/>
        </w:rPr>
        <w:t xml:space="preserve"> </w:t>
      </w:r>
      <w:r w:rsidR="00C20537" w:rsidRPr="002B0D3A">
        <w:rPr>
          <w:sz w:val="20"/>
          <w:szCs w:val="20"/>
          <w:lang w:bidi="ar-SA"/>
        </w:rPr>
        <w:t>of a modified FOLFIRINOX 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most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oncology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centers.</w:t>
      </w:r>
      <w:r w:rsidR="002B0D3A" w:rsidRPr="002B0D3A">
        <w:rPr>
          <w:b/>
          <w:bCs/>
          <w:sz w:val="20"/>
          <w:szCs w:val="20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Many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researchers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patients'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through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various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ways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Mahaseth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omitting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G-CSF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same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time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maintain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efficiency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serious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3/4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diarrhea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Another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strategy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applying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</w:t>
      </w:r>
      <w:r w:rsidRPr="002B0D3A">
        <w:rPr>
          <w:sz w:val="20"/>
          <w:szCs w:val="20"/>
        </w:rPr>
        <w:t>xaliplatin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plus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5-fluorouracil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folinic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acid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(OFF)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removal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advantageous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="007706D7" w:rsidRPr="002B0D3A">
        <w:rPr>
          <w:sz w:val="20"/>
          <w:szCs w:val="20"/>
          <w:lang w:bidi="ar-SA"/>
        </w:rPr>
        <w:t>[15]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investigated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safety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efficacy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upfront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therapy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findings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suggested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upfront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tolerability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without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compromising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efficacy.</w:t>
      </w:r>
      <w:r w:rsidR="002B0D3A" w:rsidRPr="002B0D3A">
        <w:rPr>
          <w:sz w:val="20"/>
          <w:szCs w:val="20"/>
          <w:lang w:bidi="ar-SA"/>
        </w:rPr>
        <w:t xml:space="preserve"> 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28.6%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67.9%.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7.7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comparison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previous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[12]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Chinese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utilized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reducing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oxaliplatin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irinotecan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omitting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62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32.5%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60%,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="002B7003"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7.0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Mahaseth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32.5%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but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removed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IV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Japanese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multi-institutional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68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CT-naïve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MPC,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DCR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37.7%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78.3%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11.2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5.5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[16]</w:t>
      </w:r>
      <w:r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Yoshida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[17]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conducted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prospective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first-line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(by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reduction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irinotecan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leucovorin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omission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IV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bolus)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unresectable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advanced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PC.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38.7%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b/>
          <w:bCs/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14.9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phase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assessed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impact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dose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attenuation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efficacy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comparable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35.1%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10.2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6.1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</w:p>
    <w:p w:rsidR="008A4918" w:rsidRPr="002B0D3A" w:rsidRDefault="008A4918" w:rsidP="00087BC6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Ghorani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[</w:t>
      </w:r>
      <w:r w:rsidRPr="002B0D3A">
        <w:rPr>
          <w:sz w:val="20"/>
          <w:szCs w:val="20"/>
          <w:lang w:bidi="ar-SA"/>
        </w:rPr>
        <w:t>18]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small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number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="00FA217F" w:rsidRPr="002B0D3A">
        <w:rPr>
          <w:sz w:val="20"/>
          <w:szCs w:val="20"/>
        </w:rPr>
        <w:t>(18</w:t>
      </w:r>
      <w:r w:rsidR="002B0D3A" w:rsidRPr="002B0D3A">
        <w:rPr>
          <w:sz w:val="20"/>
          <w:szCs w:val="20"/>
        </w:rPr>
        <w:t xml:space="preserve"> </w:t>
      </w:r>
      <w:r w:rsidR="00FA217F" w:rsidRPr="002B0D3A">
        <w:rPr>
          <w:sz w:val="20"/>
          <w:szCs w:val="20"/>
        </w:rPr>
        <w:t>patients)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47%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9.3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7.2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months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Bai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[</w:t>
      </w:r>
      <w:r w:rsidRPr="002B0D3A">
        <w:rPr>
          <w:sz w:val="20"/>
          <w:szCs w:val="20"/>
          <w:lang w:bidi="ar-SA"/>
        </w:rPr>
        <w:t>19]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55.2%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29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first-line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therapy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(irinotecan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oxaliplatin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68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5-FU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2400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leucovorin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400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mg/m</w:t>
      </w:r>
      <w:r w:rsidRPr="002B0D3A">
        <w:rPr>
          <w:sz w:val="20"/>
          <w:szCs w:val="20"/>
          <w:vertAlign w:val="superscript"/>
        </w:rPr>
        <w:t>2</w:t>
      </w:r>
      <w:r w:rsidRPr="002B0D3A">
        <w:rPr>
          <w:sz w:val="20"/>
          <w:szCs w:val="20"/>
        </w:rPr>
        <w:t>).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present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treatment-related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21.4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febrile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7.1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thrombocytopenia,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3.6%;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7.1</w:t>
      </w:r>
      <w:r w:rsidRPr="002B0D3A">
        <w:rPr>
          <w:sz w:val="20"/>
          <w:szCs w:val="20"/>
          <w:lang w:bidi="ar-SA"/>
        </w:rPr>
        <w:t>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diarrhea,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3.6%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both.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our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study,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(21.4%)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supportive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during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treatment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cycles.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addition,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5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(17.9%)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started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prophylactic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from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first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cycle,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39.3%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our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G-CSF.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Among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studies,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variations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profile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adverse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events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result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schedules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drugs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modification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different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percent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administered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hematopoietic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growth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factors.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[10]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recorded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toxicities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were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follows: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diarrhoea,16.2%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only);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fatigue,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12.2%;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thrombocytopenia,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9.5%;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anaemia,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lastRenderedPageBreak/>
        <w:t>5.4%;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alanine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aminotransferase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(ALT)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elevation</w:t>
      </w:r>
      <w:r w:rsidRPr="002B0D3A">
        <w:rPr>
          <w:sz w:val="20"/>
          <w:szCs w:val="20"/>
          <w:lang w:bidi="ar-SA"/>
        </w:rPr>
        <w:t>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thromboembolism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febrile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4.1%;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vomiting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peripheral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neuropathy,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2.7%.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Ghorani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[18]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adverse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events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included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vomiting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(28%),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nausea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(22%),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(17%)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non-neutropenic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fever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(17%).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Also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Li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[12]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commonest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toxicities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neutropenia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ALT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elevation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(29%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14.5%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respectively)</w:t>
      </w:r>
      <w:r w:rsidR="002D2592"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Also,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Mahaseth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="002D2592"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="002D2592" w:rsidRPr="002B0D3A">
        <w:rPr>
          <w:sz w:val="20"/>
          <w:szCs w:val="20"/>
          <w:lang w:bidi="ar-SA"/>
        </w:rPr>
        <w:t>[9]</w:t>
      </w:r>
      <w:r w:rsidR="002B0D3A" w:rsidRPr="002B0D3A">
        <w:rPr>
          <w:sz w:val="20"/>
          <w:szCs w:val="20"/>
        </w:rPr>
        <w:t xml:space="preserve"> </w:t>
      </w:r>
      <w:r w:rsidR="002D2592" w:rsidRPr="002B0D3A">
        <w:rPr>
          <w:sz w:val="20"/>
          <w:szCs w:val="20"/>
        </w:rPr>
        <w:t>reported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neutropenia,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3/4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fatigue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were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13%,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respectively.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Ozaka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[16]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higher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neutropenia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47.8%.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other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hand,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Yoshida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[17]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very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high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incidence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grade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3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4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adverse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events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included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neutropenia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(83.9%).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Also,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recorded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febrile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neutropenia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(16.1%),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peripheral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sensory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neuropathy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(9.7%),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thrombocytopenia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diarrhea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anorexia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(6.5%),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vomiting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(3.2%).</w:t>
      </w:r>
      <w:r w:rsidR="002B0D3A" w:rsidRPr="002B0D3A">
        <w:rPr>
          <w:sz w:val="20"/>
          <w:szCs w:val="20"/>
        </w:rPr>
        <w:t xml:space="preserve"> </w:t>
      </w:r>
    </w:p>
    <w:p w:rsidR="008A4918" w:rsidRPr="002B0D3A" w:rsidRDefault="008A4918" w:rsidP="00087BC6">
      <w:pPr>
        <w:snapToGrid w:val="0"/>
        <w:ind w:firstLine="425"/>
        <w:jc w:val="both"/>
        <w:rPr>
          <w:sz w:val="20"/>
          <w:szCs w:val="20"/>
          <w:lang w:bidi="ar-SA"/>
        </w:rPr>
      </w:pPr>
      <w:r w:rsidRPr="002B0D3A">
        <w:rPr>
          <w:color w:val="000000"/>
          <w:sz w:val="20"/>
          <w:szCs w:val="20"/>
          <w:lang w:bidi="ar-SA"/>
        </w:rPr>
        <w:t>Von</w:t>
      </w:r>
      <w:r w:rsidR="002B0D3A" w:rsidRPr="002B0D3A">
        <w:rPr>
          <w:color w:val="000000"/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Hoff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[20]</w:t>
      </w:r>
      <w:r w:rsidR="002B0D3A" w:rsidRPr="002B0D3A">
        <w:rPr>
          <w:color w:val="000000"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rStyle w:val="Emphasis"/>
          <w:i w:val="0"/>
          <w:iCs w:val="0"/>
          <w:sz w:val="20"/>
          <w:szCs w:val="20"/>
        </w:rPr>
        <w:t>nab</w:t>
      </w:r>
      <w:r w:rsidRPr="002B0D3A">
        <w:rPr>
          <w:rStyle w:val="st"/>
          <w:i/>
          <w:iCs/>
          <w:sz w:val="20"/>
          <w:szCs w:val="20"/>
        </w:rPr>
        <w:t>-</w:t>
      </w:r>
      <w:r w:rsidRPr="002B0D3A">
        <w:rPr>
          <w:rStyle w:val="Emphasis"/>
          <w:i w:val="0"/>
          <w:iCs w:val="0"/>
          <w:sz w:val="20"/>
          <w:szCs w:val="20"/>
        </w:rPr>
        <w:t>paclitaxel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provide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another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choice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i/>
          <w:i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significantly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improved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PFS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[20].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Goldstein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[21]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phase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III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trial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included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861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MPC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received</w:t>
      </w:r>
      <w:r w:rsidR="002B0D3A" w:rsidRPr="002B0D3A">
        <w:rPr>
          <w:sz w:val="20"/>
          <w:szCs w:val="20"/>
        </w:rPr>
        <w:t xml:space="preserve"> </w:t>
      </w:r>
      <w:r w:rsidR="00E901A7" w:rsidRPr="002B0D3A">
        <w:rPr>
          <w:sz w:val="20"/>
          <w:szCs w:val="20"/>
        </w:rPr>
        <w:t>nab</w:t>
      </w:r>
      <w:r w:rsidRPr="002B0D3A">
        <w:rPr>
          <w:rStyle w:val="highlight"/>
          <w:sz w:val="20"/>
          <w:szCs w:val="20"/>
        </w:rPr>
        <w:t>-paclitaxel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plus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alone,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8.7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rStyle w:val="highlight"/>
          <w:sz w:val="20"/>
          <w:szCs w:val="20"/>
        </w:rPr>
        <w:t>combined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arm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[21].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Thus,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="00BC51A9"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10.5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considered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relatively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better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plus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nab-paclitaxel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However,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[22]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seems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effective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GEM/</w:t>
      </w:r>
      <w:r w:rsidRPr="002B0D3A">
        <w:rPr>
          <w:rStyle w:val="Emphasis"/>
          <w:i w:val="0"/>
          <w:iCs w:val="0"/>
          <w:sz w:val="20"/>
          <w:szCs w:val="20"/>
        </w:rPr>
        <w:t>nab</w:t>
      </w:r>
      <w:r w:rsidRPr="002B0D3A">
        <w:rPr>
          <w:rStyle w:val="st"/>
          <w:i/>
          <w:iCs/>
          <w:sz w:val="20"/>
          <w:szCs w:val="20"/>
        </w:rPr>
        <w:t>-</w:t>
      </w:r>
      <w:r w:rsidRPr="002B0D3A">
        <w:rPr>
          <w:rStyle w:val="Emphasis"/>
          <w:i w:val="0"/>
          <w:iCs w:val="0"/>
          <w:sz w:val="20"/>
          <w:szCs w:val="20"/>
        </w:rPr>
        <w:t>paclitaxel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treating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MPC.</w:t>
      </w:r>
    </w:p>
    <w:p w:rsidR="008A4918" w:rsidRDefault="008A4918" w:rsidP="00087BC6">
      <w:pPr>
        <w:snapToGrid w:val="0"/>
        <w:ind w:firstLine="425"/>
        <w:jc w:val="both"/>
        <w:rPr>
          <w:sz w:val="20"/>
          <w:szCs w:val="20"/>
          <w:lang w:eastAsia="zh-CN" w:bidi="ar-SA"/>
        </w:rPr>
      </w:pP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summary,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results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suggests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that,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regardless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attenuation,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still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benefit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from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ORR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survival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rates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comparable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treatment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outcome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Conroy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[6]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(ORR;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31.6%,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OS;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11.1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median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PFS;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6.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months)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considerable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lower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incidence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grade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3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neutropenia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associated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full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dose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(neutropenia;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45.7%).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addition,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while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standard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front-line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therapy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for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MPC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has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found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cost-effective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therapy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compared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GEM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reported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by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Chan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et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al.</w:t>
      </w:r>
      <w:r w:rsidR="002B0D3A" w:rsidRPr="002B0D3A">
        <w:rPr>
          <w:b/>
          <w:bCs/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[22]</w:t>
      </w:r>
      <w:r w:rsidRPr="002B0D3A">
        <w:rPr>
          <w:sz w:val="20"/>
          <w:szCs w:val="20"/>
        </w:rPr>
        <w:t>,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modified</w:t>
      </w:r>
      <w:r w:rsidR="002B0D3A" w:rsidRPr="002B0D3A">
        <w:rPr>
          <w:sz w:val="20"/>
          <w:szCs w:val="20"/>
        </w:rPr>
        <w:t xml:space="preserve"> </w:t>
      </w:r>
      <w:r w:rsidR="00BC51A9" w:rsidRPr="002B0D3A">
        <w:rPr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protocol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seems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</w:t>
      </w:r>
      <w:r w:rsidR="002B0D3A" w:rsidRPr="002B0D3A">
        <w:rPr>
          <w:sz w:val="20"/>
          <w:szCs w:val="20"/>
        </w:rPr>
        <w:t xml:space="preserve"> </w:t>
      </w:r>
      <w:r w:rsidR="00BC51A9" w:rsidRPr="002B0D3A">
        <w:rPr>
          <w:sz w:val="20"/>
          <w:szCs w:val="20"/>
        </w:rPr>
        <w:t>costly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better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standard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Pr="002B0D3A">
        <w:rPr>
          <w:sz w:val="20"/>
          <w:szCs w:val="20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small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number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our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patients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with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lack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assessment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QoL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constituted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main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limitations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this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study.</w:t>
      </w:r>
    </w:p>
    <w:p w:rsidR="00087BC6" w:rsidRPr="002B0D3A" w:rsidRDefault="00087BC6" w:rsidP="00087BC6">
      <w:pPr>
        <w:snapToGrid w:val="0"/>
        <w:ind w:firstLine="425"/>
        <w:jc w:val="both"/>
        <w:rPr>
          <w:sz w:val="20"/>
          <w:szCs w:val="20"/>
          <w:lang w:eastAsia="zh-CN" w:bidi="ar-SA"/>
        </w:rPr>
      </w:pPr>
    </w:p>
    <w:p w:rsidR="008A4918" w:rsidRPr="002B0D3A" w:rsidRDefault="008A4918" w:rsidP="00087BC6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Conclusions</w:t>
      </w:r>
    </w:p>
    <w:p w:rsidR="008A4918" w:rsidRPr="002B0D3A" w:rsidRDefault="008A4918" w:rsidP="00087BC6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modified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FOLFIRINOX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regimen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</w:rPr>
        <w:t>has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an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acceptable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safety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profile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maintained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efficacy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color w:val="000000"/>
          <w:sz w:val="20"/>
          <w:szCs w:val="20"/>
          <w:lang w:bidi="ar-SA"/>
        </w:rPr>
        <w:t>MPC</w:t>
      </w:r>
      <w:r w:rsidRPr="002B0D3A">
        <w:rPr>
          <w:sz w:val="20"/>
          <w:szCs w:val="20"/>
          <w:lang w:bidi="ar-SA"/>
        </w:rPr>
        <w:t>.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Prospective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multicenter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studies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with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large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number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of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patients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are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required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to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validate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these</w:t>
      </w:r>
      <w:r w:rsidR="002B0D3A" w:rsidRPr="002B0D3A">
        <w:rPr>
          <w:sz w:val="20"/>
          <w:szCs w:val="20"/>
        </w:rPr>
        <w:t xml:space="preserve"> </w:t>
      </w:r>
      <w:r w:rsidRPr="002B0D3A">
        <w:rPr>
          <w:sz w:val="20"/>
          <w:szCs w:val="20"/>
        </w:rPr>
        <w:t>findings.</w:t>
      </w:r>
    </w:p>
    <w:p w:rsidR="008A4918" w:rsidRPr="002B0D3A" w:rsidRDefault="008A4918" w:rsidP="00087BC6">
      <w:pPr>
        <w:snapToGrid w:val="0"/>
        <w:jc w:val="both"/>
        <w:rPr>
          <w:rStyle w:val="apple-style-span"/>
          <w:sz w:val="20"/>
          <w:szCs w:val="20"/>
        </w:rPr>
      </w:pPr>
      <w:r w:rsidRPr="002B0D3A">
        <w:rPr>
          <w:rStyle w:val="apple-style-span"/>
          <w:b/>
          <w:bCs/>
          <w:sz w:val="20"/>
          <w:szCs w:val="20"/>
        </w:rPr>
        <w:lastRenderedPageBreak/>
        <w:t>Conflict</w:t>
      </w:r>
      <w:r w:rsidR="002B0D3A" w:rsidRPr="002B0D3A">
        <w:rPr>
          <w:rStyle w:val="apple-style-span"/>
          <w:b/>
          <w:bCs/>
          <w:sz w:val="20"/>
          <w:szCs w:val="20"/>
        </w:rPr>
        <w:t xml:space="preserve"> </w:t>
      </w:r>
      <w:r w:rsidRPr="002B0D3A">
        <w:rPr>
          <w:rStyle w:val="apple-style-span"/>
          <w:b/>
          <w:bCs/>
          <w:sz w:val="20"/>
          <w:szCs w:val="20"/>
        </w:rPr>
        <w:t>of</w:t>
      </w:r>
      <w:r w:rsidR="002B0D3A" w:rsidRPr="002B0D3A">
        <w:rPr>
          <w:rStyle w:val="apple-style-span"/>
          <w:b/>
          <w:bCs/>
          <w:sz w:val="20"/>
          <w:szCs w:val="20"/>
        </w:rPr>
        <w:t xml:space="preserve"> </w:t>
      </w:r>
      <w:r w:rsidRPr="002B0D3A">
        <w:rPr>
          <w:rStyle w:val="apple-style-span"/>
          <w:b/>
          <w:bCs/>
          <w:sz w:val="20"/>
          <w:szCs w:val="20"/>
        </w:rPr>
        <w:t>Interest</w:t>
      </w:r>
    </w:p>
    <w:p w:rsidR="008A4918" w:rsidRPr="002B0D3A" w:rsidRDefault="008A4918" w:rsidP="00087BC6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0D3A">
        <w:rPr>
          <w:sz w:val="20"/>
          <w:szCs w:val="20"/>
          <w:lang w:bidi="ar-SA"/>
        </w:rPr>
        <w:t>The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authors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declare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no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conflict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of</w:t>
      </w:r>
      <w:r w:rsidR="002B0D3A" w:rsidRPr="002B0D3A">
        <w:rPr>
          <w:sz w:val="20"/>
          <w:szCs w:val="20"/>
          <w:lang w:bidi="ar-SA"/>
        </w:rPr>
        <w:t xml:space="preserve"> </w:t>
      </w:r>
      <w:r w:rsidRPr="002B0D3A">
        <w:rPr>
          <w:sz w:val="20"/>
          <w:szCs w:val="20"/>
          <w:lang w:bidi="ar-SA"/>
        </w:rPr>
        <w:t>interest</w:t>
      </w:r>
    </w:p>
    <w:p w:rsidR="008F609D" w:rsidRDefault="008F609D" w:rsidP="00087BC6">
      <w:pPr>
        <w:snapToGrid w:val="0"/>
        <w:jc w:val="both"/>
        <w:rPr>
          <w:b/>
          <w:bCs/>
          <w:sz w:val="20"/>
          <w:szCs w:val="20"/>
        </w:rPr>
      </w:pPr>
    </w:p>
    <w:p w:rsidR="00087BC6" w:rsidRPr="002B0D3A" w:rsidRDefault="008A4918" w:rsidP="00087BC6">
      <w:pPr>
        <w:snapToGrid w:val="0"/>
        <w:jc w:val="both"/>
        <w:rPr>
          <w:b/>
          <w:bCs/>
          <w:sz w:val="20"/>
          <w:szCs w:val="20"/>
        </w:rPr>
      </w:pPr>
      <w:r w:rsidRPr="002B0D3A">
        <w:rPr>
          <w:b/>
          <w:bCs/>
          <w:sz w:val="20"/>
          <w:szCs w:val="20"/>
        </w:rPr>
        <w:t>References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231F20"/>
          <w:sz w:val="20"/>
          <w:szCs w:val="20"/>
          <w:lang w:bidi="ar-SA"/>
        </w:rPr>
        <w:t>T</w:t>
      </w:r>
      <w:r w:rsidR="008A4918" w:rsidRPr="00087BC6">
        <w:rPr>
          <w:color w:val="231F20"/>
          <w:sz w:val="20"/>
          <w:szCs w:val="20"/>
          <w:lang w:bidi="ar-SA"/>
        </w:rPr>
        <w:t>uveson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DA,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Neoptolemos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JP.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Understanding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metastasis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call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new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clinical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approaches.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Cell.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2012;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148(1-2):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21-3</w:t>
      </w:r>
      <w:r w:rsidR="008A4918" w:rsidRPr="00087BC6">
        <w:rPr>
          <w:color w:val="231F20"/>
          <w:sz w:val="20"/>
          <w:szCs w:val="20"/>
          <w:lang w:bidi="ar-SA"/>
        </w:rPr>
        <w:t>.</w:t>
      </w:r>
    </w:p>
    <w:p w:rsidR="00087BC6" w:rsidRPr="002B0D3A" w:rsidRDefault="00087BC6" w:rsidP="00087BC6">
      <w:pPr>
        <w:pStyle w:val="Default"/>
        <w:numPr>
          <w:ilvl w:val="1"/>
          <w:numId w:val="17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2B0D3A">
        <w:rPr>
          <w:rFonts w:ascii="Times New Roman" w:hAnsi="Times New Roman" w:cs="Times New Roman"/>
          <w:sz w:val="20"/>
          <w:szCs w:val="20"/>
        </w:rPr>
        <w:t>P</w:t>
      </w:r>
      <w:r w:rsidR="008A4918" w:rsidRPr="002B0D3A">
        <w:rPr>
          <w:rFonts w:ascii="Times New Roman" w:hAnsi="Times New Roman" w:cs="Times New Roman"/>
          <w:sz w:val="20"/>
          <w:szCs w:val="20"/>
        </w:rPr>
        <w:t>eters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NA,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Javed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Cameron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JL,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Makary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MA,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Hirose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K,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Pawlik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TM,</w:t>
      </w:r>
      <w:r w:rsidR="002B0D3A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2B0D3A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Modified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appleby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procedure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for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pancreatic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adenocarcinoma: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does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improved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neoadjuvant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therapy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warrant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such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aggressive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approach?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Ann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Surg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Oncol.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2016;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23(11):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  <w:r w:rsidR="008A4918" w:rsidRPr="002B0D3A">
        <w:rPr>
          <w:rFonts w:ascii="Times New Roman" w:hAnsi="Times New Roman" w:cs="Times New Roman"/>
          <w:sz w:val="20"/>
          <w:szCs w:val="20"/>
        </w:rPr>
        <w:t>3757-64.</w:t>
      </w:r>
      <w:r w:rsidR="002B0D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  <w:lang w:bidi="ar-SA"/>
        </w:rPr>
        <w:t>S</w:t>
      </w:r>
      <w:r w:rsidR="008A4918" w:rsidRPr="00087BC6">
        <w:rPr>
          <w:sz w:val="20"/>
          <w:szCs w:val="20"/>
          <w:lang w:bidi="ar-SA"/>
        </w:rPr>
        <w:t>iegel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L,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Miller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K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D,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Jemal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Statistics,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2017</w:t>
      </w:r>
      <w:r w:rsidRPr="00087BC6"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</w:t>
      </w:r>
      <w:r w:rsidRPr="00087BC6">
        <w:rPr>
          <w:rStyle w:val="highlight"/>
          <w:sz w:val="20"/>
          <w:szCs w:val="20"/>
        </w:rPr>
        <w:t>C</w:t>
      </w:r>
      <w:r w:rsidR="008A4918" w:rsidRPr="00087BC6">
        <w:rPr>
          <w:rStyle w:val="highlight"/>
          <w:sz w:val="20"/>
          <w:szCs w:val="20"/>
        </w:rPr>
        <w:t>A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Clin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67</w:t>
      </w:r>
      <w:r w:rsidR="008A4918" w:rsidRPr="00087BC6">
        <w:rPr>
          <w:sz w:val="20"/>
          <w:szCs w:val="20"/>
        </w:rPr>
        <w:t>(1):</w:t>
      </w:r>
      <w:r w:rsidR="008A4918" w:rsidRPr="00087BC6">
        <w:rPr>
          <w:rStyle w:val="highlight"/>
          <w:sz w:val="20"/>
          <w:szCs w:val="20"/>
        </w:rPr>
        <w:t>7-30</w:t>
      </w:r>
      <w:r w:rsidR="008A4918" w:rsidRPr="00087BC6">
        <w:rPr>
          <w:sz w:val="20"/>
          <w:szCs w:val="20"/>
        </w:rPr>
        <w:t>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000000"/>
          <w:sz w:val="20"/>
          <w:szCs w:val="20"/>
          <w:lang w:bidi="ar-SA"/>
        </w:rPr>
        <w:t>B</w:t>
      </w:r>
      <w:r w:rsidR="008A4918" w:rsidRPr="00087BC6">
        <w:rPr>
          <w:color w:val="000000"/>
          <w:sz w:val="20"/>
          <w:szCs w:val="20"/>
          <w:lang w:bidi="ar-SA"/>
        </w:rPr>
        <w:t>urris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HA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3rd,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Moore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Andersen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Green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MR,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Rothenberg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ML,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Modiano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MR,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Improvements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survival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and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clinical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benefit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gemcitabine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first-line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therapy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patients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advanced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randomized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trial.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Clin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Oncol.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1997;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15</w:t>
      </w:r>
      <w:r w:rsidR="008A4918" w:rsidRPr="00087BC6">
        <w:rPr>
          <w:sz w:val="20"/>
          <w:szCs w:val="20"/>
        </w:rPr>
        <w:t>(6)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2403-13.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231F20"/>
          <w:sz w:val="20"/>
          <w:szCs w:val="20"/>
          <w:lang w:bidi="ar-SA"/>
        </w:rPr>
        <w:t>d</w:t>
      </w:r>
      <w:r w:rsidR="008A4918" w:rsidRPr="00087BC6">
        <w:rPr>
          <w:color w:val="231F20"/>
          <w:sz w:val="20"/>
          <w:szCs w:val="20"/>
          <w:lang w:bidi="ar-SA"/>
        </w:rPr>
        <w:t>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Marco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di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Cicilia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Macchini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Nobili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Vecchiarelli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Brandi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G,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gemcitabine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still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the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best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standard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treatment?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(Review).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Oncol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Rep.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2010;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23(5):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1183-92.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C</w:t>
      </w:r>
      <w:r w:rsidR="008A4918" w:rsidRPr="00087BC6">
        <w:rPr>
          <w:sz w:val="20"/>
          <w:szCs w:val="20"/>
        </w:rPr>
        <w:t>onroy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Desseigne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Ychou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Bouché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Guimbaud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Bécouarn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versus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gemcitabine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Engl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J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Med.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2011;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364(19):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1817-25.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color w:val="000000"/>
          <w:sz w:val="20"/>
          <w:szCs w:val="20"/>
          <w:lang w:bidi="ar-SA"/>
        </w:rPr>
        <w:t>O</w:t>
      </w:r>
      <w:r w:rsidR="008A4918" w:rsidRPr="00087BC6">
        <w:rPr>
          <w:color w:val="000000"/>
          <w:sz w:val="20"/>
          <w:szCs w:val="20"/>
          <w:lang w:bidi="ar-SA"/>
        </w:rPr>
        <w:t>kusaka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Ikeda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Fukutomi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Ioka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Furuse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Ohkawa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Phase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II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study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FOLFIRINOX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chemotherapy-naive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Japanese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patients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metastatic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Sci.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2014;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105</w:t>
      </w:r>
      <w:r w:rsidR="008A4918" w:rsidRPr="00087BC6">
        <w:rPr>
          <w:color w:val="231F20"/>
          <w:sz w:val="20"/>
          <w:szCs w:val="20"/>
          <w:lang w:bidi="ar-SA"/>
        </w:rPr>
        <w:t>(10)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1321-6.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</w:p>
    <w:p w:rsidR="00087BC6" w:rsidRPr="002B0D3A" w:rsidRDefault="00087BC6" w:rsidP="00087BC6">
      <w:pPr>
        <w:pStyle w:val="Heading1"/>
        <w:keepNext w:val="0"/>
        <w:numPr>
          <w:ilvl w:val="1"/>
          <w:numId w:val="17"/>
        </w:numPr>
        <w:snapToGrid w:val="0"/>
        <w:ind w:left="425" w:hanging="425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C</w:t>
      </w:r>
      <w:r w:rsidR="008A4918" w:rsidRPr="002B0D3A">
        <w:rPr>
          <w:sz w:val="20"/>
          <w:szCs w:val="20"/>
        </w:rPr>
        <w:t>onroy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T,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Gavoille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C,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Samalin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E,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Ychou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M,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Ducreux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M.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The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role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of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the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FOLFIRINOX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regimen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for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advanced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pancreatic</w:t>
      </w:r>
      <w:r w:rsidR="002B0D3A">
        <w:rPr>
          <w:rStyle w:val="highlight"/>
          <w:sz w:val="20"/>
          <w:szCs w:val="20"/>
        </w:rPr>
        <w:t xml:space="preserve"> </w:t>
      </w:r>
      <w:r w:rsidR="008A4918" w:rsidRPr="002B0D3A">
        <w:rPr>
          <w:rStyle w:val="highlight"/>
          <w:sz w:val="20"/>
          <w:szCs w:val="20"/>
        </w:rPr>
        <w:t>cancer</w:t>
      </w:r>
      <w:r w:rsidR="008A4918" w:rsidRPr="002B0D3A">
        <w:rPr>
          <w:sz w:val="20"/>
          <w:szCs w:val="20"/>
        </w:rPr>
        <w:t>.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Curr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Oncol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Rep.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2013;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15(2):</w:t>
      </w:r>
      <w:r w:rsidR="002B0D3A">
        <w:rPr>
          <w:sz w:val="20"/>
          <w:szCs w:val="20"/>
        </w:rPr>
        <w:t xml:space="preserve"> </w:t>
      </w:r>
      <w:r w:rsidR="008A4918" w:rsidRPr="002B0D3A">
        <w:rPr>
          <w:sz w:val="20"/>
          <w:szCs w:val="20"/>
        </w:rPr>
        <w:t>182-9.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  <w:lang w:bidi="ar-SA"/>
        </w:rPr>
      </w:pPr>
      <w:r w:rsidRPr="00087BC6">
        <w:rPr>
          <w:sz w:val="20"/>
          <w:szCs w:val="20"/>
        </w:rPr>
        <w:t>M</w:t>
      </w:r>
      <w:r w:rsidR="008A4918" w:rsidRPr="00087BC6">
        <w:rPr>
          <w:sz w:val="20"/>
          <w:szCs w:val="20"/>
        </w:rPr>
        <w:t>ahaseth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Brutcher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Kauh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Hawk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N,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Kim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regimen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with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improved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safety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maintained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adenocarcinoma.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Pancreas.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2013;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42(8):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1311-5.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S</w:t>
      </w:r>
      <w:r w:rsidR="008A4918" w:rsidRPr="00087BC6">
        <w:rPr>
          <w:sz w:val="20"/>
          <w:szCs w:val="20"/>
        </w:rPr>
        <w:t>tein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James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Deng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Kortmansky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Final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analysis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locally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metastatic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Br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2016;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114(7):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737-43.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sz w:val="20"/>
          <w:szCs w:val="20"/>
        </w:rPr>
        <w:t>E</w:t>
      </w:r>
      <w:r w:rsidR="008A4918" w:rsidRPr="00087BC6">
        <w:rPr>
          <w:sz w:val="20"/>
          <w:szCs w:val="20"/>
        </w:rPr>
        <w:t>isenhauer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EA,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Therasse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Bogaerts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Schwartz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Sargent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New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response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evaluation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criteria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solid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tumours: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revised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RECIST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guideline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(version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1.1).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Eur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J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Cancer.2009;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45(2):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228-47.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lastRenderedPageBreak/>
        <w:t>L</w:t>
      </w:r>
      <w:r w:rsidR="008A4918" w:rsidRPr="00087BC6">
        <w:rPr>
          <w:sz w:val="20"/>
          <w:szCs w:val="20"/>
        </w:rPr>
        <w:t>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Zhang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Q,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YG,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Guo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YN,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Modified-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prospective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Chinese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population.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Lett.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406: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22-6.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L</w:t>
      </w:r>
      <w:r w:rsidR="008A4918" w:rsidRPr="00087BC6">
        <w:rPr>
          <w:sz w:val="20"/>
          <w:szCs w:val="20"/>
        </w:rPr>
        <w:t>ambert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Gavoille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Conroy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Current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status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place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future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directions.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Therap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Adv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Gastroenterol.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2017;10(8):631-645.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T</w:t>
      </w:r>
      <w:r w:rsidR="008A4918" w:rsidRPr="00087BC6">
        <w:rPr>
          <w:sz w:val="20"/>
          <w:szCs w:val="20"/>
        </w:rPr>
        <w:t>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Fan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The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benefits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advanced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induced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adverse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events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systematic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review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meta-analysis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Sci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Rep.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2018;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8(1):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8666.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E</w:t>
      </w:r>
      <w:r w:rsidR="008A4918" w:rsidRPr="00087BC6">
        <w:rPr>
          <w:sz w:val="20"/>
          <w:szCs w:val="20"/>
        </w:rPr>
        <w:t>l-Hadaad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Wahba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HA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Oxaliplatin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plus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5-fluorouracil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folinic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acid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(OFF)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gemcitabine-pretreated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advanced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phase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study.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Gastrointest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2013;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44(3):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313-7.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O</w:t>
      </w:r>
      <w:r w:rsidR="008A4918" w:rsidRPr="00087BC6">
        <w:rPr>
          <w:sz w:val="20"/>
          <w:szCs w:val="20"/>
        </w:rPr>
        <w:t>zaka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Ishii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Sato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Ueno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Ikeda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Uesugi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</w:t>
      </w:r>
      <w:r w:rsidRPr="00087BC6"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</w:t>
      </w:r>
      <w:r w:rsidRPr="00087BC6">
        <w:rPr>
          <w:sz w:val="20"/>
          <w:szCs w:val="20"/>
        </w:rPr>
        <w:t>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phase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II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study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of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modified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FOLFIRINOX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for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chemotherapy-naïve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patients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with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metastatic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pancreatic</w:t>
      </w:r>
      <w:r w:rsidR="002B0D3A" w:rsidRPr="00087BC6">
        <w:rPr>
          <w:rStyle w:val="highlight"/>
          <w:sz w:val="20"/>
          <w:szCs w:val="20"/>
        </w:rPr>
        <w:t xml:space="preserve"> </w:t>
      </w:r>
      <w:r w:rsidR="008A4918" w:rsidRPr="00087BC6">
        <w:rPr>
          <w:rStyle w:val="highlight"/>
          <w:sz w:val="20"/>
          <w:szCs w:val="20"/>
        </w:rPr>
        <w:t>cancer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rStyle w:val="highlight"/>
          <w:color w:val="000000"/>
          <w:sz w:val="20"/>
          <w:szCs w:val="20"/>
        </w:rPr>
        <w:t>Cancer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Chemother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Pharmacol.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2018;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81(6):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1017-23.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sz w:val="20"/>
          <w:szCs w:val="20"/>
        </w:rPr>
        <w:t>Y</w:t>
      </w:r>
      <w:r w:rsidR="008A4918" w:rsidRPr="00087BC6">
        <w:rPr>
          <w:sz w:val="20"/>
          <w:szCs w:val="20"/>
        </w:rPr>
        <w:t>oshida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Iwashita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Uemura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Maruta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Okuno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Ando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N,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multicenter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prospective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phase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II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study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first-line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unresectable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Oncotarget.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2017;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8(67):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111346–55</w:t>
      </w:r>
      <w:r w:rsidR="008A4918" w:rsidRPr="00087BC6">
        <w:rPr>
          <w:color w:val="000000"/>
          <w:sz w:val="20"/>
          <w:szCs w:val="20"/>
          <w:lang w:bidi="ar-SA"/>
        </w:rPr>
        <w:t>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sz w:val="20"/>
          <w:szCs w:val="20"/>
        </w:rPr>
        <w:t>G</w:t>
      </w:r>
      <w:r w:rsidR="008A4918" w:rsidRPr="00087BC6">
        <w:rPr>
          <w:sz w:val="20"/>
          <w:szCs w:val="20"/>
        </w:rPr>
        <w:t>horani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Wong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Hewitt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Calder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Corrie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Basu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B.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Safety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and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Efficacy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of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Adenocarcinoma: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UK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Single-Centre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Experience.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Oncology.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2015;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89(5):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281–7.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sz w:val="20"/>
          <w:szCs w:val="20"/>
        </w:rPr>
        <w:t>B</w:t>
      </w:r>
      <w:r w:rsidR="008A4918" w:rsidRPr="00087BC6">
        <w:rPr>
          <w:sz w:val="20"/>
          <w:szCs w:val="20"/>
        </w:rPr>
        <w:t>ai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X,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R,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Ma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T,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Shen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G,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Lou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J,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[Modified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FOLFIRINOX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for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advanced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pancreatic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cancer: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tertiary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center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experience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from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China].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Zhonghua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Wai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Za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Zhi.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2016;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54(4):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270-5.</w:t>
      </w:r>
      <w:r w:rsidR="002B0D3A" w:rsidRPr="00087BC6">
        <w:rPr>
          <w:sz w:val="20"/>
          <w:szCs w:val="20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000000"/>
          <w:sz w:val="20"/>
          <w:szCs w:val="20"/>
          <w:lang w:bidi="ar-SA"/>
        </w:rPr>
      </w:pPr>
      <w:r w:rsidRPr="00087BC6">
        <w:rPr>
          <w:color w:val="000000"/>
          <w:sz w:val="20"/>
          <w:szCs w:val="20"/>
          <w:lang w:bidi="ar-SA"/>
        </w:rPr>
        <w:t>V</w:t>
      </w:r>
      <w:r w:rsidR="008A4918" w:rsidRPr="00087BC6">
        <w:rPr>
          <w:color w:val="000000"/>
          <w:sz w:val="20"/>
          <w:szCs w:val="20"/>
          <w:lang w:bidi="ar-SA"/>
        </w:rPr>
        <w:t>on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Hoff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DD,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Ervin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Arena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FP,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Chiorean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EG,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Infante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Moore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M,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al.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Increased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survival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in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with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nab-paclitaxel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plus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gemcitabine.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Engl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J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Med.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2013;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369</w:t>
      </w:r>
      <w:r w:rsidR="008A4918" w:rsidRPr="00087BC6">
        <w:rPr>
          <w:sz w:val="20"/>
          <w:szCs w:val="20"/>
        </w:rPr>
        <w:t>(18)</w:t>
      </w:r>
      <w:r w:rsidR="008A4918" w:rsidRPr="00087BC6">
        <w:rPr>
          <w:color w:val="000000"/>
          <w:sz w:val="20"/>
          <w:szCs w:val="20"/>
          <w:lang w:bidi="ar-SA"/>
        </w:rPr>
        <w:t>: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1691-703.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231F20"/>
          <w:sz w:val="20"/>
          <w:szCs w:val="20"/>
          <w:lang w:bidi="ar-SA"/>
        </w:rPr>
        <w:t>G</w:t>
      </w:r>
      <w:r w:rsidR="008A4918" w:rsidRPr="00087BC6">
        <w:rPr>
          <w:color w:val="231F20"/>
          <w:sz w:val="20"/>
          <w:szCs w:val="20"/>
          <w:lang w:bidi="ar-SA"/>
        </w:rPr>
        <w:t>oldstein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D,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El-Maraghi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R,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Hammel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Heinemann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V,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Kunzmann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V,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Sastre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et</w:t>
      </w:r>
      <w:r w:rsidR="002B0D3A" w:rsidRPr="00087BC6">
        <w:rPr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  <w:lang w:bidi="ar-SA"/>
        </w:rPr>
        <w:t>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nab-Paclitaxel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plus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gemcitabine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long-term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survival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from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phase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III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trial.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J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Natl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Inst.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2015;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107(2)</w:t>
      </w:r>
      <w:r w:rsidR="008A4918" w:rsidRPr="00087BC6">
        <w:rPr>
          <w:sz w:val="20"/>
          <w:szCs w:val="20"/>
        </w:rPr>
        <w:t>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pii: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dju413.</w:t>
      </w:r>
    </w:p>
    <w:p w:rsidR="00087BC6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color w:val="231F20"/>
          <w:sz w:val="20"/>
          <w:szCs w:val="20"/>
          <w:lang w:bidi="ar-SA"/>
        </w:rPr>
      </w:pPr>
      <w:r w:rsidRPr="00087BC6">
        <w:rPr>
          <w:sz w:val="20"/>
          <w:szCs w:val="20"/>
        </w:rPr>
        <w:t>C</w:t>
      </w:r>
      <w:r w:rsidR="008A4918" w:rsidRPr="00087BC6">
        <w:rPr>
          <w:sz w:val="20"/>
          <w:szCs w:val="20"/>
        </w:rPr>
        <w:t>han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Shah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Lien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Coyle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D,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Lam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H,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Ko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YJ</w:t>
      </w:r>
      <w:r w:rsidR="008A4918" w:rsidRPr="00087BC6">
        <w:rPr>
          <w:color w:val="000000"/>
          <w:sz w:val="20"/>
          <w:szCs w:val="20"/>
          <w:lang w:bidi="ar-SA"/>
        </w:rPr>
        <w:t>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Bayesian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meta-analysis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multiple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treatment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comparisons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of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systemic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regimens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for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advanced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pancreatic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color w:val="000000"/>
          <w:sz w:val="20"/>
          <w:szCs w:val="20"/>
          <w:lang w:bidi="ar-SA"/>
        </w:rPr>
        <w:t>cancer.</w:t>
      </w:r>
      <w:r w:rsidR="002B0D3A" w:rsidRPr="00087BC6">
        <w:rPr>
          <w:color w:val="000000"/>
          <w:sz w:val="20"/>
          <w:szCs w:val="20"/>
          <w:lang w:bidi="ar-SA"/>
        </w:rPr>
        <w:t xml:space="preserve"> </w:t>
      </w:r>
      <w:r w:rsidR="008A4918" w:rsidRPr="00087BC6">
        <w:rPr>
          <w:sz w:val="20"/>
          <w:szCs w:val="20"/>
        </w:rPr>
        <w:t>PLoS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One.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2014;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9(10):</w:t>
      </w:r>
      <w:r w:rsidR="002B0D3A" w:rsidRPr="00087BC6">
        <w:rPr>
          <w:sz w:val="20"/>
          <w:szCs w:val="20"/>
        </w:rPr>
        <w:t xml:space="preserve"> </w:t>
      </w:r>
      <w:r w:rsidR="008A4918" w:rsidRPr="00087BC6">
        <w:rPr>
          <w:sz w:val="20"/>
          <w:szCs w:val="20"/>
        </w:rPr>
        <w:t>e108749.</w:t>
      </w:r>
    </w:p>
    <w:p w:rsidR="008A4918" w:rsidRPr="00087BC6" w:rsidRDefault="00087BC6" w:rsidP="00087BC6">
      <w:pPr>
        <w:pStyle w:val="ListParagraph"/>
        <w:numPr>
          <w:ilvl w:val="1"/>
          <w:numId w:val="17"/>
        </w:numPr>
        <w:autoSpaceDE w:val="0"/>
        <w:autoSpaceDN w:val="0"/>
        <w:adjustRightInd w:val="0"/>
        <w:snapToGrid w:val="0"/>
        <w:ind w:left="425" w:firstLineChars="0" w:hanging="425"/>
        <w:jc w:val="both"/>
        <w:rPr>
          <w:sz w:val="20"/>
          <w:szCs w:val="20"/>
        </w:rPr>
      </w:pPr>
      <w:r w:rsidRPr="00087BC6">
        <w:rPr>
          <w:color w:val="231F20"/>
          <w:sz w:val="20"/>
          <w:szCs w:val="20"/>
          <w:lang w:bidi="ar-SA"/>
        </w:rPr>
        <w:lastRenderedPageBreak/>
        <w:t>A</w:t>
      </w:r>
      <w:r w:rsidR="008A4918" w:rsidRPr="00087BC6">
        <w:rPr>
          <w:color w:val="231F20"/>
          <w:sz w:val="20"/>
          <w:szCs w:val="20"/>
          <w:lang w:bidi="ar-SA"/>
        </w:rPr>
        <w:t>ttard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CL,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Brown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S,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Alloul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K,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Moore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MJ.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Cost-effectiveness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of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FOLFIRINOX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for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first-line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lastRenderedPageBreak/>
        <w:t>treatment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of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metastatic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pancreatic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cancer.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Curr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Oncol.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2014;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21</w:t>
      </w:r>
      <w:r w:rsidR="008A4918" w:rsidRPr="00087BC6">
        <w:rPr>
          <w:sz w:val="20"/>
          <w:szCs w:val="20"/>
        </w:rPr>
        <w:t>(1)</w:t>
      </w:r>
      <w:r w:rsidR="008A4918" w:rsidRPr="00087BC6">
        <w:rPr>
          <w:color w:val="231F20"/>
          <w:sz w:val="20"/>
          <w:szCs w:val="20"/>
          <w:lang w:bidi="ar-SA"/>
        </w:rPr>
        <w:t>:</w:t>
      </w:r>
      <w:r w:rsidR="002B0D3A" w:rsidRPr="00087BC6">
        <w:rPr>
          <w:color w:val="231F20"/>
          <w:sz w:val="20"/>
          <w:szCs w:val="20"/>
          <w:lang w:bidi="ar-SA"/>
        </w:rPr>
        <w:t xml:space="preserve"> </w:t>
      </w:r>
      <w:r w:rsidR="008A4918" w:rsidRPr="00087BC6">
        <w:rPr>
          <w:color w:val="231F20"/>
          <w:sz w:val="20"/>
          <w:szCs w:val="20"/>
          <w:lang w:bidi="ar-SA"/>
        </w:rPr>
        <w:t>e41–51.</w:t>
      </w:r>
    </w:p>
    <w:p w:rsidR="00087BC6" w:rsidRDefault="00087BC6" w:rsidP="00087BC6">
      <w:pPr>
        <w:snapToGrid w:val="0"/>
        <w:ind w:left="425" w:hanging="425"/>
        <w:jc w:val="both"/>
        <w:rPr>
          <w:sz w:val="20"/>
          <w:szCs w:val="20"/>
        </w:rPr>
        <w:sectPr w:rsidR="00087BC6" w:rsidSect="00087BC6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2B0D3A" w:rsidRPr="002B0D3A" w:rsidRDefault="002B0D3A" w:rsidP="00087BC6">
      <w:pPr>
        <w:snapToGrid w:val="0"/>
        <w:ind w:left="425" w:hanging="425"/>
        <w:jc w:val="both"/>
        <w:rPr>
          <w:sz w:val="20"/>
          <w:szCs w:val="20"/>
        </w:rPr>
      </w:pPr>
    </w:p>
    <w:p w:rsidR="002B0D3A" w:rsidRPr="002B0D3A" w:rsidRDefault="00F92157" w:rsidP="00087BC6">
      <w:pPr>
        <w:snapToGrid w:val="0"/>
        <w:ind w:left="425" w:hanging="425"/>
        <w:jc w:val="both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  <w:r w:rsidR="00087BC6">
        <w:rPr>
          <w:rFonts w:hint="eastAsia"/>
          <w:sz w:val="20"/>
          <w:szCs w:val="20"/>
          <w:lang w:eastAsia="zh-CN"/>
        </w:rPr>
        <w:t xml:space="preserve"> </w:t>
      </w:r>
      <w:r w:rsidR="002B0D3A">
        <w:rPr>
          <w:sz w:val="20"/>
          <w:szCs w:val="20"/>
        </w:rPr>
        <w:cr/>
      </w:r>
    </w:p>
    <w:p w:rsidR="008D1912" w:rsidRPr="002B0D3A" w:rsidRDefault="002B0D3A" w:rsidP="00087BC6">
      <w:pPr>
        <w:snapToGrid w:val="0"/>
        <w:jc w:val="both"/>
        <w:rPr>
          <w:sz w:val="20"/>
          <w:szCs w:val="20"/>
        </w:rPr>
      </w:pPr>
      <w:r w:rsidRPr="002B0D3A">
        <w:rPr>
          <w:sz w:val="20"/>
          <w:szCs w:val="20"/>
        </w:rPr>
        <w:t>12/</w:t>
      </w:r>
      <w:r w:rsidR="000371CC">
        <w:rPr>
          <w:rFonts w:hint="eastAsia"/>
          <w:sz w:val="20"/>
          <w:szCs w:val="20"/>
          <w:lang w:eastAsia="zh-CN"/>
        </w:rPr>
        <w:t>25</w:t>
      </w:r>
      <w:r w:rsidRPr="002B0D3A">
        <w:rPr>
          <w:sz w:val="20"/>
          <w:szCs w:val="20"/>
        </w:rPr>
        <w:t>/2018</w:t>
      </w:r>
    </w:p>
    <w:sectPr w:rsidR="008D1912" w:rsidRPr="002B0D3A" w:rsidSect="002B0D3A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50" w:rsidRDefault="003C0550" w:rsidP="00CB1343">
      <w:r>
        <w:separator/>
      </w:r>
    </w:p>
  </w:endnote>
  <w:endnote w:type="continuationSeparator" w:id="0">
    <w:p w:rsidR="003C0550" w:rsidRDefault="003C0550" w:rsidP="00CB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son Text 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 SansSerif Std Light">
    <w:altName w:val="Rotis SansSerif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C6" w:rsidRPr="00E17151" w:rsidRDefault="00BA3535" w:rsidP="00E17151">
    <w:pPr>
      <w:jc w:val="center"/>
      <w:rPr>
        <w:sz w:val="20"/>
      </w:rPr>
    </w:pPr>
    <w:r w:rsidRPr="00E17151">
      <w:rPr>
        <w:sz w:val="20"/>
      </w:rPr>
      <w:fldChar w:fldCharType="begin"/>
    </w:r>
    <w:r w:rsidR="00E17151" w:rsidRPr="00E17151">
      <w:rPr>
        <w:sz w:val="20"/>
      </w:rPr>
      <w:instrText xml:space="preserve"> page </w:instrText>
    </w:r>
    <w:r w:rsidRPr="00E17151">
      <w:rPr>
        <w:sz w:val="20"/>
      </w:rPr>
      <w:fldChar w:fldCharType="separate"/>
    </w:r>
    <w:r w:rsidR="0052654A">
      <w:rPr>
        <w:noProof/>
        <w:sz w:val="20"/>
      </w:rPr>
      <w:t>71</w:t>
    </w:r>
    <w:r w:rsidRPr="00E1715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50" w:rsidRDefault="003C0550" w:rsidP="00CB1343">
      <w:r>
        <w:separator/>
      </w:r>
    </w:p>
  </w:footnote>
  <w:footnote w:type="continuationSeparator" w:id="0">
    <w:p w:rsidR="003C0550" w:rsidRDefault="003C0550" w:rsidP="00CB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51" w:rsidRPr="00E17151" w:rsidRDefault="00E17151" w:rsidP="00E1715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E17151">
      <w:rPr>
        <w:rFonts w:hint="eastAsia"/>
        <w:iCs/>
        <w:color w:val="000000"/>
        <w:sz w:val="20"/>
      </w:rPr>
      <w:tab/>
    </w:r>
    <w:r w:rsidRPr="00E17151">
      <w:rPr>
        <w:iCs/>
        <w:color w:val="000000"/>
        <w:sz w:val="20"/>
      </w:rPr>
      <w:t xml:space="preserve">Cancer Biology </w:t>
    </w:r>
    <w:r w:rsidRPr="00E17151">
      <w:rPr>
        <w:iCs/>
        <w:sz w:val="20"/>
      </w:rPr>
      <w:t>201</w:t>
    </w:r>
    <w:r w:rsidRPr="00E17151">
      <w:rPr>
        <w:rFonts w:hint="eastAsia"/>
        <w:iCs/>
        <w:sz w:val="20"/>
      </w:rPr>
      <w:t>8</w:t>
    </w:r>
    <w:r w:rsidRPr="00E17151">
      <w:rPr>
        <w:iCs/>
        <w:sz w:val="20"/>
      </w:rPr>
      <w:t>;</w:t>
    </w:r>
    <w:r w:rsidRPr="00E17151">
      <w:rPr>
        <w:rFonts w:hint="eastAsia"/>
        <w:iCs/>
        <w:sz w:val="20"/>
      </w:rPr>
      <w:t>8</w:t>
    </w:r>
    <w:r w:rsidRPr="00E17151">
      <w:rPr>
        <w:iCs/>
        <w:sz w:val="20"/>
      </w:rPr>
      <w:t>(</w:t>
    </w:r>
    <w:r w:rsidRPr="00E17151">
      <w:rPr>
        <w:rFonts w:hint="eastAsia"/>
        <w:iCs/>
        <w:sz w:val="20"/>
      </w:rPr>
      <w:t>4</w:t>
    </w:r>
    <w:r w:rsidRPr="00E17151">
      <w:rPr>
        <w:iCs/>
        <w:sz w:val="20"/>
      </w:rPr>
      <w:t xml:space="preserve">)  </w:t>
    </w:r>
    <w:r w:rsidRPr="00E17151">
      <w:rPr>
        <w:rFonts w:hint="eastAsia"/>
        <w:iCs/>
        <w:sz w:val="20"/>
      </w:rPr>
      <w:t xml:space="preserve">   </w:t>
    </w:r>
    <w:r w:rsidRPr="00E17151">
      <w:rPr>
        <w:rFonts w:hint="eastAsia"/>
        <w:iCs/>
        <w:sz w:val="20"/>
      </w:rPr>
      <w:tab/>
      <w:t xml:space="preserve">     </w:t>
    </w:r>
    <w:r w:rsidRPr="00E17151">
      <w:rPr>
        <w:iCs/>
        <w:sz w:val="20"/>
      </w:rPr>
      <w:t xml:space="preserve"> </w:t>
    </w:r>
    <w:r w:rsidRPr="00E17151">
      <w:rPr>
        <w:sz w:val="20"/>
      </w:rPr>
      <w:t xml:space="preserve">  </w:t>
    </w:r>
    <w:hyperlink r:id="rId1" w:history="1">
      <w:r w:rsidRPr="00E17151">
        <w:rPr>
          <w:rStyle w:val="Hyperlink"/>
          <w:sz w:val="20"/>
        </w:rPr>
        <w:t>http://www.cancerbio.net</w:t>
      </w:r>
    </w:hyperlink>
  </w:p>
  <w:p w:rsidR="00E17151" w:rsidRPr="00E17151" w:rsidRDefault="00E17151" w:rsidP="00E17151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BF48C"/>
    <w:multiLevelType w:val="hybridMultilevel"/>
    <w:tmpl w:val="19CC65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514711"/>
    <w:multiLevelType w:val="multilevel"/>
    <w:tmpl w:val="4DA2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926"/>
    <w:multiLevelType w:val="hybridMultilevel"/>
    <w:tmpl w:val="33407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675664"/>
    <w:multiLevelType w:val="multilevel"/>
    <w:tmpl w:val="EE5E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60729"/>
    <w:multiLevelType w:val="hybridMultilevel"/>
    <w:tmpl w:val="EE70C2BC"/>
    <w:lvl w:ilvl="0" w:tplc="E1783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82AD9"/>
    <w:multiLevelType w:val="multilevel"/>
    <w:tmpl w:val="4B5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47929"/>
    <w:multiLevelType w:val="multilevel"/>
    <w:tmpl w:val="FE3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57254"/>
    <w:multiLevelType w:val="multilevel"/>
    <w:tmpl w:val="9406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15ADE"/>
    <w:multiLevelType w:val="multilevel"/>
    <w:tmpl w:val="9FD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62A60"/>
    <w:multiLevelType w:val="multilevel"/>
    <w:tmpl w:val="C3F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B4EFA"/>
    <w:multiLevelType w:val="multilevel"/>
    <w:tmpl w:val="454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52BE4"/>
    <w:multiLevelType w:val="hybridMultilevel"/>
    <w:tmpl w:val="2D64C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9C3C46"/>
    <w:multiLevelType w:val="multilevel"/>
    <w:tmpl w:val="05E6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E5730"/>
    <w:multiLevelType w:val="multilevel"/>
    <w:tmpl w:val="171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762F2"/>
    <w:multiLevelType w:val="multilevel"/>
    <w:tmpl w:val="2F4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08539C"/>
    <w:multiLevelType w:val="multilevel"/>
    <w:tmpl w:val="BB787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7A8106C7"/>
    <w:multiLevelType w:val="multilevel"/>
    <w:tmpl w:val="7DFC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93"/>
    <w:rsid w:val="00000B07"/>
    <w:rsid w:val="00000BE4"/>
    <w:rsid w:val="000014E7"/>
    <w:rsid w:val="0000189D"/>
    <w:rsid w:val="00001A7B"/>
    <w:rsid w:val="0000295E"/>
    <w:rsid w:val="00002F0A"/>
    <w:rsid w:val="00003915"/>
    <w:rsid w:val="00004129"/>
    <w:rsid w:val="00004CAC"/>
    <w:rsid w:val="00004EB7"/>
    <w:rsid w:val="00005030"/>
    <w:rsid w:val="0000542B"/>
    <w:rsid w:val="0000561F"/>
    <w:rsid w:val="000059AA"/>
    <w:rsid w:val="00005DB7"/>
    <w:rsid w:val="00005DF7"/>
    <w:rsid w:val="00006F97"/>
    <w:rsid w:val="00007270"/>
    <w:rsid w:val="00007910"/>
    <w:rsid w:val="000102AB"/>
    <w:rsid w:val="000102FA"/>
    <w:rsid w:val="000105C0"/>
    <w:rsid w:val="00010C7D"/>
    <w:rsid w:val="00010DE2"/>
    <w:rsid w:val="00010E5D"/>
    <w:rsid w:val="00010EDD"/>
    <w:rsid w:val="000111DA"/>
    <w:rsid w:val="0001152E"/>
    <w:rsid w:val="0001162C"/>
    <w:rsid w:val="00012130"/>
    <w:rsid w:val="00012ED2"/>
    <w:rsid w:val="00013744"/>
    <w:rsid w:val="0001395D"/>
    <w:rsid w:val="00013ADF"/>
    <w:rsid w:val="00013B57"/>
    <w:rsid w:val="00013DE8"/>
    <w:rsid w:val="00013E09"/>
    <w:rsid w:val="00014E65"/>
    <w:rsid w:val="00015240"/>
    <w:rsid w:val="0001556E"/>
    <w:rsid w:val="000178AE"/>
    <w:rsid w:val="00017A0B"/>
    <w:rsid w:val="00020254"/>
    <w:rsid w:val="00021DD5"/>
    <w:rsid w:val="00021E84"/>
    <w:rsid w:val="0002220F"/>
    <w:rsid w:val="00022259"/>
    <w:rsid w:val="000230B2"/>
    <w:rsid w:val="000238D2"/>
    <w:rsid w:val="0002390B"/>
    <w:rsid w:val="00023D5A"/>
    <w:rsid w:val="00025D23"/>
    <w:rsid w:val="0002682A"/>
    <w:rsid w:val="00026DE9"/>
    <w:rsid w:val="00027556"/>
    <w:rsid w:val="000279D7"/>
    <w:rsid w:val="00030652"/>
    <w:rsid w:val="00030D0D"/>
    <w:rsid w:val="00030D52"/>
    <w:rsid w:val="00031448"/>
    <w:rsid w:val="00031B8C"/>
    <w:rsid w:val="00031E86"/>
    <w:rsid w:val="00031EE6"/>
    <w:rsid w:val="0003256F"/>
    <w:rsid w:val="000328F8"/>
    <w:rsid w:val="00033085"/>
    <w:rsid w:val="000358E2"/>
    <w:rsid w:val="00035CED"/>
    <w:rsid w:val="000362F6"/>
    <w:rsid w:val="00036D1B"/>
    <w:rsid w:val="000371CC"/>
    <w:rsid w:val="00040216"/>
    <w:rsid w:val="000405C6"/>
    <w:rsid w:val="00040D24"/>
    <w:rsid w:val="00040EC1"/>
    <w:rsid w:val="00040FCC"/>
    <w:rsid w:val="000415C0"/>
    <w:rsid w:val="0004224B"/>
    <w:rsid w:val="000426C6"/>
    <w:rsid w:val="0004330D"/>
    <w:rsid w:val="00043C18"/>
    <w:rsid w:val="00043C61"/>
    <w:rsid w:val="00043D02"/>
    <w:rsid w:val="00043D1A"/>
    <w:rsid w:val="00043D6C"/>
    <w:rsid w:val="00044184"/>
    <w:rsid w:val="000443CE"/>
    <w:rsid w:val="000445A0"/>
    <w:rsid w:val="00044DAD"/>
    <w:rsid w:val="00045A52"/>
    <w:rsid w:val="00046638"/>
    <w:rsid w:val="00046A06"/>
    <w:rsid w:val="00046B15"/>
    <w:rsid w:val="00046C8A"/>
    <w:rsid w:val="00046DD1"/>
    <w:rsid w:val="00046E79"/>
    <w:rsid w:val="000502F5"/>
    <w:rsid w:val="000504B6"/>
    <w:rsid w:val="0005290C"/>
    <w:rsid w:val="0005297B"/>
    <w:rsid w:val="00052D25"/>
    <w:rsid w:val="00052D82"/>
    <w:rsid w:val="000540BE"/>
    <w:rsid w:val="000549F8"/>
    <w:rsid w:val="00054B2B"/>
    <w:rsid w:val="00055A65"/>
    <w:rsid w:val="00057C8A"/>
    <w:rsid w:val="00057F75"/>
    <w:rsid w:val="00060680"/>
    <w:rsid w:val="0006080C"/>
    <w:rsid w:val="00061A52"/>
    <w:rsid w:val="00062464"/>
    <w:rsid w:val="0006262E"/>
    <w:rsid w:val="00062707"/>
    <w:rsid w:val="00062CB9"/>
    <w:rsid w:val="000636DC"/>
    <w:rsid w:val="000643A7"/>
    <w:rsid w:val="00064601"/>
    <w:rsid w:val="00064946"/>
    <w:rsid w:val="00064BE7"/>
    <w:rsid w:val="00064C3B"/>
    <w:rsid w:val="0006503E"/>
    <w:rsid w:val="0006507B"/>
    <w:rsid w:val="000650C5"/>
    <w:rsid w:val="00065215"/>
    <w:rsid w:val="000656C6"/>
    <w:rsid w:val="00066A58"/>
    <w:rsid w:val="00066B96"/>
    <w:rsid w:val="00067CE9"/>
    <w:rsid w:val="000703DF"/>
    <w:rsid w:val="00070617"/>
    <w:rsid w:val="00070750"/>
    <w:rsid w:val="0007162D"/>
    <w:rsid w:val="00071C3C"/>
    <w:rsid w:val="00072515"/>
    <w:rsid w:val="000733D2"/>
    <w:rsid w:val="0007409F"/>
    <w:rsid w:val="00074A36"/>
    <w:rsid w:val="00074F59"/>
    <w:rsid w:val="000750FE"/>
    <w:rsid w:val="00075E2D"/>
    <w:rsid w:val="000761A7"/>
    <w:rsid w:val="0007713B"/>
    <w:rsid w:val="00077854"/>
    <w:rsid w:val="000803D5"/>
    <w:rsid w:val="00081172"/>
    <w:rsid w:val="00082B44"/>
    <w:rsid w:val="000838EF"/>
    <w:rsid w:val="00083FC8"/>
    <w:rsid w:val="0008481A"/>
    <w:rsid w:val="00084DC8"/>
    <w:rsid w:val="00085217"/>
    <w:rsid w:val="000853E5"/>
    <w:rsid w:val="000862C8"/>
    <w:rsid w:val="00086EC5"/>
    <w:rsid w:val="00087428"/>
    <w:rsid w:val="00087640"/>
    <w:rsid w:val="000879FB"/>
    <w:rsid w:val="00087BC6"/>
    <w:rsid w:val="00087FDD"/>
    <w:rsid w:val="00090719"/>
    <w:rsid w:val="00090EB5"/>
    <w:rsid w:val="00091DCD"/>
    <w:rsid w:val="0009308B"/>
    <w:rsid w:val="000938D5"/>
    <w:rsid w:val="00093F14"/>
    <w:rsid w:val="00094281"/>
    <w:rsid w:val="000942A1"/>
    <w:rsid w:val="00094573"/>
    <w:rsid w:val="00094EFC"/>
    <w:rsid w:val="0009562E"/>
    <w:rsid w:val="000959D4"/>
    <w:rsid w:val="00095DBC"/>
    <w:rsid w:val="000966D9"/>
    <w:rsid w:val="00096BD5"/>
    <w:rsid w:val="000975E2"/>
    <w:rsid w:val="00097B22"/>
    <w:rsid w:val="00097B5B"/>
    <w:rsid w:val="00097BB8"/>
    <w:rsid w:val="00097ECF"/>
    <w:rsid w:val="000A0A31"/>
    <w:rsid w:val="000A369E"/>
    <w:rsid w:val="000A37E1"/>
    <w:rsid w:val="000A4042"/>
    <w:rsid w:val="000A435C"/>
    <w:rsid w:val="000A445D"/>
    <w:rsid w:val="000A65AC"/>
    <w:rsid w:val="000A6FA6"/>
    <w:rsid w:val="000A757F"/>
    <w:rsid w:val="000A7A8B"/>
    <w:rsid w:val="000A7D66"/>
    <w:rsid w:val="000B2047"/>
    <w:rsid w:val="000B2323"/>
    <w:rsid w:val="000B3144"/>
    <w:rsid w:val="000B3D6E"/>
    <w:rsid w:val="000B40C8"/>
    <w:rsid w:val="000B4133"/>
    <w:rsid w:val="000B433D"/>
    <w:rsid w:val="000B4C64"/>
    <w:rsid w:val="000B5052"/>
    <w:rsid w:val="000B5304"/>
    <w:rsid w:val="000B7520"/>
    <w:rsid w:val="000B7A42"/>
    <w:rsid w:val="000B7E66"/>
    <w:rsid w:val="000C0445"/>
    <w:rsid w:val="000C0E05"/>
    <w:rsid w:val="000C25A8"/>
    <w:rsid w:val="000C262B"/>
    <w:rsid w:val="000C2F0E"/>
    <w:rsid w:val="000C32D2"/>
    <w:rsid w:val="000C3A59"/>
    <w:rsid w:val="000C3BAF"/>
    <w:rsid w:val="000C5B4F"/>
    <w:rsid w:val="000C7353"/>
    <w:rsid w:val="000C738E"/>
    <w:rsid w:val="000C7834"/>
    <w:rsid w:val="000C7E1D"/>
    <w:rsid w:val="000D02C7"/>
    <w:rsid w:val="000D0D94"/>
    <w:rsid w:val="000D1299"/>
    <w:rsid w:val="000D1344"/>
    <w:rsid w:val="000D14DE"/>
    <w:rsid w:val="000D2A78"/>
    <w:rsid w:val="000D2EEB"/>
    <w:rsid w:val="000D319B"/>
    <w:rsid w:val="000D361C"/>
    <w:rsid w:val="000D3D4A"/>
    <w:rsid w:val="000D4778"/>
    <w:rsid w:val="000D4C2C"/>
    <w:rsid w:val="000D5551"/>
    <w:rsid w:val="000D6282"/>
    <w:rsid w:val="000D7D0F"/>
    <w:rsid w:val="000D7ED7"/>
    <w:rsid w:val="000E139D"/>
    <w:rsid w:val="000E142B"/>
    <w:rsid w:val="000E192F"/>
    <w:rsid w:val="000E2E2C"/>
    <w:rsid w:val="000E33FF"/>
    <w:rsid w:val="000E352B"/>
    <w:rsid w:val="000E3949"/>
    <w:rsid w:val="000E3AF6"/>
    <w:rsid w:val="000E3CD0"/>
    <w:rsid w:val="000E4D1A"/>
    <w:rsid w:val="000E5238"/>
    <w:rsid w:val="000E6920"/>
    <w:rsid w:val="000E7B29"/>
    <w:rsid w:val="000E7FDC"/>
    <w:rsid w:val="000F05EC"/>
    <w:rsid w:val="000F084E"/>
    <w:rsid w:val="000F0D61"/>
    <w:rsid w:val="000F24E0"/>
    <w:rsid w:val="000F28C4"/>
    <w:rsid w:val="000F3077"/>
    <w:rsid w:val="000F3B82"/>
    <w:rsid w:val="000F421F"/>
    <w:rsid w:val="000F4FA0"/>
    <w:rsid w:val="000F5140"/>
    <w:rsid w:val="000F56D3"/>
    <w:rsid w:val="000F6486"/>
    <w:rsid w:val="000F6940"/>
    <w:rsid w:val="000F7701"/>
    <w:rsid w:val="000F77CD"/>
    <w:rsid w:val="000F7D66"/>
    <w:rsid w:val="00100121"/>
    <w:rsid w:val="00100A26"/>
    <w:rsid w:val="00100B31"/>
    <w:rsid w:val="00101F63"/>
    <w:rsid w:val="00103033"/>
    <w:rsid w:val="001045A6"/>
    <w:rsid w:val="00104732"/>
    <w:rsid w:val="00104976"/>
    <w:rsid w:val="00104B62"/>
    <w:rsid w:val="00105A50"/>
    <w:rsid w:val="00105C00"/>
    <w:rsid w:val="0010665F"/>
    <w:rsid w:val="00106C92"/>
    <w:rsid w:val="00106F21"/>
    <w:rsid w:val="00106FC7"/>
    <w:rsid w:val="00107046"/>
    <w:rsid w:val="001075D6"/>
    <w:rsid w:val="00110A6F"/>
    <w:rsid w:val="001116E3"/>
    <w:rsid w:val="001117CC"/>
    <w:rsid w:val="0011230C"/>
    <w:rsid w:val="0011235E"/>
    <w:rsid w:val="00112F2C"/>
    <w:rsid w:val="001139FB"/>
    <w:rsid w:val="00113A02"/>
    <w:rsid w:val="00113EF4"/>
    <w:rsid w:val="001145A2"/>
    <w:rsid w:val="00114C29"/>
    <w:rsid w:val="001151EC"/>
    <w:rsid w:val="00115539"/>
    <w:rsid w:val="0011563E"/>
    <w:rsid w:val="001157D1"/>
    <w:rsid w:val="00116090"/>
    <w:rsid w:val="001168EB"/>
    <w:rsid w:val="00116CE7"/>
    <w:rsid w:val="00120174"/>
    <w:rsid w:val="00120245"/>
    <w:rsid w:val="001210C2"/>
    <w:rsid w:val="00121266"/>
    <w:rsid w:val="0012210A"/>
    <w:rsid w:val="00122717"/>
    <w:rsid w:val="00122839"/>
    <w:rsid w:val="00123A47"/>
    <w:rsid w:val="00123F49"/>
    <w:rsid w:val="0012476E"/>
    <w:rsid w:val="00124AB5"/>
    <w:rsid w:val="00125A7C"/>
    <w:rsid w:val="00126056"/>
    <w:rsid w:val="00126272"/>
    <w:rsid w:val="00126456"/>
    <w:rsid w:val="00126987"/>
    <w:rsid w:val="00127756"/>
    <w:rsid w:val="00127CAA"/>
    <w:rsid w:val="00127E53"/>
    <w:rsid w:val="00127EC1"/>
    <w:rsid w:val="001306E9"/>
    <w:rsid w:val="00130721"/>
    <w:rsid w:val="001313D1"/>
    <w:rsid w:val="001315EF"/>
    <w:rsid w:val="00131C3A"/>
    <w:rsid w:val="00132383"/>
    <w:rsid w:val="00132B4E"/>
    <w:rsid w:val="00132C27"/>
    <w:rsid w:val="00132E1E"/>
    <w:rsid w:val="00132EC6"/>
    <w:rsid w:val="00133106"/>
    <w:rsid w:val="00133A02"/>
    <w:rsid w:val="00134872"/>
    <w:rsid w:val="00134AE6"/>
    <w:rsid w:val="00134B13"/>
    <w:rsid w:val="00135529"/>
    <w:rsid w:val="0013583A"/>
    <w:rsid w:val="0013595A"/>
    <w:rsid w:val="00135BE1"/>
    <w:rsid w:val="00135E7E"/>
    <w:rsid w:val="00135FE1"/>
    <w:rsid w:val="00136C01"/>
    <w:rsid w:val="00136FAE"/>
    <w:rsid w:val="001405CE"/>
    <w:rsid w:val="001409CB"/>
    <w:rsid w:val="00140A38"/>
    <w:rsid w:val="00140BDB"/>
    <w:rsid w:val="0014202B"/>
    <w:rsid w:val="0014221F"/>
    <w:rsid w:val="001425A0"/>
    <w:rsid w:val="00142947"/>
    <w:rsid w:val="00142E4B"/>
    <w:rsid w:val="001430C2"/>
    <w:rsid w:val="001439C8"/>
    <w:rsid w:val="00143A22"/>
    <w:rsid w:val="00144467"/>
    <w:rsid w:val="001454AB"/>
    <w:rsid w:val="0014699C"/>
    <w:rsid w:val="00147E6A"/>
    <w:rsid w:val="00150652"/>
    <w:rsid w:val="00150B81"/>
    <w:rsid w:val="001518BA"/>
    <w:rsid w:val="00151DD4"/>
    <w:rsid w:val="00151DE9"/>
    <w:rsid w:val="001523A5"/>
    <w:rsid w:val="001524F2"/>
    <w:rsid w:val="0015267D"/>
    <w:rsid w:val="0015270A"/>
    <w:rsid w:val="00152D2D"/>
    <w:rsid w:val="00152E0D"/>
    <w:rsid w:val="00153117"/>
    <w:rsid w:val="0015402B"/>
    <w:rsid w:val="00154EFD"/>
    <w:rsid w:val="00154EFE"/>
    <w:rsid w:val="00155631"/>
    <w:rsid w:val="00156DE9"/>
    <w:rsid w:val="0015752B"/>
    <w:rsid w:val="00160BBA"/>
    <w:rsid w:val="00160F97"/>
    <w:rsid w:val="001610C7"/>
    <w:rsid w:val="00161D44"/>
    <w:rsid w:val="00162A9A"/>
    <w:rsid w:val="00162C32"/>
    <w:rsid w:val="00163F91"/>
    <w:rsid w:val="00164C67"/>
    <w:rsid w:val="00164F3B"/>
    <w:rsid w:val="001652B0"/>
    <w:rsid w:val="00165C1D"/>
    <w:rsid w:val="00166D7B"/>
    <w:rsid w:val="00167215"/>
    <w:rsid w:val="00167A13"/>
    <w:rsid w:val="0017031C"/>
    <w:rsid w:val="0017031D"/>
    <w:rsid w:val="00170A51"/>
    <w:rsid w:val="00170F8E"/>
    <w:rsid w:val="00172257"/>
    <w:rsid w:val="00172B0E"/>
    <w:rsid w:val="00172B1B"/>
    <w:rsid w:val="00172DFC"/>
    <w:rsid w:val="00173BC6"/>
    <w:rsid w:val="00174019"/>
    <w:rsid w:val="00174FBB"/>
    <w:rsid w:val="00175527"/>
    <w:rsid w:val="00175647"/>
    <w:rsid w:val="00175BFA"/>
    <w:rsid w:val="0017694B"/>
    <w:rsid w:val="00177255"/>
    <w:rsid w:val="00177915"/>
    <w:rsid w:val="00177F80"/>
    <w:rsid w:val="001805D8"/>
    <w:rsid w:val="001808A7"/>
    <w:rsid w:val="001811A2"/>
    <w:rsid w:val="00181766"/>
    <w:rsid w:val="00181ECD"/>
    <w:rsid w:val="0018340D"/>
    <w:rsid w:val="00183BED"/>
    <w:rsid w:val="0018404E"/>
    <w:rsid w:val="0018454C"/>
    <w:rsid w:val="001846A3"/>
    <w:rsid w:val="0018513F"/>
    <w:rsid w:val="00185EBB"/>
    <w:rsid w:val="0018624B"/>
    <w:rsid w:val="00186279"/>
    <w:rsid w:val="00186BDC"/>
    <w:rsid w:val="001905D8"/>
    <w:rsid w:val="001908B3"/>
    <w:rsid w:val="0019092C"/>
    <w:rsid w:val="001911A0"/>
    <w:rsid w:val="001912F5"/>
    <w:rsid w:val="001917C8"/>
    <w:rsid w:val="00191CDF"/>
    <w:rsid w:val="00193502"/>
    <w:rsid w:val="0019385A"/>
    <w:rsid w:val="00193D06"/>
    <w:rsid w:val="00194227"/>
    <w:rsid w:val="00194417"/>
    <w:rsid w:val="001946A7"/>
    <w:rsid w:val="00194A6B"/>
    <w:rsid w:val="00195337"/>
    <w:rsid w:val="00195716"/>
    <w:rsid w:val="001961CB"/>
    <w:rsid w:val="00197B1E"/>
    <w:rsid w:val="00197F1C"/>
    <w:rsid w:val="001A1131"/>
    <w:rsid w:val="001A20BE"/>
    <w:rsid w:val="001A234F"/>
    <w:rsid w:val="001A36D3"/>
    <w:rsid w:val="001A3F2F"/>
    <w:rsid w:val="001A4A50"/>
    <w:rsid w:val="001A4ED8"/>
    <w:rsid w:val="001A4FB6"/>
    <w:rsid w:val="001A505E"/>
    <w:rsid w:val="001A594E"/>
    <w:rsid w:val="001A5B61"/>
    <w:rsid w:val="001A6331"/>
    <w:rsid w:val="001A77D5"/>
    <w:rsid w:val="001A7B06"/>
    <w:rsid w:val="001B0560"/>
    <w:rsid w:val="001B06AC"/>
    <w:rsid w:val="001B1088"/>
    <w:rsid w:val="001B1188"/>
    <w:rsid w:val="001B1360"/>
    <w:rsid w:val="001B1451"/>
    <w:rsid w:val="001B1890"/>
    <w:rsid w:val="001B20E0"/>
    <w:rsid w:val="001B3131"/>
    <w:rsid w:val="001B3CD1"/>
    <w:rsid w:val="001B3D05"/>
    <w:rsid w:val="001B3F10"/>
    <w:rsid w:val="001B4E62"/>
    <w:rsid w:val="001B4EE9"/>
    <w:rsid w:val="001B5728"/>
    <w:rsid w:val="001B5E70"/>
    <w:rsid w:val="001B6685"/>
    <w:rsid w:val="001B6F82"/>
    <w:rsid w:val="001C051C"/>
    <w:rsid w:val="001C0623"/>
    <w:rsid w:val="001C0D44"/>
    <w:rsid w:val="001C0F15"/>
    <w:rsid w:val="001C23BD"/>
    <w:rsid w:val="001C3558"/>
    <w:rsid w:val="001C3D0C"/>
    <w:rsid w:val="001C418B"/>
    <w:rsid w:val="001C5818"/>
    <w:rsid w:val="001C615A"/>
    <w:rsid w:val="001C6636"/>
    <w:rsid w:val="001C6B67"/>
    <w:rsid w:val="001C7A99"/>
    <w:rsid w:val="001C7BFB"/>
    <w:rsid w:val="001D0E57"/>
    <w:rsid w:val="001D1644"/>
    <w:rsid w:val="001D1B28"/>
    <w:rsid w:val="001D2640"/>
    <w:rsid w:val="001D2796"/>
    <w:rsid w:val="001D2FE8"/>
    <w:rsid w:val="001D364B"/>
    <w:rsid w:val="001D4A22"/>
    <w:rsid w:val="001D5050"/>
    <w:rsid w:val="001D5325"/>
    <w:rsid w:val="001D53FF"/>
    <w:rsid w:val="001D5C8A"/>
    <w:rsid w:val="001D5E4A"/>
    <w:rsid w:val="001D6D1F"/>
    <w:rsid w:val="001E02BC"/>
    <w:rsid w:val="001E07E0"/>
    <w:rsid w:val="001E1A90"/>
    <w:rsid w:val="001E329B"/>
    <w:rsid w:val="001E4202"/>
    <w:rsid w:val="001E422B"/>
    <w:rsid w:val="001E47B7"/>
    <w:rsid w:val="001E4B91"/>
    <w:rsid w:val="001E4B9E"/>
    <w:rsid w:val="001E4BD3"/>
    <w:rsid w:val="001E6610"/>
    <w:rsid w:val="001E6929"/>
    <w:rsid w:val="001F03C5"/>
    <w:rsid w:val="001F1558"/>
    <w:rsid w:val="001F23C1"/>
    <w:rsid w:val="001F28E8"/>
    <w:rsid w:val="001F2DCE"/>
    <w:rsid w:val="001F30D9"/>
    <w:rsid w:val="001F4012"/>
    <w:rsid w:val="001F49D5"/>
    <w:rsid w:val="001F5B92"/>
    <w:rsid w:val="001F6491"/>
    <w:rsid w:val="001F694F"/>
    <w:rsid w:val="001F6CB7"/>
    <w:rsid w:val="001F6E76"/>
    <w:rsid w:val="001F743A"/>
    <w:rsid w:val="002009F5"/>
    <w:rsid w:val="00200BBB"/>
    <w:rsid w:val="002013EA"/>
    <w:rsid w:val="00202B16"/>
    <w:rsid w:val="00202C0D"/>
    <w:rsid w:val="00202C66"/>
    <w:rsid w:val="00203421"/>
    <w:rsid w:val="0020378E"/>
    <w:rsid w:val="00203870"/>
    <w:rsid w:val="00203B9D"/>
    <w:rsid w:val="00204254"/>
    <w:rsid w:val="00204398"/>
    <w:rsid w:val="002048BC"/>
    <w:rsid w:val="00204D0C"/>
    <w:rsid w:val="00205303"/>
    <w:rsid w:val="00205398"/>
    <w:rsid w:val="0020627C"/>
    <w:rsid w:val="00206862"/>
    <w:rsid w:val="002068CC"/>
    <w:rsid w:val="00206AEF"/>
    <w:rsid w:val="00206D4E"/>
    <w:rsid w:val="00207F30"/>
    <w:rsid w:val="00210AC9"/>
    <w:rsid w:val="00211213"/>
    <w:rsid w:val="00211E4D"/>
    <w:rsid w:val="00212BC3"/>
    <w:rsid w:val="00212BDF"/>
    <w:rsid w:val="00213331"/>
    <w:rsid w:val="002139C6"/>
    <w:rsid w:val="0021415E"/>
    <w:rsid w:val="00214AB3"/>
    <w:rsid w:val="00214AEB"/>
    <w:rsid w:val="00214F95"/>
    <w:rsid w:val="002158E5"/>
    <w:rsid w:val="00216D3C"/>
    <w:rsid w:val="00216F3D"/>
    <w:rsid w:val="00217C27"/>
    <w:rsid w:val="00220B23"/>
    <w:rsid w:val="002210D8"/>
    <w:rsid w:val="002211C0"/>
    <w:rsid w:val="00221999"/>
    <w:rsid w:val="0022248E"/>
    <w:rsid w:val="00224551"/>
    <w:rsid w:val="00224A98"/>
    <w:rsid w:val="00225100"/>
    <w:rsid w:val="00225532"/>
    <w:rsid w:val="0022635E"/>
    <w:rsid w:val="00226E04"/>
    <w:rsid w:val="0022792A"/>
    <w:rsid w:val="00227B5E"/>
    <w:rsid w:val="0023020F"/>
    <w:rsid w:val="00230886"/>
    <w:rsid w:val="0023098F"/>
    <w:rsid w:val="00232513"/>
    <w:rsid w:val="00232810"/>
    <w:rsid w:val="00233558"/>
    <w:rsid w:val="00233AA3"/>
    <w:rsid w:val="00233EE1"/>
    <w:rsid w:val="00235748"/>
    <w:rsid w:val="00235AE0"/>
    <w:rsid w:val="00235BC4"/>
    <w:rsid w:val="002363FC"/>
    <w:rsid w:val="0023654B"/>
    <w:rsid w:val="00236D07"/>
    <w:rsid w:val="002374BB"/>
    <w:rsid w:val="00237AE5"/>
    <w:rsid w:val="00237CAF"/>
    <w:rsid w:val="00237D72"/>
    <w:rsid w:val="00240726"/>
    <w:rsid w:val="00240A27"/>
    <w:rsid w:val="00240A62"/>
    <w:rsid w:val="00240BF6"/>
    <w:rsid w:val="0024105D"/>
    <w:rsid w:val="00242933"/>
    <w:rsid w:val="00242C71"/>
    <w:rsid w:val="002431D8"/>
    <w:rsid w:val="002434A0"/>
    <w:rsid w:val="00243C68"/>
    <w:rsid w:val="002440D1"/>
    <w:rsid w:val="002445FB"/>
    <w:rsid w:val="00244842"/>
    <w:rsid w:val="00244C65"/>
    <w:rsid w:val="00244CB5"/>
    <w:rsid w:val="00244EF9"/>
    <w:rsid w:val="002458A1"/>
    <w:rsid w:val="00245FF1"/>
    <w:rsid w:val="002467AF"/>
    <w:rsid w:val="00246C9B"/>
    <w:rsid w:val="00246DAD"/>
    <w:rsid w:val="002477E0"/>
    <w:rsid w:val="00247B5F"/>
    <w:rsid w:val="00247DFF"/>
    <w:rsid w:val="00250A42"/>
    <w:rsid w:val="002511F9"/>
    <w:rsid w:val="002525C4"/>
    <w:rsid w:val="00253489"/>
    <w:rsid w:val="002541DF"/>
    <w:rsid w:val="002542F6"/>
    <w:rsid w:val="00254336"/>
    <w:rsid w:val="00254F92"/>
    <w:rsid w:val="00255081"/>
    <w:rsid w:val="00255EAE"/>
    <w:rsid w:val="00256523"/>
    <w:rsid w:val="00256867"/>
    <w:rsid w:val="0025688F"/>
    <w:rsid w:val="002569AE"/>
    <w:rsid w:val="002569E8"/>
    <w:rsid w:val="00260167"/>
    <w:rsid w:val="00260201"/>
    <w:rsid w:val="00260C5B"/>
    <w:rsid w:val="0026103A"/>
    <w:rsid w:val="00261257"/>
    <w:rsid w:val="00261B22"/>
    <w:rsid w:val="00262A12"/>
    <w:rsid w:val="00263AF5"/>
    <w:rsid w:val="00264D7B"/>
    <w:rsid w:val="002662EB"/>
    <w:rsid w:val="002668EE"/>
    <w:rsid w:val="002673AD"/>
    <w:rsid w:val="002702F4"/>
    <w:rsid w:val="0027036B"/>
    <w:rsid w:val="002710C4"/>
    <w:rsid w:val="00271104"/>
    <w:rsid w:val="00272091"/>
    <w:rsid w:val="002721C4"/>
    <w:rsid w:val="002724C9"/>
    <w:rsid w:val="002728C3"/>
    <w:rsid w:val="00272C2E"/>
    <w:rsid w:val="0027320E"/>
    <w:rsid w:val="00273263"/>
    <w:rsid w:val="00273BBC"/>
    <w:rsid w:val="002747E5"/>
    <w:rsid w:val="0027505F"/>
    <w:rsid w:val="00275935"/>
    <w:rsid w:val="00276335"/>
    <w:rsid w:val="00276B14"/>
    <w:rsid w:val="0027775C"/>
    <w:rsid w:val="00280D97"/>
    <w:rsid w:val="00281851"/>
    <w:rsid w:val="00281B92"/>
    <w:rsid w:val="0028222D"/>
    <w:rsid w:val="00283120"/>
    <w:rsid w:val="0028519F"/>
    <w:rsid w:val="0028528D"/>
    <w:rsid w:val="0028565E"/>
    <w:rsid w:val="00285985"/>
    <w:rsid w:val="00285CB2"/>
    <w:rsid w:val="002860EE"/>
    <w:rsid w:val="0028636B"/>
    <w:rsid w:val="00286E89"/>
    <w:rsid w:val="00286F3A"/>
    <w:rsid w:val="00287640"/>
    <w:rsid w:val="00287824"/>
    <w:rsid w:val="00287B25"/>
    <w:rsid w:val="0029011B"/>
    <w:rsid w:val="00290E95"/>
    <w:rsid w:val="002916CA"/>
    <w:rsid w:val="002917C6"/>
    <w:rsid w:val="00291EF4"/>
    <w:rsid w:val="0029239C"/>
    <w:rsid w:val="00292B9A"/>
    <w:rsid w:val="00292BBF"/>
    <w:rsid w:val="002935BF"/>
    <w:rsid w:val="00293E4C"/>
    <w:rsid w:val="002949ED"/>
    <w:rsid w:val="00294AB8"/>
    <w:rsid w:val="00296026"/>
    <w:rsid w:val="00296602"/>
    <w:rsid w:val="002A06EC"/>
    <w:rsid w:val="002A0C4D"/>
    <w:rsid w:val="002A1D8D"/>
    <w:rsid w:val="002A21B5"/>
    <w:rsid w:val="002A27AB"/>
    <w:rsid w:val="002A31FE"/>
    <w:rsid w:val="002A32A0"/>
    <w:rsid w:val="002A35BC"/>
    <w:rsid w:val="002A3C22"/>
    <w:rsid w:val="002A5594"/>
    <w:rsid w:val="002A5EB0"/>
    <w:rsid w:val="002A5FF9"/>
    <w:rsid w:val="002A6B15"/>
    <w:rsid w:val="002A7944"/>
    <w:rsid w:val="002A79AD"/>
    <w:rsid w:val="002A7BC7"/>
    <w:rsid w:val="002B02C9"/>
    <w:rsid w:val="002B0D3A"/>
    <w:rsid w:val="002B1A00"/>
    <w:rsid w:val="002B2714"/>
    <w:rsid w:val="002B2A77"/>
    <w:rsid w:val="002B2C79"/>
    <w:rsid w:val="002B303D"/>
    <w:rsid w:val="002B3AE6"/>
    <w:rsid w:val="002B4B4C"/>
    <w:rsid w:val="002B50D0"/>
    <w:rsid w:val="002B550F"/>
    <w:rsid w:val="002B6B30"/>
    <w:rsid w:val="002B6C8A"/>
    <w:rsid w:val="002B6CC6"/>
    <w:rsid w:val="002B7003"/>
    <w:rsid w:val="002B75C8"/>
    <w:rsid w:val="002C0635"/>
    <w:rsid w:val="002C0746"/>
    <w:rsid w:val="002C16D3"/>
    <w:rsid w:val="002C1952"/>
    <w:rsid w:val="002C1C13"/>
    <w:rsid w:val="002C1F3A"/>
    <w:rsid w:val="002C2583"/>
    <w:rsid w:val="002C2717"/>
    <w:rsid w:val="002C404D"/>
    <w:rsid w:val="002C44C3"/>
    <w:rsid w:val="002C496D"/>
    <w:rsid w:val="002C4F24"/>
    <w:rsid w:val="002C53C2"/>
    <w:rsid w:val="002C551F"/>
    <w:rsid w:val="002C6534"/>
    <w:rsid w:val="002C6CAA"/>
    <w:rsid w:val="002C7104"/>
    <w:rsid w:val="002C742D"/>
    <w:rsid w:val="002D0F77"/>
    <w:rsid w:val="002D2592"/>
    <w:rsid w:val="002D2F93"/>
    <w:rsid w:val="002D3438"/>
    <w:rsid w:val="002D47C5"/>
    <w:rsid w:val="002D579C"/>
    <w:rsid w:val="002D762E"/>
    <w:rsid w:val="002D78D5"/>
    <w:rsid w:val="002D7AE0"/>
    <w:rsid w:val="002D7B70"/>
    <w:rsid w:val="002E08B2"/>
    <w:rsid w:val="002E097C"/>
    <w:rsid w:val="002E0D22"/>
    <w:rsid w:val="002E0EFF"/>
    <w:rsid w:val="002E20F9"/>
    <w:rsid w:val="002E35F1"/>
    <w:rsid w:val="002E3655"/>
    <w:rsid w:val="002E3985"/>
    <w:rsid w:val="002E3CFD"/>
    <w:rsid w:val="002E4A60"/>
    <w:rsid w:val="002E4C0E"/>
    <w:rsid w:val="002E4C8B"/>
    <w:rsid w:val="002E5136"/>
    <w:rsid w:val="002E6462"/>
    <w:rsid w:val="002E66F9"/>
    <w:rsid w:val="002E7659"/>
    <w:rsid w:val="002E7C39"/>
    <w:rsid w:val="002E7C59"/>
    <w:rsid w:val="002E7CB2"/>
    <w:rsid w:val="002F048B"/>
    <w:rsid w:val="002F0FC0"/>
    <w:rsid w:val="002F1DDC"/>
    <w:rsid w:val="002F1F3F"/>
    <w:rsid w:val="002F21C4"/>
    <w:rsid w:val="002F2B64"/>
    <w:rsid w:val="002F35BE"/>
    <w:rsid w:val="002F45F6"/>
    <w:rsid w:val="002F58FD"/>
    <w:rsid w:val="002F6055"/>
    <w:rsid w:val="002F617C"/>
    <w:rsid w:val="002F6AF3"/>
    <w:rsid w:val="002F7D2C"/>
    <w:rsid w:val="0030099F"/>
    <w:rsid w:val="00300F60"/>
    <w:rsid w:val="00301492"/>
    <w:rsid w:val="003016DD"/>
    <w:rsid w:val="00301762"/>
    <w:rsid w:val="00301D56"/>
    <w:rsid w:val="00301FFC"/>
    <w:rsid w:val="003028EF"/>
    <w:rsid w:val="003031AD"/>
    <w:rsid w:val="0030341C"/>
    <w:rsid w:val="00303AF9"/>
    <w:rsid w:val="00304297"/>
    <w:rsid w:val="00304453"/>
    <w:rsid w:val="003044B4"/>
    <w:rsid w:val="003050A8"/>
    <w:rsid w:val="003059D8"/>
    <w:rsid w:val="00307271"/>
    <w:rsid w:val="003075EE"/>
    <w:rsid w:val="00311949"/>
    <w:rsid w:val="00311A1F"/>
    <w:rsid w:val="00311D73"/>
    <w:rsid w:val="00313102"/>
    <w:rsid w:val="00313D13"/>
    <w:rsid w:val="00315301"/>
    <w:rsid w:val="003160CE"/>
    <w:rsid w:val="00316584"/>
    <w:rsid w:val="0031696F"/>
    <w:rsid w:val="00316AA8"/>
    <w:rsid w:val="0031722F"/>
    <w:rsid w:val="00317DFC"/>
    <w:rsid w:val="003202F4"/>
    <w:rsid w:val="00320AF8"/>
    <w:rsid w:val="003210B9"/>
    <w:rsid w:val="00321435"/>
    <w:rsid w:val="0032162E"/>
    <w:rsid w:val="00321F83"/>
    <w:rsid w:val="00323759"/>
    <w:rsid w:val="00323A58"/>
    <w:rsid w:val="00323D24"/>
    <w:rsid w:val="0032486D"/>
    <w:rsid w:val="00325739"/>
    <w:rsid w:val="003269A8"/>
    <w:rsid w:val="003275EE"/>
    <w:rsid w:val="0032773C"/>
    <w:rsid w:val="00327A54"/>
    <w:rsid w:val="00330D78"/>
    <w:rsid w:val="00331708"/>
    <w:rsid w:val="00332FEE"/>
    <w:rsid w:val="00333227"/>
    <w:rsid w:val="003337F4"/>
    <w:rsid w:val="00333A20"/>
    <w:rsid w:val="00334043"/>
    <w:rsid w:val="0033420D"/>
    <w:rsid w:val="00334E26"/>
    <w:rsid w:val="003354E1"/>
    <w:rsid w:val="003361F2"/>
    <w:rsid w:val="003362DF"/>
    <w:rsid w:val="00336C3D"/>
    <w:rsid w:val="003405FE"/>
    <w:rsid w:val="00341538"/>
    <w:rsid w:val="00341B92"/>
    <w:rsid w:val="00342BE6"/>
    <w:rsid w:val="00343103"/>
    <w:rsid w:val="0034317C"/>
    <w:rsid w:val="0034370B"/>
    <w:rsid w:val="00344196"/>
    <w:rsid w:val="003443B2"/>
    <w:rsid w:val="003446BA"/>
    <w:rsid w:val="00344742"/>
    <w:rsid w:val="00344B8A"/>
    <w:rsid w:val="003460BE"/>
    <w:rsid w:val="00346AE8"/>
    <w:rsid w:val="003477C9"/>
    <w:rsid w:val="00347CED"/>
    <w:rsid w:val="00347EB3"/>
    <w:rsid w:val="00347F2B"/>
    <w:rsid w:val="00347F4C"/>
    <w:rsid w:val="003502D4"/>
    <w:rsid w:val="00350ACC"/>
    <w:rsid w:val="00351C28"/>
    <w:rsid w:val="00351DBF"/>
    <w:rsid w:val="00352099"/>
    <w:rsid w:val="003529F5"/>
    <w:rsid w:val="00352D98"/>
    <w:rsid w:val="0035455E"/>
    <w:rsid w:val="0035456F"/>
    <w:rsid w:val="00354A93"/>
    <w:rsid w:val="0035562E"/>
    <w:rsid w:val="00355C35"/>
    <w:rsid w:val="0035667A"/>
    <w:rsid w:val="003576FC"/>
    <w:rsid w:val="00360271"/>
    <w:rsid w:val="003614E1"/>
    <w:rsid w:val="00361A4D"/>
    <w:rsid w:val="00361AA0"/>
    <w:rsid w:val="003623FE"/>
    <w:rsid w:val="00363020"/>
    <w:rsid w:val="00363073"/>
    <w:rsid w:val="00363308"/>
    <w:rsid w:val="00363619"/>
    <w:rsid w:val="00364DDD"/>
    <w:rsid w:val="00365294"/>
    <w:rsid w:val="00365443"/>
    <w:rsid w:val="00366048"/>
    <w:rsid w:val="003669DB"/>
    <w:rsid w:val="00366D65"/>
    <w:rsid w:val="00366FB9"/>
    <w:rsid w:val="00367A77"/>
    <w:rsid w:val="00367B2C"/>
    <w:rsid w:val="00367D66"/>
    <w:rsid w:val="00367D99"/>
    <w:rsid w:val="0037042F"/>
    <w:rsid w:val="00370704"/>
    <w:rsid w:val="00370E14"/>
    <w:rsid w:val="00370E16"/>
    <w:rsid w:val="0037143D"/>
    <w:rsid w:val="00371D0A"/>
    <w:rsid w:val="003720DD"/>
    <w:rsid w:val="00372C6D"/>
    <w:rsid w:val="00372CD5"/>
    <w:rsid w:val="00372E8C"/>
    <w:rsid w:val="003741E9"/>
    <w:rsid w:val="00374483"/>
    <w:rsid w:val="003746EC"/>
    <w:rsid w:val="003751A2"/>
    <w:rsid w:val="003751A8"/>
    <w:rsid w:val="00375E3A"/>
    <w:rsid w:val="00376451"/>
    <w:rsid w:val="0037669D"/>
    <w:rsid w:val="00376A70"/>
    <w:rsid w:val="003816AE"/>
    <w:rsid w:val="00381809"/>
    <w:rsid w:val="003822C1"/>
    <w:rsid w:val="0038289B"/>
    <w:rsid w:val="00382C38"/>
    <w:rsid w:val="00383161"/>
    <w:rsid w:val="003839DD"/>
    <w:rsid w:val="00384C75"/>
    <w:rsid w:val="00384CD4"/>
    <w:rsid w:val="00385598"/>
    <w:rsid w:val="003855D9"/>
    <w:rsid w:val="003856EF"/>
    <w:rsid w:val="00387BAF"/>
    <w:rsid w:val="00387F55"/>
    <w:rsid w:val="00391142"/>
    <w:rsid w:val="0039142A"/>
    <w:rsid w:val="00391A2A"/>
    <w:rsid w:val="00391D00"/>
    <w:rsid w:val="003930A4"/>
    <w:rsid w:val="003934C6"/>
    <w:rsid w:val="003936B8"/>
    <w:rsid w:val="00393AA3"/>
    <w:rsid w:val="00394330"/>
    <w:rsid w:val="00395372"/>
    <w:rsid w:val="00395572"/>
    <w:rsid w:val="00395EA3"/>
    <w:rsid w:val="00395FFD"/>
    <w:rsid w:val="0039604D"/>
    <w:rsid w:val="003964C1"/>
    <w:rsid w:val="00396D31"/>
    <w:rsid w:val="003970F5"/>
    <w:rsid w:val="0039777B"/>
    <w:rsid w:val="003A079E"/>
    <w:rsid w:val="003A0F17"/>
    <w:rsid w:val="003A0F2B"/>
    <w:rsid w:val="003A1016"/>
    <w:rsid w:val="003A16D5"/>
    <w:rsid w:val="003A1D37"/>
    <w:rsid w:val="003A1E8D"/>
    <w:rsid w:val="003A1FE4"/>
    <w:rsid w:val="003A359E"/>
    <w:rsid w:val="003A406B"/>
    <w:rsid w:val="003A41F7"/>
    <w:rsid w:val="003A54CF"/>
    <w:rsid w:val="003A7678"/>
    <w:rsid w:val="003B0C90"/>
    <w:rsid w:val="003B3168"/>
    <w:rsid w:val="003B35C5"/>
    <w:rsid w:val="003B4ACF"/>
    <w:rsid w:val="003B4B45"/>
    <w:rsid w:val="003B4F35"/>
    <w:rsid w:val="003B533E"/>
    <w:rsid w:val="003B569B"/>
    <w:rsid w:val="003B5B11"/>
    <w:rsid w:val="003B630A"/>
    <w:rsid w:val="003B6335"/>
    <w:rsid w:val="003B71AC"/>
    <w:rsid w:val="003B76CA"/>
    <w:rsid w:val="003C0550"/>
    <w:rsid w:val="003C0A10"/>
    <w:rsid w:val="003C1B4D"/>
    <w:rsid w:val="003C1DD7"/>
    <w:rsid w:val="003C23F5"/>
    <w:rsid w:val="003C2496"/>
    <w:rsid w:val="003C2950"/>
    <w:rsid w:val="003C3484"/>
    <w:rsid w:val="003C4197"/>
    <w:rsid w:val="003C4B6F"/>
    <w:rsid w:val="003C4E6E"/>
    <w:rsid w:val="003C5056"/>
    <w:rsid w:val="003C5366"/>
    <w:rsid w:val="003C5462"/>
    <w:rsid w:val="003C62B5"/>
    <w:rsid w:val="003C658C"/>
    <w:rsid w:val="003C6EAA"/>
    <w:rsid w:val="003C6F58"/>
    <w:rsid w:val="003C737A"/>
    <w:rsid w:val="003C749D"/>
    <w:rsid w:val="003C79B3"/>
    <w:rsid w:val="003C7B1A"/>
    <w:rsid w:val="003D07A2"/>
    <w:rsid w:val="003D0D2F"/>
    <w:rsid w:val="003D1F7C"/>
    <w:rsid w:val="003D22CD"/>
    <w:rsid w:val="003D3C01"/>
    <w:rsid w:val="003D40D2"/>
    <w:rsid w:val="003D4EAE"/>
    <w:rsid w:val="003D56C4"/>
    <w:rsid w:val="003D5C46"/>
    <w:rsid w:val="003D5D3A"/>
    <w:rsid w:val="003D6DE8"/>
    <w:rsid w:val="003D6EB6"/>
    <w:rsid w:val="003D7F12"/>
    <w:rsid w:val="003E045D"/>
    <w:rsid w:val="003E0504"/>
    <w:rsid w:val="003E1302"/>
    <w:rsid w:val="003E1A47"/>
    <w:rsid w:val="003E1A5D"/>
    <w:rsid w:val="003E20CE"/>
    <w:rsid w:val="003E24C9"/>
    <w:rsid w:val="003E26D4"/>
    <w:rsid w:val="003E26DA"/>
    <w:rsid w:val="003E3BA1"/>
    <w:rsid w:val="003E48AB"/>
    <w:rsid w:val="003E4E7C"/>
    <w:rsid w:val="003E5EDC"/>
    <w:rsid w:val="003E6ACC"/>
    <w:rsid w:val="003E6C70"/>
    <w:rsid w:val="003E722D"/>
    <w:rsid w:val="003E7B3F"/>
    <w:rsid w:val="003E7FDE"/>
    <w:rsid w:val="003F0799"/>
    <w:rsid w:val="003F192B"/>
    <w:rsid w:val="003F1FAC"/>
    <w:rsid w:val="003F2218"/>
    <w:rsid w:val="003F2CC3"/>
    <w:rsid w:val="003F396F"/>
    <w:rsid w:val="003F41D5"/>
    <w:rsid w:val="003F46B1"/>
    <w:rsid w:val="003F4825"/>
    <w:rsid w:val="003F58DA"/>
    <w:rsid w:val="003F6BB0"/>
    <w:rsid w:val="003F6BD2"/>
    <w:rsid w:val="003F6F83"/>
    <w:rsid w:val="003F79FD"/>
    <w:rsid w:val="003F7C4B"/>
    <w:rsid w:val="0040131A"/>
    <w:rsid w:val="00401CEC"/>
    <w:rsid w:val="00401F19"/>
    <w:rsid w:val="004026CD"/>
    <w:rsid w:val="004026CE"/>
    <w:rsid w:val="0040396B"/>
    <w:rsid w:val="00403C03"/>
    <w:rsid w:val="00404965"/>
    <w:rsid w:val="00405606"/>
    <w:rsid w:val="00405680"/>
    <w:rsid w:val="004056B6"/>
    <w:rsid w:val="0040589F"/>
    <w:rsid w:val="0040649F"/>
    <w:rsid w:val="00407599"/>
    <w:rsid w:val="00407FAB"/>
    <w:rsid w:val="00407FBD"/>
    <w:rsid w:val="004109C5"/>
    <w:rsid w:val="004110DD"/>
    <w:rsid w:val="004111E3"/>
    <w:rsid w:val="00411BB9"/>
    <w:rsid w:val="00412893"/>
    <w:rsid w:val="00413165"/>
    <w:rsid w:val="004139DE"/>
    <w:rsid w:val="00414034"/>
    <w:rsid w:val="00414237"/>
    <w:rsid w:val="004142BD"/>
    <w:rsid w:val="004146B5"/>
    <w:rsid w:val="00414B45"/>
    <w:rsid w:val="00415590"/>
    <w:rsid w:val="00416BC5"/>
    <w:rsid w:val="00417120"/>
    <w:rsid w:val="00417129"/>
    <w:rsid w:val="00417391"/>
    <w:rsid w:val="00417CC8"/>
    <w:rsid w:val="00417DB4"/>
    <w:rsid w:val="00421042"/>
    <w:rsid w:val="0042186F"/>
    <w:rsid w:val="00422130"/>
    <w:rsid w:val="00422912"/>
    <w:rsid w:val="00423D46"/>
    <w:rsid w:val="0042409B"/>
    <w:rsid w:val="00424B35"/>
    <w:rsid w:val="00424E84"/>
    <w:rsid w:val="00427DF1"/>
    <w:rsid w:val="0043003A"/>
    <w:rsid w:val="004305FF"/>
    <w:rsid w:val="0043214D"/>
    <w:rsid w:val="004326ED"/>
    <w:rsid w:val="004328D0"/>
    <w:rsid w:val="00432D22"/>
    <w:rsid w:val="00432F26"/>
    <w:rsid w:val="0043484B"/>
    <w:rsid w:val="00434A63"/>
    <w:rsid w:val="00435EEE"/>
    <w:rsid w:val="00436060"/>
    <w:rsid w:val="00436497"/>
    <w:rsid w:val="004379E6"/>
    <w:rsid w:val="00437E00"/>
    <w:rsid w:val="00440077"/>
    <w:rsid w:val="00440C2A"/>
    <w:rsid w:val="00441A66"/>
    <w:rsid w:val="00442389"/>
    <w:rsid w:val="00442602"/>
    <w:rsid w:val="0044260F"/>
    <w:rsid w:val="004426FE"/>
    <w:rsid w:val="00442708"/>
    <w:rsid w:val="00442945"/>
    <w:rsid w:val="0044335B"/>
    <w:rsid w:val="004435D5"/>
    <w:rsid w:val="00443D90"/>
    <w:rsid w:val="00444779"/>
    <w:rsid w:val="004453FF"/>
    <w:rsid w:val="00445689"/>
    <w:rsid w:val="004458B9"/>
    <w:rsid w:val="00445D7D"/>
    <w:rsid w:val="00446057"/>
    <w:rsid w:val="00446905"/>
    <w:rsid w:val="004469DC"/>
    <w:rsid w:val="00446BA7"/>
    <w:rsid w:val="00447E57"/>
    <w:rsid w:val="00450431"/>
    <w:rsid w:val="00450A32"/>
    <w:rsid w:val="00451E9A"/>
    <w:rsid w:val="00451FD3"/>
    <w:rsid w:val="00451FE3"/>
    <w:rsid w:val="00452271"/>
    <w:rsid w:val="00452545"/>
    <w:rsid w:val="0045461E"/>
    <w:rsid w:val="004549E6"/>
    <w:rsid w:val="00454AB0"/>
    <w:rsid w:val="00455E01"/>
    <w:rsid w:val="00456960"/>
    <w:rsid w:val="00457AB4"/>
    <w:rsid w:val="00457EF9"/>
    <w:rsid w:val="00460FA6"/>
    <w:rsid w:val="004637CA"/>
    <w:rsid w:val="00464245"/>
    <w:rsid w:val="00464434"/>
    <w:rsid w:val="00464906"/>
    <w:rsid w:val="00465E79"/>
    <w:rsid w:val="00465EAC"/>
    <w:rsid w:val="004664E5"/>
    <w:rsid w:val="00466667"/>
    <w:rsid w:val="0046668A"/>
    <w:rsid w:val="004667B5"/>
    <w:rsid w:val="00466A27"/>
    <w:rsid w:val="00466EA9"/>
    <w:rsid w:val="00467DF3"/>
    <w:rsid w:val="0047010A"/>
    <w:rsid w:val="0047063A"/>
    <w:rsid w:val="00470E22"/>
    <w:rsid w:val="0047147B"/>
    <w:rsid w:val="0047176B"/>
    <w:rsid w:val="00472020"/>
    <w:rsid w:val="0047220B"/>
    <w:rsid w:val="00472342"/>
    <w:rsid w:val="004730D9"/>
    <w:rsid w:val="0047310A"/>
    <w:rsid w:val="004733E2"/>
    <w:rsid w:val="00473C6D"/>
    <w:rsid w:val="00473E57"/>
    <w:rsid w:val="00473E91"/>
    <w:rsid w:val="0047488A"/>
    <w:rsid w:val="004765E3"/>
    <w:rsid w:val="00476756"/>
    <w:rsid w:val="0047679E"/>
    <w:rsid w:val="00476A57"/>
    <w:rsid w:val="00477BD7"/>
    <w:rsid w:val="00477DA2"/>
    <w:rsid w:val="00480165"/>
    <w:rsid w:val="004806E0"/>
    <w:rsid w:val="004812EF"/>
    <w:rsid w:val="00481A1D"/>
    <w:rsid w:val="0048246F"/>
    <w:rsid w:val="00482B6D"/>
    <w:rsid w:val="004830C6"/>
    <w:rsid w:val="00483775"/>
    <w:rsid w:val="00483BA4"/>
    <w:rsid w:val="00483CA7"/>
    <w:rsid w:val="0048422E"/>
    <w:rsid w:val="00484BCC"/>
    <w:rsid w:val="00484E0C"/>
    <w:rsid w:val="004864DB"/>
    <w:rsid w:val="004877A3"/>
    <w:rsid w:val="004879F2"/>
    <w:rsid w:val="00487F55"/>
    <w:rsid w:val="0049030F"/>
    <w:rsid w:val="0049077E"/>
    <w:rsid w:val="00490C5E"/>
    <w:rsid w:val="004915C2"/>
    <w:rsid w:val="0049190C"/>
    <w:rsid w:val="00492824"/>
    <w:rsid w:val="0049357B"/>
    <w:rsid w:val="00494768"/>
    <w:rsid w:val="0049592C"/>
    <w:rsid w:val="00495D34"/>
    <w:rsid w:val="00496B27"/>
    <w:rsid w:val="004971AB"/>
    <w:rsid w:val="004972F9"/>
    <w:rsid w:val="00497679"/>
    <w:rsid w:val="0049779C"/>
    <w:rsid w:val="004A0429"/>
    <w:rsid w:val="004A0C68"/>
    <w:rsid w:val="004A155A"/>
    <w:rsid w:val="004A1570"/>
    <w:rsid w:val="004A1BF7"/>
    <w:rsid w:val="004A2437"/>
    <w:rsid w:val="004A251D"/>
    <w:rsid w:val="004A2907"/>
    <w:rsid w:val="004A2CD6"/>
    <w:rsid w:val="004A3874"/>
    <w:rsid w:val="004A466F"/>
    <w:rsid w:val="004A46DD"/>
    <w:rsid w:val="004A4D41"/>
    <w:rsid w:val="004A4FED"/>
    <w:rsid w:val="004A695B"/>
    <w:rsid w:val="004A6AE4"/>
    <w:rsid w:val="004A726B"/>
    <w:rsid w:val="004A741D"/>
    <w:rsid w:val="004B00C7"/>
    <w:rsid w:val="004B0225"/>
    <w:rsid w:val="004B02BA"/>
    <w:rsid w:val="004B0954"/>
    <w:rsid w:val="004B1044"/>
    <w:rsid w:val="004B1274"/>
    <w:rsid w:val="004B17CE"/>
    <w:rsid w:val="004B1BDE"/>
    <w:rsid w:val="004B2A9F"/>
    <w:rsid w:val="004B2C12"/>
    <w:rsid w:val="004B2CC3"/>
    <w:rsid w:val="004B3DB3"/>
    <w:rsid w:val="004B4188"/>
    <w:rsid w:val="004B44E3"/>
    <w:rsid w:val="004B455D"/>
    <w:rsid w:val="004B45DD"/>
    <w:rsid w:val="004B5024"/>
    <w:rsid w:val="004B55A2"/>
    <w:rsid w:val="004B5677"/>
    <w:rsid w:val="004B5D83"/>
    <w:rsid w:val="004B5DE7"/>
    <w:rsid w:val="004B67B0"/>
    <w:rsid w:val="004B6970"/>
    <w:rsid w:val="004B6D2E"/>
    <w:rsid w:val="004B7F8B"/>
    <w:rsid w:val="004C0626"/>
    <w:rsid w:val="004C084F"/>
    <w:rsid w:val="004C0E4B"/>
    <w:rsid w:val="004C10ED"/>
    <w:rsid w:val="004C148E"/>
    <w:rsid w:val="004C190B"/>
    <w:rsid w:val="004C1BEB"/>
    <w:rsid w:val="004C3629"/>
    <w:rsid w:val="004C3BE1"/>
    <w:rsid w:val="004C3F25"/>
    <w:rsid w:val="004C46C9"/>
    <w:rsid w:val="004C4ADC"/>
    <w:rsid w:val="004C4B32"/>
    <w:rsid w:val="004C538A"/>
    <w:rsid w:val="004C600E"/>
    <w:rsid w:val="004C60E2"/>
    <w:rsid w:val="004C647E"/>
    <w:rsid w:val="004C6B6C"/>
    <w:rsid w:val="004D0888"/>
    <w:rsid w:val="004D2366"/>
    <w:rsid w:val="004D250A"/>
    <w:rsid w:val="004D4135"/>
    <w:rsid w:val="004D41D2"/>
    <w:rsid w:val="004D5811"/>
    <w:rsid w:val="004D5CD9"/>
    <w:rsid w:val="004D5E1E"/>
    <w:rsid w:val="004D5E6D"/>
    <w:rsid w:val="004D5F6B"/>
    <w:rsid w:val="004D74AE"/>
    <w:rsid w:val="004D797A"/>
    <w:rsid w:val="004D7DC1"/>
    <w:rsid w:val="004E0A20"/>
    <w:rsid w:val="004E0FAE"/>
    <w:rsid w:val="004E13BA"/>
    <w:rsid w:val="004E1698"/>
    <w:rsid w:val="004E1FED"/>
    <w:rsid w:val="004E22D3"/>
    <w:rsid w:val="004E2C3C"/>
    <w:rsid w:val="004E31F1"/>
    <w:rsid w:val="004E3497"/>
    <w:rsid w:val="004E41C5"/>
    <w:rsid w:val="004E4BDC"/>
    <w:rsid w:val="004E4DFC"/>
    <w:rsid w:val="004E6E12"/>
    <w:rsid w:val="004E7232"/>
    <w:rsid w:val="004E7FD4"/>
    <w:rsid w:val="004F0C9B"/>
    <w:rsid w:val="004F0D89"/>
    <w:rsid w:val="004F1DF4"/>
    <w:rsid w:val="004F20D8"/>
    <w:rsid w:val="004F2946"/>
    <w:rsid w:val="004F32A5"/>
    <w:rsid w:val="004F3E4D"/>
    <w:rsid w:val="004F3F2C"/>
    <w:rsid w:val="004F436E"/>
    <w:rsid w:val="004F450B"/>
    <w:rsid w:val="004F4C11"/>
    <w:rsid w:val="004F4D16"/>
    <w:rsid w:val="004F5197"/>
    <w:rsid w:val="004F51C0"/>
    <w:rsid w:val="004F531D"/>
    <w:rsid w:val="004F5508"/>
    <w:rsid w:val="004F5749"/>
    <w:rsid w:val="004F5FFF"/>
    <w:rsid w:val="004F6E53"/>
    <w:rsid w:val="004F7B7B"/>
    <w:rsid w:val="004F7BFF"/>
    <w:rsid w:val="004F7C8C"/>
    <w:rsid w:val="00500138"/>
    <w:rsid w:val="00501494"/>
    <w:rsid w:val="005015A8"/>
    <w:rsid w:val="0050242C"/>
    <w:rsid w:val="00502585"/>
    <w:rsid w:val="00502B1F"/>
    <w:rsid w:val="005038A6"/>
    <w:rsid w:val="00504A87"/>
    <w:rsid w:val="00504AB6"/>
    <w:rsid w:val="00504C6C"/>
    <w:rsid w:val="00504F69"/>
    <w:rsid w:val="0050599D"/>
    <w:rsid w:val="005062DC"/>
    <w:rsid w:val="005063CD"/>
    <w:rsid w:val="00507EBC"/>
    <w:rsid w:val="005102CD"/>
    <w:rsid w:val="005116FF"/>
    <w:rsid w:val="00511822"/>
    <w:rsid w:val="00512128"/>
    <w:rsid w:val="005131A0"/>
    <w:rsid w:val="0051383F"/>
    <w:rsid w:val="005138E9"/>
    <w:rsid w:val="005146D6"/>
    <w:rsid w:val="0051558D"/>
    <w:rsid w:val="00515B68"/>
    <w:rsid w:val="005162F7"/>
    <w:rsid w:val="0051669E"/>
    <w:rsid w:val="00517026"/>
    <w:rsid w:val="005176AD"/>
    <w:rsid w:val="00520A1E"/>
    <w:rsid w:val="00521156"/>
    <w:rsid w:val="00521204"/>
    <w:rsid w:val="0052178F"/>
    <w:rsid w:val="00522D6A"/>
    <w:rsid w:val="00523044"/>
    <w:rsid w:val="00523EAA"/>
    <w:rsid w:val="005241D0"/>
    <w:rsid w:val="005249AC"/>
    <w:rsid w:val="0052505D"/>
    <w:rsid w:val="005251ED"/>
    <w:rsid w:val="005259FC"/>
    <w:rsid w:val="0052654A"/>
    <w:rsid w:val="00526EC7"/>
    <w:rsid w:val="005307E0"/>
    <w:rsid w:val="00533753"/>
    <w:rsid w:val="00533BFB"/>
    <w:rsid w:val="0053403A"/>
    <w:rsid w:val="0053495B"/>
    <w:rsid w:val="00534F14"/>
    <w:rsid w:val="00535D28"/>
    <w:rsid w:val="005371B5"/>
    <w:rsid w:val="00537295"/>
    <w:rsid w:val="0053792E"/>
    <w:rsid w:val="005379D1"/>
    <w:rsid w:val="00537EC5"/>
    <w:rsid w:val="00540103"/>
    <w:rsid w:val="0054107E"/>
    <w:rsid w:val="00541505"/>
    <w:rsid w:val="00542322"/>
    <w:rsid w:val="00543400"/>
    <w:rsid w:val="00543F5D"/>
    <w:rsid w:val="00543FAB"/>
    <w:rsid w:val="00544C26"/>
    <w:rsid w:val="005453A8"/>
    <w:rsid w:val="00545EA7"/>
    <w:rsid w:val="005501AD"/>
    <w:rsid w:val="0055075F"/>
    <w:rsid w:val="005508DC"/>
    <w:rsid w:val="00550A4F"/>
    <w:rsid w:val="0055153C"/>
    <w:rsid w:val="00551CB7"/>
    <w:rsid w:val="0055264A"/>
    <w:rsid w:val="005528D7"/>
    <w:rsid w:val="00554153"/>
    <w:rsid w:val="00556570"/>
    <w:rsid w:val="005572F3"/>
    <w:rsid w:val="0055740F"/>
    <w:rsid w:val="005575D6"/>
    <w:rsid w:val="0056086E"/>
    <w:rsid w:val="00560C5B"/>
    <w:rsid w:val="00561008"/>
    <w:rsid w:val="0056109D"/>
    <w:rsid w:val="0056161C"/>
    <w:rsid w:val="00561C67"/>
    <w:rsid w:val="00562210"/>
    <w:rsid w:val="00563CB0"/>
    <w:rsid w:val="005640D8"/>
    <w:rsid w:val="00564C38"/>
    <w:rsid w:val="00564E4E"/>
    <w:rsid w:val="00565034"/>
    <w:rsid w:val="00565284"/>
    <w:rsid w:val="005653D0"/>
    <w:rsid w:val="005657E7"/>
    <w:rsid w:val="0056653E"/>
    <w:rsid w:val="0056775D"/>
    <w:rsid w:val="0057050B"/>
    <w:rsid w:val="005706E9"/>
    <w:rsid w:val="00570C2E"/>
    <w:rsid w:val="00570EB8"/>
    <w:rsid w:val="005713E7"/>
    <w:rsid w:val="0057142F"/>
    <w:rsid w:val="005717DC"/>
    <w:rsid w:val="005719B5"/>
    <w:rsid w:val="00571B87"/>
    <w:rsid w:val="005723D5"/>
    <w:rsid w:val="005728BE"/>
    <w:rsid w:val="005729C0"/>
    <w:rsid w:val="00572FF7"/>
    <w:rsid w:val="00573123"/>
    <w:rsid w:val="00574874"/>
    <w:rsid w:val="00574E20"/>
    <w:rsid w:val="00575885"/>
    <w:rsid w:val="00575977"/>
    <w:rsid w:val="00575A07"/>
    <w:rsid w:val="0057666F"/>
    <w:rsid w:val="005817AE"/>
    <w:rsid w:val="005817E3"/>
    <w:rsid w:val="00582199"/>
    <w:rsid w:val="005829A8"/>
    <w:rsid w:val="00582A28"/>
    <w:rsid w:val="00582C4F"/>
    <w:rsid w:val="00582E65"/>
    <w:rsid w:val="00583773"/>
    <w:rsid w:val="00583B13"/>
    <w:rsid w:val="00583EB1"/>
    <w:rsid w:val="00584902"/>
    <w:rsid w:val="00585107"/>
    <w:rsid w:val="00585FE3"/>
    <w:rsid w:val="005867AF"/>
    <w:rsid w:val="00587099"/>
    <w:rsid w:val="00590555"/>
    <w:rsid w:val="005920DC"/>
    <w:rsid w:val="005926DD"/>
    <w:rsid w:val="005930E7"/>
    <w:rsid w:val="00593222"/>
    <w:rsid w:val="00593394"/>
    <w:rsid w:val="00593636"/>
    <w:rsid w:val="00594522"/>
    <w:rsid w:val="00595267"/>
    <w:rsid w:val="00595E09"/>
    <w:rsid w:val="00595F66"/>
    <w:rsid w:val="00596306"/>
    <w:rsid w:val="005966CC"/>
    <w:rsid w:val="00596F59"/>
    <w:rsid w:val="00596FC1"/>
    <w:rsid w:val="0059766C"/>
    <w:rsid w:val="005977DC"/>
    <w:rsid w:val="005A0110"/>
    <w:rsid w:val="005A0DC5"/>
    <w:rsid w:val="005A12E1"/>
    <w:rsid w:val="005A1B51"/>
    <w:rsid w:val="005A1E94"/>
    <w:rsid w:val="005A2463"/>
    <w:rsid w:val="005A2720"/>
    <w:rsid w:val="005A2BD1"/>
    <w:rsid w:val="005A2E34"/>
    <w:rsid w:val="005A3967"/>
    <w:rsid w:val="005A3979"/>
    <w:rsid w:val="005A3C1E"/>
    <w:rsid w:val="005A3DE7"/>
    <w:rsid w:val="005A3E01"/>
    <w:rsid w:val="005A4299"/>
    <w:rsid w:val="005A47AD"/>
    <w:rsid w:val="005A4B44"/>
    <w:rsid w:val="005A4FA0"/>
    <w:rsid w:val="005A59B4"/>
    <w:rsid w:val="005A5FD0"/>
    <w:rsid w:val="005A676B"/>
    <w:rsid w:val="005A7515"/>
    <w:rsid w:val="005A7632"/>
    <w:rsid w:val="005A7639"/>
    <w:rsid w:val="005B02FF"/>
    <w:rsid w:val="005B0BA9"/>
    <w:rsid w:val="005B0D39"/>
    <w:rsid w:val="005B165F"/>
    <w:rsid w:val="005B174D"/>
    <w:rsid w:val="005B1795"/>
    <w:rsid w:val="005B1954"/>
    <w:rsid w:val="005B195A"/>
    <w:rsid w:val="005B24F8"/>
    <w:rsid w:val="005B258C"/>
    <w:rsid w:val="005B2604"/>
    <w:rsid w:val="005B2612"/>
    <w:rsid w:val="005B346C"/>
    <w:rsid w:val="005B3F41"/>
    <w:rsid w:val="005B4A16"/>
    <w:rsid w:val="005B62E3"/>
    <w:rsid w:val="005B68B6"/>
    <w:rsid w:val="005B6D9F"/>
    <w:rsid w:val="005B779B"/>
    <w:rsid w:val="005B793B"/>
    <w:rsid w:val="005C068E"/>
    <w:rsid w:val="005C0D67"/>
    <w:rsid w:val="005C1A40"/>
    <w:rsid w:val="005C3220"/>
    <w:rsid w:val="005C3692"/>
    <w:rsid w:val="005C3A38"/>
    <w:rsid w:val="005C43BE"/>
    <w:rsid w:val="005C5392"/>
    <w:rsid w:val="005C6609"/>
    <w:rsid w:val="005C7935"/>
    <w:rsid w:val="005C7A26"/>
    <w:rsid w:val="005D07B1"/>
    <w:rsid w:val="005D13BA"/>
    <w:rsid w:val="005D1DC0"/>
    <w:rsid w:val="005D30F2"/>
    <w:rsid w:val="005D317A"/>
    <w:rsid w:val="005D3891"/>
    <w:rsid w:val="005D3D17"/>
    <w:rsid w:val="005D3DE7"/>
    <w:rsid w:val="005D55F6"/>
    <w:rsid w:val="005D6644"/>
    <w:rsid w:val="005D6998"/>
    <w:rsid w:val="005D6D63"/>
    <w:rsid w:val="005D7295"/>
    <w:rsid w:val="005D793E"/>
    <w:rsid w:val="005E0DB4"/>
    <w:rsid w:val="005E14EC"/>
    <w:rsid w:val="005E174F"/>
    <w:rsid w:val="005E20D0"/>
    <w:rsid w:val="005E270A"/>
    <w:rsid w:val="005E3427"/>
    <w:rsid w:val="005E410F"/>
    <w:rsid w:val="005E4C10"/>
    <w:rsid w:val="005E57E0"/>
    <w:rsid w:val="005E654C"/>
    <w:rsid w:val="005E654E"/>
    <w:rsid w:val="005E6C8C"/>
    <w:rsid w:val="005E7B87"/>
    <w:rsid w:val="005F11CD"/>
    <w:rsid w:val="005F17A6"/>
    <w:rsid w:val="005F1EE4"/>
    <w:rsid w:val="005F20E5"/>
    <w:rsid w:val="005F2860"/>
    <w:rsid w:val="005F2C9C"/>
    <w:rsid w:val="005F3170"/>
    <w:rsid w:val="005F3523"/>
    <w:rsid w:val="005F3B29"/>
    <w:rsid w:val="005F4221"/>
    <w:rsid w:val="005F59F1"/>
    <w:rsid w:val="005F5F5C"/>
    <w:rsid w:val="005F688D"/>
    <w:rsid w:val="005F73CF"/>
    <w:rsid w:val="005F7DAD"/>
    <w:rsid w:val="006003E8"/>
    <w:rsid w:val="00600492"/>
    <w:rsid w:val="006008F8"/>
    <w:rsid w:val="00601223"/>
    <w:rsid w:val="00601DE7"/>
    <w:rsid w:val="0060226F"/>
    <w:rsid w:val="0060240E"/>
    <w:rsid w:val="00602A08"/>
    <w:rsid w:val="00602D3E"/>
    <w:rsid w:val="00602EDF"/>
    <w:rsid w:val="00602F4A"/>
    <w:rsid w:val="0060311C"/>
    <w:rsid w:val="006039EA"/>
    <w:rsid w:val="00604643"/>
    <w:rsid w:val="0060475D"/>
    <w:rsid w:val="00605780"/>
    <w:rsid w:val="00605D80"/>
    <w:rsid w:val="006062CA"/>
    <w:rsid w:val="006062D2"/>
    <w:rsid w:val="00606532"/>
    <w:rsid w:val="0060684D"/>
    <w:rsid w:val="006071E1"/>
    <w:rsid w:val="006073E3"/>
    <w:rsid w:val="00607C4C"/>
    <w:rsid w:val="00607F0C"/>
    <w:rsid w:val="00610360"/>
    <w:rsid w:val="006133DF"/>
    <w:rsid w:val="006141D5"/>
    <w:rsid w:val="00614526"/>
    <w:rsid w:val="00614F10"/>
    <w:rsid w:val="0061506A"/>
    <w:rsid w:val="00615B8D"/>
    <w:rsid w:val="0061682D"/>
    <w:rsid w:val="00616D9A"/>
    <w:rsid w:val="00617AE6"/>
    <w:rsid w:val="006206C1"/>
    <w:rsid w:val="0062076D"/>
    <w:rsid w:val="00620A40"/>
    <w:rsid w:val="00621540"/>
    <w:rsid w:val="0062210D"/>
    <w:rsid w:val="00622660"/>
    <w:rsid w:val="006230C1"/>
    <w:rsid w:val="00623FE6"/>
    <w:rsid w:val="00624B5B"/>
    <w:rsid w:val="00625162"/>
    <w:rsid w:val="006254BA"/>
    <w:rsid w:val="0062678F"/>
    <w:rsid w:val="0062686E"/>
    <w:rsid w:val="00626B8E"/>
    <w:rsid w:val="00626E7E"/>
    <w:rsid w:val="00627097"/>
    <w:rsid w:val="00627CB5"/>
    <w:rsid w:val="00630201"/>
    <w:rsid w:val="006305EC"/>
    <w:rsid w:val="006309FA"/>
    <w:rsid w:val="00631151"/>
    <w:rsid w:val="00631A2F"/>
    <w:rsid w:val="00631CC7"/>
    <w:rsid w:val="00631EB6"/>
    <w:rsid w:val="00632021"/>
    <w:rsid w:val="006325DE"/>
    <w:rsid w:val="0063289A"/>
    <w:rsid w:val="006334A9"/>
    <w:rsid w:val="00634034"/>
    <w:rsid w:val="0063475B"/>
    <w:rsid w:val="006347DC"/>
    <w:rsid w:val="00634B8E"/>
    <w:rsid w:val="006407FA"/>
    <w:rsid w:val="00641D6C"/>
    <w:rsid w:val="00641ED2"/>
    <w:rsid w:val="00643949"/>
    <w:rsid w:val="00643D9C"/>
    <w:rsid w:val="006440BB"/>
    <w:rsid w:val="00644E76"/>
    <w:rsid w:val="00645FDF"/>
    <w:rsid w:val="006463CB"/>
    <w:rsid w:val="00646C2B"/>
    <w:rsid w:val="00650ABB"/>
    <w:rsid w:val="00651055"/>
    <w:rsid w:val="00651141"/>
    <w:rsid w:val="00651518"/>
    <w:rsid w:val="0065162E"/>
    <w:rsid w:val="00651646"/>
    <w:rsid w:val="00651C9F"/>
    <w:rsid w:val="006521D6"/>
    <w:rsid w:val="00652516"/>
    <w:rsid w:val="0065345C"/>
    <w:rsid w:val="00654635"/>
    <w:rsid w:val="006549AB"/>
    <w:rsid w:val="00654C8B"/>
    <w:rsid w:val="00654CA1"/>
    <w:rsid w:val="00655550"/>
    <w:rsid w:val="00655868"/>
    <w:rsid w:val="00656707"/>
    <w:rsid w:val="00656A42"/>
    <w:rsid w:val="00656F2E"/>
    <w:rsid w:val="00657167"/>
    <w:rsid w:val="006600BB"/>
    <w:rsid w:val="00660799"/>
    <w:rsid w:val="006608F1"/>
    <w:rsid w:val="006621A7"/>
    <w:rsid w:val="00662FC4"/>
    <w:rsid w:val="00663606"/>
    <w:rsid w:val="00663A3B"/>
    <w:rsid w:val="00665D61"/>
    <w:rsid w:val="0066606F"/>
    <w:rsid w:val="006665C7"/>
    <w:rsid w:val="00666CB1"/>
    <w:rsid w:val="00666CCA"/>
    <w:rsid w:val="00666E71"/>
    <w:rsid w:val="00667D57"/>
    <w:rsid w:val="00670148"/>
    <w:rsid w:val="00670437"/>
    <w:rsid w:val="00671127"/>
    <w:rsid w:val="00671F7B"/>
    <w:rsid w:val="00672120"/>
    <w:rsid w:val="006721DE"/>
    <w:rsid w:val="006731AA"/>
    <w:rsid w:val="0067356F"/>
    <w:rsid w:val="00674231"/>
    <w:rsid w:val="006743F7"/>
    <w:rsid w:val="006746DD"/>
    <w:rsid w:val="00674B0B"/>
    <w:rsid w:val="00674C99"/>
    <w:rsid w:val="00675176"/>
    <w:rsid w:val="00676095"/>
    <w:rsid w:val="00676686"/>
    <w:rsid w:val="00677044"/>
    <w:rsid w:val="00677672"/>
    <w:rsid w:val="00677C15"/>
    <w:rsid w:val="00677C7F"/>
    <w:rsid w:val="00680181"/>
    <w:rsid w:val="006809DD"/>
    <w:rsid w:val="0068241A"/>
    <w:rsid w:val="006824A9"/>
    <w:rsid w:val="00682B1B"/>
    <w:rsid w:val="00683659"/>
    <w:rsid w:val="00683DD7"/>
    <w:rsid w:val="00684311"/>
    <w:rsid w:val="0068444F"/>
    <w:rsid w:val="0068516D"/>
    <w:rsid w:val="006851C4"/>
    <w:rsid w:val="0068551D"/>
    <w:rsid w:val="00685975"/>
    <w:rsid w:val="00687105"/>
    <w:rsid w:val="0069083E"/>
    <w:rsid w:val="00691CBF"/>
    <w:rsid w:val="00691CED"/>
    <w:rsid w:val="00692AB2"/>
    <w:rsid w:val="00692BA0"/>
    <w:rsid w:val="00692BFB"/>
    <w:rsid w:val="006933D9"/>
    <w:rsid w:val="00693EBE"/>
    <w:rsid w:val="00694CC9"/>
    <w:rsid w:val="00694F33"/>
    <w:rsid w:val="00696094"/>
    <w:rsid w:val="00696517"/>
    <w:rsid w:val="00697C2F"/>
    <w:rsid w:val="006A03F5"/>
    <w:rsid w:val="006A192D"/>
    <w:rsid w:val="006A22C1"/>
    <w:rsid w:val="006A24AC"/>
    <w:rsid w:val="006A2DDC"/>
    <w:rsid w:val="006A3045"/>
    <w:rsid w:val="006A32B5"/>
    <w:rsid w:val="006A3FB5"/>
    <w:rsid w:val="006A4477"/>
    <w:rsid w:val="006A44F2"/>
    <w:rsid w:val="006A4FAF"/>
    <w:rsid w:val="006A5196"/>
    <w:rsid w:val="006A5757"/>
    <w:rsid w:val="006A6164"/>
    <w:rsid w:val="006A63FB"/>
    <w:rsid w:val="006A66BD"/>
    <w:rsid w:val="006A6995"/>
    <w:rsid w:val="006A6F7A"/>
    <w:rsid w:val="006A7B38"/>
    <w:rsid w:val="006B00B2"/>
    <w:rsid w:val="006B0918"/>
    <w:rsid w:val="006B0F81"/>
    <w:rsid w:val="006B119D"/>
    <w:rsid w:val="006B170B"/>
    <w:rsid w:val="006B17CF"/>
    <w:rsid w:val="006B33FA"/>
    <w:rsid w:val="006B3B19"/>
    <w:rsid w:val="006B3C05"/>
    <w:rsid w:val="006B3E7B"/>
    <w:rsid w:val="006B429E"/>
    <w:rsid w:val="006B4AD5"/>
    <w:rsid w:val="006B4CBE"/>
    <w:rsid w:val="006B5A11"/>
    <w:rsid w:val="006B5A73"/>
    <w:rsid w:val="006B5B9B"/>
    <w:rsid w:val="006B5BC7"/>
    <w:rsid w:val="006B6A17"/>
    <w:rsid w:val="006B7BFE"/>
    <w:rsid w:val="006C0419"/>
    <w:rsid w:val="006C066C"/>
    <w:rsid w:val="006C07A1"/>
    <w:rsid w:val="006C0F7B"/>
    <w:rsid w:val="006C0FEA"/>
    <w:rsid w:val="006C1B1A"/>
    <w:rsid w:val="006C1D47"/>
    <w:rsid w:val="006C2618"/>
    <w:rsid w:val="006C2C8A"/>
    <w:rsid w:val="006C3085"/>
    <w:rsid w:val="006C3172"/>
    <w:rsid w:val="006C3459"/>
    <w:rsid w:val="006C3497"/>
    <w:rsid w:val="006C3AB3"/>
    <w:rsid w:val="006C4843"/>
    <w:rsid w:val="006C4E01"/>
    <w:rsid w:val="006C534A"/>
    <w:rsid w:val="006C5D91"/>
    <w:rsid w:val="006C5EFB"/>
    <w:rsid w:val="006C619E"/>
    <w:rsid w:val="006C72B5"/>
    <w:rsid w:val="006D0439"/>
    <w:rsid w:val="006D0DC8"/>
    <w:rsid w:val="006D1185"/>
    <w:rsid w:val="006D2182"/>
    <w:rsid w:val="006D27DF"/>
    <w:rsid w:val="006D2A72"/>
    <w:rsid w:val="006D32EF"/>
    <w:rsid w:val="006D3DAA"/>
    <w:rsid w:val="006D4690"/>
    <w:rsid w:val="006D4CC7"/>
    <w:rsid w:val="006D510F"/>
    <w:rsid w:val="006D5823"/>
    <w:rsid w:val="006D60B5"/>
    <w:rsid w:val="006D6566"/>
    <w:rsid w:val="006D6863"/>
    <w:rsid w:val="006D6F32"/>
    <w:rsid w:val="006D6F85"/>
    <w:rsid w:val="006D7E8E"/>
    <w:rsid w:val="006E0022"/>
    <w:rsid w:val="006E0275"/>
    <w:rsid w:val="006E04BA"/>
    <w:rsid w:val="006E18D9"/>
    <w:rsid w:val="006E34BC"/>
    <w:rsid w:val="006E38B4"/>
    <w:rsid w:val="006E3DCF"/>
    <w:rsid w:val="006E4825"/>
    <w:rsid w:val="006E4B07"/>
    <w:rsid w:val="006E4D62"/>
    <w:rsid w:val="006E4DED"/>
    <w:rsid w:val="006E5280"/>
    <w:rsid w:val="006E5B67"/>
    <w:rsid w:val="006E606C"/>
    <w:rsid w:val="006E64E6"/>
    <w:rsid w:val="006E6605"/>
    <w:rsid w:val="006E6710"/>
    <w:rsid w:val="006E7A94"/>
    <w:rsid w:val="006F0040"/>
    <w:rsid w:val="006F1313"/>
    <w:rsid w:val="006F1ADE"/>
    <w:rsid w:val="006F2E39"/>
    <w:rsid w:val="006F3302"/>
    <w:rsid w:val="006F3F0F"/>
    <w:rsid w:val="006F4FC6"/>
    <w:rsid w:val="006F54C6"/>
    <w:rsid w:val="006F5C6E"/>
    <w:rsid w:val="006F62B1"/>
    <w:rsid w:val="006F6A14"/>
    <w:rsid w:val="006F7E4C"/>
    <w:rsid w:val="00701764"/>
    <w:rsid w:val="007028BE"/>
    <w:rsid w:val="00702F14"/>
    <w:rsid w:val="00702FD5"/>
    <w:rsid w:val="007032A4"/>
    <w:rsid w:val="007039B6"/>
    <w:rsid w:val="00704398"/>
    <w:rsid w:val="007044FC"/>
    <w:rsid w:val="00705066"/>
    <w:rsid w:val="00705B94"/>
    <w:rsid w:val="00705BB2"/>
    <w:rsid w:val="00705F57"/>
    <w:rsid w:val="00706449"/>
    <w:rsid w:val="0070683A"/>
    <w:rsid w:val="00706C42"/>
    <w:rsid w:val="00706EC6"/>
    <w:rsid w:val="00707F2F"/>
    <w:rsid w:val="0071020F"/>
    <w:rsid w:val="0071126D"/>
    <w:rsid w:val="00711302"/>
    <w:rsid w:val="00711890"/>
    <w:rsid w:val="007120FA"/>
    <w:rsid w:val="007121D4"/>
    <w:rsid w:val="00712400"/>
    <w:rsid w:val="007129E2"/>
    <w:rsid w:val="007131EC"/>
    <w:rsid w:val="00713A20"/>
    <w:rsid w:val="00714602"/>
    <w:rsid w:val="0071571B"/>
    <w:rsid w:val="007159B4"/>
    <w:rsid w:val="00715D7D"/>
    <w:rsid w:val="00715F12"/>
    <w:rsid w:val="00716940"/>
    <w:rsid w:val="00716FA6"/>
    <w:rsid w:val="0071702C"/>
    <w:rsid w:val="0071772B"/>
    <w:rsid w:val="007177BD"/>
    <w:rsid w:val="00717D36"/>
    <w:rsid w:val="00720E5D"/>
    <w:rsid w:val="00722FD7"/>
    <w:rsid w:val="007248F0"/>
    <w:rsid w:val="007255BB"/>
    <w:rsid w:val="007259CD"/>
    <w:rsid w:val="00725E7B"/>
    <w:rsid w:val="00727D94"/>
    <w:rsid w:val="00727E11"/>
    <w:rsid w:val="007305EA"/>
    <w:rsid w:val="00730B9D"/>
    <w:rsid w:val="00730C92"/>
    <w:rsid w:val="00732675"/>
    <w:rsid w:val="00732F87"/>
    <w:rsid w:val="00733AAE"/>
    <w:rsid w:val="00733C51"/>
    <w:rsid w:val="00733E85"/>
    <w:rsid w:val="00734C6C"/>
    <w:rsid w:val="00734D1A"/>
    <w:rsid w:val="00734F52"/>
    <w:rsid w:val="00736430"/>
    <w:rsid w:val="00736A63"/>
    <w:rsid w:val="00737117"/>
    <w:rsid w:val="00737870"/>
    <w:rsid w:val="00737AF7"/>
    <w:rsid w:val="00737E08"/>
    <w:rsid w:val="007409CB"/>
    <w:rsid w:val="00740AF4"/>
    <w:rsid w:val="00741375"/>
    <w:rsid w:val="0074139A"/>
    <w:rsid w:val="00741789"/>
    <w:rsid w:val="00741D21"/>
    <w:rsid w:val="00742797"/>
    <w:rsid w:val="007429C0"/>
    <w:rsid w:val="00743250"/>
    <w:rsid w:val="007438CE"/>
    <w:rsid w:val="00744803"/>
    <w:rsid w:val="0074492C"/>
    <w:rsid w:val="007455F1"/>
    <w:rsid w:val="0074593F"/>
    <w:rsid w:val="00745BA5"/>
    <w:rsid w:val="00745BB2"/>
    <w:rsid w:val="007462C3"/>
    <w:rsid w:val="00746979"/>
    <w:rsid w:val="0074759F"/>
    <w:rsid w:val="007478BE"/>
    <w:rsid w:val="00750F20"/>
    <w:rsid w:val="007518C3"/>
    <w:rsid w:val="007522EC"/>
    <w:rsid w:val="007535E5"/>
    <w:rsid w:val="007539EE"/>
    <w:rsid w:val="00754706"/>
    <w:rsid w:val="00754AD9"/>
    <w:rsid w:val="00754EF5"/>
    <w:rsid w:val="0075596A"/>
    <w:rsid w:val="00756286"/>
    <w:rsid w:val="00756968"/>
    <w:rsid w:val="00757265"/>
    <w:rsid w:val="00757A8B"/>
    <w:rsid w:val="00757EB8"/>
    <w:rsid w:val="00760021"/>
    <w:rsid w:val="00761370"/>
    <w:rsid w:val="00761BB8"/>
    <w:rsid w:val="00761E72"/>
    <w:rsid w:val="0076238D"/>
    <w:rsid w:val="00762396"/>
    <w:rsid w:val="0076250D"/>
    <w:rsid w:val="00762C17"/>
    <w:rsid w:val="00763E81"/>
    <w:rsid w:val="00764731"/>
    <w:rsid w:val="00765B8C"/>
    <w:rsid w:val="00765E9B"/>
    <w:rsid w:val="007668C9"/>
    <w:rsid w:val="00767FAA"/>
    <w:rsid w:val="0077010F"/>
    <w:rsid w:val="007706D7"/>
    <w:rsid w:val="007712AD"/>
    <w:rsid w:val="00771854"/>
    <w:rsid w:val="00772D6B"/>
    <w:rsid w:val="00773170"/>
    <w:rsid w:val="0077489C"/>
    <w:rsid w:val="007755F4"/>
    <w:rsid w:val="00775D0C"/>
    <w:rsid w:val="00775E58"/>
    <w:rsid w:val="007760DF"/>
    <w:rsid w:val="00776E4D"/>
    <w:rsid w:val="007773F6"/>
    <w:rsid w:val="00777F8D"/>
    <w:rsid w:val="007803F1"/>
    <w:rsid w:val="007819BA"/>
    <w:rsid w:val="007827C5"/>
    <w:rsid w:val="00782869"/>
    <w:rsid w:val="00782990"/>
    <w:rsid w:val="0078348C"/>
    <w:rsid w:val="00783973"/>
    <w:rsid w:val="0078542D"/>
    <w:rsid w:val="00785965"/>
    <w:rsid w:val="0078688D"/>
    <w:rsid w:val="00786D52"/>
    <w:rsid w:val="00786DCB"/>
    <w:rsid w:val="00787943"/>
    <w:rsid w:val="00790269"/>
    <w:rsid w:val="0079055F"/>
    <w:rsid w:val="007911F2"/>
    <w:rsid w:val="007918E0"/>
    <w:rsid w:val="00792FEF"/>
    <w:rsid w:val="00793EB6"/>
    <w:rsid w:val="00794C3B"/>
    <w:rsid w:val="007955D3"/>
    <w:rsid w:val="007957CD"/>
    <w:rsid w:val="00796328"/>
    <w:rsid w:val="0079680F"/>
    <w:rsid w:val="007968FE"/>
    <w:rsid w:val="00796E6A"/>
    <w:rsid w:val="00797087"/>
    <w:rsid w:val="00797121"/>
    <w:rsid w:val="007A057B"/>
    <w:rsid w:val="007A0C51"/>
    <w:rsid w:val="007A10AC"/>
    <w:rsid w:val="007A14AC"/>
    <w:rsid w:val="007A20E4"/>
    <w:rsid w:val="007A2965"/>
    <w:rsid w:val="007A2A0D"/>
    <w:rsid w:val="007A3030"/>
    <w:rsid w:val="007A3577"/>
    <w:rsid w:val="007A3787"/>
    <w:rsid w:val="007A38DE"/>
    <w:rsid w:val="007A3C36"/>
    <w:rsid w:val="007A4400"/>
    <w:rsid w:val="007A44AB"/>
    <w:rsid w:val="007A4E95"/>
    <w:rsid w:val="007A5374"/>
    <w:rsid w:val="007A578F"/>
    <w:rsid w:val="007A5F85"/>
    <w:rsid w:val="007A680D"/>
    <w:rsid w:val="007A74B2"/>
    <w:rsid w:val="007A76B4"/>
    <w:rsid w:val="007B07E4"/>
    <w:rsid w:val="007B11DD"/>
    <w:rsid w:val="007B2AE9"/>
    <w:rsid w:val="007B309B"/>
    <w:rsid w:val="007B36A6"/>
    <w:rsid w:val="007B467E"/>
    <w:rsid w:val="007B469E"/>
    <w:rsid w:val="007B5F47"/>
    <w:rsid w:val="007B750A"/>
    <w:rsid w:val="007B7C24"/>
    <w:rsid w:val="007C096D"/>
    <w:rsid w:val="007C1A0D"/>
    <w:rsid w:val="007C1AD8"/>
    <w:rsid w:val="007C1B27"/>
    <w:rsid w:val="007C1CBC"/>
    <w:rsid w:val="007C21BF"/>
    <w:rsid w:val="007C273F"/>
    <w:rsid w:val="007C383E"/>
    <w:rsid w:val="007C3C4C"/>
    <w:rsid w:val="007C438F"/>
    <w:rsid w:val="007C4803"/>
    <w:rsid w:val="007C4E5A"/>
    <w:rsid w:val="007C5644"/>
    <w:rsid w:val="007C56A6"/>
    <w:rsid w:val="007C5B95"/>
    <w:rsid w:val="007C5E3F"/>
    <w:rsid w:val="007C6C41"/>
    <w:rsid w:val="007C702C"/>
    <w:rsid w:val="007C7077"/>
    <w:rsid w:val="007D0089"/>
    <w:rsid w:val="007D050E"/>
    <w:rsid w:val="007D055C"/>
    <w:rsid w:val="007D1C9A"/>
    <w:rsid w:val="007D2707"/>
    <w:rsid w:val="007D282C"/>
    <w:rsid w:val="007D2910"/>
    <w:rsid w:val="007D2ABE"/>
    <w:rsid w:val="007D3969"/>
    <w:rsid w:val="007D3BF0"/>
    <w:rsid w:val="007D3F50"/>
    <w:rsid w:val="007D40BE"/>
    <w:rsid w:val="007D53DB"/>
    <w:rsid w:val="007D59E1"/>
    <w:rsid w:val="007D6052"/>
    <w:rsid w:val="007D61DF"/>
    <w:rsid w:val="007D767D"/>
    <w:rsid w:val="007D78B2"/>
    <w:rsid w:val="007D7A62"/>
    <w:rsid w:val="007E0487"/>
    <w:rsid w:val="007E0A82"/>
    <w:rsid w:val="007E123A"/>
    <w:rsid w:val="007E15FD"/>
    <w:rsid w:val="007E28A3"/>
    <w:rsid w:val="007E4582"/>
    <w:rsid w:val="007E45C2"/>
    <w:rsid w:val="007E4B4C"/>
    <w:rsid w:val="007E4F7B"/>
    <w:rsid w:val="007E5320"/>
    <w:rsid w:val="007E6F86"/>
    <w:rsid w:val="007E7656"/>
    <w:rsid w:val="007E765A"/>
    <w:rsid w:val="007E7CA8"/>
    <w:rsid w:val="007F0876"/>
    <w:rsid w:val="007F0C5C"/>
    <w:rsid w:val="007F0FB2"/>
    <w:rsid w:val="007F1E8D"/>
    <w:rsid w:val="007F236E"/>
    <w:rsid w:val="007F28FF"/>
    <w:rsid w:val="007F3825"/>
    <w:rsid w:val="007F38F3"/>
    <w:rsid w:val="007F3DDC"/>
    <w:rsid w:val="007F48CC"/>
    <w:rsid w:val="007F4A12"/>
    <w:rsid w:val="007F4C0C"/>
    <w:rsid w:val="007F4DDC"/>
    <w:rsid w:val="007F4E48"/>
    <w:rsid w:val="007F5302"/>
    <w:rsid w:val="007F6546"/>
    <w:rsid w:val="007F6807"/>
    <w:rsid w:val="007F6E91"/>
    <w:rsid w:val="007F727B"/>
    <w:rsid w:val="007F7492"/>
    <w:rsid w:val="007F7B74"/>
    <w:rsid w:val="00800FE4"/>
    <w:rsid w:val="008014ED"/>
    <w:rsid w:val="0080191D"/>
    <w:rsid w:val="00801B61"/>
    <w:rsid w:val="008024FC"/>
    <w:rsid w:val="00802F7F"/>
    <w:rsid w:val="00803C89"/>
    <w:rsid w:val="00803E55"/>
    <w:rsid w:val="00805E75"/>
    <w:rsid w:val="00805EBB"/>
    <w:rsid w:val="0080676A"/>
    <w:rsid w:val="00806957"/>
    <w:rsid w:val="008069C4"/>
    <w:rsid w:val="00806A87"/>
    <w:rsid w:val="00806DB4"/>
    <w:rsid w:val="00807232"/>
    <w:rsid w:val="0080729D"/>
    <w:rsid w:val="00807446"/>
    <w:rsid w:val="00807C10"/>
    <w:rsid w:val="00810079"/>
    <w:rsid w:val="008113F1"/>
    <w:rsid w:val="00811801"/>
    <w:rsid w:val="00811AE6"/>
    <w:rsid w:val="008130C0"/>
    <w:rsid w:val="00813267"/>
    <w:rsid w:val="008141FB"/>
    <w:rsid w:val="0081459D"/>
    <w:rsid w:val="008145DE"/>
    <w:rsid w:val="008153D8"/>
    <w:rsid w:val="00815CDC"/>
    <w:rsid w:val="0081772D"/>
    <w:rsid w:val="00817946"/>
    <w:rsid w:val="00820A84"/>
    <w:rsid w:val="00821891"/>
    <w:rsid w:val="00821CED"/>
    <w:rsid w:val="00822870"/>
    <w:rsid w:val="008241DA"/>
    <w:rsid w:val="0082525E"/>
    <w:rsid w:val="00825937"/>
    <w:rsid w:val="00826998"/>
    <w:rsid w:val="00826DB2"/>
    <w:rsid w:val="00827B51"/>
    <w:rsid w:val="008302EB"/>
    <w:rsid w:val="008309DA"/>
    <w:rsid w:val="00830E25"/>
    <w:rsid w:val="0083128C"/>
    <w:rsid w:val="00831323"/>
    <w:rsid w:val="00831410"/>
    <w:rsid w:val="008315B3"/>
    <w:rsid w:val="008319E4"/>
    <w:rsid w:val="00833222"/>
    <w:rsid w:val="00833610"/>
    <w:rsid w:val="00833CB0"/>
    <w:rsid w:val="008344CB"/>
    <w:rsid w:val="008346B0"/>
    <w:rsid w:val="00834910"/>
    <w:rsid w:val="008353E1"/>
    <w:rsid w:val="008356FB"/>
    <w:rsid w:val="00835D43"/>
    <w:rsid w:val="008361AE"/>
    <w:rsid w:val="008367CF"/>
    <w:rsid w:val="00836C3D"/>
    <w:rsid w:val="0083711B"/>
    <w:rsid w:val="00837D50"/>
    <w:rsid w:val="0084036B"/>
    <w:rsid w:val="00840F77"/>
    <w:rsid w:val="00841B1F"/>
    <w:rsid w:val="00841D3F"/>
    <w:rsid w:val="00842159"/>
    <w:rsid w:val="00842C36"/>
    <w:rsid w:val="00842F88"/>
    <w:rsid w:val="00843AAA"/>
    <w:rsid w:val="00843B4E"/>
    <w:rsid w:val="00843BBC"/>
    <w:rsid w:val="00844A78"/>
    <w:rsid w:val="008462F8"/>
    <w:rsid w:val="00846896"/>
    <w:rsid w:val="00847919"/>
    <w:rsid w:val="008505E2"/>
    <w:rsid w:val="00850B3B"/>
    <w:rsid w:val="0085169E"/>
    <w:rsid w:val="00851E7C"/>
    <w:rsid w:val="00852831"/>
    <w:rsid w:val="00852836"/>
    <w:rsid w:val="00853079"/>
    <w:rsid w:val="00853ACF"/>
    <w:rsid w:val="00854595"/>
    <w:rsid w:val="00854B51"/>
    <w:rsid w:val="0085594B"/>
    <w:rsid w:val="008561DA"/>
    <w:rsid w:val="00856B30"/>
    <w:rsid w:val="00857325"/>
    <w:rsid w:val="0085766C"/>
    <w:rsid w:val="00857E21"/>
    <w:rsid w:val="008600A8"/>
    <w:rsid w:val="00860817"/>
    <w:rsid w:val="00860983"/>
    <w:rsid w:val="00861799"/>
    <w:rsid w:val="00862DD6"/>
    <w:rsid w:val="00863BFF"/>
    <w:rsid w:val="008659B8"/>
    <w:rsid w:val="00865BA6"/>
    <w:rsid w:val="00866BB3"/>
    <w:rsid w:val="008702AA"/>
    <w:rsid w:val="00870E5E"/>
    <w:rsid w:val="00873468"/>
    <w:rsid w:val="00873647"/>
    <w:rsid w:val="00873D59"/>
    <w:rsid w:val="00874798"/>
    <w:rsid w:val="008755DB"/>
    <w:rsid w:val="00875AFA"/>
    <w:rsid w:val="00875CAC"/>
    <w:rsid w:val="00876B4F"/>
    <w:rsid w:val="00877738"/>
    <w:rsid w:val="00880417"/>
    <w:rsid w:val="00880486"/>
    <w:rsid w:val="00880E28"/>
    <w:rsid w:val="00882154"/>
    <w:rsid w:val="008826A5"/>
    <w:rsid w:val="00883B07"/>
    <w:rsid w:val="008841F2"/>
    <w:rsid w:val="0088493C"/>
    <w:rsid w:val="00886D39"/>
    <w:rsid w:val="008910FC"/>
    <w:rsid w:val="00891591"/>
    <w:rsid w:val="00892065"/>
    <w:rsid w:val="0089406F"/>
    <w:rsid w:val="0089497B"/>
    <w:rsid w:val="008954A9"/>
    <w:rsid w:val="00895E32"/>
    <w:rsid w:val="00895F0E"/>
    <w:rsid w:val="0089692F"/>
    <w:rsid w:val="00896E56"/>
    <w:rsid w:val="008974C4"/>
    <w:rsid w:val="00897CBC"/>
    <w:rsid w:val="008A015E"/>
    <w:rsid w:val="008A03BA"/>
    <w:rsid w:val="008A08AD"/>
    <w:rsid w:val="008A125F"/>
    <w:rsid w:val="008A1A3F"/>
    <w:rsid w:val="008A4172"/>
    <w:rsid w:val="008A43A2"/>
    <w:rsid w:val="008A4918"/>
    <w:rsid w:val="008A4E69"/>
    <w:rsid w:val="008A5801"/>
    <w:rsid w:val="008A5A72"/>
    <w:rsid w:val="008B128F"/>
    <w:rsid w:val="008B222C"/>
    <w:rsid w:val="008B2EF3"/>
    <w:rsid w:val="008B326C"/>
    <w:rsid w:val="008B3706"/>
    <w:rsid w:val="008B4D1F"/>
    <w:rsid w:val="008B5470"/>
    <w:rsid w:val="008B58BB"/>
    <w:rsid w:val="008B590E"/>
    <w:rsid w:val="008B6171"/>
    <w:rsid w:val="008B66F8"/>
    <w:rsid w:val="008B6B1A"/>
    <w:rsid w:val="008B72CC"/>
    <w:rsid w:val="008B7391"/>
    <w:rsid w:val="008B76FA"/>
    <w:rsid w:val="008C070B"/>
    <w:rsid w:val="008C0883"/>
    <w:rsid w:val="008C113E"/>
    <w:rsid w:val="008C1322"/>
    <w:rsid w:val="008C233D"/>
    <w:rsid w:val="008C23DA"/>
    <w:rsid w:val="008C2D13"/>
    <w:rsid w:val="008C2E4C"/>
    <w:rsid w:val="008C339C"/>
    <w:rsid w:val="008C3964"/>
    <w:rsid w:val="008C45AC"/>
    <w:rsid w:val="008C515F"/>
    <w:rsid w:val="008C6019"/>
    <w:rsid w:val="008C6986"/>
    <w:rsid w:val="008C6EF0"/>
    <w:rsid w:val="008C7DB9"/>
    <w:rsid w:val="008D0BB4"/>
    <w:rsid w:val="008D0D66"/>
    <w:rsid w:val="008D11FE"/>
    <w:rsid w:val="008D13AC"/>
    <w:rsid w:val="008D17D1"/>
    <w:rsid w:val="008D1912"/>
    <w:rsid w:val="008D24B3"/>
    <w:rsid w:val="008D2C15"/>
    <w:rsid w:val="008D2F14"/>
    <w:rsid w:val="008D31C4"/>
    <w:rsid w:val="008D35ED"/>
    <w:rsid w:val="008D46EC"/>
    <w:rsid w:val="008D4D28"/>
    <w:rsid w:val="008D4F99"/>
    <w:rsid w:val="008D6790"/>
    <w:rsid w:val="008D68A2"/>
    <w:rsid w:val="008D7046"/>
    <w:rsid w:val="008D78B0"/>
    <w:rsid w:val="008D7EFB"/>
    <w:rsid w:val="008E01EB"/>
    <w:rsid w:val="008E077D"/>
    <w:rsid w:val="008E07E9"/>
    <w:rsid w:val="008E0B35"/>
    <w:rsid w:val="008E0EA1"/>
    <w:rsid w:val="008E1693"/>
    <w:rsid w:val="008E1E8B"/>
    <w:rsid w:val="008E28BD"/>
    <w:rsid w:val="008E2D25"/>
    <w:rsid w:val="008E2F4A"/>
    <w:rsid w:val="008E4AF7"/>
    <w:rsid w:val="008E5352"/>
    <w:rsid w:val="008E58BB"/>
    <w:rsid w:val="008E5A9E"/>
    <w:rsid w:val="008E5B77"/>
    <w:rsid w:val="008E5B92"/>
    <w:rsid w:val="008E608A"/>
    <w:rsid w:val="008E63F3"/>
    <w:rsid w:val="008E65AA"/>
    <w:rsid w:val="008E65CF"/>
    <w:rsid w:val="008E75F9"/>
    <w:rsid w:val="008E7F7D"/>
    <w:rsid w:val="008E7FF5"/>
    <w:rsid w:val="008F0241"/>
    <w:rsid w:val="008F02A6"/>
    <w:rsid w:val="008F0643"/>
    <w:rsid w:val="008F0DCA"/>
    <w:rsid w:val="008F0F35"/>
    <w:rsid w:val="008F16C9"/>
    <w:rsid w:val="008F1886"/>
    <w:rsid w:val="008F3CEA"/>
    <w:rsid w:val="008F4070"/>
    <w:rsid w:val="008F42B7"/>
    <w:rsid w:val="008F44A2"/>
    <w:rsid w:val="008F609D"/>
    <w:rsid w:val="008F6C9D"/>
    <w:rsid w:val="008F7569"/>
    <w:rsid w:val="008F7780"/>
    <w:rsid w:val="008F7DAF"/>
    <w:rsid w:val="008F7F71"/>
    <w:rsid w:val="00900D7A"/>
    <w:rsid w:val="00901975"/>
    <w:rsid w:val="00901C10"/>
    <w:rsid w:val="009026D2"/>
    <w:rsid w:val="009030FC"/>
    <w:rsid w:val="00903177"/>
    <w:rsid w:val="00903571"/>
    <w:rsid w:val="009038D6"/>
    <w:rsid w:val="009039A1"/>
    <w:rsid w:val="009039F6"/>
    <w:rsid w:val="00903D65"/>
    <w:rsid w:val="00903DBE"/>
    <w:rsid w:val="00904007"/>
    <w:rsid w:val="0090421C"/>
    <w:rsid w:val="009048CD"/>
    <w:rsid w:val="00904DF8"/>
    <w:rsid w:val="009053F5"/>
    <w:rsid w:val="00905A20"/>
    <w:rsid w:val="00906957"/>
    <w:rsid w:val="00907A0F"/>
    <w:rsid w:val="00907B6E"/>
    <w:rsid w:val="00907DF1"/>
    <w:rsid w:val="0091068F"/>
    <w:rsid w:val="0091166E"/>
    <w:rsid w:val="009117CD"/>
    <w:rsid w:val="0091272D"/>
    <w:rsid w:val="00912D4A"/>
    <w:rsid w:val="00912D9A"/>
    <w:rsid w:val="00913228"/>
    <w:rsid w:val="00913E61"/>
    <w:rsid w:val="00913F50"/>
    <w:rsid w:val="00914AAC"/>
    <w:rsid w:val="00916026"/>
    <w:rsid w:val="0091747A"/>
    <w:rsid w:val="009179AE"/>
    <w:rsid w:val="00917BC1"/>
    <w:rsid w:val="00917D0E"/>
    <w:rsid w:val="00917D15"/>
    <w:rsid w:val="009205ED"/>
    <w:rsid w:val="0092133B"/>
    <w:rsid w:val="009214C7"/>
    <w:rsid w:val="00921CE9"/>
    <w:rsid w:val="009235CD"/>
    <w:rsid w:val="00923C34"/>
    <w:rsid w:val="00924096"/>
    <w:rsid w:val="00925683"/>
    <w:rsid w:val="009273DA"/>
    <w:rsid w:val="0092748A"/>
    <w:rsid w:val="00927DDA"/>
    <w:rsid w:val="009301DA"/>
    <w:rsid w:val="00930401"/>
    <w:rsid w:val="00931144"/>
    <w:rsid w:val="009315F7"/>
    <w:rsid w:val="009344AC"/>
    <w:rsid w:val="0093519C"/>
    <w:rsid w:val="009357CD"/>
    <w:rsid w:val="00936397"/>
    <w:rsid w:val="0093738F"/>
    <w:rsid w:val="00937CCC"/>
    <w:rsid w:val="00940747"/>
    <w:rsid w:val="00940765"/>
    <w:rsid w:val="009413F4"/>
    <w:rsid w:val="00941868"/>
    <w:rsid w:val="009419FB"/>
    <w:rsid w:val="00941A87"/>
    <w:rsid w:val="009421B2"/>
    <w:rsid w:val="00942E82"/>
    <w:rsid w:val="00944297"/>
    <w:rsid w:val="00944323"/>
    <w:rsid w:val="00944CD3"/>
    <w:rsid w:val="00945BFC"/>
    <w:rsid w:val="00945D25"/>
    <w:rsid w:val="00946D23"/>
    <w:rsid w:val="00952E69"/>
    <w:rsid w:val="00954434"/>
    <w:rsid w:val="0095486D"/>
    <w:rsid w:val="009553CD"/>
    <w:rsid w:val="00956507"/>
    <w:rsid w:val="00957F51"/>
    <w:rsid w:val="00960016"/>
    <w:rsid w:val="0096084F"/>
    <w:rsid w:val="009608E9"/>
    <w:rsid w:val="00960A8B"/>
    <w:rsid w:val="00960FA8"/>
    <w:rsid w:val="009618AC"/>
    <w:rsid w:val="00962C92"/>
    <w:rsid w:val="00962CB9"/>
    <w:rsid w:val="00962CD5"/>
    <w:rsid w:val="00963183"/>
    <w:rsid w:val="00963513"/>
    <w:rsid w:val="00964006"/>
    <w:rsid w:val="009645AC"/>
    <w:rsid w:val="00964B73"/>
    <w:rsid w:val="0096513F"/>
    <w:rsid w:val="00965278"/>
    <w:rsid w:val="00965767"/>
    <w:rsid w:val="00965F01"/>
    <w:rsid w:val="00966B48"/>
    <w:rsid w:val="00966E76"/>
    <w:rsid w:val="009672EB"/>
    <w:rsid w:val="00967CB2"/>
    <w:rsid w:val="00970591"/>
    <w:rsid w:val="00970659"/>
    <w:rsid w:val="009709BC"/>
    <w:rsid w:val="00971A41"/>
    <w:rsid w:val="00972173"/>
    <w:rsid w:val="009722E5"/>
    <w:rsid w:val="009723F4"/>
    <w:rsid w:val="009724A2"/>
    <w:rsid w:val="00972CD8"/>
    <w:rsid w:val="00972FEB"/>
    <w:rsid w:val="00973DCB"/>
    <w:rsid w:val="00973F50"/>
    <w:rsid w:val="009749DF"/>
    <w:rsid w:val="00974E34"/>
    <w:rsid w:val="009751C7"/>
    <w:rsid w:val="00975D0B"/>
    <w:rsid w:val="00976D62"/>
    <w:rsid w:val="009773F4"/>
    <w:rsid w:val="009803F2"/>
    <w:rsid w:val="009804A7"/>
    <w:rsid w:val="009804C5"/>
    <w:rsid w:val="00980B78"/>
    <w:rsid w:val="00981796"/>
    <w:rsid w:val="00983971"/>
    <w:rsid w:val="00983975"/>
    <w:rsid w:val="00983D64"/>
    <w:rsid w:val="0098421B"/>
    <w:rsid w:val="00984A64"/>
    <w:rsid w:val="00984D55"/>
    <w:rsid w:val="00985298"/>
    <w:rsid w:val="00986030"/>
    <w:rsid w:val="0098642B"/>
    <w:rsid w:val="009869AC"/>
    <w:rsid w:val="00987953"/>
    <w:rsid w:val="00987CAB"/>
    <w:rsid w:val="00987D86"/>
    <w:rsid w:val="00987E9A"/>
    <w:rsid w:val="009901BC"/>
    <w:rsid w:val="009909D4"/>
    <w:rsid w:val="00990B60"/>
    <w:rsid w:val="00990D04"/>
    <w:rsid w:val="009910A8"/>
    <w:rsid w:val="00992F24"/>
    <w:rsid w:val="00994140"/>
    <w:rsid w:val="009944A6"/>
    <w:rsid w:val="00995D80"/>
    <w:rsid w:val="00995FDD"/>
    <w:rsid w:val="00996FD9"/>
    <w:rsid w:val="00997959"/>
    <w:rsid w:val="009A0C03"/>
    <w:rsid w:val="009A1AED"/>
    <w:rsid w:val="009A1FBE"/>
    <w:rsid w:val="009A2AE5"/>
    <w:rsid w:val="009A329B"/>
    <w:rsid w:val="009A3914"/>
    <w:rsid w:val="009A3B7C"/>
    <w:rsid w:val="009A3BC2"/>
    <w:rsid w:val="009A426D"/>
    <w:rsid w:val="009A4E93"/>
    <w:rsid w:val="009A5BFF"/>
    <w:rsid w:val="009A624C"/>
    <w:rsid w:val="009A6444"/>
    <w:rsid w:val="009A73E5"/>
    <w:rsid w:val="009B06ED"/>
    <w:rsid w:val="009B09F5"/>
    <w:rsid w:val="009B0B62"/>
    <w:rsid w:val="009B1107"/>
    <w:rsid w:val="009B19C3"/>
    <w:rsid w:val="009B24C9"/>
    <w:rsid w:val="009B2ED1"/>
    <w:rsid w:val="009B3D4F"/>
    <w:rsid w:val="009B45ED"/>
    <w:rsid w:val="009B4F0A"/>
    <w:rsid w:val="009B52A1"/>
    <w:rsid w:val="009B5C9B"/>
    <w:rsid w:val="009B5FD1"/>
    <w:rsid w:val="009B7556"/>
    <w:rsid w:val="009C0ADB"/>
    <w:rsid w:val="009C0C23"/>
    <w:rsid w:val="009C1521"/>
    <w:rsid w:val="009C1AD6"/>
    <w:rsid w:val="009C2057"/>
    <w:rsid w:val="009C289B"/>
    <w:rsid w:val="009C317D"/>
    <w:rsid w:val="009C31D9"/>
    <w:rsid w:val="009C3307"/>
    <w:rsid w:val="009C3C5A"/>
    <w:rsid w:val="009C572C"/>
    <w:rsid w:val="009C597E"/>
    <w:rsid w:val="009C635D"/>
    <w:rsid w:val="009C66C6"/>
    <w:rsid w:val="009C737C"/>
    <w:rsid w:val="009C78D3"/>
    <w:rsid w:val="009D04DE"/>
    <w:rsid w:val="009D14B9"/>
    <w:rsid w:val="009D16FF"/>
    <w:rsid w:val="009D1B91"/>
    <w:rsid w:val="009D31BD"/>
    <w:rsid w:val="009D353C"/>
    <w:rsid w:val="009D3D66"/>
    <w:rsid w:val="009D3E68"/>
    <w:rsid w:val="009D3F07"/>
    <w:rsid w:val="009D46D9"/>
    <w:rsid w:val="009D5EA6"/>
    <w:rsid w:val="009D651E"/>
    <w:rsid w:val="009D6AF1"/>
    <w:rsid w:val="009E0743"/>
    <w:rsid w:val="009E07AE"/>
    <w:rsid w:val="009E0EC0"/>
    <w:rsid w:val="009E1218"/>
    <w:rsid w:val="009E150E"/>
    <w:rsid w:val="009E15FE"/>
    <w:rsid w:val="009E1713"/>
    <w:rsid w:val="009E178F"/>
    <w:rsid w:val="009E1BBE"/>
    <w:rsid w:val="009E1BE3"/>
    <w:rsid w:val="009E1E24"/>
    <w:rsid w:val="009E21BC"/>
    <w:rsid w:val="009E27AE"/>
    <w:rsid w:val="009E3117"/>
    <w:rsid w:val="009E3664"/>
    <w:rsid w:val="009E3ED4"/>
    <w:rsid w:val="009E51B7"/>
    <w:rsid w:val="009E5357"/>
    <w:rsid w:val="009E5660"/>
    <w:rsid w:val="009E611B"/>
    <w:rsid w:val="009E633E"/>
    <w:rsid w:val="009E65C4"/>
    <w:rsid w:val="009E6E8E"/>
    <w:rsid w:val="009E7E9E"/>
    <w:rsid w:val="009F07E6"/>
    <w:rsid w:val="009F0859"/>
    <w:rsid w:val="009F16BD"/>
    <w:rsid w:val="009F1713"/>
    <w:rsid w:val="009F1830"/>
    <w:rsid w:val="009F3549"/>
    <w:rsid w:val="009F3F21"/>
    <w:rsid w:val="009F40F5"/>
    <w:rsid w:val="009F4D76"/>
    <w:rsid w:val="009F56D2"/>
    <w:rsid w:val="009F5BE6"/>
    <w:rsid w:val="009F60E6"/>
    <w:rsid w:val="009F6186"/>
    <w:rsid w:val="009F71AB"/>
    <w:rsid w:val="009F78FA"/>
    <w:rsid w:val="00A0001E"/>
    <w:rsid w:val="00A00036"/>
    <w:rsid w:val="00A00734"/>
    <w:rsid w:val="00A00DA0"/>
    <w:rsid w:val="00A01477"/>
    <w:rsid w:val="00A0346E"/>
    <w:rsid w:val="00A03BD8"/>
    <w:rsid w:val="00A03BD9"/>
    <w:rsid w:val="00A04090"/>
    <w:rsid w:val="00A04BBA"/>
    <w:rsid w:val="00A055D3"/>
    <w:rsid w:val="00A05F5F"/>
    <w:rsid w:val="00A0619A"/>
    <w:rsid w:val="00A10460"/>
    <w:rsid w:val="00A104AB"/>
    <w:rsid w:val="00A11288"/>
    <w:rsid w:val="00A120A1"/>
    <w:rsid w:val="00A1256A"/>
    <w:rsid w:val="00A12BA3"/>
    <w:rsid w:val="00A12DBF"/>
    <w:rsid w:val="00A13038"/>
    <w:rsid w:val="00A1447E"/>
    <w:rsid w:val="00A1449A"/>
    <w:rsid w:val="00A16A22"/>
    <w:rsid w:val="00A173A7"/>
    <w:rsid w:val="00A209FA"/>
    <w:rsid w:val="00A212A4"/>
    <w:rsid w:val="00A22C93"/>
    <w:rsid w:val="00A26963"/>
    <w:rsid w:val="00A26EF1"/>
    <w:rsid w:val="00A270D9"/>
    <w:rsid w:val="00A2725D"/>
    <w:rsid w:val="00A276C7"/>
    <w:rsid w:val="00A306B8"/>
    <w:rsid w:val="00A30738"/>
    <w:rsid w:val="00A31177"/>
    <w:rsid w:val="00A31BA0"/>
    <w:rsid w:val="00A31C6B"/>
    <w:rsid w:val="00A31EB3"/>
    <w:rsid w:val="00A330FC"/>
    <w:rsid w:val="00A34632"/>
    <w:rsid w:val="00A34D71"/>
    <w:rsid w:val="00A35C67"/>
    <w:rsid w:val="00A3602B"/>
    <w:rsid w:val="00A36052"/>
    <w:rsid w:val="00A36133"/>
    <w:rsid w:val="00A3641B"/>
    <w:rsid w:val="00A36FFC"/>
    <w:rsid w:val="00A40335"/>
    <w:rsid w:val="00A4095D"/>
    <w:rsid w:val="00A40C73"/>
    <w:rsid w:val="00A41016"/>
    <w:rsid w:val="00A42986"/>
    <w:rsid w:val="00A43F47"/>
    <w:rsid w:val="00A443D5"/>
    <w:rsid w:val="00A44D08"/>
    <w:rsid w:val="00A44F53"/>
    <w:rsid w:val="00A45BA0"/>
    <w:rsid w:val="00A46D52"/>
    <w:rsid w:val="00A476E7"/>
    <w:rsid w:val="00A47B92"/>
    <w:rsid w:val="00A47D21"/>
    <w:rsid w:val="00A517A3"/>
    <w:rsid w:val="00A5207B"/>
    <w:rsid w:val="00A52506"/>
    <w:rsid w:val="00A52B10"/>
    <w:rsid w:val="00A53583"/>
    <w:rsid w:val="00A54852"/>
    <w:rsid w:val="00A54A81"/>
    <w:rsid w:val="00A5552C"/>
    <w:rsid w:val="00A55722"/>
    <w:rsid w:val="00A55A89"/>
    <w:rsid w:val="00A55FAB"/>
    <w:rsid w:val="00A56214"/>
    <w:rsid w:val="00A5721B"/>
    <w:rsid w:val="00A6026E"/>
    <w:rsid w:val="00A608E1"/>
    <w:rsid w:val="00A6193F"/>
    <w:rsid w:val="00A6265A"/>
    <w:rsid w:val="00A63A0D"/>
    <w:rsid w:val="00A641AB"/>
    <w:rsid w:val="00A6452B"/>
    <w:rsid w:val="00A64572"/>
    <w:rsid w:val="00A6489A"/>
    <w:rsid w:val="00A654D4"/>
    <w:rsid w:val="00A660EC"/>
    <w:rsid w:val="00A6624C"/>
    <w:rsid w:val="00A670EF"/>
    <w:rsid w:val="00A67670"/>
    <w:rsid w:val="00A67B99"/>
    <w:rsid w:val="00A70E25"/>
    <w:rsid w:val="00A71232"/>
    <w:rsid w:val="00A714E5"/>
    <w:rsid w:val="00A714EC"/>
    <w:rsid w:val="00A724F2"/>
    <w:rsid w:val="00A72C23"/>
    <w:rsid w:val="00A73444"/>
    <w:rsid w:val="00A7359D"/>
    <w:rsid w:val="00A737C4"/>
    <w:rsid w:val="00A73D5D"/>
    <w:rsid w:val="00A742F5"/>
    <w:rsid w:val="00A74697"/>
    <w:rsid w:val="00A75198"/>
    <w:rsid w:val="00A75577"/>
    <w:rsid w:val="00A75A2A"/>
    <w:rsid w:val="00A75E83"/>
    <w:rsid w:val="00A76A37"/>
    <w:rsid w:val="00A77388"/>
    <w:rsid w:val="00A77DC0"/>
    <w:rsid w:val="00A77F5C"/>
    <w:rsid w:val="00A77FAE"/>
    <w:rsid w:val="00A80CCC"/>
    <w:rsid w:val="00A813B5"/>
    <w:rsid w:val="00A813DC"/>
    <w:rsid w:val="00A82B40"/>
    <w:rsid w:val="00A82BA9"/>
    <w:rsid w:val="00A82E22"/>
    <w:rsid w:val="00A83936"/>
    <w:rsid w:val="00A84BB5"/>
    <w:rsid w:val="00A84E44"/>
    <w:rsid w:val="00A84E85"/>
    <w:rsid w:val="00A852A3"/>
    <w:rsid w:val="00A864FA"/>
    <w:rsid w:val="00A865CC"/>
    <w:rsid w:val="00A86CC2"/>
    <w:rsid w:val="00A86F9E"/>
    <w:rsid w:val="00A86FC9"/>
    <w:rsid w:val="00A8767D"/>
    <w:rsid w:val="00A87DAE"/>
    <w:rsid w:val="00A9084C"/>
    <w:rsid w:val="00A90B2B"/>
    <w:rsid w:val="00A90F95"/>
    <w:rsid w:val="00A91190"/>
    <w:rsid w:val="00A911A3"/>
    <w:rsid w:val="00A91D5D"/>
    <w:rsid w:val="00A92AED"/>
    <w:rsid w:val="00A93205"/>
    <w:rsid w:val="00A9372C"/>
    <w:rsid w:val="00A93BCE"/>
    <w:rsid w:val="00A93D8F"/>
    <w:rsid w:val="00A94B95"/>
    <w:rsid w:val="00A953A5"/>
    <w:rsid w:val="00A956A9"/>
    <w:rsid w:val="00A95D02"/>
    <w:rsid w:val="00A95E7B"/>
    <w:rsid w:val="00A95FAD"/>
    <w:rsid w:val="00A96170"/>
    <w:rsid w:val="00A96639"/>
    <w:rsid w:val="00A96D9B"/>
    <w:rsid w:val="00A97A84"/>
    <w:rsid w:val="00AA0358"/>
    <w:rsid w:val="00AA1079"/>
    <w:rsid w:val="00AA1A7B"/>
    <w:rsid w:val="00AA1D11"/>
    <w:rsid w:val="00AA1FC1"/>
    <w:rsid w:val="00AA20B8"/>
    <w:rsid w:val="00AA2CA8"/>
    <w:rsid w:val="00AA34C8"/>
    <w:rsid w:val="00AA34D7"/>
    <w:rsid w:val="00AA3833"/>
    <w:rsid w:val="00AA3C62"/>
    <w:rsid w:val="00AA4276"/>
    <w:rsid w:val="00AA4C97"/>
    <w:rsid w:val="00AA4F31"/>
    <w:rsid w:val="00AA5514"/>
    <w:rsid w:val="00AA5F2B"/>
    <w:rsid w:val="00AB0043"/>
    <w:rsid w:val="00AB093A"/>
    <w:rsid w:val="00AB11AC"/>
    <w:rsid w:val="00AB1AC6"/>
    <w:rsid w:val="00AB2061"/>
    <w:rsid w:val="00AB24F1"/>
    <w:rsid w:val="00AB2A49"/>
    <w:rsid w:val="00AB2AE9"/>
    <w:rsid w:val="00AB2EC8"/>
    <w:rsid w:val="00AB4085"/>
    <w:rsid w:val="00AB45E8"/>
    <w:rsid w:val="00AB5957"/>
    <w:rsid w:val="00AB5F2E"/>
    <w:rsid w:val="00AB6348"/>
    <w:rsid w:val="00AB6374"/>
    <w:rsid w:val="00AB74AB"/>
    <w:rsid w:val="00AC0790"/>
    <w:rsid w:val="00AC0A21"/>
    <w:rsid w:val="00AC0ADE"/>
    <w:rsid w:val="00AC1BDD"/>
    <w:rsid w:val="00AC1FA1"/>
    <w:rsid w:val="00AC257B"/>
    <w:rsid w:val="00AC37E3"/>
    <w:rsid w:val="00AC399D"/>
    <w:rsid w:val="00AC3B4C"/>
    <w:rsid w:val="00AC4E19"/>
    <w:rsid w:val="00AC5451"/>
    <w:rsid w:val="00AC570B"/>
    <w:rsid w:val="00AC6584"/>
    <w:rsid w:val="00AC65EC"/>
    <w:rsid w:val="00AC73E0"/>
    <w:rsid w:val="00AD0C1E"/>
    <w:rsid w:val="00AD17DB"/>
    <w:rsid w:val="00AD181C"/>
    <w:rsid w:val="00AD1FDC"/>
    <w:rsid w:val="00AD232D"/>
    <w:rsid w:val="00AD3FC1"/>
    <w:rsid w:val="00AD41C8"/>
    <w:rsid w:val="00AD5218"/>
    <w:rsid w:val="00AD5544"/>
    <w:rsid w:val="00AD5909"/>
    <w:rsid w:val="00AD5CD3"/>
    <w:rsid w:val="00AD7422"/>
    <w:rsid w:val="00AD7640"/>
    <w:rsid w:val="00AD773A"/>
    <w:rsid w:val="00AE0192"/>
    <w:rsid w:val="00AE0ADC"/>
    <w:rsid w:val="00AE0D34"/>
    <w:rsid w:val="00AE133A"/>
    <w:rsid w:val="00AE2193"/>
    <w:rsid w:val="00AE31D3"/>
    <w:rsid w:val="00AE3689"/>
    <w:rsid w:val="00AE3D0A"/>
    <w:rsid w:val="00AE3D41"/>
    <w:rsid w:val="00AE4436"/>
    <w:rsid w:val="00AE44D4"/>
    <w:rsid w:val="00AE65AE"/>
    <w:rsid w:val="00AE684A"/>
    <w:rsid w:val="00AE732B"/>
    <w:rsid w:val="00AE7A04"/>
    <w:rsid w:val="00AE7F74"/>
    <w:rsid w:val="00AE7FB7"/>
    <w:rsid w:val="00AF08EC"/>
    <w:rsid w:val="00AF0AD4"/>
    <w:rsid w:val="00AF1DCD"/>
    <w:rsid w:val="00AF3001"/>
    <w:rsid w:val="00AF4176"/>
    <w:rsid w:val="00AF47D3"/>
    <w:rsid w:val="00AF4A16"/>
    <w:rsid w:val="00AF4A18"/>
    <w:rsid w:val="00AF5345"/>
    <w:rsid w:val="00AF611B"/>
    <w:rsid w:val="00AF61E9"/>
    <w:rsid w:val="00AF6955"/>
    <w:rsid w:val="00AF7044"/>
    <w:rsid w:val="00AF7368"/>
    <w:rsid w:val="00B005D2"/>
    <w:rsid w:val="00B009A1"/>
    <w:rsid w:val="00B0143D"/>
    <w:rsid w:val="00B019D3"/>
    <w:rsid w:val="00B02443"/>
    <w:rsid w:val="00B02D3B"/>
    <w:rsid w:val="00B03123"/>
    <w:rsid w:val="00B03259"/>
    <w:rsid w:val="00B03CA1"/>
    <w:rsid w:val="00B05E86"/>
    <w:rsid w:val="00B05F05"/>
    <w:rsid w:val="00B06AE1"/>
    <w:rsid w:val="00B076CF"/>
    <w:rsid w:val="00B078B7"/>
    <w:rsid w:val="00B102FF"/>
    <w:rsid w:val="00B106E9"/>
    <w:rsid w:val="00B10B6B"/>
    <w:rsid w:val="00B10C22"/>
    <w:rsid w:val="00B10E4E"/>
    <w:rsid w:val="00B113DF"/>
    <w:rsid w:val="00B114DE"/>
    <w:rsid w:val="00B11E3C"/>
    <w:rsid w:val="00B12042"/>
    <w:rsid w:val="00B120C8"/>
    <w:rsid w:val="00B128E0"/>
    <w:rsid w:val="00B132D5"/>
    <w:rsid w:val="00B139CC"/>
    <w:rsid w:val="00B141AE"/>
    <w:rsid w:val="00B14551"/>
    <w:rsid w:val="00B14F7A"/>
    <w:rsid w:val="00B14F99"/>
    <w:rsid w:val="00B15FD5"/>
    <w:rsid w:val="00B169C9"/>
    <w:rsid w:val="00B16A75"/>
    <w:rsid w:val="00B16C19"/>
    <w:rsid w:val="00B17EE8"/>
    <w:rsid w:val="00B202B9"/>
    <w:rsid w:val="00B204B8"/>
    <w:rsid w:val="00B210BE"/>
    <w:rsid w:val="00B2142E"/>
    <w:rsid w:val="00B222CF"/>
    <w:rsid w:val="00B222D7"/>
    <w:rsid w:val="00B229D7"/>
    <w:rsid w:val="00B22B76"/>
    <w:rsid w:val="00B22B9A"/>
    <w:rsid w:val="00B2315E"/>
    <w:rsid w:val="00B248C7"/>
    <w:rsid w:val="00B24D0D"/>
    <w:rsid w:val="00B2509F"/>
    <w:rsid w:val="00B251B8"/>
    <w:rsid w:val="00B252B0"/>
    <w:rsid w:val="00B25C91"/>
    <w:rsid w:val="00B26BA6"/>
    <w:rsid w:val="00B26F48"/>
    <w:rsid w:val="00B2782B"/>
    <w:rsid w:val="00B27F4A"/>
    <w:rsid w:val="00B300E8"/>
    <w:rsid w:val="00B31204"/>
    <w:rsid w:val="00B31302"/>
    <w:rsid w:val="00B316A0"/>
    <w:rsid w:val="00B31ED7"/>
    <w:rsid w:val="00B3266B"/>
    <w:rsid w:val="00B32833"/>
    <w:rsid w:val="00B3382E"/>
    <w:rsid w:val="00B33BDF"/>
    <w:rsid w:val="00B33D23"/>
    <w:rsid w:val="00B33D53"/>
    <w:rsid w:val="00B33F55"/>
    <w:rsid w:val="00B34389"/>
    <w:rsid w:val="00B344B3"/>
    <w:rsid w:val="00B349D3"/>
    <w:rsid w:val="00B34ACE"/>
    <w:rsid w:val="00B34B1B"/>
    <w:rsid w:val="00B36045"/>
    <w:rsid w:val="00B36081"/>
    <w:rsid w:val="00B36256"/>
    <w:rsid w:val="00B373A4"/>
    <w:rsid w:val="00B377E0"/>
    <w:rsid w:val="00B40D8D"/>
    <w:rsid w:val="00B413FB"/>
    <w:rsid w:val="00B41750"/>
    <w:rsid w:val="00B4186B"/>
    <w:rsid w:val="00B41E4B"/>
    <w:rsid w:val="00B42038"/>
    <w:rsid w:val="00B42545"/>
    <w:rsid w:val="00B4287D"/>
    <w:rsid w:val="00B434E4"/>
    <w:rsid w:val="00B438E8"/>
    <w:rsid w:val="00B447F9"/>
    <w:rsid w:val="00B451B5"/>
    <w:rsid w:val="00B45837"/>
    <w:rsid w:val="00B45B5C"/>
    <w:rsid w:val="00B45E2B"/>
    <w:rsid w:val="00B45E3B"/>
    <w:rsid w:val="00B46D8E"/>
    <w:rsid w:val="00B470F6"/>
    <w:rsid w:val="00B4795F"/>
    <w:rsid w:val="00B47F2F"/>
    <w:rsid w:val="00B50505"/>
    <w:rsid w:val="00B50543"/>
    <w:rsid w:val="00B506C6"/>
    <w:rsid w:val="00B5085D"/>
    <w:rsid w:val="00B51ACF"/>
    <w:rsid w:val="00B51E57"/>
    <w:rsid w:val="00B51EF7"/>
    <w:rsid w:val="00B52026"/>
    <w:rsid w:val="00B5287C"/>
    <w:rsid w:val="00B53533"/>
    <w:rsid w:val="00B53872"/>
    <w:rsid w:val="00B53C8E"/>
    <w:rsid w:val="00B53E47"/>
    <w:rsid w:val="00B5584A"/>
    <w:rsid w:val="00B55EE4"/>
    <w:rsid w:val="00B5667E"/>
    <w:rsid w:val="00B57419"/>
    <w:rsid w:val="00B606F0"/>
    <w:rsid w:val="00B60CEB"/>
    <w:rsid w:val="00B621B7"/>
    <w:rsid w:val="00B624D6"/>
    <w:rsid w:val="00B63223"/>
    <w:rsid w:val="00B63500"/>
    <w:rsid w:val="00B63A7B"/>
    <w:rsid w:val="00B643A9"/>
    <w:rsid w:val="00B643AE"/>
    <w:rsid w:val="00B643F9"/>
    <w:rsid w:val="00B649FA"/>
    <w:rsid w:val="00B65773"/>
    <w:rsid w:val="00B65906"/>
    <w:rsid w:val="00B66056"/>
    <w:rsid w:val="00B6610C"/>
    <w:rsid w:val="00B66AED"/>
    <w:rsid w:val="00B66BEF"/>
    <w:rsid w:val="00B66D94"/>
    <w:rsid w:val="00B66DAF"/>
    <w:rsid w:val="00B67025"/>
    <w:rsid w:val="00B671E0"/>
    <w:rsid w:val="00B67612"/>
    <w:rsid w:val="00B70A15"/>
    <w:rsid w:val="00B70BDE"/>
    <w:rsid w:val="00B728B7"/>
    <w:rsid w:val="00B72B92"/>
    <w:rsid w:val="00B72F90"/>
    <w:rsid w:val="00B73ADC"/>
    <w:rsid w:val="00B74531"/>
    <w:rsid w:val="00B746A3"/>
    <w:rsid w:val="00B751EC"/>
    <w:rsid w:val="00B75F88"/>
    <w:rsid w:val="00B77816"/>
    <w:rsid w:val="00B779E8"/>
    <w:rsid w:val="00B800D8"/>
    <w:rsid w:val="00B81044"/>
    <w:rsid w:val="00B813A8"/>
    <w:rsid w:val="00B819CA"/>
    <w:rsid w:val="00B8212E"/>
    <w:rsid w:val="00B83295"/>
    <w:rsid w:val="00B83316"/>
    <w:rsid w:val="00B835F6"/>
    <w:rsid w:val="00B83A0C"/>
    <w:rsid w:val="00B83B3D"/>
    <w:rsid w:val="00B84C72"/>
    <w:rsid w:val="00B84DC3"/>
    <w:rsid w:val="00B86AA8"/>
    <w:rsid w:val="00B87611"/>
    <w:rsid w:val="00B87A03"/>
    <w:rsid w:val="00B90991"/>
    <w:rsid w:val="00B90A3D"/>
    <w:rsid w:val="00B91411"/>
    <w:rsid w:val="00B91A05"/>
    <w:rsid w:val="00B9209E"/>
    <w:rsid w:val="00B92B02"/>
    <w:rsid w:val="00B9301D"/>
    <w:rsid w:val="00B9353C"/>
    <w:rsid w:val="00B93910"/>
    <w:rsid w:val="00B94275"/>
    <w:rsid w:val="00B945D0"/>
    <w:rsid w:val="00B94A87"/>
    <w:rsid w:val="00B94AF7"/>
    <w:rsid w:val="00B95546"/>
    <w:rsid w:val="00B95D96"/>
    <w:rsid w:val="00B96602"/>
    <w:rsid w:val="00B9693C"/>
    <w:rsid w:val="00B96965"/>
    <w:rsid w:val="00B96B01"/>
    <w:rsid w:val="00B96B0C"/>
    <w:rsid w:val="00B96CC8"/>
    <w:rsid w:val="00B97771"/>
    <w:rsid w:val="00B977D7"/>
    <w:rsid w:val="00BA053B"/>
    <w:rsid w:val="00BA0B9F"/>
    <w:rsid w:val="00BA1EEC"/>
    <w:rsid w:val="00BA1F3F"/>
    <w:rsid w:val="00BA3407"/>
    <w:rsid w:val="00BA34BA"/>
    <w:rsid w:val="00BA3535"/>
    <w:rsid w:val="00BA38DA"/>
    <w:rsid w:val="00BA44FB"/>
    <w:rsid w:val="00BA480F"/>
    <w:rsid w:val="00BA6993"/>
    <w:rsid w:val="00BA7253"/>
    <w:rsid w:val="00BA73E7"/>
    <w:rsid w:val="00BB04C3"/>
    <w:rsid w:val="00BB0851"/>
    <w:rsid w:val="00BB08F3"/>
    <w:rsid w:val="00BB0980"/>
    <w:rsid w:val="00BB1270"/>
    <w:rsid w:val="00BB1A5F"/>
    <w:rsid w:val="00BB1E99"/>
    <w:rsid w:val="00BB1EE4"/>
    <w:rsid w:val="00BB24C6"/>
    <w:rsid w:val="00BB2D45"/>
    <w:rsid w:val="00BB2E10"/>
    <w:rsid w:val="00BB40E1"/>
    <w:rsid w:val="00BB4B0C"/>
    <w:rsid w:val="00BB53F2"/>
    <w:rsid w:val="00BB5434"/>
    <w:rsid w:val="00BB549C"/>
    <w:rsid w:val="00BB6060"/>
    <w:rsid w:val="00BB6B5C"/>
    <w:rsid w:val="00BB6E9C"/>
    <w:rsid w:val="00BC0729"/>
    <w:rsid w:val="00BC12DC"/>
    <w:rsid w:val="00BC13A1"/>
    <w:rsid w:val="00BC168B"/>
    <w:rsid w:val="00BC177D"/>
    <w:rsid w:val="00BC1AAF"/>
    <w:rsid w:val="00BC1F49"/>
    <w:rsid w:val="00BC2043"/>
    <w:rsid w:val="00BC2074"/>
    <w:rsid w:val="00BC2269"/>
    <w:rsid w:val="00BC23FD"/>
    <w:rsid w:val="00BC26FB"/>
    <w:rsid w:val="00BC2A79"/>
    <w:rsid w:val="00BC2B21"/>
    <w:rsid w:val="00BC3285"/>
    <w:rsid w:val="00BC3993"/>
    <w:rsid w:val="00BC3A1D"/>
    <w:rsid w:val="00BC3C53"/>
    <w:rsid w:val="00BC4094"/>
    <w:rsid w:val="00BC51A9"/>
    <w:rsid w:val="00BC51E3"/>
    <w:rsid w:val="00BC671F"/>
    <w:rsid w:val="00BC6802"/>
    <w:rsid w:val="00BC6A90"/>
    <w:rsid w:val="00BC74CE"/>
    <w:rsid w:val="00BC7F2A"/>
    <w:rsid w:val="00BD01A9"/>
    <w:rsid w:val="00BD15A5"/>
    <w:rsid w:val="00BD23B7"/>
    <w:rsid w:val="00BD24E9"/>
    <w:rsid w:val="00BD27C7"/>
    <w:rsid w:val="00BD3E0E"/>
    <w:rsid w:val="00BD434C"/>
    <w:rsid w:val="00BD4B88"/>
    <w:rsid w:val="00BD4F48"/>
    <w:rsid w:val="00BD5269"/>
    <w:rsid w:val="00BD557A"/>
    <w:rsid w:val="00BD67CF"/>
    <w:rsid w:val="00BD6BB6"/>
    <w:rsid w:val="00BD6E35"/>
    <w:rsid w:val="00BD7441"/>
    <w:rsid w:val="00BD76DA"/>
    <w:rsid w:val="00BE0442"/>
    <w:rsid w:val="00BE05AF"/>
    <w:rsid w:val="00BE1609"/>
    <w:rsid w:val="00BE16B7"/>
    <w:rsid w:val="00BE19A5"/>
    <w:rsid w:val="00BE209B"/>
    <w:rsid w:val="00BE32D6"/>
    <w:rsid w:val="00BE373E"/>
    <w:rsid w:val="00BE3EF7"/>
    <w:rsid w:val="00BE3F40"/>
    <w:rsid w:val="00BE4513"/>
    <w:rsid w:val="00BE47A6"/>
    <w:rsid w:val="00BE4A9D"/>
    <w:rsid w:val="00BE4B1C"/>
    <w:rsid w:val="00BE56D5"/>
    <w:rsid w:val="00BE57D7"/>
    <w:rsid w:val="00BE5B1C"/>
    <w:rsid w:val="00BE6370"/>
    <w:rsid w:val="00BE64A6"/>
    <w:rsid w:val="00BE6971"/>
    <w:rsid w:val="00BE73E0"/>
    <w:rsid w:val="00BE76CA"/>
    <w:rsid w:val="00BF08DA"/>
    <w:rsid w:val="00BF1A57"/>
    <w:rsid w:val="00BF1C0B"/>
    <w:rsid w:val="00BF2C22"/>
    <w:rsid w:val="00BF33E7"/>
    <w:rsid w:val="00BF3878"/>
    <w:rsid w:val="00BF40A7"/>
    <w:rsid w:val="00BF4699"/>
    <w:rsid w:val="00BF47EC"/>
    <w:rsid w:val="00BF4A60"/>
    <w:rsid w:val="00BF4AE5"/>
    <w:rsid w:val="00BF50D7"/>
    <w:rsid w:val="00BF6609"/>
    <w:rsid w:val="00BF6CE3"/>
    <w:rsid w:val="00BF6CEB"/>
    <w:rsid w:val="00C001B9"/>
    <w:rsid w:val="00C00409"/>
    <w:rsid w:val="00C00C25"/>
    <w:rsid w:val="00C010B5"/>
    <w:rsid w:val="00C01232"/>
    <w:rsid w:val="00C01978"/>
    <w:rsid w:val="00C02024"/>
    <w:rsid w:val="00C02040"/>
    <w:rsid w:val="00C02B19"/>
    <w:rsid w:val="00C035C7"/>
    <w:rsid w:val="00C04288"/>
    <w:rsid w:val="00C048C6"/>
    <w:rsid w:val="00C0590D"/>
    <w:rsid w:val="00C05E87"/>
    <w:rsid w:val="00C05F10"/>
    <w:rsid w:val="00C065D6"/>
    <w:rsid w:val="00C06AB7"/>
    <w:rsid w:val="00C06FB3"/>
    <w:rsid w:val="00C102F0"/>
    <w:rsid w:val="00C10AE1"/>
    <w:rsid w:val="00C10B04"/>
    <w:rsid w:val="00C11565"/>
    <w:rsid w:val="00C126C5"/>
    <w:rsid w:val="00C13985"/>
    <w:rsid w:val="00C13B3B"/>
    <w:rsid w:val="00C1482C"/>
    <w:rsid w:val="00C14AFE"/>
    <w:rsid w:val="00C15199"/>
    <w:rsid w:val="00C15308"/>
    <w:rsid w:val="00C1560D"/>
    <w:rsid w:val="00C16332"/>
    <w:rsid w:val="00C16555"/>
    <w:rsid w:val="00C171EA"/>
    <w:rsid w:val="00C177C7"/>
    <w:rsid w:val="00C200A9"/>
    <w:rsid w:val="00C20537"/>
    <w:rsid w:val="00C205CB"/>
    <w:rsid w:val="00C2061D"/>
    <w:rsid w:val="00C20A11"/>
    <w:rsid w:val="00C20AC9"/>
    <w:rsid w:val="00C21407"/>
    <w:rsid w:val="00C21922"/>
    <w:rsid w:val="00C2199F"/>
    <w:rsid w:val="00C21A5E"/>
    <w:rsid w:val="00C21FC7"/>
    <w:rsid w:val="00C22E9C"/>
    <w:rsid w:val="00C23295"/>
    <w:rsid w:val="00C23EE9"/>
    <w:rsid w:val="00C240FD"/>
    <w:rsid w:val="00C24271"/>
    <w:rsid w:val="00C25D69"/>
    <w:rsid w:val="00C25F86"/>
    <w:rsid w:val="00C2600A"/>
    <w:rsid w:val="00C26F66"/>
    <w:rsid w:val="00C26FD5"/>
    <w:rsid w:val="00C27122"/>
    <w:rsid w:val="00C273B1"/>
    <w:rsid w:val="00C27A8B"/>
    <w:rsid w:val="00C300D1"/>
    <w:rsid w:val="00C30114"/>
    <w:rsid w:val="00C316BE"/>
    <w:rsid w:val="00C31ECC"/>
    <w:rsid w:val="00C32119"/>
    <w:rsid w:val="00C32745"/>
    <w:rsid w:val="00C33BB0"/>
    <w:rsid w:val="00C34057"/>
    <w:rsid w:val="00C35AA9"/>
    <w:rsid w:val="00C36D13"/>
    <w:rsid w:val="00C373AE"/>
    <w:rsid w:val="00C37484"/>
    <w:rsid w:val="00C37889"/>
    <w:rsid w:val="00C40293"/>
    <w:rsid w:val="00C414D4"/>
    <w:rsid w:val="00C41E56"/>
    <w:rsid w:val="00C4203F"/>
    <w:rsid w:val="00C421CA"/>
    <w:rsid w:val="00C421F3"/>
    <w:rsid w:val="00C42E0B"/>
    <w:rsid w:val="00C42FFD"/>
    <w:rsid w:val="00C43B75"/>
    <w:rsid w:val="00C44DEB"/>
    <w:rsid w:val="00C4666F"/>
    <w:rsid w:val="00C4722C"/>
    <w:rsid w:val="00C47DFA"/>
    <w:rsid w:val="00C508E2"/>
    <w:rsid w:val="00C50C97"/>
    <w:rsid w:val="00C50FAE"/>
    <w:rsid w:val="00C52172"/>
    <w:rsid w:val="00C52895"/>
    <w:rsid w:val="00C52F25"/>
    <w:rsid w:val="00C53407"/>
    <w:rsid w:val="00C53955"/>
    <w:rsid w:val="00C541A6"/>
    <w:rsid w:val="00C54288"/>
    <w:rsid w:val="00C54644"/>
    <w:rsid w:val="00C55327"/>
    <w:rsid w:val="00C55F02"/>
    <w:rsid w:val="00C560C3"/>
    <w:rsid w:val="00C5634C"/>
    <w:rsid w:val="00C56C92"/>
    <w:rsid w:val="00C56F8E"/>
    <w:rsid w:val="00C573B0"/>
    <w:rsid w:val="00C57A37"/>
    <w:rsid w:val="00C57C78"/>
    <w:rsid w:val="00C6089F"/>
    <w:rsid w:val="00C6097E"/>
    <w:rsid w:val="00C613E1"/>
    <w:rsid w:val="00C6176C"/>
    <w:rsid w:val="00C61D86"/>
    <w:rsid w:val="00C624A0"/>
    <w:rsid w:val="00C624A6"/>
    <w:rsid w:val="00C6279F"/>
    <w:rsid w:val="00C63417"/>
    <w:rsid w:val="00C64874"/>
    <w:rsid w:val="00C663D5"/>
    <w:rsid w:val="00C667DD"/>
    <w:rsid w:val="00C6776E"/>
    <w:rsid w:val="00C67D5C"/>
    <w:rsid w:val="00C70260"/>
    <w:rsid w:val="00C7086F"/>
    <w:rsid w:val="00C71216"/>
    <w:rsid w:val="00C71792"/>
    <w:rsid w:val="00C72413"/>
    <w:rsid w:val="00C72DED"/>
    <w:rsid w:val="00C735B4"/>
    <w:rsid w:val="00C73E80"/>
    <w:rsid w:val="00C74516"/>
    <w:rsid w:val="00C746F1"/>
    <w:rsid w:val="00C755BD"/>
    <w:rsid w:val="00C7579E"/>
    <w:rsid w:val="00C75A32"/>
    <w:rsid w:val="00C77008"/>
    <w:rsid w:val="00C7763D"/>
    <w:rsid w:val="00C77FA2"/>
    <w:rsid w:val="00C80244"/>
    <w:rsid w:val="00C805CE"/>
    <w:rsid w:val="00C80C30"/>
    <w:rsid w:val="00C8170A"/>
    <w:rsid w:val="00C822DA"/>
    <w:rsid w:val="00C83908"/>
    <w:rsid w:val="00C83BA2"/>
    <w:rsid w:val="00C83D38"/>
    <w:rsid w:val="00C85184"/>
    <w:rsid w:val="00C85A63"/>
    <w:rsid w:val="00C85C36"/>
    <w:rsid w:val="00C85DBF"/>
    <w:rsid w:val="00C8658A"/>
    <w:rsid w:val="00C867EB"/>
    <w:rsid w:val="00C87DC5"/>
    <w:rsid w:val="00C9112E"/>
    <w:rsid w:val="00C914B4"/>
    <w:rsid w:val="00C92E5F"/>
    <w:rsid w:val="00C92EC7"/>
    <w:rsid w:val="00C92F26"/>
    <w:rsid w:val="00C931BB"/>
    <w:rsid w:val="00C93302"/>
    <w:rsid w:val="00C9337F"/>
    <w:rsid w:val="00C94EEE"/>
    <w:rsid w:val="00C956D8"/>
    <w:rsid w:val="00C96FEC"/>
    <w:rsid w:val="00C97263"/>
    <w:rsid w:val="00C976B8"/>
    <w:rsid w:val="00CA0988"/>
    <w:rsid w:val="00CA0E7C"/>
    <w:rsid w:val="00CA1125"/>
    <w:rsid w:val="00CA11AD"/>
    <w:rsid w:val="00CA11D5"/>
    <w:rsid w:val="00CA17B5"/>
    <w:rsid w:val="00CA18E3"/>
    <w:rsid w:val="00CA1CEA"/>
    <w:rsid w:val="00CA303F"/>
    <w:rsid w:val="00CA3368"/>
    <w:rsid w:val="00CA3482"/>
    <w:rsid w:val="00CA50C6"/>
    <w:rsid w:val="00CA5166"/>
    <w:rsid w:val="00CA53D8"/>
    <w:rsid w:val="00CA5E6B"/>
    <w:rsid w:val="00CA675D"/>
    <w:rsid w:val="00CA6783"/>
    <w:rsid w:val="00CA70FF"/>
    <w:rsid w:val="00CA7515"/>
    <w:rsid w:val="00CB018E"/>
    <w:rsid w:val="00CB037F"/>
    <w:rsid w:val="00CB0844"/>
    <w:rsid w:val="00CB0E13"/>
    <w:rsid w:val="00CB0F0D"/>
    <w:rsid w:val="00CB0FF4"/>
    <w:rsid w:val="00CB1343"/>
    <w:rsid w:val="00CB1990"/>
    <w:rsid w:val="00CB1B2E"/>
    <w:rsid w:val="00CB1DA5"/>
    <w:rsid w:val="00CB1FFA"/>
    <w:rsid w:val="00CB2CCA"/>
    <w:rsid w:val="00CB2CE9"/>
    <w:rsid w:val="00CB2FA5"/>
    <w:rsid w:val="00CB3717"/>
    <w:rsid w:val="00CB3E4C"/>
    <w:rsid w:val="00CB4111"/>
    <w:rsid w:val="00CB41D5"/>
    <w:rsid w:val="00CB4617"/>
    <w:rsid w:val="00CB4D15"/>
    <w:rsid w:val="00CB4F06"/>
    <w:rsid w:val="00CB4FDF"/>
    <w:rsid w:val="00CB5D02"/>
    <w:rsid w:val="00CB63B8"/>
    <w:rsid w:val="00CB67E9"/>
    <w:rsid w:val="00CB7029"/>
    <w:rsid w:val="00CB752A"/>
    <w:rsid w:val="00CB7628"/>
    <w:rsid w:val="00CC07BE"/>
    <w:rsid w:val="00CC0EA0"/>
    <w:rsid w:val="00CC11A3"/>
    <w:rsid w:val="00CC1271"/>
    <w:rsid w:val="00CC17E3"/>
    <w:rsid w:val="00CC292D"/>
    <w:rsid w:val="00CC294D"/>
    <w:rsid w:val="00CC2AC3"/>
    <w:rsid w:val="00CC315C"/>
    <w:rsid w:val="00CC3645"/>
    <w:rsid w:val="00CC3812"/>
    <w:rsid w:val="00CC4492"/>
    <w:rsid w:val="00CC4FAB"/>
    <w:rsid w:val="00CC512E"/>
    <w:rsid w:val="00CC557B"/>
    <w:rsid w:val="00CC5E18"/>
    <w:rsid w:val="00CC670C"/>
    <w:rsid w:val="00CC7458"/>
    <w:rsid w:val="00CD0262"/>
    <w:rsid w:val="00CD08B3"/>
    <w:rsid w:val="00CD1A5D"/>
    <w:rsid w:val="00CD22B7"/>
    <w:rsid w:val="00CD2B49"/>
    <w:rsid w:val="00CD334F"/>
    <w:rsid w:val="00CD44A4"/>
    <w:rsid w:val="00CD4641"/>
    <w:rsid w:val="00CD4B2B"/>
    <w:rsid w:val="00CD4E03"/>
    <w:rsid w:val="00CD504A"/>
    <w:rsid w:val="00CD579B"/>
    <w:rsid w:val="00CD5BC8"/>
    <w:rsid w:val="00CD5D74"/>
    <w:rsid w:val="00CD6251"/>
    <w:rsid w:val="00CD6664"/>
    <w:rsid w:val="00CD6FD4"/>
    <w:rsid w:val="00CD779C"/>
    <w:rsid w:val="00CE10C8"/>
    <w:rsid w:val="00CE175A"/>
    <w:rsid w:val="00CE2D39"/>
    <w:rsid w:val="00CE33C3"/>
    <w:rsid w:val="00CE38D1"/>
    <w:rsid w:val="00CE3CB4"/>
    <w:rsid w:val="00CE6127"/>
    <w:rsid w:val="00CE61AA"/>
    <w:rsid w:val="00CE62CA"/>
    <w:rsid w:val="00CE6787"/>
    <w:rsid w:val="00CE6A51"/>
    <w:rsid w:val="00CE7372"/>
    <w:rsid w:val="00CF0D79"/>
    <w:rsid w:val="00CF1FC1"/>
    <w:rsid w:val="00CF2D1E"/>
    <w:rsid w:val="00CF34D0"/>
    <w:rsid w:val="00CF4333"/>
    <w:rsid w:val="00CF4881"/>
    <w:rsid w:val="00CF4A18"/>
    <w:rsid w:val="00CF4E01"/>
    <w:rsid w:val="00CF543C"/>
    <w:rsid w:val="00CF5738"/>
    <w:rsid w:val="00CF6FD4"/>
    <w:rsid w:val="00CF74E8"/>
    <w:rsid w:val="00CF78B3"/>
    <w:rsid w:val="00D002AB"/>
    <w:rsid w:val="00D01466"/>
    <w:rsid w:val="00D01488"/>
    <w:rsid w:val="00D016E4"/>
    <w:rsid w:val="00D020B7"/>
    <w:rsid w:val="00D03150"/>
    <w:rsid w:val="00D03509"/>
    <w:rsid w:val="00D048EC"/>
    <w:rsid w:val="00D049EE"/>
    <w:rsid w:val="00D04BE8"/>
    <w:rsid w:val="00D04D00"/>
    <w:rsid w:val="00D0503D"/>
    <w:rsid w:val="00D05D6E"/>
    <w:rsid w:val="00D05E3F"/>
    <w:rsid w:val="00D06931"/>
    <w:rsid w:val="00D07AE6"/>
    <w:rsid w:val="00D07E33"/>
    <w:rsid w:val="00D138A9"/>
    <w:rsid w:val="00D14C87"/>
    <w:rsid w:val="00D154AF"/>
    <w:rsid w:val="00D1640C"/>
    <w:rsid w:val="00D167C0"/>
    <w:rsid w:val="00D179C6"/>
    <w:rsid w:val="00D17AD9"/>
    <w:rsid w:val="00D17C79"/>
    <w:rsid w:val="00D212A6"/>
    <w:rsid w:val="00D213A9"/>
    <w:rsid w:val="00D21CAD"/>
    <w:rsid w:val="00D224B6"/>
    <w:rsid w:val="00D2293A"/>
    <w:rsid w:val="00D2318A"/>
    <w:rsid w:val="00D235C0"/>
    <w:rsid w:val="00D23757"/>
    <w:rsid w:val="00D23F09"/>
    <w:rsid w:val="00D24093"/>
    <w:rsid w:val="00D24345"/>
    <w:rsid w:val="00D261CC"/>
    <w:rsid w:val="00D261DD"/>
    <w:rsid w:val="00D26713"/>
    <w:rsid w:val="00D26856"/>
    <w:rsid w:val="00D27277"/>
    <w:rsid w:val="00D2728A"/>
    <w:rsid w:val="00D2735D"/>
    <w:rsid w:val="00D27780"/>
    <w:rsid w:val="00D27D95"/>
    <w:rsid w:val="00D30029"/>
    <w:rsid w:val="00D307F4"/>
    <w:rsid w:val="00D314E5"/>
    <w:rsid w:val="00D318CB"/>
    <w:rsid w:val="00D31DFB"/>
    <w:rsid w:val="00D31F19"/>
    <w:rsid w:val="00D32D25"/>
    <w:rsid w:val="00D348B2"/>
    <w:rsid w:val="00D35009"/>
    <w:rsid w:val="00D36045"/>
    <w:rsid w:val="00D366C4"/>
    <w:rsid w:val="00D36E00"/>
    <w:rsid w:val="00D374B8"/>
    <w:rsid w:val="00D376A2"/>
    <w:rsid w:val="00D40A13"/>
    <w:rsid w:val="00D41280"/>
    <w:rsid w:val="00D41881"/>
    <w:rsid w:val="00D42593"/>
    <w:rsid w:val="00D428BD"/>
    <w:rsid w:val="00D42B7F"/>
    <w:rsid w:val="00D43D8F"/>
    <w:rsid w:val="00D43DF9"/>
    <w:rsid w:val="00D44A7E"/>
    <w:rsid w:val="00D44F20"/>
    <w:rsid w:val="00D45E73"/>
    <w:rsid w:val="00D46A55"/>
    <w:rsid w:val="00D46DBB"/>
    <w:rsid w:val="00D46FEF"/>
    <w:rsid w:val="00D475A7"/>
    <w:rsid w:val="00D47844"/>
    <w:rsid w:val="00D50063"/>
    <w:rsid w:val="00D50793"/>
    <w:rsid w:val="00D50D09"/>
    <w:rsid w:val="00D50EDB"/>
    <w:rsid w:val="00D50FA4"/>
    <w:rsid w:val="00D51B88"/>
    <w:rsid w:val="00D520A6"/>
    <w:rsid w:val="00D5278D"/>
    <w:rsid w:val="00D54D12"/>
    <w:rsid w:val="00D54F27"/>
    <w:rsid w:val="00D5546D"/>
    <w:rsid w:val="00D55EFB"/>
    <w:rsid w:val="00D55F13"/>
    <w:rsid w:val="00D563AC"/>
    <w:rsid w:val="00D56877"/>
    <w:rsid w:val="00D5776F"/>
    <w:rsid w:val="00D57A96"/>
    <w:rsid w:val="00D57F57"/>
    <w:rsid w:val="00D603BB"/>
    <w:rsid w:val="00D60AD7"/>
    <w:rsid w:val="00D6117C"/>
    <w:rsid w:val="00D61563"/>
    <w:rsid w:val="00D6167F"/>
    <w:rsid w:val="00D617A0"/>
    <w:rsid w:val="00D6198C"/>
    <w:rsid w:val="00D61AB3"/>
    <w:rsid w:val="00D6248B"/>
    <w:rsid w:val="00D62C09"/>
    <w:rsid w:val="00D63114"/>
    <w:rsid w:val="00D636D9"/>
    <w:rsid w:val="00D63B49"/>
    <w:rsid w:val="00D64566"/>
    <w:rsid w:val="00D6603F"/>
    <w:rsid w:val="00D6652B"/>
    <w:rsid w:val="00D6696D"/>
    <w:rsid w:val="00D66B8E"/>
    <w:rsid w:val="00D66EF9"/>
    <w:rsid w:val="00D67ECD"/>
    <w:rsid w:val="00D714A8"/>
    <w:rsid w:val="00D71B73"/>
    <w:rsid w:val="00D71EC4"/>
    <w:rsid w:val="00D72CEA"/>
    <w:rsid w:val="00D742B7"/>
    <w:rsid w:val="00D745E1"/>
    <w:rsid w:val="00D749D7"/>
    <w:rsid w:val="00D74D23"/>
    <w:rsid w:val="00D75E35"/>
    <w:rsid w:val="00D76451"/>
    <w:rsid w:val="00D772CE"/>
    <w:rsid w:val="00D776EC"/>
    <w:rsid w:val="00D808AD"/>
    <w:rsid w:val="00D80999"/>
    <w:rsid w:val="00D80E6A"/>
    <w:rsid w:val="00D810F2"/>
    <w:rsid w:val="00D812A1"/>
    <w:rsid w:val="00D81529"/>
    <w:rsid w:val="00D821B4"/>
    <w:rsid w:val="00D82627"/>
    <w:rsid w:val="00D8525C"/>
    <w:rsid w:val="00D85A30"/>
    <w:rsid w:val="00D85BC5"/>
    <w:rsid w:val="00D86535"/>
    <w:rsid w:val="00D873D2"/>
    <w:rsid w:val="00D87805"/>
    <w:rsid w:val="00D90204"/>
    <w:rsid w:val="00D907F3"/>
    <w:rsid w:val="00D916BE"/>
    <w:rsid w:val="00D917CB"/>
    <w:rsid w:val="00D91BB8"/>
    <w:rsid w:val="00D9209A"/>
    <w:rsid w:val="00D9298F"/>
    <w:rsid w:val="00D930E3"/>
    <w:rsid w:val="00D935A6"/>
    <w:rsid w:val="00D94555"/>
    <w:rsid w:val="00D95012"/>
    <w:rsid w:val="00D950AC"/>
    <w:rsid w:val="00D96487"/>
    <w:rsid w:val="00D9713C"/>
    <w:rsid w:val="00D9741F"/>
    <w:rsid w:val="00D9777E"/>
    <w:rsid w:val="00D97DFC"/>
    <w:rsid w:val="00D97EAD"/>
    <w:rsid w:val="00DA0370"/>
    <w:rsid w:val="00DA0BDA"/>
    <w:rsid w:val="00DA0EA5"/>
    <w:rsid w:val="00DA117C"/>
    <w:rsid w:val="00DA1FB3"/>
    <w:rsid w:val="00DA217D"/>
    <w:rsid w:val="00DA2B70"/>
    <w:rsid w:val="00DA2E73"/>
    <w:rsid w:val="00DA33B5"/>
    <w:rsid w:val="00DA3509"/>
    <w:rsid w:val="00DA379B"/>
    <w:rsid w:val="00DA4F48"/>
    <w:rsid w:val="00DA65C8"/>
    <w:rsid w:val="00DA67F9"/>
    <w:rsid w:val="00DA6E11"/>
    <w:rsid w:val="00DA7169"/>
    <w:rsid w:val="00DB0A2C"/>
    <w:rsid w:val="00DB1A69"/>
    <w:rsid w:val="00DB24ED"/>
    <w:rsid w:val="00DB556F"/>
    <w:rsid w:val="00DB5A4A"/>
    <w:rsid w:val="00DB5FBA"/>
    <w:rsid w:val="00DB60C6"/>
    <w:rsid w:val="00DB6BF5"/>
    <w:rsid w:val="00DB75F1"/>
    <w:rsid w:val="00DB771C"/>
    <w:rsid w:val="00DB796C"/>
    <w:rsid w:val="00DB79D4"/>
    <w:rsid w:val="00DB7A3A"/>
    <w:rsid w:val="00DB7DAF"/>
    <w:rsid w:val="00DC0299"/>
    <w:rsid w:val="00DC0697"/>
    <w:rsid w:val="00DC1DBB"/>
    <w:rsid w:val="00DC1F9C"/>
    <w:rsid w:val="00DC3457"/>
    <w:rsid w:val="00DC35FF"/>
    <w:rsid w:val="00DC3A7E"/>
    <w:rsid w:val="00DC447E"/>
    <w:rsid w:val="00DC46EF"/>
    <w:rsid w:val="00DC51F2"/>
    <w:rsid w:val="00DC526C"/>
    <w:rsid w:val="00DC5ACE"/>
    <w:rsid w:val="00DC5AEE"/>
    <w:rsid w:val="00DC5CEC"/>
    <w:rsid w:val="00DC738B"/>
    <w:rsid w:val="00DC7C31"/>
    <w:rsid w:val="00DD0352"/>
    <w:rsid w:val="00DD04F3"/>
    <w:rsid w:val="00DD0A92"/>
    <w:rsid w:val="00DD1300"/>
    <w:rsid w:val="00DD29F5"/>
    <w:rsid w:val="00DD3611"/>
    <w:rsid w:val="00DD3E89"/>
    <w:rsid w:val="00DD427C"/>
    <w:rsid w:val="00DD465A"/>
    <w:rsid w:val="00DD4EA1"/>
    <w:rsid w:val="00DD6A0F"/>
    <w:rsid w:val="00DE0C4D"/>
    <w:rsid w:val="00DE15CC"/>
    <w:rsid w:val="00DE18F9"/>
    <w:rsid w:val="00DE1ED1"/>
    <w:rsid w:val="00DE22C1"/>
    <w:rsid w:val="00DE2782"/>
    <w:rsid w:val="00DE3F05"/>
    <w:rsid w:val="00DE4727"/>
    <w:rsid w:val="00DE4EE1"/>
    <w:rsid w:val="00DE5503"/>
    <w:rsid w:val="00DE5D38"/>
    <w:rsid w:val="00DE6353"/>
    <w:rsid w:val="00DE6419"/>
    <w:rsid w:val="00DE6CEC"/>
    <w:rsid w:val="00DE7951"/>
    <w:rsid w:val="00DF114A"/>
    <w:rsid w:val="00DF1C3F"/>
    <w:rsid w:val="00DF259C"/>
    <w:rsid w:val="00DF2ABD"/>
    <w:rsid w:val="00DF2CA5"/>
    <w:rsid w:val="00DF2E98"/>
    <w:rsid w:val="00DF3815"/>
    <w:rsid w:val="00DF3895"/>
    <w:rsid w:val="00DF3F6D"/>
    <w:rsid w:val="00DF42F6"/>
    <w:rsid w:val="00DF43C9"/>
    <w:rsid w:val="00DF4844"/>
    <w:rsid w:val="00DF5000"/>
    <w:rsid w:val="00DF562E"/>
    <w:rsid w:val="00DF5894"/>
    <w:rsid w:val="00DF60C9"/>
    <w:rsid w:val="00DF6A30"/>
    <w:rsid w:val="00DF6F40"/>
    <w:rsid w:val="00DF7C9E"/>
    <w:rsid w:val="00E0002C"/>
    <w:rsid w:val="00E0048C"/>
    <w:rsid w:val="00E00726"/>
    <w:rsid w:val="00E00B1B"/>
    <w:rsid w:val="00E00EC1"/>
    <w:rsid w:val="00E01DC0"/>
    <w:rsid w:val="00E03A22"/>
    <w:rsid w:val="00E03D29"/>
    <w:rsid w:val="00E04EBA"/>
    <w:rsid w:val="00E05745"/>
    <w:rsid w:val="00E063F2"/>
    <w:rsid w:val="00E06B5F"/>
    <w:rsid w:val="00E06B8C"/>
    <w:rsid w:val="00E07CBB"/>
    <w:rsid w:val="00E07EB0"/>
    <w:rsid w:val="00E07F19"/>
    <w:rsid w:val="00E10867"/>
    <w:rsid w:val="00E1105B"/>
    <w:rsid w:val="00E11270"/>
    <w:rsid w:val="00E11276"/>
    <w:rsid w:val="00E11EC8"/>
    <w:rsid w:val="00E12DD5"/>
    <w:rsid w:val="00E13073"/>
    <w:rsid w:val="00E13310"/>
    <w:rsid w:val="00E13681"/>
    <w:rsid w:val="00E14247"/>
    <w:rsid w:val="00E15248"/>
    <w:rsid w:val="00E1527A"/>
    <w:rsid w:val="00E157B8"/>
    <w:rsid w:val="00E15837"/>
    <w:rsid w:val="00E15C4D"/>
    <w:rsid w:val="00E16295"/>
    <w:rsid w:val="00E17001"/>
    <w:rsid w:val="00E17032"/>
    <w:rsid w:val="00E17151"/>
    <w:rsid w:val="00E1795D"/>
    <w:rsid w:val="00E203F0"/>
    <w:rsid w:val="00E20F01"/>
    <w:rsid w:val="00E21006"/>
    <w:rsid w:val="00E21887"/>
    <w:rsid w:val="00E21ADE"/>
    <w:rsid w:val="00E21DE6"/>
    <w:rsid w:val="00E237E1"/>
    <w:rsid w:val="00E238D6"/>
    <w:rsid w:val="00E2460D"/>
    <w:rsid w:val="00E24622"/>
    <w:rsid w:val="00E26BDD"/>
    <w:rsid w:val="00E2799A"/>
    <w:rsid w:val="00E30840"/>
    <w:rsid w:val="00E30EDC"/>
    <w:rsid w:val="00E30F76"/>
    <w:rsid w:val="00E317B3"/>
    <w:rsid w:val="00E31F5E"/>
    <w:rsid w:val="00E32024"/>
    <w:rsid w:val="00E322EB"/>
    <w:rsid w:val="00E328A1"/>
    <w:rsid w:val="00E32C9B"/>
    <w:rsid w:val="00E32CAB"/>
    <w:rsid w:val="00E32EC7"/>
    <w:rsid w:val="00E330D0"/>
    <w:rsid w:val="00E3389C"/>
    <w:rsid w:val="00E33A63"/>
    <w:rsid w:val="00E35A56"/>
    <w:rsid w:val="00E35D30"/>
    <w:rsid w:val="00E3612E"/>
    <w:rsid w:val="00E36BC4"/>
    <w:rsid w:val="00E36FB8"/>
    <w:rsid w:val="00E3752F"/>
    <w:rsid w:val="00E37F9A"/>
    <w:rsid w:val="00E403ED"/>
    <w:rsid w:val="00E40F91"/>
    <w:rsid w:val="00E41164"/>
    <w:rsid w:val="00E420B5"/>
    <w:rsid w:val="00E42A43"/>
    <w:rsid w:val="00E42F90"/>
    <w:rsid w:val="00E45195"/>
    <w:rsid w:val="00E458F8"/>
    <w:rsid w:val="00E46747"/>
    <w:rsid w:val="00E477F2"/>
    <w:rsid w:val="00E47E2F"/>
    <w:rsid w:val="00E47EDD"/>
    <w:rsid w:val="00E512C4"/>
    <w:rsid w:val="00E515FF"/>
    <w:rsid w:val="00E51859"/>
    <w:rsid w:val="00E51B02"/>
    <w:rsid w:val="00E51EFB"/>
    <w:rsid w:val="00E52702"/>
    <w:rsid w:val="00E52E22"/>
    <w:rsid w:val="00E5368E"/>
    <w:rsid w:val="00E53BFD"/>
    <w:rsid w:val="00E54830"/>
    <w:rsid w:val="00E54975"/>
    <w:rsid w:val="00E54F4F"/>
    <w:rsid w:val="00E54F9C"/>
    <w:rsid w:val="00E55C77"/>
    <w:rsid w:val="00E567D1"/>
    <w:rsid w:val="00E56CA1"/>
    <w:rsid w:val="00E56CFA"/>
    <w:rsid w:val="00E57696"/>
    <w:rsid w:val="00E57F6C"/>
    <w:rsid w:val="00E60059"/>
    <w:rsid w:val="00E60680"/>
    <w:rsid w:val="00E61190"/>
    <w:rsid w:val="00E611A5"/>
    <w:rsid w:val="00E6290F"/>
    <w:rsid w:val="00E62A39"/>
    <w:rsid w:val="00E63179"/>
    <w:rsid w:val="00E6474F"/>
    <w:rsid w:val="00E6561B"/>
    <w:rsid w:val="00E65CF9"/>
    <w:rsid w:val="00E66476"/>
    <w:rsid w:val="00E672E6"/>
    <w:rsid w:val="00E67818"/>
    <w:rsid w:val="00E70287"/>
    <w:rsid w:val="00E704D5"/>
    <w:rsid w:val="00E708EB"/>
    <w:rsid w:val="00E70D20"/>
    <w:rsid w:val="00E7184F"/>
    <w:rsid w:val="00E71FCC"/>
    <w:rsid w:val="00E724F1"/>
    <w:rsid w:val="00E72AEF"/>
    <w:rsid w:val="00E739F6"/>
    <w:rsid w:val="00E73B44"/>
    <w:rsid w:val="00E73D5F"/>
    <w:rsid w:val="00E73E61"/>
    <w:rsid w:val="00E75031"/>
    <w:rsid w:val="00E755AE"/>
    <w:rsid w:val="00E759B1"/>
    <w:rsid w:val="00E75E5B"/>
    <w:rsid w:val="00E7624F"/>
    <w:rsid w:val="00E76C4C"/>
    <w:rsid w:val="00E7708D"/>
    <w:rsid w:val="00E774E2"/>
    <w:rsid w:val="00E77A41"/>
    <w:rsid w:val="00E80165"/>
    <w:rsid w:val="00E80B5C"/>
    <w:rsid w:val="00E80D62"/>
    <w:rsid w:val="00E81295"/>
    <w:rsid w:val="00E81C80"/>
    <w:rsid w:val="00E824F2"/>
    <w:rsid w:val="00E828AA"/>
    <w:rsid w:val="00E82A90"/>
    <w:rsid w:val="00E839CF"/>
    <w:rsid w:val="00E83B81"/>
    <w:rsid w:val="00E84351"/>
    <w:rsid w:val="00E8524D"/>
    <w:rsid w:val="00E8589D"/>
    <w:rsid w:val="00E85B0C"/>
    <w:rsid w:val="00E86931"/>
    <w:rsid w:val="00E8773A"/>
    <w:rsid w:val="00E901A7"/>
    <w:rsid w:val="00E904F1"/>
    <w:rsid w:val="00E912FA"/>
    <w:rsid w:val="00E91473"/>
    <w:rsid w:val="00E91CE7"/>
    <w:rsid w:val="00E92099"/>
    <w:rsid w:val="00E9210F"/>
    <w:rsid w:val="00E923E5"/>
    <w:rsid w:val="00E92657"/>
    <w:rsid w:val="00E928ED"/>
    <w:rsid w:val="00E9294A"/>
    <w:rsid w:val="00E92997"/>
    <w:rsid w:val="00E92CB2"/>
    <w:rsid w:val="00E93503"/>
    <w:rsid w:val="00E93BD6"/>
    <w:rsid w:val="00E947E7"/>
    <w:rsid w:val="00E949B6"/>
    <w:rsid w:val="00E94ACE"/>
    <w:rsid w:val="00E9500D"/>
    <w:rsid w:val="00E95256"/>
    <w:rsid w:val="00E9542C"/>
    <w:rsid w:val="00E96235"/>
    <w:rsid w:val="00E9691E"/>
    <w:rsid w:val="00E971D3"/>
    <w:rsid w:val="00E97AB2"/>
    <w:rsid w:val="00EA0942"/>
    <w:rsid w:val="00EA21A4"/>
    <w:rsid w:val="00EA2764"/>
    <w:rsid w:val="00EA3759"/>
    <w:rsid w:val="00EA4253"/>
    <w:rsid w:val="00EA45D5"/>
    <w:rsid w:val="00EA5ECA"/>
    <w:rsid w:val="00EA70AE"/>
    <w:rsid w:val="00EA7318"/>
    <w:rsid w:val="00EA7858"/>
    <w:rsid w:val="00EB1E19"/>
    <w:rsid w:val="00EB2BCE"/>
    <w:rsid w:val="00EB3DB7"/>
    <w:rsid w:val="00EB4CD7"/>
    <w:rsid w:val="00EB4F3C"/>
    <w:rsid w:val="00EB5E6E"/>
    <w:rsid w:val="00EB6727"/>
    <w:rsid w:val="00EB72C1"/>
    <w:rsid w:val="00EC0139"/>
    <w:rsid w:val="00EC097F"/>
    <w:rsid w:val="00EC0B19"/>
    <w:rsid w:val="00EC1686"/>
    <w:rsid w:val="00EC1812"/>
    <w:rsid w:val="00EC1F20"/>
    <w:rsid w:val="00EC227D"/>
    <w:rsid w:val="00EC24F0"/>
    <w:rsid w:val="00EC26A5"/>
    <w:rsid w:val="00EC3760"/>
    <w:rsid w:val="00EC4BAD"/>
    <w:rsid w:val="00EC5A8D"/>
    <w:rsid w:val="00EC6B7E"/>
    <w:rsid w:val="00EC7318"/>
    <w:rsid w:val="00EC7855"/>
    <w:rsid w:val="00ED099C"/>
    <w:rsid w:val="00ED1069"/>
    <w:rsid w:val="00ED1F45"/>
    <w:rsid w:val="00ED2204"/>
    <w:rsid w:val="00ED2859"/>
    <w:rsid w:val="00ED2C66"/>
    <w:rsid w:val="00ED2D77"/>
    <w:rsid w:val="00ED301F"/>
    <w:rsid w:val="00ED325D"/>
    <w:rsid w:val="00ED3BFC"/>
    <w:rsid w:val="00ED3F4E"/>
    <w:rsid w:val="00ED49AA"/>
    <w:rsid w:val="00ED5474"/>
    <w:rsid w:val="00ED560D"/>
    <w:rsid w:val="00ED57E2"/>
    <w:rsid w:val="00ED5962"/>
    <w:rsid w:val="00ED65EA"/>
    <w:rsid w:val="00ED67FA"/>
    <w:rsid w:val="00ED71C8"/>
    <w:rsid w:val="00EE04A7"/>
    <w:rsid w:val="00EE1068"/>
    <w:rsid w:val="00EE15E9"/>
    <w:rsid w:val="00EE1759"/>
    <w:rsid w:val="00EE1896"/>
    <w:rsid w:val="00EE1917"/>
    <w:rsid w:val="00EE1E55"/>
    <w:rsid w:val="00EE1FA3"/>
    <w:rsid w:val="00EE2BAA"/>
    <w:rsid w:val="00EE3037"/>
    <w:rsid w:val="00EE32AE"/>
    <w:rsid w:val="00EE4003"/>
    <w:rsid w:val="00EE461E"/>
    <w:rsid w:val="00EE46A1"/>
    <w:rsid w:val="00EE479F"/>
    <w:rsid w:val="00EE4FC7"/>
    <w:rsid w:val="00EE4FFD"/>
    <w:rsid w:val="00EE5964"/>
    <w:rsid w:val="00EE6883"/>
    <w:rsid w:val="00EE731D"/>
    <w:rsid w:val="00EE735C"/>
    <w:rsid w:val="00EE7732"/>
    <w:rsid w:val="00EE7922"/>
    <w:rsid w:val="00EE7EFB"/>
    <w:rsid w:val="00EF0963"/>
    <w:rsid w:val="00EF1B65"/>
    <w:rsid w:val="00EF1ED3"/>
    <w:rsid w:val="00EF2879"/>
    <w:rsid w:val="00EF2A25"/>
    <w:rsid w:val="00EF3208"/>
    <w:rsid w:val="00EF353C"/>
    <w:rsid w:val="00EF3A98"/>
    <w:rsid w:val="00EF3D13"/>
    <w:rsid w:val="00EF5E7B"/>
    <w:rsid w:val="00EF6686"/>
    <w:rsid w:val="00EF6971"/>
    <w:rsid w:val="00EF7380"/>
    <w:rsid w:val="00EF7DE3"/>
    <w:rsid w:val="00F00031"/>
    <w:rsid w:val="00F00A02"/>
    <w:rsid w:val="00F01D4F"/>
    <w:rsid w:val="00F022E5"/>
    <w:rsid w:val="00F02350"/>
    <w:rsid w:val="00F02F76"/>
    <w:rsid w:val="00F03377"/>
    <w:rsid w:val="00F0432B"/>
    <w:rsid w:val="00F04E05"/>
    <w:rsid w:val="00F04E26"/>
    <w:rsid w:val="00F051B9"/>
    <w:rsid w:val="00F05F0C"/>
    <w:rsid w:val="00F06EC3"/>
    <w:rsid w:val="00F0727A"/>
    <w:rsid w:val="00F101D9"/>
    <w:rsid w:val="00F10D04"/>
    <w:rsid w:val="00F11905"/>
    <w:rsid w:val="00F12A71"/>
    <w:rsid w:val="00F13889"/>
    <w:rsid w:val="00F13931"/>
    <w:rsid w:val="00F13F13"/>
    <w:rsid w:val="00F142EC"/>
    <w:rsid w:val="00F1448E"/>
    <w:rsid w:val="00F15165"/>
    <w:rsid w:val="00F15E59"/>
    <w:rsid w:val="00F1602B"/>
    <w:rsid w:val="00F16593"/>
    <w:rsid w:val="00F16AAC"/>
    <w:rsid w:val="00F17624"/>
    <w:rsid w:val="00F20B06"/>
    <w:rsid w:val="00F20B22"/>
    <w:rsid w:val="00F20B35"/>
    <w:rsid w:val="00F21321"/>
    <w:rsid w:val="00F21537"/>
    <w:rsid w:val="00F21A86"/>
    <w:rsid w:val="00F22428"/>
    <w:rsid w:val="00F22ECE"/>
    <w:rsid w:val="00F230AF"/>
    <w:rsid w:val="00F231CA"/>
    <w:rsid w:val="00F24818"/>
    <w:rsid w:val="00F248E6"/>
    <w:rsid w:val="00F260EF"/>
    <w:rsid w:val="00F26724"/>
    <w:rsid w:val="00F268B7"/>
    <w:rsid w:val="00F27492"/>
    <w:rsid w:val="00F276E7"/>
    <w:rsid w:val="00F27A1D"/>
    <w:rsid w:val="00F30686"/>
    <w:rsid w:val="00F30C59"/>
    <w:rsid w:val="00F31037"/>
    <w:rsid w:val="00F310DB"/>
    <w:rsid w:val="00F31401"/>
    <w:rsid w:val="00F316CC"/>
    <w:rsid w:val="00F316E2"/>
    <w:rsid w:val="00F319CB"/>
    <w:rsid w:val="00F31E7E"/>
    <w:rsid w:val="00F32A46"/>
    <w:rsid w:val="00F335D2"/>
    <w:rsid w:val="00F347E4"/>
    <w:rsid w:val="00F35095"/>
    <w:rsid w:val="00F3582E"/>
    <w:rsid w:val="00F35F07"/>
    <w:rsid w:val="00F36473"/>
    <w:rsid w:val="00F367D1"/>
    <w:rsid w:val="00F36CA3"/>
    <w:rsid w:val="00F36D40"/>
    <w:rsid w:val="00F37036"/>
    <w:rsid w:val="00F37499"/>
    <w:rsid w:val="00F37FF0"/>
    <w:rsid w:val="00F4098F"/>
    <w:rsid w:val="00F41389"/>
    <w:rsid w:val="00F42F70"/>
    <w:rsid w:val="00F453E3"/>
    <w:rsid w:val="00F45CC7"/>
    <w:rsid w:val="00F45F52"/>
    <w:rsid w:val="00F4615B"/>
    <w:rsid w:val="00F46EA5"/>
    <w:rsid w:val="00F50483"/>
    <w:rsid w:val="00F52234"/>
    <w:rsid w:val="00F52852"/>
    <w:rsid w:val="00F52F85"/>
    <w:rsid w:val="00F5377C"/>
    <w:rsid w:val="00F53C6B"/>
    <w:rsid w:val="00F54A4D"/>
    <w:rsid w:val="00F54FF3"/>
    <w:rsid w:val="00F55BAC"/>
    <w:rsid w:val="00F5659F"/>
    <w:rsid w:val="00F567E8"/>
    <w:rsid w:val="00F572A7"/>
    <w:rsid w:val="00F57FA1"/>
    <w:rsid w:val="00F6050D"/>
    <w:rsid w:val="00F615A7"/>
    <w:rsid w:val="00F61D0F"/>
    <w:rsid w:val="00F6224C"/>
    <w:rsid w:val="00F62C68"/>
    <w:rsid w:val="00F635A4"/>
    <w:rsid w:val="00F64C33"/>
    <w:rsid w:val="00F64E98"/>
    <w:rsid w:val="00F65143"/>
    <w:rsid w:val="00F65538"/>
    <w:rsid w:val="00F658E2"/>
    <w:rsid w:val="00F65992"/>
    <w:rsid w:val="00F66C82"/>
    <w:rsid w:val="00F67712"/>
    <w:rsid w:val="00F679B3"/>
    <w:rsid w:val="00F70684"/>
    <w:rsid w:val="00F7082E"/>
    <w:rsid w:val="00F71049"/>
    <w:rsid w:val="00F7193F"/>
    <w:rsid w:val="00F71CAF"/>
    <w:rsid w:val="00F721F0"/>
    <w:rsid w:val="00F723DB"/>
    <w:rsid w:val="00F72ED8"/>
    <w:rsid w:val="00F7302E"/>
    <w:rsid w:val="00F73DF5"/>
    <w:rsid w:val="00F7426B"/>
    <w:rsid w:val="00F74337"/>
    <w:rsid w:val="00F745DF"/>
    <w:rsid w:val="00F753F2"/>
    <w:rsid w:val="00F762CC"/>
    <w:rsid w:val="00F77147"/>
    <w:rsid w:val="00F7714C"/>
    <w:rsid w:val="00F775B7"/>
    <w:rsid w:val="00F800D3"/>
    <w:rsid w:val="00F8037F"/>
    <w:rsid w:val="00F81036"/>
    <w:rsid w:val="00F81586"/>
    <w:rsid w:val="00F8201B"/>
    <w:rsid w:val="00F82C9F"/>
    <w:rsid w:val="00F83447"/>
    <w:rsid w:val="00F8370C"/>
    <w:rsid w:val="00F83844"/>
    <w:rsid w:val="00F8391E"/>
    <w:rsid w:val="00F83A41"/>
    <w:rsid w:val="00F84D9E"/>
    <w:rsid w:val="00F856CC"/>
    <w:rsid w:val="00F85867"/>
    <w:rsid w:val="00F862FB"/>
    <w:rsid w:val="00F8695D"/>
    <w:rsid w:val="00F9006C"/>
    <w:rsid w:val="00F904C6"/>
    <w:rsid w:val="00F91E0B"/>
    <w:rsid w:val="00F92157"/>
    <w:rsid w:val="00F9274D"/>
    <w:rsid w:val="00F9348D"/>
    <w:rsid w:val="00F93822"/>
    <w:rsid w:val="00F93929"/>
    <w:rsid w:val="00F93E46"/>
    <w:rsid w:val="00F93E84"/>
    <w:rsid w:val="00F94A95"/>
    <w:rsid w:val="00F94EFA"/>
    <w:rsid w:val="00F9511A"/>
    <w:rsid w:val="00F95698"/>
    <w:rsid w:val="00F96A70"/>
    <w:rsid w:val="00F96C98"/>
    <w:rsid w:val="00F96D8E"/>
    <w:rsid w:val="00F97461"/>
    <w:rsid w:val="00F97961"/>
    <w:rsid w:val="00F97EB2"/>
    <w:rsid w:val="00FA084D"/>
    <w:rsid w:val="00FA0BE6"/>
    <w:rsid w:val="00FA0D8E"/>
    <w:rsid w:val="00FA14A1"/>
    <w:rsid w:val="00FA18EA"/>
    <w:rsid w:val="00FA1B01"/>
    <w:rsid w:val="00FA217F"/>
    <w:rsid w:val="00FA221B"/>
    <w:rsid w:val="00FA24B5"/>
    <w:rsid w:val="00FA31B2"/>
    <w:rsid w:val="00FA43B8"/>
    <w:rsid w:val="00FA4A34"/>
    <w:rsid w:val="00FA6508"/>
    <w:rsid w:val="00FB012E"/>
    <w:rsid w:val="00FB059A"/>
    <w:rsid w:val="00FB0A79"/>
    <w:rsid w:val="00FB15F8"/>
    <w:rsid w:val="00FB1828"/>
    <w:rsid w:val="00FB1ABB"/>
    <w:rsid w:val="00FB2CF4"/>
    <w:rsid w:val="00FB2EA9"/>
    <w:rsid w:val="00FB344C"/>
    <w:rsid w:val="00FB4029"/>
    <w:rsid w:val="00FB45DA"/>
    <w:rsid w:val="00FB5F35"/>
    <w:rsid w:val="00FB61A1"/>
    <w:rsid w:val="00FB6896"/>
    <w:rsid w:val="00FB6B19"/>
    <w:rsid w:val="00FB70E5"/>
    <w:rsid w:val="00FB745D"/>
    <w:rsid w:val="00FB760B"/>
    <w:rsid w:val="00FB7CFB"/>
    <w:rsid w:val="00FB7FA3"/>
    <w:rsid w:val="00FC000B"/>
    <w:rsid w:val="00FC16D0"/>
    <w:rsid w:val="00FC1819"/>
    <w:rsid w:val="00FC1834"/>
    <w:rsid w:val="00FC208C"/>
    <w:rsid w:val="00FC4A64"/>
    <w:rsid w:val="00FC4D60"/>
    <w:rsid w:val="00FC4F82"/>
    <w:rsid w:val="00FC5518"/>
    <w:rsid w:val="00FC58D3"/>
    <w:rsid w:val="00FC5ABF"/>
    <w:rsid w:val="00FC7A17"/>
    <w:rsid w:val="00FD041A"/>
    <w:rsid w:val="00FD1743"/>
    <w:rsid w:val="00FD184C"/>
    <w:rsid w:val="00FD1908"/>
    <w:rsid w:val="00FD1D0C"/>
    <w:rsid w:val="00FD1E6A"/>
    <w:rsid w:val="00FD1F98"/>
    <w:rsid w:val="00FD22C4"/>
    <w:rsid w:val="00FD248A"/>
    <w:rsid w:val="00FD28E5"/>
    <w:rsid w:val="00FD297C"/>
    <w:rsid w:val="00FD3164"/>
    <w:rsid w:val="00FD31E5"/>
    <w:rsid w:val="00FD3408"/>
    <w:rsid w:val="00FD421A"/>
    <w:rsid w:val="00FD4913"/>
    <w:rsid w:val="00FD4C3A"/>
    <w:rsid w:val="00FD4E0C"/>
    <w:rsid w:val="00FD5C5E"/>
    <w:rsid w:val="00FD5EEE"/>
    <w:rsid w:val="00FD70F1"/>
    <w:rsid w:val="00FD7C47"/>
    <w:rsid w:val="00FD7D6F"/>
    <w:rsid w:val="00FE02B9"/>
    <w:rsid w:val="00FE0969"/>
    <w:rsid w:val="00FE149A"/>
    <w:rsid w:val="00FE2DD8"/>
    <w:rsid w:val="00FE3368"/>
    <w:rsid w:val="00FE35B6"/>
    <w:rsid w:val="00FE38D8"/>
    <w:rsid w:val="00FE3D03"/>
    <w:rsid w:val="00FE43FC"/>
    <w:rsid w:val="00FE46BB"/>
    <w:rsid w:val="00FE4712"/>
    <w:rsid w:val="00FE7269"/>
    <w:rsid w:val="00FE7708"/>
    <w:rsid w:val="00FE77A9"/>
    <w:rsid w:val="00FE7CB0"/>
    <w:rsid w:val="00FE7F69"/>
    <w:rsid w:val="00FF240F"/>
    <w:rsid w:val="00FF2963"/>
    <w:rsid w:val="00FF3140"/>
    <w:rsid w:val="00FF40A2"/>
    <w:rsid w:val="00FF4858"/>
    <w:rsid w:val="00FF5944"/>
    <w:rsid w:val="00FF600A"/>
    <w:rsid w:val="00FF62CB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227B5E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227B5E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27B5E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227B5E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227B5E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227B5E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rsid w:val="00227B5E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rsid w:val="00227B5E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rsid w:val="00227B5E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5E"/>
    <w:pPr>
      <w:jc w:val="center"/>
    </w:pPr>
    <w:rPr>
      <w:b/>
      <w:bCs/>
      <w:sz w:val="36"/>
      <w:szCs w:val="36"/>
    </w:rPr>
  </w:style>
  <w:style w:type="paragraph" w:styleId="BodyText2">
    <w:name w:val="Body Text 2"/>
    <w:basedOn w:val="Normal"/>
    <w:rsid w:val="00227B5E"/>
    <w:pPr>
      <w:spacing w:line="360" w:lineRule="auto"/>
      <w:jc w:val="lowKashida"/>
    </w:pPr>
    <w:rPr>
      <w:sz w:val="28"/>
      <w:szCs w:val="28"/>
    </w:rPr>
  </w:style>
  <w:style w:type="paragraph" w:styleId="Caption">
    <w:name w:val="caption"/>
    <w:basedOn w:val="Normal"/>
    <w:next w:val="Normal"/>
    <w:qFormat/>
    <w:rsid w:val="00227B5E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rsid w:val="00227B5E"/>
    <w:rPr>
      <w:b/>
      <w:bCs/>
      <w:sz w:val="28"/>
      <w:szCs w:val="28"/>
    </w:rPr>
  </w:style>
  <w:style w:type="paragraph" w:styleId="Header">
    <w:name w:val="header"/>
    <w:basedOn w:val="Normal"/>
    <w:rsid w:val="00227B5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Strong">
    <w:name w:val="Strong"/>
    <w:uiPriority w:val="22"/>
    <w:qFormat/>
    <w:rsid w:val="00227B5E"/>
    <w:rPr>
      <w:b/>
      <w:bCs/>
    </w:rPr>
  </w:style>
  <w:style w:type="character" w:customStyle="1" w:styleId="indent">
    <w:name w:val="indent"/>
    <w:basedOn w:val="DefaultParagraphFont"/>
    <w:rsid w:val="00227B5E"/>
  </w:style>
  <w:style w:type="table" w:styleId="TableGrid">
    <w:name w:val="Table Grid"/>
    <w:basedOn w:val="TableNormal"/>
    <w:rsid w:val="002724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B5C9B"/>
    <w:pPr>
      <w:spacing w:line="191" w:lineRule="atLeast"/>
    </w:pPr>
    <w:rPr>
      <w:rFonts w:ascii="Rotis SansSerif Std Light" w:hAnsi="Rotis SansSerif Std Light" w:cs="Times New Roman"/>
      <w:color w:val="auto"/>
    </w:rPr>
  </w:style>
  <w:style w:type="character" w:customStyle="1" w:styleId="A12">
    <w:name w:val="A12"/>
    <w:uiPriority w:val="99"/>
    <w:rsid w:val="009B5C9B"/>
    <w:rPr>
      <w:rFonts w:cs="Rotis SansSerif Std Light"/>
      <w:color w:val="000000"/>
      <w:sz w:val="19"/>
      <w:szCs w:val="19"/>
    </w:rPr>
  </w:style>
  <w:style w:type="character" w:customStyle="1" w:styleId="absnonlinkmetadata">
    <w:name w:val="abs_nonlink_metadata"/>
    <w:basedOn w:val="DefaultParagraphFont"/>
    <w:rsid w:val="00ED301F"/>
  </w:style>
  <w:style w:type="character" w:customStyle="1" w:styleId="cit-source">
    <w:name w:val="cit-source"/>
    <w:basedOn w:val="DefaultParagraphFont"/>
    <w:rsid w:val="00BE16B7"/>
  </w:style>
  <w:style w:type="character" w:customStyle="1" w:styleId="cit-pub-date">
    <w:name w:val="cit-pub-date"/>
    <w:basedOn w:val="DefaultParagraphFont"/>
    <w:rsid w:val="00BE16B7"/>
  </w:style>
  <w:style w:type="character" w:customStyle="1" w:styleId="cit-vol">
    <w:name w:val="cit-vol"/>
    <w:basedOn w:val="DefaultParagraphFont"/>
    <w:rsid w:val="00BE16B7"/>
  </w:style>
  <w:style w:type="character" w:customStyle="1" w:styleId="highlight">
    <w:name w:val="highlight"/>
    <w:basedOn w:val="DefaultParagraphFont"/>
    <w:rsid w:val="00CA11AD"/>
  </w:style>
  <w:style w:type="paragraph" w:customStyle="1" w:styleId="Pa17">
    <w:name w:val="Pa17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label">
    <w:name w:val="label"/>
    <w:basedOn w:val="DefaultParagraphFont"/>
    <w:rsid w:val="007F6807"/>
  </w:style>
  <w:style w:type="character" w:customStyle="1" w:styleId="separator">
    <w:name w:val="separator"/>
    <w:basedOn w:val="DefaultParagraphFont"/>
    <w:rsid w:val="007F6807"/>
  </w:style>
  <w:style w:type="character" w:customStyle="1" w:styleId="value">
    <w:name w:val="value"/>
    <w:basedOn w:val="DefaultParagraphFont"/>
    <w:rsid w:val="007F6807"/>
  </w:style>
  <w:style w:type="character" w:customStyle="1" w:styleId="ui-ncbitoggler-master-text">
    <w:name w:val="ui-ncbitoggler-master-text"/>
    <w:basedOn w:val="DefaultParagraphFont"/>
    <w:rsid w:val="007F6807"/>
  </w:style>
  <w:style w:type="character" w:customStyle="1" w:styleId="Heading1Char">
    <w:name w:val="Heading 1 Char"/>
    <w:link w:val="Heading1"/>
    <w:rsid w:val="004C60E2"/>
    <w:rPr>
      <w:sz w:val="28"/>
      <w:szCs w:val="28"/>
      <w:lang w:bidi="ar-EG"/>
    </w:rPr>
  </w:style>
  <w:style w:type="character" w:customStyle="1" w:styleId="st">
    <w:name w:val="st"/>
    <w:basedOn w:val="DefaultParagraphFont"/>
    <w:rsid w:val="00440C2A"/>
  </w:style>
  <w:style w:type="character" w:styleId="CommentReference">
    <w:name w:val="annotation reference"/>
    <w:rsid w:val="008D1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912"/>
    <w:rPr>
      <w:sz w:val="20"/>
      <w:szCs w:val="20"/>
    </w:rPr>
  </w:style>
  <w:style w:type="character" w:customStyle="1" w:styleId="CommentTextChar">
    <w:name w:val="Comment Text Char"/>
    <w:link w:val="CommentText"/>
    <w:rsid w:val="008D1912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8D1912"/>
    <w:rPr>
      <w:b/>
      <w:bCs/>
    </w:rPr>
  </w:style>
  <w:style w:type="character" w:customStyle="1" w:styleId="CommentSubjectChar">
    <w:name w:val="Comment Subject Char"/>
    <w:link w:val="CommentSubject"/>
    <w:rsid w:val="008D1912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8D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1912"/>
    <w:rPr>
      <w:rFonts w:ascii="Tahoma" w:hAnsi="Tahoma" w:cs="Tahoma"/>
      <w:sz w:val="16"/>
      <w:szCs w:val="16"/>
      <w:lang w:bidi="ar-EG"/>
    </w:rPr>
  </w:style>
  <w:style w:type="character" w:customStyle="1" w:styleId="apple-style-span">
    <w:name w:val="apple-style-span"/>
    <w:rsid w:val="008A4918"/>
  </w:style>
  <w:style w:type="character" w:customStyle="1" w:styleId="un">
    <w:name w:val="u_n"/>
    <w:basedOn w:val="DefaultParagraphFont"/>
    <w:rsid w:val="00C573B0"/>
  </w:style>
  <w:style w:type="paragraph" w:styleId="NoSpacing">
    <w:name w:val="No Spacing"/>
    <w:basedOn w:val="Normal"/>
    <w:link w:val="NoSpacingChar"/>
    <w:qFormat/>
    <w:rsid w:val="00087BC6"/>
    <w:pPr>
      <w:spacing w:before="100" w:beforeAutospacing="1" w:after="100" w:afterAutospacing="1"/>
    </w:pPr>
    <w:rPr>
      <w:rFonts w:eastAsia="SimSun"/>
      <w:lang w:eastAsia="zh-CN" w:bidi="ar-SA"/>
    </w:rPr>
  </w:style>
  <w:style w:type="character" w:customStyle="1" w:styleId="NoSpacingChar">
    <w:name w:val="No Spacing Char"/>
    <w:basedOn w:val="DefaultParagraphFont"/>
    <w:link w:val="NoSpacing"/>
    <w:locked/>
    <w:rsid w:val="00087BC6"/>
    <w:rPr>
      <w:rFonts w:eastAsia="SimSun"/>
      <w:sz w:val="24"/>
      <w:szCs w:val="24"/>
    </w:rPr>
  </w:style>
  <w:style w:type="character" w:customStyle="1" w:styleId="msonormal0">
    <w:name w:val="msonormal0"/>
    <w:basedOn w:val="DefaultParagraphFont"/>
    <w:rsid w:val="00087BC6"/>
  </w:style>
  <w:style w:type="paragraph" w:styleId="ListParagraph">
    <w:name w:val="List Paragraph"/>
    <w:basedOn w:val="Normal"/>
    <w:uiPriority w:val="34"/>
    <w:qFormat/>
    <w:rsid w:val="00087B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43"/>
    <w:rPr>
      <w:sz w:val="24"/>
      <w:szCs w:val="24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227B5E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227B5E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27B5E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227B5E"/>
    <w:pPr>
      <w:keepNext/>
      <w:jc w:val="right"/>
      <w:outlineLvl w:val="3"/>
    </w:pPr>
    <w:rPr>
      <w:rFonts w:ascii="Monotype Corsiva" w:hAnsi="Monotype Corsiva" w:cs="Tahoma"/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227B5E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227B5E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rsid w:val="00227B5E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qFormat/>
    <w:rsid w:val="00227B5E"/>
    <w:pPr>
      <w:keepNext/>
      <w:spacing w:line="360" w:lineRule="auto"/>
      <w:jc w:val="center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next w:val="Normal"/>
    <w:qFormat/>
    <w:rsid w:val="00227B5E"/>
    <w:pPr>
      <w:keepNext/>
      <w:spacing w:line="360" w:lineRule="auto"/>
      <w:jc w:val="right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5E"/>
    <w:pPr>
      <w:jc w:val="center"/>
    </w:pPr>
    <w:rPr>
      <w:b/>
      <w:bCs/>
      <w:sz w:val="36"/>
      <w:szCs w:val="36"/>
    </w:rPr>
  </w:style>
  <w:style w:type="paragraph" w:styleId="BodyText2">
    <w:name w:val="Body Text 2"/>
    <w:basedOn w:val="Normal"/>
    <w:rsid w:val="00227B5E"/>
    <w:pPr>
      <w:spacing w:line="360" w:lineRule="auto"/>
      <w:jc w:val="lowKashida"/>
    </w:pPr>
    <w:rPr>
      <w:sz w:val="28"/>
      <w:szCs w:val="28"/>
    </w:rPr>
  </w:style>
  <w:style w:type="paragraph" w:styleId="Caption">
    <w:name w:val="caption"/>
    <w:basedOn w:val="Normal"/>
    <w:next w:val="Normal"/>
    <w:qFormat/>
    <w:rsid w:val="00227B5E"/>
    <w:pPr>
      <w:spacing w:line="360" w:lineRule="auto"/>
    </w:pPr>
    <w:rPr>
      <w:b/>
      <w:bCs/>
      <w:sz w:val="28"/>
      <w:szCs w:val="28"/>
    </w:rPr>
  </w:style>
  <w:style w:type="paragraph" w:styleId="BodyText3">
    <w:name w:val="Body Text 3"/>
    <w:basedOn w:val="Normal"/>
    <w:rsid w:val="00227B5E"/>
    <w:rPr>
      <w:b/>
      <w:bCs/>
      <w:sz w:val="28"/>
      <w:szCs w:val="28"/>
    </w:rPr>
  </w:style>
  <w:style w:type="paragraph" w:styleId="Header">
    <w:name w:val="header"/>
    <w:basedOn w:val="Normal"/>
    <w:rsid w:val="00227B5E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styleId="Strong">
    <w:name w:val="Strong"/>
    <w:uiPriority w:val="22"/>
    <w:qFormat/>
    <w:rsid w:val="00227B5E"/>
    <w:rPr>
      <w:b/>
      <w:bCs/>
    </w:rPr>
  </w:style>
  <w:style w:type="character" w:customStyle="1" w:styleId="indent">
    <w:name w:val="indent"/>
    <w:basedOn w:val="DefaultParagraphFont"/>
    <w:rsid w:val="00227B5E"/>
  </w:style>
  <w:style w:type="table" w:styleId="TableGrid">
    <w:name w:val="Table Grid"/>
    <w:basedOn w:val="TableNormal"/>
    <w:rsid w:val="002724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s">
    <w:name w:val="references"/>
    <w:basedOn w:val="DefaultParagraphFont"/>
    <w:rsid w:val="00E41164"/>
  </w:style>
  <w:style w:type="character" w:customStyle="1" w:styleId="flag">
    <w:name w:val="flag"/>
    <w:basedOn w:val="DefaultParagraphFont"/>
    <w:rsid w:val="00E41164"/>
  </w:style>
  <w:style w:type="character" w:customStyle="1" w:styleId="authornames">
    <w:name w:val="authornames"/>
    <w:basedOn w:val="DefaultParagraphFont"/>
    <w:rsid w:val="00E41164"/>
  </w:style>
  <w:style w:type="character" w:styleId="Hyperlink">
    <w:name w:val="Hyperlink"/>
    <w:uiPriority w:val="99"/>
    <w:unhideWhenUsed/>
    <w:rsid w:val="00E41164"/>
    <w:rPr>
      <w:color w:val="0000FF"/>
      <w:u w:val="single"/>
    </w:rPr>
  </w:style>
  <w:style w:type="character" w:customStyle="1" w:styleId="spanplus">
    <w:name w:val="spanplus"/>
    <w:basedOn w:val="DefaultParagraphFont"/>
    <w:rsid w:val="00E41164"/>
  </w:style>
  <w:style w:type="paragraph" w:styleId="NormalWeb">
    <w:name w:val="Normal (Web)"/>
    <w:basedOn w:val="Normal"/>
    <w:uiPriority w:val="99"/>
    <w:unhideWhenUsed/>
    <w:rsid w:val="00E41164"/>
    <w:pPr>
      <w:spacing w:before="100" w:beforeAutospacing="1" w:after="100" w:afterAutospacing="1"/>
    </w:pPr>
  </w:style>
  <w:style w:type="paragraph" w:customStyle="1" w:styleId="para">
    <w:name w:val="para"/>
    <w:basedOn w:val="Normal"/>
    <w:rsid w:val="00E41164"/>
    <w:pPr>
      <w:spacing w:before="100" w:beforeAutospacing="1" w:after="100" w:afterAutospacing="1"/>
    </w:pPr>
  </w:style>
  <w:style w:type="character" w:customStyle="1" w:styleId="table">
    <w:name w:val="table"/>
    <w:basedOn w:val="DefaultParagraphFont"/>
    <w:rsid w:val="00E41164"/>
  </w:style>
  <w:style w:type="character" w:customStyle="1" w:styleId="figurelabel">
    <w:name w:val="figurelabel"/>
    <w:basedOn w:val="DefaultParagraphFont"/>
    <w:rsid w:val="00E41164"/>
  </w:style>
  <w:style w:type="character" w:customStyle="1" w:styleId="figurecaption">
    <w:name w:val="figurecaption"/>
    <w:basedOn w:val="DefaultParagraphFont"/>
    <w:rsid w:val="00E41164"/>
  </w:style>
  <w:style w:type="character" w:customStyle="1" w:styleId="lblsubtitle">
    <w:name w:val="lblsubtitle"/>
    <w:basedOn w:val="DefaultParagraphFont"/>
    <w:rsid w:val="00B076CF"/>
  </w:style>
  <w:style w:type="character" w:customStyle="1" w:styleId="pubmedlink">
    <w:name w:val="pubmedlink"/>
    <w:basedOn w:val="DefaultParagraphFont"/>
    <w:rsid w:val="00BC2269"/>
  </w:style>
  <w:style w:type="character" w:customStyle="1" w:styleId="crossrefdoi">
    <w:name w:val="crossrefdoi"/>
    <w:basedOn w:val="DefaultParagraphFont"/>
    <w:rsid w:val="00BC2269"/>
  </w:style>
  <w:style w:type="paragraph" w:styleId="Footer">
    <w:name w:val="footer"/>
    <w:basedOn w:val="Normal"/>
    <w:link w:val="FooterChar"/>
    <w:rsid w:val="00BE32D6"/>
    <w:pPr>
      <w:tabs>
        <w:tab w:val="center" w:pos="4153"/>
        <w:tab w:val="right" w:pos="8306"/>
      </w:tabs>
    </w:pPr>
    <w:rPr>
      <w:lang w:eastAsia="ar-SA" w:bidi="ar-SA"/>
    </w:rPr>
  </w:style>
  <w:style w:type="character" w:customStyle="1" w:styleId="FooterChar">
    <w:name w:val="Footer Char"/>
    <w:link w:val="Footer"/>
    <w:rsid w:val="00BE32D6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4E41C5"/>
    <w:rPr>
      <w:i/>
      <w:iCs/>
    </w:rPr>
  </w:style>
  <w:style w:type="character" w:customStyle="1" w:styleId="name">
    <w:name w:val="name"/>
    <w:basedOn w:val="DefaultParagraphFont"/>
    <w:rsid w:val="002440D1"/>
  </w:style>
  <w:style w:type="character" w:customStyle="1" w:styleId="collab">
    <w:name w:val="collab"/>
    <w:basedOn w:val="DefaultParagraphFont"/>
    <w:rsid w:val="002440D1"/>
  </w:style>
  <w:style w:type="character" w:styleId="HTMLCite">
    <w:name w:val="HTML Cite"/>
    <w:uiPriority w:val="99"/>
    <w:unhideWhenUsed/>
    <w:rsid w:val="002440D1"/>
    <w:rPr>
      <w:i/>
      <w:iCs/>
    </w:rPr>
  </w:style>
  <w:style w:type="character" w:customStyle="1" w:styleId="slug-pub-date">
    <w:name w:val="slug-pub-date"/>
    <w:basedOn w:val="DefaultParagraphFont"/>
    <w:rsid w:val="002440D1"/>
  </w:style>
  <w:style w:type="character" w:customStyle="1" w:styleId="slug-vol">
    <w:name w:val="slug-vol"/>
    <w:basedOn w:val="DefaultParagraphFont"/>
    <w:rsid w:val="002440D1"/>
  </w:style>
  <w:style w:type="character" w:customStyle="1" w:styleId="slug-issue">
    <w:name w:val="slug-issue"/>
    <w:basedOn w:val="DefaultParagraphFont"/>
    <w:rsid w:val="002440D1"/>
  </w:style>
  <w:style w:type="character" w:customStyle="1" w:styleId="slug-pages">
    <w:name w:val="slug-pages"/>
    <w:basedOn w:val="DefaultParagraphFont"/>
    <w:rsid w:val="002440D1"/>
  </w:style>
  <w:style w:type="character" w:customStyle="1" w:styleId="slug-doi-wrapper">
    <w:name w:val="slug-doi-wrapper"/>
    <w:basedOn w:val="DefaultParagraphFont"/>
    <w:rsid w:val="002440D1"/>
  </w:style>
  <w:style w:type="character" w:customStyle="1" w:styleId="slug-doi">
    <w:name w:val="slug-doi"/>
    <w:basedOn w:val="DefaultParagraphFont"/>
    <w:rsid w:val="002440D1"/>
  </w:style>
  <w:style w:type="character" w:customStyle="1" w:styleId="issue-title">
    <w:name w:val="issue-title"/>
    <w:basedOn w:val="DefaultParagraphFont"/>
    <w:rsid w:val="002440D1"/>
  </w:style>
  <w:style w:type="paragraph" w:customStyle="1" w:styleId="Default">
    <w:name w:val="Default"/>
    <w:rsid w:val="009179AE"/>
    <w:pPr>
      <w:autoSpaceDE w:val="0"/>
      <w:autoSpaceDN w:val="0"/>
      <w:adjustRightInd w:val="0"/>
    </w:pPr>
    <w:rPr>
      <w:rFonts w:ascii="Janson Text LT" w:hAnsi="Janson Text LT" w:cs="Janson Text LT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179AE"/>
    <w:rPr>
      <w:rFonts w:cs="Janson Text LT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9179AE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C23F5"/>
    <w:rPr>
      <w:rFonts w:cs="Janson Text LT"/>
      <w:color w:val="000000"/>
    </w:rPr>
  </w:style>
  <w:style w:type="paragraph" w:customStyle="1" w:styleId="Pa27">
    <w:name w:val="Pa27"/>
    <w:basedOn w:val="Default"/>
    <w:next w:val="Default"/>
    <w:uiPriority w:val="99"/>
    <w:rsid w:val="00B2315E"/>
    <w:pPr>
      <w:spacing w:line="241" w:lineRule="atLeast"/>
    </w:pPr>
    <w:rPr>
      <w:rFonts w:cs="Times New Roman"/>
      <w:color w:val="auto"/>
    </w:rPr>
  </w:style>
  <w:style w:type="character" w:customStyle="1" w:styleId="cit">
    <w:name w:val="cit"/>
    <w:basedOn w:val="DefaultParagraphFont"/>
    <w:rsid w:val="009D3E68"/>
  </w:style>
  <w:style w:type="paragraph" w:customStyle="1" w:styleId="Pa10">
    <w:name w:val="Pa10"/>
    <w:basedOn w:val="Default"/>
    <w:next w:val="Default"/>
    <w:uiPriority w:val="99"/>
    <w:rsid w:val="00865BA6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4139A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567D1"/>
    <w:pPr>
      <w:spacing w:line="201" w:lineRule="atLeast"/>
    </w:pPr>
    <w:rPr>
      <w:rFonts w:ascii="Times" w:hAnsi="Times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1B3F10"/>
    <w:pPr>
      <w:spacing w:line="181" w:lineRule="atLeast"/>
    </w:pPr>
    <w:rPr>
      <w:rFonts w:ascii="Times" w:hAnsi="Times" w:cs="Times"/>
      <w:color w:val="auto"/>
    </w:rPr>
  </w:style>
  <w:style w:type="character" w:customStyle="1" w:styleId="A7">
    <w:name w:val="A7"/>
    <w:uiPriority w:val="99"/>
    <w:rsid w:val="001B3F10"/>
    <w:rPr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414237"/>
  </w:style>
  <w:style w:type="character" w:customStyle="1" w:styleId="ref-journal">
    <w:name w:val="ref-journal"/>
    <w:basedOn w:val="DefaultParagraphFont"/>
    <w:rsid w:val="00414237"/>
  </w:style>
  <w:style w:type="character" w:customStyle="1" w:styleId="ref-vol">
    <w:name w:val="ref-vol"/>
    <w:basedOn w:val="DefaultParagraphFont"/>
    <w:rsid w:val="00D50D09"/>
  </w:style>
  <w:style w:type="character" w:customStyle="1" w:styleId="citation">
    <w:name w:val="citation"/>
    <w:basedOn w:val="DefaultParagraphFont"/>
    <w:rsid w:val="000A7A8B"/>
  </w:style>
  <w:style w:type="paragraph" w:customStyle="1" w:styleId="Pa11">
    <w:name w:val="Pa11"/>
    <w:basedOn w:val="Default"/>
    <w:next w:val="Default"/>
    <w:uiPriority w:val="99"/>
    <w:rsid w:val="000E5238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2A35BC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91747A"/>
    <w:pPr>
      <w:spacing w:line="241" w:lineRule="atLeast"/>
    </w:pPr>
    <w:rPr>
      <w:rFonts w:ascii="Helvetica Neue LT Pro" w:hAnsi="Helvetica Neue LT Pro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9B5C9B"/>
    <w:pPr>
      <w:spacing w:line="191" w:lineRule="atLeast"/>
    </w:pPr>
    <w:rPr>
      <w:rFonts w:ascii="Rotis SansSerif Std Light" w:hAnsi="Rotis SansSerif Std Light" w:cs="Times New Roman"/>
      <w:color w:val="auto"/>
    </w:rPr>
  </w:style>
  <w:style w:type="character" w:customStyle="1" w:styleId="A12">
    <w:name w:val="A12"/>
    <w:uiPriority w:val="99"/>
    <w:rsid w:val="009B5C9B"/>
    <w:rPr>
      <w:rFonts w:cs="Rotis SansSerif Std Light"/>
      <w:color w:val="000000"/>
      <w:sz w:val="19"/>
      <w:szCs w:val="19"/>
    </w:rPr>
  </w:style>
  <w:style w:type="character" w:customStyle="1" w:styleId="absnonlinkmetadata">
    <w:name w:val="abs_nonlink_metadata"/>
    <w:basedOn w:val="DefaultParagraphFont"/>
    <w:rsid w:val="00ED301F"/>
  </w:style>
  <w:style w:type="character" w:customStyle="1" w:styleId="cit-source">
    <w:name w:val="cit-source"/>
    <w:basedOn w:val="DefaultParagraphFont"/>
    <w:rsid w:val="00BE16B7"/>
  </w:style>
  <w:style w:type="character" w:customStyle="1" w:styleId="cit-pub-date">
    <w:name w:val="cit-pub-date"/>
    <w:basedOn w:val="DefaultParagraphFont"/>
    <w:rsid w:val="00BE16B7"/>
  </w:style>
  <w:style w:type="character" w:customStyle="1" w:styleId="cit-vol">
    <w:name w:val="cit-vol"/>
    <w:basedOn w:val="DefaultParagraphFont"/>
    <w:rsid w:val="00BE16B7"/>
  </w:style>
  <w:style w:type="character" w:customStyle="1" w:styleId="highlight">
    <w:name w:val="highlight"/>
    <w:basedOn w:val="DefaultParagraphFont"/>
    <w:rsid w:val="00CA11AD"/>
  </w:style>
  <w:style w:type="paragraph" w:customStyle="1" w:styleId="Pa17">
    <w:name w:val="Pa17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C02040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label">
    <w:name w:val="label"/>
    <w:basedOn w:val="DefaultParagraphFont"/>
    <w:rsid w:val="007F6807"/>
  </w:style>
  <w:style w:type="character" w:customStyle="1" w:styleId="separator">
    <w:name w:val="separator"/>
    <w:basedOn w:val="DefaultParagraphFont"/>
    <w:rsid w:val="007F6807"/>
  </w:style>
  <w:style w:type="character" w:customStyle="1" w:styleId="value">
    <w:name w:val="value"/>
    <w:basedOn w:val="DefaultParagraphFont"/>
    <w:rsid w:val="007F6807"/>
  </w:style>
  <w:style w:type="character" w:customStyle="1" w:styleId="ui-ncbitoggler-master-text">
    <w:name w:val="ui-ncbitoggler-master-text"/>
    <w:basedOn w:val="DefaultParagraphFont"/>
    <w:rsid w:val="007F6807"/>
  </w:style>
  <w:style w:type="character" w:customStyle="1" w:styleId="Heading1Char">
    <w:name w:val="Heading 1 Char"/>
    <w:link w:val="Heading1"/>
    <w:rsid w:val="004C60E2"/>
    <w:rPr>
      <w:sz w:val="28"/>
      <w:szCs w:val="28"/>
      <w:lang w:bidi="ar-EG"/>
    </w:rPr>
  </w:style>
  <w:style w:type="character" w:customStyle="1" w:styleId="st">
    <w:name w:val="st"/>
    <w:basedOn w:val="DefaultParagraphFont"/>
    <w:rsid w:val="00440C2A"/>
  </w:style>
  <w:style w:type="character" w:styleId="CommentReference">
    <w:name w:val="annotation reference"/>
    <w:rsid w:val="008D1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912"/>
    <w:rPr>
      <w:sz w:val="20"/>
      <w:szCs w:val="20"/>
    </w:rPr>
  </w:style>
  <w:style w:type="character" w:customStyle="1" w:styleId="CommentTextChar">
    <w:name w:val="Comment Text Char"/>
    <w:link w:val="CommentText"/>
    <w:rsid w:val="008D1912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rsid w:val="008D1912"/>
    <w:rPr>
      <w:b/>
      <w:bCs/>
    </w:rPr>
  </w:style>
  <w:style w:type="character" w:customStyle="1" w:styleId="CommentSubjectChar">
    <w:name w:val="Comment Subject Char"/>
    <w:link w:val="CommentSubject"/>
    <w:rsid w:val="008D1912"/>
    <w:rPr>
      <w:b/>
      <w:bCs/>
      <w:lang w:bidi="ar-EG"/>
    </w:rPr>
  </w:style>
  <w:style w:type="paragraph" w:styleId="BalloonText">
    <w:name w:val="Balloon Text"/>
    <w:basedOn w:val="Normal"/>
    <w:link w:val="BalloonTextChar"/>
    <w:rsid w:val="008D1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1912"/>
    <w:rPr>
      <w:rFonts w:ascii="Tahoma" w:hAnsi="Tahoma" w:cs="Tahoma"/>
      <w:sz w:val="16"/>
      <w:szCs w:val="16"/>
      <w:lang w:bidi="ar-EG"/>
    </w:rPr>
  </w:style>
  <w:style w:type="character" w:customStyle="1" w:styleId="apple-style-span">
    <w:name w:val="apple-style-span"/>
    <w:rsid w:val="008A4918"/>
  </w:style>
  <w:style w:type="character" w:customStyle="1" w:styleId="un">
    <w:name w:val="u_n"/>
    <w:basedOn w:val="DefaultParagraphFont"/>
    <w:rsid w:val="00C573B0"/>
  </w:style>
  <w:style w:type="paragraph" w:styleId="NoSpacing">
    <w:name w:val="No Spacing"/>
    <w:basedOn w:val="Normal"/>
    <w:link w:val="NoSpacingChar"/>
    <w:qFormat/>
    <w:rsid w:val="00087BC6"/>
    <w:pPr>
      <w:spacing w:before="100" w:beforeAutospacing="1" w:after="100" w:afterAutospacing="1"/>
    </w:pPr>
    <w:rPr>
      <w:rFonts w:eastAsia="SimSun"/>
      <w:lang w:eastAsia="zh-CN" w:bidi="ar-SA"/>
    </w:rPr>
  </w:style>
  <w:style w:type="character" w:customStyle="1" w:styleId="NoSpacingChar">
    <w:name w:val="No Spacing Char"/>
    <w:basedOn w:val="DefaultParagraphFont"/>
    <w:link w:val="NoSpacing"/>
    <w:locked/>
    <w:rsid w:val="00087BC6"/>
    <w:rPr>
      <w:rFonts w:eastAsia="SimSun"/>
      <w:sz w:val="24"/>
      <w:szCs w:val="24"/>
    </w:rPr>
  </w:style>
  <w:style w:type="character" w:customStyle="1" w:styleId="msonormal0">
    <w:name w:val="msonormal0"/>
    <w:basedOn w:val="DefaultParagraphFont"/>
    <w:rsid w:val="00087BC6"/>
  </w:style>
  <w:style w:type="paragraph" w:styleId="ListParagraph">
    <w:name w:val="List Paragraph"/>
    <w:basedOn w:val="Normal"/>
    <w:uiPriority w:val="34"/>
    <w:qFormat/>
    <w:rsid w:val="00087B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2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x.doi.org/10.7537/marscbj080418.0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cancerbio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aamaria1@hotmail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D398-8889-40A1-8E24-D1086CF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3897</Words>
  <Characters>22214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نتاناهلا</vt:lpstr>
      <vt:lpstr>نتاناهلا</vt:lpstr>
    </vt:vector>
  </TitlesOfParts>
  <Company>***</Company>
  <LinksUpToDate>false</LinksUpToDate>
  <CharactersWithSpaces>26059</CharactersWithSpaces>
  <SharedDoc>false</SharedDoc>
  <HLinks>
    <vt:vector size="24" baseType="variant">
      <vt:variant>
        <vt:i4>65628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https://www.ncbi.nlm.nih.gov/pubmed/29633005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https://www.ncbi.nlm.nih.gov/pubmed/?term=Modified+FOLFIRINOX+regimen+with+improved+safety+and+maintained+efficacy+in+pancreatic+adenocarcinoma</vt:lpwstr>
      </vt:variant>
      <vt:variant>
        <vt:lpwstr/>
      </vt:variant>
      <vt:variant>
        <vt:i4>7733260</vt:i4>
      </vt:variant>
      <vt:variant>
        <vt:i4>0</vt:i4>
      </vt:variant>
      <vt:variant>
        <vt:i4>0</vt:i4>
      </vt:variant>
      <vt:variant>
        <vt:i4>5</vt:i4>
      </vt:variant>
      <vt:variant>
        <vt:lpwstr>mailto:alaamaria1@hotmail.com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http://www.cancerbio.net/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نتاناهلا</dc:title>
  <dc:creator>dr.mohamed</dc:creator>
  <cp:lastModifiedBy>sico</cp:lastModifiedBy>
  <cp:revision>2</cp:revision>
  <dcterms:created xsi:type="dcterms:W3CDTF">2019-02-03T07:00:00Z</dcterms:created>
  <dcterms:modified xsi:type="dcterms:W3CDTF">2019-02-03T07:00:00Z</dcterms:modified>
</cp:coreProperties>
</file>