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D07" w:rsidRPr="00737872" w:rsidRDefault="00C8657A" w:rsidP="00737872">
      <w:pPr>
        <w:bidi w:val="0"/>
        <w:snapToGrid w:val="0"/>
        <w:spacing w:after="0" w:line="240" w:lineRule="auto"/>
        <w:jc w:val="center"/>
        <w:rPr>
          <w:rFonts w:ascii="Times New Roman" w:hAnsi="Times New Roman" w:cs="Times New Roman"/>
          <w:b/>
          <w:bCs/>
          <w:sz w:val="20"/>
          <w:szCs w:val="20"/>
          <w:lang w:bidi="ar-EG"/>
        </w:rPr>
      </w:pPr>
      <w:r w:rsidRPr="00737872">
        <w:rPr>
          <w:rFonts w:ascii="Times New Roman" w:hAnsi="Times New Roman" w:cs="Times New Roman"/>
          <w:b/>
          <w:bCs/>
          <w:sz w:val="20"/>
          <w:szCs w:val="20"/>
          <w:lang w:bidi="ar-EG"/>
        </w:rPr>
        <w:t xml:space="preserve">Intensity Modulated Radiotherapy with Simultaneous Integrated Boost (IMRT-SIB) in treatment of Nasopharyngeal Carcinoma. </w:t>
      </w:r>
      <w:proofErr w:type="spellStart"/>
      <w:r w:rsidRPr="00737872">
        <w:rPr>
          <w:rFonts w:ascii="Times New Roman" w:hAnsi="Times New Roman" w:cs="Times New Roman"/>
          <w:b/>
          <w:bCs/>
          <w:sz w:val="20"/>
          <w:szCs w:val="20"/>
          <w:lang w:bidi="ar-EG"/>
        </w:rPr>
        <w:t>Dosimetric</w:t>
      </w:r>
      <w:proofErr w:type="spellEnd"/>
      <w:r w:rsidRPr="00737872">
        <w:rPr>
          <w:rFonts w:ascii="Times New Roman" w:hAnsi="Times New Roman" w:cs="Times New Roman"/>
          <w:b/>
          <w:bCs/>
          <w:sz w:val="20"/>
          <w:szCs w:val="20"/>
          <w:lang w:bidi="ar-EG"/>
        </w:rPr>
        <w:t xml:space="preserve"> Advantage over 3-Dimentional Conformal Radiotherapy (3D-CRT). Clinical impact on Survival, Toxicity and Quality of life</w:t>
      </w:r>
    </w:p>
    <w:p w:rsidR="00BF7D07" w:rsidRPr="00737872" w:rsidRDefault="00BF7D07" w:rsidP="00737872">
      <w:pPr>
        <w:bidi w:val="0"/>
        <w:snapToGrid w:val="0"/>
        <w:spacing w:after="0" w:line="240" w:lineRule="auto"/>
        <w:jc w:val="center"/>
        <w:rPr>
          <w:rFonts w:ascii="Times New Roman" w:hAnsi="Times New Roman" w:cs="Times New Roman"/>
          <w:b/>
          <w:bCs/>
          <w:sz w:val="20"/>
          <w:szCs w:val="20"/>
          <w:lang w:bidi="ar-EG"/>
        </w:rPr>
      </w:pPr>
    </w:p>
    <w:p w:rsidR="00BF7D07" w:rsidRPr="00737872" w:rsidRDefault="004C3E1E" w:rsidP="00737872">
      <w:pPr>
        <w:bidi w:val="0"/>
        <w:snapToGrid w:val="0"/>
        <w:spacing w:after="0" w:line="240" w:lineRule="auto"/>
        <w:jc w:val="center"/>
        <w:rPr>
          <w:rFonts w:ascii="Times New Roman" w:hAnsi="Times New Roman" w:cs="Times New Roman"/>
          <w:sz w:val="20"/>
          <w:szCs w:val="20"/>
          <w:vertAlign w:val="superscript"/>
          <w:lang w:eastAsia="zh-CN" w:bidi="ar-EG"/>
        </w:rPr>
      </w:pPr>
      <w:proofErr w:type="spellStart"/>
      <w:r w:rsidRPr="00737872">
        <w:rPr>
          <w:rFonts w:ascii="Times New Roman" w:hAnsi="Times New Roman" w:cs="Times New Roman"/>
          <w:sz w:val="20"/>
          <w:szCs w:val="20"/>
          <w:lang w:bidi="ar-EG"/>
        </w:rPr>
        <w:t>Radwa</w:t>
      </w:r>
      <w:proofErr w:type="spellEnd"/>
      <w:r w:rsidR="005420E7" w:rsidRPr="00737872">
        <w:rPr>
          <w:rFonts w:ascii="Times New Roman" w:hAnsi="Times New Roman" w:cs="Times New Roman"/>
          <w:sz w:val="20"/>
          <w:szCs w:val="20"/>
          <w:lang w:bidi="ar-EG"/>
        </w:rPr>
        <w:t xml:space="preserve"> </w:t>
      </w:r>
      <w:r w:rsidRPr="00737872">
        <w:rPr>
          <w:rFonts w:ascii="Times New Roman" w:hAnsi="Times New Roman" w:cs="Times New Roman"/>
          <w:sz w:val="20"/>
          <w:szCs w:val="20"/>
          <w:lang w:bidi="ar-EG"/>
        </w:rPr>
        <w:t>Awad</w:t>
      </w:r>
      <w:r w:rsidRPr="00737872">
        <w:rPr>
          <w:rFonts w:ascii="Times New Roman" w:hAnsi="Times New Roman" w:cs="Times New Roman"/>
          <w:sz w:val="20"/>
          <w:szCs w:val="20"/>
          <w:vertAlign w:val="superscript"/>
          <w:lang w:bidi="ar-EG"/>
        </w:rPr>
        <w:t>1</w:t>
      </w:r>
      <w:r w:rsidRPr="00737872">
        <w:rPr>
          <w:rFonts w:ascii="Times New Roman" w:hAnsi="Times New Roman" w:cs="Times New Roman"/>
          <w:sz w:val="20"/>
          <w:szCs w:val="20"/>
          <w:lang w:bidi="ar-EG"/>
        </w:rPr>
        <w:t>,</w:t>
      </w:r>
      <w:r w:rsidR="00F76000" w:rsidRPr="00737872">
        <w:rPr>
          <w:rFonts w:ascii="Times New Roman" w:hAnsi="Times New Roman" w:cs="Times New Roman"/>
          <w:sz w:val="20"/>
          <w:szCs w:val="20"/>
          <w:lang w:eastAsia="zh-CN" w:bidi="ar-EG"/>
        </w:rPr>
        <w:t xml:space="preserve"> </w:t>
      </w:r>
      <w:proofErr w:type="spellStart"/>
      <w:r w:rsidRPr="00737872">
        <w:rPr>
          <w:rFonts w:ascii="Times New Roman" w:hAnsi="Times New Roman" w:cs="Times New Roman"/>
          <w:sz w:val="20"/>
          <w:szCs w:val="20"/>
          <w:lang w:bidi="ar-EG"/>
        </w:rPr>
        <w:t>Omnia</w:t>
      </w:r>
      <w:proofErr w:type="spellEnd"/>
      <w:r w:rsidR="00F76000" w:rsidRPr="00737872">
        <w:rPr>
          <w:rFonts w:ascii="Times New Roman" w:hAnsi="Times New Roman" w:cs="Times New Roman"/>
          <w:sz w:val="20"/>
          <w:szCs w:val="20"/>
          <w:lang w:eastAsia="zh-CN" w:bidi="ar-EG"/>
        </w:rPr>
        <w:t xml:space="preserve"> </w:t>
      </w:r>
      <w:proofErr w:type="spellStart"/>
      <w:r w:rsidR="00AB5C0D" w:rsidRPr="00737872">
        <w:rPr>
          <w:rFonts w:ascii="Times New Roman" w:hAnsi="Times New Roman" w:cs="Times New Roman"/>
          <w:sz w:val="20"/>
          <w:szCs w:val="20"/>
          <w:lang w:bidi="ar-EG"/>
        </w:rPr>
        <w:t>Abd</w:t>
      </w:r>
      <w:proofErr w:type="spellEnd"/>
      <w:r w:rsidR="00F76000" w:rsidRPr="00737872">
        <w:rPr>
          <w:rFonts w:ascii="Times New Roman" w:hAnsi="Times New Roman" w:cs="Times New Roman"/>
          <w:sz w:val="20"/>
          <w:szCs w:val="20"/>
          <w:lang w:eastAsia="zh-CN" w:bidi="ar-EG"/>
        </w:rPr>
        <w:t xml:space="preserve"> </w:t>
      </w:r>
      <w:r w:rsidR="00AB5C0D" w:rsidRPr="00737872">
        <w:rPr>
          <w:rFonts w:ascii="Times New Roman" w:hAnsi="Times New Roman" w:cs="Times New Roman"/>
          <w:sz w:val="20"/>
          <w:szCs w:val="20"/>
          <w:lang w:bidi="ar-EG"/>
        </w:rPr>
        <w:t>Elkhalek</w:t>
      </w:r>
      <w:r w:rsidRPr="00737872">
        <w:rPr>
          <w:rFonts w:ascii="Times New Roman" w:hAnsi="Times New Roman" w:cs="Times New Roman"/>
          <w:sz w:val="20"/>
          <w:szCs w:val="20"/>
          <w:vertAlign w:val="superscript"/>
          <w:lang w:bidi="ar-EG"/>
        </w:rPr>
        <w:t>1</w:t>
      </w:r>
      <w:r w:rsidRPr="00737872">
        <w:rPr>
          <w:rFonts w:ascii="Times New Roman" w:hAnsi="Times New Roman" w:cs="Times New Roman"/>
          <w:sz w:val="20"/>
          <w:szCs w:val="20"/>
          <w:lang w:bidi="ar-EG"/>
        </w:rPr>
        <w:t>,</w:t>
      </w:r>
      <w:r w:rsidR="00F76000" w:rsidRPr="00737872">
        <w:rPr>
          <w:rFonts w:ascii="Times New Roman" w:hAnsi="Times New Roman" w:cs="Times New Roman"/>
          <w:sz w:val="20"/>
          <w:szCs w:val="20"/>
          <w:lang w:eastAsia="zh-CN" w:bidi="ar-EG"/>
        </w:rPr>
        <w:t xml:space="preserve"> </w:t>
      </w:r>
      <w:r w:rsidRPr="00737872">
        <w:rPr>
          <w:rFonts w:ascii="Times New Roman" w:hAnsi="Times New Roman" w:cs="Times New Roman"/>
          <w:sz w:val="20"/>
          <w:szCs w:val="20"/>
          <w:lang w:bidi="ar-EG"/>
        </w:rPr>
        <w:t xml:space="preserve">Samar </w:t>
      </w:r>
      <w:r w:rsidR="00AB5C0D" w:rsidRPr="00737872">
        <w:rPr>
          <w:rFonts w:ascii="Times New Roman" w:hAnsi="Times New Roman" w:cs="Times New Roman"/>
          <w:sz w:val="20"/>
          <w:szCs w:val="20"/>
          <w:lang w:bidi="ar-EG"/>
        </w:rPr>
        <w:t>Yonis</w:t>
      </w:r>
      <w:r w:rsidRPr="00737872">
        <w:rPr>
          <w:rFonts w:ascii="Times New Roman" w:hAnsi="Times New Roman" w:cs="Times New Roman"/>
          <w:sz w:val="20"/>
          <w:szCs w:val="20"/>
          <w:vertAlign w:val="superscript"/>
          <w:lang w:bidi="ar-EG"/>
        </w:rPr>
        <w:t>1</w:t>
      </w:r>
      <w:r w:rsidRPr="00737872">
        <w:rPr>
          <w:rFonts w:ascii="Times New Roman" w:hAnsi="Times New Roman" w:cs="Times New Roman"/>
          <w:sz w:val="20"/>
          <w:szCs w:val="20"/>
          <w:lang w:bidi="ar-EG"/>
        </w:rPr>
        <w:t>,</w:t>
      </w:r>
      <w:r w:rsidR="00F76000" w:rsidRPr="00737872">
        <w:rPr>
          <w:rFonts w:ascii="Times New Roman" w:hAnsi="Times New Roman" w:cs="Times New Roman"/>
          <w:sz w:val="20"/>
          <w:szCs w:val="20"/>
          <w:lang w:eastAsia="zh-CN" w:bidi="ar-EG"/>
        </w:rPr>
        <w:t xml:space="preserve"> </w:t>
      </w:r>
      <w:proofErr w:type="spellStart"/>
      <w:r w:rsidRPr="00737872">
        <w:rPr>
          <w:rFonts w:ascii="Times New Roman" w:hAnsi="Times New Roman" w:cs="Times New Roman"/>
          <w:sz w:val="20"/>
          <w:szCs w:val="20"/>
          <w:lang w:bidi="ar-EG"/>
        </w:rPr>
        <w:t>Gamal</w:t>
      </w:r>
      <w:proofErr w:type="spellEnd"/>
      <w:r w:rsidR="00F76000" w:rsidRPr="00737872">
        <w:rPr>
          <w:rFonts w:ascii="Times New Roman" w:hAnsi="Times New Roman" w:cs="Times New Roman"/>
          <w:sz w:val="20"/>
          <w:szCs w:val="20"/>
          <w:lang w:eastAsia="zh-CN" w:bidi="ar-EG"/>
        </w:rPr>
        <w:t xml:space="preserve"> </w:t>
      </w:r>
      <w:r w:rsidR="00AB5C0D" w:rsidRPr="00737872">
        <w:rPr>
          <w:rFonts w:ascii="Times New Roman" w:hAnsi="Times New Roman" w:cs="Times New Roman"/>
          <w:sz w:val="20"/>
          <w:szCs w:val="20"/>
          <w:lang w:bidi="ar-EG"/>
        </w:rPr>
        <w:t>Attia</w:t>
      </w:r>
      <w:r w:rsidR="00AB5C0D" w:rsidRPr="00737872">
        <w:rPr>
          <w:rFonts w:ascii="Times New Roman" w:hAnsi="Times New Roman" w:cs="Times New Roman"/>
          <w:sz w:val="20"/>
          <w:szCs w:val="20"/>
          <w:vertAlign w:val="superscript"/>
          <w:lang w:bidi="ar-EG"/>
        </w:rPr>
        <w:t>2</w:t>
      </w:r>
      <w:r w:rsidR="006B757F" w:rsidRPr="00737872">
        <w:rPr>
          <w:rFonts w:ascii="Times New Roman" w:hAnsi="Times New Roman" w:cs="Times New Roman"/>
          <w:sz w:val="20"/>
          <w:szCs w:val="20"/>
          <w:lang w:bidi="ar-EG"/>
        </w:rPr>
        <w:t xml:space="preserve"> and </w:t>
      </w:r>
      <w:proofErr w:type="spellStart"/>
      <w:r w:rsidRPr="00737872">
        <w:rPr>
          <w:rFonts w:ascii="Times New Roman" w:hAnsi="Times New Roman" w:cs="Times New Roman"/>
          <w:sz w:val="20"/>
          <w:szCs w:val="20"/>
          <w:lang w:bidi="ar-EG"/>
        </w:rPr>
        <w:t>Laila</w:t>
      </w:r>
      <w:proofErr w:type="spellEnd"/>
      <w:r w:rsidR="00F76000" w:rsidRPr="00737872">
        <w:rPr>
          <w:rFonts w:ascii="Times New Roman" w:hAnsi="Times New Roman" w:cs="Times New Roman"/>
          <w:sz w:val="20"/>
          <w:szCs w:val="20"/>
          <w:lang w:eastAsia="zh-CN" w:bidi="ar-EG"/>
        </w:rPr>
        <w:t xml:space="preserve"> </w:t>
      </w:r>
      <w:r w:rsidRPr="00737872">
        <w:rPr>
          <w:rFonts w:ascii="Times New Roman" w:hAnsi="Times New Roman" w:cs="Times New Roman"/>
          <w:sz w:val="20"/>
          <w:szCs w:val="20"/>
          <w:lang w:bidi="ar-EG"/>
        </w:rPr>
        <w:t>Korashi</w:t>
      </w:r>
      <w:r w:rsidRPr="00737872">
        <w:rPr>
          <w:rFonts w:ascii="Times New Roman" w:hAnsi="Times New Roman" w:cs="Times New Roman"/>
          <w:sz w:val="20"/>
          <w:szCs w:val="20"/>
          <w:vertAlign w:val="superscript"/>
          <w:lang w:bidi="ar-EG"/>
        </w:rPr>
        <w:t>1</w:t>
      </w:r>
    </w:p>
    <w:p w:rsidR="00BF7D07" w:rsidRPr="00737872" w:rsidRDefault="00BF7D07" w:rsidP="00737872">
      <w:pPr>
        <w:bidi w:val="0"/>
        <w:snapToGrid w:val="0"/>
        <w:spacing w:after="0" w:line="240" w:lineRule="auto"/>
        <w:jc w:val="center"/>
        <w:rPr>
          <w:rFonts w:ascii="Times New Roman" w:hAnsi="Times New Roman" w:cs="Times New Roman"/>
          <w:sz w:val="20"/>
          <w:szCs w:val="20"/>
          <w:vertAlign w:val="superscript"/>
          <w:lang w:eastAsia="zh-CN" w:bidi="ar-EG"/>
        </w:rPr>
      </w:pPr>
    </w:p>
    <w:p w:rsidR="00AB5C0D" w:rsidRPr="00737872" w:rsidRDefault="006B757F" w:rsidP="00737872">
      <w:pPr>
        <w:bidi w:val="0"/>
        <w:snapToGrid w:val="0"/>
        <w:spacing w:after="0" w:line="240" w:lineRule="auto"/>
        <w:jc w:val="center"/>
        <w:rPr>
          <w:rFonts w:ascii="Times New Roman" w:hAnsi="Times New Roman" w:cs="Times New Roman"/>
          <w:sz w:val="20"/>
          <w:szCs w:val="20"/>
          <w:lang w:bidi="ar-EG"/>
        </w:rPr>
      </w:pPr>
      <w:r w:rsidRPr="00737872">
        <w:rPr>
          <w:rFonts w:ascii="Times New Roman" w:hAnsi="Times New Roman" w:cs="Times New Roman"/>
          <w:sz w:val="20"/>
          <w:szCs w:val="20"/>
          <w:vertAlign w:val="superscript"/>
          <w:lang w:bidi="ar-EG"/>
        </w:rPr>
        <w:t>1</w:t>
      </w:r>
      <w:r w:rsidR="00AB5C0D" w:rsidRPr="00737872">
        <w:rPr>
          <w:rFonts w:ascii="Times New Roman" w:hAnsi="Times New Roman" w:cs="Times New Roman"/>
          <w:sz w:val="20"/>
          <w:szCs w:val="20"/>
          <w:lang w:bidi="ar-EG"/>
        </w:rPr>
        <w:t xml:space="preserve">Clinical </w:t>
      </w:r>
      <w:r w:rsidRPr="00737872">
        <w:rPr>
          <w:rFonts w:ascii="Times New Roman" w:hAnsi="Times New Roman" w:cs="Times New Roman"/>
          <w:sz w:val="20"/>
          <w:szCs w:val="20"/>
          <w:lang w:bidi="ar-EG"/>
        </w:rPr>
        <w:t xml:space="preserve">Oncology Department, </w:t>
      </w:r>
      <w:r w:rsidR="00AB5C0D" w:rsidRPr="00737872">
        <w:rPr>
          <w:rFonts w:ascii="Times New Roman" w:hAnsi="Times New Roman" w:cs="Times New Roman"/>
          <w:sz w:val="20"/>
          <w:szCs w:val="20"/>
          <w:lang w:bidi="ar-EG"/>
        </w:rPr>
        <w:t xml:space="preserve">Faculty </w:t>
      </w:r>
      <w:r w:rsidRPr="00737872">
        <w:rPr>
          <w:rFonts w:ascii="Times New Roman" w:hAnsi="Times New Roman" w:cs="Times New Roman"/>
          <w:sz w:val="20"/>
          <w:szCs w:val="20"/>
          <w:lang w:bidi="ar-EG"/>
        </w:rPr>
        <w:t xml:space="preserve">of Medicine, </w:t>
      </w:r>
      <w:r w:rsidR="00AB5C0D" w:rsidRPr="00737872">
        <w:rPr>
          <w:rFonts w:ascii="Times New Roman" w:hAnsi="Times New Roman" w:cs="Times New Roman"/>
          <w:sz w:val="20"/>
          <w:szCs w:val="20"/>
          <w:lang w:bidi="ar-EG"/>
        </w:rPr>
        <w:t>Tanta</w:t>
      </w:r>
      <w:r w:rsidR="0056203F" w:rsidRPr="00737872">
        <w:rPr>
          <w:rFonts w:ascii="Times New Roman" w:hAnsi="Times New Roman" w:cs="Times New Roman"/>
          <w:sz w:val="20"/>
          <w:szCs w:val="20"/>
          <w:lang w:bidi="ar-EG"/>
        </w:rPr>
        <w:t xml:space="preserve"> </w:t>
      </w:r>
      <w:r w:rsidR="00AB5C0D" w:rsidRPr="00737872">
        <w:rPr>
          <w:rFonts w:ascii="Times New Roman" w:hAnsi="Times New Roman" w:cs="Times New Roman"/>
          <w:sz w:val="20"/>
          <w:szCs w:val="20"/>
          <w:lang w:bidi="ar-EG"/>
        </w:rPr>
        <w:t>University</w:t>
      </w:r>
      <w:r w:rsidRPr="00737872">
        <w:rPr>
          <w:rFonts w:ascii="Times New Roman" w:hAnsi="Times New Roman" w:cs="Times New Roman"/>
          <w:sz w:val="20"/>
          <w:szCs w:val="20"/>
          <w:lang w:bidi="ar-EG"/>
        </w:rPr>
        <w:t xml:space="preserve">, </w:t>
      </w:r>
      <w:r w:rsidR="00AB5C0D" w:rsidRPr="00737872">
        <w:rPr>
          <w:rFonts w:ascii="Times New Roman" w:hAnsi="Times New Roman" w:cs="Times New Roman"/>
          <w:sz w:val="20"/>
          <w:szCs w:val="20"/>
          <w:lang w:bidi="ar-EG"/>
        </w:rPr>
        <w:t>Egypt</w:t>
      </w:r>
    </w:p>
    <w:p w:rsidR="00AB5C0D" w:rsidRPr="00737872" w:rsidRDefault="006B757F" w:rsidP="00737872">
      <w:pPr>
        <w:bidi w:val="0"/>
        <w:snapToGrid w:val="0"/>
        <w:spacing w:after="0" w:line="240" w:lineRule="auto"/>
        <w:jc w:val="center"/>
        <w:rPr>
          <w:rFonts w:ascii="Times New Roman" w:hAnsi="Times New Roman" w:cs="Times New Roman"/>
          <w:sz w:val="20"/>
          <w:szCs w:val="20"/>
          <w:lang w:bidi="ar-EG"/>
        </w:rPr>
      </w:pPr>
      <w:r w:rsidRPr="00737872">
        <w:rPr>
          <w:rFonts w:ascii="Times New Roman" w:hAnsi="Times New Roman" w:cs="Times New Roman"/>
          <w:sz w:val="20"/>
          <w:szCs w:val="20"/>
          <w:vertAlign w:val="superscript"/>
          <w:lang w:bidi="ar-EG"/>
        </w:rPr>
        <w:t>2</w:t>
      </w:r>
      <w:r w:rsidR="00AB5C0D" w:rsidRPr="00737872">
        <w:rPr>
          <w:rFonts w:ascii="Times New Roman" w:hAnsi="Times New Roman" w:cs="Times New Roman"/>
          <w:sz w:val="20"/>
          <w:szCs w:val="20"/>
          <w:lang w:bidi="ar-EG"/>
        </w:rPr>
        <w:t xml:space="preserve">Clinical </w:t>
      </w:r>
      <w:r w:rsidRPr="00737872">
        <w:rPr>
          <w:rFonts w:ascii="Times New Roman" w:hAnsi="Times New Roman" w:cs="Times New Roman"/>
          <w:sz w:val="20"/>
          <w:szCs w:val="20"/>
          <w:lang w:bidi="ar-EG"/>
        </w:rPr>
        <w:t xml:space="preserve">Oncology Department, </w:t>
      </w:r>
      <w:r w:rsidR="00AB5C0D" w:rsidRPr="00737872">
        <w:rPr>
          <w:rFonts w:ascii="Times New Roman" w:hAnsi="Times New Roman" w:cs="Times New Roman"/>
          <w:sz w:val="20"/>
          <w:szCs w:val="20"/>
          <w:lang w:bidi="ar-EG"/>
        </w:rPr>
        <w:t xml:space="preserve">Faculty </w:t>
      </w:r>
      <w:r w:rsidRPr="00737872">
        <w:rPr>
          <w:rFonts w:ascii="Times New Roman" w:hAnsi="Times New Roman" w:cs="Times New Roman"/>
          <w:sz w:val="20"/>
          <w:szCs w:val="20"/>
          <w:lang w:bidi="ar-EG"/>
        </w:rPr>
        <w:t xml:space="preserve">of Medicine, </w:t>
      </w:r>
      <w:r w:rsidR="00AB5C0D" w:rsidRPr="00737872">
        <w:rPr>
          <w:rFonts w:ascii="Times New Roman" w:hAnsi="Times New Roman" w:cs="Times New Roman"/>
          <w:sz w:val="20"/>
          <w:szCs w:val="20"/>
          <w:lang w:bidi="ar-EG"/>
        </w:rPr>
        <w:t>Alexandria</w:t>
      </w:r>
      <w:r w:rsidR="0056203F" w:rsidRPr="00737872">
        <w:rPr>
          <w:rFonts w:ascii="Times New Roman" w:hAnsi="Times New Roman" w:cs="Times New Roman"/>
          <w:sz w:val="20"/>
          <w:szCs w:val="20"/>
          <w:lang w:bidi="ar-EG"/>
        </w:rPr>
        <w:t xml:space="preserve"> </w:t>
      </w:r>
      <w:r w:rsidR="00AB5C0D" w:rsidRPr="00737872">
        <w:rPr>
          <w:rFonts w:ascii="Times New Roman" w:hAnsi="Times New Roman" w:cs="Times New Roman"/>
          <w:sz w:val="20"/>
          <w:szCs w:val="20"/>
          <w:lang w:bidi="ar-EG"/>
        </w:rPr>
        <w:t>University</w:t>
      </w:r>
      <w:r w:rsidRPr="00737872">
        <w:rPr>
          <w:rFonts w:ascii="Times New Roman" w:hAnsi="Times New Roman" w:cs="Times New Roman"/>
          <w:sz w:val="20"/>
          <w:szCs w:val="20"/>
          <w:lang w:bidi="ar-EG"/>
        </w:rPr>
        <w:t xml:space="preserve">, </w:t>
      </w:r>
      <w:r w:rsidR="00AB5C0D" w:rsidRPr="00737872">
        <w:rPr>
          <w:rFonts w:ascii="Times New Roman" w:hAnsi="Times New Roman" w:cs="Times New Roman"/>
          <w:sz w:val="20"/>
          <w:szCs w:val="20"/>
          <w:lang w:bidi="ar-EG"/>
        </w:rPr>
        <w:t>Egypt</w:t>
      </w:r>
    </w:p>
    <w:p w:rsidR="00BF7D07" w:rsidRPr="00737872" w:rsidRDefault="00EB65FE" w:rsidP="00737872">
      <w:pPr>
        <w:bidi w:val="0"/>
        <w:snapToGrid w:val="0"/>
        <w:spacing w:after="0" w:line="240" w:lineRule="auto"/>
        <w:jc w:val="center"/>
        <w:rPr>
          <w:rFonts w:ascii="Times New Roman" w:hAnsi="Times New Roman" w:cs="Times New Roman"/>
          <w:sz w:val="20"/>
          <w:szCs w:val="20"/>
          <w:lang w:bidi="ar-EG"/>
        </w:rPr>
      </w:pPr>
      <w:hyperlink r:id="rId7" w:history="1">
        <w:r w:rsidR="0050539B" w:rsidRPr="00737872">
          <w:rPr>
            <w:rStyle w:val="Hyperlink"/>
            <w:rFonts w:ascii="Times New Roman" w:hAnsi="Times New Roman" w:cs="Times New Roman"/>
            <w:sz w:val="20"/>
            <w:szCs w:val="20"/>
            <w:u w:val="none"/>
            <w:lang w:bidi="ar-EG"/>
          </w:rPr>
          <w:t>radwa.awad@med.tanta.edu.eg</w:t>
        </w:r>
      </w:hyperlink>
      <w:r w:rsidR="00B91942" w:rsidRPr="00737872">
        <w:rPr>
          <w:rFonts w:ascii="Times New Roman" w:hAnsi="Times New Roman" w:cs="Times New Roman"/>
          <w:sz w:val="20"/>
          <w:szCs w:val="20"/>
          <w:lang w:bidi="ar-EG"/>
        </w:rPr>
        <w:t>,</w:t>
      </w:r>
      <w:r w:rsidR="0056203F" w:rsidRPr="00737872">
        <w:rPr>
          <w:rFonts w:ascii="Times New Roman" w:hAnsi="Times New Roman" w:cs="Times New Roman"/>
          <w:sz w:val="20"/>
        </w:rPr>
        <w:t xml:space="preserve"> </w:t>
      </w:r>
      <w:hyperlink r:id="rId8" w:history="1">
        <w:r w:rsidR="00B91942" w:rsidRPr="00737872">
          <w:rPr>
            <w:rStyle w:val="Hyperlink"/>
            <w:rFonts w:ascii="Times New Roman" w:hAnsi="Times New Roman" w:cs="Times New Roman"/>
            <w:sz w:val="20"/>
            <w:szCs w:val="20"/>
            <w:u w:val="none"/>
            <w:lang w:bidi="ar-EG"/>
          </w:rPr>
          <w:t>rodi_11_21@hotmail.com</w:t>
        </w:r>
      </w:hyperlink>
    </w:p>
    <w:p w:rsidR="00BF7D07" w:rsidRPr="00737872" w:rsidRDefault="00BF7D07" w:rsidP="00737872">
      <w:pPr>
        <w:bidi w:val="0"/>
        <w:snapToGrid w:val="0"/>
        <w:spacing w:after="0" w:line="240" w:lineRule="auto"/>
        <w:jc w:val="center"/>
        <w:rPr>
          <w:rFonts w:ascii="Times New Roman" w:hAnsi="Times New Roman" w:cs="Times New Roman"/>
          <w:sz w:val="20"/>
          <w:szCs w:val="20"/>
          <w:lang w:bidi="ar-EG"/>
        </w:rPr>
      </w:pPr>
    </w:p>
    <w:p w:rsidR="003C2BAD" w:rsidRPr="00737872" w:rsidRDefault="00291C53" w:rsidP="00737872">
      <w:pPr>
        <w:bidi w:val="0"/>
        <w:snapToGrid w:val="0"/>
        <w:spacing w:after="0" w:line="240" w:lineRule="auto"/>
        <w:jc w:val="both"/>
        <w:rPr>
          <w:rFonts w:ascii="Times New Roman" w:hAnsi="Times New Roman" w:cs="Times New Roman"/>
          <w:sz w:val="20"/>
          <w:szCs w:val="20"/>
        </w:rPr>
      </w:pPr>
      <w:r w:rsidRPr="00737872">
        <w:rPr>
          <w:rFonts w:ascii="Times New Roman" w:hAnsi="Times New Roman" w:cs="Times New Roman"/>
          <w:b/>
          <w:bCs/>
          <w:sz w:val="20"/>
          <w:szCs w:val="20"/>
          <w:lang w:bidi="ar-EG"/>
        </w:rPr>
        <w:t>Abstract:</w:t>
      </w:r>
      <w:r w:rsidR="0056203F" w:rsidRPr="00737872">
        <w:rPr>
          <w:rFonts w:ascii="Times New Roman" w:hAnsi="Times New Roman" w:cs="Times New Roman"/>
          <w:i/>
          <w:iCs/>
          <w:sz w:val="20"/>
          <w:szCs w:val="20"/>
          <w:lang w:bidi="ar-EG"/>
        </w:rPr>
        <w:t xml:space="preserve"> </w:t>
      </w:r>
      <w:r w:rsidR="00B91942" w:rsidRPr="00737872">
        <w:rPr>
          <w:rFonts w:ascii="Times New Roman" w:hAnsi="Times New Roman" w:cs="Times New Roman"/>
          <w:i/>
          <w:iCs/>
          <w:sz w:val="20"/>
          <w:szCs w:val="20"/>
          <w:lang w:bidi="ar-EG"/>
        </w:rPr>
        <w:t>Aim</w:t>
      </w:r>
      <w:r w:rsidRPr="00737872">
        <w:rPr>
          <w:rFonts w:ascii="Times New Roman" w:hAnsi="Times New Roman" w:cs="Times New Roman"/>
          <w:i/>
          <w:iCs/>
          <w:sz w:val="20"/>
          <w:szCs w:val="20"/>
          <w:lang w:bidi="ar-EG"/>
        </w:rPr>
        <w:t>:</w:t>
      </w:r>
      <w:r w:rsidRPr="00737872">
        <w:rPr>
          <w:rFonts w:ascii="Times New Roman" w:hAnsi="Times New Roman" w:cs="Times New Roman"/>
          <w:sz w:val="20"/>
          <w:szCs w:val="20"/>
          <w:lang w:bidi="ar-EG"/>
        </w:rPr>
        <w:t xml:space="preserve"> To </w:t>
      </w:r>
      <w:r w:rsidR="00F11842" w:rsidRPr="00737872">
        <w:rPr>
          <w:rFonts w:ascii="Times New Roman" w:hAnsi="Times New Roman" w:cs="Times New Roman"/>
          <w:sz w:val="20"/>
          <w:szCs w:val="20"/>
          <w:lang w:bidi="ar-EG"/>
        </w:rPr>
        <w:t xml:space="preserve">compare intensity modulated radiotherapy with simultaneous integrated boost </w:t>
      </w:r>
      <w:r w:rsidR="003F1D42" w:rsidRPr="00737872">
        <w:rPr>
          <w:rFonts w:ascii="Times New Roman" w:hAnsi="Times New Roman" w:cs="Times New Roman"/>
          <w:sz w:val="20"/>
          <w:szCs w:val="20"/>
          <w:lang w:bidi="ar-EG"/>
        </w:rPr>
        <w:t>(</w:t>
      </w:r>
      <w:r w:rsidR="00F11842" w:rsidRPr="00737872">
        <w:rPr>
          <w:rFonts w:ascii="Times New Roman" w:hAnsi="Times New Roman" w:cs="Times New Roman"/>
          <w:sz w:val="20"/>
          <w:szCs w:val="20"/>
          <w:lang w:bidi="ar-EG"/>
        </w:rPr>
        <w:t xml:space="preserve">IMRT-SIB) </w:t>
      </w:r>
      <w:r w:rsidR="00B91942" w:rsidRPr="00737872">
        <w:rPr>
          <w:rFonts w:ascii="Times New Roman" w:hAnsi="Times New Roman" w:cs="Times New Roman"/>
          <w:sz w:val="20"/>
          <w:szCs w:val="20"/>
          <w:lang w:bidi="ar-EG"/>
        </w:rPr>
        <w:t>with</w:t>
      </w:r>
      <w:r w:rsidR="00F11842" w:rsidRPr="00737872">
        <w:rPr>
          <w:rFonts w:ascii="Times New Roman" w:hAnsi="Times New Roman" w:cs="Times New Roman"/>
          <w:sz w:val="20"/>
          <w:szCs w:val="20"/>
          <w:lang w:bidi="ar-EG"/>
        </w:rPr>
        <w:t xml:space="preserve"> 3-dimentional conformal radiotherapy (3D-CRT</w:t>
      </w:r>
      <w:r w:rsidR="003F1D42" w:rsidRPr="00737872">
        <w:rPr>
          <w:rFonts w:ascii="Times New Roman" w:hAnsi="Times New Roman" w:cs="Times New Roman"/>
          <w:sz w:val="20"/>
          <w:szCs w:val="20"/>
          <w:lang w:bidi="ar-EG"/>
        </w:rPr>
        <w:t xml:space="preserve">) </w:t>
      </w:r>
      <w:proofErr w:type="spellStart"/>
      <w:r w:rsidR="003F1D42" w:rsidRPr="00737872">
        <w:rPr>
          <w:rFonts w:ascii="Times New Roman" w:hAnsi="Times New Roman" w:cs="Times New Roman"/>
          <w:sz w:val="20"/>
          <w:szCs w:val="20"/>
          <w:lang w:bidi="ar-EG"/>
        </w:rPr>
        <w:t>dosimetrically</w:t>
      </w:r>
      <w:proofErr w:type="spellEnd"/>
      <w:r w:rsidR="003F1D42" w:rsidRPr="00737872">
        <w:rPr>
          <w:rFonts w:ascii="Times New Roman" w:hAnsi="Times New Roman" w:cs="Times New Roman"/>
          <w:sz w:val="20"/>
          <w:szCs w:val="20"/>
          <w:lang w:bidi="ar-EG"/>
        </w:rPr>
        <w:t xml:space="preserve"> as well as</w:t>
      </w:r>
      <w:r w:rsidR="00F11842" w:rsidRPr="00737872">
        <w:rPr>
          <w:rFonts w:ascii="Times New Roman" w:hAnsi="Times New Roman" w:cs="Times New Roman"/>
          <w:sz w:val="20"/>
          <w:szCs w:val="20"/>
          <w:lang w:bidi="ar-EG"/>
        </w:rPr>
        <w:t xml:space="preserve"> to </w:t>
      </w:r>
      <w:r w:rsidRPr="00737872">
        <w:rPr>
          <w:rFonts w:ascii="Times New Roman" w:hAnsi="Times New Roman" w:cs="Times New Roman"/>
          <w:sz w:val="20"/>
          <w:szCs w:val="20"/>
          <w:lang w:bidi="ar-EG"/>
        </w:rPr>
        <w:t>evaluate treatment outcome,</w:t>
      </w:r>
      <w:r w:rsidR="00F11842" w:rsidRPr="00737872">
        <w:rPr>
          <w:rFonts w:ascii="Times New Roman" w:hAnsi="Times New Roman" w:cs="Times New Roman"/>
          <w:sz w:val="20"/>
          <w:szCs w:val="20"/>
          <w:lang w:bidi="ar-EG"/>
        </w:rPr>
        <w:t xml:space="preserve"> acute</w:t>
      </w:r>
      <w:r w:rsidR="00BF7D07" w:rsidRPr="00737872">
        <w:rPr>
          <w:rFonts w:ascii="Times New Roman" w:hAnsi="Times New Roman" w:cs="Times New Roman"/>
          <w:sz w:val="20"/>
          <w:szCs w:val="20"/>
          <w:lang w:bidi="ar-EG"/>
        </w:rPr>
        <w:t xml:space="preserve"> &amp; </w:t>
      </w:r>
      <w:r w:rsidRPr="00737872">
        <w:rPr>
          <w:rFonts w:ascii="Times New Roman" w:hAnsi="Times New Roman" w:cs="Times New Roman"/>
          <w:sz w:val="20"/>
          <w:szCs w:val="20"/>
          <w:lang w:bidi="ar-EG"/>
        </w:rPr>
        <w:t xml:space="preserve">late toxicities and quality of life </w:t>
      </w:r>
      <w:r w:rsidR="00F11842" w:rsidRPr="00737872">
        <w:rPr>
          <w:rFonts w:ascii="Times New Roman" w:hAnsi="Times New Roman" w:cs="Times New Roman"/>
          <w:sz w:val="20"/>
          <w:szCs w:val="20"/>
          <w:lang w:bidi="ar-EG"/>
        </w:rPr>
        <w:t xml:space="preserve">in patients with </w:t>
      </w:r>
      <w:r w:rsidRPr="00737872">
        <w:rPr>
          <w:rFonts w:ascii="Times New Roman" w:hAnsi="Times New Roman" w:cs="Times New Roman"/>
          <w:sz w:val="20"/>
          <w:szCs w:val="20"/>
          <w:lang w:bidi="ar-EG"/>
        </w:rPr>
        <w:t xml:space="preserve">nasopharyngeal </w:t>
      </w:r>
      <w:r w:rsidR="00B91942" w:rsidRPr="00737872">
        <w:rPr>
          <w:rFonts w:ascii="Times New Roman" w:hAnsi="Times New Roman" w:cs="Times New Roman"/>
          <w:sz w:val="20"/>
          <w:szCs w:val="20"/>
          <w:lang w:bidi="ar-EG"/>
        </w:rPr>
        <w:t>carcinoma</w:t>
      </w:r>
      <w:r w:rsidR="002B7144" w:rsidRPr="00737872">
        <w:rPr>
          <w:rFonts w:ascii="Times New Roman" w:hAnsi="Times New Roman" w:cs="Times New Roman"/>
          <w:sz w:val="20"/>
          <w:szCs w:val="20"/>
          <w:lang w:bidi="ar-EG"/>
        </w:rPr>
        <w:t xml:space="preserve"> (NPC)</w:t>
      </w:r>
      <w:r w:rsidR="00F11842" w:rsidRPr="00737872">
        <w:rPr>
          <w:rFonts w:ascii="Times New Roman" w:hAnsi="Times New Roman" w:cs="Times New Roman"/>
          <w:sz w:val="20"/>
          <w:szCs w:val="20"/>
          <w:lang w:bidi="ar-EG"/>
        </w:rPr>
        <w:t xml:space="preserve"> treated by IMRT-SIB.</w:t>
      </w:r>
      <w:r w:rsidR="005420E7" w:rsidRPr="00737872">
        <w:rPr>
          <w:rFonts w:ascii="Times New Roman" w:hAnsi="Times New Roman" w:cs="Times New Roman"/>
          <w:sz w:val="20"/>
          <w:szCs w:val="20"/>
          <w:lang w:bidi="ar-EG"/>
        </w:rPr>
        <w:t xml:space="preserve"> </w:t>
      </w:r>
      <w:r w:rsidR="00101DC3" w:rsidRPr="00737872">
        <w:rPr>
          <w:rFonts w:ascii="Times New Roman" w:hAnsi="Times New Roman" w:cs="Times New Roman"/>
          <w:i/>
          <w:iCs/>
          <w:sz w:val="20"/>
          <w:szCs w:val="20"/>
          <w:lang w:bidi="ar-EG"/>
        </w:rPr>
        <w:t>Patients</w:t>
      </w:r>
      <w:r w:rsidR="00BF7D07" w:rsidRPr="00737872">
        <w:rPr>
          <w:rFonts w:ascii="Times New Roman" w:hAnsi="Times New Roman" w:cs="Times New Roman"/>
          <w:i/>
          <w:iCs/>
          <w:sz w:val="20"/>
          <w:szCs w:val="20"/>
          <w:lang w:bidi="ar-EG"/>
        </w:rPr>
        <w:t xml:space="preserve"> &amp; </w:t>
      </w:r>
      <w:r w:rsidR="00101DC3" w:rsidRPr="00737872">
        <w:rPr>
          <w:rFonts w:ascii="Times New Roman" w:hAnsi="Times New Roman" w:cs="Times New Roman"/>
          <w:i/>
          <w:iCs/>
          <w:sz w:val="20"/>
          <w:szCs w:val="20"/>
          <w:lang w:bidi="ar-EG"/>
        </w:rPr>
        <w:t>methods:</w:t>
      </w:r>
      <w:r w:rsidR="002B7144" w:rsidRPr="00737872">
        <w:rPr>
          <w:rFonts w:ascii="Times New Roman" w:hAnsi="Times New Roman" w:cs="Times New Roman"/>
          <w:sz w:val="20"/>
          <w:szCs w:val="20"/>
          <w:lang w:bidi="ar-EG"/>
        </w:rPr>
        <w:t xml:space="preserve"> A total of 30 patients of </w:t>
      </w:r>
      <w:proofErr w:type="spellStart"/>
      <w:r w:rsidR="003F1D42" w:rsidRPr="00737872">
        <w:rPr>
          <w:rFonts w:ascii="Times New Roman" w:hAnsi="Times New Roman" w:cs="Times New Roman"/>
          <w:sz w:val="20"/>
          <w:szCs w:val="20"/>
          <w:lang w:bidi="ar-EG"/>
        </w:rPr>
        <w:t>histologically</w:t>
      </w:r>
      <w:proofErr w:type="spellEnd"/>
      <w:r w:rsidR="003F1D42" w:rsidRPr="00737872">
        <w:rPr>
          <w:rFonts w:ascii="Times New Roman" w:hAnsi="Times New Roman" w:cs="Times New Roman"/>
          <w:sz w:val="20"/>
          <w:szCs w:val="20"/>
          <w:lang w:bidi="ar-EG"/>
        </w:rPr>
        <w:t xml:space="preserve"> proof of </w:t>
      </w:r>
      <w:r w:rsidR="002B7144" w:rsidRPr="00737872">
        <w:rPr>
          <w:rFonts w:ascii="Times New Roman" w:hAnsi="Times New Roman" w:cs="Times New Roman"/>
          <w:sz w:val="20"/>
          <w:szCs w:val="20"/>
          <w:lang w:bidi="ar-EG"/>
        </w:rPr>
        <w:t>stage II</w:t>
      </w:r>
      <w:r w:rsidR="00737872" w:rsidRPr="00737872">
        <w:rPr>
          <w:rFonts w:ascii="Times New Roman" w:hAnsi="Times New Roman" w:cs="Times New Roman"/>
          <w:sz w:val="20"/>
          <w:szCs w:val="20"/>
          <w:lang w:bidi="ar-EG"/>
        </w:rPr>
        <w:t>,</w:t>
      </w:r>
      <w:r w:rsidR="00737872">
        <w:rPr>
          <w:rFonts w:ascii="Times New Roman" w:hAnsi="Times New Roman" w:cs="Times New Roman"/>
          <w:sz w:val="20"/>
          <w:szCs w:val="20"/>
          <w:lang w:bidi="ar-EG"/>
        </w:rPr>
        <w:t xml:space="preserve"> </w:t>
      </w:r>
      <w:r w:rsidR="00737872" w:rsidRPr="00737872">
        <w:rPr>
          <w:rFonts w:ascii="Times New Roman" w:hAnsi="Times New Roman" w:cs="Times New Roman"/>
          <w:sz w:val="20"/>
          <w:szCs w:val="20"/>
          <w:lang w:bidi="ar-EG"/>
        </w:rPr>
        <w:t>I</w:t>
      </w:r>
      <w:r w:rsidR="002B7144" w:rsidRPr="00737872">
        <w:rPr>
          <w:rFonts w:ascii="Times New Roman" w:hAnsi="Times New Roman" w:cs="Times New Roman"/>
          <w:sz w:val="20"/>
          <w:szCs w:val="20"/>
          <w:lang w:bidi="ar-EG"/>
        </w:rPr>
        <w:t>II</w:t>
      </w:r>
      <w:r w:rsidR="00737872" w:rsidRPr="00737872">
        <w:rPr>
          <w:rFonts w:ascii="Times New Roman" w:hAnsi="Times New Roman" w:cs="Times New Roman"/>
          <w:sz w:val="20"/>
          <w:szCs w:val="20"/>
          <w:lang w:bidi="ar-EG"/>
        </w:rPr>
        <w:t>,</w:t>
      </w:r>
      <w:r w:rsidR="00737872">
        <w:rPr>
          <w:rFonts w:ascii="Times New Roman" w:hAnsi="Times New Roman" w:cs="Times New Roman"/>
          <w:sz w:val="20"/>
          <w:szCs w:val="20"/>
          <w:lang w:bidi="ar-EG"/>
        </w:rPr>
        <w:t xml:space="preserve"> </w:t>
      </w:r>
      <w:proofErr w:type="spellStart"/>
      <w:r w:rsidR="00737872" w:rsidRPr="00737872">
        <w:rPr>
          <w:rFonts w:ascii="Times New Roman" w:hAnsi="Times New Roman" w:cs="Times New Roman"/>
          <w:sz w:val="20"/>
          <w:szCs w:val="20"/>
          <w:lang w:bidi="ar-EG"/>
        </w:rPr>
        <w:t>I</w:t>
      </w:r>
      <w:r w:rsidR="002B7144" w:rsidRPr="00737872">
        <w:rPr>
          <w:rFonts w:ascii="Times New Roman" w:hAnsi="Times New Roman" w:cs="Times New Roman"/>
          <w:sz w:val="20"/>
          <w:szCs w:val="20"/>
          <w:lang w:bidi="ar-EG"/>
        </w:rPr>
        <w:t>V</w:t>
      </w:r>
      <w:r w:rsidR="00CD333D" w:rsidRPr="00737872">
        <w:rPr>
          <w:rFonts w:ascii="Times New Roman" w:hAnsi="Times New Roman" w:cs="Times New Roman"/>
          <w:sz w:val="20"/>
          <w:szCs w:val="20"/>
          <w:lang w:bidi="ar-EG"/>
        </w:rPr>
        <w:t>b</w:t>
      </w:r>
      <w:proofErr w:type="spellEnd"/>
      <w:r w:rsidR="002B7144" w:rsidRPr="00737872">
        <w:rPr>
          <w:rFonts w:ascii="Times New Roman" w:hAnsi="Times New Roman" w:cs="Times New Roman"/>
          <w:sz w:val="20"/>
          <w:szCs w:val="20"/>
          <w:lang w:bidi="ar-EG"/>
        </w:rPr>
        <w:t xml:space="preserve"> NPC were included in this study,</w:t>
      </w:r>
      <w:r w:rsidR="002B7144" w:rsidRPr="00737872">
        <w:rPr>
          <w:rFonts w:ascii="Times New Roman" w:hAnsi="Times New Roman" w:cs="Times New Roman"/>
          <w:sz w:val="20"/>
          <w:szCs w:val="20"/>
        </w:rPr>
        <w:t xml:space="preserve"> IMRT</w:t>
      </w:r>
      <w:r w:rsidR="00C8657A" w:rsidRPr="00737872">
        <w:rPr>
          <w:rFonts w:ascii="Times New Roman" w:hAnsi="Times New Roman" w:cs="Times New Roman"/>
          <w:sz w:val="20"/>
          <w:szCs w:val="20"/>
        </w:rPr>
        <w:t>-SIB</w:t>
      </w:r>
      <w:r w:rsidR="002B7144" w:rsidRPr="00737872">
        <w:rPr>
          <w:rFonts w:ascii="Times New Roman" w:hAnsi="Times New Roman" w:cs="Times New Roman"/>
          <w:sz w:val="20"/>
          <w:szCs w:val="20"/>
        </w:rPr>
        <w:t xml:space="preserve"> plans as well as 3D-</w:t>
      </w:r>
      <w:r w:rsidR="00B91942" w:rsidRPr="00737872">
        <w:rPr>
          <w:rFonts w:ascii="Times New Roman" w:hAnsi="Times New Roman" w:cs="Times New Roman"/>
          <w:sz w:val="20"/>
          <w:szCs w:val="20"/>
        </w:rPr>
        <w:t>CRT</w:t>
      </w:r>
      <w:r w:rsidR="002B7144" w:rsidRPr="00737872">
        <w:rPr>
          <w:rFonts w:ascii="Times New Roman" w:hAnsi="Times New Roman" w:cs="Times New Roman"/>
          <w:sz w:val="20"/>
          <w:szCs w:val="20"/>
        </w:rPr>
        <w:t xml:space="preserve"> plans were generated for every patient, compared </w:t>
      </w:r>
      <w:proofErr w:type="spellStart"/>
      <w:r w:rsidR="002B7144" w:rsidRPr="00737872">
        <w:rPr>
          <w:rFonts w:ascii="Times New Roman" w:hAnsi="Times New Roman" w:cs="Times New Roman"/>
          <w:sz w:val="20"/>
          <w:szCs w:val="20"/>
        </w:rPr>
        <w:t>dosimetrically</w:t>
      </w:r>
      <w:proofErr w:type="spellEnd"/>
      <w:r w:rsidR="0056203F" w:rsidRPr="00737872">
        <w:rPr>
          <w:rFonts w:ascii="Times New Roman" w:hAnsi="Times New Roman" w:cs="Times New Roman"/>
          <w:sz w:val="20"/>
          <w:szCs w:val="20"/>
        </w:rPr>
        <w:t xml:space="preserve"> </w:t>
      </w:r>
      <w:r w:rsidR="002B7144" w:rsidRPr="00737872">
        <w:rPr>
          <w:rFonts w:ascii="Times New Roman" w:hAnsi="Times New Roman" w:cs="Times New Roman"/>
          <w:sz w:val="20"/>
          <w:szCs w:val="20"/>
        </w:rPr>
        <w:t>with each other.</w:t>
      </w:r>
      <w:r w:rsidR="0056203F" w:rsidRPr="00737872">
        <w:rPr>
          <w:rFonts w:ascii="Times New Roman" w:hAnsi="Times New Roman" w:cs="Times New Roman"/>
          <w:sz w:val="20"/>
          <w:szCs w:val="20"/>
        </w:rPr>
        <w:t xml:space="preserve"> </w:t>
      </w:r>
      <w:r w:rsidR="002B7144" w:rsidRPr="00737872">
        <w:rPr>
          <w:rFonts w:ascii="Times New Roman" w:hAnsi="Times New Roman" w:cs="Times New Roman"/>
          <w:sz w:val="20"/>
          <w:szCs w:val="20"/>
        </w:rPr>
        <w:t xml:space="preserve">All patients treated with concurrent </w:t>
      </w:r>
      <w:r w:rsidR="006B757F" w:rsidRPr="00737872">
        <w:rPr>
          <w:rFonts w:ascii="Times New Roman" w:hAnsi="Times New Roman" w:cs="Times New Roman"/>
          <w:sz w:val="20"/>
          <w:szCs w:val="20"/>
        </w:rPr>
        <w:t>chemo radiotherapy</w:t>
      </w:r>
      <w:r w:rsidR="00F76000" w:rsidRPr="00737872">
        <w:rPr>
          <w:rFonts w:ascii="Times New Roman" w:hAnsi="Times New Roman" w:cs="Times New Roman"/>
          <w:sz w:val="20"/>
          <w:szCs w:val="20"/>
          <w:lang w:eastAsia="zh-CN"/>
        </w:rPr>
        <w:t xml:space="preserve"> </w:t>
      </w:r>
      <w:r w:rsidR="006B757F" w:rsidRPr="00737872">
        <w:rPr>
          <w:rFonts w:ascii="Times New Roman" w:hAnsi="Times New Roman" w:cs="Times New Roman"/>
          <w:sz w:val="20"/>
          <w:szCs w:val="20"/>
        </w:rPr>
        <w:t>using I</w:t>
      </w:r>
      <w:r w:rsidR="002B7144" w:rsidRPr="00737872">
        <w:rPr>
          <w:rFonts w:ascii="Times New Roman" w:hAnsi="Times New Roman" w:cs="Times New Roman"/>
          <w:sz w:val="20"/>
          <w:szCs w:val="20"/>
        </w:rPr>
        <w:t>MRT-SIB.</w:t>
      </w:r>
      <w:r w:rsidR="007845C1" w:rsidRPr="00737872">
        <w:rPr>
          <w:rFonts w:ascii="Times New Roman" w:hAnsi="Times New Roman" w:cs="Times New Roman"/>
          <w:sz w:val="20"/>
          <w:szCs w:val="20"/>
        </w:rPr>
        <w:t xml:space="preserve"> Acute and late toxicities were graded using RTOG/EORTC.</w:t>
      </w:r>
      <w:r w:rsidR="0056203F" w:rsidRPr="00737872">
        <w:rPr>
          <w:rFonts w:ascii="Times New Roman" w:hAnsi="Times New Roman" w:cs="Times New Roman"/>
          <w:sz w:val="20"/>
          <w:szCs w:val="20"/>
        </w:rPr>
        <w:t xml:space="preserve"> </w:t>
      </w:r>
      <w:r w:rsidR="007845C1" w:rsidRPr="00737872">
        <w:rPr>
          <w:rFonts w:ascii="Times New Roman" w:hAnsi="Times New Roman" w:cs="Times New Roman"/>
          <w:sz w:val="20"/>
          <w:szCs w:val="20"/>
        </w:rPr>
        <w:t>Chemotherapy related toxicity was</w:t>
      </w:r>
      <w:r w:rsidR="003F1D42" w:rsidRPr="00737872">
        <w:rPr>
          <w:rFonts w:ascii="Times New Roman" w:hAnsi="Times New Roman" w:cs="Times New Roman"/>
          <w:sz w:val="20"/>
          <w:szCs w:val="20"/>
        </w:rPr>
        <w:t xml:space="preserve"> scored using </w:t>
      </w:r>
      <w:r w:rsidR="007845C1" w:rsidRPr="00737872">
        <w:rPr>
          <w:rFonts w:ascii="Times New Roman" w:hAnsi="Times New Roman" w:cs="Times New Roman"/>
          <w:sz w:val="20"/>
          <w:szCs w:val="20"/>
        </w:rPr>
        <w:t>CTCAE</w:t>
      </w:r>
      <w:r w:rsidR="006B757F" w:rsidRPr="00737872">
        <w:rPr>
          <w:rFonts w:ascii="Times New Roman" w:hAnsi="Times New Roman" w:cs="Times New Roman"/>
          <w:sz w:val="20"/>
          <w:szCs w:val="20"/>
        </w:rPr>
        <w:t>, 2017</w:t>
      </w:r>
      <w:r w:rsidR="003F1D42" w:rsidRPr="00737872">
        <w:rPr>
          <w:rFonts w:ascii="Times New Roman" w:hAnsi="Times New Roman" w:cs="Times New Roman"/>
          <w:sz w:val="20"/>
          <w:szCs w:val="20"/>
        </w:rPr>
        <w:t xml:space="preserve">. </w:t>
      </w:r>
      <w:r w:rsidR="007845C1" w:rsidRPr="00737872">
        <w:rPr>
          <w:rFonts w:ascii="Times New Roman" w:hAnsi="Times New Roman" w:cs="Times New Roman"/>
          <w:sz w:val="20"/>
          <w:szCs w:val="20"/>
        </w:rPr>
        <w:t>Tumor response was evaluated according to</w:t>
      </w:r>
      <w:r w:rsidR="00F76000" w:rsidRPr="00737872">
        <w:rPr>
          <w:rFonts w:ascii="Times New Roman" w:hAnsi="Times New Roman" w:cs="Times New Roman"/>
          <w:sz w:val="20"/>
          <w:szCs w:val="20"/>
          <w:lang w:eastAsia="zh-CN"/>
        </w:rPr>
        <w:t xml:space="preserve"> </w:t>
      </w:r>
      <w:r w:rsidR="007845C1" w:rsidRPr="00737872">
        <w:rPr>
          <w:rFonts w:ascii="Times New Roman" w:hAnsi="Times New Roman" w:cs="Times New Roman"/>
          <w:sz w:val="20"/>
          <w:szCs w:val="20"/>
        </w:rPr>
        <w:t>WHO criteria</w:t>
      </w:r>
      <w:r w:rsidR="003F1D42" w:rsidRPr="00737872">
        <w:rPr>
          <w:rFonts w:ascii="Times New Roman" w:hAnsi="Times New Roman" w:cs="Times New Roman"/>
          <w:sz w:val="20"/>
          <w:szCs w:val="20"/>
        </w:rPr>
        <w:t xml:space="preserve">. Quality of life assessed by </w:t>
      </w:r>
      <w:r w:rsidR="007845C1" w:rsidRPr="00737872">
        <w:rPr>
          <w:rFonts w:ascii="Times New Roman" w:hAnsi="Times New Roman" w:cs="Times New Roman"/>
          <w:sz w:val="20"/>
          <w:szCs w:val="20"/>
        </w:rPr>
        <w:t>QLQ-H</w:t>
      </w:r>
      <w:r w:rsidR="00BF7D07" w:rsidRPr="00737872">
        <w:rPr>
          <w:rFonts w:ascii="Times New Roman" w:hAnsi="Times New Roman" w:cs="Times New Roman"/>
          <w:sz w:val="20"/>
          <w:szCs w:val="20"/>
        </w:rPr>
        <w:t xml:space="preserve"> &amp; </w:t>
      </w:r>
      <w:r w:rsidR="007845C1" w:rsidRPr="00737872">
        <w:rPr>
          <w:rFonts w:ascii="Times New Roman" w:hAnsi="Times New Roman" w:cs="Times New Roman"/>
          <w:sz w:val="20"/>
          <w:szCs w:val="20"/>
        </w:rPr>
        <w:t>N35 module</w:t>
      </w:r>
      <w:r w:rsidR="003F1D42" w:rsidRPr="00737872">
        <w:rPr>
          <w:rFonts w:ascii="Times New Roman" w:hAnsi="Times New Roman" w:cs="Times New Roman"/>
          <w:sz w:val="20"/>
          <w:szCs w:val="20"/>
        </w:rPr>
        <w:t xml:space="preserve">. Kaplan, Meier </w:t>
      </w:r>
      <w:r w:rsidR="0056203F" w:rsidRPr="00737872">
        <w:rPr>
          <w:rFonts w:ascii="Times New Roman" w:hAnsi="Times New Roman" w:cs="Times New Roman"/>
          <w:sz w:val="20"/>
          <w:szCs w:val="20"/>
        </w:rPr>
        <w:t>method estimated</w:t>
      </w:r>
      <w:r w:rsidR="003F1D42" w:rsidRPr="00737872">
        <w:rPr>
          <w:rFonts w:ascii="Times New Roman" w:hAnsi="Times New Roman" w:cs="Times New Roman"/>
          <w:sz w:val="20"/>
          <w:szCs w:val="20"/>
        </w:rPr>
        <w:t xml:space="preserve"> OS, L</w:t>
      </w:r>
      <w:r w:rsidR="00607490" w:rsidRPr="00737872">
        <w:rPr>
          <w:rFonts w:ascii="Times New Roman" w:hAnsi="Times New Roman" w:cs="Times New Roman"/>
          <w:sz w:val="20"/>
          <w:szCs w:val="20"/>
        </w:rPr>
        <w:t>RPF</w:t>
      </w:r>
      <w:r w:rsidR="003F1D42" w:rsidRPr="00737872">
        <w:rPr>
          <w:rFonts w:ascii="Times New Roman" w:hAnsi="Times New Roman" w:cs="Times New Roman"/>
          <w:sz w:val="20"/>
          <w:szCs w:val="20"/>
        </w:rPr>
        <w:t xml:space="preserve"> and DM</w:t>
      </w:r>
      <w:r w:rsidR="00607490" w:rsidRPr="00737872">
        <w:rPr>
          <w:rFonts w:ascii="Times New Roman" w:hAnsi="Times New Roman" w:cs="Times New Roman"/>
          <w:sz w:val="20"/>
          <w:szCs w:val="20"/>
        </w:rPr>
        <w:t>PF</w:t>
      </w:r>
      <w:r w:rsidR="003F1D42" w:rsidRPr="00737872">
        <w:rPr>
          <w:rFonts w:ascii="Times New Roman" w:hAnsi="Times New Roman" w:cs="Times New Roman"/>
          <w:sz w:val="20"/>
          <w:szCs w:val="20"/>
        </w:rPr>
        <w:t xml:space="preserve"> at 2 years</w:t>
      </w:r>
      <w:r w:rsidR="006B757F" w:rsidRPr="00737872">
        <w:rPr>
          <w:rFonts w:ascii="Times New Roman" w:hAnsi="Times New Roman" w:cs="Times New Roman"/>
          <w:sz w:val="20"/>
          <w:szCs w:val="20"/>
        </w:rPr>
        <w:t xml:space="preserve">. </w:t>
      </w:r>
      <w:r w:rsidR="003F1D42" w:rsidRPr="00737872">
        <w:rPr>
          <w:rFonts w:ascii="Times New Roman" w:hAnsi="Times New Roman" w:cs="Times New Roman"/>
          <w:i/>
          <w:iCs/>
          <w:sz w:val="20"/>
          <w:szCs w:val="20"/>
        </w:rPr>
        <w:t>Results:</w:t>
      </w:r>
      <w:r w:rsidR="00F76000" w:rsidRPr="00737872">
        <w:rPr>
          <w:rFonts w:ascii="Times New Roman" w:hAnsi="Times New Roman" w:cs="Times New Roman"/>
          <w:i/>
          <w:iCs/>
          <w:sz w:val="20"/>
          <w:szCs w:val="20"/>
          <w:lang w:eastAsia="zh-CN"/>
        </w:rPr>
        <w:t xml:space="preserve"> </w:t>
      </w:r>
      <w:r w:rsidR="00F04F15" w:rsidRPr="00737872">
        <w:rPr>
          <w:rFonts w:ascii="Times New Roman" w:hAnsi="Times New Roman" w:cs="Times New Roman"/>
          <w:sz w:val="20"/>
          <w:szCs w:val="20"/>
        </w:rPr>
        <w:t xml:space="preserve">IMRT-SIB was superior in PTV coverage with more sparing of </w:t>
      </w:r>
      <w:r w:rsidR="00B91942" w:rsidRPr="00737872">
        <w:rPr>
          <w:rFonts w:ascii="Times New Roman" w:hAnsi="Times New Roman" w:cs="Times New Roman"/>
          <w:sz w:val="20"/>
          <w:szCs w:val="20"/>
        </w:rPr>
        <w:t>spinal cord, brain stem and parotid glands</w:t>
      </w:r>
      <w:r w:rsidR="00472EE8" w:rsidRPr="00737872">
        <w:rPr>
          <w:rFonts w:ascii="Times New Roman" w:hAnsi="Times New Roman" w:cs="Times New Roman"/>
          <w:sz w:val="20"/>
          <w:szCs w:val="20"/>
        </w:rPr>
        <w:t xml:space="preserve"> compared to 3D-CRT</w:t>
      </w:r>
      <w:r w:rsidR="00F04F15" w:rsidRPr="00737872">
        <w:rPr>
          <w:rFonts w:ascii="Times New Roman" w:hAnsi="Times New Roman" w:cs="Times New Roman"/>
          <w:sz w:val="20"/>
          <w:szCs w:val="20"/>
        </w:rPr>
        <w:t xml:space="preserve">. Acute grade 3 </w:t>
      </w:r>
      <w:proofErr w:type="spellStart"/>
      <w:r w:rsidR="00F04F15" w:rsidRPr="00737872">
        <w:rPr>
          <w:rFonts w:ascii="Times New Roman" w:hAnsi="Times New Roman" w:cs="Times New Roman"/>
          <w:sz w:val="20"/>
          <w:szCs w:val="20"/>
        </w:rPr>
        <w:t>xerostomia</w:t>
      </w:r>
      <w:proofErr w:type="spellEnd"/>
      <w:r w:rsidR="00F04F15" w:rsidRPr="00737872">
        <w:rPr>
          <w:rFonts w:ascii="Times New Roman" w:hAnsi="Times New Roman" w:cs="Times New Roman"/>
          <w:sz w:val="20"/>
          <w:szCs w:val="20"/>
        </w:rPr>
        <w:t>,</w:t>
      </w:r>
      <w:r w:rsidR="00472EE8" w:rsidRPr="00737872">
        <w:rPr>
          <w:rFonts w:ascii="Times New Roman" w:hAnsi="Times New Roman" w:cs="Times New Roman"/>
          <w:sz w:val="20"/>
          <w:szCs w:val="20"/>
        </w:rPr>
        <w:t xml:space="preserve"> laryngitis, </w:t>
      </w:r>
      <w:proofErr w:type="spellStart"/>
      <w:r w:rsidR="00F04F15" w:rsidRPr="00737872">
        <w:rPr>
          <w:rFonts w:ascii="Times New Roman" w:hAnsi="Times New Roman" w:cs="Times New Roman"/>
          <w:sz w:val="20"/>
          <w:szCs w:val="20"/>
        </w:rPr>
        <w:t>dysphagia</w:t>
      </w:r>
      <w:proofErr w:type="spellEnd"/>
      <w:r w:rsidR="00472EE8" w:rsidRPr="00737872">
        <w:rPr>
          <w:rFonts w:ascii="Times New Roman" w:hAnsi="Times New Roman" w:cs="Times New Roman"/>
          <w:sz w:val="20"/>
          <w:szCs w:val="20"/>
        </w:rPr>
        <w:t xml:space="preserve">, pain and </w:t>
      </w:r>
      <w:proofErr w:type="spellStart"/>
      <w:r w:rsidR="00472EE8" w:rsidRPr="00737872">
        <w:rPr>
          <w:rFonts w:ascii="Times New Roman" w:hAnsi="Times New Roman" w:cs="Times New Roman"/>
          <w:sz w:val="20"/>
          <w:szCs w:val="20"/>
        </w:rPr>
        <w:t>mucositis</w:t>
      </w:r>
      <w:proofErr w:type="spellEnd"/>
      <w:r w:rsidR="00F04F15" w:rsidRPr="00737872">
        <w:rPr>
          <w:rFonts w:ascii="Times New Roman" w:hAnsi="Times New Roman" w:cs="Times New Roman"/>
          <w:sz w:val="20"/>
          <w:szCs w:val="20"/>
        </w:rPr>
        <w:t xml:space="preserve"> recorded</w:t>
      </w:r>
      <w:r w:rsidR="00472EE8" w:rsidRPr="00737872">
        <w:rPr>
          <w:rFonts w:ascii="Times New Roman" w:hAnsi="Times New Roman" w:cs="Times New Roman"/>
          <w:sz w:val="20"/>
          <w:szCs w:val="20"/>
        </w:rPr>
        <w:t xml:space="preserve"> in 30%, 20%, 16.7%,16.7% and 13.3% respectively. At the 9</w:t>
      </w:r>
      <w:r w:rsidR="00472EE8" w:rsidRPr="00737872">
        <w:rPr>
          <w:rFonts w:ascii="Times New Roman" w:hAnsi="Times New Roman" w:cs="Times New Roman"/>
          <w:sz w:val="20"/>
          <w:szCs w:val="20"/>
          <w:vertAlign w:val="superscript"/>
        </w:rPr>
        <w:t>th</w:t>
      </w:r>
      <w:r w:rsidR="00472EE8" w:rsidRPr="00737872">
        <w:rPr>
          <w:rFonts w:ascii="Times New Roman" w:hAnsi="Times New Roman" w:cs="Times New Roman"/>
          <w:sz w:val="20"/>
          <w:szCs w:val="20"/>
        </w:rPr>
        <w:t xml:space="preserve"> month follow up, only one patient suffered from grade 3 </w:t>
      </w:r>
      <w:proofErr w:type="spellStart"/>
      <w:r w:rsidR="00472EE8" w:rsidRPr="00737872">
        <w:rPr>
          <w:rFonts w:ascii="Times New Roman" w:hAnsi="Times New Roman" w:cs="Times New Roman"/>
          <w:sz w:val="20"/>
          <w:szCs w:val="20"/>
        </w:rPr>
        <w:t>xersotomia</w:t>
      </w:r>
      <w:proofErr w:type="spellEnd"/>
      <w:r w:rsidR="00472EE8" w:rsidRPr="00737872">
        <w:rPr>
          <w:rFonts w:ascii="Times New Roman" w:hAnsi="Times New Roman" w:cs="Times New Roman"/>
          <w:sz w:val="20"/>
          <w:szCs w:val="20"/>
        </w:rPr>
        <w:t xml:space="preserve"> and another one had grade 3 </w:t>
      </w:r>
      <w:proofErr w:type="spellStart"/>
      <w:r w:rsidR="00472EE8" w:rsidRPr="00737872">
        <w:rPr>
          <w:rFonts w:ascii="Times New Roman" w:hAnsi="Times New Roman" w:cs="Times New Roman"/>
          <w:sz w:val="20"/>
          <w:szCs w:val="20"/>
        </w:rPr>
        <w:t>dysphagia</w:t>
      </w:r>
      <w:proofErr w:type="spellEnd"/>
      <w:r w:rsidR="00472EE8" w:rsidRPr="00737872">
        <w:rPr>
          <w:rFonts w:ascii="Times New Roman" w:hAnsi="Times New Roman" w:cs="Times New Roman"/>
          <w:sz w:val="20"/>
          <w:szCs w:val="20"/>
        </w:rPr>
        <w:t xml:space="preserve">. </w:t>
      </w:r>
      <w:r w:rsidR="00B91942" w:rsidRPr="00737872">
        <w:rPr>
          <w:rFonts w:ascii="Times New Roman" w:hAnsi="Times New Roman" w:cs="Times New Roman"/>
          <w:sz w:val="20"/>
          <w:szCs w:val="20"/>
        </w:rPr>
        <w:t>D</w:t>
      </w:r>
      <w:r w:rsidR="00607490" w:rsidRPr="00737872">
        <w:rPr>
          <w:rFonts w:ascii="Times New Roman" w:hAnsi="Times New Roman" w:cs="Times New Roman"/>
          <w:sz w:val="20"/>
          <w:szCs w:val="20"/>
        </w:rPr>
        <w:t xml:space="preserve">eterioration in most QOL scales was observed during RT with recovery at 12 month even below that at baseline except in sticky saliva and dry mouth. The 2-year </w:t>
      </w:r>
      <w:proofErr w:type="spellStart"/>
      <w:r w:rsidR="00607490" w:rsidRPr="00737872">
        <w:rPr>
          <w:rFonts w:ascii="Times New Roman" w:hAnsi="Times New Roman" w:cs="Times New Roman"/>
          <w:sz w:val="20"/>
          <w:szCs w:val="20"/>
        </w:rPr>
        <w:t>locoregional</w:t>
      </w:r>
      <w:proofErr w:type="spellEnd"/>
      <w:r w:rsidR="00607490" w:rsidRPr="00737872">
        <w:rPr>
          <w:rFonts w:ascii="Times New Roman" w:hAnsi="Times New Roman" w:cs="Times New Roman"/>
          <w:sz w:val="20"/>
          <w:szCs w:val="20"/>
        </w:rPr>
        <w:t xml:space="preserve"> progression free</w:t>
      </w:r>
      <w:r w:rsidR="00C8657A" w:rsidRPr="00737872">
        <w:rPr>
          <w:rFonts w:ascii="Times New Roman" w:hAnsi="Times New Roman" w:cs="Times New Roman"/>
          <w:sz w:val="20"/>
          <w:szCs w:val="20"/>
        </w:rPr>
        <w:t xml:space="preserve"> rate</w:t>
      </w:r>
      <w:r w:rsidR="00607490" w:rsidRPr="00737872">
        <w:rPr>
          <w:rFonts w:ascii="Times New Roman" w:hAnsi="Times New Roman" w:cs="Times New Roman"/>
          <w:sz w:val="20"/>
          <w:szCs w:val="20"/>
        </w:rPr>
        <w:t>,</w:t>
      </w:r>
      <w:r w:rsidR="00F76000" w:rsidRPr="00737872">
        <w:rPr>
          <w:rFonts w:ascii="Times New Roman" w:hAnsi="Times New Roman" w:cs="Times New Roman"/>
          <w:sz w:val="20"/>
          <w:szCs w:val="20"/>
          <w:lang w:eastAsia="zh-CN"/>
        </w:rPr>
        <w:t xml:space="preserve"> </w:t>
      </w:r>
      <w:r w:rsidR="00607490" w:rsidRPr="00737872">
        <w:rPr>
          <w:rFonts w:ascii="Times New Roman" w:hAnsi="Times New Roman" w:cs="Times New Roman"/>
          <w:sz w:val="20"/>
          <w:szCs w:val="20"/>
        </w:rPr>
        <w:t xml:space="preserve">metastasis progression free </w:t>
      </w:r>
      <w:r w:rsidR="00C8657A" w:rsidRPr="00737872">
        <w:rPr>
          <w:rFonts w:ascii="Times New Roman" w:hAnsi="Times New Roman" w:cs="Times New Roman"/>
          <w:sz w:val="20"/>
          <w:szCs w:val="20"/>
        </w:rPr>
        <w:t xml:space="preserve">rate </w:t>
      </w:r>
      <w:r w:rsidR="00607490" w:rsidRPr="00737872">
        <w:rPr>
          <w:rFonts w:ascii="Times New Roman" w:hAnsi="Times New Roman" w:cs="Times New Roman"/>
          <w:sz w:val="20"/>
          <w:szCs w:val="20"/>
        </w:rPr>
        <w:t xml:space="preserve">and overall survival were 89.3 %, 92.86% and </w:t>
      </w:r>
      <w:r w:rsidR="00F177A7" w:rsidRPr="00737872">
        <w:rPr>
          <w:rFonts w:ascii="Times New Roman" w:hAnsi="Times New Roman" w:cs="Times New Roman"/>
          <w:sz w:val="20"/>
          <w:szCs w:val="20"/>
        </w:rPr>
        <w:t xml:space="preserve">86.7% </w:t>
      </w:r>
      <w:r w:rsidR="00607490" w:rsidRPr="00737872">
        <w:rPr>
          <w:rFonts w:ascii="Times New Roman" w:hAnsi="Times New Roman" w:cs="Times New Roman"/>
          <w:sz w:val="20"/>
          <w:szCs w:val="20"/>
        </w:rPr>
        <w:t>respectively</w:t>
      </w:r>
      <w:r w:rsidR="00F177A7" w:rsidRPr="00737872">
        <w:rPr>
          <w:rFonts w:ascii="Times New Roman" w:hAnsi="Times New Roman" w:cs="Times New Roman"/>
          <w:sz w:val="20"/>
          <w:szCs w:val="20"/>
        </w:rPr>
        <w:t xml:space="preserve">. </w:t>
      </w:r>
      <w:proofErr w:type="spellStart"/>
      <w:r w:rsidR="00F177A7" w:rsidRPr="00737872">
        <w:rPr>
          <w:rFonts w:ascii="Times New Roman" w:hAnsi="Times New Roman" w:cs="Times New Roman"/>
          <w:sz w:val="20"/>
          <w:szCs w:val="20"/>
        </w:rPr>
        <w:t>Univariate</w:t>
      </w:r>
      <w:proofErr w:type="spellEnd"/>
      <w:r w:rsidR="00F177A7" w:rsidRPr="00737872">
        <w:rPr>
          <w:rFonts w:ascii="Times New Roman" w:hAnsi="Times New Roman" w:cs="Times New Roman"/>
          <w:sz w:val="20"/>
          <w:szCs w:val="20"/>
        </w:rPr>
        <w:t xml:space="preserve"> analysis with respect to PFS and OS showed that N-stage (N1 is better than N2-3, P = 0.001) and AJCC-stage (II is better than III than IV, P = 0.001) were significantly associated with OS. PFS was significantly influenced by AJCC-stage (P &lt; 0.001). However, multivariate analysis showed that AJCC-stage was the only independent prognostic factor for both PFS and OS.</w:t>
      </w:r>
      <w:r w:rsidR="005420E7" w:rsidRPr="00737872">
        <w:rPr>
          <w:rFonts w:ascii="Times New Roman" w:hAnsi="Times New Roman" w:cs="Times New Roman"/>
          <w:sz w:val="20"/>
          <w:szCs w:val="20"/>
        </w:rPr>
        <w:t xml:space="preserve"> </w:t>
      </w:r>
      <w:r w:rsidR="00F177A7" w:rsidRPr="00737872">
        <w:rPr>
          <w:rFonts w:ascii="Times New Roman" w:hAnsi="Times New Roman" w:cs="Times New Roman"/>
          <w:i/>
          <w:iCs/>
          <w:sz w:val="20"/>
          <w:szCs w:val="20"/>
        </w:rPr>
        <w:t>Conclusion:</w:t>
      </w:r>
      <w:r w:rsidR="00F76000" w:rsidRPr="00737872">
        <w:rPr>
          <w:rFonts w:ascii="Times New Roman" w:hAnsi="Times New Roman" w:cs="Times New Roman"/>
          <w:i/>
          <w:iCs/>
          <w:sz w:val="20"/>
          <w:szCs w:val="20"/>
          <w:lang w:eastAsia="zh-CN"/>
        </w:rPr>
        <w:t xml:space="preserve"> </w:t>
      </w:r>
      <w:r w:rsidR="003C2BAD" w:rsidRPr="00737872">
        <w:rPr>
          <w:rFonts w:ascii="Times New Roman" w:hAnsi="Times New Roman" w:cs="Times New Roman"/>
          <w:sz w:val="20"/>
          <w:szCs w:val="20"/>
        </w:rPr>
        <w:t xml:space="preserve">IMRT-SIB is significantly better than 3D-CRT in terms of </w:t>
      </w:r>
      <w:proofErr w:type="spellStart"/>
      <w:r w:rsidR="003C2BAD" w:rsidRPr="00737872">
        <w:rPr>
          <w:rFonts w:ascii="Times New Roman" w:hAnsi="Times New Roman" w:cs="Times New Roman"/>
          <w:sz w:val="20"/>
          <w:szCs w:val="20"/>
        </w:rPr>
        <w:t>PTVs</w:t>
      </w:r>
      <w:proofErr w:type="spellEnd"/>
      <w:r w:rsidR="003C2BAD" w:rsidRPr="00737872">
        <w:rPr>
          <w:rFonts w:ascii="Times New Roman" w:hAnsi="Times New Roman" w:cs="Times New Roman"/>
          <w:sz w:val="20"/>
          <w:szCs w:val="20"/>
        </w:rPr>
        <w:t xml:space="preserve"> coverage as well as spinal cord, brain stem and parotid glands sparing</w:t>
      </w:r>
      <w:r w:rsidR="00F76000" w:rsidRPr="00737872">
        <w:rPr>
          <w:rFonts w:ascii="Times New Roman" w:hAnsi="Times New Roman" w:cs="Times New Roman"/>
          <w:sz w:val="20"/>
          <w:szCs w:val="20"/>
          <w:lang w:eastAsia="zh-CN"/>
        </w:rPr>
        <w:t xml:space="preserve"> </w:t>
      </w:r>
      <w:r w:rsidR="00FB2072" w:rsidRPr="00737872">
        <w:rPr>
          <w:rFonts w:ascii="Times New Roman" w:hAnsi="Times New Roman" w:cs="Times New Roman"/>
          <w:sz w:val="20"/>
          <w:szCs w:val="20"/>
        </w:rPr>
        <w:t>with reduction of</w:t>
      </w:r>
      <w:r w:rsidR="00F177A7" w:rsidRPr="00737872">
        <w:rPr>
          <w:rFonts w:ascii="Times New Roman" w:hAnsi="Times New Roman" w:cs="Times New Roman"/>
          <w:sz w:val="20"/>
          <w:szCs w:val="20"/>
        </w:rPr>
        <w:t xml:space="preserve"> the incidence and severity of </w:t>
      </w:r>
      <w:r w:rsidR="00C8657A" w:rsidRPr="00737872">
        <w:rPr>
          <w:rFonts w:ascii="Times New Roman" w:hAnsi="Times New Roman" w:cs="Times New Roman"/>
          <w:sz w:val="20"/>
          <w:szCs w:val="20"/>
        </w:rPr>
        <w:t xml:space="preserve">toxicity mainly that of </w:t>
      </w:r>
      <w:proofErr w:type="spellStart"/>
      <w:r w:rsidR="00F177A7" w:rsidRPr="00737872">
        <w:rPr>
          <w:rFonts w:ascii="Times New Roman" w:hAnsi="Times New Roman" w:cs="Times New Roman"/>
          <w:sz w:val="20"/>
          <w:szCs w:val="20"/>
        </w:rPr>
        <w:t>xerostomia</w:t>
      </w:r>
      <w:proofErr w:type="spellEnd"/>
      <w:r w:rsidR="00F177A7" w:rsidRPr="00737872">
        <w:rPr>
          <w:rFonts w:ascii="Times New Roman" w:hAnsi="Times New Roman" w:cs="Times New Roman"/>
          <w:sz w:val="20"/>
          <w:szCs w:val="20"/>
        </w:rPr>
        <w:t xml:space="preserve"> in </w:t>
      </w:r>
      <w:r w:rsidR="00C8657A" w:rsidRPr="00737872">
        <w:rPr>
          <w:rFonts w:ascii="Times New Roman" w:hAnsi="Times New Roman" w:cs="Times New Roman"/>
          <w:sz w:val="20"/>
          <w:szCs w:val="20"/>
        </w:rPr>
        <w:t>nasopharyngeal carcinoma</w:t>
      </w:r>
      <w:r w:rsidR="005301B1" w:rsidRPr="00737872">
        <w:rPr>
          <w:rFonts w:ascii="Times New Roman" w:hAnsi="Times New Roman" w:cs="Times New Roman"/>
          <w:sz w:val="20"/>
          <w:szCs w:val="20"/>
        </w:rPr>
        <w:t xml:space="preserve"> patients with maintenance of</w:t>
      </w:r>
      <w:r w:rsidR="00F76000" w:rsidRPr="00737872">
        <w:rPr>
          <w:rFonts w:ascii="Times New Roman" w:hAnsi="Times New Roman" w:cs="Times New Roman"/>
          <w:sz w:val="20"/>
          <w:szCs w:val="20"/>
          <w:lang w:eastAsia="zh-CN"/>
        </w:rPr>
        <w:t xml:space="preserve"> </w:t>
      </w:r>
      <w:r w:rsidR="005301B1" w:rsidRPr="00737872">
        <w:rPr>
          <w:rFonts w:ascii="Times New Roman" w:hAnsi="Times New Roman" w:cs="Times New Roman"/>
          <w:sz w:val="20"/>
          <w:szCs w:val="20"/>
        </w:rPr>
        <w:t>tumor control and survival benefits. The</w:t>
      </w:r>
      <w:r w:rsidR="00F177A7" w:rsidRPr="00737872">
        <w:rPr>
          <w:rFonts w:ascii="Times New Roman" w:hAnsi="Times New Roman" w:cs="Times New Roman"/>
          <w:sz w:val="20"/>
          <w:szCs w:val="20"/>
        </w:rPr>
        <w:t>s</w:t>
      </w:r>
      <w:r w:rsidR="005301B1" w:rsidRPr="00737872">
        <w:rPr>
          <w:rFonts w:ascii="Times New Roman" w:hAnsi="Times New Roman" w:cs="Times New Roman"/>
          <w:sz w:val="20"/>
          <w:szCs w:val="20"/>
        </w:rPr>
        <w:t>e</w:t>
      </w:r>
      <w:r w:rsidR="00F177A7" w:rsidRPr="00737872">
        <w:rPr>
          <w:rFonts w:ascii="Times New Roman" w:hAnsi="Times New Roman" w:cs="Times New Roman"/>
          <w:sz w:val="20"/>
          <w:szCs w:val="20"/>
        </w:rPr>
        <w:t xml:space="preserve"> benefit</w:t>
      </w:r>
      <w:r w:rsidR="005301B1" w:rsidRPr="00737872">
        <w:rPr>
          <w:rFonts w:ascii="Times New Roman" w:hAnsi="Times New Roman" w:cs="Times New Roman"/>
          <w:sz w:val="20"/>
          <w:szCs w:val="20"/>
        </w:rPr>
        <w:t>s</w:t>
      </w:r>
      <w:r w:rsidR="00F76000" w:rsidRPr="00737872">
        <w:rPr>
          <w:rFonts w:ascii="Times New Roman" w:hAnsi="Times New Roman" w:cs="Times New Roman"/>
          <w:sz w:val="20"/>
          <w:szCs w:val="20"/>
          <w:lang w:eastAsia="zh-CN"/>
        </w:rPr>
        <w:t xml:space="preserve"> </w:t>
      </w:r>
      <w:proofErr w:type="spellStart"/>
      <w:r w:rsidR="00290439" w:rsidRPr="00737872">
        <w:rPr>
          <w:rFonts w:ascii="Times New Roman" w:hAnsi="Times New Roman" w:cs="Times New Roman"/>
          <w:sz w:val="20"/>
          <w:szCs w:val="20"/>
        </w:rPr>
        <w:t>persiste</w:t>
      </w:r>
      <w:proofErr w:type="spellEnd"/>
      <w:r w:rsidR="00F177A7" w:rsidRPr="00737872">
        <w:rPr>
          <w:rFonts w:ascii="Times New Roman" w:hAnsi="Times New Roman" w:cs="Times New Roman"/>
          <w:sz w:val="20"/>
          <w:szCs w:val="20"/>
        </w:rPr>
        <w:t xml:space="preserve"> on longitudinal follow-up with patients showing significant recovery of </w:t>
      </w:r>
      <w:r w:rsidR="00FB2072" w:rsidRPr="00737872">
        <w:rPr>
          <w:rFonts w:ascii="Times New Roman" w:hAnsi="Times New Roman" w:cs="Times New Roman"/>
          <w:sz w:val="20"/>
          <w:szCs w:val="20"/>
        </w:rPr>
        <w:t>QOL</w:t>
      </w:r>
      <w:r w:rsidR="00F177A7" w:rsidRPr="00737872">
        <w:rPr>
          <w:rFonts w:ascii="Times New Roman" w:hAnsi="Times New Roman" w:cs="Times New Roman"/>
          <w:sz w:val="20"/>
          <w:szCs w:val="20"/>
        </w:rPr>
        <w:t xml:space="preserve"> over time, SO, strongly supporting the widespread adoption of IMRT</w:t>
      </w:r>
      <w:r w:rsidR="003C2BAD" w:rsidRPr="00737872">
        <w:rPr>
          <w:rFonts w:ascii="Times New Roman" w:hAnsi="Times New Roman" w:cs="Times New Roman"/>
          <w:sz w:val="20"/>
          <w:szCs w:val="20"/>
        </w:rPr>
        <w:t>-SIB</w:t>
      </w:r>
      <w:r w:rsidR="00F177A7" w:rsidRPr="00737872">
        <w:rPr>
          <w:rFonts w:ascii="Times New Roman" w:hAnsi="Times New Roman" w:cs="Times New Roman"/>
          <w:sz w:val="20"/>
          <w:szCs w:val="20"/>
        </w:rPr>
        <w:t xml:space="preserve"> in head and neck radiotherapy practice.</w:t>
      </w:r>
    </w:p>
    <w:p w:rsidR="00737872" w:rsidRPr="00737872" w:rsidRDefault="00737872" w:rsidP="00737872">
      <w:pPr>
        <w:bidi w:val="0"/>
        <w:snapToGrid w:val="0"/>
        <w:spacing w:after="0" w:line="240" w:lineRule="auto"/>
        <w:jc w:val="both"/>
        <w:rPr>
          <w:rFonts w:ascii="Times New Roman" w:hAnsi="Times New Roman" w:cs="Times New Roman"/>
          <w:b/>
          <w:bCs/>
          <w:sz w:val="20"/>
          <w:szCs w:val="20"/>
          <w:lang w:bidi="ar-EG"/>
        </w:rPr>
      </w:pPr>
      <w:r w:rsidRPr="00737872">
        <w:rPr>
          <w:rFonts w:ascii="Times New Roman" w:hAnsi="Times New Roman" w:cs="Times New Roman" w:hint="eastAsia"/>
          <w:b/>
          <w:sz w:val="20"/>
          <w:szCs w:val="20"/>
          <w:lang w:val="en-GB"/>
        </w:rPr>
        <w:t>[</w:t>
      </w:r>
      <w:proofErr w:type="spellStart"/>
      <w:r w:rsidRPr="00737872">
        <w:rPr>
          <w:rFonts w:ascii="Times New Roman" w:hAnsi="Times New Roman" w:cs="Times New Roman"/>
          <w:sz w:val="20"/>
          <w:szCs w:val="20"/>
          <w:lang w:bidi="ar-EG"/>
        </w:rPr>
        <w:t>Radwa</w:t>
      </w:r>
      <w:proofErr w:type="spellEnd"/>
      <w:r w:rsidRPr="00737872">
        <w:rPr>
          <w:rFonts w:ascii="Times New Roman" w:hAnsi="Times New Roman" w:cs="Times New Roman"/>
          <w:sz w:val="20"/>
          <w:szCs w:val="20"/>
          <w:lang w:bidi="ar-EG"/>
        </w:rPr>
        <w:t xml:space="preserve"> </w:t>
      </w:r>
      <w:proofErr w:type="spellStart"/>
      <w:r w:rsidRPr="00737872">
        <w:rPr>
          <w:rFonts w:ascii="Times New Roman" w:hAnsi="Times New Roman" w:cs="Times New Roman"/>
          <w:sz w:val="20"/>
          <w:szCs w:val="20"/>
          <w:lang w:bidi="ar-EG"/>
        </w:rPr>
        <w:t>Awad</w:t>
      </w:r>
      <w:proofErr w:type="spellEnd"/>
      <w:r w:rsidRPr="00737872">
        <w:rPr>
          <w:rFonts w:ascii="Times New Roman" w:hAnsi="Times New Roman" w:cs="Times New Roman"/>
          <w:sz w:val="20"/>
          <w:szCs w:val="20"/>
          <w:lang w:bidi="ar-EG"/>
        </w:rPr>
        <w:t>,</w:t>
      </w:r>
      <w:r w:rsidRPr="00737872">
        <w:rPr>
          <w:rFonts w:ascii="Times New Roman" w:hAnsi="Times New Roman" w:cs="Times New Roman"/>
          <w:sz w:val="20"/>
          <w:szCs w:val="20"/>
          <w:lang w:eastAsia="zh-CN" w:bidi="ar-EG"/>
        </w:rPr>
        <w:t xml:space="preserve"> </w:t>
      </w:r>
      <w:proofErr w:type="spellStart"/>
      <w:r w:rsidRPr="00737872">
        <w:rPr>
          <w:rFonts w:ascii="Times New Roman" w:hAnsi="Times New Roman" w:cs="Times New Roman"/>
          <w:sz w:val="20"/>
          <w:szCs w:val="20"/>
          <w:lang w:bidi="ar-EG"/>
        </w:rPr>
        <w:t>Omnia</w:t>
      </w:r>
      <w:proofErr w:type="spellEnd"/>
      <w:r w:rsidRPr="00737872">
        <w:rPr>
          <w:rFonts w:ascii="Times New Roman" w:hAnsi="Times New Roman" w:cs="Times New Roman"/>
          <w:sz w:val="20"/>
          <w:szCs w:val="20"/>
          <w:lang w:eastAsia="zh-CN" w:bidi="ar-EG"/>
        </w:rPr>
        <w:t xml:space="preserve"> </w:t>
      </w:r>
      <w:proofErr w:type="spellStart"/>
      <w:r w:rsidRPr="00737872">
        <w:rPr>
          <w:rFonts w:ascii="Times New Roman" w:hAnsi="Times New Roman" w:cs="Times New Roman"/>
          <w:sz w:val="20"/>
          <w:szCs w:val="20"/>
          <w:lang w:bidi="ar-EG"/>
        </w:rPr>
        <w:t>Abd</w:t>
      </w:r>
      <w:proofErr w:type="spellEnd"/>
      <w:r w:rsidRPr="00737872">
        <w:rPr>
          <w:rFonts w:ascii="Times New Roman" w:hAnsi="Times New Roman" w:cs="Times New Roman"/>
          <w:sz w:val="20"/>
          <w:szCs w:val="20"/>
          <w:lang w:eastAsia="zh-CN" w:bidi="ar-EG"/>
        </w:rPr>
        <w:t xml:space="preserve"> </w:t>
      </w:r>
      <w:proofErr w:type="spellStart"/>
      <w:r w:rsidRPr="00737872">
        <w:rPr>
          <w:rFonts w:ascii="Times New Roman" w:hAnsi="Times New Roman" w:cs="Times New Roman"/>
          <w:sz w:val="20"/>
          <w:szCs w:val="20"/>
          <w:lang w:bidi="ar-EG"/>
        </w:rPr>
        <w:t>Elkhalek</w:t>
      </w:r>
      <w:proofErr w:type="spellEnd"/>
      <w:r w:rsidRPr="00737872">
        <w:rPr>
          <w:rFonts w:ascii="Times New Roman" w:hAnsi="Times New Roman" w:cs="Times New Roman"/>
          <w:sz w:val="20"/>
          <w:szCs w:val="20"/>
          <w:lang w:bidi="ar-EG"/>
        </w:rPr>
        <w:t>,</w:t>
      </w:r>
      <w:r w:rsidRPr="00737872">
        <w:rPr>
          <w:rFonts w:ascii="Times New Roman" w:hAnsi="Times New Roman" w:cs="Times New Roman"/>
          <w:sz w:val="20"/>
          <w:szCs w:val="20"/>
          <w:lang w:eastAsia="zh-CN" w:bidi="ar-EG"/>
        </w:rPr>
        <w:t xml:space="preserve"> </w:t>
      </w:r>
      <w:r w:rsidRPr="00737872">
        <w:rPr>
          <w:rFonts w:ascii="Times New Roman" w:hAnsi="Times New Roman" w:cs="Times New Roman"/>
          <w:sz w:val="20"/>
          <w:szCs w:val="20"/>
          <w:lang w:bidi="ar-EG"/>
        </w:rPr>
        <w:t xml:space="preserve">Samar </w:t>
      </w:r>
      <w:proofErr w:type="spellStart"/>
      <w:r w:rsidRPr="00737872">
        <w:rPr>
          <w:rFonts w:ascii="Times New Roman" w:hAnsi="Times New Roman" w:cs="Times New Roman"/>
          <w:sz w:val="20"/>
          <w:szCs w:val="20"/>
          <w:lang w:bidi="ar-EG"/>
        </w:rPr>
        <w:t>Yonis</w:t>
      </w:r>
      <w:proofErr w:type="spellEnd"/>
      <w:r w:rsidRPr="00737872">
        <w:rPr>
          <w:rFonts w:ascii="Times New Roman" w:hAnsi="Times New Roman" w:cs="Times New Roman"/>
          <w:sz w:val="20"/>
          <w:szCs w:val="20"/>
          <w:lang w:bidi="ar-EG"/>
        </w:rPr>
        <w:t>,</w:t>
      </w:r>
      <w:r w:rsidRPr="00737872">
        <w:rPr>
          <w:rFonts w:ascii="Times New Roman" w:hAnsi="Times New Roman" w:cs="Times New Roman"/>
          <w:sz w:val="20"/>
          <w:szCs w:val="20"/>
          <w:lang w:eastAsia="zh-CN" w:bidi="ar-EG"/>
        </w:rPr>
        <w:t xml:space="preserve"> </w:t>
      </w:r>
      <w:proofErr w:type="spellStart"/>
      <w:r w:rsidRPr="00737872">
        <w:rPr>
          <w:rFonts w:ascii="Times New Roman" w:hAnsi="Times New Roman" w:cs="Times New Roman"/>
          <w:sz w:val="20"/>
          <w:szCs w:val="20"/>
          <w:lang w:bidi="ar-EG"/>
        </w:rPr>
        <w:t>Gamal</w:t>
      </w:r>
      <w:proofErr w:type="spellEnd"/>
      <w:r w:rsidRPr="00737872">
        <w:rPr>
          <w:rFonts w:ascii="Times New Roman" w:hAnsi="Times New Roman" w:cs="Times New Roman"/>
          <w:sz w:val="20"/>
          <w:szCs w:val="20"/>
          <w:lang w:eastAsia="zh-CN" w:bidi="ar-EG"/>
        </w:rPr>
        <w:t xml:space="preserve"> </w:t>
      </w:r>
      <w:proofErr w:type="spellStart"/>
      <w:r w:rsidRPr="00737872">
        <w:rPr>
          <w:rFonts w:ascii="Times New Roman" w:hAnsi="Times New Roman" w:cs="Times New Roman"/>
          <w:sz w:val="20"/>
          <w:szCs w:val="20"/>
          <w:lang w:bidi="ar-EG"/>
        </w:rPr>
        <w:t>Attia</w:t>
      </w:r>
      <w:proofErr w:type="spellEnd"/>
      <w:r>
        <w:rPr>
          <w:rFonts w:ascii="Times New Roman" w:hAnsi="Times New Roman" w:cs="Times New Roman"/>
          <w:sz w:val="20"/>
          <w:szCs w:val="20"/>
          <w:vertAlign w:val="superscript"/>
          <w:lang w:bidi="ar-EG"/>
        </w:rPr>
        <w:t xml:space="preserve"> </w:t>
      </w:r>
      <w:r w:rsidRPr="00737872">
        <w:rPr>
          <w:rFonts w:ascii="Times New Roman" w:hAnsi="Times New Roman" w:cs="Times New Roman"/>
          <w:sz w:val="20"/>
          <w:szCs w:val="20"/>
          <w:lang w:bidi="ar-EG"/>
        </w:rPr>
        <w:t xml:space="preserve">and </w:t>
      </w:r>
      <w:proofErr w:type="spellStart"/>
      <w:r w:rsidRPr="00737872">
        <w:rPr>
          <w:rFonts w:ascii="Times New Roman" w:hAnsi="Times New Roman" w:cs="Times New Roman"/>
          <w:sz w:val="20"/>
          <w:szCs w:val="20"/>
          <w:lang w:bidi="ar-EG"/>
        </w:rPr>
        <w:t>Laila</w:t>
      </w:r>
      <w:proofErr w:type="spellEnd"/>
      <w:r w:rsidRPr="00737872">
        <w:rPr>
          <w:rFonts w:ascii="Times New Roman" w:hAnsi="Times New Roman" w:cs="Times New Roman"/>
          <w:sz w:val="20"/>
          <w:szCs w:val="20"/>
          <w:lang w:eastAsia="zh-CN" w:bidi="ar-EG"/>
        </w:rPr>
        <w:t xml:space="preserve"> </w:t>
      </w:r>
      <w:proofErr w:type="spellStart"/>
      <w:r w:rsidRPr="00737872">
        <w:rPr>
          <w:rFonts w:ascii="Times New Roman" w:hAnsi="Times New Roman" w:cs="Times New Roman"/>
          <w:sz w:val="20"/>
          <w:szCs w:val="20"/>
          <w:lang w:bidi="ar-EG"/>
        </w:rPr>
        <w:t>Korashi</w:t>
      </w:r>
      <w:proofErr w:type="spellEnd"/>
      <w:r w:rsidRPr="00737872">
        <w:rPr>
          <w:rFonts w:ascii="Times New Roman" w:hAnsi="Times New Roman" w:cs="Times New Roman"/>
          <w:sz w:val="20"/>
          <w:szCs w:val="20"/>
        </w:rPr>
        <w:t xml:space="preserve">. </w:t>
      </w:r>
      <w:r w:rsidRPr="00737872">
        <w:rPr>
          <w:rFonts w:ascii="Times New Roman" w:hAnsi="Times New Roman" w:cs="Times New Roman"/>
          <w:b/>
          <w:bCs/>
          <w:sz w:val="20"/>
          <w:szCs w:val="20"/>
          <w:lang w:bidi="ar-EG"/>
        </w:rPr>
        <w:t xml:space="preserve">Intensity Modulated Radiotherapy with Simultaneous Integrated Boost (IMRT-SIB) in treatment of Nasopharyngeal Carcinoma. </w:t>
      </w:r>
      <w:proofErr w:type="spellStart"/>
      <w:r w:rsidRPr="00737872">
        <w:rPr>
          <w:rFonts w:ascii="Times New Roman" w:hAnsi="Times New Roman" w:cs="Times New Roman"/>
          <w:b/>
          <w:bCs/>
          <w:sz w:val="20"/>
          <w:szCs w:val="20"/>
          <w:lang w:bidi="ar-EG"/>
        </w:rPr>
        <w:t>Dosimetric</w:t>
      </w:r>
      <w:proofErr w:type="spellEnd"/>
      <w:r w:rsidRPr="00737872">
        <w:rPr>
          <w:rFonts w:ascii="Times New Roman" w:hAnsi="Times New Roman" w:cs="Times New Roman"/>
          <w:b/>
          <w:bCs/>
          <w:sz w:val="20"/>
          <w:szCs w:val="20"/>
          <w:lang w:bidi="ar-EG"/>
        </w:rPr>
        <w:t xml:space="preserve"> Advantage over 3-Dimentional Conformal Radiotherapy (3D-CRT). Clinical impact on Survival, Toxicity and Quality of life</w:t>
      </w:r>
      <w:r w:rsidRPr="00737872">
        <w:rPr>
          <w:rFonts w:ascii="Times New Roman" w:eastAsia="Times New Roman" w:hAnsi="Times New Roman" w:cs="Times New Roman"/>
          <w:b/>
          <w:bCs/>
          <w:sz w:val="20"/>
          <w:szCs w:val="20"/>
          <w:lang w:bidi="fa-IR"/>
        </w:rPr>
        <w:t>.</w:t>
      </w:r>
      <w:r w:rsidRPr="00737872">
        <w:rPr>
          <w:rFonts w:ascii="Times New Roman" w:hAnsi="Times New Roman" w:cs="Times New Roman"/>
          <w:i/>
          <w:sz w:val="20"/>
          <w:szCs w:val="20"/>
        </w:rPr>
        <w:t xml:space="preserve"> Cancer Biology</w:t>
      </w:r>
      <w:r w:rsidRPr="00737872">
        <w:rPr>
          <w:rFonts w:ascii="Times New Roman" w:hAnsi="Times New Roman" w:cs="Times New Roman"/>
          <w:sz w:val="20"/>
          <w:szCs w:val="20"/>
        </w:rPr>
        <w:t xml:space="preserve"> 201</w:t>
      </w:r>
      <w:r w:rsidRPr="00737872">
        <w:rPr>
          <w:rFonts w:ascii="Times New Roman" w:hAnsi="Times New Roman" w:cs="Times New Roman" w:hint="eastAsia"/>
          <w:sz w:val="20"/>
          <w:szCs w:val="20"/>
        </w:rPr>
        <w:t>8</w:t>
      </w:r>
      <w:r w:rsidRPr="00737872">
        <w:rPr>
          <w:rFonts w:ascii="Times New Roman" w:hAnsi="Times New Roman" w:cs="Times New Roman"/>
          <w:sz w:val="20"/>
          <w:szCs w:val="20"/>
        </w:rPr>
        <w:t>;</w:t>
      </w:r>
      <w:r w:rsidRPr="00737872">
        <w:rPr>
          <w:rFonts w:ascii="Times New Roman" w:hAnsi="Times New Roman" w:cs="Times New Roman" w:hint="eastAsia"/>
          <w:sz w:val="20"/>
          <w:szCs w:val="20"/>
        </w:rPr>
        <w:t>8</w:t>
      </w:r>
      <w:r w:rsidRPr="00737872">
        <w:rPr>
          <w:rFonts w:ascii="Times New Roman" w:hAnsi="Times New Roman" w:cs="Times New Roman"/>
          <w:sz w:val="20"/>
          <w:szCs w:val="20"/>
        </w:rPr>
        <w:t>(</w:t>
      </w:r>
      <w:r w:rsidRPr="00737872">
        <w:rPr>
          <w:rFonts w:ascii="Times New Roman" w:hAnsi="Times New Roman" w:cs="Times New Roman" w:hint="eastAsia"/>
          <w:sz w:val="20"/>
          <w:szCs w:val="20"/>
        </w:rPr>
        <w:t>4</w:t>
      </w:r>
      <w:r w:rsidRPr="00737872">
        <w:rPr>
          <w:rFonts w:ascii="Times New Roman" w:hAnsi="Times New Roman" w:cs="Times New Roman"/>
          <w:sz w:val="20"/>
          <w:szCs w:val="20"/>
        </w:rPr>
        <w:t>):</w:t>
      </w:r>
      <w:r w:rsidR="00FF3FC3">
        <w:rPr>
          <w:rFonts w:ascii="Times New Roman" w:hAnsi="Times New Roman" w:cs="Times New Roman"/>
          <w:noProof/>
          <w:color w:val="000000"/>
          <w:sz w:val="20"/>
          <w:szCs w:val="20"/>
        </w:rPr>
        <w:t>134-145</w:t>
      </w:r>
      <w:r w:rsidRPr="00737872">
        <w:rPr>
          <w:rFonts w:ascii="Times New Roman" w:hAnsi="Times New Roman" w:cs="Times New Roman"/>
          <w:sz w:val="20"/>
          <w:szCs w:val="20"/>
        </w:rPr>
        <w:t xml:space="preserve">]. </w:t>
      </w:r>
      <w:r w:rsidRPr="00737872">
        <w:rPr>
          <w:rStyle w:val="msonormal0"/>
          <w:rFonts w:ascii="Times New Roman" w:eastAsia="宋" w:hAnsi="Times New Roman" w:cs="Times New Roman"/>
          <w:sz w:val="20"/>
          <w:szCs w:val="20"/>
        </w:rPr>
        <w:t>ISSN: 2150-1041 (print); ISSN: 2150-105X (online)</w:t>
      </w:r>
      <w:r w:rsidRPr="00737872">
        <w:rPr>
          <w:rFonts w:ascii="Times New Roman" w:hAnsi="Times New Roman" w:cs="Times New Roman"/>
          <w:sz w:val="20"/>
          <w:szCs w:val="20"/>
        </w:rPr>
        <w:t xml:space="preserve">. </w:t>
      </w:r>
      <w:hyperlink r:id="rId9" w:history="1">
        <w:r w:rsidRPr="00737872">
          <w:rPr>
            <w:rStyle w:val="Hyperlink"/>
            <w:rFonts w:ascii="Times New Roman" w:hAnsi="Times New Roman" w:cs="Times New Roman"/>
            <w:sz w:val="20"/>
            <w:szCs w:val="20"/>
          </w:rPr>
          <w:t>http://www.cancerbio.net</w:t>
        </w:r>
      </w:hyperlink>
      <w:r w:rsidRPr="00737872">
        <w:rPr>
          <w:rFonts w:ascii="Times New Roman" w:hAnsi="Times New Roman" w:cs="Times New Roman"/>
          <w:sz w:val="20"/>
          <w:szCs w:val="20"/>
        </w:rPr>
        <w:t>.</w:t>
      </w:r>
      <w:r w:rsidRPr="00737872">
        <w:rPr>
          <w:rFonts w:ascii="Times New Roman" w:hAnsi="Times New Roman" w:cs="Times New Roman" w:hint="eastAsia"/>
          <w:sz w:val="20"/>
          <w:szCs w:val="20"/>
        </w:rPr>
        <w:t xml:space="preserve"> </w:t>
      </w:r>
      <w:r>
        <w:rPr>
          <w:rFonts w:ascii="Times New Roman" w:hAnsi="Times New Roman" w:cs="Times New Roman" w:hint="eastAsia"/>
          <w:sz w:val="20"/>
          <w:szCs w:val="20"/>
          <w:lang w:eastAsia="zh-CN"/>
        </w:rPr>
        <w:t>11</w:t>
      </w:r>
      <w:r w:rsidRPr="00737872">
        <w:rPr>
          <w:rFonts w:ascii="Times New Roman" w:hAnsi="Times New Roman" w:cs="Times New Roman" w:hint="eastAsia"/>
          <w:sz w:val="20"/>
          <w:szCs w:val="20"/>
        </w:rPr>
        <w:t xml:space="preserve">. </w:t>
      </w:r>
      <w:r w:rsidRPr="00737872">
        <w:rPr>
          <w:rFonts w:ascii="Times New Roman" w:hAnsi="Times New Roman" w:cs="Times New Roman"/>
          <w:color w:val="000000"/>
          <w:sz w:val="20"/>
          <w:szCs w:val="20"/>
          <w:shd w:val="clear" w:color="auto" w:fill="FFFFFF"/>
        </w:rPr>
        <w:t>doi:</w:t>
      </w:r>
      <w:hyperlink r:id="rId10" w:history="1">
        <w:r w:rsidRPr="00737872">
          <w:rPr>
            <w:rStyle w:val="Hyperlink"/>
            <w:rFonts w:ascii="Times New Roman" w:hAnsi="Times New Roman" w:cs="Times New Roman"/>
            <w:sz w:val="20"/>
            <w:szCs w:val="20"/>
            <w:shd w:val="clear" w:color="auto" w:fill="FFFFFF"/>
          </w:rPr>
          <w:t>10.7537/mars</w:t>
        </w:r>
        <w:r w:rsidRPr="00737872">
          <w:rPr>
            <w:rStyle w:val="Hyperlink"/>
            <w:rFonts w:ascii="Times New Roman" w:hAnsi="Times New Roman" w:cs="Times New Roman" w:hint="eastAsia"/>
            <w:sz w:val="20"/>
            <w:szCs w:val="20"/>
            <w:shd w:val="clear" w:color="auto" w:fill="FFFFFF"/>
          </w:rPr>
          <w:t>cbj0804</w:t>
        </w:r>
        <w:r w:rsidRPr="00737872">
          <w:rPr>
            <w:rStyle w:val="Hyperlink"/>
            <w:rFonts w:ascii="Times New Roman" w:hAnsi="Times New Roman" w:cs="Times New Roman"/>
            <w:sz w:val="20"/>
            <w:szCs w:val="20"/>
            <w:shd w:val="clear" w:color="auto" w:fill="FFFFFF"/>
          </w:rPr>
          <w:t>1</w:t>
        </w:r>
        <w:r w:rsidRPr="00737872">
          <w:rPr>
            <w:rStyle w:val="Hyperlink"/>
            <w:rFonts w:ascii="Times New Roman" w:hAnsi="Times New Roman" w:cs="Times New Roman" w:hint="eastAsia"/>
            <w:sz w:val="20"/>
            <w:szCs w:val="20"/>
            <w:shd w:val="clear" w:color="auto" w:fill="FFFFFF"/>
          </w:rPr>
          <w:t>8.</w:t>
        </w:r>
        <w:r>
          <w:rPr>
            <w:rStyle w:val="Hyperlink"/>
            <w:rFonts w:ascii="Times New Roman" w:hAnsi="Times New Roman" w:cs="Times New Roman" w:hint="eastAsia"/>
            <w:sz w:val="20"/>
            <w:szCs w:val="20"/>
            <w:shd w:val="clear" w:color="auto" w:fill="FFFFFF"/>
            <w:lang w:eastAsia="zh-CN"/>
          </w:rPr>
          <w:t>11</w:t>
        </w:r>
      </w:hyperlink>
      <w:r w:rsidRPr="00737872">
        <w:rPr>
          <w:rFonts w:ascii="Times New Roman" w:hAnsi="Times New Roman" w:cs="Times New Roman"/>
          <w:color w:val="000000"/>
          <w:sz w:val="20"/>
          <w:szCs w:val="20"/>
          <w:shd w:val="clear" w:color="auto" w:fill="FFFFFF"/>
        </w:rPr>
        <w:t>.</w:t>
      </w:r>
    </w:p>
    <w:p w:rsidR="006B757F" w:rsidRPr="00737872" w:rsidRDefault="006B757F" w:rsidP="00737872">
      <w:pPr>
        <w:bidi w:val="0"/>
        <w:snapToGrid w:val="0"/>
        <w:spacing w:after="0" w:line="240" w:lineRule="auto"/>
        <w:jc w:val="both"/>
        <w:rPr>
          <w:rFonts w:ascii="Times New Roman" w:hAnsi="Times New Roman" w:cs="Times New Roman"/>
          <w:sz w:val="20"/>
          <w:szCs w:val="20"/>
        </w:rPr>
      </w:pPr>
    </w:p>
    <w:p w:rsidR="00384052" w:rsidRPr="00737872" w:rsidRDefault="00384052" w:rsidP="00737872">
      <w:pPr>
        <w:autoSpaceDE w:val="0"/>
        <w:autoSpaceDN w:val="0"/>
        <w:bidi w:val="0"/>
        <w:adjustRightInd w:val="0"/>
        <w:snapToGrid w:val="0"/>
        <w:spacing w:after="0" w:line="240" w:lineRule="auto"/>
        <w:jc w:val="both"/>
        <w:rPr>
          <w:rFonts w:ascii="Times New Roman" w:hAnsi="Times New Roman" w:cs="Times New Roman"/>
          <w:sz w:val="20"/>
          <w:szCs w:val="20"/>
        </w:rPr>
      </w:pPr>
      <w:proofErr w:type="spellStart"/>
      <w:r w:rsidRPr="00737872">
        <w:rPr>
          <w:rFonts w:ascii="Times New Roman" w:hAnsi="Times New Roman" w:cs="Times New Roman"/>
          <w:b/>
          <w:bCs/>
          <w:sz w:val="20"/>
          <w:szCs w:val="20"/>
        </w:rPr>
        <w:t>Keywords:</w:t>
      </w:r>
      <w:r w:rsidR="002C7682" w:rsidRPr="00737872">
        <w:rPr>
          <w:rFonts w:ascii="Times New Roman" w:hAnsi="Times New Roman" w:cs="Times New Roman"/>
          <w:sz w:val="20"/>
          <w:szCs w:val="20"/>
        </w:rPr>
        <w:t>IMRT</w:t>
      </w:r>
      <w:proofErr w:type="spellEnd"/>
      <w:r w:rsidR="002C7682" w:rsidRPr="00737872">
        <w:rPr>
          <w:rFonts w:ascii="Times New Roman" w:hAnsi="Times New Roman" w:cs="Times New Roman"/>
          <w:sz w:val="20"/>
          <w:szCs w:val="20"/>
        </w:rPr>
        <w:t xml:space="preserve">, </w:t>
      </w:r>
      <w:r w:rsidR="00C8657A" w:rsidRPr="00737872">
        <w:rPr>
          <w:rFonts w:ascii="Times New Roman" w:hAnsi="Times New Roman" w:cs="Times New Roman"/>
          <w:sz w:val="20"/>
          <w:szCs w:val="20"/>
        </w:rPr>
        <w:t>3D-</w:t>
      </w:r>
      <w:r w:rsidRPr="00737872">
        <w:rPr>
          <w:rFonts w:ascii="Times New Roman" w:hAnsi="Times New Roman" w:cs="Times New Roman"/>
          <w:sz w:val="20"/>
          <w:szCs w:val="20"/>
        </w:rPr>
        <w:t xml:space="preserve">Conformal radiotherapy, </w:t>
      </w:r>
      <w:r w:rsidR="00734834" w:rsidRPr="00737872">
        <w:rPr>
          <w:rFonts w:ascii="Times New Roman" w:hAnsi="Times New Roman" w:cs="Times New Roman"/>
          <w:sz w:val="20"/>
          <w:szCs w:val="20"/>
        </w:rPr>
        <w:t>Nasopharyngeal carcinoma</w:t>
      </w:r>
    </w:p>
    <w:p w:rsidR="00600E84" w:rsidRPr="00737872" w:rsidRDefault="00600E84" w:rsidP="00737872">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737872" w:rsidRDefault="00737872" w:rsidP="00737872">
      <w:pPr>
        <w:autoSpaceDE w:val="0"/>
        <w:autoSpaceDN w:val="0"/>
        <w:bidi w:val="0"/>
        <w:adjustRightInd w:val="0"/>
        <w:snapToGrid w:val="0"/>
        <w:spacing w:after="0" w:line="240" w:lineRule="auto"/>
        <w:jc w:val="both"/>
        <w:rPr>
          <w:rFonts w:ascii="Times New Roman" w:hAnsi="Times New Roman" w:cs="Times New Roman"/>
          <w:b/>
          <w:bCs/>
          <w:sz w:val="20"/>
          <w:szCs w:val="20"/>
        </w:rPr>
        <w:sectPr w:rsidR="00737872" w:rsidSect="00FF3FC3">
          <w:headerReference w:type="default" r:id="rId11"/>
          <w:footerReference w:type="default" r:id="rId12"/>
          <w:type w:val="continuous"/>
          <w:pgSz w:w="12242" w:h="15842" w:code="1"/>
          <w:pgMar w:top="1440" w:right="1440" w:bottom="1440" w:left="1440" w:header="720" w:footer="720" w:gutter="0"/>
          <w:pgNumType w:start="134"/>
          <w:cols w:space="720"/>
          <w:docGrid w:linePitch="360"/>
        </w:sectPr>
      </w:pPr>
    </w:p>
    <w:p w:rsidR="00384052" w:rsidRPr="00737872" w:rsidRDefault="006B757F" w:rsidP="00737872">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737872">
        <w:rPr>
          <w:rFonts w:ascii="Times New Roman" w:hAnsi="Times New Roman" w:cs="Times New Roman"/>
          <w:b/>
          <w:bCs/>
          <w:sz w:val="20"/>
          <w:szCs w:val="20"/>
        </w:rPr>
        <w:lastRenderedPageBreak/>
        <w:t>1. Introduction</w:t>
      </w:r>
    </w:p>
    <w:p w:rsidR="00430C7A" w:rsidRPr="00737872" w:rsidRDefault="004960EE" w:rsidP="00737872">
      <w:pPr>
        <w:pStyle w:val="headinganchor"/>
        <w:snapToGrid w:val="0"/>
        <w:spacing w:before="0" w:beforeAutospacing="0" w:after="0" w:afterAutospacing="0"/>
        <w:ind w:firstLine="425"/>
        <w:jc w:val="both"/>
        <w:rPr>
          <w:rFonts w:eastAsiaTheme="minorHAnsi"/>
          <w:sz w:val="20"/>
          <w:szCs w:val="20"/>
          <w:lang w:bidi="ar-EG"/>
        </w:rPr>
      </w:pPr>
      <w:r w:rsidRPr="00737872">
        <w:rPr>
          <w:sz w:val="20"/>
          <w:szCs w:val="20"/>
        </w:rPr>
        <w:t>Nasopharyngeal carcinoma</w:t>
      </w:r>
      <w:r w:rsidR="002C7682" w:rsidRPr="00737872">
        <w:rPr>
          <w:sz w:val="20"/>
          <w:szCs w:val="20"/>
        </w:rPr>
        <w:t xml:space="preserve"> (NPC) </w:t>
      </w:r>
      <w:r w:rsidRPr="00737872">
        <w:rPr>
          <w:sz w:val="20"/>
          <w:szCs w:val="20"/>
        </w:rPr>
        <w:t xml:space="preserve">is one of the Epstein-Barr virus associated </w:t>
      </w:r>
      <w:r w:rsidR="00290439" w:rsidRPr="00737872">
        <w:rPr>
          <w:sz w:val="20"/>
          <w:szCs w:val="20"/>
        </w:rPr>
        <w:t>malignancies;</w:t>
      </w:r>
      <w:r w:rsidRPr="00737872">
        <w:rPr>
          <w:sz w:val="20"/>
          <w:szCs w:val="20"/>
        </w:rPr>
        <w:t xml:space="preserve"> it is endemic in a few areas </w:t>
      </w:r>
      <w:r w:rsidR="00F37170" w:rsidRPr="00737872">
        <w:rPr>
          <w:sz w:val="20"/>
          <w:szCs w:val="20"/>
        </w:rPr>
        <w:t>as</w:t>
      </w:r>
      <w:r w:rsidRPr="00737872">
        <w:rPr>
          <w:sz w:val="20"/>
          <w:szCs w:val="20"/>
        </w:rPr>
        <w:t xml:space="preserve"> Southeast Asia, Southern China, Nort</w:t>
      </w:r>
      <w:r w:rsidR="005301B1" w:rsidRPr="00737872">
        <w:rPr>
          <w:sz w:val="20"/>
          <w:szCs w:val="20"/>
        </w:rPr>
        <w:t xml:space="preserve">h Africa and the Arctic </w:t>
      </w:r>
      <w:r w:rsidR="00734834" w:rsidRPr="00737872">
        <w:rPr>
          <w:b/>
          <w:bCs/>
          <w:i/>
          <w:iCs/>
          <w:sz w:val="20"/>
          <w:szCs w:val="20"/>
        </w:rPr>
        <w:t>(1)</w:t>
      </w:r>
      <w:r w:rsidR="005301B1" w:rsidRPr="00737872">
        <w:rPr>
          <w:sz w:val="20"/>
          <w:szCs w:val="20"/>
        </w:rPr>
        <w:t>.</w:t>
      </w:r>
      <w:r w:rsidR="00E525A1" w:rsidRPr="00737872">
        <w:rPr>
          <w:sz w:val="20"/>
          <w:szCs w:val="20"/>
        </w:rPr>
        <w:t xml:space="preserve"> Neck masses, nasal obstruction, discharge, </w:t>
      </w:r>
      <w:proofErr w:type="spellStart"/>
      <w:r w:rsidR="00E525A1" w:rsidRPr="00737872">
        <w:rPr>
          <w:sz w:val="20"/>
          <w:szCs w:val="20"/>
        </w:rPr>
        <w:t>epistaxis</w:t>
      </w:r>
      <w:proofErr w:type="spellEnd"/>
      <w:r w:rsidR="00E525A1" w:rsidRPr="00737872">
        <w:rPr>
          <w:sz w:val="20"/>
          <w:szCs w:val="20"/>
        </w:rPr>
        <w:t xml:space="preserve"> and headache are the common presentation. </w:t>
      </w:r>
      <w:r w:rsidR="00734834" w:rsidRPr="00737872">
        <w:rPr>
          <w:sz w:val="20"/>
          <w:szCs w:val="20"/>
        </w:rPr>
        <w:t xml:space="preserve">About 70% of patients are diagnosed at advanced stage </w:t>
      </w:r>
      <w:r w:rsidR="005301B1" w:rsidRPr="00737872">
        <w:rPr>
          <w:sz w:val="20"/>
          <w:szCs w:val="20"/>
        </w:rPr>
        <w:t xml:space="preserve">(clinical stages III and IV) </w:t>
      </w:r>
      <w:r w:rsidR="00734834" w:rsidRPr="00737872">
        <w:rPr>
          <w:b/>
          <w:bCs/>
          <w:i/>
          <w:iCs/>
          <w:sz w:val="20"/>
          <w:szCs w:val="20"/>
        </w:rPr>
        <w:t>(</w:t>
      </w:r>
      <w:hyperlink r:id="rId13" w:anchor="b4-etm-0-0-5878" w:history="1">
        <w:r w:rsidR="00734834" w:rsidRPr="00737872">
          <w:rPr>
            <w:rStyle w:val="Hyperlink"/>
            <w:b/>
            <w:bCs/>
            <w:i/>
            <w:iCs/>
            <w:color w:val="auto"/>
            <w:sz w:val="20"/>
            <w:szCs w:val="20"/>
            <w:u w:val="none"/>
          </w:rPr>
          <w:t>2</w:t>
        </w:r>
      </w:hyperlink>
      <w:r w:rsidR="005301B1" w:rsidRPr="00737872">
        <w:rPr>
          <w:b/>
          <w:bCs/>
          <w:i/>
          <w:iCs/>
          <w:sz w:val="20"/>
          <w:szCs w:val="20"/>
        </w:rPr>
        <w:t>)</w:t>
      </w:r>
      <w:r w:rsidR="00737872" w:rsidRPr="00737872">
        <w:rPr>
          <w:sz w:val="20"/>
          <w:szCs w:val="20"/>
        </w:rPr>
        <w:t>.</w:t>
      </w:r>
      <w:r w:rsidR="00737872">
        <w:rPr>
          <w:sz w:val="20"/>
          <w:szCs w:val="20"/>
        </w:rPr>
        <w:t xml:space="preserve"> </w:t>
      </w:r>
      <w:r w:rsidR="00737872" w:rsidRPr="00737872">
        <w:rPr>
          <w:sz w:val="20"/>
          <w:szCs w:val="20"/>
        </w:rPr>
        <w:t>R</w:t>
      </w:r>
      <w:r w:rsidR="00F37170" w:rsidRPr="00737872">
        <w:rPr>
          <w:sz w:val="20"/>
          <w:szCs w:val="20"/>
        </w:rPr>
        <w:t xml:space="preserve">adiotherapy either alone or with chemotherapy is considered the </w:t>
      </w:r>
      <w:r w:rsidR="00734834" w:rsidRPr="00737872">
        <w:rPr>
          <w:sz w:val="20"/>
          <w:szCs w:val="20"/>
        </w:rPr>
        <w:t xml:space="preserve">primary </w:t>
      </w:r>
      <w:r w:rsidR="00F37170" w:rsidRPr="00737872">
        <w:rPr>
          <w:sz w:val="20"/>
          <w:szCs w:val="20"/>
        </w:rPr>
        <w:t>treatment due to its anatomical location</w:t>
      </w:r>
      <w:r w:rsidR="00BC033A" w:rsidRPr="00737872">
        <w:rPr>
          <w:sz w:val="20"/>
          <w:szCs w:val="20"/>
        </w:rPr>
        <w:t xml:space="preserve"> of the </w:t>
      </w:r>
      <w:proofErr w:type="spellStart"/>
      <w:r w:rsidR="00BC033A" w:rsidRPr="00737872">
        <w:rPr>
          <w:sz w:val="20"/>
          <w:szCs w:val="20"/>
        </w:rPr>
        <w:t>nasopharynx</w:t>
      </w:r>
      <w:proofErr w:type="spellEnd"/>
      <w:r w:rsidR="00F37170" w:rsidRPr="00737872">
        <w:rPr>
          <w:sz w:val="20"/>
          <w:szCs w:val="20"/>
        </w:rPr>
        <w:t xml:space="preserve"> and </w:t>
      </w:r>
      <w:r w:rsidR="00BC033A" w:rsidRPr="00737872">
        <w:rPr>
          <w:sz w:val="20"/>
          <w:szCs w:val="20"/>
        </w:rPr>
        <w:t xml:space="preserve">its </w:t>
      </w:r>
      <w:r w:rsidR="00F37170" w:rsidRPr="00737872">
        <w:rPr>
          <w:sz w:val="20"/>
          <w:szCs w:val="20"/>
        </w:rPr>
        <w:t xml:space="preserve">proximity to various risk organs </w:t>
      </w:r>
      <w:r w:rsidR="00F37170" w:rsidRPr="00737872">
        <w:rPr>
          <w:b/>
          <w:bCs/>
          <w:i/>
          <w:iCs/>
          <w:sz w:val="20"/>
          <w:szCs w:val="20"/>
        </w:rPr>
        <w:t>(</w:t>
      </w:r>
      <w:r w:rsidR="00734834" w:rsidRPr="00737872">
        <w:rPr>
          <w:b/>
          <w:bCs/>
          <w:i/>
          <w:iCs/>
          <w:sz w:val="20"/>
          <w:szCs w:val="20"/>
        </w:rPr>
        <w:t>3</w:t>
      </w:r>
      <w:r w:rsidR="00F37170" w:rsidRPr="00737872">
        <w:rPr>
          <w:b/>
          <w:bCs/>
          <w:i/>
          <w:iCs/>
          <w:sz w:val="20"/>
          <w:szCs w:val="20"/>
        </w:rPr>
        <w:t>)</w:t>
      </w:r>
      <w:r w:rsidR="00734834" w:rsidRPr="00737872">
        <w:rPr>
          <w:sz w:val="20"/>
          <w:szCs w:val="20"/>
        </w:rPr>
        <w:t>.</w:t>
      </w:r>
      <w:r w:rsidR="00734834" w:rsidRPr="00737872">
        <w:rPr>
          <w:sz w:val="20"/>
          <w:szCs w:val="20"/>
          <w:lang w:bidi="ar-EG"/>
        </w:rPr>
        <w:t xml:space="preserve"> Radiotherapy has shifted from three-dimensional conformal radiotherapy (3D-CRT) to intensi</w:t>
      </w:r>
      <w:r w:rsidR="005301B1" w:rsidRPr="00737872">
        <w:rPr>
          <w:sz w:val="20"/>
          <w:szCs w:val="20"/>
          <w:lang w:bidi="ar-EG"/>
        </w:rPr>
        <w:t xml:space="preserve">ty-modulated radiotherapy (IMRT) </w:t>
      </w:r>
      <w:r w:rsidR="004E01A4" w:rsidRPr="00737872">
        <w:rPr>
          <w:b/>
          <w:bCs/>
          <w:i/>
          <w:iCs/>
          <w:sz w:val="20"/>
          <w:szCs w:val="20"/>
          <w:lang w:bidi="ar-EG"/>
        </w:rPr>
        <w:t>(4)</w:t>
      </w:r>
      <w:r w:rsidR="00737872" w:rsidRPr="00737872">
        <w:rPr>
          <w:sz w:val="20"/>
          <w:szCs w:val="20"/>
          <w:lang w:bidi="ar-EG"/>
        </w:rPr>
        <w:t>.</w:t>
      </w:r>
      <w:r w:rsidR="00737872">
        <w:rPr>
          <w:sz w:val="20"/>
          <w:szCs w:val="20"/>
          <w:lang w:bidi="ar-EG"/>
        </w:rPr>
        <w:t xml:space="preserve"> </w:t>
      </w:r>
      <w:r w:rsidR="00737872" w:rsidRPr="00737872">
        <w:rPr>
          <w:sz w:val="20"/>
          <w:szCs w:val="20"/>
        </w:rPr>
        <w:t>I</w:t>
      </w:r>
      <w:r w:rsidR="004E01A4" w:rsidRPr="00737872">
        <w:rPr>
          <w:sz w:val="20"/>
          <w:szCs w:val="20"/>
        </w:rPr>
        <w:t xml:space="preserve">MRT uses </w:t>
      </w:r>
      <w:proofErr w:type="spellStart"/>
      <w:r w:rsidR="004E01A4" w:rsidRPr="00737872">
        <w:rPr>
          <w:sz w:val="20"/>
          <w:szCs w:val="20"/>
        </w:rPr>
        <w:t>nonuniform</w:t>
      </w:r>
      <w:proofErr w:type="spellEnd"/>
      <w:r w:rsidR="004E01A4" w:rsidRPr="00737872">
        <w:rPr>
          <w:sz w:val="20"/>
          <w:szCs w:val="20"/>
        </w:rPr>
        <w:t xml:space="preserve"> </w:t>
      </w:r>
      <w:r w:rsidR="004E01A4" w:rsidRPr="00737872">
        <w:rPr>
          <w:sz w:val="20"/>
          <w:szCs w:val="20"/>
        </w:rPr>
        <w:lastRenderedPageBreak/>
        <w:t xml:space="preserve">radiation beam intensities to maximize radiation delivery to the planned target volume while minimizing irradiation of normal tissue outside the target </w:t>
      </w:r>
      <w:r w:rsidR="004E01A4" w:rsidRPr="00737872">
        <w:rPr>
          <w:sz w:val="20"/>
          <w:szCs w:val="20"/>
          <w:lang w:bidi="ar-EG"/>
        </w:rPr>
        <w:t>resulting in highly conformal and more homogenous dose administration to the target volumes, better sparing of the organs at risk (OAR), and therefore less toxicity. This reduction in toxicity does not compromise the probability of tumor contro</w:t>
      </w:r>
      <w:r w:rsidR="00BF7D07" w:rsidRPr="00737872">
        <w:rPr>
          <w:sz w:val="20"/>
          <w:szCs w:val="20"/>
          <w:lang w:bidi="ar-EG"/>
        </w:rPr>
        <w:t xml:space="preserve">l </w:t>
      </w:r>
      <w:r w:rsidR="00BF7D07" w:rsidRPr="00737872">
        <w:rPr>
          <w:b/>
          <w:bCs/>
          <w:i/>
          <w:iCs/>
          <w:sz w:val="20"/>
          <w:szCs w:val="20"/>
        </w:rPr>
        <w:t>(</w:t>
      </w:r>
      <w:r w:rsidR="004E01A4" w:rsidRPr="00737872">
        <w:rPr>
          <w:b/>
          <w:bCs/>
          <w:i/>
          <w:iCs/>
          <w:sz w:val="20"/>
          <w:szCs w:val="20"/>
        </w:rPr>
        <w:t>5)</w:t>
      </w:r>
      <w:r w:rsidR="00737872" w:rsidRPr="00737872">
        <w:rPr>
          <w:rStyle w:val="h1"/>
          <w:sz w:val="20"/>
          <w:szCs w:val="20"/>
        </w:rPr>
        <w:t>.</w:t>
      </w:r>
      <w:r w:rsidR="00737872">
        <w:rPr>
          <w:rStyle w:val="h1"/>
          <w:sz w:val="20"/>
          <w:szCs w:val="20"/>
        </w:rPr>
        <w:t xml:space="preserve"> </w:t>
      </w:r>
      <w:r w:rsidR="00737872" w:rsidRPr="00737872">
        <w:rPr>
          <w:rStyle w:val="h1"/>
          <w:sz w:val="20"/>
          <w:szCs w:val="20"/>
        </w:rPr>
        <w:t>S</w:t>
      </w:r>
      <w:r w:rsidR="00552736" w:rsidRPr="00737872">
        <w:rPr>
          <w:rStyle w:val="h1"/>
          <w:sz w:val="20"/>
          <w:szCs w:val="20"/>
        </w:rPr>
        <w:t>imultaneous integrated boost IMRT allows the simultaneous delivery of</w:t>
      </w:r>
      <w:r w:rsidR="00F76000" w:rsidRPr="00737872">
        <w:rPr>
          <w:rStyle w:val="h1"/>
          <w:rFonts w:eastAsiaTheme="minorEastAsia"/>
          <w:sz w:val="20"/>
          <w:szCs w:val="20"/>
          <w:lang w:eastAsia="zh-CN"/>
        </w:rPr>
        <w:t xml:space="preserve"> </w:t>
      </w:r>
      <w:r w:rsidR="00552736" w:rsidRPr="00737872">
        <w:rPr>
          <w:rFonts w:eastAsiaTheme="minorHAnsi"/>
          <w:sz w:val="20"/>
          <w:szCs w:val="20"/>
          <w:lang w:bidi="ar-EG"/>
        </w:rPr>
        <w:t>different doses to different target volumes within the same fraction resulting in shortening of treatment duration and enhancing biologically equivalent dos</w:t>
      </w:r>
      <w:r w:rsidR="00BF7D07" w:rsidRPr="00737872">
        <w:rPr>
          <w:rFonts w:eastAsiaTheme="minorHAnsi"/>
          <w:sz w:val="20"/>
          <w:szCs w:val="20"/>
          <w:lang w:bidi="ar-EG"/>
        </w:rPr>
        <w:t xml:space="preserve">e </w:t>
      </w:r>
      <w:r w:rsidR="00BF7D07" w:rsidRPr="00737872">
        <w:rPr>
          <w:rFonts w:eastAsiaTheme="minorHAnsi"/>
          <w:b/>
          <w:bCs/>
          <w:i/>
          <w:iCs/>
          <w:sz w:val="20"/>
          <w:szCs w:val="20"/>
          <w:lang w:bidi="ar-EG"/>
        </w:rPr>
        <w:t>(</w:t>
      </w:r>
      <w:r w:rsidR="00430C7A" w:rsidRPr="00737872">
        <w:rPr>
          <w:rFonts w:eastAsiaTheme="minorHAnsi"/>
          <w:b/>
          <w:bCs/>
          <w:i/>
          <w:iCs/>
          <w:sz w:val="20"/>
          <w:szCs w:val="20"/>
          <w:lang w:bidi="ar-EG"/>
        </w:rPr>
        <w:t>6)</w:t>
      </w:r>
      <w:r w:rsidR="00737872" w:rsidRPr="00737872">
        <w:rPr>
          <w:rFonts w:eastAsiaTheme="minorHAnsi"/>
          <w:sz w:val="20"/>
          <w:szCs w:val="20"/>
          <w:lang w:bidi="ar-EG"/>
        </w:rPr>
        <w:t>.</w:t>
      </w:r>
      <w:r w:rsidR="00737872">
        <w:rPr>
          <w:rFonts w:eastAsiaTheme="minorHAnsi"/>
          <w:sz w:val="20"/>
          <w:szCs w:val="20"/>
          <w:lang w:bidi="ar-EG"/>
        </w:rPr>
        <w:t xml:space="preserve"> </w:t>
      </w:r>
      <w:r w:rsidR="00737872" w:rsidRPr="00737872">
        <w:rPr>
          <w:rFonts w:eastAsiaTheme="minorHAnsi"/>
          <w:sz w:val="20"/>
          <w:szCs w:val="20"/>
          <w:lang w:bidi="ar-EG"/>
        </w:rPr>
        <w:t>I</w:t>
      </w:r>
      <w:r w:rsidR="0095391E" w:rsidRPr="00737872">
        <w:rPr>
          <w:rFonts w:eastAsiaTheme="minorHAnsi"/>
          <w:sz w:val="20"/>
          <w:szCs w:val="20"/>
          <w:lang w:bidi="ar-EG"/>
        </w:rPr>
        <w:t>MRT showed non–inferior survival outcomes as well as less acute</w:t>
      </w:r>
      <w:r w:rsidR="00BF7D07" w:rsidRPr="00737872">
        <w:rPr>
          <w:rFonts w:eastAsiaTheme="minorHAnsi"/>
          <w:sz w:val="20"/>
          <w:szCs w:val="20"/>
          <w:lang w:bidi="ar-EG"/>
        </w:rPr>
        <w:t xml:space="preserve"> &amp; </w:t>
      </w:r>
      <w:r w:rsidR="0095391E" w:rsidRPr="00737872">
        <w:rPr>
          <w:rFonts w:eastAsiaTheme="minorHAnsi"/>
          <w:sz w:val="20"/>
          <w:szCs w:val="20"/>
          <w:lang w:bidi="ar-EG"/>
        </w:rPr>
        <w:t>late toxici</w:t>
      </w:r>
      <w:r w:rsidR="005301B1" w:rsidRPr="00737872">
        <w:rPr>
          <w:rFonts w:eastAsiaTheme="minorHAnsi"/>
          <w:sz w:val="20"/>
          <w:szCs w:val="20"/>
          <w:lang w:bidi="ar-EG"/>
        </w:rPr>
        <w:t xml:space="preserve">ties and better quality of life </w:t>
      </w:r>
      <w:r w:rsidR="005301B1" w:rsidRPr="00737872">
        <w:rPr>
          <w:rFonts w:eastAsiaTheme="minorHAnsi"/>
          <w:b/>
          <w:bCs/>
          <w:i/>
          <w:iCs/>
          <w:sz w:val="20"/>
          <w:szCs w:val="20"/>
          <w:lang w:bidi="ar-EG"/>
        </w:rPr>
        <w:t>(7)</w:t>
      </w:r>
      <w:r w:rsidR="005301B1" w:rsidRPr="00737872">
        <w:rPr>
          <w:rFonts w:eastAsiaTheme="minorHAnsi"/>
          <w:sz w:val="20"/>
          <w:szCs w:val="20"/>
          <w:lang w:bidi="ar-EG"/>
        </w:rPr>
        <w:t>.</w:t>
      </w:r>
    </w:p>
    <w:p w:rsidR="00BC033A" w:rsidRPr="00737872" w:rsidRDefault="00430C7A" w:rsidP="00737872">
      <w:pPr>
        <w:pStyle w:val="headinganchor"/>
        <w:snapToGrid w:val="0"/>
        <w:spacing w:before="0" w:beforeAutospacing="0" w:after="0" w:afterAutospacing="0"/>
        <w:ind w:firstLine="425"/>
        <w:jc w:val="both"/>
        <w:rPr>
          <w:rFonts w:eastAsiaTheme="minorHAnsi"/>
          <w:sz w:val="20"/>
          <w:szCs w:val="20"/>
          <w:lang w:bidi="ar-EG"/>
        </w:rPr>
      </w:pPr>
      <w:r w:rsidRPr="00737872">
        <w:rPr>
          <w:rFonts w:eastAsiaTheme="minorHAnsi"/>
          <w:sz w:val="20"/>
          <w:szCs w:val="20"/>
          <w:lang w:bidi="ar-EG"/>
        </w:rPr>
        <w:lastRenderedPageBreak/>
        <w:t>The objective of this study is t</w:t>
      </w:r>
      <w:r w:rsidRPr="00737872">
        <w:rPr>
          <w:sz w:val="20"/>
          <w:szCs w:val="20"/>
          <w:lang w:bidi="ar-EG"/>
        </w:rPr>
        <w:t xml:space="preserve">o compare intensity modulated radiotherapy with simultaneous integrated boost (IMRT-SIB) and a 3-dimentional conformal radiotherapy (3D-CRT) </w:t>
      </w:r>
      <w:proofErr w:type="spellStart"/>
      <w:r w:rsidRPr="00737872">
        <w:rPr>
          <w:sz w:val="20"/>
          <w:szCs w:val="20"/>
          <w:lang w:bidi="ar-EG"/>
        </w:rPr>
        <w:t>dosimetrically</w:t>
      </w:r>
      <w:proofErr w:type="spellEnd"/>
      <w:r w:rsidRPr="00737872">
        <w:rPr>
          <w:sz w:val="20"/>
          <w:szCs w:val="20"/>
          <w:lang w:bidi="ar-EG"/>
        </w:rPr>
        <w:t xml:space="preserve"> as well as to evaluate treatment outcome, acute</w:t>
      </w:r>
      <w:r w:rsidR="00BF7D07" w:rsidRPr="00737872">
        <w:rPr>
          <w:sz w:val="20"/>
          <w:szCs w:val="20"/>
          <w:lang w:bidi="ar-EG"/>
        </w:rPr>
        <w:t xml:space="preserve"> &amp; </w:t>
      </w:r>
      <w:r w:rsidRPr="00737872">
        <w:rPr>
          <w:sz w:val="20"/>
          <w:szCs w:val="20"/>
          <w:lang w:bidi="ar-EG"/>
        </w:rPr>
        <w:t>late toxicities and quality of life in pat</w:t>
      </w:r>
      <w:r w:rsidR="005301B1" w:rsidRPr="00737872">
        <w:rPr>
          <w:sz w:val="20"/>
          <w:szCs w:val="20"/>
          <w:lang w:bidi="ar-EG"/>
        </w:rPr>
        <w:t>ients with nasopharyngeal carcinoma</w:t>
      </w:r>
      <w:r w:rsidRPr="00737872">
        <w:rPr>
          <w:sz w:val="20"/>
          <w:szCs w:val="20"/>
          <w:lang w:bidi="ar-EG"/>
        </w:rPr>
        <w:t xml:space="preserve"> (NPC) treated by IMRT-SIB</w:t>
      </w:r>
      <w:r w:rsidR="005301B1" w:rsidRPr="00737872">
        <w:rPr>
          <w:rFonts w:eastAsiaTheme="minorHAnsi"/>
          <w:sz w:val="20"/>
          <w:szCs w:val="20"/>
          <w:lang w:bidi="ar-EG"/>
        </w:rPr>
        <w:t xml:space="preserve"> concurrently with chemotherapy.</w:t>
      </w:r>
    </w:p>
    <w:p w:rsidR="005420E7" w:rsidRPr="00737872" w:rsidRDefault="005420E7" w:rsidP="00737872">
      <w:pPr>
        <w:pStyle w:val="headinganchor"/>
        <w:snapToGrid w:val="0"/>
        <w:spacing w:before="0" w:beforeAutospacing="0" w:after="0" w:afterAutospacing="0"/>
        <w:ind w:firstLine="425"/>
        <w:jc w:val="both"/>
        <w:rPr>
          <w:rFonts w:eastAsiaTheme="minorHAnsi"/>
          <w:sz w:val="20"/>
          <w:szCs w:val="20"/>
          <w:lang w:bidi="ar-EG"/>
        </w:rPr>
      </w:pPr>
    </w:p>
    <w:p w:rsidR="0095391E" w:rsidRPr="00737872" w:rsidRDefault="006B757F" w:rsidP="00737872">
      <w:pPr>
        <w:pStyle w:val="headinganchor"/>
        <w:snapToGrid w:val="0"/>
        <w:spacing w:before="0" w:beforeAutospacing="0" w:after="0" w:afterAutospacing="0"/>
        <w:jc w:val="both"/>
        <w:rPr>
          <w:rFonts w:eastAsiaTheme="minorHAnsi"/>
          <w:b/>
          <w:bCs/>
          <w:sz w:val="20"/>
          <w:szCs w:val="20"/>
          <w:lang w:bidi="ar-EG"/>
        </w:rPr>
      </w:pPr>
      <w:r w:rsidRPr="00737872">
        <w:rPr>
          <w:rFonts w:eastAsiaTheme="minorHAnsi"/>
          <w:b/>
          <w:bCs/>
          <w:sz w:val="20"/>
          <w:szCs w:val="20"/>
          <w:lang w:bidi="ar-EG"/>
        </w:rPr>
        <w:t>2. Patients and Methods</w:t>
      </w:r>
    </w:p>
    <w:p w:rsidR="008603AF" w:rsidRPr="00737872" w:rsidRDefault="008603AF" w:rsidP="00737872">
      <w:pPr>
        <w:pStyle w:val="headinganchor"/>
        <w:snapToGrid w:val="0"/>
        <w:spacing w:before="0" w:beforeAutospacing="0" w:after="0" w:afterAutospacing="0"/>
        <w:ind w:firstLine="425"/>
        <w:jc w:val="both"/>
        <w:rPr>
          <w:rFonts w:eastAsiaTheme="minorHAnsi"/>
          <w:sz w:val="20"/>
          <w:szCs w:val="20"/>
          <w:lang w:bidi="ar-EG"/>
        </w:rPr>
      </w:pPr>
      <w:r w:rsidRPr="00737872">
        <w:rPr>
          <w:rFonts w:eastAsiaTheme="minorHAnsi"/>
          <w:sz w:val="20"/>
          <w:szCs w:val="20"/>
          <w:lang w:bidi="ar-EG"/>
        </w:rPr>
        <w:t xml:space="preserve">Between June 2015 to June 2017,30 newly diagnosed patients with </w:t>
      </w:r>
      <w:proofErr w:type="spellStart"/>
      <w:r w:rsidR="00CD333D" w:rsidRPr="00737872">
        <w:rPr>
          <w:rFonts w:eastAsiaTheme="minorHAnsi"/>
          <w:sz w:val="20"/>
          <w:szCs w:val="20"/>
          <w:lang w:bidi="ar-EG"/>
        </w:rPr>
        <w:t>histopathological</w:t>
      </w:r>
      <w:proofErr w:type="spellEnd"/>
      <w:r w:rsidR="00CD333D" w:rsidRPr="00737872">
        <w:rPr>
          <w:rFonts w:eastAsiaTheme="minorHAnsi"/>
          <w:sz w:val="20"/>
          <w:szCs w:val="20"/>
          <w:lang w:bidi="ar-EG"/>
        </w:rPr>
        <w:t xml:space="preserve"> proof of </w:t>
      </w:r>
      <w:r w:rsidRPr="00737872">
        <w:rPr>
          <w:rFonts w:eastAsiaTheme="minorHAnsi"/>
          <w:sz w:val="20"/>
          <w:szCs w:val="20"/>
          <w:lang w:bidi="ar-EG"/>
        </w:rPr>
        <w:t>nasopharyngeal carcinoma</w:t>
      </w:r>
      <w:r w:rsidR="00CD333D" w:rsidRPr="00737872">
        <w:rPr>
          <w:rFonts w:eastAsiaTheme="minorHAnsi"/>
          <w:sz w:val="20"/>
          <w:szCs w:val="20"/>
          <w:lang w:bidi="ar-EG"/>
        </w:rPr>
        <w:t>, stages II-</w:t>
      </w:r>
      <w:proofErr w:type="spellStart"/>
      <w:r w:rsidR="00CD333D" w:rsidRPr="00737872">
        <w:rPr>
          <w:rFonts w:eastAsiaTheme="minorHAnsi"/>
          <w:sz w:val="20"/>
          <w:szCs w:val="20"/>
          <w:lang w:bidi="ar-EG"/>
        </w:rPr>
        <w:t>IVb</w:t>
      </w:r>
      <w:proofErr w:type="spellEnd"/>
      <w:r w:rsidR="005879A4" w:rsidRPr="00737872">
        <w:rPr>
          <w:rFonts w:eastAsiaTheme="minorHAnsi"/>
          <w:sz w:val="20"/>
          <w:szCs w:val="20"/>
          <w:lang w:bidi="ar-EG"/>
        </w:rPr>
        <w:t xml:space="preserve"> according to AJCC 7</w:t>
      </w:r>
      <w:r w:rsidR="005879A4" w:rsidRPr="00737872">
        <w:rPr>
          <w:rFonts w:eastAsiaTheme="minorHAnsi"/>
          <w:sz w:val="20"/>
          <w:szCs w:val="20"/>
          <w:vertAlign w:val="superscript"/>
          <w:lang w:bidi="ar-EG"/>
        </w:rPr>
        <w:t xml:space="preserve">th </w:t>
      </w:r>
      <w:r w:rsidR="005879A4" w:rsidRPr="00737872">
        <w:rPr>
          <w:rFonts w:eastAsiaTheme="minorHAnsi"/>
          <w:sz w:val="20"/>
          <w:szCs w:val="20"/>
          <w:lang w:bidi="ar-EG"/>
        </w:rPr>
        <w:t>edition</w:t>
      </w:r>
      <w:r w:rsidR="00CD333D" w:rsidRPr="00737872">
        <w:rPr>
          <w:rFonts w:eastAsiaTheme="minorHAnsi"/>
          <w:sz w:val="20"/>
          <w:szCs w:val="20"/>
          <w:lang w:bidi="ar-EG"/>
        </w:rPr>
        <w:t xml:space="preserve">, age ≥18 year with ECOG PS ≤ 2with no previous radiotherapy, malignancy or </w:t>
      </w:r>
      <w:proofErr w:type="spellStart"/>
      <w:r w:rsidR="00CD333D" w:rsidRPr="00737872">
        <w:rPr>
          <w:rFonts w:eastAsiaTheme="minorHAnsi"/>
          <w:sz w:val="20"/>
          <w:szCs w:val="20"/>
          <w:lang w:bidi="ar-EG"/>
        </w:rPr>
        <w:t>comorbidity</w:t>
      </w:r>
      <w:proofErr w:type="spellEnd"/>
      <w:r w:rsidR="00F76000" w:rsidRPr="00737872">
        <w:rPr>
          <w:rFonts w:eastAsiaTheme="minorEastAsia"/>
          <w:sz w:val="20"/>
          <w:szCs w:val="20"/>
          <w:lang w:eastAsia="zh-CN" w:bidi="ar-EG"/>
        </w:rPr>
        <w:t xml:space="preserve"> </w:t>
      </w:r>
      <w:r w:rsidR="005879A4" w:rsidRPr="00737872">
        <w:rPr>
          <w:rFonts w:eastAsiaTheme="minorHAnsi"/>
          <w:sz w:val="20"/>
          <w:szCs w:val="20"/>
          <w:lang w:bidi="ar-EG"/>
        </w:rPr>
        <w:t xml:space="preserve">and had adequate blood chemistry </w:t>
      </w:r>
      <w:r w:rsidRPr="00737872">
        <w:rPr>
          <w:rFonts w:eastAsiaTheme="minorHAnsi"/>
          <w:sz w:val="20"/>
          <w:szCs w:val="20"/>
          <w:lang w:bidi="ar-EG"/>
        </w:rPr>
        <w:t>were enr</w:t>
      </w:r>
      <w:r w:rsidR="003C2BAD" w:rsidRPr="00737872">
        <w:rPr>
          <w:rFonts w:eastAsiaTheme="minorHAnsi"/>
          <w:sz w:val="20"/>
          <w:szCs w:val="20"/>
          <w:lang w:bidi="ar-EG"/>
        </w:rPr>
        <w:t>olled in this prospective study in Tanta and Alexandria University hospitals.</w:t>
      </w:r>
      <w:r w:rsidR="00F76000" w:rsidRPr="00737872">
        <w:rPr>
          <w:rFonts w:eastAsiaTheme="minorEastAsia"/>
          <w:sz w:val="20"/>
          <w:szCs w:val="20"/>
          <w:lang w:eastAsia="zh-CN" w:bidi="ar-EG"/>
        </w:rPr>
        <w:t xml:space="preserve"> </w:t>
      </w:r>
      <w:r w:rsidR="00CD333D" w:rsidRPr="00737872">
        <w:rPr>
          <w:rFonts w:eastAsiaTheme="minorHAnsi"/>
          <w:sz w:val="20"/>
          <w:szCs w:val="20"/>
          <w:lang w:bidi="ar-EG"/>
        </w:rPr>
        <w:t xml:space="preserve">All patients had careful </w:t>
      </w:r>
      <w:r w:rsidRPr="00737872">
        <w:rPr>
          <w:rFonts w:eastAsiaTheme="minorHAnsi"/>
          <w:sz w:val="20"/>
          <w:szCs w:val="20"/>
          <w:lang w:bidi="ar-EG"/>
        </w:rPr>
        <w:t>history</w:t>
      </w:r>
      <w:r w:rsidR="00CD333D" w:rsidRPr="00737872">
        <w:rPr>
          <w:rFonts w:eastAsiaTheme="minorHAnsi"/>
          <w:sz w:val="20"/>
          <w:szCs w:val="20"/>
          <w:lang w:bidi="ar-EG"/>
        </w:rPr>
        <w:t xml:space="preserve"> taking</w:t>
      </w:r>
      <w:r w:rsidRPr="00737872">
        <w:rPr>
          <w:rFonts w:eastAsiaTheme="minorHAnsi"/>
          <w:sz w:val="20"/>
          <w:szCs w:val="20"/>
          <w:lang w:bidi="ar-EG"/>
        </w:rPr>
        <w:t xml:space="preserve">, </w:t>
      </w:r>
      <w:r w:rsidR="00CD333D" w:rsidRPr="00737872">
        <w:rPr>
          <w:rFonts w:eastAsiaTheme="minorHAnsi"/>
          <w:sz w:val="20"/>
          <w:szCs w:val="20"/>
          <w:lang w:bidi="ar-EG"/>
        </w:rPr>
        <w:t>clinical</w:t>
      </w:r>
      <w:r w:rsidRPr="00737872">
        <w:rPr>
          <w:rFonts w:eastAsiaTheme="minorHAnsi"/>
          <w:sz w:val="20"/>
          <w:szCs w:val="20"/>
          <w:lang w:bidi="ar-EG"/>
        </w:rPr>
        <w:t xml:space="preserve"> examination</w:t>
      </w:r>
      <w:r w:rsidR="00CD333D" w:rsidRPr="00737872">
        <w:rPr>
          <w:rFonts w:eastAsiaTheme="minorHAnsi"/>
          <w:sz w:val="20"/>
          <w:szCs w:val="20"/>
          <w:lang w:bidi="ar-EG"/>
        </w:rPr>
        <w:t xml:space="preserve"> including cranial nerve examination</w:t>
      </w:r>
      <w:r w:rsidRPr="00737872">
        <w:rPr>
          <w:rFonts w:eastAsiaTheme="minorHAnsi"/>
          <w:sz w:val="20"/>
          <w:szCs w:val="20"/>
          <w:lang w:bidi="ar-EG"/>
        </w:rPr>
        <w:t>,</w:t>
      </w:r>
      <w:r w:rsidR="00F76000" w:rsidRPr="00737872">
        <w:rPr>
          <w:rFonts w:eastAsiaTheme="minorEastAsia"/>
          <w:sz w:val="20"/>
          <w:szCs w:val="20"/>
          <w:lang w:eastAsia="zh-CN" w:bidi="ar-EG"/>
        </w:rPr>
        <w:t xml:space="preserve"> </w:t>
      </w:r>
      <w:r w:rsidRPr="00737872">
        <w:rPr>
          <w:rFonts w:eastAsiaTheme="minorHAnsi"/>
          <w:sz w:val="20"/>
          <w:szCs w:val="20"/>
          <w:lang w:bidi="ar-EG"/>
        </w:rPr>
        <w:t>direct</w:t>
      </w:r>
      <w:r w:rsidR="00CD333D" w:rsidRPr="00737872">
        <w:rPr>
          <w:rFonts w:eastAsiaTheme="minorHAnsi"/>
          <w:sz w:val="20"/>
          <w:szCs w:val="20"/>
          <w:lang w:bidi="ar-EG"/>
        </w:rPr>
        <w:t xml:space="preserve"> flexible</w:t>
      </w:r>
      <w:r w:rsidR="00F76000" w:rsidRPr="00737872">
        <w:rPr>
          <w:rFonts w:eastAsiaTheme="minorEastAsia"/>
          <w:sz w:val="20"/>
          <w:szCs w:val="20"/>
          <w:lang w:eastAsia="zh-CN" w:bidi="ar-EG"/>
        </w:rPr>
        <w:t xml:space="preserve"> </w:t>
      </w:r>
      <w:r w:rsidRPr="00737872">
        <w:rPr>
          <w:rFonts w:eastAsiaTheme="minorHAnsi"/>
          <w:sz w:val="20"/>
          <w:szCs w:val="20"/>
          <w:lang w:bidi="ar-EG"/>
        </w:rPr>
        <w:t>fib</w:t>
      </w:r>
      <w:r w:rsidR="00CD333D" w:rsidRPr="00737872">
        <w:rPr>
          <w:rFonts w:eastAsiaTheme="minorHAnsi"/>
          <w:sz w:val="20"/>
          <w:szCs w:val="20"/>
          <w:lang w:bidi="ar-EG"/>
        </w:rPr>
        <w:t>er</w:t>
      </w:r>
      <w:r w:rsidR="00F76000" w:rsidRPr="00737872">
        <w:rPr>
          <w:rFonts w:eastAsiaTheme="minorEastAsia"/>
          <w:sz w:val="20"/>
          <w:szCs w:val="20"/>
          <w:lang w:eastAsia="zh-CN" w:bidi="ar-EG"/>
        </w:rPr>
        <w:t xml:space="preserve"> </w:t>
      </w:r>
      <w:proofErr w:type="spellStart"/>
      <w:r w:rsidR="00CD333D" w:rsidRPr="00737872">
        <w:rPr>
          <w:rFonts w:eastAsiaTheme="minorHAnsi"/>
          <w:sz w:val="20"/>
          <w:szCs w:val="20"/>
          <w:lang w:bidi="ar-EG"/>
        </w:rPr>
        <w:t>opticnasopharyngoscopic</w:t>
      </w:r>
      <w:proofErr w:type="spellEnd"/>
      <w:r w:rsidR="00CD333D" w:rsidRPr="00737872">
        <w:rPr>
          <w:rFonts w:eastAsiaTheme="minorHAnsi"/>
          <w:sz w:val="20"/>
          <w:szCs w:val="20"/>
          <w:lang w:bidi="ar-EG"/>
        </w:rPr>
        <w:t xml:space="preserve"> examination, CT/MRI head and neck, </w:t>
      </w:r>
      <w:r w:rsidR="005879A4" w:rsidRPr="00737872">
        <w:rPr>
          <w:rFonts w:eastAsiaTheme="minorHAnsi"/>
          <w:sz w:val="20"/>
          <w:szCs w:val="20"/>
          <w:lang w:bidi="ar-EG"/>
        </w:rPr>
        <w:t>CXR,</w:t>
      </w:r>
      <w:r w:rsidR="00CD333D" w:rsidRPr="00737872">
        <w:rPr>
          <w:rFonts w:eastAsiaTheme="minorHAnsi"/>
          <w:sz w:val="20"/>
          <w:szCs w:val="20"/>
          <w:lang w:bidi="ar-EG"/>
        </w:rPr>
        <w:t xml:space="preserve"> abdominal ultrasound</w:t>
      </w:r>
      <w:r w:rsidR="005879A4" w:rsidRPr="00737872">
        <w:rPr>
          <w:rFonts w:eastAsiaTheme="minorHAnsi"/>
          <w:sz w:val="20"/>
          <w:szCs w:val="20"/>
          <w:lang w:bidi="ar-EG"/>
        </w:rPr>
        <w:t xml:space="preserve"> and dental evaluation</w:t>
      </w:r>
      <w:r w:rsidR="00CD333D" w:rsidRPr="00737872">
        <w:rPr>
          <w:rFonts w:eastAsiaTheme="minorHAnsi"/>
          <w:sz w:val="20"/>
          <w:szCs w:val="20"/>
          <w:lang w:bidi="ar-EG"/>
        </w:rPr>
        <w:t>.</w:t>
      </w:r>
      <w:r w:rsidR="00F76000" w:rsidRPr="00737872">
        <w:rPr>
          <w:rFonts w:eastAsiaTheme="minorEastAsia"/>
          <w:sz w:val="20"/>
          <w:szCs w:val="20"/>
          <w:lang w:eastAsia="zh-CN" w:bidi="ar-EG"/>
        </w:rPr>
        <w:t xml:space="preserve"> </w:t>
      </w:r>
      <w:r w:rsidR="00CD333D" w:rsidRPr="00737872">
        <w:rPr>
          <w:rFonts w:eastAsiaTheme="minorHAnsi"/>
          <w:sz w:val="20"/>
          <w:szCs w:val="20"/>
          <w:lang w:bidi="ar-EG"/>
        </w:rPr>
        <w:t>Bone scan</w:t>
      </w:r>
      <w:r w:rsidR="00BF7D07" w:rsidRPr="00737872">
        <w:rPr>
          <w:rFonts w:eastAsiaTheme="minorHAnsi"/>
          <w:sz w:val="20"/>
          <w:szCs w:val="20"/>
          <w:lang w:bidi="ar-EG"/>
        </w:rPr>
        <w:t xml:space="preserve"> &amp; </w:t>
      </w:r>
      <w:r w:rsidR="00CE2954" w:rsidRPr="00737872">
        <w:rPr>
          <w:sz w:val="20"/>
          <w:szCs w:val="20"/>
        </w:rPr>
        <w:t xml:space="preserve">PET-CT </w:t>
      </w:r>
      <w:r w:rsidR="00CE2954" w:rsidRPr="00737872">
        <w:rPr>
          <w:rFonts w:eastAsiaTheme="minorHAnsi"/>
          <w:sz w:val="20"/>
          <w:szCs w:val="20"/>
          <w:lang w:bidi="ar-EG"/>
        </w:rPr>
        <w:t>were</w:t>
      </w:r>
      <w:r w:rsidR="005879A4" w:rsidRPr="00737872">
        <w:rPr>
          <w:rFonts w:eastAsiaTheme="minorHAnsi"/>
          <w:sz w:val="20"/>
          <w:szCs w:val="20"/>
          <w:lang w:bidi="ar-EG"/>
        </w:rPr>
        <w:t xml:space="preserve"> done </w:t>
      </w:r>
      <w:r w:rsidR="00CD333D" w:rsidRPr="00737872">
        <w:rPr>
          <w:rFonts w:eastAsiaTheme="minorHAnsi"/>
          <w:sz w:val="20"/>
          <w:szCs w:val="20"/>
          <w:lang w:bidi="ar-EG"/>
        </w:rPr>
        <w:t xml:space="preserve">if </w:t>
      </w:r>
      <w:r w:rsidR="005879A4" w:rsidRPr="00737872">
        <w:rPr>
          <w:rFonts w:eastAsiaTheme="minorHAnsi"/>
          <w:sz w:val="20"/>
          <w:szCs w:val="20"/>
          <w:lang w:bidi="ar-EG"/>
        </w:rPr>
        <w:t>indicate</w:t>
      </w:r>
      <w:r w:rsidR="00CD333D" w:rsidRPr="00737872">
        <w:rPr>
          <w:rFonts w:eastAsiaTheme="minorHAnsi"/>
          <w:sz w:val="20"/>
          <w:szCs w:val="20"/>
          <w:lang w:bidi="ar-EG"/>
        </w:rPr>
        <w:t>d</w:t>
      </w:r>
      <w:r w:rsidR="005879A4" w:rsidRPr="00737872">
        <w:rPr>
          <w:rFonts w:eastAsiaTheme="minorHAnsi"/>
          <w:sz w:val="20"/>
          <w:szCs w:val="20"/>
          <w:lang w:bidi="ar-EG"/>
        </w:rPr>
        <w:t>.</w:t>
      </w:r>
      <w:r w:rsidR="00F76000" w:rsidRPr="00737872">
        <w:rPr>
          <w:rFonts w:eastAsiaTheme="minorEastAsia"/>
          <w:sz w:val="20"/>
          <w:szCs w:val="20"/>
          <w:lang w:eastAsia="zh-CN" w:bidi="ar-EG"/>
        </w:rPr>
        <w:t xml:space="preserve"> </w:t>
      </w:r>
      <w:r w:rsidR="005879A4" w:rsidRPr="00737872">
        <w:rPr>
          <w:sz w:val="20"/>
          <w:szCs w:val="20"/>
        </w:rPr>
        <w:t>Informed consents were taken from all patients with maintenance of their privacy</w:t>
      </w:r>
      <w:r w:rsidR="005879A4" w:rsidRPr="00737872">
        <w:rPr>
          <w:rFonts w:eastAsiaTheme="minorHAnsi"/>
          <w:sz w:val="20"/>
          <w:szCs w:val="20"/>
          <w:lang w:bidi="ar-EG"/>
        </w:rPr>
        <w:t>.</w:t>
      </w:r>
    </w:p>
    <w:p w:rsidR="005879A4" w:rsidRPr="00737872" w:rsidRDefault="00572794" w:rsidP="00737872">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37872">
        <w:rPr>
          <w:rFonts w:ascii="Times New Roman" w:hAnsi="Times New Roman" w:cs="Times New Roman"/>
          <w:sz w:val="20"/>
          <w:szCs w:val="20"/>
        </w:rPr>
        <w:t xml:space="preserve">Patients </w:t>
      </w:r>
      <w:r w:rsidR="005879A4" w:rsidRPr="00737872">
        <w:rPr>
          <w:rFonts w:ascii="Times New Roman" w:hAnsi="Times New Roman" w:cs="Times New Roman"/>
          <w:sz w:val="20"/>
          <w:szCs w:val="20"/>
        </w:rPr>
        <w:t xml:space="preserve">received concurrent </w:t>
      </w:r>
      <w:proofErr w:type="spellStart"/>
      <w:r w:rsidR="005879A4" w:rsidRPr="00737872">
        <w:rPr>
          <w:rFonts w:ascii="Times New Roman" w:hAnsi="Times New Roman" w:cs="Times New Roman"/>
          <w:sz w:val="20"/>
          <w:szCs w:val="20"/>
        </w:rPr>
        <w:t>chemoradiotherapy</w:t>
      </w:r>
      <w:proofErr w:type="spellEnd"/>
      <w:r w:rsidR="005879A4" w:rsidRPr="00737872">
        <w:rPr>
          <w:rFonts w:ascii="Times New Roman" w:hAnsi="Times New Roman" w:cs="Times New Roman"/>
          <w:sz w:val="20"/>
          <w:szCs w:val="20"/>
        </w:rPr>
        <w:t xml:space="preserve"> using IMRT followed by adjuvant treatment of either chemotherapy or salvage surgery according to site and stage.</w:t>
      </w:r>
    </w:p>
    <w:p w:rsidR="005879A4" w:rsidRPr="00737872" w:rsidRDefault="005879A4" w:rsidP="00737872">
      <w:pPr>
        <w:tabs>
          <w:tab w:val="right" w:pos="284"/>
        </w:tabs>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737872">
        <w:rPr>
          <w:rFonts w:ascii="Times New Roman" w:hAnsi="Times New Roman" w:cs="Times New Roman"/>
          <w:b/>
          <w:bCs/>
          <w:sz w:val="20"/>
          <w:szCs w:val="20"/>
        </w:rPr>
        <w:t>Concurrent Chemotherapy details:</w:t>
      </w:r>
    </w:p>
    <w:p w:rsidR="005879A4" w:rsidRPr="00737872" w:rsidRDefault="005879A4" w:rsidP="00737872">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37872">
        <w:rPr>
          <w:rFonts w:ascii="Times New Roman" w:hAnsi="Times New Roman" w:cs="Times New Roman"/>
          <w:sz w:val="20"/>
          <w:szCs w:val="20"/>
        </w:rPr>
        <w:t xml:space="preserve">Chemotherapy was given in the form of </w:t>
      </w:r>
      <w:proofErr w:type="spellStart"/>
      <w:r w:rsidRPr="00737872">
        <w:rPr>
          <w:rFonts w:ascii="Times New Roman" w:hAnsi="Times New Roman" w:cs="Times New Roman"/>
          <w:sz w:val="20"/>
          <w:szCs w:val="20"/>
        </w:rPr>
        <w:t>Cisplatin</w:t>
      </w:r>
      <w:proofErr w:type="spellEnd"/>
      <w:r w:rsidRPr="00737872">
        <w:rPr>
          <w:rFonts w:ascii="Times New Roman" w:hAnsi="Times New Roman" w:cs="Times New Roman"/>
          <w:sz w:val="20"/>
          <w:szCs w:val="20"/>
        </w:rPr>
        <w:t xml:space="preserve"> 40 mg/m2 along with standard hydration and antiemetic prophylaxis concomitantly with radiation on a weekly basis for 7 weeks. Patients received chemotherapy on the same day as commencing radiotherapy. The full blood count and biochemistry were checked weekly before chemotherapy.</w:t>
      </w:r>
    </w:p>
    <w:p w:rsidR="005879A4" w:rsidRPr="00737872" w:rsidRDefault="005879A4" w:rsidP="00737872">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37872">
        <w:rPr>
          <w:rFonts w:ascii="Times New Roman" w:hAnsi="Times New Roman" w:cs="Times New Roman"/>
          <w:sz w:val="20"/>
          <w:szCs w:val="20"/>
        </w:rPr>
        <w:t xml:space="preserve">Skipping chemotherapy was due to leucopoenia (Total </w:t>
      </w:r>
      <w:proofErr w:type="spellStart"/>
      <w:r w:rsidRPr="00737872">
        <w:rPr>
          <w:rFonts w:ascii="Times New Roman" w:hAnsi="Times New Roman" w:cs="Times New Roman"/>
          <w:sz w:val="20"/>
          <w:szCs w:val="20"/>
        </w:rPr>
        <w:t>lecocytic</w:t>
      </w:r>
      <w:proofErr w:type="spellEnd"/>
      <w:r w:rsidRPr="00737872">
        <w:rPr>
          <w:rFonts w:ascii="Times New Roman" w:hAnsi="Times New Roman" w:cs="Times New Roman"/>
          <w:sz w:val="20"/>
          <w:szCs w:val="20"/>
        </w:rPr>
        <w:t xml:space="preserve"> count &lt; 3.5 x 103 cell/mm3), elevated renal functions (serum </w:t>
      </w:r>
      <w:proofErr w:type="spellStart"/>
      <w:r w:rsidRPr="00737872">
        <w:rPr>
          <w:rFonts w:ascii="Times New Roman" w:hAnsi="Times New Roman" w:cs="Times New Roman"/>
          <w:sz w:val="20"/>
          <w:szCs w:val="20"/>
        </w:rPr>
        <w:t>creatinine</w:t>
      </w:r>
      <w:proofErr w:type="spellEnd"/>
      <w:r w:rsidRPr="00737872">
        <w:rPr>
          <w:rFonts w:ascii="Times New Roman" w:hAnsi="Times New Roman" w:cs="Times New Roman"/>
          <w:sz w:val="20"/>
          <w:szCs w:val="20"/>
        </w:rPr>
        <w:t xml:space="preserve"> elevation above high normal level) or severe </w:t>
      </w:r>
      <w:proofErr w:type="spellStart"/>
      <w:r w:rsidRPr="00737872">
        <w:rPr>
          <w:rFonts w:ascii="Times New Roman" w:hAnsi="Times New Roman" w:cs="Times New Roman"/>
          <w:sz w:val="20"/>
          <w:szCs w:val="20"/>
        </w:rPr>
        <w:t>mucositis</w:t>
      </w:r>
      <w:proofErr w:type="spellEnd"/>
      <w:r w:rsidRPr="00737872">
        <w:rPr>
          <w:rFonts w:ascii="Times New Roman" w:hAnsi="Times New Roman" w:cs="Times New Roman"/>
          <w:sz w:val="20"/>
          <w:szCs w:val="20"/>
        </w:rPr>
        <w:t>.</w:t>
      </w:r>
    </w:p>
    <w:p w:rsidR="005879A4" w:rsidRPr="00737872" w:rsidRDefault="005879A4" w:rsidP="00737872">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37872">
        <w:rPr>
          <w:rFonts w:ascii="Times New Roman" w:hAnsi="Times New Roman" w:cs="Times New Roman"/>
          <w:sz w:val="20"/>
          <w:szCs w:val="20"/>
        </w:rPr>
        <w:t xml:space="preserve">Adjuvant chemotherapy was given in the form of 3 cycles of </w:t>
      </w:r>
      <w:proofErr w:type="spellStart"/>
      <w:r w:rsidRPr="00737872">
        <w:rPr>
          <w:rFonts w:ascii="Times New Roman" w:hAnsi="Times New Roman" w:cs="Times New Roman"/>
          <w:sz w:val="20"/>
          <w:szCs w:val="20"/>
        </w:rPr>
        <w:t>docetaxel</w:t>
      </w:r>
      <w:proofErr w:type="spellEnd"/>
      <w:r w:rsidRPr="00737872">
        <w:rPr>
          <w:rFonts w:ascii="Times New Roman" w:hAnsi="Times New Roman" w:cs="Times New Roman"/>
          <w:sz w:val="20"/>
          <w:szCs w:val="20"/>
        </w:rPr>
        <w:t xml:space="preserve"> 75 mg/m2 day 1, </w:t>
      </w:r>
      <w:proofErr w:type="spellStart"/>
      <w:r w:rsidRPr="00737872">
        <w:rPr>
          <w:rFonts w:ascii="Times New Roman" w:hAnsi="Times New Roman" w:cs="Times New Roman"/>
          <w:sz w:val="20"/>
          <w:szCs w:val="20"/>
        </w:rPr>
        <w:t>cisplatin</w:t>
      </w:r>
      <w:proofErr w:type="spellEnd"/>
      <w:r w:rsidRPr="00737872">
        <w:rPr>
          <w:rFonts w:ascii="Times New Roman" w:hAnsi="Times New Roman" w:cs="Times New Roman"/>
          <w:sz w:val="20"/>
          <w:szCs w:val="20"/>
        </w:rPr>
        <w:t xml:space="preserve"> 100 mg/m2 day 1, and fluorouracil 1000 mg/m2/day by continuous infusion on days 1 to 4 or </w:t>
      </w:r>
      <w:proofErr w:type="spellStart"/>
      <w:r w:rsidRPr="00737872">
        <w:rPr>
          <w:rFonts w:ascii="Times New Roman" w:hAnsi="Times New Roman" w:cs="Times New Roman"/>
          <w:sz w:val="20"/>
          <w:szCs w:val="20"/>
        </w:rPr>
        <w:t>cisplatin</w:t>
      </w:r>
      <w:proofErr w:type="spellEnd"/>
      <w:r w:rsidRPr="00737872">
        <w:rPr>
          <w:rFonts w:ascii="Times New Roman" w:hAnsi="Times New Roman" w:cs="Times New Roman"/>
          <w:sz w:val="20"/>
          <w:szCs w:val="20"/>
        </w:rPr>
        <w:t xml:space="preserve"> 100 mg/m2 day 1, and fluorouracil 1000 mg/m2/day by continuous infusion on days 1 to 4, cycle every 21 days with standard hydration, antiemetic prophylaxis and regular check of blood count and biochemistry before every cycle. </w:t>
      </w:r>
    </w:p>
    <w:p w:rsidR="005A182E" w:rsidRPr="00737872" w:rsidRDefault="005A182E" w:rsidP="00737872">
      <w:pPr>
        <w:tabs>
          <w:tab w:val="right" w:pos="284"/>
        </w:tabs>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737872">
        <w:rPr>
          <w:rFonts w:ascii="Times New Roman" w:hAnsi="Times New Roman" w:cs="Times New Roman"/>
          <w:b/>
          <w:bCs/>
          <w:sz w:val="20"/>
          <w:szCs w:val="20"/>
        </w:rPr>
        <w:t>Radiotherapy details:</w:t>
      </w:r>
    </w:p>
    <w:p w:rsidR="00233867" w:rsidRPr="00737872" w:rsidRDefault="008F0B59" w:rsidP="00737872">
      <w:pPr>
        <w:autoSpaceDE w:val="0"/>
        <w:autoSpaceDN w:val="0"/>
        <w:bidi w:val="0"/>
        <w:adjustRightInd w:val="0"/>
        <w:snapToGrid w:val="0"/>
        <w:spacing w:after="0" w:line="240" w:lineRule="auto"/>
        <w:jc w:val="both"/>
        <w:rPr>
          <w:rFonts w:ascii="Times New Roman" w:hAnsi="Times New Roman" w:cs="Times New Roman"/>
          <w:b/>
          <w:bCs/>
          <w:i/>
          <w:iCs/>
          <w:sz w:val="20"/>
          <w:szCs w:val="20"/>
        </w:rPr>
      </w:pPr>
      <w:r w:rsidRPr="00737872">
        <w:rPr>
          <w:rFonts w:ascii="Times New Roman" w:hAnsi="Times New Roman" w:cs="Times New Roman"/>
          <w:b/>
          <w:bCs/>
          <w:i/>
          <w:iCs/>
          <w:sz w:val="20"/>
          <w:szCs w:val="20"/>
        </w:rPr>
        <w:t>Simulation, immobilization</w:t>
      </w:r>
      <w:r w:rsidR="00233867" w:rsidRPr="00737872">
        <w:rPr>
          <w:rFonts w:ascii="Times New Roman" w:hAnsi="Times New Roman" w:cs="Times New Roman"/>
          <w:b/>
          <w:bCs/>
          <w:i/>
          <w:iCs/>
          <w:sz w:val="20"/>
          <w:szCs w:val="20"/>
        </w:rPr>
        <w:t xml:space="preserve"> and treatment planning CT procedures</w:t>
      </w:r>
    </w:p>
    <w:p w:rsidR="00233867" w:rsidRPr="00737872" w:rsidRDefault="005A182E" w:rsidP="00737872">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37872">
        <w:rPr>
          <w:rFonts w:ascii="Times New Roman" w:hAnsi="Times New Roman" w:cs="Times New Roman"/>
          <w:sz w:val="20"/>
          <w:szCs w:val="20"/>
        </w:rPr>
        <w:t>All patients had proper staging, dental and nutritional evaluation prior to therapy,</w:t>
      </w:r>
      <w:r w:rsidR="00CE2954" w:rsidRPr="00737872">
        <w:rPr>
          <w:rFonts w:ascii="Times New Roman" w:hAnsi="Times New Roman" w:cs="Times New Roman"/>
          <w:sz w:val="20"/>
          <w:szCs w:val="20"/>
        </w:rPr>
        <w:t xml:space="preserve"> they underwent CT-scan from skull vertex to the middle of the </w:t>
      </w:r>
      <w:r w:rsidR="00CE2954" w:rsidRPr="00737872">
        <w:rPr>
          <w:rFonts w:ascii="Times New Roman" w:hAnsi="Times New Roman" w:cs="Times New Roman"/>
          <w:sz w:val="20"/>
          <w:szCs w:val="20"/>
        </w:rPr>
        <w:lastRenderedPageBreak/>
        <w:t xml:space="preserve">sternum, with 3 mm slice thickness, in supine position with head </w:t>
      </w:r>
      <w:r w:rsidR="00233867" w:rsidRPr="00737872">
        <w:rPr>
          <w:rFonts w:ascii="Times New Roman" w:hAnsi="Times New Roman" w:cs="Times New Roman"/>
          <w:sz w:val="20"/>
          <w:szCs w:val="20"/>
        </w:rPr>
        <w:t xml:space="preserve">hyper extended </w:t>
      </w:r>
      <w:r w:rsidR="00CE2954" w:rsidRPr="00737872">
        <w:rPr>
          <w:rFonts w:ascii="Times New Roman" w:hAnsi="Times New Roman" w:cs="Times New Roman"/>
          <w:sz w:val="20"/>
          <w:szCs w:val="20"/>
        </w:rPr>
        <w:t>and immobilized using a custom made thermoplastic mask including the shou</w:t>
      </w:r>
      <w:r w:rsidR="00572794" w:rsidRPr="00737872">
        <w:rPr>
          <w:rFonts w:ascii="Times New Roman" w:hAnsi="Times New Roman" w:cs="Times New Roman"/>
          <w:sz w:val="20"/>
          <w:szCs w:val="20"/>
        </w:rPr>
        <w:t>lder with 5-point fixation and i</w:t>
      </w:r>
      <w:r w:rsidR="00CE2954" w:rsidRPr="00737872">
        <w:rPr>
          <w:rFonts w:ascii="Times New Roman" w:hAnsi="Times New Roman" w:cs="Times New Roman"/>
          <w:sz w:val="20"/>
          <w:szCs w:val="20"/>
        </w:rPr>
        <w:t>ntravenous contrast was used in some cases in order to help in the definition of cervical nodes.</w:t>
      </w:r>
    </w:p>
    <w:p w:rsidR="00233867" w:rsidRPr="00737872" w:rsidRDefault="00233867" w:rsidP="00737872">
      <w:pPr>
        <w:autoSpaceDE w:val="0"/>
        <w:autoSpaceDN w:val="0"/>
        <w:bidi w:val="0"/>
        <w:adjustRightInd w:val="0"/>
        <w:snapToGrid w:val="0"/>
        <w:spacing w:after="0" w:line="240" w:lineRule="auto"/>
        <w:jc w:val="both"/>
        <w:rPr>
          <w:rFonts w:ascii="Times New Roman" w:hAnsi="Times New Roman" w:cs="Times New Roman"/>
          <w:b/>
          <w:bCs/>
          <w:i/>
          <w:iCs/>
          <w:sz w:val="20"/>
          <w:szCs w:val="20"/>
        </w:rPr>
      </w:pPr>
      <w:r w:rsidRPr="00737872">
        <w:rPr>
          <w:rFonts w:ascii="Times New Roman" w:hAnsi="Times New Roman" w:cs="Times New Roman"/>
          <w:b/>
          <w:bCs/>
          <w:i/>
          <w:iCs/>
          <w:sz w:val="20"/>
          <w:szCs w:val="20"/>
        </w:rPr>
        <w:t>Delineation of target volume</w:t>
      </w:r>
    </w:p>
    <w:p w:rsidR="00233867" w:rsidRPr="00737872" w:rsidRDefault="005A182E" w:rsidP="00737872">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37872">
        <w:rPr>
          <w:rFonts w:ascii="Times New Roman" w:hAnsi="Times New Roman" w:cs="Times New Roman"/>
          <w:sz w:val="20"/>
          <w:szCs w:val="20"/>
        </w:rPr>
        <w:t>GTV</w:t>
      </w:r>
      <w:r w:rsidR="00572794" w:rsidRPr="00737872">
        <w:rPr>
          <w:rFonts w:ascii="Times New Roman" w:hAnsi="Times New Roman" w:cs="Times New Roman"/>
          <w:sz w:val="20"/>
          <w:szCs w:val="20"/>
        </w:rPr>
        <w:t xml:space="preserve"> 69.96</w:t>
      </w:r>
      <w:r w:rsidRPr="00737872">
        <w:rPr>
          <w:rFonts w:ascii="Times New Roman" w:hAnsi="Times New Roman" w:cs="Times New Roman"/>
          <w:sz w:val="20"/>
          <w:szCs w:val="20"/>
        </w:rPr>
        <w:t xml:space="preserve"> defined as the macroscopic tumor defined after correlative analysis of CT</w:t>
      </w:r>
      <w:r w:rsidR="00737872" w:rsidRPr="00737872">
        <w:rPr>
          <w:rFonts w:ascii="Times New Roman" w:hAnsi="Times New Roman" w:cs="Times New Roman"/>
          <w:sz w:val="20"/>
          <w:szCs w:val="20"/>
        </w:rPr>
        <w:t>,</w:t>
      </w:r>
      <w:r w:rsidR="00737872">
        <w:rPr>
          <w:rFonts w:ascii="Times New Roman" w:hAnsi="Times New Roman" w:cs="Times New Roman"/>
          <w:sz w:val="20"/>
          <w:szCs w:val="20"/>
        </w:rPr>
        <w:t xml:space="preserve"> </w:t>
      </w:r>
      <w:r w:rsidR="00737872" w:rsidRPr="00737872">
        <w:rPr>
          <w:rFonts w:ascii="Times New Roman" w:hAnsi="Times New Roman" w:cs="Times New Roman"/>
          <w:sz w:val="20"/>
          <w:szCs w:val="20"/>
        </w:rPr>
        <w:t>M</w:t>
      </w:r>
      <w:r w:rsidRPr="00737872">
        <w:rPr>
          <w:rFonts w:ascii="Times New Roman" w:hAnsi="Times New Roman" w:cs="Times New Roman"/>
          <w:sz w:val="20"/>
          <w:szCs w:val="20"/>
        </w:rPr>
        <w:t>RI-scans and/or PET-CT including all involved positive lymph nodes (all nodes ≥ 1 cm in short axis or those with necrotic center).</w:t>
      </w:r>
    </w:p>
    <w:p w:rsidR="00233867" w:rsidRPr="00737872" w:rsidRDefault="005A182E" w:rsidP="00737872">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37872">
        <w:rPr>
          <w:rFonts w:ascii="Times New Roman" w:hAnsi="Times New Roman" w:cs="Times New Roman"/>
          <w:sz w:val="20"/>
          <w:szCs w:val="20"/>
        </w:rPr>
        <w:t>CTV gross disease is composed of GTV</w:t>
      </w:r>
      <w:r w:rsidR="00F76000" w:rsidRPr="00737872">
        <w:rPr>
          <w:rFonts w:ascii="Times New Roman" w:hAnsi="Times New Roman" w:cs="Times New Roman"/>
          <w:sz w:val="20"/>
          <w:szCs w:val="20"/>
          <w:lang w:eastAsia="zh-CN"/>
        </w:rPr>
        <w:t xml:space="preserve"> </w:t>
      </w:r>
      <w:r w:rsidRPr="00737872">
        <w:rPr>
          <w:rFonts w:ascii="Times New Roman" w:hAnsi="Times New Roman" w:cs="Times New Roman"/>
          <w:sz w:val="20"/>
          <w:szCs w:val="20"/>
        </w:rPr>
        <w:t xml:space="preserve">gross disease with a 5mm margin accounting for possible microscopic disease with exception near the brain stem or spinal cord to be 1 mm. </w:t>
      </w:r>
    </w:p>
    <w:p w:rsidR="00233867" w:rsidRPr="00737872" w:rsidRDefault="005A182E" w:rsidP="00737872">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37872">
        <w:rPr>
          <w:rFonts w:ascii="Times New Roman" w:hAnsi="Times New Roman" w:cs="Times New Roman"/>
          <w:sz w:val="20"/>
          <w:szCs w:val="20"/>
        </w:rPr>
        <w:t xml:space="preserve">CTV </w:t>
      </w:r>
      <w:r w:rsidR="00CE2954" w:rsidRPr="00737872">
        <w:rPr>
          <w:rFonts w:ascii="Times New Roman" w:hAnsi="Times New Roman" w:cs="Times New Roman"/>
          <w:sz w:val="20"/>
          <w:szCs w:val="20"/>
        </w:rPr>
        <w:t xml:space="preserve">59.4 </w:t>
      </w:r>
      <w:r w:rsidRPr="00737872">
        <w:rPr>
          <w:rFonts w:ascii="Times New Roman" w:hAnsi="Times New Roman" w:cs="Times New Roman"/>
          <w:sz w:val="20"/>
          <w:szCs w:val="20"/>
        </w:rPr>
        <w:t>subclinical disease included</w:t>
      </w:r>
      <w:r w:rsidR="00CE2954" w:rsidRPr="00737872">
        <w:rPr>
          <w:rFonts w:ascii="Times New Roman" w:hAnsi="Times New Roman" w:cs="Times New Roman"/>
          <w:sz w:val="20"/>
          <w:szCs w:val="20"/>
        </w:rPr>
        <w:t xml:space="preserve"> the entire </w:t>
      </w:r>
      <w:proofErr w:type="spellStart"/>
      <w:r w:rsidR="00CE2954" w:rsidRPr="00737872">
        <w:rPr>
          <w:rFonts w:ascii="Times New Roman" w:hAnsi="Times New Roman" w:cs="Times New Roman"/>
          <w:sz w:val="20"/>
          <w:szCs w:val="20"/>
        </w:rPr>
        <w:t>nasopharynx</w:t>
      </w:r>
      <w:proofErr w:type="spellEnd"/>
      <w:r w:rsidR="00CE2954" w:rsidRPr="00737872">
        <w:rPr>
          <w:rFonts w:ascii="Times New Roman" w:hAnsi="Times New Roman" w:cs="Times New Roman"/>
          <w:sz w:val="20"/>
          <w:szCs w:val="20"/>
        </w:rPr>
        <w:t xml:space="preserve"> ensuring inferior coverage of soft palate, </w:t>
      </w:r>
      <w:proofErr w:type="spellStart"/>
      <w:r w:rsidR="00CE2954" w:rsidRPr="00737872">
        <w:rPr>
          <w:rFonts w:ascii="Times New Roman" w:hAnsi="Times New Roman" w:cs="Times New Roman"/>
          <w:sz w:val="20"/>
          <w:szCs w:val="20"/>
        </w:rPr>
        <w:t>clivus</w:t>
      </w:r>
      <w:proofErr w:type="spellEnd"/>
      <w:r w:rsidR="00CE2954" w:rsidRPr="00737872">
        <w:rPr>
          <w:rFonts w:ascii="Times New Roman" w:hAnsi="Times New Roman" w:cs="Times New Roman"/>
          <w:sz w:val="20"/>
          <w:szCs w:val="20"/>
        </w:rPr>
        <w:t xml:space="preserve">, skull base to cover foramen </w:t>
      </w:r>
      <w:proofErr w:type="spellStart"/>
      <w:r w:rsidR="00CE2954" w:rsidRPr="00737872">
        <w:rPr>
          <w:rFonts w:ascii="Times New Roman" w:hAnsi="Times New Roman" w:cs="Times New Roman"/>
          <w:sz w:val="20"/>
          <w:szCs w:val="20"/>
        </w:rPr>
        <w:t>ovale</w:t>
      </w:r>
      <w:proofErr w:type="spellEnd"/>
      <w:r w:rsidR="00CE2954" w:rsidRPr="00737872">
        <w:rPr>
          <w:rFonts w:ascii="Times New Roman" w:hAnsi="Times New Roman" w:cs="Times New Roman"/>
          <w:sz w:val="20"/>
          <w:szCs w:val="20"/>
        </w:rPr>
        <w:t xml:space="preserve"> where V3 (the </w:t>
      </w:r>
      <w:proofErr w:type="spellStart"/>
      <w:r w:rsidR="00CE2954" w:rsidRPr="00737872">
        <w:rPr>
          <w:rFonts w:ascii="Times New Roman" w:hAnsi="Times New Roman" w:cs="Times New Roman"/>
          <w:sz w:val="20"/>
          <w:szCs w:val="20"/>
        </w:rPr>
        <w:t>mandibular</w:t>
      </w:r>
      <w:proofErr w:type="spellEnd"/>
      <w:r w:rsidR="00CE2954" w:rsidRPr="00737872">
        <w:rPr>
          <w:rFonts w:ascii="Times New Roman" w:hAnsi="Times New Roman" w:cs="Times New Roman"/>
          <w:sz w:val="20"/>
          <w:szCs w:val="20"/>
        </w:rPr>
        <w:t xml:space="preserve"> nerve) resides, </w:t>
      </w:r>
      <w:proofErr w:type="spellStart"/>
      <w:r w:rsidR="00CE2954" w:rsidRPr="00737872">
        <w:rPr>
          <w:rFonts w:ascii="Times New Roman" w:hAnsi="Times New Roman" w:cs="Times New Roman"/>
          <w:sz w:val="20"/>
          <w:szCs w:val="20"/>
        </w:rPr>
        <w:t>pterygoid</w:t>
      </w:r>
      <w:proofErr w:type="spellEnd"/>
      <w:r w:rsidR="00CE2954" w:rsidRPr="00737872">
        <w:rPr>
          <w:rFonts w:ascii="Times New Roman" w:hAnsi="Times New Roman" w:cs="Times New Roman"/>
          <w:sz w:val="20"/>
          <w:szCs w:val="20"/>
        </w:rPr>
        <w:t xml:space="preserve"> </w:t>
      </w:r>
      <w:proofErr w:type="spellStart"/>
      <w:r w:rsidR="00CE2954" w:rsidRPr="00737872">
        <w:rPr>
          <w:rFonts w:ascii="Times New Roman" w:hAnsi="Times New Roman" w:cs="Times New Roman"/>
          <w:sz w:val="20"/>
          <w:szCs w:val="20"/>
        </w:rPr>
        <w:t>fossae</w:t>
      </w:r>
      <w:proofErr w:type="spellEnd"/>
      <w:r w:rsidR="00CE2954" w:rsidRPr="00737872">
        <w:rPr>
          <w:rFonts w:ascii="Times New Roman" w:hAnsi="Times New Roman" w:cs="Times New Roman"/>
          <w:sz w:val="20"/>
          <w:szCs w:val="20"/>
        </w:rPr>
        <w:t xml:space="preserve">, </w:t>
      </w:r>
      <w:proofErr w:type="spellStart"/>
      <w:r w:rsidR="00CE2954" w:rsidRPr="00737872">
        <w:rPr>
          <w:rFonts w:ascii="Times New Roman" w:hAnsi="Times New Roman" w:cs="Times New Roman"/>
          <w:sz w:val="20"/>
          <w:szCs w:val="20"/>
        </w:rPr>
        <w:t>parapharyngeal</w:t>
      </w:r>
      <w:proofErr w:type="spellEnd"/>
      <w:r w:rsidR="00CE2954" w:rsidRPr="00737872">
        <w:rPr>
          <w:rFonts w:ascii="Times New Roman" w:hAnsi="Times New Roman" w:cs="Times New Roman"/>
          <w:sz w:val="20"/>
          <w:szCs w:val="20"/>
        </w:rPr>
        <w:t xml:space="preserve"> space, sphenoid sinus, posterior 1/3 of the maxillary sinuses with coverage of </w:t>
      </w:r>
      <w:proofErr w:type="spellStart"/>
      <w:r w:rsidR="00CE2954" w:rsidRPr="00737872">
        <w:rPr>
          <w:rFonts w:ascii="Times New Roman" w:hAnsi="Times New Roman" w:cs="Times New Roman"/>
          <w:sz w:val="20"/>
          <w:szCs w:val="20"/>
        </w:rPr>
        <w:t>pterygopalatine</w:t>
      </w:r>
      <w:proofErr w:type="spellEnd"/>
      <w:r w:rsidR="00CE2954" w:rsidRPr="00737872">
        <w:rPr>
          <w:rFonts w:ascii="Times New Roman" w:hAnsi="Times New Roman" w:cs="Times New Roman"/>
          <w:sz w:val="20"/>
          <w:szCs w:val="20"/>
        </w:rPr>
        <w:t xml:space="preserve"> </w:t>
      </w:r>
      <w:proofErr w:type="spellStart"/>
      <w:r w:rsidR="00CE2954" w:rsidRPr="00737872">
        <w:rPr>
          <w:rFonts w:ascii="Times New Roman" w:hAnsi="Times New Roman" w:cs="Times New Roman"/>
          <w:sz w:val="20"/>
          <w:szCs w:val="20"/>
        </w:rPr>
        <w:t>fossae</w:t>
      </w:r>
      <w:proofErr w:type="spellEnd"/>
      <w:r w:rsidR="00CE2954" w:rsidRPr="00737872">
        <w:rPr>
          <w:rFonts w:ascii="Times New Roman" w:hAnsi="Times New Roman" w:cs="Times New Roman"/>
          <w:sz w:val="20"/>
          <w:szCs w:val="20"/>
        </w:rPr>
        <w:t xml:space="preserve"> where V2 (the maxillary nerve) resides,</w:t>
      </w:r>
      <w:r w:rsidR="00F76000" w:rsidRPr="00737872">
        <w:rPr>
          <w:rFonts w:ascii="Times New Roman" w:hAnsi="Times New Roman" w:cs="Times New Roman"/>
          <w:sz w:val="20"/>
          <w:szCs w:val="20"/>
          <w:lang w:eastAsia="zh-CN"/>
        </w:rPr>
        <w:t xml:space="preserve"> </w:t>
      </w:r>
      <w:r w:rsidR="00CE2954" w:rsidRPr="00737872">
        <w:rPr>
          <w:rFonts w:ascii="Times New Roman" w:hAnsi="Times New Roman" w:cs="Times New Roman"/>
          <w:sz w:val="20"/>
          <w:szCs w:val="20"/>
        </w:rPr>
        <w:t xml:space="preserve">posterior 1/3 of the nasal cavity, posterior </w:t>
      </w:r>
      <w:proofErr w:type="spellStart"/>
      <w:r w:rsidR="00CE2954" w:rsidRPr="00737872">
        <w:rPr>
          <w:rFonts w:ascii="Times New Roman" w:hAnsi="Times New Roman" w:cs="Times New Roman"/>
          <w:sz w:val="20"/>
          <w:szCs w:val="20"/>
        </w:rPr>
        <w:t>ethmoid</w:t>
      </w:r>
      <w:r w:rsidR="00572794" w:rsidRPr="00737872">
        <w:rPr>
          <w:rFonts w:ascii="Times New Roman" w:hAnsi="Times New Roman" w:cs="Times New Roman"/>
          <w:sz w:val="20"/>
          <w:szCs w:val="20"/>
        </w:rPr>
        <w:t>sin</w:t>
      </w:r>
      <w:proofErr w:type="spellEnd"/>
      <w:r w:rsidR="00F76000" w:rsidRPr="00737872">
        <w:rPr>
          <w:rFonts w:ascii="Times New Roman" w:hAnsi="Times New Roman" w:cs="Times New Roman"/>
          <w:sz w:val="20"/>
          <w:szCs w:val="20"/>
          <w:lang w:eastAsia="zh-CN"/>
        </w:rPr>
        <w:t xml:space="preserve"> </w:t>
      </w:r>
      <w:r w:rsidR="00572794" w:rsidRPr="00737872">
        <w:rPr>
          <w:rFonts w:ascii="Times New Roman" w:hAnsi="Times New Roman" w:cs="Times New Roman"/>
          <w:sz w:val="20"/>
          <w:szCs w:val="20"/>
        </w:rPr>
        <w:t>uses as</w:t>
      </w:r>
      <w:r w:rsidR="00CE2954" w:rsidRPr="00737872">
        <w:rPr>
          <w:rFonts w:ascii="Times New Roman" w:hAnsi="Times New Roman" w:cs="Times New Roman"/>
          <w:sz w:val="20"/>
          <w:szCs w:val="20"/>
        </w:rPr>
        <w:t xml:space="preserve"> well as retropharyngeal nodal regions, levels IB–V. </w:t>
      </w:r>
    </w:p>
    <w:p w:rsidR="00233867" w:rsidRPr="00737872" w:rsidRDefault="00CE2954" w:rsidP="00737872">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37872">
        <w:rPr>
          <w:rFonts w:ascii="Times New Roman" w:hAnsi="Times New Roman" w:cs="Times New Roman"/>
          <w:sz w:val="20"/>
          <w:szCs w:val="20"/>
        </w:rPr>
        <w:t xml:space="preserve">CTV low-risk subclinical disease may be outlined. However, in the presence of any pathologic low neck lymph node, the uninvolved low neck lymph nodes are incorporated </w:t>
      </w:r>
      <w:r w:rsidR="00233867" w:rsidRPr="00737872">
        <w:rPr>
          <w:rFonts w:ascii="Times New Roman" w:hAnsi="Times New Roman" w:cs="Times New Roman"/>
          <w:sz w:val="20"/>
          <w:szCs w:val="20"/>
        </w:rPr>
        <w:t>into the CTV</w:t>
      </w:r>
      <w:r w:rsidR="00F76000" w:rsidRPr="00737872">
        <w:rPr>
          <w:rFonts w:ascii="Times New Roman" w:hAnsi="Times New Roman" w:cs="Times New Roman"/>
          <w:sz w:val="20"/>
          <w:szCs w:val="20"/>
          <w:lang w:eastAsia="zh-CN"/>
        </w:rPr>
        <w:t xml:space="preserve"> </w:t>
      </w:r>
      <w:r w:rsidR="00233867" w:rsidRPr="00737872">
        <w:rPr>
          <w:rFonts w:ascii="Times New Roman" w:hAnsi="Times New Roman" w:cs="Times New Roman"/>
          <w:sz w:val="20"/>
          <w:szCs w:val="20"/>
        </w:rPr>
        <w:t>subclinical disease</w:t>
      </w:r>
      <w:r w:rsidRPr="00737872">
        <w:rPr>
          <w:rFonts w:ascii="Times New Roman" w:hAnsi="Times New Roman" w:cs="Times New Roman"/>
          <w:sz w:val="20"/>
          <w:szCs w:val="20"/>
        </w:rPr>
        <w:t>.</w:t>
      </w:r>
    </w:p>
    <w:p w:rsidR="00233867" w:rsidRPr="00737872" w:rsidRDefault="00CE2954" w:rsidP="00737872">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37872">
        <w:rPr>
          <w:rFonts w:ascii="Times New Roman" w:hAnsi="Times New Roman" w:cs="Times New Roman"/>
          <w:sz w:val="20"/>
          <w:szCs w:val="20"/>
        </w:rPr>
        <w:t xml:space="preserve">PTV is generally a 3-5 mm expansion of all the </w:t>
      </w:r>
      <w:proofErr w:type="spellStart"/>
      <w:r w:rsidRPr="00737872">
        <w:rPr>
          <w:rFonts w:ascii="Times New Roman" w:hAnsi="Times New Roman" w:cs="Times New Roman"/>
          <w:sz w:val="20"/>
          <w:szCs w:val="20"/>
        </w:rPr>
        <w:t>CTVs</w:t>
      </w:r>
      <w:proofErr w:type="spellEnd"/>
      <w:r w:rsidRPr="00737872">
        <w:rPr>
          <w:rFonts w:ascii="Times New Roman" w:hAnsi="Times New Roman" w:cs="Times New Roman"/>
          <w:sz w:val="20"/>
          <w:szCs w:val="20"/>
        </w:rPr>
        <w:t xml:space="preserve"> to account for potential setup errors and patient motion with limiting the margin to 1 mm around CTV near to the brainstem and spinal cord. A surface clipping margin of 3 mm was used for the PTV</w:t>
      </w:r>
      <w:r w:rsidR="00543B34" w:rsidRPr="00737872">
        <w:rPr>
          <w:rFonts w:ascii="Times New Roman" w:hAnsi="Times New Roman" w:cs="Times New Roman"/>
          <w:sz w:val="20"/>
          <w:szCs w:val="20"/>
        </w:rPr>
        <w:t xml:space="preserve">. </w:t>
      </w:r>
    </w:p>
    <w:p w:rsidR="00233867" w:rsidRPr="00737872" w:rsidRDefault="00543B34" w:rsidP="00737872">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37872">
        <w:rPr>
          <w:rFonts w:ascii="Times New Roman" w:hAnsi="Times New Roman" w:cs="Times New Roman"/>
          <w:sz w:val="20"/>
          <w:szCs w:val="20"/>
        </w:rPr>
        <w:t xml:space="preserve">The main OAR considered for all patients were evaluated including brain stem, spinal cord, optic </w:t>
      </w:r>
      <w:proofErr w:type="spellStart"/>
      <w:r w:rsidRPr="00737872">
        <w:rPr>
          <w:rFonts w:ascii="Times New Roman" w:hAnsi="Times New Roman" w:cs="Times New Roman"/>
          <w:sz w:val="20"/>
          <w:szCs w:val="20"/>
        </w:rPr>
        <w:t>chiasma</w:t>
      </w:r>
      <w:proofErr w:type="spellEnd"/>
      <w:r w:rsidRPr="00737872">
        <w:rPr>
          <w:rFonts w:ascii="Times New Roman" w:hAnsi="Times New Roman" w:cs="Times New Roman"/>
          <w:sz w:val="20"/>
          <w:szCs w:val="20"/>
        </w:rPr>
        <w:t xml:space="preserve">, bilateral optic nerves and right and left parotid glands. The objectives in IMRT plans were </w:t>
      </w:r>
      <w:r w:rsidR="00572794" w:rsidRPr="00737872">
        <w:rPr>
          <w:rFonts w:ascii="Times New Roman" w:hAnsi="Times New Roman" w:cs="Times New Roman"/>
          <w:sz w:val="20"/>
          <w:szCs w:val="20"/>
        </w:rPr>
        <w:t xml:space="preserve">to maintain </w:t>
      </w:r>
      <w:proofErr w:type="spellStart"/>
      <w:r w:rsidRPr="00737872">
        <w:rPr>
          <w:rFonts w:ascii="Times New Roman" w:hAnsi="Times New Roman" w:cs="Times New Roman"/>
          <w:sz w:val="20"/>
          <w:szCs w:val="20"/>
        </w:rPr>
        <w:t>Dmax</w:t>
      </w:r>
      <w:proofErr w:type="spellEnd"/>
      <w:r w:rsidRPr="00737872">
        <w:rPr>
          <w:rFonts w:ascii="Times New Roman" w:hAnsi="Times New Roman" w:cs="Times New Roman"/>
          <w:sz w:val="20"/>
          <w:szCs w:val="20"/>
        </w:rPr>
        <w:t xml:space="preserve"> Spinal cord: &lt; 45Gy</w:t>
      </w:r>
      <w:r w:rsidR="00737872" w:rsidRPr="00737872">
        <w:rPr>
          <w:rFonts w:ascii="Times New Roman" w:hAnsi="Times New Roman" w:cs="Times New Roman"/>
          <w:sz w:val="20"/>
          <w:szCs w:val="20"/>
        </w:rPr>
        <w:t>,</w:t>
      </w:r>
      <w:r w:rsidR="00737872">
        <w:rPr>
          <w:rFonts w:ascii="Times New Roman" w:hAnsi="Times New Roman" w:cs="Times New Roman"/>
          <w:sz w:val="20"/>
          <w:szCs w:val="20"/>
        </w:rPr>
        <w:t xml:space="preserve"> </w:t>
      </w:r>
      <w:proofErr w:type="spellStart"/>
      <w:r w:rsidR="00737872" w:rsidRPr="00737872">
        <w:rPr>
          <w:rFonts w:ascii="Times New Roman" w:hAnsi="Times New Roman" w:cs="Times New Roman"/>
          <w:sz w:val="20"/>
          <w:szCs w:val="20"/>
        </w:rPr>
        <w:t>D</w:t>
      </w:r>
      <w:r w:rsidR="00572794" w:rsidRPr="00737872">
        <w:rPr>
          <w:rFonts w:ascii="Times New Roman" w:hAnsi="Times New Roman" w:cs="Times New Roman"/>
          <w:sz w:val="20"/>
          <w:szCs w:val="20"/>
        </w:rPr>
        <w:t>max</w:t>
      </w:r>
      <w:proofErr w:type="spellEnd"/>
      <w:r w:rsidR="00572794" w:rsidRPr="00737872">
        <w:rPr>
          <w:rFonts w:ascii="Times New Roman" w:hAnsi="Times New Roman" w:cs="Times New Roman"/>
          <w:sz w:val="20"/>
          <w:szCs w:val="20"/>
        </w:rPr>
        <w:t xml:space="preserve"> Brain stem:</w:t>
      </w:r>
      <w:r w:rsidRPr="00737872">
        <w:rPr>
          <w:rFonts w:ascii="Times New Roman" w:hAnsi="Times New Roman" w:cs="Times New Roman"/>
          <w:sz w:val="20"/>
          <w:szCs w:val="20"/>
        </w:rPr>
        <w:t xml:space="preserve">&lt;54Gy, </w:t>
      </w:r>
      <w:proofErr w:type="spellStart"/>
      <w:r w:rsidRPr="00737872">
        <w:rPr>
          <w:rFonts w:ascii="Times New Roman" w:hAnsi="Times New Roman" w:cs="Times New Roman"/>
          <w:sz w:val="20"/>
          <w:szCs w:val="20"/>
        </w:rPr>
        <w:t>Dmax</w:t>
      </w:r>
      <w:proofErr w:type="spellEnd"/>
      <w:r w:rsidRPr="00737872">
        <w:rPr>
          <w:rFonts w:ascii="Times New Roman" w:hAnsi="Times New Roman" w:cs="Times New Roman"/>
          <w:sz w:val="20"/>
          <w:szCs w:val="20"/>
        </w:rPr>
        <w:t xml:space="preserve"> Optic nerves and Chiasm: </w:t>
      </w:r>
      <w:proofErr w:type="spellStart"/>
      <w:r w:rsidRPr="00737872">
        <w:rPr>
          <w:rFonts w:ascii="Times New Roman" w:hAnsi="Times New Roman" w:cs="Times New Roman"/>
          <w:sz w:val="20"/>
          <w:szCs w:val="20"/>
        </w:rPr>
        <w:t>Dmax</w:t>
      </w:r>
      <w:proofErr w:type="spellEnd"/>
      <w:r w:rsidRPr="00737872">
        <w:rPr>
          <w:rFonts w:ascii="Times New Roman" w:hAnsi="Times New Roman" w:cs="Times New Roman"/>
          <w:sz w:val="20"/>
          <w:szCs w:val="20"/>
        </w:rPr>
        <w:t xml:space="preserve">&lt;54Gy, </w:t>
      </w:r>
      <w:proofErr w:type="spellStart"/>
      <w:r w:rsidRPr="00737872">
        <w:rPr>
          <w:rFonts w:ascii="Times New Roman" w:hAnsi="Times New Roman" w:cs="Times New Roman"/>
          <w:sz w:val="20"/>
          <w:szCs w:val="20"/>
        </w:rPr>
        <w:t>Dmean</w:t>
      </w:r>
      <w:proofErr w:type="spellEnd"/>
      <w:r w:rsidRPr="00737872">
        <w:rPr>
          <w:rFonts w:ascii="Times New Roman" w:hAnsi="Times New Roman" w:cs="Times New Roman"/>
          <w:sz w:val="20"/>
          <w:szCs w:val="20"/>
        </w:rPr>
        <w:t xml:space="preserve"> Parotids: &lt;26Gy (in at least one gland). </w:t>
      </w:r>
    </w:p>
    <w:p w:rsidR="00233867" w:rsidRPr="00737872" w:rsidRDefault="00233867" w:rsidP="00737872">
      <w:pPr>
        <w:autoSpaceDE w:val="0"/>
        <w:autoSpaceDN w:val="0"/>
        <w:bidi w:val="0"/>
        <w:adjustRightInd w:val="0"/>
        <w:snapToGrid w:val="0"/>
        <w:spacing w:after="0" w:line="240" w:lineRule="auto"/>
        <w:jc w:val="both"/>
        <w:rPr>
          <w:rFonts w:ascii="Times New Roman" w:hAnsi="Times New Roman" w:cs="Times New Roman"/>
          <w:b/>
          <w:bCs/>
          <w:i/>
          <w:iCs/>
          <w:sz w:val="20"/>
          <w:szCs w:val="20"/>
        </w:rPr>
      </w:pPr>
      <w:r w:rsidRPr="00737872">
        <w:rPr>
          <w:rFonts w:ascii="Times New Roman" w:hAnsi="Times New Roman" w:cs="Times New Roman"/>
          <w:b/>
          <w:bCs/>
          <w:i/>
          <w:iCs/>
          <w:sz w:val="20"/>
          <w:szCs w:val="20"/>
        </w:rPr>
        <w:t>Treatment planning and delivery</w:t>
      </w:r>
    </w:p>
    <w:p w:rsidR="00233867" w:rsidRPr="00737872" w:rsidRDefault="00543B34" w:rsidP="00737872">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37872">
        <w:rPr>
          <w:rFonts w:ascii="Times New Roman" w:hAnsi="Times New Roman" w:cs="Times New Roman"/>
          <w:sz w:val="20"/>
          <w:szCs w:val="20"/>
        </w:rPr>
        <w:t xml:space="preserve">Treatment planning was done on </w:t>
      </w:r>
      <w:proofErr w:type="spellStart"/>
      <w:r w:rsidRPr="00737872">
        <w:rPr>
          <w:rFonts w:ascii="Times New Roman" w:hAnsi="Times New Roman" w:cs="Times New Roman"/>
          <w:sz w:val="20"/>
          <w:szCs w:val="20"/>
        </w:rPr>
        <w:t>Electa</w:t>
      </w:r>
      <w:proofErr w:type="spellEnd"/>
      <w:r w:rsidRPr="00737872">
        <w:rPr>
          <w:rFonts w:ascii="Times New Roman" w:hAnsi="Times New Roman" w:cs="Times New Roman"/>
          <w:sz w:val="20"/>
          <w:szCs w:val="20"/>
        </w:rPr>
        <w:t xml:space="preserve"> planning system which has been configured for photons both for 3D-CRT as well as IMRT (step-and-shoot mode) using Siemens Medical Systems as linear accelerator. 3D-Conformal plans as well as IMRT plan were generated for every patient. 3D-CRT was planned in 2–3 sequential phases (summed to get the composite plan) to a total tumor dose of 69.9</w:t>
      </w:r>
      <w:r w:rsidR="00572794" w:rsidRPr="00737872">
        <w:rPr>
          <w:rFonts w:ascii="Times New Roman" w:hAnsi="Times New Roman" w:cs="Times New Roman"/>
          <w:sz w:val="20"/>
          <w:szCs w:val="20"/>
        </w:rPr>
        <w:t>6</w:t>
      </w:r>
      <w:r w:rsidRPr="00737872">
        <w:rPr>
          <w:rFonts w:ascii="Times New Roman" w:hAnsi="Times New Roman" w:cs="Times New Roman"/>
          <w:sz w:val="20"/>
          <w:szCs w:val="20"/>
        </w:rPr>
        <w:t xml:space="preserve">Gy using a forward planning process. Inverse planning for IMRT was done with 7–9 coplanar beams </w:t>
      </w:r>
      <w:r w:rsidR="005B2B0D" w:rsidRPr="00737872">
        <w:rPr>
          <w:rFonts w:ascii="Times New Roman" w:hAnsi="Times New Roman" w:cs="Times New Roman"/>
          <w:sz w:val="20"/>
          <w:szCs w:val="20"/>
        </w:rPr>
        <w:t>with</w:t>
      </w:r>
      <w:r w:rsidR="00A60B24">
        <w:rPr>
          <w:rFonts w:ascii="Times New Roman" w:hAnsi="Times New Roman" w:cs="Times New Roman" w:hint="eastAsia"/>
          <w:sz w:val="20"/>
          <w:szCs w:val="20"/>
          <w:lang w:eastAsia="zh-CN"/>
        </w:rPr>
        <w:t xml:space="preserve"> </w:t>
      </w:r>
      <w:r w:rsidRPr="00737872">
        <w:rPr>
          <w:rFonts w:ascii="Times New Roman" w:hAnsi="Times New Roman" w:cs="Times New Roman"/>
          <w:sz w:val="20"/>
          <w:szCs w:val="20"/>
        </w:rPr>
        <w:t>megavoltage x-ray beams of 6 MV.</w:t>
      </w:r>
      <w:r w:rsidR="00F76000" w:rsidRPr="00737872">
        <w:rPr>
          <w:rFonts w:ascii="Times New Roman" w:hAnsi="Times New Roman" w:cs="Times New Roman"/>
          <w:sz w:val="20"/>
          <w:szCs w:val="20"/>
          <w:lang w:eastAsia="zh-CN"/>
        </w:rPr>
        <w:t xml:space="preserve"> </w:t>
      </w:r>
      <w:r w:rsidRPr="00737872">
        <w:rPr>
          <w:rFonts w:ascii="Times New Roman" w:hAnsi="Times New Roman" w:cs="Times New Roman"/>
          <w:sz w:val="20"/>
          <w:szCs w:val="20"/>
        </w:rPr>
        <w:t xml:space="preserve">Based on RTOG 0225, the prescribed </w:t>
      </w:r>
      <w:r w:rsidRPr="00737872">
        <w:rPr>
          <w:rFonts w:ascii="Times New Roman" w:hAnsi="Times New Roman" w:cs="Times New Roman"/>
          <w:sz w:val="20"/>
          <w:szCs w:val="20"/>
        </w:rPr>
        <w:lastRenderedPageBreak/>
        <w:t xml:space="preserve">dose to the PTV gross disease was 69.96 </w:t>
      </w:r>
      <w:proofErr w:type="spellStart"/>
      <w:r w:rsidRPr="00737872">
        <w:rPr>
          <w:rFonts w:ascii="Times New Roman" w:hAnsi="Times New Roman" w:cs="Times New Roman"/>
          <w:sz w:val="20"/>
          <w:szCs w:val="20"/>
        </w:rPr>
        <w:t>Gy</w:t>
      </w:r>
      <w:proofErr w:type="spellEnd"/>
      <w:r w:rsidRPr="00737872">
        <w:rPr>
          <w:rFonts w:ascii="Times New Roman" w:hAnsi="Times New Roman" w:cs="Times New Roman"/>
          <w:sz w:val="20"/>
          <w:szCs w:val="20"/>
        </w:rPr>
        <w:t xml:space="preserve"> in 2.12 </w:t>
      </w:r>
      <w:proofErr w:type="spellStart"/>
      <w:r w:rsidRPr="00737872">
        <w:rPr>
          <w:rFonts w:ascii="Times New Roman" w:hAnsi="Times New Roman" w:cs="Times New Roman"/>
          <w:sz w:val="20"/>
          <w:szCs w:val="20"/>
        </w:rPr>
        <w:t>Gy</w:t>
      </w:r>
      <w:proofErr w:type="spellEnd"/>
      <w:r w:rsidRPr="00737872">
        <w:rPr>
          <w:rFonts w:ascii="Times New Roman" w:hAnsi="Times New Roman" w:cs="Times New Roman"/>
          <w:sz w:val="20"/>
          <w:szCs w:val="20"/>
        </w:rPr>
        <w:t xml:space="preserve">/fraction, the dose to the PTV subclinical disease was 59.4 </w:t>
      </w:r>
      <w:proofErr w:type="spellStart"/>
      <w:r w:rsidRPr="00737872">
        <w:rPr>
          <w:rFonts w:ascii="Times New Roman" w:hAnsi="Times New Roman" w:cs="Times New Roman"/>
          <w:sz w:val="20"/>
          <w:szCs w:val="20"/>
        </w:rPr>
        <w:t>Gy</w:t>
      </w:r>
      <w:proofErr w:type="spellEnd"/>
      <w:r w:rsidRPr="00737872">
        <w:rPr>
          <w:rFonts w:ascii="Times New Roman" w:hAnsi="Times New Roman" w:cs="Times New Roman"/>
          <w:sz w:val="20"/>
          <w:szCs w:val="20"/>
        </w:rPr>
        <w:t xml:space="preserve"> in 1.8 </w:t>
      </w:r>
      <w:proofErr w:type="spellStart"/>
      <w:r w:rsidRPr="00737872">
        <w:rPr>
          <w:rFonts w:ascii="Times New Roman" w:hAnsi="Times New Roman" w:cs="Times New Roman"/>
          <w:sz w:val="20"/>
          <w:szCs w:val="20"/>
        </w:rPr>
        <w:t>Gy</w:t>
      </w:r>
      <w:proofErr w:type="spellEnd"/>
      <w:r w:rsidRPr="00737872">
        <w:rPr>
          <w:rFonts w:ascii="Times New Roman" w:hAnsi="Times New Roman" w:cs="Times New Roman"/>
          <w:sz w:val="20"/>
          <w:szCs w:val="20"/>
        </w:rPr>
        <w:t xml:space="preserve">/fraction, and the dose to the PTV low-risk subclinical disease was 54.12 </w:t>
      </w:r>
      <w:proofErr w:type="spellStart"/>
      <w:r w:rsidRPr="00737872">
        <w:rPr>
          <w:rFonts w:ascii="Times New Roman" w:hAnsi="Times New Roman" w:cs="Times New Roman"/>
          <w:sz w:val="20"/>
          <w:szCs w:val="20"/>
        </w:rPr>
        <w:t>Gy</w:t>
      </w:r>
      <w:proofErr w:type="spellEnd"/>
      <w:r w:rsidRPr="00737872">
        <w:rPr>
          <w:rFonts w:ascii="Times New Roman" w:hAnsi="Times New Roman" w:cs="Times New Roman"/>
          <w:sz w:val="20"/>
          <w:szCs w:val="20"/>
        </w:rPr>
        <w:t xml:space="preserve"> in 1.64 </w:t>
      </w:r>
      <w:proofErr w:type="spellStart"/>
      <w:r w:rsidRPr="00737872">
        <w:rPr>
          <w:rFonts w:ascii="Times New Roman" w:hAnsi="Times New Roman" w:cs="Times New Roman"/>
          <w:sz w:val="20"/>
          <w:szCs w:val="20"/>
        </w:rPr>
        <w:t>Gy</w:t>
      </w:r>
      <w:proofErr w:type="spellEnd"/>
      <w:r w:rsidRPr="00737872">
        <w:rPr>
          <w:rFonts w:ascii="Times New Roman" w:hAnsi="Times New Roman" w:cs="Times New Roman"/>
          <w:sz w:val="20"/>
          <w:szCs w:val="20"/>
        </w:rPr>
        <w:t>/fraction. The prescribed doses were delivered in 33 fractions, once daily, five days/ week.</w:t>
      </w:r>
    </w:p>
    <w:p w:rsidR="00233867" w:rsidRPr="00737872" w:rsidRDefault="00233867" w:rsidP="00737872">
      <w:pPr>
        <w:autoSpaceDE w:val="0"/>
        <w:autoSpaceDN w:val="0"/>
        <w:bidi w:val="0"/>
        <w:adjustRightInd w:val="0"/>
        <w:snapToGrid w:val="0"/>
        <w:spacing w:after="0" w:line="240" w:lineRule="auto"/>
        <w:jc w:val="both"/>
        <w:rPr>
          <w:rFonts w:ascii="Times New Roman" w:hAnsi="Times New Roman" w:cs="Times New Roman"/>
          <w:b/>
          <w:bCs/>
          <w:i/>
          <w:iCs/>
          <w:sz w:val="20"/>
          <w:szCs w:val="20"/>
        </w:rPr>
      </w:pPr>
      <w:r w:rsidRPr="00737872">
        <w:rPr>
          <w:rFonts w:ascii="Times New Roman" w:hAnsi="Times New Roman" w:cs="Times New Roman"/>
          <w:b/>
          <w:bCs/>
          <w:i/>
          <w:iCs/>
          <w:sz w:val="20"/>
          <w:szCs w:val="20"/>
        </w:rPr>
        <w:t>Dose volume analysis of treatment plans</w:t>
      </w:r>
    </w:p>
    <w:p w:rsidR="00543B34" w:rsidRPr="00737872" w:rsidRDefault="00543B34" w:rsidP="00737872">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37872">
        <w:rPr>
          <w:rFonts w:ascii="Times New Roman" w:hAnsi="Times New Roman" w:cs="Times New Roman"/>
          <w:sz w:val="20"/>
          <w:szCs w:val="20"/>
        </w:rPr>
        <w:t>Dose volume histograms (</w:t>
      </w:r>
      <w:proofErr w:type="spellStart"/>
      <w:r w:rsidRPr="00737872">
        <w:rPr>
          <w:rFonts w:ascii="Times New Roman" w:hAnsi="Times New Roman" w:cs="Times New Roman"/>
          <w:sz w:val="20"/>
          <w:szCs w:val="20"/>
        </w:rPr>
        <w:t>DVHs</w:t>
      </w:r>
      <w:proofErr w:type="spellEnd"/>
      <w:r w:rsidRPr="00737872">
        <w:rPr>
          <w:rFonts w:ascii="Times New Roman" w:hAnsi="Times New Roman" w:cs="Times New Roman"/>
          <w:sz w:val="20"/>
          <w:szCs w:val="20"/>
        </w:rPr>
        <w:t xml:space="preserve">) of the </w:t>
      </w:r>
      <w:r w:rsidR="00572794" w:rsidRPr="00737872">
        <w:rPr>
          <w:rFonts w:ascii="Times New Roman" w:hAnsi="Times New Roman" w:cs="Times New Roman"/>
          <w:sz w:val="20"/>
          <w:szCs w:val="20"/>
        </w:rPr>
        <w:t>P</w:t>
      </w:r>
      <w:r w:rsidRPr="00737872">
        <w:rPr>
          <w:rFonts w:ascii="Times New Roman" w:hAnsi="Times New Roman" w:cs="Times New Roman"/>
          <w:sz w:val="20"/>
          <w:szCs w:val="20"/>
        </w:rPr>
        <w:t>TV and CTV and the critical normal structures were obtained</w:t>
      </w:r>
      <w:r w:rsidR="00737872" w:rsidRPr="00737872">
        <w:rPr>
          <w:rFonts w:ascii="Times New Roman" w:hAnsi="Times New Roman" w:cs="Times New Roman"/>
          <w:sz w:val="20"/>
          <w:szCs w:val="20"/>
        </w:rPr>
        <w:t>.</w:t>
      </w:r>
      <w:r w:rsidR="00737872">
        <w:rPr>
          <w:rFonts w:ascii="Times New Roman" w:hAnsi="Times New Roman" w:cs="Times New Roman"/>
          <w:sz w:val="20"/>
          <w:szCs w:val="20"/>
        </w:rPr>
        <w:t xml:space="preserve"> </w:t>
      </w:r>
      <w:r w:rsidR="00737872" w:rsidRPr="00737872">
        <w:rPr>
          <w:rFonts w:ascii="Times New Roman" w:hAnsi="Times New Roman" w:cs="Times New Roman"/>
          <w:sz w:val="20"/>
          <w:szCs w:val="20"/>
        </w:rPr>
        <w:t>T</w:t>
      </w:r>
      <w:r w:rsidRPr="00737872">
        <w:rPr>
          <w:rFonts w:ascii="Times New Roman" w:hAnsi="Times New Roman" w:cs="Times New Roman"/>
          <w:sz w:val="20"/>
          <w:szCs w:val="20"/>
        </w:rPr>
        <w:t xml:space="preserve">he </w:t>
      </w:r>
      <w:proofErr w:type="spellStart"/>
      <w:r w:rsidRPr="00737872">
        <w:rPr>
          <w:rFonts w:ascii="Times New Roman" w:hAnsi="Times New Roman" w:cs="Times New Roman"/>
          <w:sz w:val="20"/>
          <w:szCs w:val="20"/>
        </w:rPr>
        <w:t>dosimetric</w:t>
      </w:r>
      <w:proofErr w:type="spellEnd"/>
      <w:r w:rsidRPr="00737872">
        <w:rPr>
          <w:rFonts w:ascii="Times New Roman" w:hAnsi="Times New Roman" w:cs="Times New Roman"/>
          <w:sz w:val="20"/>
          <w:szCs w:val="20"/>
        </w:rPr>
        <w:t xml:space="preserve"> analysis of both plans was evaluated and compared. Plan quality was analyzed from (DVH) data. The treatment goal for each patient was to deliver 95% of the prescribed dose to ≥ 95% of the </w:t>
      </w:r>
      <w:proofErr w:type="spellStart"/>
      <w:r w:rsidRPr="00737872">
        <w:rPr>
          <w:rFonts w:ascii="Times New Roman" w:hAnsi="Times New Roman" w:cs="Times New Roman"/>
          <w:sz w:val="20"/>
          <w:szCs w:val="20"/>
        </w:rPr>
        <w:t>PTVs</w:t>
      </w:r>
      <w:proofErr w:type="spellEnd"/>
      <w:r w:rsidRPr="00737872">
        <w:rPr>
          <w:rFonts w:ascii="Times New Roman" w:hAnsi="Times New Roman" w:cs="Times New Roman"/>
          <w:sz w:val="20"/>
          <w:szCs w:val="20"/>
        </w:rPr>
        <w:t>. Homogeneity index as well as confirmatory index was calculated for every plan.</w:t>
      </w:r>
    </w:p>
    <w:p w:rsidR="00543B34" w:rsidRPr="00737872" w:rsidRDefault="00543B34" w:rsidP="00737872">
      <w:pPr>
        <w:pStyle w:val="ListParagraph"/>
        <w:numPr>
          <w:ilvl w:val="0"/>
          <w:numId w:val="5"/>
        </w:numPr>
        <w:tabs>
          <w:tab w:val="right" w:pos="284"/>
        </w:tabs>
        <w:autoSpaceDE w:val="0"/>
        <w:autoSpaceDN w:val="0"/>
        <w:bidi w:val="0"/>
        <w:adjustRightInd w:val="0"/>
        <w:snapToGrid w:val="0"/>
        <w:spacing w:after="0" w:line="240" w:lineRule="auto"/>
        <w:ind w:left="0" w:firstLine="425"/>
        <w:jc w:val="both"/>
        <w:rPr>
          <w:rFonts w:ascii="Times New Roman" w:hAnsi="Times New Roman" w:cs="Times New Roman"/>
          <w:sz w:val="20"/>
          <w:szCs w:val="20"/>
        </w:rPr>
      </w:pPr>
      <w:r w:rsidRPr="00737872">
        <w:rPr>
          <w:rFonts w:ascii="Times New Roman" w:hAnsi="Times New Roman" w:cs="Times New Roman"/>
          <w:sz w:val="20"/>
          <w:szCs w:val="20"/>
        </w:rPr>
        <w:t xml:space="preserve">Homogeneity index (HI) = </w:t>
      </w:r>
      <m:oMath>
        <m:f>
          <m:fPr>
            <m:ctrlPr>
              <w:rPr>
                <w:rFonts w:ascii="Cambria Math" w:hAnsi="Times New Roman" w:cs="Times New Roman"/>
                <w:i/>
                <w:sz w:val="20"/>
                <w:szCs w:val="20"/>
              </w:rPr>
            </m:ctrlPr>
          </m:fPr>
          <m:num>
            <m:r>
              <w:rPr>
                <w:rFonts w:ascii="Cambria Math" w:hAnsi="Cambria Math" w:cs="Times New Roman"/>
                <w:sz w:val="20"/>
                <w:szCs w:val="20"/>
              </w:rPr>
              <m:t>D</m:t>
            </m:r>
            <m:r>
              <w:rPr>
                <w:rFonts w:ascii="Cambria Math" w:hAnsi="Times New Roman" w:cs="Times New Roman"/>
                <w:sz w:val="20"/>
                <w:szCs w:val="20"/>
              </w:rPr>
              <m:t>5%</m:t>
            </m:r>
            <m:r>
              <w:rPr>
                <w:rFonts w:ascii="Cambria Math" w:hAnsi="Times New Roman" w:cs="Times New Roman"/>
                <w:sz w:val="20"/>
                <w:szCs w:val="20"/>
              </w:rPr>
              <m:t>-</m:t>
            </m:r>
            <m:r>
              <w:rPr>
                <w:rFonts w:ascii="Cambria Math" w:hAnsi="Cambria Math" w:cs="Times New Roman"/>
                <w:sz w:val="20"/>
                <w:szCs w:val="20"/>
              </w:rPr>
              <m:t>D</m:t>
            </m:r>
            <m:r>
              <w:rPr>
                <w:rFonts w:ascii="Cambria Math" w:hAnsi="Times New Roman" w:cs="Times New Roman"/>
                <w:sz w:val="20"/>
                <w:szCs w:val="20"/>
              </w:rPr>
              <m:t>95%</m:t>
            </m:r>
          </m:num>
          <m:den>
            <m:r>
              <w:rPr>
                <w:rFonts w:ascii="Cambria Math" w:hAnsi="Cambria Math" w:cs="Times New Roman"/>
                <w:sz w:val="20"/>
                <w:szCs w:val="20"/>
              </w:rPr>
              <m:t>Prescribeddose</m:t>
            </m:r>
          </m:den>
        </m:f>
      </m:oMath>
    </w:p>
    <w:p w:rsidR="00543B34" w:rsidRPr="00737872" w:rsidRDefault="00543B34" w:rsidP="00737872">
      <w:pPr>
        <w:pStyle w:val="ListParagraph"/>
        <w:numPr>
          <w:ilvl w:val="0"/>
          <w:numId w:val="6"/>
        </w:numPr>
        <w:tabs>
          <w:tab w:val="right" w:pos="284"/>
        </w:tabs>
        <w:autoSpaceDE w:val="0"/>
        <w:autoSpaceDN w:val="0"/>
        <w:bidi w:val="0"/>
        <w:adjustRightInd w:val="0"/>
        <w:snapToGrid w:val="0"/>
        <w:spacing w:after="0" w:line="240" w:lineRule="auto"/>
        <w:ind w:left="0" w:firstLine="425"/>
        <w:jc w:val="both"/>
        <w:rPr>
          <w:rFonts w:ascii="Times New Roman" w:hAnsi="Times New Roman" w:cs="Times New Roman"/>
          <w:sz w:val="20"/>
          <w:szCs w:val="20"/>
        </w:rPr>
      </w:pPr>
      <w:r w:rsidRPr="00737872">
        <w:rPr>
          <w:rFonts w:ascii="Times New Roman" w:hAnsi="Times New Roman" w:cs="Times New Roman"/>
          <w:sz w:val="20"/>
          <w:szCs w:val="20"/>
        </w:rPr>
        <w:t xml:space="preserve">Where D5%, D95 % are the received dose by 5% and 95 % of the target volume </w:t>
      </w:r>
    </w:p>
    <w:p w:rsidR="00543B34" w:rsidRPr="00737872" w:rsidRDefault="00543B34" w:rsidP="00737872">
      <w:pPr>
        <w:pStyle w:val="ListParagraph"/>
        <w:numPr>
          <w:ilvl w:val="0"/>
          <w:numId w:val="6"/>
        </w:numPr>
        <w:tabs>
          <w:tab w:val="right" w:pos="284"/>
        </w:tabs>
        <w:autoSpaceDE w:val="0"/>
        <w:autoSpaceDN w:val="0"/>
        <w:bidi w:val="0"/>
        <w:adjustRightInd w:val="0"/>
        <w:snapToGrid w:val="0"/>
        <w:spacing w:after="0" w:line="240" w:lineRule="auto"/>
        <w:ind w:left="0" w:firstLine="425"/>
        <w:jc w:val="both"/>
        <w:rPr>
          <w:rFonts w:ascii="Times New Roman" w:hAnsi="Times New Roman" w:cs="Times New Roman"/>
          <w:sz w:val="20"/>
          <w:szCs w:val="20"/>
        </w:rPr>
      </w:pPr>
      <w:r w:rsidRPr="00737872">
        <w:rPr>
          <w:rFonts w:ascii="Times New Roman" w:hAnsi="Times New Roman" w:cs="Times New Roman"/>
          <w:sz w:val="20"/>
          <w:szCs w:val="20"/>
        </w:rPr>
        <w:t>HI=0 is the most acceptable value. The closer to zero is the better dose homogeneity</w:t>
      </w:r>
    </w:p>
    <w:p w:rsidR="00543B34" w:rsidRPr="00737872" w:rsidRDefault="00543B34" w:rsidP="00737872">
      <w:pPr>
        <w:pStyle w:val="ListParagraph"/>
        <w:numPr>
          <w:ilvl w:val="0"/>
          <w:numId w:val="5"/>
        </w:numPr>
        <w:tabs>
          <w:tab w:val="right" w:pos="284"/>
        </w:tabs>
        <w:autoSpaceDE w:val="0"/>
        <w:autoSpaceDN w:val="0"/>
        <w:bidi w:val="0"/>
        <w:adjustRightInd w:val="0"/>
        <w:snapToGrid w:val="0"/>
        <w:spacing w:after="0" w:line="240" w:lineRule="auto"/>
        <w:ind w:left="0" w:firstLine="425"/>
        <w:jc w:val="both"/>
        <w:rPr>
          <w:rFonts w:ascii="Times New Roman" w:hAnsi="Times New Roman" w:cs="Times New Roman"/>
          <w:sz w:val="20"/>
          <w:szCs w:val="20"/>
        </w:rPr>
      </w:pPr>
      <w:r w:rsidRPr="00737872">
        <w:rPr>
          <w:rFonts w:ascii="Times New Roman" w:hAnsi="Times New Roman" w:cs="Times New Roman"/>
          <w:sz w:val="20"/>
          <w:szCs w:val="20"/>
        </w:rPr>
        <w:t>Confirmatory index (CI) =</w:t>
      </w:r>
      <m:oMath>
        <m:f>
          <m:fPr>
            <m:ctrlPr>
              <w:rPr>
                <w:rFonts w:ascii="Cambria Math" w:hAnsi="Times New Roman" w:cs="Times New Roman"/>
                <w:sz w:val="20"/>
                <w:szCs w:val="20"/>
              </w:rPr>
            </m:ctrlPr>
          </m:fPr>
          <m:num>
            <m:r>
              <m:rPr>
                <m:sty m:val="p"/>
              </m:rPr>
              <w:rPr>
                <w:rFonts w:ascii="Cambria Math" w:hAnsi="Times New Roman" w:cs="Times New Roman"/>
                <w:sz w:val="20"/>
                <w:szCs w:val="20"/>
              </w:rPr>
              <m:t>V95%</m:t>
            </m:r>
          </m:num>
          <m:den>
            <m:r>
              <m:rPr>
                <m:sty m:val="p"/>
              </m:rPr>
              <w:rPr>
                <w:rFonts w:ascii="Cambria Math" w:hAnsi="Times New Roman" w:cs="Times New Roman"/>
                <w:sz w:val="20"/>
                <w:szCs w:val="20"/>
              </w:rPr>
              <m:t>Target volume</m:t>
            </m:r>
          </m:den>
        </m:f>
      </m:oMath>
    </w:p>
    <w:p w:rsidR="00543B34" w:rsidRPr="00737872" w:rsidRDefault="00543B34" w:rsidP="00737872">
      <w:pPr>
        <w:pStyle w:val="ListParagraph"/>
        <w:numPr>
          <w:ilvl w:val="0"/>
          <w:numId w:val="6"/>
        </w:numPr>
        <w:tabs>
          <w:tab w:val="right" w:pos="284"/>
        </w:tabs>
        <w:autoSpaceDE w:val="0"/>
        <w:autoSpaceDN w:val="0"/>
        <w:bidi w:val="0"/>
        <w:adjustRightInd w:val="0"/>
        <w:snapToGrid w:val="0"/>
        <w:spacing w:after="0" w:line="240" w:lineRule="auto"/>
        <w:ind w:left="0" w:firstLine="425"/>
        <w:jc w:val="both"/>
        <w:rPr>
          <w:rFonts w:ascii="Times New Roman" w:hAnsi="Times New Roman" w:cs="Times New Roman"/>
          <w:sz w:val="20"/>
          <w:szCs w:val="20"/>
        </w:rPr>
      </w:pPr>
      <w:r w:rsidRPr="00737872">
        <w:rPr>
          <w:rFonts w:ascii="Times New Roman" w:hAnsi="Times New Roman" w:cs="Times New Roman"/>
          <w:sz w:val="20"/>
          <w:szCs w:val="20"/>
        </w:rPr>
        <w:t xml:space="preserve">Where V95% is the volume of PTV covered by at least 95% of prescribed dose </w:t>
      </w:r>
    </w:p>
    <w:p w:rsidR="00543B34" w:rsidRPr="00737872" w:rsidRDefault="00543B34" w:rsidP="00737872">
      <w:pPr>
        <w:pStyle w:val="ListParagraph"/>
        <w:numPr>
          <w:ilvl w:val="0"/>
          <w:numId w:val="6"/>
        </w:numPr>
        <w:tabs>
          <w:tab w:val="right" w:pos="284"/>
        </w:tabs>
        <w:autoSpaceDE w:val="0"/>
        <w:autoSpaceDN w:val="0"/>
        <w:bidi w:val="0"/>
        <w:adjustRightInd w:val="0"/>
        <w:snapToGrid w:val="0"/>
        <w:spacing w:after="0" w:line="240" w:lineRule="auto"/>
        <w:ind w:left="0" w:firstLine="425"/>
        <w:jc w:val="both"/>
        <w:rPr>
          <w:rFonts w:ascii="Times New Roman" w:hAnsi="Times New Roman" w:cs="Times New Roman"/>
          <w:sz w:val="20"/>
          <w:szCs w:val="20"/>
        </w:rPr>
      </w:pPr>
      <w:r w:rsidRPr="00737872">
        <w:rPr>
          <w:rFonts w:ascii="Times New Roman" w:hAnsi="Times New Roman" w:cs="Times New Roman"/>
          <w:sz w:val="20"/>
          <w:szCs w:val="20"/>
        </w:rPr>
        <w:t xml:space="preserve">CI=1 is the most acceptable value. If CI &gt;1, it means irradiating volume is greater than the target volume and includes healthy tissue </w:t>
      </w:r>
    </w:p>
    <w:p w:rsidR="00B70ABC" w:rsidRPr="00737872" w:rsidRDefault="00B70ABC" w:rsidP="00737872">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37872">
        <w:rPr>
          <w:rFonts w:ascii="Times New Roman" w:hAnsi="Times New Roman" w:cs="Times New Roman"/>
          <w:sz w:val="20"/>
          <w:szCs w:val="20"/>
        </w:rPr>
        <w:t xml:space="preserve">Treatment interruption was avoided as much as possible through close monitoring of the patients and proper medications to overcome any troubles. Interruption occurred due to </w:t>
      </w:r>
      <w:proofErr w:type="spellStart"/>
      <w:r w:rsidRPr="00737872">
        <w:rPr>
          <w:rFonts w:ascii="Times New Roman" w:hAnsi="Times New Roman" w:cs="Times New Roman"/>
          <w:sz w:val="20"/>
          <w:szCs w:val="20"/>
        </w:rPr>
        <w:t>mucositis</w:t>
      </w:r>
      <w:proofErr w:type="spellEnd"/>
      <w:r w:rsidRPr="00737872">
        <w:rPr>
          <w:rFonts w:ascii="Times New Roman" w:hAnsi="Times New Roman" w:cs="Times New Roman"/>
          <w:sz w:val="20"/>
          <w:szCs w:val="20"/>
        </w:rPr>
        <w:t>, skin reactions, ulceration</w:t>
      </w:r>
      <w:r w:rsidR="00BF7D07" w:rsidRPr="00737872">
        <w:rPr>
          <w:rFonts w:ascii="Times New Roman" w:hAnsi="Times New Roman" w:cs="Times New Roman"/>
          <w:sz w:val="20"/>
          <w:szCs w:val="20"/>
        </w:rPr>
        <w:t xml:space="preserve"> &amp; </w:t>
      </w:r>
      <w:r w:rsidRPr="00737872">
        <w:rPr>
          <w:rFonts w:ascii="Times New Roman" w:hAnsi="Times New Roman" w:cs="Times New Roman"/>
          <w:sz w:val="20"/>
          <w:szCs w:val="20"/>
        </w:rPr>
        <w:t>machine breakdown. This was compensated by adding extra fraction.</w:t>
      </w:r>
      <w:r w:rsidR="00F76000" w:rsidRPr="00737872">
        <w:rPr>
          <w:rFonts w:ascii="Times New Roman" w:hAnsi="Times New Roman" w:cs="Times New Roman"/>
          <w:sz w:val="20"/>
          <w:szCs w:val="20"/>
          <w:lang w:eastAsia="zh-CN"/>
        </w:rPr>
        <w:t xml:space="preserve"> </w:t>
      </w:r>
      <w:r w:rsidRPr="00737872">
        <w:rPr>
          <w:rFonts w:ascii="Times New Roman" w:hAnsi="Times New Roman" w:cs="Times New Roman"/>
          <w:sz w:val="20"/>
          <w:szCs w:val="20"/>
        </w:rPr>
        <w:t>Patients were encouraged to maintain oral hygiene</w:t>
      </w:r>
      <w:r w:rsidR="00BF7D07" w:rsidRPr="00737872">
        <w:rPr>
          <w:rFonts w:ascii="Times New Roman" w:hAnsi="Times New Roman" w:cs="Times New Roman"/>
          <w:sz w:val="20"/>
          <w:szCs w:val="20"/>
        </w:rPr>
        <w:t xml:space="preserve"> &amp; </w:t>
      </w:r>
      <w:r w:rsidRPr="00737872">
        <w:rPr>
          <w:rFonts w:ascii="Times New Roman" w:hAnsi="Times New Roman" w:cs="Times New Roman"/>
          <w:sz w:val="20"/>
          <w:szCs w:val="20"/>
        </w:rPr>
        <w:t>use super soft toothbrush with fluoride containing toothpaste. On occurrence of any fungal infection, topical and systemic anti-fungal were prescribed according to severity.</w:t>
      </w:r>
      <w:r w:rsidR="00F76000" w:rsidRPr="00737872">
        <w:rPr>
          <w:rFonts w:ascii="Times New Roman" w:hAnsi="Times New Roman" w:cs="Times New Roman"/>
          <w:sz w:val="20"/>
          <w:szCs w:val="20"/>
          <w:lang w:eastAsia="zh-CN"/>
        </w:rPr>
        <w:t xml:space="preserve"> </w:t>
      </w:r>
      <w:r w:rsidRPr="00737872">
        <w:rPr>
          <w:rFonts w:ascii="Times New Roman" w:hAnsi="Times New Roman" w:cs="Times New Roman"/>
          <w:sz w:val="20"/>
          <w:szCs w:val="20"/>
        </w:rPr>
        <w:t>Patients were advised to wear cotton clothes and avoid that made of synthetic materials. Also, they were instructed to avoid tough maneuver to the skin and to keep it dry and clean. In case of occurrence of moist desquamation, gentian violet 1% aqueous solution was applied.</w:t>
      </w:r>
    </w:p>
    <w:p w:rsidR="00B70ABC" w:rsidRPr="00737872" w:rsidRDefault="00B70ABC" w:rsidP="00737872">
      <w:pPr>
        <w:tabs>
          <w:tab w:val="right" w:pos="284"/>
        </w:tabs>
        <w:autoSpaceDE w:val="0"/>
        <w:autoSpaceDN w:val="0"/>
        <w:bidi w:val="0"/>
        <w:adjustRightInd w:val="0"/>
        <w:snapToGrid w:val="0"/>
        <w:spacing w:after="0" w:line="240" w:lineRule="auto"/>
        <w:ind w:firstLine="425"/>
        <w:jc w:val="both"/>
        <w:rPr>
          <w:rFonts w:ascii="Times New Roman" w:hAnsi="Times New Roman" w:cs="Times New Roman"/>
          <w:b/>
          <w:bCs/>
          <w:i/>
          <w:iCs/>
          <w:sz w:val="20"/>
          <w:szCs w:val="20"/>
        </w:rPr>
      </w:pPr>
      <w:r w:rsidRPr="00737872">
        <w:rPr>
          <w:rFonts w:ascii="Times New Roman" w:hAnsi="Times New Roman" w:cs="Times New Roman"/>
          <w:b/>
          <w:bCs/>
          <w:i/>
          <w:iCs/>
          <w:sz w:val="20"/>
          <w:szCs w:val="20"/>
        </w:rPr>
        <w:t>Nutritional support:</w:t>
      </w:r>
      <w:r w:rsidR="00F76000" w:rsidRPr="00737872">
        <w:rPr>
          <w:rFonts w:ascii="Times New Roman" w:hAnsi="Times New Roman" w:cs="Times New Roman"/>
          <w:b/>
          <w:bCs/>
          <w:i/>
          <w:iCs/>
          <w:sz w:val="20"/>
          <w:szCs w:val="20"/>
          <w:lang w:eastAsia="zh-CN"/>
        </w:rPr>
        <w:t xml:space="preserve"> </w:t>
      </w:r>
      <w:r w:rsidRPr="00737872">
        <w:rPr>
          <w:rFonts w:ascii="Times New Roman" w:hAnsi="Times New Roman" w:cs="Times New Roman"/>
          <w:sz w:val="20"/>
          <w:szCs w:val="20"/>
        </w:rPr>
        <w:t>Throughout the treatment, the patients were advised to stop smoking, avoid spicy food, very cold and hot drinks. Body weight was monitored weekly and patients were encouraged to modify the consistency and texture of their diet using blended meat and vegetables, adding snacks in between meals to incre</w:t>
      </w:r>
      <w:r w:rsidR="001E52B7" w:rsidRPr="00737872">
        <w:rPr>
          <w:rFonts w:ascii="Times New Roman" w:hAnsi="Times New Roman" w:cs="Times New Roman"/>
          <w:sz w:val="20"/>
          <w:szCs w:val="20"/>
        </w:rPr>
        <w:t xml:space="preserve">ase protein and caloric intake. </w:t>
      </w:r>
      <w:r w:rsidRPr="00737872">
        <w:rPr>
          <w:rFonts w:ascii="Times New Roman" w:hAnsi="Times New Roman" w:cs="Times New Roman"/>
          <w:sz w:val="20"/>
          <w:szCs w:val="20"/>
        </w:rPr>
        <w:t xml:space="preserve">Whenever there was marked weight loss (10%) and swallowing was significantly impaired, </w:t>
      </w:r>
      <w:proofErr w:type="spellStart"/>
      <w:r w:rsidRPr="00737872">
        <w:rPr>
          <w:rFonts w:ascii="Times New Roman" w:hAnsi="Times New Roman" w:cs="Times New Roman"/>
          <w:sz w:val="20"/>
          <w:szCs w:val="20"/>
        </w:rPr>
        <w:t>nasogastric</w:t>
      </w:r>
      <w:proofErr w:type="spellEnd"/>
      <w:r w:rsidRPr="00737872">
        <w:rPr>
          <w:rFonts w:ascii="Times New Roman" w:hAnsi="Times New Roman" w:cs="Times New Roman"/>
          <w:sz w:val="20"/>
          <w:szCs w:val="20"/>
        </w:rPr>
        <w:t xml:space="preserve"> tube was encouraged. Total </w:t>
      </w:r>
      <w:proofErr w:type="spellStart"/>
      <w:r w:rsidRPr="00737872">
        <w:rPr>
          <w:rFonts w:ascii="Times New Roman" w:hAnsi="Times New Roman" w:cs="Times New Roman"/>
          <w:sz w:val="20"/>
          <w:szCs w:val="20"/>
        </w:rPr>
        <w:t>parenteral</w:t>
      </w:r>
      <w:proofErr w:type="spellEnd"/>
      <w:r w:rsidRPr="00737872">
        <w:rPr>
          <w:rFonts w:ascii="Times New Roman" w:hAnsi="Times New Roman" w:cs="Times New Roman"/>
          <w:sz w:val="20"/>
          <w:szCs w:val="20"/>
        </w:rPr>
        <w:t xml:space="preserve"> nutrition was initiated in some patients who couldn't eat due to </w:t>
      </w:r>
      <w:proofErr w:type="spellStart"/>
      <w:r w:rsidRPr="00737872">
        <w:rPr>
          <w:rFonts w:ascii="Times New Roman" w:hAnsi="Times New Roman" w:cs="Times New Roman"/>
          <w:sz w:val="20"/>
          <w:szCs w:val="20"/>
        </w:rPr>
        <w:t>mucositis</w:t>
      </w:r>
      <w:proofErr w:type="spellEnd"/>
      <w:r w:rsidRPr="00737872">
        <w:rPr>
          <w:rFonts w:ascii="Times New Roman" w:hAnsi="Times New Roman" w:cs="Times New Roman"/>
          <w:sz w:val="20"/>
          <w:szCs w:val="20"/>
        </w:rPr>
        <w:t xml:space="preserve"> and nausea and refusing </w:t>
      </w:r>
      <w:proofErr w:type="spellStart"/>
      <w:r w:rsidRPr="00737872">
        <w:rPr>
          <w:rFonts w:ascii="Times New Roman" w:hAnsi="Times New Roman" w:cs="Times New Roman"/>
          <w:sz w:val="20"/>
          <w:szCs w:val="20"/>
        </w:rPr>
        <w:t>gastrostomy</w:t>
      </w:r>
      <w:proofErr w:type="spellEnd"/>
      <w:r w:rsidRPr="00737872">
        <w:rPr>
          <w:rFonts w:ascii="Times New Roman" w:hAnsi="Times New Roman" w:cs="Times New Roman"/>
          <w:sz w:val="20"/>
          <w:szCs w:val="20"/>
        </w:rPr>
        <w:t xml:space="preserve"> or </w:t>
      </w:r>
      <w:proofErr w:type="spellStart"/>
      <w:r w:rsidRPr="00737872">
        <w:rPr>
          <w:rFonts w:ascii="Times New Roman" w:hAnsi="Times New Roman" w:cs="Times New Roman"/>
          <w:sz w:val="20"/>
          <w:szCs w:val="20"/>
        </w:rPr>
        <w:t>nasogastric</w:t>
      </w:r>
      <w:proofErr w:type="spellEnd"/>
      <w:r w:rsidRPr="00737872">
        <w:rPr>
          <w:rFonts w:ascii="Times New Roman" w:hAnsi="Times New Roman" w:cs="Times New Roman"/>
          <w:sz w:val="20"/>
          <w:szCs w:val="20"/>
        </w:rPr>
        <w:t xml:space="preserve"> feeding tube.</w:t>
      </w:r>
    </w:p>
    <w:p w:rsidR="001212AA" w:rsidRPr="00737872" w:rsidRDefault="00B70ABC" w:rsidP="00737872">
      <w:pPr>
        <w:autoSpaceDE w:val="0"/>
        <w:autoSpaceDN w:val="0"/>
        <w:bidi w:val="0"/>
        <w:adjustRightInd w:val="0"/>
        <w:snapToGrid w:val="0"/>
        <w:spacing w:after="0" w:line="240" w:lineRule="auto"/>
        <w:jc w:val="both"/>
        <w:rPr>
          <w:rFonts w:ascii="Times New Roman" w:hAnsi="Times New Roman" w:cs="Times New Roman"/>
          <w:sz w:val="20"/>
          <w:szCs w:val="20"/>
        </w:rPr>
      </w:pPr>
      <w:r w:rsidRPr="00737872">
        <w:rPr>
          <w:rFonts w:ascii="Times New Roman" w:hAnsi="Times New Roman" w:cs="Times New Roman"/>
          <w:b/>
          <w:bCs/>
          <w:sz w:val="20"/>
          <w:szCs w:val="20"/>
        </w:rPr>
        <w:lastRenderedPageBreak/>
        <w:t xml:space="preserve">Follow up </w:t>
      </w:r>
    </w:p>
    <w:p w:rsidR="001212AA" w:rsidRPr="00737872" w:rsidRDefault="001212AA" w:rsidP="00737872">
      <w:pPr>
        <w:tabs>
          <w:tab w:val="right" w:pos="567"/>
        </w:tabs>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37872">
        <w:rPr>
          <w:rFonts w:ascii="Times New Roman" w:hAnsi="Times New Roman" w:cs="Times New Roman"/>
          <w:sz w:val="20"/>
          <w:szCs w:val="20"/>
        </w:rPr>
        <w:t>During radiotherapy, p</w:t>
      </w:r>
      <w:r w:rsidR="00B70ABC" w:rsidRPr="00737872">
        <w:rPr>
          <w:rFonts w:ascii="Times New Roman" w:hAnsi="Times New Roman" w:cs="Times New Roman"/>
          <w:sz w:val="20"/>
          <w:szCs w:val="20"/>
        </w:rPr>
        <w:t xml:space="preserve">atients were monitored weekly or more frequent if necessary for body weight, blood count, renal function tests. Acute/late </w:t>
      </w:r>
      <w:r w:rsidR="00131332" w:rsidRPr="00737872">
        <w:rPr>
          <w:rFonts w:ascii="Times New Roman" w:hAnsi="Times New Roman" w:cs="Times New Roman"/>
          <w:sz w:val="20"/>
          <w:szCs w:val="20"/>
        </w:rPr>
        <w:t>radiation toxicities</w:t>
      </w:r>
      <w:r w:rsidR="00B70ABC" w:rsidRPr="00737872">
        <w:rPr>
          <w:rFonts w:ascii="Times New Roman" w:hAnsi="Times New Roman" w:cs="Times New Roman"/>
          <w:sz w:val="20"/>
          <w:szCs w:val="20"/>
        </w:rPr>
        <w:t xml:space="preserve"> w</w:t>
      </w:r>
      <w:r w:rsidR="00131332" w:rsidRPr="00737872">
        <w:rPr>
          <w:rFonts w:ascii="Times New Roman" w:hAnsi="Times New Roman" w:cs="Times New Roman"/>
          <w:sz w:val="20"/>
          <w:szCs w:val="20"/>
        </w:rPr>
        <w:t>ere</w:t>
      </w:r>
      <w:r w:rsidR="00B70ABC" w:rsidRPr="00737872">
        <w:rPr>
          <w:rFonts w:ascii="Times New Roman" w:hAnsi="Times New Roman" w:cs="Times New Roman"/>
          <w:sz w:val="20"/>
          <w:szCs w:val="20"/>
        </w:rPr>
        <w:t xml:space="preserve"> graded according to RTOG/EORTC </w:t>
      </w:r>
      <w:r w:rsidR="00B70ABC" w:rsidRPr="00737872">
        <w:rPr>
          <w:rFonts w:ascii="Times New Roman" w:hAnsi="Times New Roman" w:cs="Times New Roman"/>
          <w:b/>
          <w:bCs/>
          <w:i/>
          <w:iCs/>
          <w:sz w:val="20"/>
          <w:szCs w:val="20"/>
        </w:rPr>
        <w:t>(8)</w:t>
      </w:r>
      <w:r w:rsidR="00B70ABC" w:rsidRPr="00737872">
        <w:rPr>
          <w:rFonts w:ascii="Times New Roman" w:hAnsi="Times New Roman" w:cs="Times New Roman"/>
          <w:sz w:val="20"/>
          <w:szCs w:val="20"/>
        </w:rPr>
        <w:t>. Acute toxicity scoring had been started from the 1</w:t>
      </w:r>
      <w:r w:rsidR="00B70ABC" w:rsidRPr="00737872">
        <w:rPr>
          <w:rFonts w:ascii="Times New Roman" w:hAnsi="Times New Roman" w:cs="Times New Roman"/>
          <w:sz w:val="20"/>
          <w:szCs w:val="20"/>
          <w:vertAlign w:val="superscript"/>
        </w:rPr>
        <w:t>st</w:t>
      </w:r>
      <w:r w:rsidR="00B70ABC" w:rsidRPr="00737872">
        <w:rPr>
          <w:rFonts w:ascii="Times New Roman" w:hAnsi="Times New Roman" w:cs="Times New Roman"/>
          <w:sz w:val="20"/>
          <w:szCs w:val="20"/>
        </w:rPr>
        <w:t xml:space="preserve"> day of radiotherapy and continued till the day 90. A late toxic effect is considered if it occurred after 90 days of starting of radiotherapy.</w:t>
      </w:r>
      <w:r w:rsidR="00F76000" w:rsidRPr="00737872">
        <w:rPr>
          <w:rFonts w:ascii="Times New Roman" w:hAnsi="Times New Roman" w:cs="Times New Roman"/>
          <w:sz w:val="20"/>
          <w:szCs w:val="20"/>
          <w:lang w:eastAsia="zh-CN"/>
        </w:rPr>
        <w:t xml:space="preserve"> </w:t>
      </w:r>
      <w:r w:rsidR="00B70ABC" w:rsidRPr="00737872">
        <w:rPr>
          <w:rFonts w:ascii="Times New Roman" w:hAnsi="Times New Roman" w:cs="Times New Roman"/>
          <w:sz w:val="20"/>
          <w:szCs w:val="20"/>
        </w:rPr>
        <w:t xml:space="preserve">Chemotherapy related toxicity was scored using the common toxicity criteria for adverse events, version 5 </w:t>
      </w:r>
      <w:r w:rsidR="00B70ABC" w:rsidRPr="00737872">
        <w:rPr>
          <w:rFonts w:ascii="Times New Roman" w:hAnsi="Times New Roman" w:cs="Times New Roman"/>
          <w:b/>
          <w:bCs/>
          <w:i/>
          <w:iCs/>
          <w:sz w:val="20"/>
          <w:szCs w:val="20"/>
        </w:rPr>
        <w:t>(9)</w:t>
      </w:r>
      <w:r w:rsidR="00B70ABC" w:rsidRPr="00737872">
        <w:rPr>
          <w:rFonts w:ascii="Times New Roman" w:hAnsi="Times New Roman" w:cs="Times New Roman"/>
          <w:sz w:val="20"/>
          <w:szCs w:val="20"/>
        </w:rPr>
        <w:t xml:space="preserve">. At 4 weeks after completion of CCRT, </w:t>
      </w:r>
      <w:r w:rsidRPr="00737872">
        <w:rPr>
          <w:rFonts w:ascii="Times New Roman" w:hAnsi="Times New Roman" w:cs="Times New Roman"/>
          <w:sz w:val="20"/>
          <w:szCs w:val="20"/>
        </w:rPr>
        <w:t>tumor response was evaluated according to</w:t>
      </w:r>
      <w:r w:rsidR="00F76000" w:rsidRPr="00737872">
        <w:rPr>
          <w:rFonts w:ascii="Times New Roman" w:hAnsi="Times New Roman" w:cs="Times New Roman"/>
          <w:sz w:val="20"/>
          <w:szCs w:val="20"/>
          <w:lang w:eastAsia="zh-CN"/>
        </w:rPr>
        <w:t xml:space="preserve"> </w:t>
      </w:r>
      <w:r w:rsidRPr="00737872">
        <w:rPr>
          <w:rFonts w:ascii="Times New Roman" w:hAnsi="Times New Roman" w:cs="Times New Roman"/>
          <w:sz w:val="20"/>
          <w:szCs w:val="20"/>
        </w:rPr>
        <w:t>WHO criteri</w:t>
      </w:r>
      <w:r w:rsidR="00BF7D07" w:rsidRPr="00737872">
        <w:rPr>
          <w:rFonts w:ascii="Times New Roman" w:hAnsi="Times New Roman" w:cs="Times New Roman"/>
          <w:sz w:val="20"/>
          <w:szCs w:val="20"/>
        </w:rPr>
        <w:t xml:space="preserve">a </w:t>
      </w:r>
      <w:r w:rsidR="00BF7D07" w:rsidRPr="00737872">
        <w:rPr>
          <w:rFonts w:ascii="Times New Roman" w:hAnsi="Times New Roman" w:cs="Times New Roman"/>
          <w:b/>
          <w:bCs/>
          <w:i/>
          <w:iCs/>
          <w:sz w:val="20"/>
          <w:szCs w:val="20"/>
        </w:rPr>
        <w:t>(</w:t>
      </w:r>
      <w:r w:rsidRPr="00737872">
        <w:rPr>
          <w:rFonts w:ascii="Times New Roman" w:hAnsi="Times New Roman" w:cs="Times New Roman"/>
          <w:b/>
          <w:bCs/>
          <w:i/>
          <w:iCs/>
          <w:sz w:val="20"/>
          <w:szCs w:val="20"/>
        </w:rPr>
        <w:t>10)</w:t>
      </w:r>
      <w:r w:rsidRPr="00737872">
        <w:rPr>
          <w:rFonts w:ascii="Times New Roman" w:hAnsi="Times New Roman" w:cs="Times New Roman"/>
          <w:sz w:val="20"/>
          <w:szCs w:val="20"/>
        </w:rPr>
        <w:t>. It</w:t>
      </w:r>
      <w:r w:rsidR="00B70ABC" w:rsidRPr="00737872">
        <w:rPr>
          <w:rFonts w:ascii="Times New Roman" w:hAnsi="Times New Roman" w:cs="Times New Roman"/>
          <w:sz w:val="20"/>
          <w:szCs w:val="20"/>
        </w:rPr>
        <w:t xml:space="preserve"> was assessed by using endoscopy and head and neck MRI or CT with contrast as well as a biopsy of any suspicions lesion. Patients were followed-up every 2-3 months for the first 2 years. Chest radiographs were taken every 6 months, whereas CT, MRI, bone scanning, or other investigations were performed when clinical suspicions of recurrence were identified Then follow up with three months interval to detect any recurrence or distant metastasis.</w:t>
      </w:r>
    </w:p>
    <w:p w:rsidR="00C91307" w:rsidRPr="00737872" w:rsidRDefault="00C91307" w:rsidP="00737872">
      <w:pPr>
        <w:tabs>
          <w:tab w:val="right" w:pos="567"/>
        </w:tabs>
        <w:autoSpaceDE w:val="0"/>
        <w:autoSpaceDN w:val="0"/>
        <w:bidi w:val="0"/>
        <w:adjustRightInd w:val="0"/>
        <w:snapToGrid w:val="0"/>
        <w:spacing w:after="0" w:line="240" w:lineRule="auto"/>
        <w:jc w:val="both"/>
        <w:rPr>
          <w:rFonts w:ascii="Times New Roman" w:hAnsi="Times New Roman" w:cs="Times New Roman"/>
          <w:b/>
          <w:bCs/>
          <w:i/>
          <w:iCs/>
          <w:sz w:val="20"/>
          <w:szCs w:val="20"/>
        </w:rPr>
      </w:pPr>
      <w:r w:rsidRPr="00737872">
        <w:rPr>
          <w:rFonts w:ascii="Times New Roman" w:hAnsi="Times New Roman" w:cs="Times New Roman"/>
          <w:b/>
          <w:bCs/>
          <w:i/>
          <w:iCs/>
          <w:sz w:val="20"/>
          <w:szCs w:val="20"/>
        </w:rPr>
        <w:t>Quality of life assessment:</w:t>
      </w:r>
    </w:p>
    <w:p w:rsidR="00B70ABC" w:rsidRPr="00737872" w:rsidRDefault="00B70ABC" w:rsidP="00737872">
      <w:pPr>
        <w:tabs>
          <w:tab w:val="right" w:pos="567"/>
        </w:tabs>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37872">
        <w:rPr>
          <w:rFonts w:ascii="Times New Roman" w:hAnsi="Times New Roman" w:cs="Times New Roman"/>
          <w:sz w:val="20"/>
          <w:szCs w:val="20"/>
        </w:rPr>
        <w:t>The QLQ-Head and Neck 35 (QLQ-H</w:t>
      </w:r>
      <w:r w:rsidR="00BF7D07" w:rsidRPr="00737872">
        <w:rPr>
          <w:rFonts w:ascii="Times New Roman" w:hAnsi="Times New Roman" w:cs="Times New Roman"/>
          <w:sz w:val="20"/>
          <w:szCs w:val="20"/>
        </w:rPr>
        <w:t xml:space="preserve"> &amp; </w:t>
      </w:r>
      <w:r w:rsidRPr="00737872">
        <w:rPr>
          <w:rFonts w:ascii="Times New Roman" w:hAnsi="Times New Roman" w:cs="Times New Roman"/>
          <w:sz w:val="20"/>
          <w:szCs w:val="20"/>
        </w:rPr>
        <w:t>N35) module is a head and neck cancer-specific module with 35 questions and comprises 7 multi-item symptom scales—pain, problems with swallowing, sense, speech, social eating, social contact, and reduced sexuality—and 11 single-item symptom scales—problems with teeth, opening the mouth, dry mouth, sticky saliva, coughing, feeling ill, requirement for analgesics, nutritional supplements, use of a feeding tube, weight loss, and weight gain. In the questionnaire, items 1 to 30 are scored on four-point categorical scales (‘‘not at all,’’ ‘‘a little,’’ ‘‘quite a bit,’’ ‘‘very much’’). Items 31 to 35 have a ‘‘no/yes’’ response format. The scores are transformed into 0-to-100 scales, with a high values on the global and functional scores represent better functioning, whereas increases in the symptom scales indicate the presence of symptoms or problems</w:t>
      </w:r>
      <w:r w:rsidRPr="00737872">
        <w:rPr>
          <w:rFonts w:ascii="Times New Roman" w:hAnsi="Times New Roman" w:cs="Times New Roman"/>
          <w:b/>
          <w:bCs/>
          <w:i/>
          <w:iCs/>
          <w:sz w:val="20"/>
          <w:szCs w:val="20"/>
        </w:rPr>
        <w:t xml:space="preserve"> (</w:t>
      </w:r>
      <w:r w:rsidR="00131332" w:rsidRPr="00737872">
        <w:rPr>
          <w:rStyle w:val="element-citation"/>
          <w:rFonts w:ascii="Times New Roman" w:hAnsi="Times New Roman" w:cs="Times New Roman"/>
          <w:b/>
          <w:bCs/>
          <w:i/>
          <w:iCs/>
          <w:sz w:val="20"/>
          <w:szCs w:val="20"/>
          <w:lang w:val="fr-FR"/>
        </w:rPr>
        <w:t>11</w:t>
      </w:r>
      <w:r w:rsidRPr="00737872">
        <w:rPr>
          <w:rStyle w:val="element-citation"/>
          <w:rFonts w:ascii="Times New Roman" w:hAnsi="Times New Roman" w:cs="Times New Roman"/>
          <w:b/>
          <w:bCs/>
          <w:i/>
          <w:iCs/>
          <w:sz w:val="20"/>
          <w:szCs w:val="20"/>
          <w:lang w:val="fr-FR"/>
        </w:rPr>
        <w:t>)</w:t>
      </w:r>
      <w:r w:rsidR="00131332" w:rsidRPr="00737872">
        <w:rPr>
          <w:rStyle w:val="element-citation"/>
          <w:rFonts w:ascii="Times New Roman" w:hAnsi="Times New Roman" w:cs="Times New Roman"/>
          <w:b/>
          <w:bCs/>
          <w:i/>
          <w:iCs/>
          <w:sz w:val="20"/>
          <w:szCs w:val="20"/>
          <w:lang w:val="fr-FR"/>
        </w:rPr>
        <w:t xml:space="preserve">. </w:t>
      </w:r>
      <w:r w:rsidRPr="00737872">
        <w:rPr>
          <w:rFonts w:ascii="Times New Roman" w:hAnsi="Times New Roman" w:cs="Times New Roman"/>
          <w:sz w:val="20"/>
          <w:szCs w:val="20"/>
        </w:rPr>
        <w:t>Quality of life was assessed before starting RT, during radiotherapy (4</w:t>
      </w:r>
      <w:r w:rsidRPr="00737872">
        <w:rPr>
          <w:rFonts w:ascii="Times New Roman" w:hAnsi="Times New Roman" w:cs="Times New Roman"/>
          <w:sz w:val="20"/>
          <w:szCs w:val="20"/>
          <w:vertAlign w:val="superscript"/>
        </w:rPr>
        <w:t>th</w:t>
      </w:r>
      <w:r w:rsidRPr="00737872">
        <w:rPr>
          <w:rFonts w:ascii="Times New Roman" w:hAnsi="Times New Roman" w:cs="Times New Roman"/>
          <w:sz w:val="20"/>
          <w:szCs w:val="20"/>
        </w:rPr>
        <w:t xml:space="preserve"> or 5</w:t>
      </w:r>
      <w:r w:rsidRPr="00737872">
        <w:rPr>
          <w:rFonts w:ascii="Times New Roman" w:hAnsi="Times New Roman" w:cs="Times New Roman"/>
          <w:sz w:val="20"/>
          <w:szCs w:val="20"/>
          <w:vertAlign w:val="superscript"/>
        </w:rPr>
        <w:t>th</w:t>
      </w:r>
      <w:r w:rsidRPr="00737872">
        <w:rPr>
          <w:rFonts w:ascii="Times New Roman" w:hAnsi="Times New Roman" w:cs="Times New Roman"/>
          <w:sz w:val="20"/>
          <w:szCs w:val="20"/>
        </w:rPr>
        <w:t xml:space="preserve"> week) and then at one year.</w:t>
      </w:r>
      <w:r w:rsidR="00F76000" w:rsidRPr="00737872">
        <w:rPr>
          <w:rFonts w:ascii="Times New Roman" w:hAnsi="Times New Roman" w:cs="Times New Roman"/>
          <w:sz w:val="20"/>
          <w:szCs w:val="20"/>
          <w:lang w:eastAsia="zh-CN"/>
        </w:rPr>
        <w:t xml:space="preserve"> </w:t>
      </w:r>
      <w:r w:rsidRPr="00737872">
        <w:rPr>
          <w:rFonts w:ascii="Times New Roman" w:hAnsi="Times New Roman" w:cs="Times New Roman"/>
          <w:sz w:val="20"/>
          <w:szCs w:val="20"/>
        </w:rPr>
        <w:t xml:space="preserve">Overall survival (OS) was defined as the time from diagnosis to death from any cause. Progression free survival (PFS) was defined as the time from diagnosis to any type of recurrence or metastasis or death from any cause. </w:t>
      </w:r>
      <w:proofErr w:type="spellStart"/>
      <w:r w:rsidRPr="00737872">
        <w:rPr>
          <w:rFonts w:ascii="Times New Roman" w:hAnsi="Times New Roman" w:cs="Times New Roman"/>
          <w:sz w:val="20"/>
          <w:szCs w:val="20"/>
        </w:rPr>
        <w:t>Locoregional</w:t>
      </w:r>
      <w:proofErr w:type="spellEnd"/>
      <w:r w:rsidRPr="00737872">
        <w:rPr>
          <w:rFonts w:ascii="Times New Roman" w:hAnsi="Times New Roman" w:cs="Times New Roman"/>
          <w:sz w:val="20"/>
          <w:szCs w:val="20"/>
        </w:rPr>
        <w:t xml:space="preserve"> recurrence was defined as recurrence at the primary site or nodal sites.</w:t>
      </w:r>
    </w:p>
    <w:p w:rsidR="00B70ABC" w:rsidRPr="00737872" w:rsidRDefault="00B70ABC" w:rsidP="00737872">
      <w:pPr>
        <w:pStyle w:val="NormalWeb"/>
        <w:tabs>
          <w:tab w:val="right" w:pos="284"/>
        </w:tabs>
        <w:snapToGrid w:val="0"/>
        <w:spacing w:before="0" w:beforeAutospacing="0" w:after="0" w:afterAutospacing="0"/>
        <w:jc w:val="both"/>
        <w:rPr>
          <w:b/>
          <w:bCs/>
          <w:sz w:val="20"/>
          <w:szCs w:val="20"/>
        </w:rPr>
      </w:pPr>
      <w:r w:rsidRPr="00737872">
        <w:rPr>
          <w:b/>
          <w:bCs/>
          <w:sz w:val="20"/>
          <w:szCs w:val="20"/>
        </w:rPr>
        <w:t>Statistical methods:</w:t>
      </w:r>
    </w:p>
    <w:p w:rsidR="00B70ABC" w:rsidRPr="00737872" w:rsidRDefault="00B70ABC" w:rsidP="00737872">
      <w:pPr>
        <w:pStyle w:val="Heading1"/>
        <w:keepNext w:val="0"/>
        <w:snapToGrid w:val="0"/>
        <w:ind w:firstLine="425"/>
        <w:jc w:val="both"/>
        <w:rPr>
          <w:sz w:val="20"/>
          <w:szCs w:val="20"/>
        </w:rPr>
      </w:pPr>
      <w:r w:rsidRPr="00737872">
        <w:rPr>
          <w:sz w:val="20"/>
          <w:szCs w:val="20"/>
        </w:rPr>
        <w:t xml:space="preserve">Statistical presentation and analysis of the present study was conducted, using the mean, standard deviation, Standard student "t test” </w:t>
      </w:r>
      <w:r w:rsidRPr="00737872">
        <w:rPr>
          <w:sz w:val="20"/>
          <w:szCs w:val="20"/>
          <w:lang w:bidi="ar-EG"/>
        </w:rPr>
        <w:t xml:space="preserve">and </w:t>
      </w:r>
      <w:r w:rsidRPr="00737872">
        <w:rPr>
          <w:sz w:val="20"/>
          <w:szCs w:val="20"/>
        </w:rPr>
        <w:t>Chi-square test by SPSS</w:t>
      </w:r>
      <w:r w:rsidR="00131332" w:rsidRPr="00737872">
        <w:rPr>
          <w:sz w:val="20"/>
          <w:szCs w:val="20"/>
        </w:rPr>
        <w:t xml:space="preserve"> V.20</w:t>
      </w:r>
      <w:r w:rsidR="00737872" w:rsidRPr="00737872">
        <w:rPr>
          <w:b/>
          <w:bCs/>
          <w:sz w:val="20"/>
          <w:szCs w:val="20"/>
        </w:rPr>
        <w:t>.</w:t>
      </w:r>
      <w:r w:rsidR="00737872">
        <w:rPr>
          <w:b/>
          <w:bCs/>
          <w:sz w:val="20"/>
          <w:szCs w:val="20"/>
        </w:rPr>
        <w:t xml:space="preserve"> </w:t>
      </w:r>
      <w:r w:rsidR="00737872" w:rsidRPr="00737872">
        <w:rPr>
          <w:sz w:val="20"/>
          <w:szCs w:val="20"/>
        </w:rPr>
        <w:t>K</w:t>
      </w:r>
      <w:r w:rsidRPr="00737872">
        <w:rPr>
          <w:sz w:val="20"/>
          <w:szCs w:val="20"/>
        </w:rPr>
        <w:t xml:space="preserve">aplan, Meier </w:t>
      </w:r>
      <w:r w:rsidR="0040422D" w:rsidRPr="00737872">
        <w:rPr>
          <w:sz w:val="20"/>
          <w:szCs w:val="20"/>
        </w:rPr>
        <w:t>method e</w:t>
      </w:r>
      <w:r w:rsidRPr="00737872">
        <w:rPr>
          <w:sz w:val="20"/>
          <w:szCs w:val="20"/>
        </w:rPr>
        <w:t xml:space="preserve">stimated overall survival, </w:t>
      </w:r>
      <w:proofErr w:type="spellStart"/>
      <w:r w:rsidRPr="00737872">
        <w:rPr>
          <w:sz w:val="20"/>
          <w:szCs w:val="20"/>
        </w:rPr>
        <w:t>locoregional</w:t>
      </w:r>
      <w:proofErr w:type="spellEnd"/>
      <w:r w:rsidR="00F76000" w:rsidRPr="00737872">
        <w:rPr>
          <w:rFonts w:eastAsiaTheme="minorEastAsia"/>
          <w:sz w:val="20"/>
          <w:szCs w:val="20"/>
          <w:lang w:eastAsia="zh-CN"/>
        </w:rPr>
        <w:t xml:space="preserve"> </w:t>
      </w:r>
      <w:r w:rsidR="001212AA" w:rsidRPr="00737872">
        <w:rPr>
          <w:sz w:val="20"/>
          <w:szCs w:val="20"/>
        </w:rPr>
        <w:t xml:space="preserve">progression </w:t>
      </w:r>
      <w:r w:rsidRPr="00737872">
        <w:rPr>
          <w:sz w:val="20"/>
          <w:szCs w:val="20"/>
        </w:rPr>
        <w:t xml:space="preserve">free </w:t>
      </w:r>
      <w:r w:rsidR="001212AA" w:rsidRPr="00737872">
        <w:rPr>
          <w:sz w:val="20"/>
          <w:szCs w:val="20"/>
        </w:rPr>
        <w:t>rate</w:t>
      </w:r>
      <w:r w:rsidRPr="00737872">
        <w:rPr>
          <w:sz w:val="20"/>
          <w:szCs w:val="20"/>
        </w:rPr>
        <w:t xml:space="preserve"> and distant metastasis</w:t>
      </w:r>
      <w:r w:rsidR="001212AA" w:rsidRPr="00737872">
        <w:rPr>
          <w:sz w:val="20"/>
          <w:szCs w:val="20"/>
        </w:rPr>
        <w:t xml:space="preserve"> progression free rate</w:t>
      </w:r>
      <w:r w:rsidR="0040422D" w:rsidRPr="00737872">
        <w:rPr>
          <w:sz w:val="20"/>
          <w:szCs w:val="20"/>
        </w:rPr>
        <w:t xml:space="preserve"> at 2 years </w:t>
      </w:r>
      <w:r w:rsidR="00131332" w:rsidRPr="00737872">
        <w:rPr>
          <w:b/>
          <w:bCs/>
          <w:i/>
          <w:iCs/>
          <w:sz w:val="20"/>
          <w:szCs w:val="20"/>
        </w:rPr>
        <w:t>(12)</w:t>
      </w:r>
      <w:r w:rsidR="00131332" w:rsidRPr="00737872">
        <w:rPr>
          <w:sz w:val="20"/>
          <w:szCs w:val="20"/>
        </w:rPr>
        <w:t>.</w:t>
      </w:r>
      <w:r w:rsidR="00F76000" w:rsidRPr="00737872">
        <w:rPr>
          <w:rFonts w:eastAsiaTheme="minorEastAsia"/>
          <w:sz w:val="20"/>
          <w:szCs w:val="20"/>
          <w:lang w:eastAsia="zh-CN"/>
        </w:rPr>
        <w:t xml:space="preserve"> </w:t>
      </w:r>
      <w:proofErr w:type="spellStart"/>
      <w:r w:rsidR="001212AA" w:rsidRPr="00737872">
        <w:rPr>
          <w:sz w:val="20"/>
          <w:szCs w:val="20"/>
        </w:rPr>
        <w:lastRenderedPageBreak/>
        <w:t>Univariate</w:t>
      </w:r>
      <w:proofErr w:type="spellEnd"/>
      <w:r w:rsidR="001212AA" w:rsidRPr="00737872">
        <w:rPr>
          <w:sz w:val="20"/>
          <w:szCs w:val="20"/>
        </w:rPr>
        <w:t xml:space="preserve"> and multivariate analysis of prognostic factors were performed using the</w:t>
      </w:r>
      <w:r w:rsidRPr="00737872">
        <w:rPr>
          <w:sz w:val="20"/>
          <w:szCs w:val="20"/>
        </w:rPr>
        <w:t xml:space="preserve"> Cox model and Log rank test with p value ≤ 0.05 considered significant.</w:t>
      </w:r>
    </w:p>
    <w:p w:rsidR="006B757F" w:rsidRPr="00737872" w:rsidRDefault="006B757F" w:rsidP="00737872">
      <w:pPr>
        <w:bidi w:val="0"/>
        <w:snapToGrid w:val="0"/>
        <w:spacing w:after="0" w:line="240" w:lineRule="auto"/>
        <w:jc w:val="both"/>
        <w:rPr>
          <w:rFonts w:ascii="Times New Roman" w:hAnsi="Times New Roman" w:cs="Times New Roman"/>
          <w:b/>
          <w:bCs/>
          <w:sz w:val="20"/>
          <w:szCs w:val="20"/>
          <w:lang w:eastAsia="ar-SA"/>
        </w:rPr>
      </w:pPr>
    </w:p>
    <w:p w:rsidR="001E52B7" w:rsidRPr="00737872" w:rsidRDefault="006B757F" w:rsidP="00737872">
      <w:pPr>
        <w:bidi w:val="0"/>
        <w:snapToGrid w:val="0"/>
        <w:spacing w:after="0" w:line="240" w:lineRule="auto"/>
        <w:jc w:val="both"/>
        <w:rPr>
          <w:rFonts w:ascii="Times New Roman" w:hAnsi="Times New Roman" w:cs="Times New Roman"/>
          <w:b/>
          <w:bCs/>
          <w:sz w:val="20"/>
          <w:szCs w:val="20"/>
          <w:lang w:eastAsia="ar-SA"/>
        </w:rPr>
      </w:pPr>
      <w:r w:rsidRPr="00737872">
        <w:rPr>
          <w:rFonts w:ascii="Times New Roman" w:hAnsi="Times New Roman" w:cs="Times New Roman"/>
          <w:b/>
          <w:bCs/>
          <w:sz w:val="20"/>
          <w:szCs w:val="20"/>
          <w:lang w:eastAsia="ar-SA"/>
        </w:rPr>
        <w:t xml:space="preserve">3. </w:t>
      </w:r>
      <w:r w:rsidR="001E52B7" w:rsidRPr="00737872">
        <w:rPr>
          <w:rFonts w:ascii="Times New Roman" w:hAnsi="Times New Roman" w:cs="Times New Roman"/>
          <w:b/>
          <w:bCs/>
          <w:sz w:val="20"/>
          <w:szCs w:val="20"/>
          <w:lang w:eastAsia="ar-SA"/>
        </w:rPr>
        <w:t>Results</w:t>
      </w:r>
    </w:p>
    <w:p w:rsidR="00C91307" w:rsidRPr="00737872" w:rsidRDefault="00C91307" w:rsidP="00737872">
      <w:pPr>
        <w:bidi w:val="0"/>
        <w:snapToGrid w:val="0"/>
        <w:spacing w:after="0" w:line="240" w:lineRule="auto"/>
        <w:jc w:val="both"/>
        <w:rPr>
          <w:rFonts w:ascii="Times New Roman" w:hAnsi="Times New Roman" w:cs="Times New Roman"/>
          <w:b/>
          <w:bCs/>
          <w:i/>
          <w:iCs/>
          <w:sz w:val="20"/>
          <w:szCs w:val="20"/>
          <w:lang w:eastAsia="ar-SA"/>
        </w:rPr>
      </w:pPr>
      <w:r w:rsidRPr="00737872">
        <w:rPr>
          <w:rFonts w:ascii="Times New Roman" w:hAnsi="Times New Roman" w:cs="Times New Roman"/>
          <w:b/>
          <w:bCs/>
          <w:i/>
          <w:iCs/>
          <w:sz w:val="20"/>
          <w:szCs w:val="20"/>
          <w:lang w:eastAsia="ar-SA"/>
        </w:rPr>
        <w:t>Patients 'characteristics:</w:t>
      </w:r>
    </w:p>
    <w:p w:rsidR="00C91307" w:rsidRPr="00737872" w:rsidRDefault="00C91307" w:rsidP="00737872">
      <w:pPr>
        <w:bidi w:val="0"/>
        <w:snapToGrid w:val="0"/>
        <w:spacing w:after="0" w:line="240" w:lineRule="auto"/>
        <w:ind w:firstLine="425"/>
        <w:jc w:val="both"/>
        <w:rPr>
          <w:rFonts w:ascii="Times New Roman" w:hAnsi="Times New Roman" w:cs="Times New Roman"/>
          <w:sz w:val="20"/>
          <w:szCs w:val="20"/>
          <w:lang w:bidi="ar-EG"/>
        </w:rPr>
      </w:pPr>
      <w:r w:rsidRPr="00737872">
        <w:rPr>
          <w:rFonts w:ascii="Times New Roman" w:hAnsi="Times New Roman" w:cs="Times New Roman"/>
          <w:sz w:val="20"/>
          <w:szCs w:val="20"/>
          <w:lang w:eastAsia="ar-SA"/>
        </w:rPr>
        <w:t>Of the 30 patients in our study, 18 were males, 12 were females. Mean age was 33 year</w:t>
      </w:r>
      <w:r w:rsidR="00BF7D07" w:rsidRPr="00737872">
        <w:rPr>
          <w:rFonts w:ascii="Times New Roman" w:hAnsi="Times New Roman" w:cs="Times New Roman"/>
          <w:sz w:val="20"/>
          <w:szCs w:val="20"/>
          <w:lang w:eastAsia="ar-SA"/>
        </w:rPr>
        <w:t>s (</w:t>
      </w:r>
      <w:r w:rsidRPr="00737872">
        <w:rPr>
          <w:rFonts w:ascii="Times New Roman" w:hAnsi="Times New Roman" w:cs="Times New Roman"/>
          <w:sz w:val="20"/>
          <w:szCs w:val="20"/>
          <w:lang w:eastAsia="ar-SA"/>
        </w:rPr>
        <w:t>range 20-</w:t>
      </w:r>
      <w:r w:rsidRPr="00737872">
        <w:rPr>
          <w:rFonts w:ascii="Times New Roman" w:hAnsi="Times New Roman" w:cs="Times New Roman"/>
          <w:sz w:val="20"/>
          <w:szCs w:val="20"/>
          <w:lang w:eastAsia="ar-SA"/>
        </w:rPr>
        <w:lastRenderedPageBreak/>
        <w:t>46)</w:t>
      </w:r>
      <w:r w:rsidR="00737872" w:rsidRPr="00737872">
        <w:rPr>
          <w:rFonts w:ascii="Times New Roman" w:hAnsi="Times New Roman" w:cs="Times New Roman"/>
          <w:sz w:val="20"/>
          <w:szCs w:val="20"/>
          <w:lang w:eastAsia="ar-SA"/>
        </w:rPr>
        <w:t>.</w:t>
      </w:r>
      <w:r w:rsidR="00737872">
        <w:rPr>
          <w:rFonts w:ascii="Times New Roman" w:hAnsi="Times New Roman" w:cs="Times New Roman"/>
          <w:sz w:val="20"/>
          <w:szCs w:val="20"/>
          <w:lang w:eastAsia="ar-SA"/>
        </w:rPr>
        <w:t xml:space="preserve"> </w:t>
      </w:r>
      <w:r w:rsidR="00737872" w:rsidRPr="00737872">
        <w:rPr>
          <w:rFonts w:ascii="Times New Roman" w:hAnsi="Times New Roman" w:cs="Times New Roman"/>
          <w:sz w:val="20"/>
          <w:szCs w:val="20"/>
          <w:lang w:eastAsia="ar-SA"/>
        </w:rPr>
        <w:t>T</w:t>
      </w:r>
      <w:r w:rsidRPr="00737872">
        <w:rPr>
          <w:rFonts w:ascii="Times New Roman" w:hAnsi="Times New Roman" w:cs="Times New Roman"/>
          <w:sz w:val="20"/>
          <w:szCs w:val="20"/>
          <w:lang w:eastAsia="ar-SA"/>
        </w:rPr>
        <w:t>he histology was</w:t>
      </w:r>
      <w:r w:rsidR="00F76000" w:rsidRPr="00737872">
        <w:rPr>
          <w:rFonts w:ascii="Times New Roman" w:hAnsi="Times New Roman" w:cs="Times New Roman"/>
          <w:sz w:val="20"/>
          <w:szCs w:val="20"/>
          <w:lang w:eastAsia="zh-CN"/>
        </w:rPr>
        <w:t xml:space="preserve"> </w:t>
      </w:r>
      <w:r w:rsidR="00176A31" w:rsidRPr="00737872">
        <w:rPr>
          <w:rFonts w:ascii="Times New Roman" w:hAnsi="Times New Roman" w:cs="Times New Roman"/>
          <w:sz w:val="20"/>
          <w:szCs w:val="20"/>
          <w:lang w:bidi="ar-EG"/>
        </w:rPr>
        <w:t>m</w:t>
      </w:r>
      <w:r w:rsidRPr="00737872">
        <w:rPr>
          <w:rFonts w:ascii="Times New Roman" w:hAnsi="Times New Roman" w:cs="Times New Roman"/>
          <w:sz w:val="20"/>
          <w:szCs w:val="20"/>
          <w:lang w:bidi="ar-EG"/>
        </w:rPr>
        <w:t>oderately differentiated non keratinizing (WHO II)</w:t>
      </w:r>
      <w:r w:rsidR="00176A31" w:rsidRPr="00737872">
        <w:rPr>
          <w:rFonts w:ascii="Times New Roman" w:hAnsi="Times New Roman" w:cs="Times New Roman"/>
          <w:sz w:val="20"/>
          <w:szCs w:val="20"/>
          <w:lang w:bidi="ar-EG"/>
        </w:rPr>
        <w:t xml:space="preserve"> in 14 and Undifferentiated non </w:t>
      </w:r>
      <w:proofErr w:type="spellStart"/>
      <w:r w:rsidR="00176A31" w:rsidRPr="00737872">
        <w:rPr>
          <w:rFonts w:ascii="Times New Roman" w:hAnsi="Times New Roman" w:cs="Times New Roman"/>
          <w:sz w:val="20"/>
          <w:szCs w:val="20"/>
          <w:lang w:bidi="ar-EG"/>
        </w:rPr>
        <w:t>keratinizingcarcinoma</w:t>
      </w:r>
      <w:proofErr w:type="spellEnd"/>
      <w:r w:rsidR="00BF7D07" w:rsidRPr="00737872">
        <w:rPr>
          <w:rFonts w:ascii="Times New Roman" w:hAnsi="Times New Roman" w:cs="Times New Roman"/>
          <w:sz w:val="20"/>
          <w:szCs w:val="20"/>
          <w:lang w:bidi="ar-EG"/>
        </w:rPr>
        <w:t xml:space="preserve"> </w:t>
      </w:r>
      <w:r w:rsidR="00176A31" w:rsidRPr="00737872">
        <w:rPr>
          <w:rFonts w:ascii="Times New Roman" w:hAnsi="Times New Roman" w:cs="Times New Roman"/>
          <w:sz w:val="20"/>
          <w:szCs w:val="20"/>
          <w:lang w:bidi="ar-EG"/>
        </w:rPr>
        <w:t>(WHO III) in 16 patients.</w:t>
      </w:r>
      <w:r w:rsidR="00DE67CC" w:rsidRPr="00737872">
        <w:rPr>
          <w:rFonts w:ascii="Times New Roman" w:hAnsi="Times New Roman" w:cs="Times New Roman"/>
          <w:sz w:val="20"/>
          <w:szCs w:val="20"/>
          <w:lang w:bidi="ar-EG"/>
        </w:rPr>
        <w:t>13 patients were smokers and 17 patients were non</w:t>
      </w:r>
      <w:r w:rsidR="0040422D" w:rsidRPr="00737872">
        <w:rPr>
          <w:rFonts w:ascii="Times New Roman" w:hAnsi="Times New Roman" w:cs="Times New Roman"/>
          <w:sz w:val="20"/>
          <w:szCs w:val="20"/>
          <w:lang w:bidi="ar-EG"/>
        </w:rPr>
        <w:t>smokers. The</w:t>
      </w:r>
      <w:r w:rsidR="00DE67CC" w:rsidRPr="00737872">
        <w:rPr>
          <w:rFonts w:ascii="Times New Roman" w:hAnsi="Times New Roman" w:cs="Times New Roman"/>
          <w:sz w:val="20"/>
          <w:szCs w:val="20"/>
          <w:lang w:bidi="ar-EG"/>
        </w:rPr>
        <w:t xml:space="preserve"> overall stage was stage II in 3 (10%), III in 22 (73.3%) and IV in 5 (16.7%) patients according to AJCC7th edition</w:t>
      </w:r>
      <w:r w:rsidR="00BF7D07" w:rsidRPr="00737872">
        <w:rPr>
          <w:rFonts w:ascii="Times New Roman" w:hAnsi="Times New Roman" w:cs="Times New Roman"/>
          <w:sz w:val="20"/>
          <w:szCs w:val="20"/>
          <w:lang w:bidi="ar-EG"/>
        </w:rPr>
        <w:t xml:space="preserve">. </w:t>
      </w:r>
      <w:r w:rsidR="00BF7D07" w:rsidRPr="00737872">
        <w:rPr>
          <w:rFonts w:ascii="Times New Roman" w:hAnsi="Times New Roman" w:cs="Times New Roman"/>
          <w:b/>
          <w:bCs/>
          <w:i/>
          <w:iCs/>
          <w:sz w:val="20"/>
          <w:szCs w:val="20"/>
          <w:lang w:bidi="ar-EG"/>
        </w:rPr>
        <w:t>(</w:t>
      </w:r>
      <w:r w:rsidR="002C5448" w:rsidRPr="00737872">
        <w:rPr>
          <w:rFonts w:ascii="Times New Roman" w:hAnsi="Times New Roman" w:cs="Times New Roman"/>
          <w:b/>
          <w:bCs/>
          <w:i/>
          <w:iCs/>
          <w:sz w:val="20"/>
          <w:szCs w:val="20"/>
          <w:lang w:bidi="ar-EG"/>
        </w:rPr>
        <w:t>Table 1)</w:t>
      </w:r>
    </w:p>
    <w:p w:rsidR="00737872" w:rsidRDefault="00737872" w:rsidP="00737872">
      <w:pPr>
        <w:tabs>
          <w:tab w:val="right" w:pos="142"/>
        </w:tabs>
        <w:bidi w:val="0"/>
        <w:snapToGrid w:val="0"/>
        <w:spacing w:after="0" w:line="240" w:lineRule="auto"/>
        <w:jc w:val="center"/>
        <w:rPr>
          <w:rFonts w:ascii="Times New Roman" w:hAnsi="Times New Roman" w:cs="Times New Roman"/>
          <w:b/>
          <w:bCs/>
          <w:sz w:val="20"/>
          <w:szCs w:val="20"/>
        </w:rPr>
        <w:sectPr w:rsidR="00737872" w:rsidSect="00737872">
          <w:type w:val="continuous"/>
          <w:pgSz w:w="12242" w:h="15842" w:code="1"/>
          <w:pgMar w:top="1440" w:right="1440" w:bottom="1440" w:left="1440" w:header="720" w:footer="720" w:gutter="0"/>
          <w:cols w:num="2" w:space="550"/>
          <w:docGrid w:linePitch="360"/>
        </w:sectPr>
      </w:pPr>
    </w:p>
    <w:p w:rsidR="006B757F" w:rsidRPr="00737872" w:rsidRDefault="006B757F" w:rsidP="00737872">
      <w:pPr>
        <w:tabs>
          <w:tab w:val="right" w:pos="142"/>
        </w:tabs>
        <w:bidi w:val="0"/>
        <w:snapToGrid w:val="0"/>
        <w:spacing w:after="0" w:line="240" w:lineRule="auto"/>
        <w:jc w:val="center"/>
        <w:rPr>
          <w:rFonts w:ascii="Times New Roman" w:hAnsi="Times New Roman" w:cs="Times New Roman"/>
          <w:b/>
          <w:bCs/>
          <w:sz w:val="20"/>
          <w:szCs w:val="20"/>
        </w:rPr>
      </w:pPr>
    </w:p>
    <w:p w:rsidR="003856DC" w:rsidRPr="00737872" w:rsidRDefault="003856DC" w:rsidP="00737872">
      <w:pPr>
        <w:tabs>
          <w:tab w:val="right" w:pos="142"/>
        </w:tabs>
        <w:bidi w:val="0"/>
        <w:snapToGrid w:val="0"/>
        <w:spacing w:after="0" w:line="240" w:lineRule="auto"/>
        <w:jc w:val="center"/>
        <w:rPr>
          <w:rFonts w:ascii="Times New Roman" w:hAnsi="Times New Roman" w:cs="Times New Roman"/>
          <w:sz w:val="20"/>
          <w:szCs w:val="20"/>
          <w:lang w:bidi="ar-EG"/>
        </w:rPr>
      </w:pPr>
      <w:r w:rsidRPr="00737872">
        <w:rPr>
          <w:rFonts w:ascii="Times New Roman" w:hAnsi="Times New Roman" w:cs="Times New Roman"/>
          <w:b/>
          <w:bCs/>
          <w:sz w:val="20"/>
          <w:szCs w:val="20"/>
        </w:rPr>
        <w:t xml:space="preserve">Table (1): </w:t>
      </w:r>
      <w:r w:rsidRPr="00737872">
        <w:rPr>
          <w:rFonts w:ascii="Times New Roman" w:hAnsi="Times New Roman" w:cs="Times New Roman"/>
          <w:sz w:val="20"/>
          <w:szCs w:val="20"/>
        </w:rPr>
        <w:t>Distribution of Patient Demographic and Clinical Tumor Characteristics</w:t>
      </w:r>
    </w:p>
    <w:tbl>
      <w:tblPr>
        <w:tblStyle w:val="TableGrid"/>
        <w:tblW w:w="5000" w:type="pct"/>
        <w:jc w:val="center"/>
        <w:tblBorders>
          <w:top w:val="thinThickSmallGap" w:sz="24" w:space="0" w:color="auto"/>
          <w:left w:val="thinThickSmallGap" w:sz="24" w:space="0" w:color="auto"/>
          <w:bottom w:val="thickThinSmallGap" w:sz="24" w:space="0" w:color="auto"/>
          <w:right w:val="thickThinSmallGap" w:sz="24" w:space="0" w:color="auto"/>
        </w:tblBorders>
        <w:tblCellMar>
          <w:left w:w="57" w:type="dxa"/>
          <w:right w:w="57" w:type="dxa"/>
        </w:tblCellMar>
        <w:tblLook w:val="01E0"/>
      </w:tblPr>
      <w:tblGrid>
        <w:gridCol w:w="1073"/>
        <w:gridCol w:w="5655"/>
        <w:gridCol w:w="1109"/>
        <w:gridCol w:w="1639"/>
      </w:tblGrid>
      <w:tr w:rsidR="005B2B0D" w:rsidRPr="00737872" w:rsidTr="00BF7D07">
        <w:trPr>
          <w:jc w:val="center"/>
        </w:trPr>
        <w:tc>
          <w:tcPr>
            <w:tcW w:w="5000" w:type="pct"/>
            <w:gridSpan w:val="4"/>
            <w:tcBorders>
              <w:top w:val="single" w:sz="4" w:space="0" w:color="auto"/>
              <w:left w:val="single" w:sz="4" w:space="0" w:color="auto"/>
              <w:right w:val="single" w:sz="4" w:space="0" w:color="auto"/>
            </w:tcBorders>
            <w:vAlign w:val="center"/>
          </w:tcPr>
          <w:p w:rsidR="005B2B0D" w:rsidRPr="00737872" w:rsidRDefault="005B2B0D" w:rsidP="00737872">
            <w:pPr>
              <w:bidi w:val="0"/>
              <w:snapToGrid w:val="0"/>
              <w:jc w:val="both"/>
              <w:rPr>
                <w:b/>
                <w:bCs/>
                <w:szCs w:val="18"/>
                <w:lang w:bidi="ar-EG"/>
              </w:rPr>
            </w:pPr>
            <w:r w:rsidRPr="00737872">
              <w:rPr>
                <w:b/>
                <w:bCs/>
                <w:szCs w:val="18"/>
                <w:lang w:bidi="ar-EG"/>
              </w:rPr>
              <w:t xml:space="preserve">Patients (n = 30) </w:t>
            </w:r>
          </w:p>
        </w:tc>
      </w:tr>
      <w:tr w:rsidR="00C91307" w:rsidRPr="00737872" w:rsidTr="00BF7D07">
        <w:trPr>
          <w:jc w:val="center"/>
        </w:trPr>
        <w:tc>
          <w:tcPr>
            <w:tcW w:w="566" w:type="pct"/>
            <w:tcBorders>
              <w:left w:val="single" w:sz="4" w:space="0" w:color="auto"/>
            </w:tcBorders>
            <w:vAlign w:val="center"/>
          </w:tcPr>
          <w:p w:rsidR="005B2B0D" w:rsidRPr="00737872" w:rsidRDefault="005B2B0D" w:rsidP="00737872">
            <w:pPr>
              <w:bidi w:val="0"/>
              <w:snapToGrid w:val="0"/>
              <w:jc w:val="both"/>
              <w:rPr>
                <w:b/>
                <w:bCs/>
                <w:szCs w:val="18"/>
                <w:lang w:bidi="ar-EG"/>
              </w:rPr>
            </w:pPr>
            <w:r w:rsidRPr="00737872">
              <w:rPr>
                <w:b/>
                <w:bCs/>
                <w:szCs w:val="18"/>
                <w:lang w:bidi="ar-EG"/>
              </w:rPr>
              <w:t>Age</w:t>
            </w:r>
          </w:p>
        </w:tc>
        <w:tc>
          <w:tcPr>
            <w:tcW w:w="2984" w:type="pct"/>
            <w:vAlign w:val="center"/>
          </w:tcPr>
          <w:p w:rsidR="005B2B0D" w:rsidRPr="00737872" w:rsidRDefault="005B2B0D" w:rsidP="00737872">
            <w:pPr>
              <w:bidi w:val="0"/>
              <w:snapToGrid w:val="0"/>
              <w:jc w:val="both"/>
              <w:rPr>
                <w:szCs w:val="18"/>
                <w:lang w:bidi="ar-EG"/>
              </w:rPr>
            </w:pPr>
            <w:r w:rsidRPr="00737872">
              <w:rPr>
                <w:b/>
                <w:bCs/>
                <w:szCs w:val="18"/>
                <w:lang w:bidi="ar-EG"/>
              </w:rPr>
              <w:t>Range</w:t>
            </w:r>
            <w:r w:rsidRPr="00737872">
              <w:rPr>
                <w:szCs w:val="18"/>
                <w:lang w:bidi="ar-EG"/>
              </w:rPr>
              <w:t xml:space="preserve"> (</w:t>
            </w:r>
            <w:r w:rsidRPr="00737872">
              <w:rPr>
                <w:szCs w:val="18"/>
              </w:rPr>
              <w:t>20 – 46)</w:t>
            </w:r>
          </w:p>
        </w:tc>
        <w:tc>
          <w:tcPr>
            <w:tcW w:w="1450" w:type="pct"/>
            <w:gridSpan w:val="2"/>
            <w:tcBorders>
              <w:right w:val="single" w:sz="4" w:space="0" w:color="auto"/>
            </w:tcBorders>
            <w:vAlign w:val="center"/>
          </w:tcPr>
          <w:p w:rsidR="005B2B0D" w:rsidRPr="00737872" w:rsidRDefault="005B2B0D" w:rsidP="00737872">
            <w:pPr>
              <w:bidi w:val="0"/>
              <w:snapToGrid w:val="0"/>
              <w:jc w:val="both"/>
              <w:rPr>
                <w:szCs w:val="18"/>
                <w:lang w:bidi="ar-EG"/>
              </w:rPr>
            </w:pPr>
            <w:r w:rsidRPr="00737872">
              <w:rPr>
                <w:b/>
                <w:bCs/>
                <w:szCs w:val="18"/>
              </w:rPr>
              <w:t xml:space="preserve">Mean </w:t>
            </w:r>
            <w:r w:rsidRPr="00737872">
              <w:rPr>
                <w:szCs w:val="18"/>
              </w:rPr>
              <w:t xml:space="preserve">± </w:t>
            </w:r>
            <w:r w:rsidRPr="00737872">
              <w:rPr>
                <w:b/>
                <w:bCs/>
                <w:szCs w:val="18"/>
              </w:rPr>
              <w:t>S. D</w:t>
            </w:r>
            <w:r w:rsidRPr="00737872">
              <w:rPr>
                <w:szCs w:val="18"/>
              </w:rPr>
              <w:t xml:space="preserve"> 33.03 ± 9.01</w:t>
            </w:r>
          </w:p>
        </w:tc>
      </w:tr>
      <w:tr w:rsidR="00C91307" w:rsidRPr="00737872" w:rsidTr="00BF7D07">
        <w:trPr>
          <w:jc w:val="center"/>
        </w:trPr>
        <w:tc>
          <w:tcPr>
            <w:tcW w:w="3550" w:type="pct"/>
            <w:gridSpan w:val="2"/>
            <w:tcBorders>
              <w:left w:val="single" w:sz="4" w:space="0" w:color="auto"/>
            </w:tcBorders>
            <w:vAlign w:val="center"/>
          </w:tcPr>
          <w:p w:rsidR="005B2B0D" w:rsidRPr="00737872" w:rsidRDefault="005B2B0D" w:rsidP="00737872">
            <w:pPr>
              <w:bidi w:val="0"/>
              <w:snapToGrid w:val="0"/>
              <w:jc w:val="both"/>
              <w:rPr>
                <w:szCs w:val="18"/>
                <w:lang w:bidi="ar-EG"/>
              </w:rPr>
            </w:pPr>
            <w:r w:rsidRPr="00737872">
              <w:rPr>
                <w:b/>
                <w:bCs/>
                <w:szCs w:val="18"/>
                <w:lang w:bidi="ar-EG"/>
              </w:rPr>
              <w:t>Parameter</w:t>
            </w:r>
          </w:p>
        </w:tc>
        <w:tc>
          <w:tcPr>
            <w:tcW w:w="585" w:type="pct"/>
            <w:vAlign w:val="center"/>
          </w:tcPr>
          <w:p w:rsidR="005B2B0D" w:rsidRPr="00737872" w:rsidRDefault="005B2B0D" w:rsidP="00737872">
            <w:pPr>
              <w:bidi w:val="0"/>
              <w:snapToGrid w:val="0"/>
              <w:jc w:val="both"/>
              <w:rPr>
                <w:b/>
                <w:bCs/>
                <w:szCs w:val="18"/>
                <w:lang w:bidi="ar-EG"/>
              </w:rPr>
            </w:pPr>
            <w:r w:rsidRPr="00737872">
              <w:rPr>
                <w:b/>
                <w:bCs/>
                <w:szCs w:val="18"/>
                <w:lang w:bidi="ar-EG"/>
              </w:rPr>
              <w:t>N</w:t>
            </w:r>
          </w:p>
        </w:tc>
        <w:tc>
          <w:tcPr>
            <w:tcW w:w="865" w:type="pct"/>
            <w:tcBorders>
              <w:right w:val="single" w:sz="4" w:space="0" w:color="auto"/>
            </w:tcBorders>
            <w:vAlign w:val="center"/>
          </w:tcPr>
          <w:p w:rsidR="005B2B0D" w:rsidRPr="00737872" w:rsidRDefault="005B2B0D" w:rsidP="00737872">
            <w:pPr>
              <w:bidi w:val="0"/>
              <w:snapToGrid w:val="0"/>
              <w:jc w:val="both"/>
              <w:rPr>
                <w:szCs w:val="18"/>
                <w:lang w:bidi="ar-EG"/>
              </w:rPr>
            </w:pPr>
            <w:r w:rsidRPr="00737872">
              <w:rPr>
                <w:szCs w:val="18"/>
                <w:lang w:bidi="ar-EG"/>
              </w:rPr>
              <w:t>%</w:t>
            </w:r>
          </w:p>
        </w:tc>
      </w:tr>
      <w:tr w:rsidR="00C91307" w:rsidRPr="00737872" w:rsidTr="00BF7D07">
        <w:trPr>
          <w:jc w:val="center"/>
        </w:trPr>
        <w:tc>
          <w:tcPr>
            <w:tcW w:w="566" w:type="pct"/>
            <w:vMerge w:val="restart"/>
            <w:tcBorders>
              <w:left w:val="single" w:sz="4" w:space="0" w:color="auto"/>
            </w:tcBorders>
            <w:vAlign w:val="center"/>
          </w:tcPr>
          <w:p w:rsidR="005B2B0D" w:rsidRPr="00737872" w:rsidRDefault="005B2B0D" w:rsidP="00737872">
            <w:pPr>
              <w:bidi w:val="0"/>
              <w:snapToGrid w:val="0"/>
              <w:jc w:val="both"/>
              <w:rPr>
                <w:b/>
                <w:bCs/>
                <w:szCs w:val="18"/>
                <w:lang w:bidi="ar-EG"/>
              </w:rPr>
            </w:pPr>
            <w:r w:rsidRPr="00737872">
              <w:rPr>
                <w:b/>
                <w:bCs/>
                <w:szCs w:val="18"/>
                <w:lang w:bidi="ar-EG"/>
              </w:rPr>
              <w:t>Sex</w:t>
            </w:r>
          </w:p>
        </w:tc>
        <w:tc>
          <w:tcPr>
            <w:tcW w:w="2984" w:type="pct"/>
            <w:vAlign w:val="center"/>
          </w:tcPr>
          <w:p w:rsidR="005B2B0D" w:rsidRPr="00737872" w:rsidRDefault="005B2B0D" w:rsidP="00737872">
            <w:pPr>
              <w:bidi w:val="0"/>
              <w:snapToGrid w:val="0"/>
              <w:jc w:val="both"/>
              <w:rPr>
                <w:szCs w:val="18"/>
                <w:lang w:bidi="ar-EG"/>
              </w:rPr>
            </w:pPr>
            <w:r w:rsidRPr="00737872">
              <w:rPr>
                <w:szCs w:val="18"/>
                <w:lang w:bidi="ar-EG"/>
              </w:rPr>
              <w:t>Male</w:t>
            </w:r>
          </w:p>
        </w:tc>
        <w:tc>
          <w:tcPr>
            <w:tcW w:w="585" w:type="pct"/>
            <w:vAlign w:val="center"/>
          </w:tcPr>
          <w:p w:rsidR="005B2B0D" w:rsidRPr="00737872" w:rsidRDefault="005B2B0D" w:rsidP="00737872">
            <w:pPr>
              <w:bidi w:val="0"/>
              <w:snapToGrid w:val="0"/>
              <w:jc w:val="both"/>
              <w:rPr>
                <w:szCs w:val="18"/>
                <w:lang w:bidi="ar-EG"/>
              </w:rPr>
            </w:pPr>
            <w:r w:rsidRPr="00737872">
              <w:rPr>
                <w:szCs w:val="18"/>
                <w:lang w:bidi="ar-EG"/>
              </w:rPr>
              <w:t>18</w:t>
            </w:r>
          </w:p>
        </w:tc>
        <w:tc>
          <w:tcPr>
            <w:tcW w:w="865" w:type="pct"/>
            <w:tcBorders>
              <w:right w:val="single" w:sz="4" w:space="0" w:color="auto"/>
            </w:tcBorders>
            <w:vAlign w:val="center"/>
          </w:tcPr>
          <w:p w:rsidR="005B2B0D" w:rsidRPr="00737872" w:rsidRDefault="005B2B0D" w:rsidP="00737872">
            <w:pPr>
              <w:bidi w:val="0"/>
              <w:snapToGrid w:val="0"/>
              <w:jc w:val="both"/>
              <w:rPr>
                <w:szCs w:val="18"/>
                <w:lang w:bidi="ar-EG"/>
              </w:rPr>
            </w:pPr>
            <w:r w:rsidRPr="00737872">
              <w:rPr>
                <w:szCs w:val="18"/>
                <w:lang w:bidi="ar-EG"/>
              </w:rPr>
              <w:t>60</w:t>
            </w:r>
          </w:p>
        </w:tc>
      </w:tr>
      <w:tr w:rsidR="00C91307" w:rsidRPr="00737872" w:rsidTr="00BF7D07">
        <w:trPr>
          <w:jc w:val="center"/>
        </w:trPr>
        <w:tc>
          <w:tcPr>
            <w:tcW w:w="566" w:type="pct"/>
            <w:vMerge/>
            <w:tcBorders>
              <w:left w:val="single" w:sz="4" w:space="0" w:color="auto"/>
              <w:bottom w:val="double" w:sz="4" w:space="0" w:color="auto"/>
            </w:tcBorders>
            <w:vAlign w:val="center"/>
          </w:tcPr>
          <w:p w:rsidR="005B2B0D" w:rsidRPr="00737872" w:rsidRDefault="005B2B0D" w:rsidP="00737872">
            <w:pPr>
              <w:bidi w:val="0"/>
              <w:snapToGrid w:val="0"/>
              <w:jc w:val="both"/>
              <w:rPr>
                <w:b/>
                <w:bCs/>
                <w:szCs w:val="18"/>
                <w:lang w:bidi="ar-EG"/>
              </w:rPr>
            </w:pPr>
          </w:p>
        </w:tc>
        <w:tc>
          <w:tcPr>
            <w:tcW w:w="2984" w:type="pct"/>
            <w:tcBorders>
              <w:bottom w:val="double" w:sz="4" w:space="0" w:color="auto"/>
            </w:tcBorders>
            <w:vAlign w:val="center"/>
          </w:tcPr>
          <w:p w:rsidR="005B2B0D" w:rsidRPr="00737872" w:rsidRDefault="005B2B0D" w:rsidP="00737872">
            <w:pPr>
              <w:bidi w:val="0"/>
              <w:snapToGrid w:val="0"/>
              <w:jc w:val="both"/>
              <w:rPr>
                <w:szCs w:val="18"/>
                <w:lang w:bidi="ar-EG"/>
              </w:rPr>
            </w:pPr>
            <w:r w:rsidRPr="00737872">
              <w:rPr>
                <w:szCs w:val="18"/>
                <w:lang w:bidi="ar-EG"/>
              </w:rPr>
              <w:t>Female</w:t>
            </w:r>
          </w:p>
        </w:tc>
        <w:tc>
          <w:tcPr>
            <w:tcW w:w="585" w:type="pct"/>
            <w:tcBorders>
              <w:bottom w:val="double" w:sz="4" w:space="0" w:color="auto"/>
            </w:tcBorders>
            <w:vAlign w:val="center"/>
          </w:tcPr>
          <w:p w:rsidR="005B2B0D" w:rsidRPr="00737872" w:rsidRDefault="005B2B0D" w:rsidP="00737872">
            <w:pPr>
              <w:bidi w:val="0"/>
              <w:snapToGrid w:val="0"/>
              <w:jc w:val="both"/>
              <w:rPr>
                <w:szCs w:val="18"/>
                <w:lang w:bidi="ar-EG"/>
              </w:rPr>
            </w:pPr>
            <w:r w:rsidRPr="00737872">
              <w:rPr>
                <w:szCs w:val="18"/>
                <w:lang w:bidi="ar-EG"/>
              </w:rPr>
              <w:t>12</w:t>
            </w:r>
          </w:p>
        </w:tc>
        <w:tc>
          <w:tcPr>
            <w:tcW w:w="865" w:type="pct"/>
            <w:tcBorders>
              <w:bottom w:val="double" w:sz="4" w:space="0" w:color="auto"/>
              <w:right w:val="single" w:sz="4" w:space="0" w:color="auto"/>
            </w:tcBorders>
            <w:vAlign w:val="center"/>
          </w:tcPr>
          <w:p w:rsidR="005B2B0D" w:rsidRPr="00737872" w:rsidRDefault="005B2B0D" w:rsidP="00737872">
            <w:pPr>
              <w:bidi w:val="0"/>
              <w:snapToGrid w:val="0"/>
              <w:jc w:val="both"/>
              <w:rPr>
                <w:szCs w:val="18"/>
                <w:lang w:bidi="ar-EG"/>
              </w:rPr>
            </w:pPr>
            <w:r w:rsidRPr="00737872">
              <w:rPr>
                <w:szCs w:val="18"/>
                <w:lang w:bidi="ar-EG"/>
              </w:rPr>
              <w:t>40</w:t>
            </w:r>
          </w:p>
        </w:tc>
      </w:tr>
      <w:tr w:rsidR="00C91307" w:rsidRPr="00737872" w:rsidTr="00BF7D07">
        <w:trPr>
          <w:jc w:val="center"/>
        </w:trPr>
        <w:tc>
          <w:tcPr>
            <w:tcW w:w="566" w:type="pct"/>
            <w:vMerge w:val="restart"/>
            <w:tcBorders>
              <w:top w:val="double" w:sz="4" w:space="0" w:color="auto"/>
              <w:left w:val="single" w:sz="4" w:space="0" w:color="auto"/>
            </w:tcBorders>
            <w:vAlign w:val="center"/>
          </w:tcPr>
          <w:p w:rsidR="005B2B0D" w:rsidRPr="00737872" w:rsidRDefault="005B2B0D" w:rsidP="00737872">
            <w:pPr>
              <w:bidi w:val="0"/>
              <w:snapToGrid w:val="0"/>
              <w:jc w:val="both"/>
              <w:rPr>
                <w:b/>
                <w:bCs/>
                <w:szCs w:val="18"/>
                <w:lang w:bidi="ar-EG"/>
              </w:rPr>
            </w:pPr>
            <w:r w:rsidRPr="00737872">
              <w:rPr>
                <w:b/>
                <w:bCs/>
                <w:szCs w:val="18"/>
                <w:lang w:bidi="ar-EG"/>
              </w:rPr>
              <w:t xml:space="preserve">Smoking </w:t>
            </w:r>
          </w:p>
        </w:tc>
        <w:tc>
          <w:tcPr>
            <w:tcW w:w="2984" w:type="pct"/>
            <w:tcBorders>
              <w:top w:val="double" w:sz="4" w:space="0" w:color="auto"/>
            </w:tcBorders>
            <w:vAlign w:val="center"/>
          </w:tcPr>
          <w:p w:rsidR="005B2B0D" w:rsidRPr="00737872" w:rsidRDefault="005B2B0D" w:rsidP="00737872">
            <w:pPr>
              <w:bidi w:val="0"/>
              <w:snapToGrid w:val="0"/>
              <w:jc w:val="both"/>
              <w:rPr>
                <w:szCs w:val="18"/>
                <w:lang w:bidi="ar-EG"/>
              </w:rPr>
            </w:pPr>
            <w:r w:rsidRPr="00737872">
              <w:rPr>
                <w:szCs w:val="18"/>
                <w:lang w:bidi="ar-EG"/>
              </w:rPr>
              <w:t>Yes</w:t>
            </w:r>
          </w:p>
        </w:tc>
        <w:tc>
          <w:tcPr>
            <w:tcW w:w="585" w:type="pct"/>
            <w:vAlign w:val="center"/>
          </w:tcPr>
          <w:p w:rsidR="005B2B0D" w:rsidRPr="00737872" w:rsidRDefault="005B2B0D" w:rsidP="00737872">
            <w:pPr>
              <w:bidi w:val="0"/>
              <w:snapToGrid w:val="0"/>
              <w:jc w:val="both"/>
              <w:rPr>
                <w:szCs w:val="18"/>
                <w:lang w:bidi="ar-EG"/>
              </w:rPr>
            </w:pPr>
            <w:r w:rsidRPr="00737872">
              <w:rPr>
                <w:szCs w:val="18"/>
                <w:lang w:bidi="ar-EG"/>
              </w:rPr>
              <w:t>13</w:t>
            </w:r>
          </w:p>
        </w:tc>
        <w:tc>
          <w:tcPr>
            <w:tcW w:w="865" w:type="pct"/>
            <w:tcBorders>
              <w:right w:val="single" w:sz="4" w:space="0" w:color="auto"/>
            </w:tcBorders>
            <w:vAlign w:val="center"/>
          </w:tcPr>
          <w:p w:rsidR="005B2B0D" w:rsidRPr="00737872" w:rsidRDefault="005B2B0D" w:rsidP="00737872">
            <w:pPr>
              <w:bidi w:val="0"/>
              <w:snapToGrid w:val="0"/>
              <w:jc w:val="both"/>
              <w:rPr>
                <w:szCs w:val="18"/>
                <w:lang w:bidi="ar-EG"/>
              </w:rPr>
            </w:pPr>
            <w:r w:rsidRPr="00737872">
              <w:rPr>
                <w:szCs w:val="18"/>
                <w:lang w:bidi="ar-EG"/>
              </w:rPr>
              <w:t>43.3</w:t>
            </w:r>
          </w:p>
        </w:tc>
      </w:tr>
      <w:tr w:rsidR="00C91307" w:rsidRPr="00737872" w:rsidTr="00BF7D07">
        <w:trPr>
          <w:jc w:val="center"/>
        </w:trPr>
        <w:tc>
          <w:tcPr>
            <w:tcW w:w="566" w:type="pct"/>
            <w:vMerge/>
            <w:tcBorders>
              <w:left w:val="single" w:sz="4" w:space="0" w:color="auto"/>
              <w:bottom w:val="double" w:sz="4" w:space="0" w:color="auto"/>
            </w:tcBorders>
            <w:vAlign w:val="center"/>
          </w:tcPr>
          <w:p w:rsidR="005B2B0D" w:rsidRPr="00737872" w:rsidRDefault="005B2B0D" w:rsidP="00737872">
            <w:pPr>
              <w:bidi w:val="0"/>
              <w:snapToGrid w:val="0"/>
              <w:jc w:val="both"/>
              <w:rPr>
                <w:b/>
                <w:bCs/>
                <w:szCs w:val="18"/>
                <w:lang w:bidi="ar-EG"/>
              </w:rPr>
            </w:pPr>
          </w:p>
        </w:tc>
        <w:tc>
          <w:tcPr>
            <w:tcW w:w="2984" w:type="pct"/>
            <w:tcBorders>
              <w:bottom w:val="double" w:sz="4" w:space="0" w:color="auto"/>
            </w:tcBorders>
            <w:vAlign w:val="center"/>
          </w:tcPr>
          <w:p w:rsidR="005B2B0D" w:rsidRPr="00737872" w:rsidRDefault="005B2B0D" w:rsidP="00737872">
            <w:pPr>
              <w:bidi w:val="0"/>
              <w:snapToGrid w:val="0"/>
              <w:jc w:val="both"/>
              <w:rPr>
                <w:szCs w:val="18"/>
                <w:lang w:bidi="ar-EG"/>
              </w:rPr>
            </w:pPr>
            <w:r w:rsidRPr="00737872">
              <w:rPr>
                <w:szCs w:val="18"/>
                <w:lang w:bidi="ar-EG"/>
              </w:rPr>
              <w:t>No</w:t>
            </w:r>
          </w:p>
        </w:tc>
        <w:tc>
          <w:tcPr>
            <w:tcW w:w="585" w:type="pct"/>
            <w:tcBorders>
              <w:bottom w:val="double" w:sz="4" w:space="0" w:color="auto"/>
            </w:tcBorders>
            <w:vAlign w:val="center"/>
          </w:tcPr>
          <w:p w:rsidR="005B2B0D" w:rsidRPr="00737872" w:rsidRDefault="005B2B0D" w:rsidP="00737872">
            <w:pPr>
              <w:bidi w:val="0"/>
              <w:snapToGrid w:val="0"/>
              <w:jc w:val="both"/>
              <w:rPr>
                <w:szCs w:val="18"/>
                <w:lang w:bidi="ar-EG"/>
              </w:rPr>
            </w:pPr>
            <w:r w:rsidRPr="00737872">
              <w:rPr>
                <w:szCs w:val="18"/>
                <w:lang w:bidi="ar-EG"/>
              </w:rPr>
              <w:t>17</w:t>
            </w:r>
          </w:p>
        </w:tc>
        <w:tc>
          <w:tcPr>
            <w:tcW w:w="865" w:type="pct"/>
            <w:tcBorders>
              <w:bottom w:val="double" w:sz="4" w:space="0" w:color="auto"/>
              <w:right w:val="single" w:sz="4" w:space="0" w:color="auto"/>
            </w:tcBorders>
            <w:vAlign w:val="center"/>
          </w:tcPr>
          <w:p w:rsidR="005B2B0D" w:rsidRPr="00737872" w:rsidRDefault="005B2B0D" w:rsidP="00737872">
            <w:pPr>
              <w:bidi w:val="0"/>
              <w:snapToGrid w:val="0"/>
              <w:jc w:val="both"/>
              <w:rPr>
                <w:szCs w:val="18"/>
                <w:lang w:bidi="ar-EG"/>
              </w:rPr>
            </w:pPr>
            <w:r w:rsidRPr="00737872">
              <w:rPr>
                <w:szCs w:val="18"/>
                <w:lang w:bidi="ar-EG"/>
              </w:rPr>
              <w:t>56.7</w:t>
            </w:r>
          </w:p>
        </w:tc>
      </w:tr>
      <w:tr w:rsidR="00C91307" w:rsidRPr="00737872" w:rsidTr="00BF7D07">
        <w:trPr>
          <w:jc w:val="center"/>
        </w:trPr>
        <w:tc>
          <w:tcPr>
            <w:tcW w:w="566" w:type="pct"/>
            <w:vMerge w:val="restart"/>
            <w:tcBorders>
              <w:left w:val="single" w:sz="4" w:space="0" w:color="auto"/>
            </w:tcBorders>
            <w:vAlign w:val="center"/>
          </w:tcPr>
          <w:p w:rsidR="005B2B0D" w:rsidRPr="00737872" w:rsidRDefault="005B2B0D" w:rsidP="00737872">
            <w:pPr>
              <w:bidi w:val="0"/>
              <w:snapToGrid w:val="0"/>
              <w:jc w:val="both"/>
              <w:rPr>
                <w:b/>
                <w:bCs/>
                <w:szCs w:val="18"/>
                <w:lang w:bidi="ar-EG"/>
              </w:rPr>
            </w:pPr>
            <w:r w:rsidRPr="00737872">
              <w:rPr>
                <w:b/>
                <w:bCs/>
                <w:szCs w:val="18"/>
                <w:lang w:bidi="ar-EG"/>
              </w:rPr>
              <w:t>PS</w:t>
            </w:r>
          </w:p>
        </w:tc>
        <w:tc>
          <w:tcPr>
            <w:tcW w:w="2984" w:type="pct"/>
            <w:tcBorders>
              <w:top w:val="double" w:sz="4" w:space="0" w:color="auto"/>
              <w:bottom w:val="single" w:sz="4" w:space="0" w:color="auto"/>
            </w:tcBorders>
            <w:vAlign w:val="center"/>
          </w:tcPr>
          <w:p w:rsidR="005B2B0D" w:rsidRPr="00737872" w:rsidRDefault="005B2B0D" w:rsidP="00737872">
            <w:pPr>
              <w:bidi w:val="0"/>
              <w:snapToGrid w:val="0"/>
              <w:jc w:val="both"/>
              <w:rPr>
                <w:szCs w:val="18"/>
                <w:lang w:bidi="ar-EG"/>
              </w:rPr>
            </w:pPr>
            <w:r w:rsidRPr="00737872">
              <w:rPr>
                <w:szCs w:val="18"/>
                <w:lang w:bidi="ar-EG"/>
              </w:rPr>
              <w:t>0</w:t>
            </w:r>
          </w:p>
        </w:tc>
        <w:tc>
          <w:tcPr>
            <w:tcW w:w="585" w:type="pct"/>
            <w:tcBorders>
              <w:bottom w:val="double" w:sz="4" w:space="0" w:color="auto"/>
            </w:tcBorders>
            <w:vAlign w:val="center"/>
          </w:tcPr>
          <w:p w:rsidR="005B2B0D" w:rsidRPr="00737872" w:rsidRDefault="005B2B0D" w:rsidP="00737872">
            <w:pPr>
              <w:bidi w:val="0"/>
              <w:snapToGrid w:val="0"/>
              <w:jc w:val="both"/>
              <w:rPr>
                <w:szCs w:val="18"/>
                <w:lang w:bidi="ar-EG"/>
              </w:rPr>
            </w:pPr>
            <w:r w:rsidRPr="00737872">
              <w:rPr>
                <w:szCs w:val="18"/>
                <w:lang w:bidi="ar-EG"/>
              </w:rPr>
              <w:t>16</w:t>
            </w:r>
          </w:p>
        </w:tc>
        <w:tc>
          <w:tcPr>
            <w:tcW w:w="865" w:type="pct"/>
            <w:tcBorders>
              <w:bottom w:val="double" w:sz="4" w:space="0" w:color="auto"/>
              <w:right w:val="single" w:sz="4" w:space="0" w:color="auto"/>
            </w:tcBorders>
            <w:vAlign w:val="center"/>
          </w:tcPr>
          <w:p w:rsidR="005B2B0D" w:rsidRPr="00737872" w:rsidRDefault="005B2B0D" w:rsidP="00737872">
            <w:pPr>
              <w:bidi w:val="0"/>
              <w:snapToGrid w:val="0"/>
              <w:jc w:val="both"/>
              <w:rPr>
                <w:szCs w:val="18"/>
                <w:lang w:bidi="ar-EG"/>
              </w:rPr>
            </w:pPr>
            <w:r w:rsidRPr="00737872">
              <w:rPr>
                <w:szCs w:val="18"/>
                <w:lang w:bidi="ar-EG"/>
              </w:rPr>
              <w:t>53.3</w:t>
            </w:r>
          </w:p>
        </w:tc>
      </w:tr>
      <w:tr w:rsidR="00C91307" w:rsidRPr="00737872" w:rsidTr="00BF7D07">
        <w:trPr>
          <w:jc w:val="center"/>
        </w:trPr>
        <w:tc>
          <w:tcPr>
            <w:tcW w:w="566" w:type="pct"/>
            <w:vMerge/>
            <w:tcBorders>
              <w:left w:val="single" w:sz="4" w:space="0" w:color="auto"/>
              <w:bottom w:val="double" w:sz="4" w:space="0" w:color="auto"/>
            </w:tcBorders>
            <w:vAlign w:val="center"/>
          </w:tcPr>
          <w:p w:rsidR="005B2B0D" w:rsidRPr="00737872" w:rsidRDefault="005B2B0D" w:rsidP="00737872">
            <w:pPr>
              <w:bidi w:val="0"/>
              <w:snapToGrid w:val="0"/>
              <w:jc w:val="both"/>
              <w:rPr>
                <w:b/>
                <w:bCs/>
                <w:szCs w:val="18"/>
                <w:lang w:bidi="ar-EG"/>
              </w:rPr>
            </w:pPr>
          </w:p>
        </w:tc>
        <w:tc>
          <w:tcPr>
            <w:tcW w:w="2984" w:type="pct"/>
            <w:tcBorders>
              <w:top w:val="single" w:sz="4" w:space="0" w:color="auto"/>
              <w:bottom w:val="double" w:sz="4" w:space="0" w:color="auto"/>
            </w:tcBorders>
            <w:vAlign w:val="center"/>
          </w:tcPr>
          <w:p w:rsidR="005B2B0D" w:rsidRPr="00737872" w:rsidRDefault="005B2B0D" w:rsidP="00737872">
            <w:pPr>
              <w:bidi w:val="0"/>
              <w:snapToGrid w:val="0"/>
              <w:jc w:val="both"/>
              <w:rPr>
                <w:szCs w:val="18"/>
                <w:lang w:bidi="ar-EG"/>
              </w:rPr>
            </w:pPr>
            <w:r w:rsidRPr="00737872">
              <w:rPr>
                <w:szCs w:val="18"/>
                <w:lang w:bidi="ar-EG"/>
              </w:rPr>
              <w:t>1</w:t>
            </w:r>
          </w:p>
        </w:tc>
        <w:tc>
          <w:tcPr>
            <w:tcW w:w="585" w:type="pct"/>
            <w:tcBorders>
              <w:bottom w:val="double" w:sz="4" w:space="0" w:color="auto"/>
            </w:tcBorders>
            <w:vAlign w:val="center"/>
          </w:tcPr>
          <w:p w:rsidR="005B2B0D" w:rsidRPr="00737872" w:rsidRDefault="005B2B0D" w:rsidP="00737872">
            <w:pPr>
              <w:bidi w:val="0"/>
              <w:snapToGrid w:val="0"/>
              <w:jc w:val="both"/>
              <w:rPr>
                <w:szCs w:val="18"/>
                <w:lang w:bidi="ar-EG"/>
              </w:rPr>
            </w:pPr>
            <w:r w:rsidRPr="00737872">
              <w:rPr>
                <w:szCs w:val="18"/>
                <w:lang w:bidi="ar-EG"/>
              </w:rPr>
              <w:t>14</w:t>
            </w:r>
          </w:p>
        </w:tc>
        <w:tc>
          <w:tcPr>
            <w:tcW w:w="865" w:type="pct"/>
            <w:tcBorders>
              <w:bottom w:val="double" w:sz="4" w:space="0" w:color="auto"/>
              <w:right w:val="single" w:sz="4" w:space="0" w:color="auto"/>
            </w:tcBorders>
            <w:vAlign w:val="center"/>
          </w:tcPr>
          <w:p w:rsidR="005B2B0D" w:rsidRPr="00737872" w:rsidRDefault="005B2B0D" w:rsidP="00737872">
            <w:pPr>
              <w:bidi w:val="0"/>
              <w:snapToGrid w:val="0"/>
              <w:jc w:val="both"/>
              <w:rPr>
                <w:szCs w:val="18"/>
                <w:lang w:bidi="ar-EG"/>
              </w:rPr>
            </w:pPr>
            <w:r w:rsidRPr="00737872">
              <w:rPr>
                <w:szCs w:val="18"/>
                <w:lang w:bidi="ar-EG"/>
              </w:rPr>
              <w:t>46.7</w:t>
            </w:r>
          </w:p>
        </w:tc>
      </w:tr>
      <w:tr w:rsidR="00C91307" w:rsidRPr="00737872" w:rsidTr="00BF7D07">
        <w:trPr>
          <w:jc w:val="center"/>
        </w:trPr>
        <w:tc>
          <w:tcPr>
            <w:tcW w:w="566" w:type="pct"/>
            <w:vMerge w:val="restart"/>
            <w:tcBorders>
              <w:top w:val="double" w:sz="4" w:space="0" w:color="auto"/>
              <w:left w:val="single" w:sz="4" w:space="0" w:color="auto"/>
            </w:tcBorders>
            <w:vAlign w:val="center"/>
          </w:tcPr>
          <w:p w:rsidR="005B2B0D" w:rsidRPr="00737872" w:rsidRDefault="005B2B0D" w:rsidP="00737872">
            <w:pPr>
              <w:bidi w:val="0"/>
              <w:snapToGrid w:val="0"/>
              <w:jc w:val="both"/>
              <w:rPr>
                <w:b/>
                <w:bCs/>
                <w:szCs w:val="18"/>
                <w:lang w:bidi="ar-EG"/>
              </w:rPr>
            </w:pPr>
            <w:r w:rsidRPr="00737872">
              <w:rPr>
                <w:b/>
                <w:bCs/>
                <w:szCs w:val="18"/>
                <w:lang w:bidi="ar-EG"/>
              </w:rPr>
              <w:t xml:space="preserve">Grading </w:t>
            </w:r>
          </w:p>
        </w:tc>
        <w:tc>
          <w:tcPr>
            <w:tcW w:w="2984" w:type="pct"/>
            <w:tcBorders>
              <w:top w:val="double" w:sz="4" w:space="0" w:color="auto"/>
            </w:tcBorders>
            <w:vAlign w:val="center"/>
          </w:tcPr>
          <w:p w:rsidR="005B2B0D" w:rsidRPr="00737872" w:rsidRDefault="005B2B0D" w:rsidP="00737872">
            <w:pPr>
              <w:bidi w:val="0"/>
              <w:snapToGrid w:val="0"/>
              <w:jc w:val="both"/>
              <w:rPr>
                <w:szCs w:val="18"/>
                <w:lang w:bidi="ar-EG"/>
              </w:rPr>
            </w:pPr>
            <w:r w:rsidRPr="00737872">
              <w:rPr>
                <w:szCs w:val="18"/>
                <w:lang w:bidi="ar-EG"/>
              </w:rPr>
              <w:t>Moderately differentiated</w:t>
            </w:r>
            <w:r w:rsidR="00C91307" w:rsidRPr="00737872">
              <w:rPr>
                <w:szCs w:val="18"/>
                <w:lang w:bidi="ar-EG"/>
              </w:rPr>
              <w:t xml:space="preserve"> non keratinizing (WHO II)</w:t>
            </w:r>
          </w:p>
        </w:tc>
        <w:tc>
          <w:tcPr>
            <w:tcW w:w="585" w:type="pct"/>
            <w:tcBorders>
              <w:top w:val="double" w:sz="4" w:space="0" w:color="auto"/>
            </w:tcBorders>
            <w:vAlign w:val="center"/>
          </w:tcPr>
          <w:p w:rsidR="005B2B0D" w:rsidRPr="00737872" w:rsidRDefault="005B2B0D" w:rsidP="00737872">
            <w:pPr>
              <w:bidi w:val="0"/>
              <w:snapToGrid w:val="0"/>
              <w:jc w:val="both"/>
              <w:rPr>
                <w:szCs w:val="18"/>
                <w:lang w:bidi="ar-EG"/>
              </w:rPr>
            </w:pPr>
            <w:r w:rsidRPr="00737872">
              <w:rPr>
                <w:szCs w:val="18"/>
                <w:lang w:bidi="ar-EG"/>
              </w:rPr>
              <w:t>14</w:t>
            </w:r>
          </w:p>
        </w:tc>
        <w:tc>
          <w:tcPr>
            <w:tcW w:w="865" w:type="pct"/>
            <w:tcBorders>
              <w:top w:val="double" w:sz="4" w:space="0" w:color="auto"/>
              <w:right w:val="single" w:sz="4" w:space="0" w:color="auto"/>
            </w:tcBorders>
            <w:vAlign w:val="center"/>
          </w:tcPr>
          <w:p w:rsidR="005B2B0D" w:rsidRPr="00737872" w:rsidRDefault="005B2B0D" w:rsidP="00737872">
            <w:pPr>
              <w:bidi w:val="0"/>
              <w:snapToGrid w:val="0"/>
              <w:jc w:val="both"/>
              <w:rPr>
                <w:szCs w:val="18"/>
                <w:lang w:bidi="ar-EG"/>
              </w:rPr>
            </w:pPr>
            <w:r w:rsidRPr="00737872">
              <w:rPr>
                <w:szCs w:val="18"/>
                <w:lang w:bidi="ar-EG"/>
              </w:rPr>
              <w:t>46.7</w:t>
            </w:r>
          </w:p>
        </w:tc>
      </w:tr>
      <w:tr w:rsidR="00C91307" w:rsidRPr="00737872" w:rsidTr="00BF7D07">
        <w:trPr>
          <w:jc w:val="center"/>
        </w:trPr>
        <w:tc>
          <w:tcPr>
            <w:tcW w:w="566" w:type="pct"/>
            <w:vMerge/>
            <w:tcBorders>
              <w:left w:val="single" w:sz="4" w:space="0" w:color="auto"/>
              <w:bottom w:val="double" w:sz="4" w:space="0" w:color="auto"/>
            </w:tcBorders>
            <w:vAlign w:val="center"/>
          </w:tcPr>
          <w:p w:rsidR="005B2B0D" w:rsidRPr="00737872" w:rsidRDefault="005B2B0D" w:rsidP="00737872">
            <w:pPr>
              <w:bidi w:val="0"/>
              <w:snapToGrid w:val="0"/>
              <w:jc w:val="both"/>
              <w:rPr>
                <w:b/>
                <w:bCs/>
                <w:szCs w:val="18"/>
                <w:lang w:bidi="ar-EG"/>
              </w:rPr>
            </w:pPr>
          </w:p>
        </w:tc>
        <w:tc>
          <w:tcPr>
            <w:tcW w:w="2984" w:type="pct"/>
            <w:tcBorders>
              <w:bottom w:val="double" w:sz="4" w:space="0" w:color="auto"/>
            </w:tcBorders>
            <w:vAlign w:val="center"/>
          </w:tcPr>
          <w:p w:rsidR="005B2B0D" w:rsidRPr="00737872" w:rsidRDefault="005B2B0D" w:rsidP="00737872">
            <w:pPr>
              <w:bidi w:val="0"/>
              <w:snapToGrid w:val="0"/>
              <w:jc w:val="both"/>
              <w:rPr>
                <w:szCs w:val="18"/>
                <w:lang w:bidi="ar-EG"/>
              </w:rPr>
            </w:pPr>
            <w:r w:rsidRPr="00737872">
              <w:rPr>
                <w:szCs w:val="18"/>
                <w:lang w:bidi="ar-EG"/>
              </w:rPr>
              <w:t xml:space="preserve">Undifferentiated </w:t>
            </w:r>
            <w:r w:rsidR="00176A31" w:rsidRPr="00737872">
              <w:rPr>
                <w:szCs w:val="18"/>
                <w:lang w:bidi="ar-EG"/>
              </w:rPr>
              <w:t>non keratinizing carcinoma</w:t>
            </w:r>
            <w:r w:rsidR="00C91307" w:rsidRPr="00737872">
              <w:rPr>
                <w:szCs w:val="18"/>
                <w:lang w:bidi="ar-EG"/>
              </w:rPr>
              <w:t xml:space="preserve"> (WHO III)</w:t>
            </w:r>
          </w:p>
        </w:tc>
        <w:tc>
          <w:tcPr>
            <w:tcW w:w="585" w:type="pct"/>
            <w:tcBorders>
              <w:bottom w:val="double" w:sz="4" w:space="0" w:color="auto"/>
            </w:tcBorders>
            <w:vAlign w:val="center"/>
          </w:tcPr>
          <w:p w:rsidR="005B2B0D" w:rsidRPr="00737872" w:rsidRDefault="005B2B0D" w:rsidP="00737872">
            <w:pPr>
              <w:bidi w:val="0"/>
              <w:snapToGrid w:val="0"/>
              <w:jc w:val="both"/>
              <w:rPr>
                <w:szCs w:val="18"/>
                <w:lang w:bidi="ar-EG"/>
              </w:rPr>
            </w:pPr>
            <w:r w:rsidRPr="00737872">
              <w:rPr>
                <w:szCs w:val="18"/>
                <w:lang w:bidi="ar-EG"/>
              </w:rPr>
              <w:t>16</w:t>
            </w:r>
          </w:p>
        </w:tc>
        <w:tc>
          <w:tcPr>
            <w:tcW w:w="865" w:type="pct"/>
            <w:tcBorders>
              <w:bottom w:val="double" w:sz="4" w:space="0" w:color="auto"/>
              <w:right w:val="single" w:sz="4" w:space="0" w:color="auto"/>
            </w:tcBorders>
            <w:vAlign w:val="center"/>
          </w:tcPr>
          <w:p w:rsidR="005B2B0D" w:rsidRPr="00737872" w:rsidRDefault="005B2B0D" w:rsidP="00737872">
            <w:pPr>
              <w:bidi w:val="0"/>
              <w:snapToGrid w:val="0"/>
              <w:jc w:val="both"/>
              <w:rPr>
                <w:szCs w:val="18"/>
                <w:lang w:bidi="ar-EG"/>
              </w:rPr>
            </w:pPr>
            <w:r w:rsidRPr="00737872">
              <w:rPr>
                <w:szCs w:val="18"/>
                <w:lang w:bidi="ar-EG"/>
              </w:rPr>
              <w:t>53.3</w:t>
            </w:r>
          </w:p>
        </w:tc>
      </w:tr>
      <w:tr w:rsidR="00C91307" w:rsidRPr="00737872" w:rsidTr="00BF7D07">
        <w:trPr>
          <w:jc w:val="center"/>
        </w:trPr>
        <w:tc>
          <w:tcPr>
            <w:tcW w:w="566" w:type="pct"/>
            <w:vMerge w:val="restart"/>
            <w:tcBorders>
              <w:top w:val="double" w:sz="4" w:space="0" w:color="auto"/>
              <w:left w:val="single" w:sz="4" w:space="0" w:color="auto"/>
            </w:tcBorders>
            <w:vAlign w:val="center"/>
          </w:tcPr>
          <w:p w:rsidR="005B2B0D" w:rsidRPr="00737872" w:rsidRDefault="005B2B0D" w:rsidP="00737872">
            <w:pPr>
              <w:bidi w:val="0"/>
              <w:snapToGrid w:val="0"/>
              <w:jc w:val="both"/>
              <w:rPr>
                <w:b/>
                <w:bCs/>
                <w:szCs w:val="18"/>
                <w:lang w:bidi="ar-EG"/>
              </w:rPr>
            </w:pPr>
            <w:r w:rsidRPr="00737872">
              <w:rPr>
                <w:b/>
                <w:bCs/>
                <w:szCs w:val="18"/>
                <w:lang w:bidi="ar-EG"/>
              </w:rPr>
              <w:t xml:space="preserve">T </w:t>
            </w:r>
          </w:p>
        </w:tc>
        <w:tc>
          <w:tcPr>
            <w:tcW w:w="2984" w:type="pct"/>
            <w:tcBorders>
              <w:top w:val="double" w:sz="4" w:space="0" w:color="auto"/>
            </w:tcBorders>
            <w:vAlign w:val="center"/>
          </w:tcPr>
          <w:p w:rsidR="005B2B0D" w:rsidRPr="00737872" w:rsidRDefault="005B2B0D" w:rsidP="00737872">
            <w:pPr>
              <w:bidi w:val="0"/>
              <w:snapToGrid w:val="0"/>
              <w:jc w:val="both"/>
              <w:rPr>
                <w:szCs w:val="18"/>
              </w:rPr>
            </w:pPr>
            <w:r w:rsidRPr="00737872">
              <w:rPr>
                <w:szCs w:val="18"/>
              </w:rPr>
              <w:t>T 1</w:t>
            </w:r>
          </w:p>
        </w:tc>
        <w:tc>
          <w:tcPr>
            <w:tcW w:w="585" w:type="pct"/>
            <w:tcBorders>
              <w:top w:val="double" w:sz="4" w:space="0" w:color="auto"/>
            </w:tcBorders>
            <w:vAlign w:val="center"/>
          </w:tcPr>
          <w:p w:rsidR="005B2B0D" w:rsidRPr="00737872" w:rsidRDefault="005B2B0D" w:rsidP="00737872">
            <w:pPr>
              <w:bidi w:val="0"/>
              <w:snapToGrid w:val="0"/>
              <w:jc w:val="both"/>
              <w:rPr>
                <w:szCs w:val="18"/>
                <w:lang w:bidi="ar-EG"/>
              </w:rPr>
            </w:pPr>
            <w:r w:rsidRPr="00737872">
              <w:rPr>
                <w:szCs w:val="18"/>
                <w:lang w:bidi="ar-EG"/>
              </w:rPr>
              <w:t>4</w:t>
            </w:r>
          </w:p>
        </w:tc>
        <w:tc>
          <w:tcPr>
            <w:tcW w:w="865" w:type="pct"/>
            <w:tcBorders>
              <w:top w:val="double" w:sz="4" w:space="0" w:color="auto"/>
              <w:right w:val="single" w:sz="4" w:space="0" w:color="auto"/>
            </w:tcBorders>
            <w:vAlign w:val="center"/>
          </w:tcPr>
          <w:p w:rsidR="005B2B0D" w:rsidRPr="00737872" w:rsidRDefault="005B2B0D" w:rsidP="00737872">
            <w:pPr>
              <w:bidi w:val="0"/>
              <w:snapToGrid w:val="0"/>
              <w:jc w:val="both"/>
              <w:rPr>
                <w:szCs w:val="18"/>
                <w:lang w:bidi="ar-EG"/>
              </w:rPr>
            </w:pPr>
            <w:r w:rsidRPr="00737872">
              <w:rPr>
                <w:szCs w:val="18"/>
                <w:lang w:bidi="ar-EG"/>
              </w:rPr>
              <w:t>13.3</w:t>
            </w:r>
          </w:p>
        </w:tc>
      </w:tr>
      <w:tr w:rsidR="00C91307" w:rsidRPr="00737872" w:rsidTr="00BF7D07">
        <w:trPr>
          <w:jc w:val="center"/>
        </w:trPr>
        <w:tc>
          <w:tcPr>
            <w:tcW w:w="566" w:type="pct"/>
            <w:vMerge/>
            <w:tcBorders>
              <w:left w:val="single" w:sz="4" w:space="0" w:color="auto"/>
            </w:tcBorders>
            <w:vAlign w:val="center"/>
          </w:tcPr>
          <w:p w:rsidR="005B2B0D" w:rsidRPr="00737872" w:rsidRDefault="005B2B0D" w:rsidP="00737872">
            <w:pPr>
              <w:bidi w:val="0"/>
              <w:snapToGrid w:val="0"/>
              <w:jc w:val="both"/>
              <w:rPr>
                <w:szCs w:val="18"/>
                <w:lang w:bidi="ar-EG"/>
              </w:rPr>
            </w:pPr>
          </w:p>
        </w:tc>
        <w:tc>
          <w:tcPr>
            <w:tcW w:w="2984" w:type="pct"/>
            <w:tcBorders>
              <w:bottom w:val="single" w:sz="4" w:space="0" w:color="auto"/>
            </w:tcBorders>
            <w:vAlign w:val="center"/>
          </w:tcPr>
          <w:p w:rsidR="005B2B0D" w:rsidRPr="00737872" w:rsidRDefault="005B2B0D" w:rsidP="00737872">
            <w:pPr>
              <w:bidi w:val="0"/>
              <w:snapToGrid w:val="0"/>
              <w:jc w:val="both"/>
              <w:rPr>
                <w:szCs w:val="18"/>
              </w:rPr>
            </w:pPr>
            <w:r w:rsidRPr="00737872">
              <w:rPr>
                <w:szCs w:val="18"/>
              </w:rPr>
              <w:t>T 2</w:t>
            </w:r>
          </w:p>
        </w:tc>
        <w:tc>
          <w:tcPr>
            <w:tcW w:w="585" w:type="pct"/>
            <w:tcBorders>
              <w:bottom w:val="single" w:sz="4" w:space="0" w:color="auto"/>
            </w:tcBorders>
            <w:vAlign w:val="center"/>
          </w:tcPr>
          <w:p w:rsidR="005B2B0D" w:rsidRPr="00737872" w:rsidRDefault="005B2B0D" w:rsidP="00737872">
            <w:pPr>
              <w:bidi w:val="0"/>
              <w:snapToGrid w:val="0"/>
              <w:jc w:val="both"/>
              <w:rPr>
                <w:szCs w:val="18"/>
                <w:lang w:bidi="ar-EG"/>
              </w:rPr>
            </w:pPr>
            <w:r w:rsidRPr="00737872">
              <w:rPr>
                <w:szCs w:val="18"/>
                <w:lang w:bidi="ar-EG"/>
              </w:rPr>
              <w:t>18</w:t>
            </w:r>
          </w:p>
        </w:tc>
        <w:tc>
          <w:tcPr>
            <w:tcW w:w="865" w:type="pct"/>
            <w:tcBorders>
              <w:bottom w:val="single" w:sz="4" w:space="0" w:color="auto"/>
              <w:right w:val="single" w:sz="4" w:space="0" w:color="auto"/>
            </w:tcBorders>
            <w:vAlign w:val="center"/>
          </w:tcPr>
          <w:p w:rsidR="005B2B0D" w:rsidRPr="00737872" w:rsidRDefault="005B2B0D" w:rsidP="00737872">
            <w:pPr>
              <w:bidi w:val="0"/>
              <w:snapToGrid w:val="0"/>
              <w:jc w:val="both"/>
              <w:rPr>
                <w:szCs w:val="18"/>
                <w:lang w:bidi="ar-EG"/>
              </w:rPr>
            </w:pPr>
            <w:r w:rsidRPr="00737872">
              <w:rPr>
                <w:szCs w:val="18"/>
                <w:lang w:bidi="ar-EG"/>
              </w:rPr>
              <w:t>60</w:t>
            </w:r>
          </w:p>
        </w:tc>
      </w:tr>
      <w:tr w:rsidR="00C91307" w:rsidRPr="00737872" w:rsidTr="00BF7D07">
        <w:trPr>
          <w:jc w:val="center"/>
        </w:trPr>
        <w:tc>
          <w:tcPr>
            <w:tcW w:w="566" w:type="pct"/>
            <w:vMerge/>
            <w:tcBorders>
              <w:left w:val="single" w:sz="4" w:space="0" w:color="auto"/>
            </w:tcBorders>
            <w:vAlign w:val="center"/>
          </w:tcPr>
          <w:p w:rsidR="005B2B0D" w:rsidRPr="00737872" w:rsidRDefault="005B2B0D" w:rsidP="00737872">
            <w:pPr>
              <w:bidi w:val="0"/>
              <w:snapToGrid w:val="0"/>
              <w:jc w:val="both"/>
              <w:rPr>
                <w:b/>
                <w:bCs/>
                <w:szCs w:val="18"/>
                <w:lang w:bidi="ar-EG"/>
              </w:rPr>
            </w:pPr>
          </w:p>
        </w:tc>
        <w:tc>
          <w:tcPr>
            <w:tcW w:w="2984" w:type="pct"/>
            <w:tcBorders>
              <w:top w:val="single" w:sz="4" w:space="0" w:color="auto"/>
            </w:tcBorders>
            <w:vAlign w:val="center"/>
          </w:tcPr>
          <w:p w:rsidR="005B2B0D" w:rsidRPr="00737872" w:rsidRDefault="005B2B0D" w:rsidP="00737872">
            <w:pPr>
              <w:bidi w:val="0"/>
              <w:snapToGrid w:val="0"/>
              <w:jc w:val="both"/>
              <w:rPr>
                <w:szCs w:val="18"/>
              </w:rPr>
            </w:pPr>
            <w:r w:rsidRPr="00737872">
              <w:rPr>
                <w:szCs w:val="18"/>
              </w:rPr>
              <w:t>T 3</w:t>
            </w:r>
          </w:p>
        </w:tc>
        <w:tc>
          <w:tcPr>
            <w:tcW w:w="585" w:type="pct"/>
            <w:tcBorders>
              <w:top w:val="single" w:sz="4" w:space="0" w:color="auto"/>
            </w:tcBorders>
            <w:vAlign w:val="center"/>
          </w:tcPr>
          <w:p w:rsidR="005B2B0D" w:rsidRPr="00737872" w:rsidRDefault="005B2B0D" w:rsidP="00737872">
            <w:pPr>
              <w:bidi w:val="0"/>
              <w:snapToGrid w:val="0"/>
              <w:jc w:val="both"/>
              <w:rPr>
                <w:szCs w:val="18"/>
                <w:lang w:bidi="ar-EG"/>
              </w:rPr>
            </w:pPr>
            <w:r w:rsidRPr="00737872">
              <w:rPr>
                <w:szCs w:val="18"/>
                <w:lang w:bidi="ar-EG"/>
              </w:rPr>
              <w:t>6</w:t>
            </w:r>
          </w:p>
        </w:tc>
        <w:tc>
          <w:tcPr>
            <w:tcW w:w="865" w:type="pct"/>
            <w:tcBorders>
              <w:top w:val="single" w:sz="4" w:space="0" w:color="auto"/>
              <w:right w:val="single" w:sz="4" w:space="0" w:color="auto"/>
            </w:tcBorders>
            <w:vAlign w:val="center"/>
          </w:tcPr>
          <w:p w:rsidR="005B2B0D" w:rsidRPr="00737872" w:rsidRDefault="005B2B0D" w:rsidP="00737872">
            <w:pPr>
              <w:bidi w:val="0"/>
              <w:snapToGrid w:val="0"/>
              <w:jc w:val="both"/>
              <w:rPr>
                <w:szCs w:val="18"/>
                <w:lang w:bidi="ar-EG"/>
              </w:rPr>
            </w:pPr>
            <w:r w:rsidRPr="00737872">
              <w:rPr>
                <w:szCs w:val="18"/>
                <w:lang w:bidi="ar-EG"/>
              </w:rPr>
              <w:t>20</w:t>
            </w:r>
          </w:p>
        </w:tc>
      </w:tr>
      <w:tr w:rsidR="00C91307" w:rsidRPr="00737872" w:rsidTr="00BF7D07">
        <w:trPr>
          <w:jc w:val="center"/>
        </w:trPr>
        <w:tc>
          <w:tcPr>
            <w:tcW w:w="566" w:type="pct"/>
            <w:vMerge/>
            <w:tcBorders>
              <w:left w:val="single" w:sz="4" w:space="0" w:color="auto"/>
              <w:bottom w:val="double" w:sz="4" w:space="0" w:color="auto"/>
            </w:tcBorders>
            <w:vAlign w:val="center"/>
          </w:tcPr>
          <w:p w:rsidR="005B2B0D" w:rsidRPr="00737872" w:rsidRDefault="005B2B0D" w:rsidP="00737872">
            <w:pPr>
              <w:bidi w:val="0"/>
              <w:snapToGrid w:val="0"/>
              <w:jc w:val="both"/>
              <w:rPr>
                <w:szCs w:val="18"/>
                <w:lang w:bidi="ar-EG"/>
              </w:rPr>
            </w:pPr>
          </w:p>
        </w:tc>
        <w:tc>
          <w:tcPr>
            <w:tcW w:w="2984" w:type="pct"/>
            <w:tcBorders>
              <w:bottom w:val="double" w:sz="4" w:space="0" w:color="auto"/>
            </w:tcBorders>
            <w:vAlign w:val="center"/>
          </w:tcPr>
          <w:p w:rsidR="005B2B0D" w:rsidRPr="00737872" w:rsidRDefault="005B2B0D" w:rsidP="00737872">
            <w:pPr>
              <w:bidi w:val="0"/>
              <w:snapToGrid w:val="0"/>
              <w:jc w:val="both"/>
              <w:rPr>
                <w:szCs w:val="18"/>
              </w:rPr>
            </w:pPr>
            <w:r w:rsidRPr="00737872">
              <w:rPr>
                <w:szCs w:val="18"/>
              </w:rPr>
              <w:t>T 4</w:t>
            </w:r>
          </w:p>
        </w:tc>
        <w:tc>
          <w:tcPr>
            <w:tcW w:w="585" w:type="pct"/>
            <w:tcBorders>
              <w:bottom w:val="double" w:sz="4" w:space="0" w:color="auto"/>
            </w:tcBorders>
            <w:vAlign w:val="center"/>
          </w:tcPr>
          <w:p w:rsidR="005B2B0D" w:rsidRPr="00737872" w:rsidRDefault="005B2B0D" w:rsidP="00737872">
            <w:pPr>
              <w:bidi w:val="0"/>
              <w:snapToGrid w:val="0"/>
              <w:jc w:val="both"/>
              <w:rPr>
                <w:szCs w:val="18"/>
                <w:lang w:bidi="ar-EG"/>
              </w:rPr>
            </w:pPr>
            <w:r w:rsidRPr="00737872">
              <w:rPr>
                <w:szCs w:val="18"/>
                <w:lang w:bidi="ar-EG"/>
              </w:rPr>
              <w:t>2</w:t>
            </w:r>
          </w:p>
        </w:tc>
        <w:tc>
          <w:tcPr>
            <w:tcW w:w="865" w:type="pct"/>
            <w:tcBorders>
              <w:bottom w:val="double" w:sz="4" w:space="0" w:color="auto"/>
              <w:right w:val="single" w:sz="4" w:space="0" w:color="auto"/>
            </w:tcBorders>
            <w:vAlign w:val="center"/>
          </w:tcPr>
          <w:p w:rsidR="005B2B0D" w:rsidRPr="00737872" w:rsidRDefault="005B2B0D" w:rsidP="00737872">
            <w:pPr>
              <w:bidi w:val="0"/>
              <w:snapToGrid w:val="0"/>
              <w:jc w:val="both"/>
              <w:rPr>
                <w:szCs w:val="18"/>
                <w:lang w:bidi="ar-EG"/>
              </w:rPr>
            </w:pPr>
            <w:r w:rsidRPr="00737872">
              <w:rPr>
                <w:szCs w:val="18"/>
                <w:lang w:bidi="ar-EG"/>
              </w:rPr>
              <w:t>6.7</w:t>
            </w:r>
          </w:p>
        </w:tc>
      </w:tr>
      <w:tr w:rsidR="00C91307" w:rsidRPr="00737872" w:rsidTr="00BF7D07">
        <w:trPr>
          <w:jc w:val="center"/>
        </w:trPr>
        <w:tc>
          <w:tcPr>
            <w:tcW w:w="566" w:type="pct"/>
            <w:vMerge w:val="restart"/>
            <w:tcBorders>
              <w:top w:val="double" w:sz="4" w:space="0" w:color="auto"/>
              <w:left w:val="single" w:sz="4" w:space="0" w:color="auto"/>
            </w:tcBorders>
            <w:vAlign w:val="center"/>
          </w:tcPr>
          <w:p w:rsidR="005B2B0D" w:rsidRPr="00737872" w:rsidRDefault="005B2B0D" w:rsidP="00737872">
            <w:pPr>
              <w:bidi w:val="0"/>
              <w:snapToGrid w:val="0"/>
              <w:jc w:val="both"/>
              <w:rPr>
                <w:b/>
                <w:bCs/>
                <w:szCs w:val="18"/>
                <w:lang w:bidi="ar-EG"/>
              </w:rPr>
            </w:pPr>
            <w:r w:rsidRPr="00737872">
              <w:rPr>
                <w:b/>
                <w:bCs/>
                <w:szCs w:val="18"/>
                <w:lang w:bidi="ar-EG"/>
              </w:rPr>
              <w:t>N</w:t>
            </w:r>
            <w:r w:rsidR="00BF7D07" w:rsidRPr="00737872">
              <w:rPr>
                <w:b/>
                <w:bCs/>
                <w:szCs w:val="18"/>
                <w:lang w:bidi="ar-EG"/>
              </w:rPr>
              <w:t xml:space="preserve"> </w:t>
            </w:r>
          </w:p>
        </w:tc>
        <w:tc>
          <w:tcPr>
            <w:tcW w:w="2984" w:type="pct"/>
            <w:tcBorders>
              <w:top w:val="double" w:sz="4" w:space="0" w:color="auto"/>
            </w:tcBorders>
            <w:vAlign w:val="center"/>
          </w:tcPr>
          <w:p w:rsidR="005B2B0D" w:rsidRPr="00737872" w:rsidRDefault="005B2B0D" w:rsidP="00737872">
            <w:pPr>
              <w:bidi w:val="0"/>
              <w:snapToGrid w:val="0"/>
              <w:jc w:val="both"/>
              <w:rPr>
                <w:szCs w:val="18"/>
              </w:rPr>
            </w:pPr>
            <w:r w:rsidRPr="00737872">
              <w:rPr>
                <w:szCs w:val="18"/>
              </w:rPr>
              <w:t>N 1</w:t>
            </w:r>
          </w:p>
        </w:tc>
        <w:tc>
          <w:tcPr>
            <w:tcW w:w="585" w:type="pct"/>
            <w:tcBorders>
              <w:top w:val="double" w:sz="4" w:space="0" w:color="auto"/>
            </w:tcBorders>
            <w:vAlign w:val="center"/>
          </w:tcPr>
          <w:p w:rsidR="005B2B0D" w:rsidRPr="00737872" w:rsidRDefault="005B2B0D" w:rsidP="00737872">
            <w:pPr>
              <w:bidi w:val="0"/>
              <w:snapToGrid w:val="0"/>
              <w:jc w:val="both"/>
              <w:rPr>
                <w:szCs w:val="18"/>
                <w:lang w:bidi="ar-EG"/>
              </w:rPr>
            </w:pPr>
            <w:r w:rsidRPr="00737872">
              <w:rPr>
                <w:szCs w:val="18"/>
                <w:lang w:bidi="ar-EG"/>
              </w:rPr>
              <w:t>12</w:t>
            </w:r>
          </w:p>
        </w:tc>
        <w:tc>
          <w:tcPr>
            <w:tcW w:w="865" w:type="pct"/>
            <w:tcBorders>
              <w:top w:val="double" w:sz="4" w:space="0" w:color="auto"/>
              <w:right w:val="single" w:sz="4" w:space="0" w:color="auto"/>
            </w:tcBorders>
            <w:vAlign w:val="center"/>
          </w:tcPr>
          <w:p w:rsidR="005B2B0D" w:rsidRPr="00737872" w:rsidRDefault="005B2B0D" w:rsidP="00737872">
            <w:pPr>
              <w:bidi w:val="0"/>
              <w:snapToGrid w:val="0"/>
              <w:jc w:val="both"/>
              <w:rPr>
                <w:szCs w:val="18"/>
                <w:lang w:bidi="ar-EG"/>
              </w:rPr>
            </w:pPr>
            <w:r w:rsidRPr="00737872">
              <w:rPr>
                <w:szCs w:val="18"/>
                <w:lang w:bidi="ar-EG"/>
              </w:rPr>
              <w:t>40</w:t>
            </w:r>
          </w:p>
        </w:tc>
      </w:tr>
      <w:tr w:rsidR="00C91307" w:rsidRPr="00737872" w:rsidTr="00BF7D07">
        <w:trPr>
          <w:jc w:val="center"/>
        </w:trPr>
        <w:tc>
          <w:tcPr>
            <w:tcW w:w="566" w:type="pct"/>
            <w:vMerge/>
            <w:tcBorders>
              <w:left w:val="single" w:sz="4" w:space="0" w:color="auto"/>
            </w:tcBorders>
            <w:vAlign w:val="center"/>
          </w:tcPr>
          <w:p w:rsidR="005B2B0D" w:rsidRPr="00737872" w:rsidRDefault="005B2B0D" w:rsidP="00737872">
            <w:pPr>
              <w:bidi w:val="0"/>
              <w:snapToGrid w:val="0"/>
              <w:jc w:val="both"/>
              <w:rPr>
                <w:szCs w:val="18"/>
                <w:lang w:bidi="ar-EG"/>
              </w:rPr>
            </w:pPr>
          </w:p>
        </w:tc>
        <w:tc>
          <w:tcPr>
            <w:tcW w:w="2984" w:type="pct"/>
            <w:tcBorders>
              <w:bottom w:val="single" w:sz="4" w:space="0" w:color="auto"/>
            </w:tcBorders>
            <w:vAlign w:val="center"/>
          </w:tcPr>
          <w:p w:rsidR="005B2B0D" w:rsidRPr="00737872" w:rsidRDefault="005B2B0D" w:rsidP="00737872">
            <w:pPr>
              <w:bidi w:val="0"/>
              <w:snapToGrid w:val="0"/>
              <w:jc w:val="both"/>
              <w:rPr>
                <w:szCs w:val="18"/>
              </w:rPr>
            </w:pPr>
            <w:r w:rsidRPr="00737872">
              <w:rPr>
                <w:szCs w:val="18"/>
              </w:rPr>
              <w:t>N 2</w:t>
            </w:r>
          </w:p>
        </w:tc>
        <w:tc>
          <w:tcPr>
            <w:tcW w:w="585" w:type="pct"/>
            <w:tcBorders>
              <w:bottom w:val="single" w:sz="4" w:space="0" w:color="auto"/>
            </w:tcBorders>
            <w:vAlign w:val="center"/>
          </w:tcPr>
          <w:p w:rsidR="005B2B0D" w:rsidRPr="00737872" w:rsidRDefault="005B2B0D" w:rsidP="00737872">
            <w:pPr>
              <w:bidi w:val="0"/>
              <w:snapToGrid w:val="0"/>
              <w:jc w:val="both"/>
              <w:rPr>
                <w:szCs w:val="18"/>
                <w:lang w:bidi="ar-EG"/>
              </w:rPr>
            </w:pPr>
            <w:r w:rsidRPr="00737872">
              <w:rPr>
                <w:szCs w:val="18"/>
                <w:lang w:bidi="ar-EG"/>
              </w:rPr>
              <w:t>15</w:t>
            </w:r>
          </w:p>
        </w:tc>
        <w:tc>
          <w:tcPr>
            <w:tcW w:w="865" w:type="pct"/>
            <w:tcBorders>
              <w:bottom w:val="single" w:sz="4" w:space="0" w:color="auto"/>
              <w:right w:val="single" w:sz="4" w:space="0" w:color="auto"/>
            </w:tcBorders>
            <w:vAlign w:val="center"/>
          </w:tcPr>
          <w:p w:rsidR="005B2B0D" w:rsidRPr="00737872" w:rsidRDefault="005B2B0D" w:rsidP="00737872">
            <w:pPr>
              <w:bidi w:val="0"/>
              <w:snapToGrid w:val="0"/>
              <w:jc w:val="both"/>
              <w:rPr>
                <w:szCs w:val="18"/>
                <w:lang w:bidi="ar-EG"/>
              </w:rPr>
            </w:pPr>
            <w:r w:rsidRPr="00737872">
              <w:rPr>
                <w:szCs w:val="18"/>
                <w:lang w:bidi="ar-EG"/>
              </w:rPr>
              <w:t>50</w:t>
            </w:r>
          </w:p>
        </w:tc>
      </w:tr>
      <w:tr w:rsidR="00C91307" w:rsidRPr="00737872" w:rsidTr="00BF7D07">
        <w:trPr>
          <w:jc w:val="center"/>
        </w:trPr>
        <w:tc>
          <w:tcPr>
            <w:tcW w:w="566" w:type="pct"/>
            <w:vMerge/>
            <w:tcBorders>
              <w:left w:val="single" w:sz="4" w:space="0" w:color="auto"/>
              <w:bottom w:val="single" w:sz="4" w:space="0" w:color="auto"/>
            </w:tcBorders>
            <w:vAlign w:val="center"/>
          </w:tcPr>
          <w:p w:rsidR="005B2B0D" w:rsidRPr="00737872" w:rsidRDefault="005B2B0D" w:rsidP="00737872">
            <w:pPr>
              <w:bidi w:val="0"/>
              <w:snapToGrid w:val="0"/>
              <w:jc w:val="both"/>
              <w:rPr>
                <w:b/>
                <w:bCs/>
                <w:szCs w:val="18"/>
                <w:lang w:bidi="ar-EG"/>
              </w:rPr>
            </w:pPr>
          </w:p>
        </w:tc>
        <w:tc>
          <w:tcPr>
            <w:tcW w:w="2984" w:type="pct"/>
            <w:tcBorders>
              <w:top w:val="single" w:sz="4" w:space="0" w:color="auto"/>
              <w:bottom w:val="single" w:sz="4" w:space="0" w:color="auto"/>
            </w:tcBorders>
            <w:vAlign w:val="center"/>
          </w:tcPr>
          <w:p w:rsidR="005B2B0D" w:rsidRPr="00737872" w:rsidRDefault="005B2B0D" w:rsidP="00737872">
            <w:pPr>
              <w:bidi w:val="0"/>
              <w:snapToGrid w:val="0"/>
              <w:jc w:val="both"/>
              <w:rPr>
                <w:szCs w:val="18"/>
              </w:rPr>
            </w:pPr>
            <w:r w:rsidRPr="00737872">
              <w:rPr>
                <w:szCs w:val="18"/>
              </w:rPr>
              <w:t>N 3</w:t>
            </w:r>
          </w:p>
        </w:tc>
        <w:tc>
          <w:tcPr>
            <w:tcW w:w="585" w:type="pct"/>
            <w:tcBorders>
              <w:top w:val="single" w:sz="4" w:space="0" w:color="auto"/>
              <w:bottom w:val="single" w:sz="4" w:space="0" w:color="auto"/>
            </w:tcBorders>
            <w:vAlign w:val="center"/>
          </w:tcPr>
          <w:p w:rsidR="005B2B0D" w:rsidRPr="00737872" w:rsidRDefault="005B2B0D" w:rsidP="00737872">
            <w:pPr>
              <w:bidi w:val="0"/>
              <w:snapToGrid w:val="0"/>
              <w:jc w:val="both"/>
              <w:rPr>
                <w:szCs w:val="18"/>
                <w:lang w:bidi="ar-EG"/>
              </w:rPr>
            </w:pPr>
            <w:r w:rsidRPr="00737872">
              <w:rPr>
                <w:szCs w:val="18"/>
                <w:lang w:bidi="ar-EG"/>
              </w:rPr>
              <w:t>3</w:t>
            </w:r>
          </w:p>
        </w:tc>
        <w:tc>
          <w:tcPr>
            <w:tcW w:w="865" w:type="pct"/>
            <w:tcBorders>
              <w:top w:val="single" w:sz="4" w:space="0" w:color="auto"/>
              <w:bottom w:val="single" w:sz="4" w:space="0" w:color="auto"/>
              <w:right w:val="single" w:sz="4" w:space="0" w:color="auto"/>
            </w:tcBorders>
            <w:vAlign w:val="center"/>
          </w:tcPr>
          <w:p w:rsidR="005B2B0D" w:rsidRPr="00737872" w:rsidRDefault="005B2B0D" w:rsidP="00737872">
            <w:pPr>
              <w:bidi w:val="0"/>
              <w:snapToGrid w:val="0"/>
              <w:jc w:val="both"/>
              <w:rPr>
                <w:szCs w:val="18"/>
                <w:lang w:bidi="ar-EG"/>
              </w:rPr>
            </w:pPr>
            <w:r w:rsidRPr="00737872">
              <w:rPr>
                <w:szCs w:val="18"/>
                <w:lang w:bidi="ar-EG"/>
              </w:rPr>
              <w:t>10</w:t>
            </w:r>
          </w:p>
        </w:tc>
      </w:tr>
      <w:tr w:rsidR="00C91307" w:rsidRPr="00737872" w:rsidTr="00BF7D07">
        <w:trPr>
          <w:jc w:val="center"/>
        </w:trPr>
        <w:tc>
          <w:tcPr>
            <w:tcW w:w="566" w:type="pct"/>
            <w:vMerge w:val="restart"/>
            <w:tcBorders>
              <w:top w:val="double" w:sz="4" w:space="0" w:color="auto"/>
              <w:left w:val="single" w:sz="4" w:space="0" w:color="auto"/>
            </w:tcBorders>
            <w:vAlign w:val="center"/>
          </w:tcPr>
          <w:p w:rsidR="005B2B0D" w:rsidRPr="00737872" w:rsidRDefault="005B2B0D" w:rsidP="00737872">
            <w:pPr>
              <w:bidi w:val="0"/>
              <w:snapToGrid w:val="0"/>
              <w:jc w:val="both"/>
              <w:rPr>
                <w:b/>
                <w:bCs/>
                <w:szCs w:val="18"/>
                <w:lang w:bidi="ar-EG"/>
              </w:rPr>
            </w:pPr>
            <w:r w:rsidRPr="00737872">
              <w:rPr>
                <w:b/>
                <w:bCs/>
                <w:szCs w:val="18"/>
                <w:lang w:bidi="ar-EG"/>
              </w:rPr>
              <w:t>Stage</w:t>
            </w:r>
          </w:p>
        </w:tc>
        <w:tc>
          <w:tcPr>
            <w:tcW w:w="2984" w:type="pct"/>
            <w:tcBorders>
              <w:top w:val="double" w:sz="4" w:space="0" w:color="auto"/>
            </w:tcBorders>
            <w:vAlign w:val="center"/>
          </w:tcPr>
          <w:p w:rsidR="005B2B0D" w:rsidRPr="00737872" w:rsidRDefault="005B2B0D" w:rsidP="00737872">
            <w:pPr>
              <w:bidi w:val="0"/>
              <w:snapToGrid w:val="0"/>
              <w:jc w:val="both"/>
              <w:rPr>
                <w:szCs w:val="18"/>
              </w:rPr>
            </w:pPr>
            <w:r w:rsidRPr="00737872">
              <w:rPr>
                <w:szCs w:val="18"/>
              </w:rPr>
              <w:t>II</w:t>
            </w:r>
          </w:p>
        </w:tc>
        <w:tc>
          <w:tcPr>
            <w:tcW w:w="585" w:type="pct"/>
            <w:tcBorders>
              <w:top w:val="double" w:sz="4" w:space="0" w:color="auto"/>
            </w:tcBorders>
            <w:vAlign w:val="center"/>
          </w:tcPr>
          <w:p w:rsidR="005B2B0D" w:rsidRPr="00737872" w:rsidRDefault="005B2B0D" w:rsidP="00737872">
            <w:pPr>
              <w:bidi w:val="0"/>
              <w:snapToGrid w:val="0"/>
              <w:jc w:val="both"/>
              <w:rPr>
                <w:szCs w:val="18"/>
                <w:lang w:bidi="ar-EG"/>
              </w:rPr>
            </w:pPr>
            <w:r w:rsidRPr="00737872">
              <w:rPr>
                <w:szCs w:val="18"/>
                <w:lang w:bidi="ar-EG"/>
              </w:rPr>
              <w:t>3</w:t>
            </w:r>
          </w:p>
        </w:tc>
        <w:tc>
          <w:tcPr>
            <w:tcW w:w="865" w:type="pct"/>
            <w:tcBorders>
              <w:top w:val="double" w:sz="4" w:space="0" w:color="auto"/>
              <w:right w:val="single" w:sz="4" w:space="0" w:color="auto"/>
            </w:tcBorders>
            <w:vAlign w:val="center"/>
          </w:tcPr>
          <w:p w:rsidR="005B2B0D" w:rsidRPr="00737872" w:rsidRDefault="005B2B0D" w:rsidP="00737872">
            <w:pPr>
              <w:bidi w:val="0"/>
              <w:snapToGrid w:val="0"/>
              <w:jc w:val="both"/>
              <w:rPr>
                <w:szCs w:val="18"/>
                <w:lang w:bidi="ar-EG"/>
              </w:rPr>
            </w:pPr>
            <w:r w:rsidRPr="00737872">
              <w:rPr>
                <w:szCs w:val="18"/>
                <w:lang w:bidi="ar-EG"/>
              </w:rPr>
              <w:t>10</w:t>
            </w:r>
          </w:p>
        </w:tc>
      </w:tr>
      <w:tr w:rsidR="00C91307" w:rsidRPr="00737872" w:rsidTr="00BF7D07">
        <w:trPr>
          <w:jc w:val="center"/>
        </w:trPr>
        <w:tc>
          <w:tcPr>
            <w:tcW w:w="566" w:type="pct"/>
            <w:vMerge/>
            <w:tcBorders>
              <w:left w:val="single" w:sz="4" w:space="0" w:color="auto"/>
            </w:tcBorders>
            <w:vAlign w:val="center"/>
          </w:tcPr>
          <w:p w:rsidR="005B2B0D" w:rsidRPr="00737872" w:rsidRDefault="005B2B0D" w:rsidP="00737872">
            <w:pPr>
              <w:bidi w:val="0"/>
              <w:snapToGrid w:val="0"/>
              <w:jc w:val="both"/>
              <w:rPr>
                <w:szCs w:val="18"/>
                <w:lang w:bidi="ar-EG"/>
              </w:rPr>
            </w:pPr>
          </w:p>
        </w:tc>
        <w:tc>
          <w:tcPr>
            <w:tcW w:w="2984" w:type="pct"/>
            <w:tcBorders>
              <w:bottom w:val="single" w:sz="4" w:space="0" w:color="auto"/>
            </w:tcBorders>
            <w:vAlign w:val="center"/>
          </w:tcPr>
          <w:p w:rsidR="005B2B0D" w:rsidRPr="00737872" w:rsidRDefault="005B2B0D" w:rsidP="00737872">
            <w:pPr>
              <w:bidi w:val="0"/>
              <w:snapToGrid w:val="0"/>
              <w:jc w:val="both"/>
              <w:rPr>
                <w:szCs w:val="18"/>
              </w:rPr>
            </w:pPr>
            <w:r w:rsidRPr="00737872">
              <w:rPr>
                <w:szCs w:val="18"/>
              </w:rPr>
              <w:t>III</w:t>
            </w:r>
          </w:p>
        </w:tc>
        <w:tc>
          <w:tcPr>
            <w:tcW w:w="585" w:type="pct"/>
            <w:tcBorders>
              <w:bottom w:val="single" w:sz="4" w:space="0" w:color="auto"/>
            </w:tcBorders>
            <w:vAlign w:val="center"/>
          </w:tcPr>
          <w:p w:rsidR="005B2B0D" w:rsidRPr="00737872" w:rsidRDefault="005B2B0D" w:rsidP="00737872">
            <w:pPr>
              <w:bidi w:val="0"/>
              <w:snapToGrid w:val="0"/>
              <w:jc w:val="both"/>
              <w:rPr>
                <w:szCs w:val="18"/>
                <w:lang w:bidi="ar-EG"/>
              </w:rPr>
            </w:pPr>
            <w:r w:rsidRPr="00737872">
              <w:rPr>
                <w:szCs w:val="18"/>
                <w:lang w:bidi="ar-EG"/>
              </w:rPr>
              <w:t>22</w:t>
            </w:r>
          </w:p>
        </w:tc>
        <w:tc>
          <w:tcPr>
            <w:tcW w:w="865" w:type="pct"/>
            <w:tcBorders>
              <w:bottom w:val="single" w:sz="4" w:space="0" w:color="auto"/>
              <w:right w:val="single" w:sz="4" w:space="0" w:color="auto"/>
            </w:tcBorders>
            <w:vAlign w:val="center"/>
          </w:tcPr>
          <w:p w:rsidR="005B2B0D" w:rsidRPr="00737872" w:rsidRDefault="005B2B0D" w:rsidP="00737872">
            <w:pPr>
              <w:bidi w:val="0"/>
              <w:snapToGrid w:val="0"/>
              <w:jc w:val="both"/>
              <w:rPr>
                <w:szCs w:val="18"/>
                <w:lang w:bidi="ar-EG"/>
              </w:rPr>
            </w:pPr>
            <w:r w:rsidRPr="00737872">
              <w:rPr>
                <w:szCs w:val="18"/>
                <w:lang w:bidi="ar-EG"/>
              </w:rPr>
              <w:t>73.3</w:t>
            </w:r>
          </w:p>
        </w:tc>
      </w:tr>
      <w:tr w:rsidR="00C91307" w:rsidRPr="00737872" w:rsidTr="00BF7D07">
        <w:trPr>
          <w:jc w:val="center"/>
        </w:trPr>
        <w:tc>
          <w:tcPr>
            <w:tcW w:w="566" w:type="pct"/>
            <w:vMerge/>
            <w:tcBorders>
              <w:left w:val="single" w:sz="4" w:space="0" w:color="auto"/>
            </w:tcBorders>
            <w:vAlign w:val="center"/>
          </w:tcPr>
          <w:p w:rsidR="005B2B0D" w:rsidRPr="00737872" w:rsidRDefault="005B2B0D" w:rsidP="00737872">
            <w:pPr>
              <w:bidi w:val="0"/>
              <w:snapToGrid w:val="0"/>
              <w:jc w:val="both"/>
              <w:rPr>
                <w:b/>
                <w:bCs/>
                <w:szCs w:val="18"/>
                <w:lang w:bidi="ar-EG"/>
              </w:rPr>
            </w:pPr>
          </w:p>
        </w:tc>
        <w:tc>
          <w:tcPr>
            <w:tcW w:w="2984" w:type="pct"/>
            <w:tcBorders>
              <w:top w:val="single" w:sz="4" w:space="0" w:color="auto"/>
            </w:tcBorders>
            <w:vAlign w:val="center"/>
          </w:tcPr>
          <w:p w:rsidR="005B2B0D" w:rsidRPr="00737872" w:rsidRDefault="005B2B0D" w:rsidP="00737872">
            <w:pPr>
              <w:bidi w:val="0"/>
              <w:snapToGrid w:val="0"/>
              <w:jc w:val="both"/>
              <w:rPr>
                <w:szCs w:val="18"/>
                <w:lang w:bidi="ar-EG"/>
              </w:rPr>
            </w:pPr>
            <w:r w:rsidRPr="00737872">
              <w:rPr>
                <w:szCs w:val="18"/>
              </w:rPr>
              <w:t>IV A</w:t>
            </w:r>
          </w:p>
        </w:tc>
        <w:tc>
          <w:tcPr>
            <w:tcW w:w="585" w:type="pct"/>
            <w:tcBorders>
              <w:top w:val="single" w:sz="4" w:space="0" w:color="auto"/>
            </w:tcBorders>
            <w:vAlign w:val="center"/>
          </w:tcPr>
          <w:p w:rsidR="005B2B0D" w:rsidRPr="00737872" w:rsidRDefault="005B2B0D" w:rsidP="00737872">
            <w:pPr>
              <w:bidi w:val="0"/>
              <w:snapToGrid w:val="0"/>
              <w:jc w:val="both"/>
              <w:rPr>
                <w:szCs w:val="18"/>
                <w:lang w:bidi="ar-EG"/>
              </w:rPr>
            </w:pPr>
            <w:r w:rsidRPr="00737872">
              <w:rPr>
                <w:szCs w:val="18"/>
                <w:lang w:bidi="ar-EG"/>
              </w:rPr>
              <w:t>2</w:t>
            </w:r>
          </w:p>
        </w:tc>
        <w:tc>
          <w:tcPr>
            <w:tcW w:w="865" w:type="pct"/>
            <w:tcBorders>
              <w:top w:val="single" w:sz="4" w:space="0" w:color="auto"/>
              <w:right w:val="single" w:sz="4" w:space="0" w:color="auto"/>
            </w:tcBorders>
            <w:vAlign w:val="center"/>
          </w:tcPr>
          <w:p w:rsidR="005B2B0D" w:rsidRPr="00737872" w:rsidRDefault="005B2B0D" w:rsidP="00737872">
            <w:pPr>
              <w:bidi w:val="0"/>
              <w:snapToGrid w:val="0"/>
              <w:jc w:val="both"/>
              <w:rPr>
                <w:szCs w:val="18"/>
                <w:lang w:bidi="ar-EG"/>
              </w:rPr>
            </w:pPr>
            <w:r w:rsidRPr="00737872">
              <w:rPr>
                <w:szCs w:val="18"/>
                <w:lang w:bidi="ar-EG"/>
              </w:rPr>
              <w:t>6.7</w:t>
            </w:r>
          </w:p>
        </w:tc>
      </w:tr>
      <w:tr w:rsidR="00C91307" w:rsidRPr="00737872" w:rsidTr="00BF7D07">
        <w:trPr>
          <w:jc w:val="center"/>
        </w:trPr>
        <w:tc>
          <w:tcPr>
            <w:tcW w:w="566" w:type="pct"/>
            <w:vMerge/>
            <w:tcBorders>
              <w:left w:val="single" w:sz="4" w:space="0" w:color="auto"/>
              <w:bottom w:val="single" w:sz="4" w:space="0" w:color="auto"/>
            </w:tcBorders>
            <w:vAlign w:val="center"/>
          </w:tcPr>
          <w:p w:rsidR="005B2B0D" w:rsidRPr="00737872" w:rsidRDefault="005B2B0D" w:rsidP="00737872">
            <w:pPr>
              <w:bidi w:val="0"/>
              <w:snapToGrid w:val="0"/>
              <w:jc w:val="both"/>
              <w:rPr>
                <w:szCs w:val="18"/>
                <w:lang w:bidi="ar-EG"/>
              </w:rPr>
            </w:pPr>
          </w:p>
        </w:tc>
        <w:tc>
          <w:tcPr>
            <w:tcW w:w="2984" w:type="pct"/>
            <w:tcBorders>
              <w:bottom w:val="single" w:sz="4" w:space="0" w:color="auto"/>
            </w:tcBorders>
            <w:vAlign w:val="center"/>
          </w:tcPr>
          <w:p w:rsidR="005B2B0D" w:rsidRPr="00737872" w:rsidRDefault="005B2B0D" w:rsidP="00737872">
            <w:pPr>
              <w:bidi w:val="0"/>
              <w:snapToGrid w:val="0"/>
              <w:jc w:val="both"/>
              <w:rPr>
                <w:szCs w:val="18"/>
              </w:rPr>
            </w:pPr>
            <w:r w:rsidRPr="00737872">
              <w:rPr>
                <w:szCs w:val="18"/>
              </w:rPr>
              <w:t>IV B</w:t>
            </w:r>
          </w:p>
        </w:tc>
        <w:tc>
          <w:tcPr>
            <w:tcW w:w="585" w:type="pct"/>
            <w:tcBorders>
              <w:bottom w:val="single" w:sz="4" w:space="0" w:color="auto"/>
            </w:tcBorders>
            <w:vAlign w:val="center"/>
          </w:tcPr>
          <w:p w:rsidR="005B2B0D" w:rsidRPr="00737872" w:rsidRDefault="005B2B0D" w:rsidP="00737872">
            <w:pPr>
              <w:bidi w:val="0"/>
              <w:snapToGrid w:val="0"/>
              <w:jc w:val="both"/>
              <w:rPr>
                <w:szCs w:val="18"/>
                <w:lang w:bidi="ar-EG"/>
              </w:rPr>
            </w:pPr>
            <w:r w:rsidRPr="00737872">
              <w:rPr>
                <w:szCs w:val="18"/>
                <w:lang w:bidi="ar-EG"/>
              </w:rPr>
              <w:t>3</w:t>
            </w:r>
          </w:p>
        </w:tc>
        <w:tc>
          <w:tcPr>
            <w:tcW w:w="865" w:type="pct"/>
            <w:tcBorders>
              <w:bottom w:val="single" w:sz="4" w:space="0" w:color="auto"/>
              <w:right w:val="single" w:sz="4" w:space="0" w:color="auto"/>
            </w:tcBorders>
            <w:vAlign w:val="center"/>
          </w:tcPr>
          <w:p w:rsidR="005B2B0D" w:rsidRPr="00737872" w:rsidRDefault="005B2B0D" w:rsidP="00737872">
            <w:pPr>
              <w:bidi w:val="0"/>
              <w:snapToGrid w:val="0"/>
              <w:jc w:val="both"/>
              <w:rPr>
                <w:szCs w:val="18"/>
                <w:lang w:bidi="ar-EG"/>
              </w:rPr>
            </w:pPr>
            <w:r w:rsidRPr="00737872">
              <w:rPr>
                <w:szCs w:val="18"/>
                <w:lang w:bidi="ar-EG"/>
              </w:rPr>
              <w:t>10</w:t>
            </w:r>
          </w:p>
        </w:tc>
      </w:tr>
    </w:tbl>
    <w:p w:rsidR="005720B0" w:rsidRPr="00737872" w:rsidRDefault="005720B0" w:rsidP="00737872">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737872">
        <w:rPr>
          <w:rFonts w:ascii="Times New Roman" w:hAnsi="Times New Roman" w:cs="Times New Roman"/>
          <w:sz w:val="20"/>
          <w:szCs w:val="20"/>
        </w:rPr>
        <w:t>SD: standard deviation, PS: performance status, T: tumor size, N: nodal status.</w:t>
      </w:r>
    </w:p>
    <w:p w:rsidR="00737872" w:rsidRDefault="00BF7D07" w:rsidP="00737872">
      <w:pPr>
        <w:bidi w:val="0"/>
        <w:snapToGrid w:val="0"/>
        <w:spacing w:after="0" w:line="240" w:lineRule="auto"/>
        <w:jc w:val="both"/>
        <w:rPr>
          <w:rFonts w:ascii="Times New Roman" w:hAnsi="Times New Roman" w:cs="Times New Roman"/>
          <w:b/>
          <w:bCs/>
          <w:sz w:val="20"/>
          <w:szCs w:val="20"/>
          <w:lang w:eastAsia="ar-SA"/>
        </w:rPr>
        <w:sectPr w:rsidR="00737872" w:rsidSect="00BF7D07">
          <w:type w:val="continuous"/>
          <w:pgSz w:w="12242" w:h="15842" w:code="1"/>
          <w:pgMar w:top="1440" w:right="1440" w:bottom="1440" w:left="1440" w:header="720" w:footer="720" w:gutter="0"/>
          <w:cols w:space="720"/>
          <w:docGrid w:linePitch="360"/>
        </w:sectPr>
      </w:pPr>
      <w:r w:rsidRPr="00737872">
        <w:rPr>
          <w:rFonts w:ascii="Times New Roman" w:hAnsi="Times New Roman" w:cs="Times New Roman"/>
          <w:b/>
          <w:bCs/>
          <w:sz w:val="20"/>
          <w:szCs w:val="20"/>
          <w:lang w:eastAsia="ar-SA"/>
        </w:rPr>
        <w:cr/>
      </w:r>
    </w:p>
    <w:p w:rsidR="005B2B0D" w:rsidRPr="00737872" w:rsidRDefault="005720B0" w:rsidP="00737872">
      <w:pPr>
        <w:bidi w:val="0"/>
        <w:snapToGrid w:val="0"/>
        <w:spacing w:after="0" w:line="240" w:lineRule="auto"/>
        <w:jc w:val="both"/>
        <w:rPr>
          <w:rFonts w:ascii="Times New Roman" w:hAnsi="Times New Roman" w:cs="Times New Roman"/>
          <w:b/>
          <w:bCs/>
          <w:sz w:val="20"/>
          <w:szCs w:val="20"/>
          <w:lang w:eastAsia="ar-SA"/>
        </w:rPr>
      </w:pPr>
      <w:r w:rsidRPr="00737872">
        <w:rPr>
          <w:rFonts w:ascii="Times New Roman" w:hAnsi="Times New Roman" w:cs="Times New Roman"/>
          <w:b/>
          <w:bCs/>
          <w:sz w:val="20"/>
          <w:szCs w:val="20"/>
          <w:lang w:eastAsia="ar-SA"/>
        </w:rPr>
        <w:lastRenderedPageBreak/>
        <w:t>Treatmen</w:t>
      </w:r>
      <w:r w:rsidR="002C5448" w:rsidRPr="00737872">
        <w:rPr>
          <w:rFonts w:ascii="Times New Roman" w:hAnsi="Times New Roman" w:cs="Times New Roman"/>
          <w:b/>
          <w:bCs/>
          <w:sz w:val="20"/>
          <w:szCs w:val="20"/>
          <w:lang w:eastAsia="ar-SA"/>
        </w:rPr>
        <w:t>t outcome:</w:t>
      </w:r>
    </w:p>
    <w:p w:rsidR="005720B0" w:rsidRPr="00737872" w:rsidRDefault="005720B0" w:rsidP="00737872">
      <w:pPr>
        <w:bidi w:val="0"/>
        <w:snapToGrid w:val="0"/>
        <w:spacing w:after="0" w:line="240" w:lineRule="auto"/>
        <w:ind w:firstLine="425"/>
        <w:jc w:val="both"/>
        <w:rPr>
          <w:rFonts w:ascii="Times New Roman" w:hAnsi="Times New Roman" w:cs="Times New Roman"/>
          <w:b/>
          <w:bCs/>
          <w:sz w:val="20"/>
          <w:szCs w:val="20"/>
          <w:lang w:eastAsia="ar-SA"/>
        </w:rPr>
      </w:pPr>
      <w:r w:rsidRPr="00737872">
        <w:rPr>
          <w:rFonts w:ascii="Times New Roman" w:hAnsi="Times New Roman" w:cs="Times New Roman"/>
          <w:sz w:val="20"/>
          <w:szCs w:val="20"/>
        </w:rPr>
        <w:t xml:space="preserve">All patients treated with concurrent </w:t>
      </w:r>
      <w:proofErr w:type="spellStart"/>
      <w:r w:rsidRPr="00737872">
        <w:rPr>
          <w:rFonts w:ascii="Times New Roman" w:hAnsi="Times New Roman" w:cs="Times New Roman"/>
          <w:sz w:val="20"/>
          <w:szCs w:val="20"/>
        </w:rPr>
        <w:t>chemoradiotherpy</w:t>
      </w:r>
      <w:proofErr w:type="spellEnd"/>
      <w:r w:rsidRPr="00737872">
        <w:rPr>
          <w:rFonts w:ascii="Times New Roman" w:hAnsi="Times New Roman" w:cs="Times New Roman"/>
          <w:sz w:val="20"/>
          <w:szCs w:val="20"/>
        </w:rPr>
        <w:t xml:space="preserve"> using weekly </w:t>
      </w:r>
      <w:proofErr w:type="spellStart"/>
      <w:r w:rsidRPr="00737872">
        <w:rPr>
          <w:rFonts w:ascii="Times New Roman" w:hAnsi="Times New Roman" w:cs="Times New Roman"/>
          <w:sz w:val="20"/>
          <w:szCs w:val="20"/>
        </w:rPr>
        <w:t>cisplatin</w:t>
      </w:r>
      <w:proofErr w:type="spellEnd"/>
      <w:r w:rsidRPr="00737872">
        <w:rPr>
          <w:rFonts w:ascii="Times New Roman" w:hAnsi="Times New Roman" w:cs="Times New Roman"/>
          <w:sz w:val="20"/>
          <w:szCs w:val="20"/>
        </w:rPr>
        <w:t xml:space="preserve"> 40 mg/m2 and IMRT-SIB. Seventeen patients received all seven cycles of weekly concurrent </w:t>
      </w:r>
      <w:proofErr w:type="spellStart"/>
      <w:r w:rsidRPr="00737872">
        <w:rPr>
          <w:rFonts w:ascii="Times New Roman" w:hAnsi="Times New Roman" w:cs="Times New Roman"/>
          <w:sz w:val="20"/>
          <w:szCs w:val="20"/>
        </w:rPr>
        <w:t>cisplatin</w:t>
      </w:r>
      <w:proofErr w:type="spellEnd"/>
      <w:r w:rsidRPr="00737872">
        <w:rPr>
          <w:rFonts w:ascii="Times New Roman" w:hAnsi="Times New Roman" w:cs="Times New Roman"/>
          <w:sz w:val="20"/>
          <w:szCs w:val="20"/>
        </w:rPr>
        <w:t xml:space="preserve">, whereas nine patients received six concurrent cycles. Only four patients received five concurrent cycles. Omission of weekly </w:t>
      </w:r>
      <w:proofErr w:type="spellStart"/>
      <w:r w:rsidRPr="00737872">
        <w:rPr>
          <w:rFonts w:ascii="Times New Roman" w:hAnsi="Times New Roman" w:cs="Times New Roman"/>
          <w:sz w:val="20"/>
          <w:szCs w:val="20"/>
        </w:rPr>
        <w:t>cisplatin</w:t>
      </w:r>
      <w:proofErr w:type="spellEnd"/>
      <w:r w:rsidRPr="00737872">
        <w:rPr>
          <w:rFonts w:ascii="Times New Roman" w:hAnsi="Times New Roman" w:cs="Times New Roman"/>
          <w:sz w:val="20"/>
          <w:szCs w:val="20"/>
        </w:rPr>
        <w:t xml:space="preserve"> was due to </w:t>
      </w:r>
      <w:proofErr w:type="spellStart"/>
      <w:r w:rsidRPr="00737872">
        <w:rPr>
          <w:rFonts w:ascii="Times New Roman" w:hAnsi="Times New Roman" w:cs="Times New Roman"/>
          <w:sz w:val="20"/>
          <w:szCs w:val="20"/>
        </w:rPr>
        <w:t>neutropenia</w:t>
      </w:r>
      <w:proofErr w:type="spellEnd"/>
      <w:r w:rsidRPr="00737872">
        <w:rPr>
          <w:rFonts w:ascii="Times New Roman" w:hAnsi="Times New Roman" w:cs="Times New Roman"/>
          <w:sz w:val="20"/>
          <w:szCs w:val="20"/>
        </w:rPr>
        <w:t xml:space="preserve">, anemia and </w:t>
      </w:r>
      <w:proofErr w:type="spellStart"/>
      <w:r w:rsidRPr="00737872">
        <w:rPr>
          <w:rFonts w:ascii="Times New Roman" w:hAnsi="Times New Roman" w:cs="Times New Roman"/>
          <w:sz w:val="20"/>
          <w:szCs w:val="20"/>
        </w:rPr>
        <w:t>mucositis</w:t>
      </w:r>
      <w:proofErr w:type="spellEnd"/>
      <w:r w:rsidRPr="00737872">
        <w:rPr>
          <w:rFonts w:ascii="Times New Roman" w:hAnsi="Times New Roman" w:cs="Times New Roman"/>
          <w:sz w:val="20"/>
          <w:szCs w:val="20"/>
        </w:rPr>
        <w:t>.</w:t>
      </w:r>
      <w:r w:rsidR="00F76000" w:rsidRPr="00737872">
        <w:rPr>
          <w:rFonts w:ascii="Times New Roman" w:hAnsi="Times New Roman" w:cs="Times New Roman"/>
          <w:sz w:val="20"/>
          <w:szCs w:val="20"/>
          <w:lang w:eastAsia="zh-CN"/>
        </w:rPr>
        <w:t xml:space="preserve"> </w:t>
      </w:r>
      <w:r w:rsidR="001156CD" w:rsidRPr="00737872">
        <w:rPr>
          <w:rFonts w:ascii="Times New Roman" w:hAnsi="Times New Roman" w:cs="Times New Roman"/>
          <w:sz w:val="20"/>
          <w:szCs w:val="20"/>
          <w:lang w:eastAsia="ar-SA"/>
        </w:rPr>
        <w:t>With a last follow up on April 2018, median follow up was 26.5 months (range 11-34 months).</w:t>
      </w:r>
    </w:p>
    <w:p w:rsidR="007641E0" w:rsidRPr="00737872" w:rsidRDefault="007641E0" w:rsidP="00737872">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737872">
        <w:rPr>
          <w:rFonts w:ascii="Times New Roman" w:hAnsi="Times New Roman" w:cs="Times New Roman"/>
          <w:sz w:val="20"/>
          <w:szCs w:val="20"/>
        </w:rPr>
        <w:t>Treatment response</w:t>
      </w:r>
      <w:r w:rsidR="00F76000" w:rsidRPr="00737872">
        <w:rPr>
          <w:rFonts w:ascii="Times New Roman" w:hAnsi="Times New Roman" w:cs="Times New Roman"/>
          <w:sz w:val="20"/>
          <w:szCs w:val="20"/>
          <w:lang w:eastAsia="zh-CN"/>
        </w:rPr>
        <w:t xml:space="preserve"> </w:t>
      </w:r>
      <w:r w:rsidRPr="00737872">
        <w:rPr>
          <w:rFonts w:ascii="Times New Roman" w:hAnsi="Times New Roman" w:cs="Times New Roman"/>
          <w:sz w:val="20"/>
          <w:szCs w:val="20"/>
        </w:rPr>
        <w:t xml:space="preserve">assessed 4 weeks after end of concurrent </w:t>
      </w:r>
      <w:proofErr w:type="spellStart"/>
      <w:r w:rsidRPr="00737872">
        <w:rPr>
          <w:rFonts w:ascii="Times New Roman" w:hAnsi="Times New Roman" w:cs="Times New Roman"/>
          <w:sz w:val="20"/>
          <w:szCs w:val="20"/>
        </w:rPr>
        <w:t>chemoradiotherapy</w:t>
      </w:r>
      <w:proofErr w:type="spellEnd"/>
      <w:r w:rsidRPr="00737872">
        <w:rPr>
          <w:rFonts w:ascii="Times New Roman" w:hAnsi="Times New Roman" w:cs="Times New Roman"/>
          <w:sz w:val="20"/>
          <w:szCs w:val="20"/>
        </w:rPr>
        <w:t xml:space="preserve">, out of the 30 patients, 22 patients (73.33%) achieved complete remission whereas 5 patients (16.67 %) had partial remission, 2 patients (6.67%) had stable disease and one patient progressed. On correlation between tumor response and patients' characteristics, we found that all patients </w:t>
      </w:r>
      <w:r w:rsidRPr="00737872">
        <w:rPr>
          <w:rFonts w:ascii="Times New Roman" w:hAnsi="Times New Roman" w:cs="Times New Roman"/>
          <w:sz w:val="20"/>
          <w:szCs w:val="20"/>
        </w:rPr>
        <w:lastRenderedPageBreak/>
        <w:t>who had T1 or N1 disease achieved CR,</w:t>
      </w:r>
      <w:r w:rsidR="0040422D" w:rsidRPr="00737872">
        <w:rPr>
          <w:rFonts w:ascii="Times New Roman" w:hAnsi="Times New Roman" w:cs="Times New Roman"/>
          <w:sz w:val="20"/>
          <w:szCs w:val="20"/>
        </w:rPr>
        <w:t xml:space="preserve"> whereas</w:t>
      </w:r>
      <w:r w:rsidRPr="00737872">
        <w:rPr>
          <w:rFonts w:ascii="Times New Roman" w:hAnsi="Times New Roman" w:cs="Times New Roman"/>
          <w:sz w:val="20"/>
          <w:szCs w:val="20"/>
        </w:rPr>
        <w:t xml:space="preserve"> worse outcome observed in patients with N2-3. The progressed case was male, had T4 disease and undifferentiated non keratinizing histology.</w:t>
      </w:r>
    </w:p>
    <w:p w:rsidR="00BF7D07" w:rsidRPr="00737872" w:rsidRDefault="00273369" w:rsidP="00A60B24">
      <w:pPr>
        <w:autoSpaceDE w:val="0"/>
        <w:autoSpaceDN w:val="0"/>
        <w:bidi w:val="0"/>
        <w:adjustRightInd w:val="0"/>
        <w:snapToGrid w:val="0"/>
        <w:spacing w:after="0" w:line="240" w:lineRule="auto"/>
        <w:ind w:firstLine="425"/>
        <w:jc w:val="both"/>
        <w:rPr>
          <w:rFonts w:ascii="Times New Roman" w:hAnsi="Times New Roman" w:cs="Times New Roman"/>
          <w:b/>
          <w:bCs/>
          <w:i/>
          <w:iCs/>
          <w:sz w:val="20"/>
          <w:szCs w:val="20"/>
        </w:rPr>
      </w:pPr>
      <w:r w:rsidRPr="00737872">
        <w:rPr>
          <w:rFonts w:ascii="Times New Roman" w:hAnsi="Times New Roman" w:cs="Times New Roman"/>
          <w:sz w:val="20"/>
          <w:szCs w:val="20"/>
        </w:rPr>
        <w:t xml:space="preserve">At 2 years, 3 patients (10 %) had </w:t>
      </w:r>
      <w:proofErr w:type="spellStart"/>
      <w:r w:rsidRPr="00737872">
        <w:rPr>
          <w:rFonts w:ascii="Times New Roman" w:hAnsi="Times New Roman" w:cs="Times New Roman"/>
          <w:sz w:val="20"/>
          <w:szCs w:val="20"/>
        </w:rPr>
        <w:t>locoregional</w:t>
      </w:r>
      <w:proofErr w:type="spellEnd"/>
      <w:r w:rsidRPr="00737872">
        <w:rPr>
          <w:rFonts w:ascii="Times New Roman" w:hAnsi="Times New Roman" w:cs="Times New Roman"/>
          <w:sz w:val="20"/>
          <w:szCs w:val="20"/>
        </w:rPr>
        <w:t xml:space="preserve"> recurrence, two patients (6.7%) had distant metastasis, one patient had bone metastasis</w:t>
      </w:r>
      <w:r w:rsidR="00BF7D07" w:rsidRPr="00737872">
        <w:rPr>
          <w:rFonts w:ascii="Times New Roman" w:hAnsi="Times New Roman" w:cs="Times New Roman"/>
          <w:sz w:val="20"/>
          <w:szCs w:val="20"/>
        </w:rPr>
        <w:t xml:space="preserve"> &amp; </w:t>
      </w:r>
      <w:r w:rsidRPr="00737872">
        <w:rPr>
          <w:rFonts w:ascii="Times New Roman" w:hAnsi="Times New Roman" w:cs="Times New Roman"/>
          <w:sz w:val="20"/>
          <w:szCs w:val="20"/>
        </w:rPr>
        <w:t>the other one had lung metastasis and four patients died (13.3%)</w:t>
      </w:r>
      <w:r w:rsidR="00737872" w:rsidRPr="00737872">
        <w:rPr>
          <w:rFonts w:ascii="Times New Roman" w:hAnsi="Times New Roman" w:cs="Times New Roman"/>
          <w:sz w:val="20"/>
          <w:szCs w:val="20"/>
        </w:rPr>
        <w:t>.</w:t>
      </w:r>
      <w:r w:rsidR="00737872">
        <w:rPr>
          <w:rFonts w:ascii="Times New Roman" w:hAnsi="Times New Roman" w:cs="Times New Roman"/>
          <w:sz w:val="20"/>
          <w:szCs w:val="20"/>
        </w:rPr>
        <w:t xml:space="preserve"> </w:t>
      </w:r>
      <w:r w:rsidR="00737872" w:rsidRPr="00737872">
        <w:rPr>
          <w:rFonts w:ascii="Times New Roman" w:hAnsi="Times New Roman" w:cs="Times New Roman"/>
          <w:sz w:val="20"/>
          <w:szCs w:val="20"/>
        </w:rPr>
        <w:t>L</w:t>
      </w:r>
      <w:r w:rsidR="00D25AD1" w:rsidRPr="00737872">
        <w:rPr>
          <w:rFonts w:ascii="Times New Roman" w:hAnsi="Times New Roman" w:cs="Times New Roman"/>
          <w:sz w:val="20"/>
          <w:szCs w:val="20"/>
        </w:rPr>
        <w:t>RPF</w:t>
      </w:r>
      <w:r w:rsidR="00290439" w:rsidRPr="00737872">
        <w:rPr>
          <w:rFonts w:ascii="Times New Roman" w:hAnsi="Times New Roman" w:cs="Times New Roman"/>
          <w:sz w:val="20"/>
          <w:szCs w:val="20"/>
        </w:rPr>
        <w:t>,</w:t>
      </w:r>
      <w:r w:rsidRPr="00737872">
        <w:rPr>
          <w:rFonts w:ascii="Times New Roman" w:hAnsi="Times New Roman" w:cs="Times New Roman"/>
          <w:sz w:val="20"/>
          <w:szCs w:val="20"/>
        </w:rPr>
        <w:t xml:space="preserve"> DMPF </w:t>
      </w:r>
      <w:r w:rsidR="00290439" w:rsidRPr="00737872">
        <w:rPr>
          <w:rFonts w:ascii="Times New Roman" w:hAnsi="Times New Roman" w:cs="Times New Roman"/>
          <w:sz w:val="20"/>
          <w:szCs w:val="20"/>
        </w:rPr>
        <w:t>rates</w:t>
      </w:r>
      <w:r w:rsidR="00BF7D07" w:rsidRPr="00737872">
        <w:rPr>
          <w:rFonts w:ascii="Times New Roman" w:hAnsi="Times New Roman" w:cs="Times New Roman"/>
          <w:sz w:val="20"/>
          <w:szCs w:val="20"/>
        </w:rPr>
        <w:t xml:space="preserve"> &amp; </w:t>
      </w:r>
      <w:r w:rsidRPr="00737872">
        <w:rPr>
          <w:rFonts w:ascii="Times New Roman" w:hAnsi="Times New Roman" w:cs="Times New Roman"/>
          <w:sz w:val="20"/>
          <w:szCs w:val="20"/>
        </w:rPr>
        <w:t xml:space="preserve">OS were 89.3 %, 92.86% and 86.7% respectively. On </w:t>
      </w:r>
      <w:proofErr w:type="spellStart"/>
      <w:r w:rsidRPr="00737872">
        <w:rPr>
          <w:rFonts w:ascii="Times New Roman" w:hAnsi="Times New Roman" w:cs="Times New Roman"/>
          <w:sz w:val="20"/>
          <w:szCs w:val="20"/>
        </w:rPr>
        <w:t>univariate</w:t>
      </w:r>
      <w:proofErr w:type="spellEnd"/>
      <w:r w:rsidRPr="00737872">
        <w:rPr>
          <w:rFonts w:ascii="Times New Roman" w:hAnsi="Times New Roman" w:cs="Times New Roman"/>
          <w:sz w:val="20"/>
          <w:szCs w:val="20"/>
        </w:rPr>
        <w:t xml:space="preserve"> analysis of prognostic factors that may influence PFS and OS,</w:t>
      </w:r>
      <w:r w:rsidR="00F76000" w:rsidRPr="00737872">
        <w:rPr>
          <w:rFonts w:ascii="Times New Roman" w:hAnsi="Times New Roman" w:cs="Times New Roman"/>
          <w:sz w:val="20"/>
          <w:szCs w:val="20"/>
          <w:lang w:eastAsia="zh-CN"/>
        </w:rPr>
        <w:t xml:space="preserve"> </w:t>
      </w:r>
      <w:r w:rsidRPr="00737872">
        <w:rPr>
          <w:rFonts w:ascii="Times New Roman" w:hAnsi="Times New Roman" w:cs="Times New Roman"/>
          <w:sz w:val="20"/>
          <w:szCs w:val="20"/>
        </w:rPr>
        <w:t>both N-stage (N1 is better than N2-3, P = 0.001) and AJCC-stage (II is better than III than IV, P = 0.001) were significantly associated with OS. PFS was significantly influ</w:t>
      </w:r>
      <w:r w:rsidR="00D25AD1" w:rsidRPr="00737872">
        <w:rPr>
          <w:rFonts w:ascii="Times New Roman" w:hAnsi="Times New Roman" w:cs="Times New Roman"/>
          <w:sz w:val="20"/>
          <w:szCs w:val="20"/>
        </w:rPr>
        <w:t>enced by AJCC-stage (P &lt; 0.001)</w:t>
      </w:r>
      <w:r w:rsidR="00F76000" w:rsidRPr="00737872">
        <w:rPr>
          <w:rFonts w:ascii="Times New Roman" w:hAnsi="Times New Roman" w:cs="Times New Roman"/>
          <w:sz w:val="20"/>
          <w:szCs w:val="20"/>
          <w:lang w:eastAsia="zh-CN"/>
        </w:rPr>
        <w:t xml:space="preserve"> </w:t>
      </w:r>
      <w:r w:rsidR="0040422D" w:rsidRPr="00737872">
        <w:rPr>
          <w:rFonts w:ascii="Times New Roman" w:hAnsi="Times New Roman" w:cs="Times New Roman"/>
          <w:b/>
          <w:bCs/>
          <w:i/>
          <w:iCs/>
          <w:sz w:val="20"/>
          <w:szCs w:val="20"/>
        </w:rPr>
        <w:t>(T</w:t>
      </w:r>
      <w:r w:rsidRPr="00737872">
        <w:rPr>
          <w:rFonts w:ascii="Times New Roman" w:hAnsi="Times New Roman" w:cs="Times New Roman"/>
          <w:b/>
          <w:bCs/>
          <w:i/>
          <w:iCs/>
          <w:sz w:val="20"/>
          <w:szCs w:val="20"/>
        </w:rPr>
        <w:t xml:space="preserve">able </w:t>
      </w:r>
      <w:r w:rsidR="002E5DEE" w:rsidRPr="00737872">
        <w:rPr>
          <w:rFonts w:ascii="Times New Roman" w:hAnsi="Times New Roman" w:cs="Times New Roman"/>
          <w:b/>
          <w:bCs/>
          <w:i/>
          <w:iCs/>
          <w:sz w:val="20"/>
          <w:szCs w:val="20"/>
        </w:rPr>
        <w:t>2</w:t>
      </w:r>
      <w:r w:rsidRPr="00737872">
        <w:rPr>
          <w:rFonts w:ascii="Times New Roman" w:hAnsi="Times New Roman" w:cs="Times New Roman"/>
          <w:b/>
          <w:bCs/>
          <w:i/>
          <w:iCs/>
          <w:sz w:val="20"/>
          <w:szCs w:val="20"/>
        </w:rPr>
        <w:t>)</w:t>
      </w:r>
      <w:r w:rsidR="00AA2CB1" w:rsidRPr="00737872">
        <w:rPr>
          <w:rFonts w:ascii="Times New Roman" w:hAnsi="Times New Roman" w:cs="Times New Roman"/>
          <w:sz w:val="20"/>
          <w:szCs w:val="20"/>
        </w:rPr>
        <w:t>.</w:t>
      </w:r>
      <w:r w:rsidRPr="00737872">
        <w:rPr>
          <w:rFonts w:ascii="Times New Roman" w:hAnsi="Times New Roman" w:cs="Times New Roman"/>
          <w:sz w:val="20"/>
          <w:szCs w:val="20"/>
        </w:rPr>
        <w:t xml:space="preserve"> However, multivariate analysis showed that AJCC-stage was the only independent prognost</w:t>
      </w:r>
      <w:r w:rsidR="0040422D" w:rsidRPr="00737872">
        <w:rPr>
          <w:rFonts w:ascii="Times New Roman" w:hAnsi="Times New Roman" w:cs="Times New Roman"/>
          <w:sz w:val="20"/>
          <w:szCs w:val="20"/>
        </w:rPr>
        <w:t xml:space="preserve">ic factor for both PFS and OS. </w:t>
      </w:r>
      <w:r w:rsidR="0040422D" w:rsidRPr="00737872">
        <w:rPr>
          <w:rFonts w:ascii="Times New Roman" w:hAnsi="Times New Roman" w:cs="Times New Roman"/>
          <w:b/>
          <w:bCs/>
          <w:i/>
          <w:iCs/>
          <w:sz w:val="20"/>
          <w:szCs w:val="20"/>
        </w:rPr>
        <w:t>(T</w:t>
      </w:r>
      <w:r w:rsidRPr="00737872">
        <w:rPr>
          <w:rFonts w:ascii="Times New Roman" w:hAnsi="Times New Roman" w:cs="Times New Roman"/>
          <w:b/>
          <w:bCs/>
          <w:i/>
          <w:iCs/>
          <w:sz w:val="20"/>
          <w:szCs w:val="20"/>
        </w:rPr>
        <w:t xml:space="preserve">able </w:t>
      </w:r>
      <w:r w:rsidR="002E5DEE" w:rsidRPr="00737872">
        <w:rPr>
          <w:rFonts w:ascii="Times New Roman" w:hAnsi="Times New Roman" w:cs="Times New Roman"/>
          <w:b/>
          <w:bCs/>
          <w:i/>
          <w:iCs/>
          <w:sz w:val="20"/>
          <w:szCs w:val="20"/>
        </w:rPr>
        <w:t>3</w:t>
      </w:r>
      <w:r w:rsidRPr="00737872">
        <w:rPr>
          <w:rFonts w:ascii="Times New Roman" w:hAnsi="Times New Roman" w:cs="Times New Roman"/>
          <w:b/>
          <w:bCs/>
          <w:i/>
          <w:iCs/>
          <w:sz w:val="20"/>
          <w:szCs w:val="20"/>
        </w:rPr>
        <w:t xml:space="preserve">) </w:t>
      </w:r>
    </w:p>
    <w:p w:rsidR="00737872" w:rsidRDefault="00737872" w:rsidP="00737872">
      <w:pPr>
        <w:autoSpaceDE w:val="0"/>
        <w:autoSpaceDN w:val="0"/>
        <w:bidi w:val="0"/>
        <w:adjustRightInd w:val="0"/>
        <w:snapToGrid w:val="0"/>
        <w:spacing w:after="0" w:line="240" w:lineRule="auto"/>
        <w:jc w:val="center"/>
        <w:rPr>
          <w:rFonts w:ascii="Times New Roman" w:hAnsi="Times New Roman" w:cs="Times New Roman"/>
          <w:b/>
          <w:bCs/>
          <w:i/>
          <w:iCs/>
          <w:sz w:val="20"/>
          <w:szCs w:val="20"/>
        </w:rPr>
        <w:sectPr w:rsidR="00737872" w:rsidSect="00737872">
          <w:type w:val="continuous"/>
          <w:pgSz w:w="12242" w:h="15842" w:code="1"/>
          <w:pgMar w:top="1440" w:right="1440" w:bottom="1440" w:left="1440" w:header="720" w:footer="720" w:gutter="0"/>
          <w:cols w:num="2" w:space="550"/>
          <w:docGrid w:linePitch="360"/>
        </w:sectPr>
      </w:pPr>
    </w:p>
    <w:p w:rsidR="00A60B24" w:rsidRDefault="00A60B24" w:rsidP="00737872">
      <w:pPr>
        <w:autoSpaceDE w:val="0"/>
        <w:autoSpaceDN w:val="0"/>
        <w:bidi w:val="0"/>
        <w:adjustRightInd w:val="0"/>
        <w:snapToGrid w:val="0"/>
        <w:spacing w:after="0" w:line="240" w:lineRule="auto"/>
        <w:jc w:val="both"/>
        <w:rPr>
          <w:rFonts w:ascii="Times New Roman" w:hAnsi="Times New Roman" w:cs="Times New Roman" w:hint="eastAsia"/>
          <w:b/>
          <w:bCs/>
          <w:sz w:val="20"/>
          <w:szCs w:val="20"/>
          <w:lang w:eastAsia="zh-CN"/>
        </w:rPr>
      </w:pPr>
    </w:p>
    <w:p w:rsidR="00273369" w:rsidRPr="00737872" w:rsidRDefault="00273369" w:rsidP="00A60B24">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737872">
        <w:rPr>
          <w:rFonts w:ascii="Times New Roman" w:hAnsi="Times New Roman" w:cs="Times New Roman"/>
          <w:b/>
          <w:bCs/>
          <w:sz w:val="20"/>
          <w:szCs w:val="20"/>
        </w:rPr>
        <w:lastRenderedPageBreak/>
        <w:t>Table (</w:t>
      </w:r>
      <w:r w:rsidR="002E5DEE" w:rsidRPr="00737872">
        <w:rPr>
          <w:rFonts w:ascii="Times New Roman" w:hAnsi="Times New Roman" w:cs="Times New Roman"/>
          <w:b/>
          <w:bCs/>
          <w:sz w:val="20"/>
          <w:szCs w:val="20"/>
        </w:rPr>
        <w:t>2</w:t>
      </w:r>
      <w:r w:rsidRPr="00737872">
        <w:rPr>
          <w:rFonts w:ascii="Times New Roman" w:hAnsi="Times New Roman" w:cs="Times New Roman"/>
          <w:b/>
          <w:bCs/>
          <w:sz w:val="20"/>
          <w:szCs w:val="20"/>
        </w:rPr>
        <w:t xml:space="preserve">): </w:t>
      </w:r>
      <w:proofErr w:type="spellStart"/>
      <w:r w:rsidRPr="00737872">
        <w:rPr>
          <w:rFonts w:ascii="Times New Roman" w:hAnsi="Times New Roman" w:cs="Times New Roman"/>
          <w:sz w:val="20"/>
          <w:szCs w:val="20"/>
        </w:rPr>
        <w:t>Univariate</w:t>
      </w:r>
      <w:proofErr w:type="spellEnd"/>
      <w:r w:rsidRPr="00737872">
        <w:rPr>
          <w:rFonts w:ascii="Times New Roman" w:hAnsi="Times New Roman" w:cs="Times New Roman"/>
          <w:sz w:val="20"/>
          <w:szCs w:val="20"/>
        </w:rPr>
        <w:t xml:space="preserve"> analysis (Cox model) for progression free survival and overall survival with various prognostic factors</w:t>
      </w:r>
    </w:p>
    <w:tbl>
      <w:tblPr>
        <w:tblStyle w:val="TableGrid"/>
        <w:tblW w:w="5000" w:type="pct"/>
        <w:jc w:val="center"/>
        <w:tblCellMar>
          <w:left w:w="57" w:type="dxa"/>
          <w:right w:w="57" w:type="dxa"/>
        </w:tblCellMar>
        <w:tblLook w:val="01E0"/>
      </w:tblPr>
      <w:tblGrid>
        <w:gridCol w:w="4053"/>
        <w:gridCol w:w="1611"/>
        <w:gridCol w:w="1166"/>
        <w:gridCol w:w="1480"/>
        <w:gridCol w:w="1166"/>
      </w:tblGrid>
      <w:tr w:rsidR="00273369" w:rsidRPr="00737872" w:rsidTr="00BF7D07">
        <w:trPr>
          <w:jc w:val="center"/>
        </w:trPr>
        <w:tc>
          <w:tcPr>
            <w:tcW w:w="2138" w:type="pct"/>
            <w:vAlign w:val="center"/>
          </w:tcPr>
          <w:p w:rsidR="00273369" w:rsidRPr="00737872" w:rsidRDefault="00273369" w:rsidP="00737872">
            <w:pPr>
              <w:autoSpaceDE w:val="0"/>
              <w:autoSpaceDN w:val="0"/>
              <w:bidi w:val="0"/>
              <w:adjustRightInd w:val="0"/>
              <w:snapToGrid w:val="0"/>
              <w:jc w:val="both"/>
              <w:rPr>
                <w:b/>
                <w:bCs/>
                <w:sz w:val="19"/>
                <w:szCs w:val="19"/>
                <w:lang w:bidi="ar-EG"/>
              </w:rPr>
            </w:pPr>
            <w:r w:rsidRPr="00737872">
              <w:rPr>
                <w:b/>
                <w:bCs/>
                <w:sz w:val="19"/>
                <w:szCs w:val="19"/>
                <w:lang w:bidi="ar-EG"/>
              </w:rPr>
              <w:t>Item</w:t>
            </w:r>
          </w:p>
        </w:tc>
        <w:tc>
          <w:tcPr>
            <w:tcW w:w="850" w:type="pct"/>
            <w:vAlign w:val="center"/>
          </w:tcPr>
          <w:p w:rsidR="00273369" w:rsidRPr="00737872" w:rsidRDefault="00273369" w:rsidP="00737872">
            <w:pPr>
              <w:autoSpaceDE w:val="0"/>
              <w:autoSpaceDN w:val="0"/>
              <w:bidi w:val="0"/>
              <w:adjustRightInd w:val="0"/>
              <w:snapToGrid w:val="0"/>
              <w:jc w:val="both"/>
              <w:rPr>
                <w:b/>
                <w:bCs/>
                <w:sz w:val="19"/>
                <w:szCs w:val="19"/>
              </w:rPr>
            </w:pPr>
            <w:r w:rsidRPr="00737872">
              <w:rPr>
                <w:b/>
                <w:bCs/>
                <w:sz w:val="19"/>
                <w:szCs w:val="19"/>
              </w:rPr>
              <w:t>2-Year PFS</w:t>
            </w:r>
          </w:p>
        </w:tc>
        <w:tc>
          <w:tcPr>
            <w:tcW w:w="615" w:type="pct"/>
            <w:vAlign w:val="center"/>
          </w:tcPr>
          <w:p w:rsidR="00273369" w:rsidRPr="00737872" w:rsidRDefault="00273369" w:rsidP="00737872">
            <w:pPr>
              <w:autoSpaceDE w:val="0"/>
              <w:autoSpaceDN w:val="0"/>
              <w:bidi w:val="0"/>
              <w:adjustRightInd w:val="0"/>
              <w:snapToGrid w:val="0"/>
              <w:jc w:val="both"/>
              <w:rPr>
                <w:b/>
                <w:bCs/>
                <w:sz w:val="19"/>
                <w:szCs w:val="19"/>
              </w:rPr>
            </w:pPr>
            <w:r w:rsidRPr="00737872">
              <w:rPr>
                <w:b/>
                <w:bCs/>
                <w:sz w:val="19"/>
                <w:szCs w:val="19"/>
              </w:rPr>
              <w:t>P-Value</w:t>
            </w:r>
          </w:p>
        </w:tc>
        <w:tc>
          <w:tcPr>
            <w:tcW w:w="781" w:type="pct"/>
            <w:vAlign w:val="center"/>
          </w:tcPr>
          <w:p w:rsidR="00273369" w:rsidRPr="00737872" w:rsidRDefault="00273369" w:rsidP="00737872">
            <w:pPr>
              <w:autoSpaceDE w:val="0"/>
              <w:autoSpaceDN w:val="0"/>
              <w:bidi w:val="0"/>
              <w:adjustRightInd w:val="0"/>
              <w:snapToGrid w:val="0"/>
              <w:jc w:val="both"/>
              <w:rPr>
                <w:b/>
                <w:bCs/>
                <w:sz w:val="19"/>
                <w:szCs w:val="19"/>
              </w:rPr>
            </w:pPr>
            <w:r w:rsidRPr="00737872">
              <w:rPr>
                <w:b/>
                <w:bCs/>
                <w:sz w:val="19"/>
                <w:szCs w:val="19"/>
              </w:rPr>
              <w:t>2-Year OS</w:t>
            </w:r>
          </w:p>
        </w:tc>
        <w:tc>
          <w:tcPr>
            <w:tcW w:w="615" w:type="pct"/>
            <w:vAlign w:val="center"/>
          </w:tcPr>
          <w:p w:rsidR="00273369" w:rsidRPr="00737872" w:rsidRDefault="00273369" w:rsidP="00737872">
            <w:pPr>
              <w:autoSpaceDE w:val="0"/>
              <w:autoSpaceDN w:val="0"/>
              <w:bidi w:val="0"/>
              <w:adjustRightInd w:val="0"/>
              <w:snapToGrid w:val="0"/>
              <w:jc w:val="both"/>
              <w:rPr>
                <w:b/>
                <w:bCs/>
                <w:sz w:val="19"/>
                <w:szCs w:val="19"/>
              </w:rPr>
            </w:pPr>
            <w:r w:rsidRPr="00737872">
              <w:rPr>
                <w:b/>
                <w:bCs/>
                <w:sz w:val="19"/>
                <w:szCs w:val="19"/>
              </w:rPr>
              <w:t>P-Value</w:t>
            </w:r>
          </w:p>
        </w:tc>
      </w:tr>
      <w:tr w:rsidR="00273369" w:rsidRPr="00737872" w:rsidTr="00BF7D07">
        <w:trPr>
          <w:jc w:val="center"/>
        </w:trPr>
        <w:tc>
          <w:tcPr>
            <w:tcW w:w="2138" w:type="pct"/>
            <w:vAlign w:val="center"/>
          </w:tcPr>
          <w:p w:rsidR="00273369" w:rsidRPr="00737872" w:rsidRDefault="00273369" w:rsidP="00737872">
            <w:pPr>
              <w:pBdr>
                <w:between w:val="single" w:sz="4" w:space="1" w:color="auto"/>
                <w:bar w:val="single" w:sz="4" w:color="auto"/>
              </w:pBdr>
              <w:tabs>
                <w:tab w:val="center" w:pos="3672"/>
              </w:tabs>
              <w:autoSpaceDE w:val="0"/>
              <w:autoSpaceDN w:val="0"/>
              <w:bidi w:val="0"/>
              <w:adjustRightInd w:val="0"/>
              <w:snapToGrid w:val="0"/>
              <w:jc w:val="both"/>
              <w:rPr>
                <w:b/>
                <w:bCs/>
                <w:sz w:val="19"/>
                <w:szCs w:val="19"/>
              </w:rPr>
            </w:pPr>
            <w:r w:rsidRPr="00737872">
              <w:rPr>
                <w:b/>
                <w:bCs/>
                <w:sz w:val="19"/>
                <w:szCs w:val="19"/>
              </w:rPr>
              <w:t>Sex</w:t>
            </w:r>
          </w:p>
          <w:p w:rsidR="00273369" w:rsidRPr="00737872" w:rsidRDefault="00273369" w:rsidP="00737872">
            <w:pPr>
              <w:tabs>
                <w:tab w:val="center" w:pos="3672"/>
              </w:tabs>
              <w:autoSpaceDE w:val="0"/>
              <w:autoSpaceDN w:val="0"/>
              <w:bidi w:val="0"/>
              <w:adjustRightInd w:val="0"/>
              <w:snapToGrid w:val="0"/>
              <w:jc w:val="both"/>
              <w:rPr>
                <w:sz w:val="19"/>
                <w:szCs w:val="19"/>
              </w:rPr>
            </w:pPr>
            <w:r w:rsidRPr="00737872">
              <w:rPr>
                <w:sz w:val="19"/>
                <w:szCs w:val="19"/>
              </w:rPr>
              <w:t>Male</w:t>
            </w:r>
          </w:p>
          <w:p w:rsidR="00273369" w:rsidRPr="00737872" w:rsidRDefault="00273369" w:rsidP="00737872">
            <w:pPr>
              <w:tabs>
                <w:tab w:val="center" w:pos="3672"/>
              </w:tabs>
              <w:autoSpaceDE w:val="0"/>
              <w:autoSpaceDN w:val="0"/>
              <w:bidi w:val="0"/>
              <w:adjustRightInd w:val="0"/>
              <w:snapToGrid w:val="0"/>
              <w:jc w:val="both"/>
              <w:rPr>
                <w:sz w:val="19"/>
                <w:szCs w:val="19"/>
              </w:rPr>
            </w:pPr>
            <w:r w:rsidRPr="00737872">
              <w:rPr>
                <w:sz w:val="19"/>
                <w:szCs w:val="19"/>
              </w:rPr>
              <w:t>Female</w:t>
            </w:r>
          </w:p>
        </w:tc>
        <w:tc>
          <w:tcPr>
            <w:tcW w:w="850" w:type="pct"/>
            <w:vAlign w:val="center"/>
          </w:tcPr>
          <w:p w:rsidR="00273369" w:rsidRPr="00737872" w:rsidRDefault="00273369" w:rsidP="00737872">
            <w:pPr>
              <w:tabs>
                <w:tab w:val="center" w:pos="3672"/>
              </w:tabs>
              <w:autoSpaceDE w:val="0"/>
              <w:autoSpaceDN w:val="0"/>
              <w:bidi w:val="0"/>
              <w:adjustRightInd w:val="0"/>
              <w:snapToGrid w:val="0"/>
              <w:jc w:val="both"/>
              <w:rPr>
                <w:sz w:val="19"/>
                <w:szCs w:val="19"/>
              </w:rPr>
            </w:pPr>
            <w:r w:rsidRPr="00737872">
              <w:rPr>
                <w:sz w:val="19"/>
                <w:szCs w:val="19"/>
              </w:rPr>
              <w:t>`</w:t>
            </w:r>
          </w:p>
          <w:p w:rsidR="00273369" w:rsidRPr="00737872" w:rsidRDefault="00273369" w:rsidP="00737872">
            <w:pPr>
              <w:tabs>
                <w:tab w:val="center" w:pos="3672"/>
              </w:tabs>
              <w:autoSpaceDE w:val="0"/>
              <w:autoSpaceDN w:val="0"/>
              <w:bidi w:val="0"/>
              <w:adjustRightInd w:val="0"/>
              <w:snapToGrid w:val="0"/>
              <w:jc w:val="both"/>
              <w:rPr>
                <w:sz w:val="19"/>
                <w:szCs w:val="19"/>
              </w:rPr>
            </w:pPr>
            <w:r w:rsidRPr="00737872">
              <w:rPr>
                <w:sz w:val="19"/>
                <w:szCs w:val="19"/>
              </w:rPr>
              <w:t>15 (83.3%)</w:t>
            </w:r>
          </w:p>
          <w:p w:rsidR="00273369" w:rsidRPr="00737872" w:rsidRDefault="00273369" w:rsidP="00737872">
            <w:pPr>
              <w:tabs>
                <w:tab w:val="center" w:pos="3672"/>
              </w:tabs>
              <w:autoSpaceDE w:val="0"/>
              <w:autoSpaceDN w:val="0"/>
              <w:bidi w:val="0"/>
              <w:adjustRightInd w:val="0"/>
              <w:snapToGrid w:val="0"/>
              <w:jc w:val="both"/>
              <w:rPr>
                <w:sz w:val="19"/>
                <w:szCs w:val="19"/>
              </w:rPr>
            </w:pPr>
            <w:r w:rsidRPr="00737872">
              <w:rPr>
                <w:sz w:val="19"/>
                <w:szCs w:val="19"/>
              </w:rPr>
              <w:t>10 (81.5%)</w:t>
            </w:r>
          </w:p>
        </w:tc>
        <w:tc>
          <w:tcPr>
            <w:tcW w:w="615" w:type="pct"/>
            <w:vAlign w:val="center"/>
          </w:tcPr>
          <w:p w:rsidR="00273369" w:rsidRPr="00737872" w:rsidRDefault="00273369" w:rsidP="00737872">
            <w:pPr>
              <w:tabs>
                <w:tab w:val="center" w:pos="3672"/>
              </w:tabs>
              <w:autoSpaceDE w:val="0"/>
              <w:autoSpaceDN w:val="0"/>
              <w:bidi w:val="0"/>
              <w:adjustRightInd w:val="0"/>
              <w:snapToGrid w:val="0"/>
              <w:jc w:val="both"/>
              <w:rPr>
                <w:sz w:val="19"/>
                <w:szCs w:val="19"/>
              </w:rPr>
            </w:pPr>
            <w:r w:rsidRPr="00737872">
              <w:rPr>
                <w:sz w:val="19"/>
                <w:szCs w:val="19"/>
              </w:rPr>
              <w:t>0.974</w:t>
            </w:r>
          </w:p>
        </w:tc>
        <w:tc>
          <w:tcPr>
            <w:tcW w:w="781" w:type="pct"/>
            <w:vAlign w:val="center"/>
          </w:tcPr>
          <w:p w:rsidR="00273369" w:rsidRPr="00737872" w:rsidRDefault="00273369" w:rsidP="00737872">
            <w:pPr>
              <w:tabs>
                <w:tab w:val="center" w:pos="3672"/>
              </w:tabs>
              <w:autoSpaceDE w:val="0"/>
              <w:autoSpaceDN w:val="0"/>
              <w:bidi w:val="0"/>
              <w:adjustRightInd w:val="0"/>
              <w:snapToGrid w:val="0"/>
              <w:jc w:val="both"/>
              <w:rPr>
                <w:sz w:val="19"/>
                <w:szCs w:val="19"/>
              </w:rPr>
            </w:pPr>
          </w:p>
          <w:p w:rsidR="00273369" w:rsidRPr="00737872" w:rsidRDefault="00273369" w:rsidP="00737872">
            <w:pPr>
              <w:tabs>
                <w:tab w:val="center" w:pos="3672"/>
              </w:tabs>
              <w:autoSpaceDE w:val="0"/>
              <w:autoSpaceDN w:val="0"/>
              <w:bidi w:val="0"/>
              <w:adjustRightInd w:val="0"/>
              <w:snapToGrid w:val="0"/>
              <w:jc w:val="both"/>
              <w:rPr>
                <w:sz w:val="19"/>
                <w:szCs w:val="19"/>
              </w:rPr>
            </w:pPr>
            <w:r w:rsidRPr="00737872">
              <w:rPr>
                <w:sz w:val="19"/>
                <w:szCs w:val="19"/>
              </w:rPr>
              <w:t>16 (88.9%)</w:t>
            </w:r>
          </w:p>
          <w:p w:rsidR="00273369" w:rsidRPr="00737872" w:rsidRDefault="00273369" w:rsidP="00737872">
            <w:pPr>
              <w:tabs>
                <w:tab w:val="center" w:pos="3672"/>
              </w:tabs>
              <w:autoSpaceDE w:val="0"/>
              <w:autoSpaceDN w:val="0"/>
              <w:bidi w:val="0"/>
              <w:adjustRightInd w:val="0"/>
              <w:snapToGrid w:val="0"/>
              <w:jc w:val="both"/>
              <w:rPr>
                <w:sz w:val="19"/>
                <w:szCs w:val="19"/>
              </w:rPr>
            </w:pPr>
            <w:r w:rsidRPr="00737872">
              <w:rPr>
                <w:sz w:val="19"/>
                <w:szCs w:val="19"/>
              </w:rPr>
              <w:t>10 (83.3%)</w:t>
            </w:r>
          </w:p>
        </w:tc>
        <w:tc>
          <w:tcPr>
            <w:tcW w:w="615" w:type="pct"/>
            <w:vAlign w:val="center"/>
          </w:tcPr>
          <w:p w:rsidR="00273369" w:rsidRPr="00737872" w:rsidRDefault="00273369" w:rsidP="00737872">
            <w:pPr>
              <w:tabs>
                <w:tab w:val="center" w:pos="3672"/>
              </w:tabs>
              <w:autoSpaceDE w:val="0"/>
              <w:autoSpaceDN w:val="0"/>
              <w:bidi w:val="0"/>
              <w:adjustRightInd w:val="0"/>
              <w:snapToGrid w:val="0"/>
              <w:jc w:val="both"/>
              <w:rPr>
                <w:sz w:val="19"/>
                <w:szCs w:val="19"/>
              </w:rPr>
            </w:pPr>
            <w:r w:rsidRPr="00737872">
              <w:rPr>
                <w:sz w:val="19"/>
                <w:szCs w:val="19"/>
              </w:rPr>
              <w:t>0.661</w:t>
            </w:r>
          </w:p>
        </w:tc>
      </w:tr>
      <w:tr w:rsidR="00273369" w:rsidRPr="00737872" w:rsidTr="00BF7D07">
        <w:trPr>
          <w:jc w:val="center"/>
        </w:trPr>
        <w:tc>
          <w:tcPr>
            <w:tcW w:w="2138" w:type="pct"/>
            <w:vAlign w:val="center"/>
          </w:tcPr>
          <w:p w:rsidR="00273369" w:rsidRPr="00737872" w:rsidRDefault="00273369" w:rsidP="00737872">
            <w:pPr>
              <w:tabs>
                <w:tab w:val="center" w:pos="3672"/>
              </w:tabs>
              <w:autoSpaceDE w:val="0"/>
              <w:autoSpaceDN w:val="0"/>
              <w:bidi w:val="0"/>
              <w:adjustRightInd w:val="0"/>
              <w:snapToGrid w:val="0"/>
              <w:jc w:val="both"/>
              <w:rPr>
                <w:b/>
                <w:bCs/>
                <w:sz w:val="19"/>
                <w:szCs w:val="19"/>
              </w:rPr>
            </w:pPr>
            <w:r w:rsidRPr="00737872">
              <w:rPr>
                <w:b/>
                <w:bCs/>
                <w:sz w:val="19"/>
                <w:szCs w:val="19"/>
              </w:rPr>
              <w:t>Smoking</w:t>
            </w:r>
          </w:p>
          <w:p w:rsidR="00273369" w:rsidRPr="00737872" w:rsidRDefault="00273369" w:rsidP="00737872">
            <w:pPr>
              <w:tabs>
                <w:tab w:val="center" w:pos="3672"/>
              </w:tabs>
              <w:autoSpaceDE w:val="0"/>
              <w:autoSpaceDN w:val="0"/>
              <w:bidi w:val="0"/>
              <w:adjustRightInd w:val="0"/>
              <w:snapToGrid w:val="0"/>
              <w:jc w:val="both"/>
              <w:rPr>
                <w:sz w:val="19"/>
                <w:szCs w:val="19"/>
              </w:rPr>
            </w:pPr>
            <w:r w:rsidRPr="00737872">
              <w:rPr>
                <w:sz w:val="19"/>
                <w:szCs w:val="19"/>
              </w:rPr>
              <w:t>Yes</w:t>
            </w:r>
          </w:p>
          <w:p w:rsidR="00273369" w:rsidRPr="00737872" w:rsidRDefault="00273369" w:rsidP="00737872">
            <w:pPr>
              <w:tabs>
                <w:tab w:val="center" w:pos="3672"/>
              </w:tabs>
              <w:autoSpaceDE w:val="0"/>
              <w:autoSpaceDN w:val="0"/>
              <w:bidi w:val="0"/>
              <w:adjustRightInd w:val="0"/>
              <w:snapToGrid w:val="0"/>
              <w:jc w:val="both"/>
              <w:rPr>
                <w:sz w:val="19"/>
                <w:szCs w:val="19"/>
              </w:rPr>
            </w:pPr>
            <w:r w:rsidRPr="00737872">
              <w:rPr>
                <w:sz w:val="19"/>
                <w:szCs w:val="19"/>
              </w:rPr>
              <w:t>No</w:t>
            </w:r>
          </w:p>
        </w:tc>
        <w:tc>
          <w:tcPr>
            <w:tcW w:w="850" w:type="pct"/>
            <w:vAlign w:val="center"/>
          </w:tcPr>
          <w:p w:rsidR="00273369" w:rsidRPr="00737872" w:rsidRDefault="00273369" w:rsidP="00737872">
            <w:pPr>
              <w:tabs>
                <w:tab w:val="center" w:pos="3672"/>
              </w:tabs>
              <w:autoSpaceDE w:val="0"/>
              <w:autoSpaceDN w:val="0"/>
              <w:bidi w:val="0"/>
              <w:adjustRightInd w:val="0"/>
              <w:snapToGrid w:val="0"/>
              <w:jc w:val="both"/>
              <w:rPr>
                <w:sz w:val="19"/>
                <w:szCs w:val="19"/>
              </w:rPr>
            </w:pPr>
            <w:r w:rsidRPr="00737872">
              <w:rPr>
                <w:sz w:val="19"/>
                <w:szCs w:val="19"/>
              </w:rPr>
              <w:t>10 (76.9%)</w:t>
            </w:r>
          </w:p>
          <w:p w:rsidR="00273369" w:rsidRPr="00737872" w:rsidRDefault="00273369" w:rsidP="00737872">
            <w:pPr>
              <w:tabs>
                <w:tab w:val="center" w:pos="3672"/>
              </w:tabs>
              <w:autoSpaceDE w:val="0"/>
              <w:autoSpaceDN w:val="0"/>
              <w:bidi w:val="0"/>
              <w:adjustRightInd w:val="0"/>
              <w:snapToGrid w:val="0"/>
              <w:jc w:val="both"/>
              <w:rPr>
                <w:sz w:val="19"/>
                <w:szCs w:val="19"/>
              </w:rPr>
            </w:pPr>
            <w:r w:rsidRPr="00737872">
              <w:rPr>
                <w:sz w:val="19"/>
                <w:szCs w:val="19"/>
              </w:rPr>
              <w:t>15 (88.2%)</w:t>
            </w:r>
          </w:p>
        </w:tc>
        <w:tc>
          <w:tcPr>
            <w:tcW w:w="615" w:type="pct"/>
            <w:vAlign w:val="center"/>
          </w:tcPr>
          <w:p w:rsidR="00273369" w:rsidRPr="00737872" w:rsidRDefault="00273369" w:rsidP="00737872">
            <w:pPr>
              <w:tabs>
                <w:tab w:val="center" w:pos="3672"/>
              </w:tabs>
              <w:autoSpaceDE w:val="0"/>
              <w:autoSpaceDN w:val="0"/>
              <w:bidi w:val="0"/>
              <w:adjustRightInd w:val="0"/>
              <w:snapToGrid w:val="0"/>
              <w:jc w:val="both"/>
              <w:rPr>
                <w:sz w:val="19"/>
                <w:szCs w:val="19"/>
              </w:rPr>
            </w:pPr>
            <w:r w:rsidRPr="00737872">
              <w:rPr>
                <w:sz w:val="19"/>
                <w:szCs w:val="19"/>
              </w:rPr>
              <w:t>0.410</w:t>
            </w:r>
          </w:p>
        </w:tc>
        <w:tc>
          <w:tcPr>
            <w:tcW w:w="781" w:type="pct"/>
            <w:vAlign w:val="center"/>
          </w:tcPr>
          <w:p w:rsidR="00273369" w:rsidRPr="00737872" w:rsidRDefault="00273369" w:rsidP="00737872">
            <w:pPr>
              <w:tabs>
                <w:tab w:val="center" w:pos="3672"/>
              </w:tabs>
              <w:autoSpaceDE w:val="0"/>
              <w:autoSpaceDN w:val="0"/>
              <w:bidi w:val="0"/>
              <w:adjustRightInd w:val="0"/>
              <w:snapToGrid w:val="0"/>
              <w:jc w:val="both"/>
              <w:rPr>
                <w:sz w:val="19"/>
                <w:szCs w:val="19"/>
              </w:rPr>
            </w:pPr>
            <w:r w:rsidRPr="00737872">
              <w:rPr>
                <w:sz w:val="19"/>
                <w:szCs w:val="19"/>
              </w:rPr>
              <w:t>11 (84.6%)</w:t>
            </w:r>
          </w:p>
          <w:p w:rsidR="00273369" w:rsidRPr="00737872" w:rsidRDefault="00273369" w:rsidP="00737872">
            <w:pPr>
              <w:tabs>
                <w:tab w:val="center" w:pos="3672"/>
              </w:tabs>
              <w:autoSpaceDE w:val="0"/>
              <w:autoSpaceDN w:val="0"/>
              <w:bidi w:val="0"/>
              <w:adjustRightInd w:val="0"/>
              <w:snapToGrid w:val="0"/>
              <w:jc w:val="both"/>
              <w:rPr>
                <w:sz w:val="19"/>
                <w:szCs w:val="19"/>
              </w:rPr>
            </w:pPr>
            <w:r w:rsidRPr="00737872">
              <w:rPr>
                <w:sz w:val="19"/>
                <w:szCs w:val="19"/>
              </w:rPr>
              <w:t>15 (88.2%)</w:t>
            </w:r>
          </w:p>
        </w:tc>
        <w:tc>
          <w:tcPr>
            <w:tcW w:w="615" w:type="pct"/>
            <w:vAlign w:val="center"/>
          </w:tcPr>
          <w:p w:rsidR="00273369" w:rsidRPr="00737872" w:rsidRDefault="00273369" w:rsidP="00737872">
            <w:pPr>
              <w:tabs>
                <w:tab w:val="center" w:pos="3672"/>
              </w:tabs>
              <w:autoSpaceDE w:val="0"/>
              <w:autoSpaceDN w:val="0"/>
              <w:bidi w:val="0"/>
              <w:adjustRightInd w:val="0"/>
              <w:snapToGrid w:val="0"/>
              <w:jc w:val="both"/>
              <w:rPr>
                <w:sz w:val="19"/>
                <w:szCs w:val="19"/>
              </w:rPr>
            </w:pPr>
            <w:r w:rsidRPr="00737872">
              <w:rPr>
                <w:sz w:val="19"/>
                <w:szCs w:val="19"/>
              </w:rPr>
              <w:t>0.773</w:t>
            </w:r>
          </w:p>
        </w:tc>
      </w:tr>
      <w:tr w:rsidR="00273369" w:rsidRPr="00737872" w:rsidTr="00BF7D07">
        <w:trPr>
          <w:jc w:val="center"/>
        </w:trPr>
        <w:tc>
          <w:tcPr>
            <w:tcW w:w="2138" w:type="pct"/>
            <w:vAlign w:val="center"/>
          </w:tcPr>
          <w:p w:rsidR="00273369" w:rsidRPr="00737872" w:rsidRDefault="00273369" w:rsidP="00737872">
            <w:pPr>
              <w:tabs>
                <w:tab w:val="center" w:pos="3672"/>
              </w:tabs>
              <w:autoSpaceDE w:val="0"/>
              <w:autoSpaceDN w:val="0"/>
              <w:bidi w:val="0"/>
              <w:adjustRightInd w:val="0"/>
              <w:snapToGrid w:val="0"/>
              <w:jc w:val="both"/>
              <w:rPr>
                <w:b/>
                <w:bCs/>
                <w:sz w:val="19"/>
                <w:szCs w:val="19"/>
              </w:rPr>
            </w:pPr>
            <w:r w:rsidRPr="00737872">
              <w:rPr>
                <w:b/>
                <w:bCs/>
                <w:sz w:val="19"/>
                <w:szCs w:val="19"/>
              </w:rPr>
              <w:t>Performance status</w:t>
            </w:r>
          </w:p>
          <w:p w:rsidR="00273369" w:rsidRPr="00737872" w:rsidRDefault="00273369" w:rsidP="00737872">
            <w:pPr>
              <w:tabs>
                <w:tab w:val="center" w:pos="3672"/>
              </w:tabs>
              <w:autoSpaceDE w:val="0"/>
              <w:autoSpaceDN w:val="0"/>
              <w:bidi w:val="0"/>
              <w:adjustRightInd w:val="0"/>
              <w:snapToGrid w:val="0"/>
              <w:jc w:val="both"/>
              <w:rPr>
                <w:sz w:val="19"/>
                <w:szCs w:val="19"/>
                <w:lang w:bidi="ar-EG"/>
              </w:rPr>
            </w:pPr>
            <w:r w:rsidRPr="00737872">
              <w:rPr>
                <w:sz w:val="19"/>
                <w:szCs w:val="19"/>
              </w:rPr>
              <w:t xml:space="preserve">0 </w:t>
            </w:r>
          </w:p>
          <w:p w:rsidR="00273369" w:rsidRPr="00737872" w:rsidRDefault="00273369" w:rsidP="00737872">
            <w:pPr>
              <w:tabs>
                <w:tab w:val="center" w:pos="3672"/>
              </w:tabs>
              <w:autoSpaceDE w:val="0"/>
              <w:autoSpaceDN w:val="0"/>
              <w:bidi w:val="0"/>
              <w:adjustRightInd w:val="0"/>
              <w:snapToGrid w:val="0"/>
              <w:jc w:val="both"/>
              <w:rPr>
                <w:sz w:val="19"/>
                <w:szCs w:val="19"/>
              </w:rPr>
            </w:pPr>
            <w:r w:rsidRPr="00737872">
              <w:rPr>
                <w:sz w:val="19"/>
                <w:szCs w:val="19"/>
              </w:rPr>
              <w:t>1</w:t>
            </w:r>
          </w:p>
        </w:tc>
        <w:tc>
          <w:tcPr>
            <w:tcW w:w="850" w:type="pct"/>
            <w:vAlign w:val="center"/>
          </w:tcPr>
          <w:p w:rsidR="00273369" w:rsidRPr="00737872" w:rsidRDefault="00273369" w:rsidP="00737872">
            <w:pPr>
              <w:tabs>
                <w:tab w:val="center" w:pos="3672"/>
              </w:tabs>
              <w:autoSpaceDE w:val="0"/>
              <w:autoSpaceDN w:val="0"/>
              <w:bidi w:val="0"/>
              <w:adjustRightInd w:val="0"/>
              <w:snapToGrid w:val="0"/>
              <w:jc w:val="both"/>
              <w:rPr>
                <w:sz w:val="19"/>
                <w:szCs w:val="19"/>
                <w:lang w:bidi="ar-EG"/>
              </w:rPr>
            </w:pPr>
            <w:r w:rsidRPr="00737872">
              <w:rPr>
                <w:sz w:val="19"/>
                <w:szCs w:val="19"/>
              </w:rPr>
              <w:t>14 (87.5%)</w:t>
            </w:r>
          </w:p>
          <w:p w:rsidR="00273369" w:rsidRPr="00737872" w:rsidRDefault="00273369" w:rsidP="00737872">
            <w:pPr>
              <w:tabs>
                <w:tab w:val="center" w:pos="3672"/>
              </w:tabs>
              <w:autoSpaceDE w:val="0"/>
              <w:autoSpaceDN w:val="0"/>
              <w:bidi w:val="0"/>
              <w:adjustRightInd w:val="0"/>
              <w:snapToGrid w:val="0"/>
              <w:jc w:val="both"/>
              <w:rPr>
                <w:sz w:val="19"/>
                <w:szCs w:val="19"/>
              </w:rPr>
            </w:pPr>
            <w:r w:rsidRPr="00737872">
              <w:rPr>
                <w:sz w:val="19"/>
                <w:szCs w:val="19"/>
              </w:rPr>
              <w:t>11 (78.6%)</w:t>
            </w:r>
          </w:p>
        </w:tc>
        <w:tc>
          <w:tcPr>
            <w:tcW w:w="615" w:type="pct"/>
            <w:vAlign w:val="center"/>
          </w:tcPr>
          <w:p w:rsidR="00273369" w:rsidRPr="00737872" w:rsidRDefault="00273369" w:rsidP="00737872">
            <w:pPr>
              <w:tabs>
                <w:tab w:val="center" w:pos="3672"/>
              </w:tabs>
              <w:autoSpaceDE w:val="0"/>
              <w:autoSpaceDN w:val="0"/>
              <w:bidi w:val="0"/>
              <w:adjustRightInd w:val="0"/>
              <w:snapToGrid w:val="0"/>
              <w:jc w:val="both"/>
              <w:rPr>
                <w:sz w:val="19"/>
                <w:szCs w:val="19"/>
              </w:rPr>
            </w:pPr>
            <w:r w:rsidRPr="00737872">
              <w:rPr>
                <w:sz w:val="19"/>
                <w:szCs w:val="19"/>
              </w:rPr>
              <w:t>0.513</w:t>
            </w:r>
          </w:p>
        </w:tc>
        <w:tc>
          <w:tcPr>
            <w:tcW w:w="781" w:type="pct"/>
            <w:vAlign w:val="center"/>
          </w:tcPr>
          <w:p w:rsidR="00273369" w:rsidRPr="00737872" w:rsidRDefault="00273369" w:rsidP="00737872">
            <w:pPr>
              <w:tabs>
                <w:tab w:val="center" w:pos="3672"/>
              </w:tabs>
              <w:autoSpaceDE w:val="0"/>
              <w:autoSpaceDN w:val="0"/>
              <w:bidi w:val="0"/>
              <w:adjustRightInd w:val="0"/>
              <w:snapToGrid w:val="0"/>
              <w:jc w:val="both"/>
              <w:rPr>
                <w:sz w:val="19"/>
                <w:szCs w:val="19"/>
              </w:rPr>
            </w:pPr>
            <w:r w:rsidRPr="00737872">
              <w:rPr>
                <w:sz w:val="19"/>
                <w:szCs w:val="19"/>
              </w:rPr>
              <w:t>14 (87.5%)</w:t>
            </w:r>
          </w:p>
          <w:p w:rsidR="00273369" w:rsidRPr="00737872" w:rsidRDefault="00273369" w:rsidP="00737872">
            <w:pPr>
              <w:tabs>
                <w:tab w:val="center" w:pos="3672"/>
              </w:tabs>
              <w:autoSpaceDE w:val="0"/>
              <w:autoSpaceDN w:val="0"/>
              <w:bidi w:val="0"/>
              <w:adjustRightInd w:val="0"/>
              <w:snapToGrid w:val="0"/>
              <w:jc w:val="both"/>
              <w:rPr>
                <w:sz w:val="19"/>
                <w:szCs w:val="19"/>
              </w:rPr>
            </w:pPr>
            <w:r w:rsidRPr="00737872">
              <w:rPr>
                <w:sz w:val="19"/>
                <w:szCs w:val="19"/>
              </w:rPr>
              <w:t>12 (85.7%)</w:t>
            </w:r>
          </w:p>
        </w:tc>
        <w:tc>
          <w:tcPr>
            <w:tcW w:w="615" w:type="pct"/>
            <w:vAlign w:val="center"/>
          </w:tcPr>
          <w:p w:rsidR="00273369" w:rsidRPr="00737872" w:rsidRDefault="00273369" w:rsidP="00737872">
            <w:pPr>
              <w:tabs>
                <w:tab w:val="center" w:pos="3672"/>
              </w:tabs>
              <w:autoSpaceDE w:val="0"/>
              <w:autoSpaceDN w:val="0"/>
              <w:bidi w:val="0"/>
              <w:adjustRightInd w:val="0"/>
              <w:snapToGrid w:val="0"/>
              <w:jc w:val="both"/>
              <w:rPr>
                <w:sz w:val="19"/>
                <w:szCs w:val="19"/>
                <w:lang w:bidi="ar-EG"/>
              </w:rPr>
            </w:pPr>
            <w:r w:rsidRPr="00737872">
              <w:rPr>
                <w:sz w:val="19"/>
                <w:szCs w:val="19"/>
              </w:rPr>
              <w:t>0.886</w:t>
            </w:r>
          </w:p>
        </w:tc>
      </w:tr>
      <w:tr w:rsidR="00273369" w:rsidRPr="00737872" w:rsidTr="00BF7D07">
        <w:trPr>
          <w:jc w:val="center"/>
        </w:trPr>
        <w:tc>
          <w:tcPr>
            <w:tcW w:w="2138" w:type="pct"/>
            <w:vAlign w:val="center"/>
          </w:tcPr>
          <w:p w:rsidR="00273369" w:rsidRPr="00737872" w:rsidRDefault="00273369" w:rsidP="00737872">
            <w:pPr>
              <w:tabs>
                <w:tab w:val="center" w:pos="3672"/>
              </w:tabs>
              <w:autoSpaceDE w:val="0"/>
              <w:autoSpaceDN w:val="0"/>
              <w:bidi w:val="0"/>
              <w:adjustRightInd w:val="0"/>
              <w:snapToGrid w:val="0"/>
              <w:jc w:val="both"/>
              <w:rPr>
                <w:b/>
                <w:bCs/>
                <w:sz w:val="19"/>
                <w:szCs w:val="19"/>
              </w:rPr>
            </w:pPr>
            <w:r w:rsidRPr="00737872">
              <w:rPr>
                <w:b/>
                <w:bCs/>
                <w:sz w:val="19"/>
                <w:szCs w:val="19"/>
              </w:rPr>
              <w:t>Histology</w:t>
            </w:r>
          </w:p>
          <w:p w:rsidR="00273369" w:rsidRPr="00737872" w:rsidRDefault="00273369" w:rsidP="00737872">
            <w:pPr>
              <w:tabs>
                <w:tab w:val="center" w:pos="3672"/>
              </w:tabs>
              <w:autoSpaceDE w:val="0"/>
              <w:autoSpaceDN w:val="0"/>
              <w:bidi w:val="0"/>
              <w:adjustRightInd w:val="0"/>
              <w:snapToGrid w:val="0"/>
              <w:jc w:val="both"/>
              <w:rPr>
                <w:sz w:val="19"/>
                <w:szCs w:val="19"/>
              </w:rPr>
            </w:pPr>
            <w:proofErr w:type="spellStart"/>
            <w:r w:rsidRPr="00737872">
              <w:rPr>
                <w:sz w:val="19"/>
                <w:szCs w:val="19"/>
              </w:rPr>
              <w:t>Modrately</w:t>
            </w:r>
            <w:proofErr w:type="spellEnd"/>
            <w:r w:rsidRPr="00737872">
              <w:rPr>
                <w:sz w:val="19"/>
                <w:szCs w:val="19"/>
              </w:rPr>
              <w:t xml:space="preserve"> differentiated</w:t>
            </w:r>
          </w:p>
          <w:p w:rsidR="00273369" w:rsidRPr="00737872" w:rsidRDefault="00273369" w:rsidP="00737872">
            <w:pPr>
              <w:tabs>
                <w:tab w:val="center" w:pos="3672"/>
              </w:tabs>
              <w:autoSpaceDE w:val="0"/>
              <w:autoSpaceDN w:val="0"/>
              <w:bidi w:val="0"/>
              <w:adjustRightInd w:val="0"/>
              <w:snapToGrid w:val="0"/>
              <w:jc w:val="both"/>
              <w:rPr>
                <w:b/>
                <w:bCs/>
                <w:sz w:val="19"/>
                <w:szCs w:val="19"/>
              </w:rPr>
            </w:pPr>
            <w:proofErr w:type="spellStart"/>
            <w:r w:rsidRPr="00737872">
              <w:rPr>
                <w:sz w:val="19"/>
                <w:szCs w:val="19"/>
              </w:rPr>
              <w:t>Undifferantiated</w:t>
            </w:r>
            <w:proofErr w:type="spellEnd"/>
            <w:r w:rsidRPr="00737872">
              <w:rPr>
                <w:sz w:val="19"/>
                <w:szCs w:val="19"/>
              </w:rPr>
              <w:t xml:space="preserve"> non keratinizing</w:t>
            </w:r>
          </w:p>
        </w:tc>
        <w:tc>
          <w:tcPr>
            <w:tcW w:w="850" w:type="pct"/>
            <w:vAlign w:val="center"/>
          </w:tcPr>
          <w:p w:rsidR="00273369" w:rsidRPr="00737872" w:rsidRDefault="00273369" w:rsidP="00737872">
            <w:pPr>
              <w:tabs>
                <w:tab w:val="center" w:pos="3672"/>
              </w:tabs>
              <w:autoSpaceDE w:val="0"/>
              <w:autoSpaceDN w:val="0"/>
              <w:bidi w:val="0"/>
              <w:adjustRightInd w:val="0"/>
              <w:snapToGrid w:val="0"/>
              <w:jc w:val="both"/>
              <w:rPr>
                <w:sz w:val="19"/>
                <w:szCs w:val="19"/>
              </w:rPr>
            </w:pPr>
          </w:p>
          <w:p w:rsidR="00273369" w:rsidRPr="00737872" w:rsidRDefault="00273369" w:rsidP="00737872">
            <w:pPr>
              <w:tabs>
                <w:tab w:val="center" w:pos="3672"/>
              </w:tabs>
              <w:autoSpaceDE w:val="0"/>
              <w:autoSpaceDN w:val="0"/>
              <w:bidi w:val="0"/>
              <w:adjustRightInd w:val="0"/>
              <w:snapToGrid w:val="0"/>
              <w:jc w:val="both"/>
              <w:rPr>
                <w:sz w:val="19"/>
                <w:szCs w:val="19"/>
              </w:rPr>
            </w:pPr>
            <w:r w:rsidRPr="00737872">
              <w:rPr>
                <w:sz w:val="19"/>
                <w:szCs w:val="19"/>
              </w:rPr>
              <w:t>12 (85.7%)</w:t>
            </w:r>
          </w:p>
          <w:p w:rsidR="00273369" w:rsidRPr="00737872" w:rsidRDefault="00273369" w:rsidP="00737872">
            <w:pPr>
              <w:tabs>
                <w:tab w:val="center" w:pos="3672"/>
              </w:tabs>
              <w:autoSpaceDE w:val="0"/>
              <w:autoSpaceDN w:val="0"/>
              <w:bidi w:val="0"/>
              <w:adjustRightInd w:val="0"/>
              <w:snapToGrid w:val="0"/>
              <w:jc w:val="both"/>
              <w:rPr>
                <w:sz w:val="19"/>
                <w:szCs w:val="19"/>
              </w:rPr>
            </w:pPr>
            <w:r w:rsidRPr="00737872">
              <w:rPr>
                <w:sz w:val="19"/>
                <w:szCs w:val="19"/>
              </w:rPr>
              <w:t>13 (81.3%)</w:t>
            </w:r>
          </w:p>
        </w:tc>
        <w:tc>
          <w:tcPr>
            <w:tcW w:w="615" w:type="pct"/>
            <w:vAlign w:val="center"/>
          </w:tcPr>
          <w:p w:rsidR="00273369" w:rsidRPr="00737872" w:rsidRDefault="00273369" w:rsidP="00737872">
            <w:pPr>
              <w:tabs>
                <w:tab w:val="center" w:pos="3672"/>
              </w:tabs>
              <w:autoSpaceDE w:val="0"/>
              <w:autoSpaceDN w:val="0"/>
              <w:bidi w:val="0"/>
              <w:adjustRightInd w:val="0"/>
              <w:snapToGrid w:val="0"/>
              <w:jc w:val="both"/>
              <w:rPr>
                <w:sz w:val="19"/>
                <w:szCs w:val="19"/>
              </w:rPr>
            </w:pPr>
            <w:r w:rsidRPr="00737872">
              <w:rPr>
                <w:sz w:val="19"/>
                <w:szCs w:val="19"/>
              </w:rPr>
              <w:t>0.743</w:t>
            </w:r>
          </w:p>
        </w:tc>
        <w:tc>
          <w:tcPr>
            <w:tcW w:w="781" w:type="pct"/>
            <w:vAlign w:val="center"/>
          </w:tcPr>
          <w:p w:rsidR="00273369" w:rsidRPr="00737872" w:rsidRDefault="00273369" w:rsidP="00737872">
            <w:pPr>
              <w:tabs>
                <w:tab w:val="center" w:pos="3672"/>
              </w:tabs>
              <w:autoSpaceDE w:val="0"/>
              <w:autoSpaceDN w:val="0"/>
              <w:bidi w:val="0"/>
              <w:adjustRightInd w:val="0"/>
              <w:snapToGrid w:val="0"/>
              <w:jc w:val="both"/>
              <w:rPr>
                <w:sz w:val="19"/>
                <w:szCs w:val="19"/>
              </w:rPr>
            </w:pPr>
          </w:p>
          <w:p w:rsidR="00273369" w:rsidRPr="00737872" w:rsidRDefault="00273369" w:rsidP="00737872">
            <w:pPr>
              <w:tabs>
                <w:tab w:val="center" w:pos="3672"/>
              </w:tabs>
              <w:autoSpaceDE w:val="0"/>
              <w:autoSpaceDN w:val="0"/>
              <w:bidi w:val="0"/>
              <w:adjustRightInd w:val="0"/>
              <w:snapToGrid w:val="0"/>
              <w:jc w:val="both"/>
              <w:rPr>
                <w:sz w:val="19"/>
                <w:szCs w:val="19"/>
              </w:rPr>
            </w:pPr>
            <w:r w:rsidRPr="00737872">
              <w:rPr>
                <w:sz w:val="19"/>
                <w:szCs w:val="19"/>
              </w:rPr>
              <w:t>13 (92.9%)</w:t>
            </w:r>
          </w:p>
          <w:p w:rsidR="00273369" w:rsidRPr="00737872" w:rsidRDefault="00273369" w:rsidP="00737872">
            <w:pPr>
              <w:tabs>
                <w:tab w:val="center" w:pos="3672"/>
              </w:tabs>
              <w:autoSpaceDE w:val="0"/>
              <w:autoSpaceDN w:val="0"/>
              <w:bidi w:val="0"/>
              <w:adjustRightInd w:val="0"/>
              <w:snapToGrid w:val="0"/>
              <w:jc w:val="both"/>
              <w:rPr>
                <w:sz w:val="19"/>
                <w:szCs w:val="19"/>
              </w:rPr>
            </w:pPr>
            <w:r w:rsidRPr="00737872">
              <w:rPr>
                <w:sz w:val="19"/>
                <w:szCs w:val="19"/>
              </w:rPr>
              <w:t>13 (81.3%)</w:t>
            </w:r>
          </w:p>
        </w:tc>
        <w:tc>
          <w:tcPr>
            <w:tcW w:w="615" w:type="pct"/>
            <w:vAlign w:val="center"/>
          </w:tcPr>
          <w:p w:rsidR="00273369" w:rsidRPr="00737872" w:rsidRDefault="00273369" w:rsidP="00737872">
            <w:pPr>
              <w:tabs>
                <w:tab w:val="center" w:pos="3672"/>
              </w:tabs>
              <w:autoSpaceDE w:val="0"/>
              <w:autoSpaceDN w:val="0"/>
              <w:bidi w:val="0"/>
              <w:adjustRightInd w:val="0"/>
              <w:snapToGrid w:val="0"/>
              <w:jc w:val="both"/>
              <w:rPr>
                <w:sz w:val="19"/>
                <w:szCs w:val="19"/>
              </w:rPr>
            </w:pPr>
            <w:r w:rsidRPr="00737872">
              <w:rPr>
                <w:sz w:val="19"/>
                <w:szCs w:val="19"/>
              </w:rPr>
              <w:t>0.351</w:t>
            </w:r>
          </w:p>
        </w:tc>
      </w:tr>
      <w:tr w:rsidR="00273369" w:rsidRPr="00737872" w:rsidTr="00BF7D07">
        <w:trPr>
          <w:jc w:val="center"/>
        </w:trPr>
        <w:tc>
          <w:tcPr>
            <w:tcW w:w="2138" w:type="pct"/>
            <w:vAlign w:val="center"/>
          </w:tcPr>
          <w:p w:rsidR="00273369" w:rsidRPr="00737872" w:rsidRDefault="00273369" w:rsidP="00737872">
            <w:pPr>
              <w:tabs>
                <w:tab w:val="center" w:pos="3672"/>
              </w:tabs>
              <w:autoSpaceDE w:val="0"/>
              <w:autoSpaceDN w:val="0"/>
              <w:bidi w:val="0"/>
              <w:adjustRightInd w:val="0"/>
              <w:snapToGrid w:val="0"/>
              <w:jc w:val="both"/>
              <w:rPr>
                <w:b/>
                <w:bCs/>
                <w:sz w:val="19"/>
                <w:szCs w:val="19"/>
              </w:rPr>
            </w:pPr>
            <w:r w:rsidRPr="00737872">
              <w:rPr>
                <w:b/>
                <w:bCs/>
                <w:sz w:val="19"/>
                <w:szCs w:val="19"/>
              </w:rPr>
              <w:t>T</w:t>
            </w:r>
          </w:p>
          <w:p w:rsidR="00273369" w:rsidRPr="00737872" w:rsidRDefault="00273369" w:rsidP="00737872">
            <w:pPr>
              <w:tabs>
                <w:tab w:val="center" w:pos="3672"/>
              </w:tabs>
              <w:autoSpaceDE w:val="0"/>
              <w:autoSpaceDN w:val="0"/>
              <w:bidi w:val="0"/>
              <w:adjustRightInd w:val="0"/>
              <w:snapToGrid w:val="0"/>
              <w:jc w:val="both"/>
              <w:rPr>
                <w:sz w:val="19"/>
                <w:szCs w:val="19"/>
              </w:rPr>
            </w:pPr>
            <w:r w:rsidRPr="00737872">
              <w:rPr>
                <w:sz w:val="19"/>
                <w:szCs w:val="19"/>
              </w:rPr>
              <w:t xml:space="preserve">T 1-2 </w:t>
            </w:r>
          </w:p>
          <w:p w:rsidR="00273369" w:rsidRPr="00737872" w:rsidRDefault="00273369" w:rsidP="00737872">
            <w:pPr>
              <w:tabs>
                <w:tab w:val="center" w:pos="3672"/>
              </w:tabs>
              <w:autoSpaceDE w:val="0"/>
              <w:autoSpaceDN w:val="0"/>
              <w:bidi w:val="0"/>
              <w:adjustRightInd w:val="0"/>
              <w:snapToGrid w:val="0"/>
              <w:jc w:val="both"/>
              <w:rPr>
                <w:rFonts w:eastAsiaTheme="minorEastAsia"/>
                <w:sz w:val="19"/>
                <w:szCs w:val="19"/>
                <w:lang w:eastAsia="zh-CN"/>
              </w:rPr>
            </w:pPr>
            <w:r w:rsidRPr="00737872">
              <w:rPr>
                <w:sz w:val="19"/>
                <w:szCs w:val="19"/>
              </w:rPr>
              <w:t>T 3-4</w:t>
            </w:r>
          </w:p>
        </w:tc>
        <w:tc>
          <w:tcPr>
            <w:tcW w:w="850" w:type="pct"/>
            <w:vAlign w:val="center"/>
          </w:tcPr>
          <w:p w:rsidR="00273369" w:rsidRPr="00737872" w:rsidRDefault="00273369" w:rsidP="00737872">
            <w:pPr>
              <w:tabs>
                <w:tab w:val="center" w:pos="3672"/>
              </w:tabs>
              <w:autoSpaceDE w:val="0"/>
              <w:autoSpaceDN w:val="0"/>
              <w:bidi w:val="0"/>
              <w:adjustRightInd w:val="0"/>
              <w:snapToGrid w:val="0"/>
              <w:jc w:val="both"/>
              <w:rPr>
                <w:sz w:val="19"/>
                <w:szCs w:val="19"/>
              </w:rPr>
            </w:pPr>
            <w:r w:rsidRPr="00737872">
              <w:rPr>
                <w:sz w:val="19"/>
                <w:szCs w:val="19"/>
              </w:rPr>
              <w:t>19 (86.4%)</w:t>
            </w:r>
          </w:p>
          <w:p w:rsidR="00273369" w:rsidRPr="00737872" w:rsidRDefault="00273369" w:rsidP="00737872">
            <w:pPr>
              <w:tabs>
                <w:tab w:val="center" w:pos="3672"/>
              </w:tabs>
              <w:autoSpaceDE w:val="0"/>
              <w:autoSpaceDN w:val="0"/>
              <w:bidi w:val="0"/>
              <w:adjustRightInd w:val="0"/>
              <w:snapToGrid w:val="0"/>
              <w:jc w:val="both"/>
              <w:rPr>
                <w:rFonts w:eastAsiaTheme="minorEastAsia"/>
                <w:sz w:val="19"/>
                <w:szCs w:val="19"/>
                <w:lang w:eastAsia="zh-CN"/>
              </w:rPr>
            </w:pPr>
            <w:r w:rsidRPr="00737872">
              <w:rPr>
                <w:sz w:val="19"/>
                <w:szCs w:val="19"/>
              </w:rPr>
              <w:t>6 (75%)</w:t>
            </w:r>
          </w:p>
        </w:tc>
        <w:tc>
          <w:tcPr>
            <w:tcW w:w="615" w:type="pct"/>
            <w:vAlign w:val="center"/>
          </w:tcPr>
          <w:p w:rsidR="00273369" w:rsidRPr="00737872" w:rsidRDefault="00273369" w:rsidP="00737872">
            <w:pPr>
              <w:tabs>
                <w:tab w:val="center" w:pos="3672"/>
              </w:tabs>
              <w:autoSpaceDE w:val="0"/>
              <w:autoSpaceDN w:val="0"/>
              <w:bidi w:val="0"/>
              <w:adjustRightInd w:val="0"/>
              <w:snapToGrid w:val="0"/>
              <w:jc w:val="both"/>
              <w:rPr>
                <w:sz w:val="19"/>
                <w:szCs w:val="19"/>
              </w:rPr>
            </w:pPr>
            <w:r w:rsidRPr="00737872">
              <w:rPr>
                <w:sz w:val="19"/>
                <w:szCs w:val="19"/>
              </w:rPr>
              <w:t>0.460</w:t>
            </w:r>
          </w:p>
        </w:tc>
        <w:tc>
          <w:tcPr>
            <w:tcW w:w="781" w:type="pct"/>
            <w:vAlign w:val="center"/>
          </w:tcPr>
          <w:p w:rsidR="00273369" w:rsidRPr="00737872" w:rsidRDefault="00273369" w:rsidP="00737872">
            <w:pPr>
              <w:tabs>
                <w:tab w:val="center" w:pos="3672"/>
              </w:tabs>
              <w:autoSpaceDE w:val="0"/>
              <w:autoSpaceDN w:val="0"/>
              <w:bidi w:val="0"/>
              <w:adjustRightInd w:val="0"/>
              <w:snapToGrid w:val="0"/>
              <w:jc w:val="both"/>
              <w:rPr>
                <w:sz w:val="19"/>
                <w:szCs w:val="19"/>
              </w:rPr>
            </w:pPr>
          </w:p>
          <w:p w:rsidR="00273369" w:rsidRPr="00737872" w:rsidRDefault="00273369" w:rsidP="00737872">
            <w:pPr>
              <w:tabs>
                <w:tab w:val="center" w:pos="3672"/>
              </w:tabs>
              <w:autoSpaceDE w:val="0"/>
              <w:autoSpaceDN w:val="0"/>
              <w:bidi w:val="0"/>
              <w:adjustRightInd w:val="0"/>
              <w:snapToGrid w:val="0"/>
              <w:jc w:val="both"/>
              <w:rPr>
                <w:sz w:val="19"/>
                <w:szCs w:val="19"/>
              </w:rPr>
            </w:pPr>
            <w:r w:rsidRPr="00737872">
              <w:rPr>
                <w:sz w:val="19"/>
                <w:szCs w:val="19"/>
              </w:rPr>
              <w:t>20 (90.9%)</w:t>
            </w:r>
          </w:p>
          <w:p w:rsidR="00273369" w:rsidRPr="00737872" w:rsidRDefault="00273369" w:rsidP="00737872">
            <w:pPr>
              <w:tabs>
                <w:tab w:val="center" w:pos="3672"/>
              </w:tabs>
              <w:autoSpaceDE w:val="0"/>
              <w:autoSpaceDN w:val="0"/>
              <w:bidi w:val="0"/>
              <w:adjustRightInd w:val="0"/>
              <w:snapToGrid w:val="0"/>
              <w:jc w:val="both"/>
              <w:rPr>
                <w:rFonts w:eastAsiaTheme="minorEastAsia"/>
                <w:sz w:val="19"/>
                <w:szCs w:val="19"/>
                <w:lang w:eastAsia="zh-CN"/>
              </w:rPr>
            </w:pPr>
            <w:r w:rsidRPr="00737872">
              <w:rPr>
                <w:sz w:val="19"/>
                <w:szCs w:val="19"/>
              </w:rPr>
              <w:t>6 (85%)</w:t>
            </w:r>
          </w:p>
        </w:tc>
        <w:tc>
          <w:tcPr>
            <w:tcW w:w="615" w:type="pct"/>
            <w:vAlign w:val="center"/>
          </w:tcPr>
          <w:p w:rsidR="00273369" w:rsidRPr="00737872" w:rsidRDefault="00273369" w:rsidP="00737872">
            <w:pPr>
              <w:tabs>
                <w:tab w:val="center" w:pos="3672"/>
              </w:tabs>
              <w:autoSpaceDE w:val="0"/>
              <w:autoSpaceDN w:val="0"/>
              <w:bidi w:val="0"/>
              <w:adjustRightInd w:val="0"/>
              <w:snapToGrid w:val="0"/>
              <w:jc w:val="both"/>
              <w:rPr>
                <w:sz w:val="19"/>
                <w:szCs w:val="19"/>
              </w:rPr>
            </w:pPr>
            <w:r w:rsidRPr="00737872">
              <w:rPr>
                <w:sz w:val="19"/>
                <w:szCs w:val="19"/>
              </w:rPr>
              <w:t>0.307</w:t>
            </w:r>
          </w:p>
        </w:tc>
      </w:tr>
      <w:tr w:rsidR="00273369" w:rsidRPr="00737872" w:rsidTr="00BF7D07">
        <w:trPr>
          <w:jc w:val="center"/>
        </w:trPr>
        <w:tc>
          <w:tcPr>
            <w:tcW w:w="2138" w:type="pct"/>
            <w:vAlign w:val="center"/>
          </w:tcPr>
          <w:p w:rsidR="00273369" w:rsidRPr="00737872" w:rsidRDefault="00273369" w:rsidP="00737872">
            <w:pPr>
              <w:tabs>
                <w:tab w:val="center" w:pos="3672"/>
              </w:tabs>
              <w:autoSpaceDE w:val="0"/>
              <w:autoSpaceDN w:val="0"/>
              <w:bidi w:val="0"/>
              <w:adjustRightInd w:val="0"/>
              <w:snapToGrid w:val="0"/>
              <w:jc w:val="both"/>
              <w:rPr>
                <w:b/>
                <w:bCs/>
                <w:sz w:val="19"/>
                <w:szCs w:val="19"/>
              </w:rPr>
            </w:pPr>
            <w:r w:rsidRPr="00737872">
              <w:rPr>
                <w:b/>
                <w:bCs/>
                <w:sz w:val="19"/>
                <w:szCs w:val="19"/>
              </w:rPr>
              <w:t>N</w:t>
            </w:r>
          </w:p>
          <w:p w:rsidR="00273369" w:rsidRPr="00737872" w:rsidRDefault="00273369" w:rsidP="00737872">
            <w:pPr>
              <w:tabs>
                <w:tab w:val="center" w:pos="3672"/>
              </w:tabs>
              <w:autoSpaceDE w:val="0"/>
              <w:autoSpaceDN w:val="0"/>
              <w:bidi w:val="0"/>
              <w:adjustRightInd w:val="0"/>
              <w:snapToGrid w:val="0"/>
              <w:jc w:val="both"/>
              <w:rPr>
                <w:sz w:val="19"/>
                <w:szCs w:val="19"/>
              </w:rPr>
            </w:pPr>
            <w:r w:rsidRPr="00737872">
              <w:rPr>
                <w:sz w:val="19"/>
                <w:szCs w:val="19"/>
              </w:rPr>
              <w:t>N 1</w:t>
            </w:r>
          </w:p>
          <w:p w:rsidR="00273369" w:rsidRPr="00737872" w:rsidRDefault="00273369" w:rsidP="00737872">
            <w:pPr>
              <w:tabs>
                <w:tab w:val="center" w:pos="3672"/>
              </w:tabs>
              <w:autoSpaceDE w:val="0"/>
              <w:autoSpaceDN w:val="0"/>
              <w:bidi w:val="0"/>
              <w:adjustRightInd w:val="0"/>
              <w:snapToGrid w:val="0"/>
              <w:jc w:val="both"/>
              <w:rPr>
                <w:rFonts w:eastAsiaTheme="minorEastAsia"/>
                <w:sz w:val="19"/>
                <w:szCs w:val="19"/>
                <w:lang w:eastAsia="zh-CN"/>
              </w:rPr>
            </w:pPr>
            <w:r w:rsidRPr="00737872">
              <w:rPr>
                <w:sz w:val="19"/>
                <w:szCs w:val="19"/>
              </w:rPr>
              <w:t>N 2-3</w:t>
            </w:r>
          </w:p>
        </w:tc>
        <w:tc>
          <w:tcPr>
            <w:tcW w:w="850" w:type="pct"/>
            <w:vAlign w:val="center"/>
          </w:tcPr>
          <w:p w:rsidR="00273369" w:rsidRPr="00737872" w:rsidRDefault="00273369" w:rsidP="00737872">
            <w:pPr>
              <w:tabs>
                <w:tab w:val="center" w:pos="3672"/>
              </w:tabs>
              <w:autoSpaceDE w:val="0"/>
              <w:autoSpaceDN w:val="0"/>
              <w:bidi w:val="0"/>
              <w:adjustRightInd w:val="0"/>
              <w:snapToGrid w:val="0"/>
              <w:jc w:val="both"/>
              <w:rPr>
                <w:sz w:val="19"/>
                <w:szCs w:val="19"/>
              </w:rPr>
            </w:pPr>
          </w:p>
          <w:p w:rsidR="00273369" w:rsidRPr="00737872" w:rsidRDefault="00273369" w:rsidP="00737872">
            <w:pPr>
              <w:tabs>
                <w:tab w:val="center" w:pos="3672"/>
              </w:tabs>
              <w:autoSpaceDE w:val="0"/>
              <w:autoSpaceDN w:val="0"/>
              <w:bidi w:val="0"/>
              <w:adjustRightInd w:val="0"/>
              <w:snapToGrid w:val="0"/>
              <w:jc w:val="both"/>
              <w:rPr>
                <w:sz w:val="19"/>
                <w:szCs w:val="19"/>
              </w:rPr>
            </w:pPr>
            <w:r w:rsidRPr="00737872">
              <w:rPr>
                <w:sz w:val="19"/>
                <w:szCs w:val="19"/>
              </w:rPr>
              <w:t>11 (91.7%)</w:t>
            </w:r>
          </w:p>
          <w:p w:rsidR="00273369" w:rsidRPr="00737872" w:rsidRDefault="00273369" w:rsidP="00737872">
            <w:pPr>
              <w:tabs>
                <w:tab w:val="center" w:pos="3672"/>
              </w:tabs>
              <w:autoSpaceDE w:val="0"/>
              <w:autoSpaceDN w:val="0"/>
              <w:bidi w:val="0"/>
              <w:adjustRightInd w:val="0"/>
              <w:snapToGrid w:val="0"/>
              <w:jc w:val="both"/>
              <w:rPr>
                <w:rFonts w:eastAsiaTheme="minorEastAsia"/>
                <w:sz w:val="19"/>
                <w:szCs w:val="19"/>
                <w:lang w:eastAsia="zh-CN"/>
              </w:rPr>
            </w:pPr>
            <w:r w:rsidRPr="00737872">
              <w:rPr>
                <w:sz w:val="19"/>
                <w:szCs w:val="19"/>
              </w:rPr>
              <w:t>14 (93.3%)</w:t>
            </w:r>
          </w:p>
        </w:tc>
        <w:tc>
          <w:tcPr>
            <w:tcW w:w="615" w:type="pct"/>
            <w:vAlign w:val="center"/>
          </w:tcPr>
          <w:p w:rsidR="00273369" w:rsidRPr="00737872" w:rsidRDefault="00273369" w:rsidP="00737872">
            <w:pPr>
              <w:tabs>
                <w:tab w:val="center" w:pos="3672"/>
              </w:tabs>
              <w:autoSpaceDE w:val="0"/>
              <w:autoSpaceDN w:val="0"/>
              <w:bidi w:val="0"/>
              <w:adjustRightInd w:val="0"/>
              <w:snapToGrid w:val="0"/>
              <w:jc w:val="both"/>
              <w:rPr>
                <w:sz w:val="19"/>
                <w:szCs w:val="19"/>
              </w:rPr>
            </w:pPr>
            <w:r w:rsidRPr="00737872">
              <w:rPr>
                <w:sz w:val="19"/>
                <w:szCs w:val="19"/>
              </w:rPr>
              <w:t>0.317</w:t>
            </w:r>
          </w:p>
        </w:tc>
        <w:tc>
          <w:tcPr>
            <w:tcW w:w="781" w:type="pct"/>
            <w:vAlign w:val="center"/>
          </w:tcPr>
          <w:p w:rsidR="00273369" w:rsidRPr="00737872" w:rsidRDefault="00273369" w:rsidP="00737872">
            <w:pPr>
              <w:tabs>
                <w:tab w:val="center" w:pos="3672"/>
              </w:tabs>
              <w:autoSpaceDE w:val="0"/>
              <w:autoSpaceDN w:val="0"/>
              <w:bidi w:val="0"/>
              <w:adjustRightInd w:val="0"/>
              <w:snapToGrid w:val="0"/>
              <w:jc w:val="both"/>
              <w:rPr>
                <w:sz w:val="19"/>
                <w:szCs w:val="19"/>
              </w:rPr>
            </w:pPr>
          </w:p>
          <w:p w:rsidR="00273369" w:rsidRPr="00737872" w:rsidRDefault="00273369" w:rsidP="00737872">
            <w:pPr>
              <w:tabs>
                <w:tab w:val="center" w:pos="3672"/>
              </w:tabs>
              <w:autoSpaceDE w:val="0"/>
              <w:autoSpaceDN w:val="0"/>
              <w:bidi w:val="0"/>
              <w:adjustRightInd w:val="0"/>
              <w:snapToGrid w:val="0"/>
              <w:jc w:val="both"/>
              <w:rPr>
                <w:sz w:val="19"/>
                <w:szCs w:val="19"/>
              </w:rPr>
            </w:pPr>
            <w:r w:rsidRPr="00737872">
              <w:rPr>
                <w:sz w:val="19"/>
                <w:szCs w:val="19"/>
              </w:rPr>
              <w:t>12 (100%)</w:t>
            </w:r>
          </w:p>
          <w:p w:rsidR="00273369" w:rsidRPr="00737872" w:rsidRDefault="00273369" w:rsidP="00737872">
            <w:pPr>
              <w:tabs>
                <w:tab w:val="center" w:pos="3672"/>
              </w:tabs>
              <w:autoSpaceDE w:val="0"/>
              <w:autoSpaceDN w:val="0"/>
              <w:bidi w:val="0"/>
              <w:adjustRightInd w:val="0"/>
              <w:snapToGrid w:val="0"/>
              <w:jc w:val="both"/>
              <w:rPr>
                <w:rFonts w:eastAsiaTheme="minorEastAsia"/>
                <w:sz w:val="19"/>
                <w:szCs w:val="19"/>
                <w:lang w:eastAsia="zh-CN"/>
              </w:rPr>
            </w:pPr>
            <w:r w:rsidRPr="00737872">
              <w:rPr>
                <w:sz w:val="19"/>
                <w:szCs w:val="19"/>
              </w:rPr>
              <w:t>14 (77.8%)</w:t>
            </w:r>
          </w:p>
        </w:tc>
        <w:tc>
          <w:tcPr>
            <w:tcW w:w="615" w:type="pct"/>
            <w:vAlign w:val="center"/>
          </w:tcPr>
          <w:p w:rsidR="00273369" w:rsidRPr="00737872" w:rsidRDefault="00273369" w:rsidP="00737872">
            <w:pPr>
              <w:tabs>
                <w:tab w:val="center" w:pos="3672"/>
              </w:tabs>
              <w:autoSpaceDE w:val="0"/>
              <w:autoSpaceDN w:val="0"/>
              <w:bidi w:val="0"/>
              <w:adjustRightInd w:val="0"/>
              <w:snapToGrid w:val="0"/>
              <w:jc w:val="both"/>
              <w:rPr>
                <w:sz w:val="19"/>
                <w:szCs w:val="19"/>
              </w:rPr>
            </w:pPr>
            <w:r w:rsidRPr="00737872">
              <w:rPr>
                <w:sz w:val="19"/>
                <w:szCs w:val="19"/>
              </w:rPr>
              <w:t>0.001*</w:t>
            </w:r>
          </w:p>
        </w:tc>
      </w:tr>
      <w:tr w:rsidR="00273369" w:rsidRPr="00737872" w:rsidTr="00BF7D07">
        <w:trPr>
          <w:jc w:val="center"/>
        </w:trPr>
        <w:tc>
          <w:tcPr>
            <w:tcW w:w="2138" w:type="pct"/>
            <w:vAlign w:val="center"/>
          </w:tcPr>
          <w:p w:rsidR="00273369" w:rsidRPr="00737872" w:rsidRDefault="00273369" w:rsidP="00737872">
            <w:pPr>
              <w:tabs>
                <w:tab w:val="center" w:pos="3672"/>
              </w:tabs>
              <w:autoSpaceDE w:val="0"/>
              <w:autoSpaceDN w:val="0"/>
              <w:bidi w:val="0"/>
              <w:adjustRightInd w:val="0"/>
              <w:snapToGrid w:val="0"/>
              <w:jc w:val="both"/>
              <w:rPr>
                <w:b/>
                <w:bCs/>
                <w:sz w:val="19"/>
                <w:szCs w:val="19"/>
              </w:rPr>
            </w:pPr>
            <w:r w:rsidRPr="00737872">
              <w:rPr>
                <w:b/>
                <w:bCs/>
                <w:sz w:val="19"/>
                <w:szCs w:val="19"/>
              </w:rPr>
              <w:t>Stage</w:t>
            </w:r>
          </w:p>
          <w:p w:rsidR="00273369" w:rsidRPr="00737872" w:rsidRDefault="00273369" w:rsidP="00737872">
            <w:pPr>
              <w:tabs>
                <w:tab w:val="center" w:pos="3672"/>
              </w:tabs>
              <w:autoSpaceDE w:val="0"/>
              <w:autoSpaceDN w:val="0"/>
              <w:bidi w:val="0"/>
              <w:adjustRightInd w:val="0"/>
              <w:snapToGrid w:val="0"/>
              <w:jc w:val="both"/>
              <w:rPr>
                <w:sz w:val="19"/>
                <w:szCs w:val="19"/>
              </w:rPr>
            </w:pPr>
            <w:r w:rsidRPr="00737872">
              <w:rPr>
                <w:sz w:val="19"/>
                <w:szCs w:val="19"/>
              </w:rPr>
              <w:t>II</w:t>
            </w:r>
          </w:p>
          <w:p w:rsidR="00273369" w:rsidRPr="00737872" w:rsidRDefault="00273369" w:rsidP="00737872">
            <w:pPr>
              <w:tabs>
                <w:tab w:val="center" w:pos="3672"/>
              </w:tabs>
              <w:autoSpaceDE w:val="0"/>
              <w:autoSpaceDN w:val="0"/>
              <w:bidi w:val="0"/>
              <w:adjustRightInd w:val="0"/>
              <w:snapToGrid w:val="0"/>
              <w:jc w:val="both"/>
              <w:rPr>
                <w:sz w:val="19"/>
                <w:szCs w:val="19"/>
              </w:rPr>
            </w:pPr>
            <w:r w:rsidRPr="00737872">
              <w:rPr>
                <w:sz w:val="19"/>
                <w:szCs w:val="19"/>
              </w:rPr>
              <w:t>III</w:t>
            </w:r>
          </w:p>
          <w:p w:rsidR="00273369" w:rsidRPr="00737872" w:rsidRDefault="00273369" w:rsidP="00737872">
            <w:pPr>
              <w:tabs>
                <w:tab w:val="center" w:pos="3672"/>
              </w:tabs>
              <w:autoSpaceDE w:val="0"/>
              <w:autoSpaceDN w:val="0"/>
              <w:bidi w:val="0"/>
              <w:adjustRightInd w:val="0"/>
              <w:snapToGrid w:val="0"/>
              <w:jc w:val="both"/>
              <w:rPr>
                <w:b/>
                <w:bCs/>
                <w:sz w:val="19"/>
                <w:szCs w:val="19"/>
              </w:rPr>
            </w:pPr>
            <w:r w:rsidRPr="00737872">
              <w:rPr>
                <w:sz w:val="19"/>
                <w:szCs w:val="19"/>
              </w:rPr>
              <w:t>IV</w:t>
            </w:r>
          </w:p>
        </w:tc>
        <w:tc>
          <w:tcPr>
            <w:tcW w:w="850" w:type="pct"/>
            <w:vAlign w:val="center"/>
          </w:tcPr>
          <w:p w:rsidR="00273369" w:rsidRPr="00737872" w:rsidRDefault="00273369" w:rsidP="00737872">
            <w:pPr>
              <w:tabs>
                <w:tab w:val="center" w:pos="3672"/>
              </w:tabs>
              <w:autoSpaceDE w:val="0"/>
              <w:autoSpaceDN w:val="0"/>
              <w:bidi w:val="0"/>
              <w:adjustRightInd w:val="0"/>
              <w:snapToGrid w:val="0"/>
              <w:jc w:val="both"/>
              <w:rPr>
                <w:sz w:val="19"/>
                <w:szCs w:val="19"/>
              </w:rPr>
            </w:pPr>
          </w:p>
          <w:p w:rsidR="00273369" w:rsidRPr="00737872" w:rsidRDefault="00273369" w:rsidP="00737872">
            <w:pPr>
              <w:tabs>
                <w:tab w:val="center" w:pos="3672"/>
              </w:tabs>
              <w:autoSpaceDE w:val="0"/>
              <w:autoSpaceDN w:val="0"/>
              <w:bidi w:val="0"/>
              <w:adjustRightInd w:val="0"/>
              <w:snapToGrid w:val="0"/>
              <w:jc w:val="both"/>
              <w:rPr>
                <w:sz w:val="19"/>
                <w:szCs w:val="19"/>
              </w:rPr>
            </w:pPr>
            <w:r w:rsidRPr="00737872">
              <w:rPr>
                <w:sz w:val="19"/>
                <w:szCs w:val="19"/>
              </w:rPr>
              <w:t>3 (100%)</w:t>
            </w:r>
          </w:p>
          <w:p w:rsidR="00273369" w:rsidRPr="00737872" w:rsidRDefault="00273369" w:rsidP="00737872">
            <w:pPr>
              <w:tabs>
                <w:tab w:val="center" w:pos="3672"/>
              </w:tabs>
              <w:autoSpaceDE w:val="0"/>
              <w:autoSpaceDN w:val="0"/>
              <w:bidi w:val="0"/>
              <w:adjustRightInd w:val="0"/>
              <w:snapToGrid w:val="0"/>
              <w:jc w:val="both"/>
              <w:rPr>
                <w:sz w:val="19"/>
                <w:szCs w:val="19"/>
              </w:rPr>
            </w:pPr>
            <w:r w:rsidRPr="00737872">
              <w:rPr>
                <w:sz w:val="19"/>
                <w:szCs w:val="19"/>
              </w:rPr>
              <w:t>22 (100%)</w:t>
            </w:r>
          </w:p>
          <w:p w:rsidR="00273369" w:rsidRPr="00737872" w:rsidRDefault="00273369" w:rsidP="00737872">
            <w:pPr>
              <w:tabs>
                <w:tab w:val="center" w:pos="3672"/>
              </w:tabs>
              <w:autoSpaceDE w:val="0"/>
              <w:autoSpaceDN w:val="0"/>
              <w:bidi w:val="0"/>
              <w:adjustRightInd w:val="0"/>
              <w:snapToGrid w:val="0"/>
              <w:jc w:val="both"/>
              <w:rPr>
                <w:sz w:val="19"/>
                <w:szCs w:val="19"/>
              </w:rPr>
            </w:pPr>
            <w:r w:rsidRPr="00737872">
              <w:rPr>
                <w:sz w:val="19"/>
                <w:szCs w:val="19"/>
              </w:rPr>
              <w:t>0 (0%)</w:t>
            </w:r>
          </w:p>
        </w:tc>
        <w:tc>
          <w:tcPr>
            <w:tcW w:w="615" w:type="pct"/>
            <w:vAlign w:val="center"/>
          </w:tcPr>
          <w:p w:rsidR="00273369" w:rsidRPr="00737872" w:rsidRDefault="00273369" w:rsidP="00737872">
            <w:pPr>
              <w:tabs>
                <w:tab w:val="center" w:pos="3672"/>
              </w:tabs>
              <w:autoSpaceDE w:val="0"/>
              <w:autoSpaceDN w:val="0"/>
              <w:bidi w:val="0"/>
              <w:adjustRightInd w:val="0"/>
              <w:snapToGrid w:val="0"/>
              <w:jc w:val="both"/>
              <w:rPr>
                <w:sz w:val="19"/>
                <w:szCs w:val="19"/>
              </w:rPr>
            </w:pPr>
            <w:r w:rsidRPr="00737872">
              <w:rPr>
                <w:sz w:val="19"/>
                <w:szCs w:val="19"/>
              </w:rPr>
              <w:t>0.001*</w:t>
            </w:r>
          </w:p>
        </w:tc>
        <w:tc>
          <w:tcPr>
            <w:tcW w:w="781" w:type="pct"/>
            <w:vAlign w:val="center"/>
          </w:tcPr>
          <w:p w:rsidR="00273369" w:rsidRPr="00737872" w:rsidRDefault="00273369" w:rsidP="00737872">
            <w:pPr>
              <w:tabs>
                <w:tab w:val="center" w:pos="3672"/>
              </w:tabs>
              <w:autoSpaceDE w:val="0"/>
              <w:autoSpaceDN w:val="0"/>
              <w:bidi w:val="0"/>
              <w:adjustRightInd w:val="0"/>
              <w:snapToGrid w:val="0"/>
              <w:jc w:val="both"/>
              <w:rPr>
                <w:sz w:val="19"/>
                <w:szCs w:val="19"/>
              </w:rPr>
            </w:pPr>
          </w:p>
          <w:p w:rsidR="00273369" w:rsidRPr="00737872" w:rsidRDefault="00273369" w:rsidP="00737872">
            <w:pPr>
              <w:tabs>
                <w:tab w:val="center" w:pos="3672"/>
              </w:tabs>
              <w:autoSpaceDE w:val="0"/>
              <w:autoSpaceDN w:val="0"/>
              <w:bidi w:val="0"/>
              <w:adjustRightInd w:val="0"/>
              <w:snapToGrid w:val="0"/>
              <w:jc w:val="both"/>
              <w:rPr>
                <w:sz w:val="19"/>
                <w:szCs w:val="19"/>
              </w:rPr>
            </w:pPr>
            <w:r w:rsidRPr="00737872">
              <w:rPr>
                <w:sz w:val="19"/>
                <w:szCs w:val="19"/>
              </w:rPr>
              <w:t>3 (100%)</w:t>
            </w:r>
          </w:p>
          <w:p w:rsidR="00273369" w:rsidRPr="00737872" w:rsidRDefault="00273369" w:rsidP="00737872">
            <w:pPr>
              <w:tabs>
                <w:tab w:val="center" w:pos="3672"/>
              </w:tabs>
              <w:autoSpaceDE w:val="0"/>
              <w:autoSpaceDN w:val="0"/>
              <w:bidi w:val="0"/>
              <w:adjustRightInd w:val="0"/>
              <w:snapToGrid w:val="0"/>
              <w:jc w:val="both"/>
              <w:rPr>
                <w:sz w:val="19"/>
                <w:szCs w:val="19"/>
              </w:rPr>
            </w:pPr>
            <w:r w:rsidRPr="00737872">
              <w:rPr>
                <w:sz w:val="19"/>
                <w:szCs w:val="19"/>
              </w:rPr>
              <w:t>22 (100%)</w:t>
            </w:r>
          </w:p>
          <w:p w:rsidR="00273369" w:rsidRPr="00737872" w:rsidRDefault="00273369" w:rsidP="00737872">
            <w:pPr>
              <w:tabs>
                <w:tab w:val="center" w:pos="3672"/>
              </w:tabs>
              <w:autoSpaceDE w:val="0"/>
              <w:autoSpaceDN w:val="0"/>
              <w:bidi w:val="0"/>
              <w:adjustRightInd w:val="0"/>
              <w:snapToGrid w:val="0"/>
              <w:jc w:val="both"/>
              <w:rPr>
                <w:sz w:val="19"/>
                <w:szCs w:val="19"/>
              </w:rPr>
            </w:pPr>
            <w:r w:rsidRPr="00737872">
              <w:rPr>
                <w:sz w:val="19"/>
                <w:szCs w:val="19"/>
              </w:rPr>
              <w:t>1 (20%)</w:t>
            </w:r>
          </w:p>
        </w:tc>
        <w:tc>
          <w:tcPr>
            <w:tcW w:w="615" w:type="pct"/>
            <w:vAlign w:val="center"/>
          </w:tcPr>
          <w:p w:rsidR="00273369" w:rsidRPr="00737872" w:rsidRDefault="00273369" w:rsidP="00737872">
            <w:pPr>
              <w:tabs>
                <w:tab w:val="center" w:pos="3672"/>
              </w:tabs>
              <w:autoSpaceDE w:val="0"/>
              <w:autoSpaceDN w:val="0"/>
              <w:bidi w:val="0"/>
              <w:adjustRightInd w:val="0"/>
              <w:snapToGrid w:val="0"/>
              <w:jc w:val="both"/>
              <w:rPr>
                <w:sz w:val="19"/>
                <w:szCs w:val="19"/>
              </w:rPr>
            </w:pPr>
            <w:r w:rsidRPr="00737872">
              <w:rPr>
                <w:sz w:val="19"/>
                <w:szCs w:val="19"/>
              </w:rPr>
              <w:t>0.001*</w:t>
            </w:r>
          </w:p>
        </w:tc>
      </w:tr>
    </w:tbl>
    <w:p w:rsidR="00737872" w:rsidRDefault="00BF7D07" w:rsidP="00737872">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sectPr w:rsidR="00737872" w:rsidSect="00BF7D07">
          <w:type w:val="continuous"/>
          <w:pgSz w:w="12242" w:h="15842" w:code="1"/>
          <w:pgMar w:top="1440" w:right="1440" w:bottom="1440" w:left="1440" w:header="720" w:footer="720" w:gutter="0"/>
          <w:cols w:space="720"/>
          <w:docGrid w:linePitch="360"/>
        </w:sectPr>
      </w:pPr>
      <w:r w:rsidRPr="00737872">
        <w:rPr>
          <w:rFonts w:ascii="Times New Roman" w:hAnsi="Times New Roman" w:cs="Times New Roman"/>
          <w:b/>
          <w:bCs/>
          <w:sz w:val="20"/>
          <w:szCs w:val="20"/>
        </w:rPr>
        <w:cr/>
      </w:r>
    </w:p>
    <w:p w:rsidR="00273369" w:rsidRPr="00737872" w:rsidRDefault="00273369" w:rsidP="00737872">
      <w:pPr>
        <w:autoSpaceDE w:val="0"/>
        <w:autoSpaceDN w:val="0"/>
        <w:bidi w:val="0"/>
        <w:adjustRightInd w:val="0"/>
        <w:snapToGrid w:val="0"/>
        <w:spacing w:after="0" w:line="240" w:lineRule="auto"/>
        <w:jc w:val="center"/>
        <w:rPr>
          <w:rFonts w:ascii="Times New Roman" w:hAnsi="Times New Roman" w:cs="Times New Roman"/>
          <w:sz w:val="20"/>
          <w:szCs w:val="20"/>
          <w:lang w:bidi="ar-EG"/>
        </w:rPr>
      </w:pPr>
      <w:r w:rsidRPr="00737872">
        <w:rPr>
          <w:rFonts w:ascii="Times New Roman" w:hAnsi="Times New Roman" w:cs="Times New Roman"/>
          <w:b/>
          <w:bCs/>
          <w:sz w:val="20"/>
          <w:szCs w:val="20"/>
        </w:rPr>
        <w:lastRenderedPageBreak/>
        <w:t>Table (</w:t>
      </w:r>
      <w:r w:rsidR="002E5DEE" w:rsidRPr="00737872">
        <w:rPr>
          <w:rFonts w:ascii="Times New Roman" w:hAnsi="Times New Roman" w:cs="Times New Roman"/>
          <w:b/>
          <w:bCs/>
          <w:sz w:val="20"/>
          <w:szCs w:val="20"/>
        </w:rPr>
        <w:t>3</w:t>
      </w:r>
      <w:r w:rsidRPr="00737872">
        <w:rPr>
          <w:rFonts w:ascii="Times New Roman" w:hAnsi="Times New Roman" w:cs="Times New Roman"/>
          <w:b/>
          <w:bCs/>
          <w:sz w:val="20"/>
          <w:szCs w:val="20"/>
        </w:rPr>
        <w:t xml:space="preserve">): </w:t>
      </w:r>
      <w:r w:rsidRPr="00737872">
        <w:rPr>
          <w:rFonts w:ascii="Times New Roman" w:hAnsi="Times New Roman" w:cs="Times New Roman"/>
          <w:sz w:val="20"/>
          <w:szCs w:val="20"/>
        </w:rPr>
        <w:t>Multivariate analysis for progression fre</w:t>
      </w:r>
      <w:r w:rsidR="007641E0" w:rsidRPr="00737872">
        <w:rPr>
          <w:rFonts w:ascii="Times New Roman" w:hAnsi="Times New Roman" w:cs="Times New Roman"/>
          <w:sz w:val="20"/>
          <w:szCs w:val="20"/>
        </w:rPr>
        <w:t>e survival and overall survival</w:t>
      </w:r>
    </w:p>
    <w:tbl>
      <w:tblPr>
        <w:tblStyle w:val="TableGrid"/>
        <w:tblW w:w="5000" w:type="pct"/>
        <w:jc w:val="center"/>
        <w:tblCellMar>
          <w:left w:w="57" w:type="dxa"/>
          <w:right w:w="57" w:type="dxa"/>
        </w:tblCellMar>
        <w:tblLook w:val="04A0"/>
      </w:tblPr>
      <w:tblGrid>
        <w:gridCol w:w="1734"/>
        <w:gridCol w:w="4005"/>
        <w:gridCol w:w="3737"/>
      </w:tblGrid>
      <w:tr w:rsidR="00273369" w:rsidRPr="00737872" w:rsidTr="00BF7D07">
        <w:trPr>
          <w:jc w:val="center"/>
        </w:trPr>
        <w:tc>
          <w:tcPr>
            <w:tcW w:w="915" w:type="pct"/>
            <w:vMerge w:val="restart"/>
            <w:vAlign w:val="center"/>
          </w:tcPr>
          <w:p w:rsidR="00273369" w:rsidRPr="00737872" w:rsidRDefault="00273369" w:rsidP="00737872">
            <w:pPr>
              <w:bidi w:val="0"/>
              <w:snapToGrid w:val="0"/>
              <w:jc w:val="both"/>
              <w:rPr>
                <w:b/>
                <w:bCs/>
                <w:sz w:val="19"/>
                <w:szCs w:val="19"/>
                <w:lang w:bidi="ar-EG"/>
              </w:rPr>
            </w:pPr>
            <w:r w:rsidRPr="00737872">
              <w:rPr>
                <w:b/>
                <w:bCs/>
                <w:sz w:val="19"/>
                <w:szCs w:val="19"/>
                <w:lang w:bidi="ar-EG"/>
              </w:rPr>
              <w:t>Item</w:t>
            </w:r>
          </w:p>
        </w:tc>
        <w:tc>
          <w:tcPr>
            <w:tcW w:w="4085" w:type="pct"/>
            <w:gridSpan w:val="2"/>
            <w:vAlign w:val="center"/>
          </w:tcPr>
          <w:p w:rsidR="00273369" w:rsidRPr="00737872" w:rsidRDefault="00273369" w:rsidP="00737872">
            <w:pPr>
              <w:autoSpaceDE w:val="0"/>
              <w:autoSpaceDN w:val="0"/>
              <w:bidi w:val="0"/>
              <w:adjustRightInd w:val="0"/>
              <w:snapToGrid w:val="0"/>
              <w:jc w:val="both"/>
              <w:rPr>
                <w:b/>
                <w:bCs/>
                <w:sz w:val="19"/>
                <w:szCs w:val="19"/>
              </w:rPr>
            </w:pPr>
            <w:r w:rsidRPr="00737872">
              <w:rPr>
                <w:b/>
                <w:bCs/>
                <w:sz w:val="19"/>
                <w:szCs w:val="19"/>
              </w:rPr>
              <w:t>Multivariate</w:t>
            </w:r>
          </w:p>
        </w:tc>
      </w:tr>
      <w:tr w:rsidR="00273369" w:rsidRPr="00737872" w:rsidTr="00BF7D07">
        <w:trPr>
          <w:jc w:val="center"/>
        </w:trPr>
        <w:tc>
          <w:tcPr>
            <w:tcW w:w="915" w:type="pct"/>
            <w:vMerge/>
            <w:vAlign w:val="center"/>
          </w:tcPr>
          <w:p w:rsidR="00273369" w:rsidRPr="00737872" w:rsidRDefault="00273369" w:rsidP="00737872">
            <w:pPr>
              <w:bidi w:val="0"/>
              <w:snapToGrid w:val="0"/>
              <w:jc w:val="both"/>
              <w:rPr>
                <w:sz w:val="19"/>
                <w:szCs w:val="19"/>
                <w:lang w:bidi="ar-EG"/>
              </w:rPr>
            </w:pPr>
          </w:p>
        </w:tc>
        <w:tc>
          <w:tcPr>
            <w:tcW w:w="2113" w:type="pct"/>
            <w:vAlign w:val="center"/>
          </w:tcPr>
          <w:p w:rsidR="00273369" w:rsidRPr="00737872" w:rsidRDefault="00273369" w:rsidP="00737872">
            <w:pPr>
              <w:bidi w:val="0"/>
              <w:snapToGrid w:val="0"/>
              <w:jc w:val="both"/>
              <w:rPr>
                <w:sz w:val="19"/>
                <w:szCs w:val="19"/>
                <w:lang w:bidi="ar-EG"/>
              </w:rPr>
            </w:pPr>
            <w:r w:rsidRPr="00737872">
              <w:rPr>
                <w:b/>
                <w:bCs/>
                <w:sz w:val="19"/>
                <w:szCs w:val="19"/>
              </w:rPr>
              <w:t>PFS (P-Value)</w:t>
            </w:r>
          </w:p>
        </w:tc>
        <w:tc>
          <w:tcPr>
            <w:tcW w:w="1973" w:type="pct"/>
            <w:vAlign w:val="center"/>
          </w:tcPr>
          <w:p w:rsidR="00273369" w:rsidRPr="00737872" w:rsidRDefault="00273369" w:rsidP="00737872">
            <w:pPr>
              <w:autoSpaceDE w:val="0"/>
              <w:autoSpaceDN w:val="0"/>
              <w:bidi w:val="0"/>
              <w:adjustRightInd w:val="0"/>
              <w:snapToGrid w:val="0"/>
              <w:jc w:val="both"/>
              <w:rPr>
                <w:b/>
                <w:bCs/>
                <w:sz w:val="19"/>
                <w:szCs w:val="19"/>
                <w:lang w:bidi="ar-EG"/>
              </w:rPr>
            </w:pPr>
            <w:r w:rsidRPr="00737872">
              <w:rPr>
                <w:b/>
                <w:bCs/>
                <w:sz w:val="19"/>
                <w:szCs w:val="19"/>
              </w:rPr>
              <w:t>OS (P-Value)</w:t>
            </w:r>
          </w:p>
        </w:tc>
      </w:tr>
      <w:tr w:rsidR="00273369" w:rsidRPr="00737872" w:rsidTr="00BF7D07">
        <w:trPr>
          <w:jc w:val="center"/>
        </w:trPr>
        <w:tc>
          <w:tcPr>
            <w:tcW w:w="915" w:type="pct"/>
            <w:vAlign w:val="center"/>
          </w:tcPr>
          <w:p w:rsidR="00273369" w:rsidRPr="00737872" w:rsidRDefault="00273369" w:rsidP="00737872">
            <w:pPr>
              <w:bidi w:val="0"/>
              <w:snapToGrid w:val="0"/>
              <w:jc w:val="both"/>
              <w:rPr>
                <w:sz w:val="19"/>
                <w:szCs w:val="19"/>
                <w:lang w:bidi="ar-EG"/>
              </w:rPr>
            </w:pPr>
            <w:r w:rsidRPr="00737872">
              <w:rPr>
                <w:b/>
                <w:bCs/>
                <w:sz w:val="19"/>
                <w:szCs w:val="19"/>
              </w:rPr>
              <w:t>N</w:t>
            </w:r>
          </w:p>
        </w:tc>
        <w:tc>
          <w:tcPr>
            <w:tcW w:w="2113" w:type="pct"/>
            <w:vAlign w:val="center"/>
          </w:tcPr>
          <w:p w:rsidR="00273369" w:rsidRPr="00737872" w:rsidRDefault="00273369" w:rsidP="00737872">
            <w:pPr>
              <w:autoSpaceDE w:val="0"/>
              <w:autoSpaceDN w:val="0"/>
              <w:bidi w:val="0"/>
              <w:adjustRightInd w:val="0"/>
              <w:snapToGrid w:val="0"/>
              <w:jc w:val="both"/>
              <w:rPr>
                <w:sz w:val="19"/>
                <w:szCs w:val="19"/>
                <w:lang w:bidi="ar-EG"/>
              </w:rPr>
            </w:pPr>
            <w:r w:rsidRPr="00737872">
              <w:rPr>
                <w:sz w:val="19"/>
                <w:szCs w:val="19"/>
                <w:lang w:bidi="ar-EG"/>
              </w:rPr>
              <w:t>-</w:t>
            </w:r>
          </w:p>
        </w:tc>
        <w:tc>
          <w:tcPr>
            <w:tcW w:w="1973" w:type="pct"/>
            <w:vAlign w:val="center"/>
          </w:tcPr>
          <w:p w:rsidR="00273369" w:rsidRPr="00737872" w:rsidRDefault="00273369" w:rsidP="00737872">
            <w:pPr>
              <w:autoSpaceDE w:val="0"/>
              <w:autoSpaceDN w:val="0"/>
              <w:bidi w:val="0"/>
              <w:adjustRightInd w:val="0"/>
              <w:snapToGrid w:val="0"/>
              <w:jc w:val="both"/>
              <w:rPr>
                <w:sz w:val="19"/>
                <w:szCs w:val="19"/>
                <w:lang w:bidi="ar-EG"/>
              </w:rPr>
            </w:pPr>
            <w:r w:rsidRPr="00737872">
              <w:rPr>
                <w:sz w:val="19"/>
                <w:szCs w:val="19"/>
                <w:lang w:bidi="ar-EG"/>
              </w:rPr>
              <w:t>0.325</w:t>
            </w:r>
          </w:p>
        </w:tc>
      </w:tr>
      <w:tr w:rsidR="00273369" w:rsidRPr="00737872" w:rsidTr="00BF7D07">
        <w:trPr>
          <w:jc w:val="center"/>
        </w:trPr>
        <w:tc>
          <w:tcPr>
            <w:tcW w:w="915" w:type="pct"/>
            <w:vAlign w:val="center"/>
          </w:tcPr>
          <w:p w:rsidR="00273369" w:rsidRPr="00737872" w:rsidRDefault="00273369" w:rsidP="00737872">
            <w:pPr>
              <w:bidi w:val="0"/>
              <w:snapToGrid w:val="0"/>
              <w:jc w:val="both"/>
              <w:rPr>
                <w:sz w:val="19"/>
                <w:szCs w:val="19"/>
                <w:lang w:bidi="ar-EG"/>
              </w:rPr>
            </w:pPr>
            <w:r w:rsidRPr="00737872">
              <w:rPr>
                <w:b/>
                <w:bCs/>
                <w:sz w:val="19"/>
                <w:szCs w:val="19"/>
              </w:rPr>
              <w:t>Stage</w:t>
            </w:r>
          </w:p>
        </w:tc>
        <w:tc>
          <w:tcPr>
            <w:tcW w:w="2113" w:type="pct"/>
            <w:vAlign w:val="center"/>
          </w:tcPr>
          <w:p w:rsidR="00273369" w:rsidRPr="00737872" w:rsidRDefault="00273369" w:rsidP="00737872">
            <w:pPr>
              <w:autoSpaceDE w:val="0"/>
              <w:autoSpaceDN w:val="0"/>
              <w:bidi w:val="0"/>
              <w:adjustRightInd w:val="0"/>
              <w:snapToGrid w:val="0"/>
              <w:jc w:val="both"/>
              <w:rPr>
                <w:sz w:val="19"/>
                <w:szCs w:val="19"/>
                <w:lang w:bidi="ar-EG"/>
              </w:rPr>
            </w:pPr>
            <w:r w:rsidRPr="00737872">
              <w:rPr>
                <w:sz w:val="19"/>
                <w:szCs w:val="19"/>
                <w:lang w:bidi="ar-EG"/>
              </w:rPr>
              <w:t>0.001*</w:t>
            </w:r>
          </w:p>
        </w:tc>
        <w:tc>
          <w:tcPr>
            <w:tcW w:w="1973" w:type="pct"/>
            <w:vAlign w:val="center"/>
          </w:tcPr>
          <w:p w:rsidR="00273369" w:rsidRPr="00737872" w:rsidRDefault="00273369" w:rsidP="00737872">
            <w:pPr>
              <w:autoSpaceDE w:val="0"/>
              <w:autoSpaceDN w:val="0"/>
              <w:bidi w:val="0"/>
              <w:adjustRightInd w:val="0"/>
              <w:snapToGrid w:val="0"/>
              <w:jc w:val="both"/>
              <w:rPr>
                <w:sz w:val="19"/>
                <w:szCs w:val="19"/>
                <w:lang w:bidi="ar-EG"/>
              </w:rPr>
            </w:pPr>
            <w:r w:rsidRPr="00737872">
              <w:rPr>
                <w:sz w:val="19"/>
                <w:szCs w:val="19"/>
                <w:lang w:bidi="ar-EG"/>
              </w:rPr>
              <w:t>0.001*</w:t>
            </w:r>
          </w:p>
        </w:tc>
      </w:tr>
    </w:tbl>
    <w:p w:rsidR="003856DC" w:rsidRPr="00737872" w:rsidRDefault="00BF7D07" w:rsidP="00737872">
      <w:pPr>
        <w:tabs>
          <w:tab w:val="right" w:pos="142"/>
        </w:tabs>
        <w:bidi w:val="0"/>
        <w:snapToGrid w:val="0"/>
        <w:spacing w:after="0" w:line="240" w:lineRule="auto"/>
        <w:jc w:val="center"/>
        <w:rPr>
          <w:rFonts w:ascii="Times New Roman" w:hAnsi="Times New Roman" w:cs="Times New Roman"/>
          <w:sz w:val="20"/>
          <w:szCs w:val="20"/>
          <w:lang w:bidi="ar-EG"/>
        </w:rPr>
      </w:pPr>
      <w:r w:rsidRPr="00737872">
        <w:rPr>
          <w:rFonts w:ascii="Times New Roman" w:hAnsi="Times New Roman" w:cs="Times New Roman"/>
          <w:b/>
          <w:bCs/>
          <w:sz w:val="20"/>
          <w:szCs w:val="20"/>
        </w:rPr>
        <w:cr/>
      </w:r>
      <w:r w:rsidR="003856DC" w:rsidRPr="00737872">
        <w:rPr>
          <w:rFonts w:ascii="Times New Roman" w:hAnsi="Times New Roman" w:cs="Times New Roman"/>
          <w:b/>
          <w:bCs/>
          <w:sz w:val="20"/>
          <w:szCs w:val="20"/>
        </w:rPr>
        <w:t>Table (</w:t>
      </w:r>
      <w:r w:rsidR="004275D6" w:rsidRPr="00737872">
        <w:rPr>
          <w:rFonts w:ascii="Times New Roman" w:hAnsi="Times New Roman" w:cs="Times New Roman"/>
          <w:b/>
          <w:bCs/>
          <w:sz w:val="20"/>
          <w:szCs w:val="20"/>
        </w:rPr>
        <w:t>4</w:t>
      </w:r>
      <w:r w:rsidR="003856DC" w:rsidRPr="00737872">
        <w:rPr>
          <w:rFonts w:ascii="Times New Roman" w:hAnsi="Times New Roman" w:cs="Times New Roman"/>
          <w:b/>
          <w:bCs/>
          <w:sz w:val="20"/>
          <w:szCs w:val="20"/>
        </w:rPr>
        <w:t>)</w:t>
      </w:r>
      <w:r w:rsidR="00737872" w:rsidRPr="00737872">
        <w:rPr>
          <w:rFonts w:ascii="Times New Roman" w:hAnsi="Times New Roman" w:cs="Times New Roman"/>
          <w:b/>
          <w:bCs/>
          <w:sz w:val="20"/>
          <w:szCs w:val="20"/>
        </w:rPr>
        <w:t>:</w:t>
      </w:r>
      <w:r w:rsidR="00737872">
        <w:rPr>
          <w:rFonts w:ascii="Times New Roman" w:hAnsi="Times New Roman" w:cs="Times New Roman"/>
          <w:b/>
          <w:bCs/>
          <w:sz w:val="20"/>
          <w:szCs w:val="20"/>
        </w:rPr>
        <w:t xml:space="preserve"> </w:t>
      </w:r>
      <w:r w:rsidR="00737872" w:rsidRPr="00737872">
        <w:rPr>
          <w:rFonts w:ascii="Times New Roman" w:hAnsi="Times New Roman" w:cs="Times New Roman"/>
          <w:sz w:val="20"/>
          <w:szCs w:val="20"/>
        </w:rPr>
        <w:t>D</w:t>
      </w:r>
      <w:r w:rsidR="003856DC" w:rsidRPr="00737872">
        <w:rPr>
          <w:rFonts w:ascii="Times New Roman" w:hAnsi="Times New Roman" w:cs="Times New Roman"/>
          <w:sz w:val="20"/>
          <w:szCs w:val="20"/>
        </w:rPr>
        <w:t>ose-volume statistics derived from dose–volume histograms (</w:t>
      </w:r>
      <w:proofErr w:type="spellStart"/>
      <w:r w:rsidR="003856DC" w:rsidRPr="00737872">
        <w:rPr>
          <w:rFonts w:ascii="Times New Roman" w:hAnsi="Times New Roman" w:cs="Times New Roman"/>
          <w:sz w:val="20"/>
          <w:szCs w:val="20"/>
        </w:rPr>
        <w:t>DVHs</w:t>
      </w:r>
      <w:proofErr w:type="spellEnd"/>
      <w:r w:rsidR="003856DC" w:rsidRPr="00737872">
        <w:rPr>
          <w:rFonts w:ascii="Times New Roman" w:hAnsi="Times New Roman" w:cs="Times New Roman"/>
          <w:sz w:val="20"/>
          <w:szCs w:val="20"/>
        </w:rPr>
        <w:t>) for target volumes</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000"/>
      </w:tblPr>
      <w:tblGrid>
        <w:gridCol w:w="2795"/>
        <w:gridCol w:w="1365"/>
        <w:gridCol w:w="733"/>
        <w:gridCol w:w="279"/>
        <w:gridCol w:w="735"/>
        <w:gridCol w:w="785"/>
        <w:gridCol w:w="292"/>
        <w:gridCol w:w="612"/>
        <w:gridCol w:w="864"/>
        <w:gridCol w:w="1016"/>
      </w:tblGrid>
      <w:tr w:rsidR="00BF7D07" w:rsidRPr="00737872" w:rsidTr="00BF7D07">
        <w:trPr>
          <w:jc w:val="center"/>
        </w:trPr>
        <w:tc>
          <w:tcPr>
            <w:tcW w:w="2195" w:type="pct"/>
            <w:gridSpan w:val="2"/>
            <w:tcBorders>
              <w:top w:val="single" w:sz="4" w:space="0" w:color="auto"/>
              <w:left w:val="single" w:sz="4" w:space="0" w:color="auto"/>
              <w:bottom w:val="double" w:sz="4" w:space="0" w:color="auto"/>
            </w:tcBorders>
            <w:shd w:val="clear" w:color="000000" w:fill="FFFFFF"/>
            <w:vAlign w:val="center"/>
          </w:tcPr>
          <w:p w:rsidR="005720B0" w:rsidRPr="00737872" w:rsidRDefault="005720B0"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Item</w:t>
            </w:r>
          </w:p>
        </w:tc>
        <w:tc>
          <w:tcPr>
            <w:tcW w:w="922" w:type="pct"/>
            <w:gridSpan w:val="3"/>
            <w:tcBorders>
              <w:top w:val="single" w:sz="4" w:space="0" w:color="auto"/>
              <w:bottom w:val="double" w:sz="4" w:space="0" w:color="auto"/>
            </w:tcBorders>
            <w:shd w:val="clear" w:color="000000" w:fill="FFFFFF"/>
            <w:vAlign w:val="center"/>
          </w:tcPr>
          <w:p w:rsidR="005720B0" w:rsidRPr="00737872" w:rsidRDefault="005720B0"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Range (</w:t>
            </w:r>
            <w:proofErr w:type="spellStart"/>
            <w:r w:rsidRPr="00737872">
              <w:rPr>
                <w:rFonts w:ascii="Times New Roman" w:hAnsi="Times New Roman" w:cs="Times New Roman"/>
                <w:b/>
                <w:bCs/>
                <w:sz w:val="19"/>
                <w:szCs w:val="19"/>
              </w:rPr>
              <w:t>cG</w:t>
            </w:r>
            <w:proofErr w:type="spellEnd"/>
            <w:r w:rsidRPr="00737872">
              <w:rPr>
                <w:rFonts w:ascii="Times New Roman" w:hAnsi="Times New Roman" w:cs="Times New Roman"/>
                <w:b/>
                <w:bCs/>
                <w:sz w:val="19"/>
                <w:szCs w:val="19"/>
              </w:rPr>
              <w:t>)</w:t>
            </w:r>
          </w:p>
        </w:tc>
        <w:tc>
          <w:tcPr>
            <w:tcW w:w="414" w:type="pct"/>
            <w:tcBorders>
              <w:top w:val="single" w:sz="4" w:space="0" w:color="auto"/>
              <w:bottom w:val="double" w:sz="4" w:space="0" w:color="auto"/>
              <w:right w:val="nil"/>
            </w:tcBorders>
            <w:shd w:val="clear" w:color="000000" w:fill="FFFFFF"/>
            <w:vAlign w:val="center"/>
          </w:tcPr>
          <w:p w:rsidR="005720B0" w:rsidRPr="00737872" w:rsidRDefault="005720B0"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Mean</w:t>
            </w:r>
          </w:p>
        </w:tc>
        <w:tc>
          <w:tcPr>
            <w:tcW w:w="154" w:type="pct"/>
            <w:tcBorders>
              <w:top w:val="single" w:sz="4" w:space="0" w:color="auto"/>
              <w:left w:val="nil"/>
              <w:bottom w:val="double" w:sz="4" w:space="0" w:color="auto"/>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w:t>
            </w:r>
          </w:p>
        </w:tc>
        <w:tc>
          <w:tcPr>
            <w:tcW w:w="323" w:type="pct"/>
            <w:tcBorders>
              <w:top w:val="single" w:sz="4" w:space="0" w:color="auto"/>
              <w:left w:val="nil"/>
              <w:bottom w:val="double" w:sz="4" w:space="0" w:color="auto"/>
            </w:tcBorders>
            <w:shd w:val="clear" w:color="000000" w:fill="FFFFFF"/>
            <w:vAlign w:val="center"/>
          </w:tcPr>
          <w:p w:rsidR="005720B0" w:rsidRPr="00737872" w:rsidRDefault="005720B0"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S. D</w:t>
            </w:r>
          </w:p>
        </w:tc>
        <w:tc>
          <w:tcPr>
            <w:tcW w:w="456" w:type="pct"/>
            <w:tcBorders>
              <w:top w:val="single" w:sz="4" w:space="0" w:color="auto"/>
              <w:left w:val="nil"/>
              <w:bottom w:val="double" w:sz="4" w:space="0" w:color="auto"/>
            </w:tcBorders>
            <w:shd w:val="clear" w:color="000000" w:fill="FFFFFF"/>
            <w:vAlign w:val="center"/>
          </w:tcPr>
          <w:p w:rsidR="005720B0" w:rsidRPr="00737872" w:rsidRDefault="005720B0"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t. test</w:t>
            </w:r>
          </w:p>
        </w:tc>
        <w:tc>
          <w:tcPr>
            <w:tcW w:w="536" w:type="pct"/>
            <w:tcBorders>
              <w:top w:val="single" w:sz="4" w:space="0" w:color="auto"/>
              <w:left w:val="nil"/>
              <w:bottom w:val="double" w:sz="4" w:space="0" w:color="auto"/>
              <w:right w:val="single" w:sz="4" w:space="0" w:color="auto"/>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p. value</w:t>
            </w:r>
          </w:p>
        </w:tc>
      </w:tr>
      <w:tr w:rsidR="00BF7D07" w:rsidRPr="00737872" w:rsidTr="00BF7D07">
        <w:trPr>
          <w:jc w:val="center"/>
        </w:trPr>
        <w:tc>
          <w:tcPr>
            <w:tcW w:w="1475" w:type="pct"/>
            <w:vMerge w:val="restart"/>
            <w:tcBorders>
              <w:top w:val="double" w:sz="4" w:space="0" w:color="auto"/>
              <w:left w:val="single" w:sz="4" w:space="0" w:color="auto"/>
            </w:tcBorders>
            <w:shd w:val="clear" w:color="000000" w:fill="FFFFFF"/>
            <w:vAlign w:val="center"/>
          </w:tcPr>
          <w:p w:rsidR="005720B0" w:rsidRPr="00737872" w:rsidRDefault="005720B0"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95% of PTV69.96</w:t>
            </w:r>
          </w:p>
        </w:tc>
        <w:tc>
          <w:tcPr>
            <w:tcW w:w="720" w:type="pct"/>
            <w:tcBorders>
              <w:top w:val="double" w:sz="4" w:space="0" w:color="auto"/>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IMRT</w:t>
            </w:r>
          </w:p>
        </w:tc>
        <w:tc>
          <w:tcPr>
            <w:tcW w:w="387" w:type="pct"/>
            <w:tcBorders>
              <w:top w:val="double" w:sz="4" w:space="0" w:color="auto"/>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65</w:t>
            </w:r>
            <w:r w:rsidR="00AA71D5" w:rsidRPr="00737872">
              <w:rPr>
                <w:rFonts w:ascii="Times New Roman" w:hAnsi="Times New Roman" w:cs="Times New Roman"/>
                <w:sz w:val="19"/>
                <w:szCs w:val="19"/>
              </w:rPr>
              <w:t>.</w:t>
            </w:r>
            <w:r w:rsidRPr="00737872">
              <w:rPr>
                <w:rFonts w:ascii="Times New Roman" w:hAnsi="Times New Roman" w:cs="Times New Roman"/>
                <w:sz w:val="19"/>
                <w:szCs w:val="19"/>
              </w:rPr>
              <w:t>12</w:t>
            </w:r>
          </w:p>
        </w:tc>
        <w:tc>
          <w:tcPr>
            <w:tcW w:w="147" w:type="pct"/>
            <w:tcBorders>
              <w:top w:val="double" w:sz="4" w:space="0" w:color="auto"/>
              <w:left w:val="nil"/>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w:t>
            </w:r>
          </w:p>
        </w:tc>
        <w:tc>
          <w:tcPr>
            <w:tcW w:w="387" w:type="pct"/>
            <w:tcBorders>
              <w:top w:val="double" w:sz="4" w:space="0" w:color="auto"/>
              <w:lef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71</w:t>
            </w:r>
            <w:r w:rsidR="00AA71D5" w:rsidRPr="00737872">
              <w:rPr>
                <w:rFonts w:ascii="Times New Roman" w:hAnsi="Times New Roman" w:cs="Times New Roman"/>
                <w:sz w:val="19"/>
                <w:szCs w:val="19"/>
              </w:rPr>
              <w:t>.</w:t>
            </w:r>
            <w:r w:rsidRPr="00737872">
              <w:rPr>
                <w:rFonts w:ascii="Times New Roman" w:hAnsi="Times New Roman" w:cs="Times New Roman"/>
                <w:sz w:val="19"/>
                <w:szCs w:val="19"/>
              </w:rPr>
              <w:t>43</w:t>
            </w:r>
          </w:p>
        </w:tc>
        <w:tc>
          <w:tcPr>
            <w:tcW w:w="414" w:type="pct"/>
            <w:tcBorders>
              <w:top w:val="double" w:sz="4" w:space="0" w:color="auto"/>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67.49</w:t>
            </w:r>
          </w:p>
        </w:tc>
        <w:tc>
          <w:tcPr>
            <w:tcW w:w="154" w:type="pct"/>
            <w:tcBorders>
              <w:top w:val="double" w:sz="4" w:space="0" w:color="auto"/>
              <w:left w:val="nil"/>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w:t>
            </w:r>
          </w:p>
        </w:tc>
        <w:tc>
          <w:tcPr>
            <w:tcW w:w="323" w:type="pct"/>
            <w:tcBorders>
              <w:top w:val="double" w:sz="4" w:space="0" w:color="auto"/>
              <w:lef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1.34</w:t>
            </w:r>
          </w:p>
        </w:tc>
        <w:tc>
          <w:tcPr>
            <w:tcW w:w="456" w:type="pct"/>
            <w:vMerge w:val="restart"/>
            <w:tcBorders>
              <w:top w:val="double" w:sz="4" w:space="0" w:color="auto"/>
              <w:lef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28.897</w:t>
            </w:r>
          </w:p>
        </w:tc>
        <w:tc>
          <w:tcPr>
            <w:tcW w:w="536" w:type="pct"/>
            <w:vMerge w:val="restart"/>
            <w:tcBorders>
              <w:top w:val="double" w:sz="4" w:space="0" w:color="auto"/>
              <w:left w:val="nil"/>
              <w:right w:val="single" w:sz="4" w:space="0" w:color="auto"/>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0.001*</w:t>
            </w:r>
          </w:p>
        </w:tc>
      </w:tr>
      <w:tr w:rsidR="00BF7D07" w:rsidRPr="00737872" w:rsidTr="00BF7D07">
        <w:trPr>
          <w:jc w:val="center"/>
        </w:trPr>
        <w:tc>
          <w:tcPr>
            <w:tcW w:w="1475" w:type="pct"/>
            <w:vMerge/>
            <w:tcBorders>
              <w:left w:val="single" w:sz="4" w:space="0" w:color="auto"/>
            </w:tcBorders>
            <w:shd w:val="clear" w:color="000000" w:fill="FFFFFF"/>
            <w:vAlign w:val="center"/>
          </w:tcPr>
          <w:p w:rsidR="005720B0" w:rsidRPr="00737872" w:rsidRDefault="005720B0"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p>
        </w:tc>
        <w:tc>
          <w:tcPr>
            <w:tcW w:w="720" w:type="pct"/>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Conformal</w:t>
            </w:r>
          </w:p>
        </w:tc>
        <w:tc>
          <w:tcPr>
            <w:tcW w:w="387" w:type="pct"/>
            <w:tcBorders>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40</w:t>
            </w:r>
            <w:r w:rsidR="00AA71D5" w:rsidRPr="00737872">
              <w:rPr>
                <w:rFonts w:ascii="Times New Roman" w:hAnsi="Times New Roman" w:cs="Times New Roman"/>
                <w:sz w:val="19"/>
                <w:szCs w:val="19"/>
              </w:rPr>
              <w:t>.</w:t>
            </w:r>
            <w:r w:rsidRPr="00737872">
              <w:rPr>
                <w:rFonts w:ascii="Times New Roman" w:hAnsi="Times New Roman" w:cs="Times New Roman"/>
                <w:sz w:val="19"/>
                <w:szCs w:val="19"/>
              </w:rPr>
              <w:t>61</w:t>
            </w:r>
          </w:p>
        </w:tc>
        <w:tc>
          <w:tcPr>
            <w:tcW w:w="147" w:type="pct"/>
            <w:tcBorders>
              <w:left w:val="nil"/>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w:t>
            </w:r>
          </w:p>
        </w:tc>
        <w:tc>
          <w:tcPr>
            <w:tcW w:w="387" w:type="pct"/>
            <w:tcBorders>
              <w:lef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67</w:t>
            </w:r>
            <w:r w:rsidR="00AA71D5" w:rsidRPr="00737872">
              <w:rPr>
                <w:rFonts w:ascii="Times New Roman" w:hAnsi="Times New Roman" w:cs="Times New Roman"/>
                <w:sz w:val="19"/>
                <w:szCs w:val="19"/>
              </w:rPr>
              <w:t>.</w:t>
            </w:r>
            <w:r w:rsidRPr="00737872">
              <w:rPr>
                <w:rFonts w:ascii="Times New Roman" w:hAnsi="Times New Roman" w:cs="Times New Roman"/>
                <w:sz w:val="19"/>
                <w:szCs w:val="19"/>
              </w:rPr>
              <w:t>55</w:t>
            </w:r>
          </w:p>
        </w:tc>
        <w:tc>
          <w:tcPr>
            <w:tcW w:w="414" w:type="pct"/>
            <w:tcBorders>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60.22</w:t>
            </w:r>
          </w:p>
        </w:tc>
        <w:tc>
          <w:tcPr>
            <w:tcW w:w="154" w:type="pct"/>
            <w:tcBorders>
              <w:left w:val="nil"/>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w:t>
            </w:r>
          </w:p>
        </w:tc>
        <w:tc>
          <w:tcPr>
            <w:tcW w:w="323" w:type="pct"/>
            <w:tcBorders>
              <w:lef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7.8</w:t>
            </w:r>
          </w:p>
        </w:tc>
        <w:tc>
          <w:tcPr>
            <w:tcW w:w="456" w:type="pct"/>
            <w:vMerge/>
            <w:tcBorders>
              <w:left w:val="nil"/>
            </w:tcBorders>
            <w:shd w:val="clear" w:color="000000" w:fill="FFFFFF"/>
            <w:vAlign w:val="center"/>
          </w:tcPr>
          <w:p w:rsidR="005720B0" w:rsidRPr="00737872" w:rsidRDefault="005720B0" w:rsidP="00737872">
            <w:pPr>
              <w:autoSpaceDE w:val="0"/>
              <w:autoSpaceDN w:val="0"/>
              <w:bidi w:val="0"/>
              <w:adjustRightInd w:val="0"/>
              <w:snapToGrid w:val="0"/>
              <w:spacing w:after="0" w:line="240" w:lineRule="auto"/>
              <w:jc w:val="both"/>
              <w:rPr>
                <w:rFonts w:ascii="Times New Roman" w:hAnsi="Times New Roman" w:cs="Times New Roman"/>
                <w:sz w:val="19"/>
                <w:szCs w:val="19"/>
              </w:rPr>
            </w:pPr>
          </w:p>
        </w:tc>
        <w:tc>
          <w:tcPr>
            <w:tcW w:w="536" w:type="pct"/>
            <w:vMerge/>
            <w:tcBorders>
              <w:left w:val="nil"/>
              <w:right w:val="single" w:sz="4" w:space="0" w:color="auto"/>
            </w:tcBorders>
            <w:shd w:val="clear" w:color="000000" w:fill="FFFFFF"/>
            <w:vAlign w:val="center"/>
          </w:tcPr>
          <w:p w:rsidR="005720B0" w:rsidRPr="00737872" w:rsidRDefault="005720B0" w:rsidP="00737872">
            <w:pPr>
              <w:autoSpaceDE w:val="0"/>
              <w:autoSpaceDN w:val="0"/>
              <w:bidi w:val="0"/>
              <w:adjustRightInd w:val="0"/>
              <w:snapToGrid w:val="0"/>
              <w:spacing w:after="0" w:line="240" w:lineRule="auto"/>
              <w:jc w:val="both"/>
              <w:rPr>
                <w:rFonts w:ascii="Times New Roman" w:hAnsi="Times New Roman" w:cs="Times New Roman"/>
                <w:sz w:val="19"/>
                <w:szCs w:val="19"/>
              </w:rPr>
            </w:pPr>
          </w:p>
        </w:tc>
      </w:tr>
      <w:tr w:rsidR="00BF7D07" w:rsidRPr="00737872" w:rsidTr="00BF7D07">
        <w:trPr>
          <w:jc w:val="center"/>
        </w:trPr>
        <w:tc>
          <w:tcPr>
            <w:tcW w:w="1475" w:type="pct"/>
            <w:vMerge w:val="restart"/>
            <w:tcBorders>
              <w:left w:val="single" w:sz="4" w:space="0" w:color="auto"/>
            </w:tcBorders>
            <w:shd w:val="clear" w:color="000000" w:fill="FFFFFF"/>
            <w:vAlign w:val="center"/>
          </w:tcPr>
          <w:p w:rsidR="005720B0" w:rsidRPr="00737872" w:rsidRDefault="005720B0"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Mean dose of PTV69.96</w:t>
            </w:r>
          </w:p>
        </w:tc>
        <w:tc>
          <w:tcPr>
            <w:tcW w:w="720" w:type="pct"/>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IMRT</w:t>
            </w:r>
          </w:p>
        </w:tc>
        <w:tc>
          <w:tcPr>
            <w:tcW w:w="387" w:type="pct"/>
            <w:tcBorders>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60</w:t>
            </w:r>
            <w:r w:rsidR="00AA71D5" w:rsidRPr="00737872">
              <w:rPr>
                <w:rFonts w:ascii="Times New Roman" w:hAnsi="Times New Roman" w:cs="Times New Roman"/>
                <w:sz w:val="19"/>
                <w:szCs w:val="19"/>
              </w:rPr>
              <w:t>.</w:t>
            </w:r>
            <w:r w:rsidRPr="00737872">
              <w:rPr>
                <w:rFonts w:ascii="Times New Roman" w:hAnsi="Times New Roman" w:cs="Times New Roman"/>
                <w:sz w:val="19"/>
                <w:szCs w:val="19"/>
              </w:rPr>
              <w:t>18</w:t>
            </w:r>
          </w:p>
        </w:tc>
        <w:tc>
          <w:tcPr>
            <w:tcW w:w="147" w:type="pct"/>
            <w:tcBorders>
              <w:left w:val="nil"/>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w:t>
            </w:r>
          </w:p>
        </w:tc>
        <w:tc>
          <w:tcPr>
            <w:tcW w:w="387" w:type="pct"/>
            <w:tcBorders>
              <w:lef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80</w:t>
            </w:r>
            <w:r w:rsidR="00AA71D5" w:rsidRPr="00737872">
              <w:rPr>
                <w:rFonts w:ascii="Times New Roman" w:hAnsi="Times New Roman" w:cs="Times New Roman"/>
                <w:sz w:val="19"/>
                <w:szCs w:val="19"/>
              </w:rPr>
              <w:t>.</w:t>
            </w:r>
            <w:r w:rsidRPr="00737872">
              <w:rPr>
                <w:rFonts w:ascii="Times New Roman" w:hAnsi="Times New Roman" w:cs="Times New Roman"/>
                <w:sz w:val="19"/>
                <w:szCs w:val="19"/>
              </w:rPr>
              <w:t>86</w:t>
            </w:r>
          </w:p>
        </w:tc>
        <w:tc>
          <w:tcPr>
            <w:tcW w:w="414" w:type="pct"/>
            <w:tcBorders>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70.98</w:t>
            </w:r>
          </w:p>
        </w:tc>
        <w:tc>
          <w:tcPr>
            <w:tcW w:w="154" w:type="pct"/>
            <w:tcBorders>
              <w:left w:val="nil"/>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w:t>
            </w:r>
          </w:p>
        </w:tc>
        <w:tc>
          <w:tcPr>
            <w:tcW w:w="323" w:type="pct"/>
            <w:tcBorders>
              <w:lef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4.03</w:t>
            </w:r>
          </w:p>
        </w:tc>
        <w:tc>
          <w:tcPr>
            <w:tcW w:w="456" w:type="pct"/>
            <w:vMerge w:val="restart"/>
            <w:tcBorders>
              <w:lef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27.210</w:t>
            </w:r>
          </w:p>
        </w:tc>
        <w:tc>
          <w:tcPr>
            <w:tcW w:w="536" w:type="pct"/>
            <w:vMerge w:val="restart"/>
            <w:tcBorders>
              <w:left w:val="nil"/>
              <w:right w:val="single" w:sz="4" w:space="0" w:color="auto"/>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0.001*</w:t>
            </w:r>
          </w:p>
        </w:tc>
      </w:tr>
      <w:tr w:rsidR="00BF7D07" w:rsidRPr="00737872" w:rsidTr="00BF7D07">
        <w:trPr>
          <w:jc w:val="center"/>
        </w:trPr>
        <w:tc>
          <w:tcPr>
            <w:tcW w:w="1475" w:type="pct"/>
            <w:vMerge/>
            <w:tcBorders>
              <w:left w:val="single" w:sz="4" w:space="0" w:color="auto"/>
              <w:bottom w:val="single" w:sz="4" w:space="0" w:color="auto"/>
            </w:tcBorders>
            <w:shd w:val="clear" w:color="000000" w:fill="FFFFFF"/>
            <w:vAlign w:val="center"/>
          </w:tcPr>
          <w:p w:rsidR="005720B0" w:rsidRPr="00737872" w:rsidRDefault="005720B0"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p>
        </w:tc>
        <w:tc>
          <w:tcPr>
            <w:tcW w:w="720" w:type="pct"/>
            <w:tcBorders>
              <w:bottom w:val="single" w:sz="4" w:space="0" w:color="auto"/>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Conformal</w:t>
            </w:r>
          </w:p>
        </w:tc>
        <w:tc>
          <w:tcPr>
            <w:tcW w:w="387" w:type="pct"/>
            <w:tcBorders>
              <w:bottom w:val="single" w:sz="4" w:space="0" w:color="auto"/>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60</w:t>
            </w:r>
            <w:r w:rsidR="00AA71D5" w:rsidRPr="00737872">
              <w:rPr>
                <w:rFonts w:ascii="Times New Roman" w:hAnsi="Times New Roman" w:cs="Times New Roman"/>
                <w:sz w:val="19"/>
                <w:szCs w:val="19"/>
              </w:rPr>
              <w:t>.</w:t>
            </w:r>
            <w:r w:rsidRPr="00737872">
              <w:rPr>
                <w:rFonts w:ascii="Times New Roman" w:hAnsi="Times New Roman" w:cs="Times New Roman"/>
                <w:sz w:val="19"/>
                <w:szCs w:val="19"/>
              </w:rPr>
              <w:t>95</w:t>
            </w:r>
          </w:p>
        </w:tc>
        <w:tc>
          <w:tcPr>
            <w:tcW w:w="147" w:type="pct"/>
            <w:tcBorders>
              <w:left w:val="nil"/>
              <w:bottom w:val="single" w:sz="4" w:space="0" w:color="auto"/>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w:t>
            </w:r>
          </w:p>
        </w:tc>
        <w:tc>
          <w:tcPr>
            <w:tcW w:w="387" w:type="pct"/>
            <w:tcBorders>
              <w:left w:val="nil"/>
              <w:bottom w:val="single" w:sz="4" w:space="0" w:color="auto"/>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70</w:t>
            </w:r>
            <w:r w:rsidR="00AA71D5" w:rsidRPr="00737872">
              <w:rPr>
                <w:rFonts w:ascii="Times New Roman" w:hAnsi="Times New Roman" w:cs="Times New Roman"/>
                <w:sz w:val="19"/>
                <w:szCs w:val="19"/>
              </w:rPr>
              <w:t>.</w:t>
            </w:r>
            <w:r w:rsidRPr="00737872">
              <w:rPr>
                <w:rFonts w:ascii="Times New Roman" w:hAnsi="Times New Roman" w:cs="Times New Roman"/>
                <w:sz w:val="19"/>
                <w:szCs w:val="19"/>
              </w:rPr>
              <w:t>21</w:t>
            </w:r>
          </w:p>
        </w:tc>
        <w:tc>
          <w:tcPr>
            <w:tcW w:w="414" w:type="pct"/>
            <w:tcBorders>
              <w:bottom w:val="single" w:sz="4" w:space="0" w:color="auto"/>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66.27</w:t>
            </w:r>
          </w:p>
        </w:tc>
        <w:tc>
          <w:tcPr>
            <w:tcW w:w="154" w:type="pct"/>
            <w:tcBorders>
              <w:left w:val="nil"/>
              <w:bottom w:val="single" w:sz="4" w:space="0" w:color="auto"/>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w:t>
            </w:r>
          </w:p>
        </w:tc>
        <w:tc>
          <w:tcPr>
            <w:tcW w:w="323" w:type="pct"/>
            <w:tcBorders>
              <w:left w:val="nil"/>
              <w:bottom w:val="single" w:sz="4" w:space="0" w:color="auto"/>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2.84</w:t>
            </w:r>
          </w:p>
        </w:tc>
        <w:tc>
          <w:tcPr>
            <w:tcW w:w="456" w:type="pct"/>
            <w:vMerge/>
            <w:tcBorders>
              <w:left w:val="nil"/>
              <w:bottom w:val="single" w:sz="4" w:space="0" w:color="auto"/>
            </w:tcBorders>
            <w:shd w:val="clear" w:color="000000" w:fill="FFFFFF"/>
            <w:vAlign w:val="center"/>
          </w:tcPr>
          <w:p w:rsidR="005720B0" w:rsidRPr="00737872" w:rsidRDefault="005720B0" w:rsidP="00737872">
            <w:pPr>
              <w:autoSpaceDE w:val="0"/>
              <w:autoSpaceDN w:val="0"/>
              <w:bidi w:val="0"/>
              <w:adjustRightInd w:val="0"/>
              <w:snapToGrid w:val="0"/>
              <w:spacing w:after="0" w:line="240" w:lineRule="auto"/>
              <w:jc w:val="both"/>
              <w:rPr>
                <w:rFonts w:ascii="Times New Roman" w:hAnsi="Times New Roman" w:cs="Times New Roman"/>
                <w:sz w:val="19"/>
                <w:szCs w:val="19"/>
              </w:rPr>
            </w:pPr>
          </w:p>
        </w:tc>
        <w:tc>
          <w:tcPr>
            <w:tcW w:w="536" w:type="pct"/>
            <w:vMerge/>
            <w:tcBorders>
              <w:left w:val="nil"/>
              <w:bottom w:val="single" w:sz="4" w:space="0" w:color="auto"/>
              <w:right w:val="single" w:sz="4" w:space="0" w:color="auto"/>
            </w:tcBorders>
            <w:shd w:val="clear" w:color="000000" w:fill="FFFFFF"/>
            <w:vAlign w:val="center"/>
          </w:tcPr>
          <w:p w:rsidR="005720B0" w:rsidRPr="00737872" w:rsidRDefault="005720B0" w:rsidP="00737872">
            <w:pPr>
              <w:autoSpaceDE w:val="0"/>
              <w:autoSpaceDN w:val="0"/>
              <w:bidi w:val="0"/>
              <w:adjustRightInd w:val="0"/>
              <w:snapToGrid w:val="0"/>
              <w:spacing w:after="0" w:line="240" w:lineRule="auto"/>
              <w:jc w:val="both"/>
              <w:rPr>
                <w:rFonts w:ascii="Times New Roman" w:hAnsi="Times New Roman" w:cs="Times New Roman"/>
                <w:sz w:val="19"/>
                <w:szCs w:val="19"/>
              </w:rPr>
            </w:pPr>
          </w:p>
        </w:tc>
      </w:tr>
      <w:tr w:rsidR="00BF7D07" w:rsidRPr="00737872" w:rsidTr="00BF7D07">
        <w:trPr>
          <w:jc w:val="center"/>
        </w:trPr>
        <w:tc>
          <w:tcPr>
            <w:tcW w:w="1475" w:type="pct"/>
            <w:vMerge w:val="restart"/>
            <w:tcBorders>
              <w:top w:val="single" w:sz="4" w:space="0" w:color="auto"/>
              <w:left w:val="single" w:sz="4" w:space="0" w:color="auto"/>
            </w:tcBorders>
            <w:shd w:val="clear" w:color="000000" w:fill="FFFFFF"/>
            <w:vAlign w:val="center"/>
          </w:tcPr>
          <w:p w:rsidR="005720B0" w:rsidRPr="00737872" w:rsidRDefault="005720B0"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Min. dose of PTV69.96</w:t>
            </w:r>
          </w:p>
        </w:tc>
        <w:tc>
          <w:tcPr>
            <w:tcW w:w="720" w:type="pct"/>
            <w:tcBorders>
              <w:top w:val="single" w:sz="4" w:space="0" w:color="auto"/>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IMRT</w:t>
            </w:r>
          </w:p>
        </w:tc>
        <w:tc>
          <w:tcPr>
            <w:tcW w:w="387" w:type="pct"/>
            <w:tcBorders>
              <w:top w:val="single" w:sz="4" w:space="0" w:color="auto"/>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10</w:t>
            </w:r>
            <w:r w:rsidR="00AA71D5" w:rsidRPr="00737872">
              <w:rPr>
                <w:rFonts w:ascii="Times New Roman" w:hAnsi="Times New Roman" w:cs="Times New Roman"/>
                <w:sz w:val="19"/>
                <w:szCs w:val="19"/>
              </w:rPr>
              <w:t>.</w:t>
            </w:r>
            <w:r w:rsidRPr="00737872">
              <w:rPr>
                <w:rFonts w:ascii="Times New Roman" w:hAnsi="Times New Roman" w:cs="Times New Roman"/>
                <w:sz w:val="19"/>
                <w:szCs w:val="19"/>
              </w:rPr>
              <w:t>68</w:t>
            </w:r>
          </w:p>
        </w:tc>
        <w:tc>
          <w:tcPr>
            <w:tcW w:w="147" w:type="pct"/>
            <w:tcBorders>
              <w:top w:val="single" w:sz="4" w:space="0" w:color="auto"/>
              <w:left w:val="nil"/>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w:t>
            </w:r>
          </w:p>
        </w:tc>
        <w:tc>
          <w:tcPr>
            <w:tcW w:w="387" w:type="pct"/>
            <w:tcBorders>
              <w:top w:val="single" w:sz="4" w:space="0" w:color="auto"/>
              <w:lef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71</w:t>
            </w:r>
            <w:r w:rsidR="00AA71D5" w:rsidRPr="00737872">
              <w:rPr>
                <w:rFonts w:ascii="Times New Roman" w:hAnsi="Times New Roman" w:cs="Times New Roman"/>
                <w:sz w:val="19"/>
                <w:szCs w:val="19"/>
              </w:rPr>
              <w:t>.</w:t>
            </w:r>
            <w:r w:rsidRPr="00737872">
              <w:rPr>
                <w:rFonts w:ascii="Times New Roman" w:hAnsi="Times New Roman" w:cs="Times New Roman"/>
                <w:sz w:val="19"/>
                <w:szCs w:val="19"/>
              </w:rPr>
              <w:t>29</w:t>
            </w:r>
          </w:p>
        </w:tc>
        <w:tc>
          <w:tcPr>
            <w:tcW w:w="414" w:type="pct"/>
            <w:tcBorders>
              <w:top w:val="single" w:sz="4" w:space="0" w:color="auto"/>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51.59</w:t>
            </w:r>
          </w:p>
        </w:tc>
        <w:tc>
          <w:tcPr>
            <w:tcW w:w="154" w:type="pct"/>
            <w:tcBorders>
              <w:top w:val="single" w:sz="4" w:space="0" w:color="auto"/>
              <w:left w:val="nil"/>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w:t>
            </w:r>
          </w:p>
        </w:tc>
        <w:tc>
          <w:tcPr>
            <w:tcW w:w="323" w:type="pct"/>
            <w:tcBorders>
              <w:top w:val="single" w:sz="4" w:space="0" w:color="auto"/>
              <w:lef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1.38</w:t>
            </w:r>
          </w:p>
        </w:tc>
        <w:tc>
          <w:tcPr>
            <w:tcW w:w="456" w:type="pct"/>
            <w:vMerge w:val="restart"/>
            <w:tcBorders>
              <w:top w:val="single" w:sz="4" w:space="0" w:color="auto"/>
              <w:lef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0.711</w:t>
            </w:r>
          </w:p>
        </w:tc>
        <w:tc>
          <w:tcPr>
            <w:tcW w:w="536" w:type="pct"/>
            <w:vMerge w:val="restart"/>
            <w:tcBorders>
              <w:top w:val="single" w:sz="4" w:space="0" w:color="auto"/>
              <w:left w:val="nil"/>
              <w:right w:val="single" w:sz="4" w:space="0" w:color="auto"/>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0.403</w:t>
            </w:r>
          </w:p>
        </w:tc>
      </w:tr>
      <w:tr w:rsidR="00BF7D07" w:rsidRPr="00737872" w:rsidTr="00BF7D07">
        <w:trPr>
          <w:jc w:val="center"/>
        </w:trPr>
        <w:tc>
          <w:tcPr>
            <w:tcW w:w="1475" w:type="pct"/>
            <w:vMerge/>
            <w:tcBorders>
              <w:left w:val="single" w:sz="4" w:space="0" w:color="auto"/>
              <w:bottom w:val="single" w:sz="4" w:space="0" w:color="auto"/>
            </w:tcBorders>
            <w:shd w:val="clear" w:color="000000" w:fill="FFFFFF"/>
            <w:vAlign w:val="center"/>
          </w:tcPr>
          <w:p w:rsidR="005720B0" w:rsidRPr="00737872" w:rsidRDefault="005720B0"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p>
        </w:tc>
        <w:tc>
          <w:tcPr>
            <w:tcW w:w="720" w:type="pct"/>
            <w:tcBorders>
              <w:bottom w:val="single" w:sz="4" w:space="0" w:color="auto"/>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b/>
                <w:bCs/>
                <w:sz w:val="19"/>
                <w:szCs w:val="19"/>
                <w:lang w:bidi="ar-EG"/>
              </w:rPr>
            </w:pPr>
            <w:r w:rsidRPr="00737872">
              <w:rPr>
                <w:rFonts w:ascii="Times New Roman" w:hAnsi="Times New Roman" w:cs="Times New Roman"/>
                <w:b/>
                <w:bCs/>
                <w:sz w:val="19"/>
                <w:szCs w:val="19"/>
              </w:rPr>
              <w:t>Conformal</w:t>
            </w:r>
          </w:p>
        </w:tc>
        <w:tc>
          <w:tcPr>
            <w:tcW w:w="387" w:type="pct"/>
            <w:tcBorders>
              <w:bottom w:val="single" w:sz="4" w:space="0" w:color="auto"/>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8</w:t>
            </w:r>
            <w:r w:rsidR="00AA71D5" w:rsidRPr="00737872">
              <w:rPr>
                <w:rFonts w:ascii="Times New Roman" w:hAnsi="Times New Roman" w:cs="Times New Roman"/>
                <w:sz w:val="19"/>
                <w:szCs w:val="19"/>
              </w:rPr>
              <w:t>.</w:t>
            </w:r>
            <w:r w:rsidRPr="00737872">
              <w:rPr>
                <w:rFonts w:ascii="Times New Roman" w:hAnsi="Times New Roman" w:cs="Times New Roman"/>
                <w:sz w:val="19"/>
                <w:szCs w:val="19"/>
              </w:rPr>
              <w:t>06</w:t>
            </w:r>
          </w:p>
        </w:tc>
        <w:tc>
          <w:tcPr>
            <w:tcW w:w="147" w:type="pct"/>
            <w:tcBorders>
              <w:left w:val="nil"/>
              <w:bottom w:val="single" w:sz="4" w:space="0" w:color="auto"/>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w:t>
            </w:r>
          </w:p>
        </w:tc>
        <w:tc>
          <w:tcPr>
            <w:tcW w:w="387" w:type="pct"/>
            <w:tcBorders>
              <w:left w:val="nil"/>
              <w:bottom w:val="single" w:sz="4" w:space="0" w:color="auto"/>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lang w:bidi="ar-EG"/>
              </w:rPr>
            </w:pPr>
            <w:r w:rsidRPr="00737872">
              <w:rPr>
                <w:rFonts w:ascii="Times New Roman" w:hAnsi="Times New Roman" w:cs="Times New Roman"/>
                <w:sz w:val="19"/>
                <w:szCs w:val="19"/>
              </w:rPr>
              <w:t>40</w:t>
            </w:r>
            <w:r w:rsidR="00AA71D5" w:rsidRPr="00737872">
              <w:rPr>
                <w:rFonts w:ascii="Times New Roman" w:hAnsi="Times New Roman" w:cs="Times New Roman"/>
                <w:sz w:val="19"/>
                <w:szCs w:val="19"/>
              </w:rPr>
              <w:t>.</w:t>
            </w:r>
            <w:r w:rsidRPr="00737872">
              <w:rPr>
                <w:rFonts w:ascii="Times New Roman" w:hAnsi="Times New Roman" w:cs="Times New Roman"/>
                <w:sz w:val="19"/>
                <w:szCs w:val="19"/>
              </w:rPr>
              <w:t>42</w:t>
            </w:r>
          </w:p>
        </w:tc>
        <w:tc>
          <w:tcPr>
            <w:tcW w:w="414" w:type="pct"/>
            <w:tcBorders>
              <w:bottom w:val="single" w:sz="4" w:space="0" w:color="auto"/>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39.25</w:t>
            </w:r>
          </w:p>
        </w:tc>
        <w:tc>
          <w:tcPr>
            <w:tcW w:w="154" w:type="pct"/>
            <w:tcBorders>
              <w:left w:val="nil"/>
              <w:bottom w:val="single" w:sz="4" w:space="0" w:color="auto"/>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w:t>
            </w:r>
          </w:p>
        </w:tc>
        <w:tc>
          <w:tcPr>
            <w:tcW w:w="323" w:type="pct"/>
            <w:tcBorders>
              <w:left w:val="nil"/>
              <w:bottom w:val="single" w:sz="4" w:space="0" w:color="auto"/>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1.77</w:t>
            </w:r>
          </w:p>
        </w:tc>
        <w:tc>
          <w:tcPr>
            <w:tcW w:w="456" w:type="pct"/>
            <w:vMerge/>
            <w:tcBorders>
              <w:left w:val="nil"/>
              <w:bottom w:val="single" w:sz="4" w:space="0" w:color="auto"/>
            </w:tcBorders>
            <w:shd w:val="clear" w:color="000000" w:fill="FFFFFF"/>
            <w:vAlign w:val="center"/>
          </w:tcPr>
          <w:p w:rsidR="005720B0" w:rsidRPr="00737872" w:rsidRDefault="005720B0" w:rsidP="00737872">
            <w:pPr>
              <w:autoSpaceDE w:val="0"/>
              <w:autoSpaceDN w:val="0"/>
              <w:bidi w:val="0"/>
              <w:adjustRightInd w:val="0"/>
              <w:snapToGrid w:val="0"/>
              <w:spacing w:after="0" w:line="240" w:lineRule="auto"/>
              <w:jc w:val="both"/>
              <w:rPr>
                <w:rFonts w:ascii="Times New Roman" w:hAnsi="Times New Roman" w:cs="Times New Roman"/>
                <w:sz w:val="19"/>
                <w:szCs w:val="19"/>
              </w:rPr>
            </w:pPr>
          </w:p>
        </w:tc>
        <w:tc>
          <w:tcPr>
            <w:tcW w:w="536" w:type="pct"/>
            <w:vMerge/>
            <w:tcBorders>
              <w:left w:val="nil"/>
              <w:bottom w:val="single" w:sz="4" w:space="0" w:color="auto"/>
              <w:right w:val="single" w:sz="4" w:space="0" w:color="auto"/>
            </w:tcBorders>
            <w:shd w:val="clear" w:color="000000" w:fill="FFFFFF"/>
            <w:vAlign w:val="center"/>
          </w:tcPr>
          <w:p w:rsidR="005720B0" w:rsidRPr="00737872" w:rsidRDefault="005720B0" w:rsidP="00737872">
            <w:pPr>
              <w:autoSpaceDE w:val="0"/>
              <w:autoSpaceDN w:val="0"/>
              <w:bidi w:val="0"/>
              <w:adjustRightInd w:val="0"/>
              <w:snapToGrid w:val="0"/>
              <w:spacing w:after="0" w:line="240" w:lineRule="auto"/>
              <w:jc w:val="both"/>
              <w:rPr>
                <w:rFonts w:ascii="Times New Roman" w:hAnsi="Times New Roman" w:cs="Times New Roman"/>
                <w:sz w:val="19"/>
                <w:szCs w:val="19"/>
              </w:rPr>
            </w:pPr>
          </w:p>
        </w:tc>
      </w:tr>
      <w:tr w:rsidR="00BF7D07" w:rsidRPr="00737872" w:rsidTr="00BF7D07">
        <w:trPr>
          <w:jc w:val="center"/>
        </w:trPr>
        <w:tc>
          <w:tcPr>
            <w:tcW w:w="1475" w:type="pct"/>
            <w:vMerge w:val="restart"/>
            <w:tcBorders>
              <w:top w:val="single" w:sz="4" w:space="0" w:color="auto"/>
              <w:left w:val="single" w:sz="4" w:space="0" w:color="auto"/>
            </w:tcBorders>
            <w:shd w:val="clear" w:color="000000" w:fill="FFFFFF"/>
            <w:vAlign w:val="center"/>
          </w:tcPr>
          <w:p w:rsidR="005720B0" w:rsidRPr="00737872" w:rsidRDefault="005720B0" w:rsidP="00737872">
            <w:pPr>
              <w:autoSpaceDE w:val="0"/>
              <w:autoSpaceDN w:val="0"/>
              <w:bidi w:val="0"/>
              <w:adjustRightInd w:val="0"/>
              <w:snapToGrid w:val="0"/>
              <w:spacing w:after="0" w:line="240" w:lineRule="auto"/>
              <w:jc w:val="both"/>
              <w:rPr>
                <w:rFonts w:ascii="Times New Roman" w:hAnsi="Times New Roman" w:cs="Times New Roman"/>
                <w:b/>
                <w:bCs/>
                <w:sz w:val="19"/>
                <w:szCs w:val="19"/>
                <w:lang w:bidi="ar-EG"/>
              </w:rPr>
            </w:pPr>
            <w:r w:rsidRPr="00737872">
              <w:rPr>
                <w:rFonts w:ascii="Times New Roman" w:hAnsi="Times New Roman" w:cs="Times New Roman"/>
                <w:b/>
                <w:bCs/>
                <w:sz w:val="19"/>
                <w:szCs w:val="19"/>
              </w:rPr>
              <w:t>Max. dose of PTV69.96</w:t>
            </w:r>
          </w:p>
        </w:tc>
        <w:tc>
          <w:tcPr>
            <w:tcW w:w="720" w:type="pct"/>
            <w:tcBorders>
              <w:top w:val="single" w:sz="4" w:space="0" w:color="auto"/>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IMRT</w:t>
            </w:r>
          </w:p>
        </w:tc>
        <w:tc>
          <w:tcPr>
            <w:tcW w:w="387" w:type="pct"/>
            <w:tcBorders>
              <w:top w:val="single" w:sz="4" w:space="0" w:color="auto"/>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72</w:t>
            </w:r>
            <w:r w:rsidR="00AA71D5" w:rsidRPr="00737872">
              <w:rPr>
                <w:rFonts w:ascii="Times New Roman" w:hAnsi="Times New Roman" w:cs="Times New Roman"/>
                <w:sz w:val="19"/>
                <w:szCs w:val="19"/>
              </w:rPr>
              <w:t>.</w:t>
            </w:r>
            <w:r w:rsidRPr="00737872">
              <w:rPr>
                <w:rFonts w:ascii="Times New Roman" w:hAnsi="Times New Roman" w:cs="Times New Roman"/>
                <w:sz w:val="19"/>
                <w:szCs w:val="19"/>
              </w:rPr>
              <w:t>00</w:t>
            </w:r>
          </w:p>
        </w:tc>
        <w:tc>
          <w:tcPr>
            <w:tcW w:w="147" w:type="pct"/>
            <w:tcBorders>
              <w:top w:val="single" w:sz="4" w:space="0" w:color="auto"/>
              <w:left w:val="nil"/>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w:t>
            </w:r>
          </w:p>
        </w:tc>
        <w:tc>
          <w:tcPr>
            <w:tcW w:w="387" w:type="pct"/>
            <w:tcBorders>
              <w:top w:val="single" w:sz="4" w:space="0" w:color="auto"/>
              <w:lef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84</w:t>
            </w:r>
            <w:r w:rsidR="00AA71D5" w:rsidRPr="00737872">
              <w:rPr>
                <w:rFonts w:ascii="Times New Roman" w:hAnsi="Times New Roman" w:cs="Times New Roman"/>
                <w:sz w:val="19"/>
                <w:szCs w:val="19"/>
              </w:rPr>
              <w:t>.</w:t>
            </w:r>
            <w:r w:rsidRPr="00737872">
              <w:rPr>
                <w:rFonts w:ascii="Times New Roman" w:hAnsi="Times New Roman" w:cs="Times New Roman"/>
                <w:sz w:val="19"/>
                <w:szCs w:val="19"/>
              </w:rPr>
              <w:t>09</w:t>
            </w:r>
          </w:p>
        </w:tc>
        <w:tc>
          <w:tcPr>
            <w:tcW w:w="414" w:type="pct"/>
            <w:tcBorders>
              <w:top w:val="single" w:sz="4" w:space="0" w:color="auto"/>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77.44</w:t>
            </w:r>
          </w:p>
        </w:tc>
        <w:tc>
          <w:tcPr>
            <w:tcW w:w="154" w:type="pct"/>
            <w:tcBorders>
              <w:top w:val="single" w:sz="4" w:space="0" w:color="auto"/>
              <w:left w:val="nil"/>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w:t>
            </w:r>
          </w:p>
        </w:tc>
        <w:tc>
          <w:tcPr>
            <w:tcW w:w="323" w:type="pct"/>
            <w:tcBorders>
              <w:top w:val="single" w:sz="4" w:space="0" w:color="auto"/>
              <w:lef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3.21</w:t>
            </w:r>
          </w:p>
        </w:tc>
        <w:tc>
          <w:tcPr>
            <w:tcW w:w="456" w:type="pct"/>
            <w:vMerge w:val="restart"/>
            <w:tcBorders>
              <w:top w:val="single" w:sz="4" w:space="0" w:color="auto"/>
              <w:lef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49.306</w:t>
            </w:r>
          </w:p>
        </w:tc>
        <w:tc>
          <w:tcPr>
            <w:tcW w:w="536" w:type="pct"/>
            <w:vMerge w:val="restart"/>
            <w:tcBorders>
              <w:top w:val="single" w:sz="4" w:space="0" w:color="auto"/>
              <w:left w:val="nil"/>
              <w:right w:val="single" w:sz="4" w:space="0" w:color="auto"/>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0.001*</w:t>
            </w:r>
          </w:p>
        </w:tc>
      </w:tr>
      <w:tr w:rsidR="00BF7D07" w:rsidRPr="00737872" w:rsidTr="00BF7D07">
        <w:trPr>
          <w:jc w:val="center"/>
        </w:trPr>
        <w:tc>
          <w:tcPr>
            <w:tcW w:w="1475" w:type="pct"/>
            <w:vMerge/>
            <w:tcBorders>
              <w:left w:val="single" w:sz="4" w:space="0" w:color="auto"/>
            </w:tcBorders>
            <w:shd w:val="clear" w:color="000000" w:fill="FFFFFF"/>
            <w:vAlign w:val="center"/>
          </w:tcPr>
          <w:p w:rsidR="005720B0" w:rsidRPr="00737872" w:rsidRDefault="005720B0"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p>
        </w:tc>
        <w:tc>
          <w:tcPr>
            <w:tcW w:w="720" w:type="pct"/>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Conformal</w:t>
            </w:r>
          </w:p>
        </w:tc>
        <w:tc>
          <w:tcPr>
            <w:tcW w:w="387" w:type="pct"/>
            <w:tcBorders>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52</w:t>
            </w:r>
            <w:r w:rsidR="00AA71D5" w:rsidRPr="00737872">
              <w:rPr>
                <w:rFonts w:ascii="Times New Roman" w:hAnsi="Times New Roman" w:cs="Times New Roman"/>
                <w:sz w:val="19"/>
                <w:szCs w:val="19"/>
              </w:rPr>
              <w:t>.</w:t>
            </w:r>
            <w:r w:rsidRPr="00737872">
              <w:rPr>
                <w:rFonts w:ascii="Times New Roman" w:hAnsi="Times New Roman" w:cs="Times New Roman"/>
                <w:sz w:val="19"/>
                <w:szCs w:val="19"/>
              </w:rPr>
              <w:t>00</w:t>
            </w:r>
          </w:p>
        </w:tc>
        <w:tc>
          <w:tcPr>
            <w:tcW w:w="147" w:type="pct"/>
            <w:tcBorders>
              <w:left w:val="nil"/>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w:t>
            </w:r>
          </w:p>
        </w:tc>
        <w:tc>
          <w:tcPr>
            <w:tcW w:w="387" w:type="pct"/>
            <w:tcBorders>
              <w:lef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76</w:t>
            </w:r>
            <w:r w:rsidR="00AA71D5" w:rsidRPr="00737872">
              <w:rPr>
                <w:rFonts w:ascii="Times New Roman" w:hAnsi="Times New Roman" w:cs="Times New Roman"/>
                <w:sz w:val="19"/>
                <w:szCs w:val="19"/>
              </w:rPr>
              <w:t>.</w:t>
            </w:r>
            <w:r w:rsidRPr="00737872">
              <w:rPr>
                <w:rFonts w:ascii="Times New Roman" w:hAnsi="Times New Roman" w:cs="Times New Roman"/>
                <w:sz w:val="19"/>
                <w:szCs w:val="19"/>
              </w:rPr>
              <w:t>77</w:t>
            </w:r>
          </w:p>
        </w:tc>
        <w:tc>
          <w:tcPr>
            <w:tcW w:w="414" w:type="pct"/>
            <w:tcBorders>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69.35</w:t>
            </w:r>
          </w:p>
        </w:tc>
        <w:tc>
          <w:tcPr>
            <w:tcW w:w="154" w:type="pct"/>
            <w:tcBorders>
              <w:left w:val="nil"/>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w:t>
            </w:r>
          </w:p>
        </w:tc>
        <w:tc>
          <w:tcPr>
            <w:tcW w:w="323" w:type="pct"/>
            <w:tcBorders>
              <w:lef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5.42</w:t>
            </w:r>
          </w:p>
        </w:tc>
        <w:tc>
          <w:tcPr>
            <w:tcW w:w="456" w:type="pct"/>
            <w:vMerge/>
            <w:tcBorders>
              <w:left w:val="nil"/>
            </w:tcBorders>
            <w:shd w:val="clear" w:color="000000" w:fill="FFFFFF"/>
            <w:vAlign w:val="center"/>
          </w:tcPr>
          <w:p w:rsidR="005720B0" w:rsidRPr="00737872" w:rsidRDefault="005720B0" w:rsidP="00737872">
            <w:pPr>
              <w:autoSpaceDE w:val="0"/>
              <w:autoSpaceDN w:val="0"/>
              <w:bidi w:val="0"/>
              <w:adjustRightInd w:val="0"/>
              <w:snapToGrid w:val="0"/>
              <w:spacing w:after="0" w:line="240" w:lineRule="auto"/>
              <w:jc w:val="both"/>
              <w:rPr>
                <w:rFonts w:ascii="Times New Roman" w:hAnsi="Times New Roman" w:cs="Times New Roman"/>
                <w:sz w:val="19"/>
                <w:szCs w:val="19"/>
              </w:rPr>
            </w:pPr>
          </w:p>
        </w:tc>
        <w:tc>
          <w:tcPr>
            <w:tcW w:w="536" w:type="pct"/>
            <w:vMerge/>
            <w:tcBorders>
              <w:left w:val="nil"/>
              <w:right w:val="single" w:sz="4" w:space="0" w:color="auto"/>
            </w:tcBorders>
            <w:shd w:val="clear" w:color="000000" w:fill="FFFFFF"/>
            <w:vAlign w:val="center"/>
          </w:tcPr>
          <w:p w:rsidR="005720B0" w:rsidRPr="00737872" w:rsidRDefault="005720B0" w:rsidP="00737872">
            <w:pPr>
              <w:autoSpaceDE w:val="0"/>
              <w:autoSpaceDN w:val="0"/>
              <w:bidi w:val="0"/>
              <w:adjustRightInd w:val="0"/>
              <w:snapToGrid w:val="0"/>
              <w:spacing w:after="0" w:line="240" w:lineRule="auto"/>
              <w:jc w:val="both"/>
              <w:rPr>
                <w:rFonts w:ascii="Times New Roman" w:hAnsi="Times New Roman" w:cs="Times New Roman"/>
                <w:sz w:val="19"/>
                <w:szCs w:val="19"/>
              </w:rPr>
            </w:pPr>
          </w:p>
        </w:tc>
      </w:tr>
      <w:tr w:rsidR="00BF7D07" w:rsidRPr="00737872" w:rsidTr="00BF7D07">
        <w:trPr>
          <w:jc w:val="center"/>
        </w:trPr>
        <w:tc>
          <w:tcPr>
            <w:tcW w:w="1475" w:type="pct"/>
            <w:vMerge w:val="restart"/>
            <w:tcBorders>
              <w:left w:val="single" w:sz="4" w:space="0" w:color="auto"/>
            </w:tcBorders>
            <w:shd w:val="clear" w:color="000000" w:fill="FFFFFF"/>
            <w:vAlign w:val="center"/>
          </w:tcPr>
          <w:p w:rsidR="005720B0" w:rsidRPr="00737872" w:rsidRDefault="005720B0"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95% of CTV59.4</w:t>
            </w:r>
          </w:p>
        </w:tc>
        <w:tc>
          <w:tcPr>
            <w:tcW w:w="720" w:type="pct"/>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IMRT</w:t>
            </w:r>
          </w:p>
        </w:tc>
        <w:tc>
          <w:tcPr>
            <w:tcW w:w="387" w:type="pct"/>
            <w:tcBorders>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40</w:t>
            </w:r>
            <w:r w:rsidR="00AA71D5" w:rsidRPr="00737872">
              <w:rPr>
                <w:rFonts w:ascii="Times New Roman" w:hAnsi="Times New Roman" w:cs="Times New Roman"/>
                <w:sz w:val="19"/>
                <w:szCs w:val="19"/>
              </w:rPr>
              <w:t>.</w:t>
            </w:r>
            <w:r w:rsidRPr="00737872">
              <w:rPr>
                <w:rFonts w:ascii="Times New Roman" w:hAnsi="Times New Roman" w:cs="Times New Roman"/>
                <w:sz w:val="19"/>
                <w:szCs w:val="19"/>
              </w:rPr>
              <w:t>99</w:t>
            </w:r>
          </w:p>
        </w:tc>
        <w:tc>
          <w:tcPr>
            <w:tcW w:w="147" w:type="pct"/>
            <w:tcBorders>
              <w:left w:val="nil"/>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w:t>
            </w:r>
          </w:p>
        </w:tc>
        <w:tc>
          <w:tcPr>
            <w:tcW w:w="387" w:type="pct"/>
            <w:tcBorders>
              <w:lef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64</w:t>
            </w:r>
            <w:r w:rsidR="00AA71D5" w:rsidRPr="00737872">
              <w:rPr>
                <w:rFonts w:ascii="Times New Roman" w:hAnsi="Times New Roman" w:cs="Times New Roman"/>
                <w:sz w:val="19"/>
                <w:szCs w:val="19"/>
              </w:rPr>
              <w:t>.</w:t>
            </w:r>
            <w:r w:rsidRPr="00737872">
              <w:rPr>
                <w:rFonts w:ascii="Times New Roman" w:hAnsi="Times New Roman" w:cs="Times New Roman"/>
                <w:sz w:val="19"/>
                <w:szCs w:val="19"/>
              </w:rPr>
              <w:t>50</w:t>
            </w:r>
          </w:p>
        </w:tc>
        <w:tc>
          <w:tcPr>
            <w:tcW w:w="414" w:type="pct"/>
            <w:tcBorders>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56.42</w:t>
            </w:r>
          </w:p>
        </w:tc>
        <w:tc>
          <w:tcPr>
            <w:tcW w:w="154" w:type="pct"/>
            <w:tcBorders>
              <w:left w:val="nil"/>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w:t>
            </w:r>
          </w:p>
        </w:tc>
        <w:tc>
          <w:tcPr>
            <w:tcW w:w="323" w:type="pct"/>
            <w:tcBorders>
              <w:lef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4.74</w:t>
            </w:r>
          </w:p>
        </w:tc>
        <w:tc>
          <w:tcPr>
            <w:tcW w:w="456" w:type="pct"/>
            <w:vMerge w:val="restart"/>
            <w:tcBorders>
              <w:lef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79.894</w:t>
            </w:r>
          </w:p>
        </w:tc>
        <w:tc>
          <w:tcPr>
            <w:tcW w:w="536" w:type="pct"/>
            <w:vMerge w:val="restart"/>
            <w:tcBorders>
              <w:left w:val="nil"/>
              <w:right w:val="single" w:sz="4" w:space="0" w:color="auto"/>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0.001*</w:t>
            </w:r>
          </w:p>
        </w:tc>
      </w:tr>
      <w:tr w:rsidR="00BF7D07" w:rsidRPr="00737872" w:rsidTr="00BF7D07">
        <w:trPr>
          <w:jc w:val="center"/>
        </w:trPr>
        <w:tc>
          <w:tcPr>
            <w:tcW w:w="1475" w:type="pct"/>
            <w:vMerge/>
            <w:tcBorders>
              <w:left w:val="single" w:sz="4" w:space="0" w:color="auto"/>
              <w:bottom w:val="single" w:sz="4" w:space="0" w:color="auto"/>
            </w:tcBorders>
            <w:shd w:val="clear" w:color="000000" w:fill="FFFFFF"/>
            <w:vAlign w:val="center"/>
          </w:tcPr>
          <w:p w:rsidR="005720B0" w:rsidRPr="00737872" w:rsidRDefault="005720B0"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p>
        </w:tc>
        <w:tc>
          <w:tcPr>
            <w:tcW w:w="720" w:type="pct"/>
            <w:tcBorders>
              <w:bottom w:val="single" w:sz="4" w:space="0" w:color="auto"/>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Conformal</w:t>
            </w:r>
          </w:p>
        </w:tc>
        <w:tc>
          <w:tcPr>
            <w:tcW w:w="387" w:type="pct"/>
            <w:tcBorders>
              <w:bottom w:val="single" w:sz="4" w:space="0" w:color="auto"/>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37</w:t>
            </w:r>
            <w:r w:rsidR="00AA71D5" w:rsidRPr="00737872">
              <w:rPr>
                <w:rFonts w:ascii="Times New Roman" w:hAnsi="Times New Roman" w:cs="Times New Roman"/>
                <w:sz w:val="19"/>
                <w:szCs w:val="19"/>
              </w:rPr>
              <w:t>.</w:t>
            </w:r>
            <w:r w:rsidRPr="00737872">
              <w:rPr>
                <w:rFonts w:ascii="Times New Roman" w:hAnsi="Times New Roman" w:cs="Times New Roman"/>
                <w:sz w:val="19"/>
                <w:szCs w:val="19"/>
              </w:rPr>
              <w:t>18</w:t>
            </w:r>
          </w:p>
        </w:tc>
        <w:tc>
          <w:tcPr>
            <w:tcW w:w="147" w:type="pct"/>
            <w:tcBorders>
              <w:left w:val="nil"/>
              <w:bottom w:val="single" w:sz="4" w:space="0" w:color="auto"/>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w:t>
            </w:r>
          </w:p>
        </w:tc>
        <w:tc>
          <w:tcPr>
            <w:tcW w:w="387" w:type="pct"/>
            <w:tcBorders>
              <w:left w:val="nil"/>
              <w:bottom w:val="single" w:sz="4" w:space="0" w:color="auto"/>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54</w:t>
            </w:r>
            <w:r w:rsidR="00AA71D5" w:rsidRPr="00737872">
              <w:rPr>
                <w:rFonts w:ascii="Times New Roman" w:hAnsi="Times New Roman" w:cs="Times New Roman"/>
                <w:sz w:val="19"/>
                <w:szCs w:val="19"/>
              </w:rPr>
              <w:t>.</w:t>
            </w:r>
            <w:r w:rsidRPr="00737872">
              <w:rPr>
                <w:rFonts w:ascii="Times New Roman" w:hAnsi="Times New Roman" w:cs="Times New Roman"/>
                <w:sz w:val="19"/>
                <w:szCs w:val="19"/>
              </w:rPr>
              <w:t>00</w:t>
            </w:r>
          </w:p>
        </w:tc>
        <w:tc>
          <w:tcPr>
            <w:tcW w:w="414" w:type="pct"/>
            <w:tcBorders>
              <w:bottom w:val="single" w:sz="4" w:space="0" w:color="auto"/>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44.25</w:t>
            </w:r>
          </w:p>
        </w:tc>
        <w:tc>
          <w:tcPr>
            <w:tcW w:w="154" w:type="pct"/>
            <w:tcBorders>
              <w:left w:val="nil"/>
              <w:bottom w:val="single" w:sz="4" w:space="0" w:color="auto"/>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w:t>
            </w:r>
          </w:p>
        </w:tc>
        <w:tc>
          <w:tcPr>
            <w:tcW w:w="323" w:type="pct"/>
            <w:tcBorders>
              <w:left w:val="nil"/>
              <w:bottom w:val="single" w:sz="4" w:space="0" w:color="auto"/>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5.64</w:t>
            </w:r>
          </w:p>
        </w:tc>
        <w:tc>
          <w:tcPr>
            <w:tcW w:w="456" w:type="pct"/>
            <w:vMerge/>
            <w:tcBorders>
              <w:left w:val="nil"/>
              <w:bottom w:val="single" w:sz="4" w:space="0" w:color="auto"/>
            </w:tcBorders>
            <w:shd w:val="clear" w:color="000000" w:fill="FFFFFF"/>
            <w:vAlign w:val="center"/>
          </w:tcPr>
          <w:p w:rsidR="005720B0" w:rsidRPr="00737872" w:rsidRDefault="005720B0" w:rsidP="00737872">
            <w:pPr>
              <w:autoSpaceDE w:val="0"/>
              <w:autoSpaceDN w:val="0"/>
              <w:bidi w:val="0"/>
              <w:adjustRightInd w:val="0"/>
              <w:snapToGrid w:val="0"/>
              <w:spacing w:after="0" w:line="240" w:lineRule="auto"/>
              <w:jc w:val="both"/>
              <w:rPr>
                <w:rFonts w:ascii="Times New Roman" w:hAnsi="Times New Roman" w:cs="Times New Roman"/>
                <w:sz w:val="19"/>
                <w:szCs w:val="19"/>
              </w:rPr>
            </w:pPr>
          </w:p>
        </w:tc>
        <w:tc>
          <w:tcPr>
            <w:tcW w:w="536" w:type="pct"/>
            <w:vMerge/>
            <w:tcBorders>
              <w:left w:val="nil"/>
              <w:bottom w:val="single" w:sz="4" w:space="0" w:color="auto"/>
              <w:right w:val="single" w:sz="4" w:space="0" w:color="auto"/>
            </w:tcBorders>
            <w:shd w:val="clear" w:color="000000" w:fill="FFFFFF"/>
            <w:vAlign w:val="center"/>
          </w:tcPr>
          <w:p w:rsidR="005720B0" w:rsidRPr="00737872" w:rsidRDefault="005720B0" w:rsidP="00737872">
            <w:pPr>
              <w:autoSpaceDE w:val="0"/>
              <w:autoSpaceDN w:val="0"/>
              <w:bidi w:val="0"/>
              <w:adjustRightInd w:val="0"/>
              <w:snapToGrid w:val="0"/>
              <w:spacing w:after="0" w:line="240" w:lineRule="auto"/>
              <w:jc w:val="both"/>
              <w:rPr>
                <w:rFonts w:ascii="Times New Roman" w:hAnsi="Times New Roman" w:cs="Times New Roman"/>
                <w:sz w:val="19"/>
                <w:szCs w:val="19"/>
              </w:rPr>
            </w:pPr>
          </w:p>
        </w:tc>
      </w:tr>
      <w:tr w:rsidR="00BF7D07" w:rsidRPr="00737872" w:rsidTr="00BF7D07">
        <w:trPr>
          <w:jc w:val="center"/>
        </w:trPr>
        <w:tc>
          <w:tcPr>
            <w:tcW w:w="1475" w:type="pct"/>
            <w:vMerge w:val="restart"/>
            <w:tcBorders>
              <w:top w:val="single" w:sz="4" w:space="0" w:color="auto"/>
              <w:left w:val="single" w:sz="4" w:space="0" w:color="auto"/>
            </w:tcBorders>
            <w:shd w:val="clear" w:color="000000" w:fill="FFFFFF"/>
            <w:vAlign w:val="center"/>
          </w:tcPr>
          <w:p w:rsidR="005720B0" w:rsidRPr="00737872" w:rsidRDefault="005720B0"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Mean dose of</w:t>
            </w:r>
            <w:r w:rsidR="00BF7D07" w:rsidRPr="00737872">
              <w:rPr>
                <w:rFonts w:ascii="Times New Roman" w:hAnsi="Times New Roman" w:cs="Times New Roman"/>
                <w:b/>
                <w:bCs/>
                <w:sz w:val="19"/>
                <w:szCs w:val="19"/>
              </w:rPr>
              <w:t xml:space="preserve"> </w:t>
            </w:r>
            <w:r w:rsidRPr="00737872">
              <w:rPr>
                <w:rFonts w:ascii="Times New Roman" w:hAnsi="Times New Roman" w:cs="Times New Roman"/>
                <w:b/>
                <w:bCs/>
                <w:sz w:val="19"/>
                <w:szCs w:val="19"/>
              </w:rPr>
              <w:t>CTV59.4</w:t>
            </w:r>
          </w:p>
        </w:tc>
        <w:tc>
          <w:tcPr>
            <w:tcW w:w="720" w:type="pct"/>
            <w:tcBorders>
              <w:top w:val="single" w:sz="4" w:space="0" w:color="auto"/>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IMRT</w:t>
            </w:r>
          </w:p>
        </w:tc>
        <w:tc>
          <w:tcPr>
            <w:tcW w:w="387" w:type="pct"/>
            <w:tcBorders>
              <w:top w:val="single" w:sz="4" w:space="0" w:color="auto"/>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55</w:t>
            </w:r>
            <w:r w:rsidR="00AA71D5" w:rsidRPr="00737872">
              <w:rPr>
                <w:rFonts w:ascii="Times New Roman" w:hAnsi="Times New Roman" w:cs="Times New Roman"/>
                <w:sz w:val="19"/>
                <w:szCs w:val="19"/>
              </w:rPr>
              <w:t>.</w:t>
            </w:r>
            <w:r w:rsidRPr="00737872">
              <w:rPr>
                <w:rFonts w:ascii="Times New Roman" w:hAnsi="Times New Roman" w:cs="Times New Roman"/>
                <w:sz w:val="19"/>
                <w:szCs w:val="19"/>
              </w:rPr>
              <w:t>41</w:t>
            </w:r>
          </w:p>
        </w:tc>
        <w:tc>
          <w:tcPr>
            <w:tcW w:w="147" w:type="pct"/>
            <w:tcBorders>
              <w:top w:val="single" w:sz="4" w:space="0" w:color="auto"/>
              <w:left w:val="nil"/>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w:t>
            </w:r>
          </w:p>
        </w:tc>
        <w:tc>
          <w:tcPr>
            <w:tcW w:w="387" w:type="pct"/>
            <w:tcBorders>
              <w:top w:val="single" w:sz="4" w:space="0" w:color="auto"/>
              <w:lef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77</w:t>
            </w:r>
            <w:r w:rsidR="00AA71D5" w:rsidRPr="00737872">
              <w:rPr>
                <w:rFonts w:ascii="Times New Roman" w:hAnsi="Times New Roman" w:cs="Times New Roman"/>
                <w:sz w:val="19"/>
                <w:szCs w:val="19"/>
              </w:rPr>
              <w:t>.</w:t>
            </w:r>
            <w:r w:rsidRPr="00737872">
              <w:rPr>
                <w:rFonts w:ascii="Times New Roman" w:hAnsi="Times New Roman" w:cs="Times New Roman"/>
                <w:sz w:val="19"/>
                <w:szCs w:val="19"/>
              </w:rPr>
              <w:t>80</w:t>
            </w:r>
          </w:p>
        </w:tc>
        <w:tc>
          <w:tcPr>
            <w:tcW w:w="414" w:type="pct"/>
            <w:tcBorders>
              <w:top w:val="single" w:sz="4" w:space="0" w:color="auto"/>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62.18</w:t>
            </w:r>
          </w:p>
        </w:tc>
        <w:tc>
          <w:tcPr>
            <w:tcW w:w="154" w:type="pct"/>
            <w:tcBorders>
              <w:top w:val="single" w:sz="4" w:space="0" w:color="auto"/>
              <w:left w:val="nil"/>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w:t>
            </w:r>
          </w:p>
        </w:tc>
        <w:tc>
          <w:tcPr>
            <w:tcW w:w="323" w:type="pct"/>
            <w:tcBorders>
              <w:top w:val="single" w:sz="4" w:space="0" w:color="auto"/>
              <w:lef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5.57</w:t>
            </w:r>
          </w:p>
        </w:tc>
        <w:tc>
          <w:tcPr>
            <w:tcW w:w="456" w:type="pct"/>
            <w:vMerge w:val="restart"/>
            <w:tcBorders>
              <w:top w:val="single" w:sz="4" w:space="0" w:color="auto"/>
              <w:lef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16.288</w:t>
            </w:r>
          </w:p>
        </w:tc>
        <w:tc>
          <w:tcPr>
            <w:tcW w:w="536" w:type="pct"/>
            <w:vMerge w:val="restart"/>
            <w:tcBorders>
              <w:top w:val="single" w:sz="4" w:space="0" w:color="auto"/>
              <w:left w:val="nil"/>
              <w:right w:val="single" w:sz="4" w:space="0" w:color="auto"/>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0.001*</w:t>
            </w:r>
          </w:p>
        </w:tc>
      </w:tr>
      <w:tr w:rsidR="00BF7D07" w:rsidRPr="00737872" w:rsidTr="00BF7D07">
        <w:trPr>
          <w:jc w:val="center"/>
        </w:trPr>
        <w:tc>
          <w:tcPr>
            <w:tcW w:w="1475" w:type="pct"/>
            <w:vMerge/>
            <w:tcBorders>
              <w:left w:val="single" w:sz="4" w:space="0" w:color="auto"/>
              <w:bottom w:val="single" w:sz="4" w:space="0" w:color="auto"/>
            </w:tcBorders>
            <w:shd w:val="clear" w:color="000000" w:fill="FFFFFF"/>
            <w:vAlign w:val="center"/>
          </w:tcPr>
          <w:p w:rsidR="005720B0" w:rsidRPr="00737872" w:rsidRDefault="005720B0"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p>
        </w:tc>
        <w:tc>
          <w:tcPr>
            <w:tcW w:w="720" w:type="pct"/>
            <w:tcBorders>
              <w:bottom w:val="single" w:sz="4" w:space="0" w:color="auto"/>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Conformal</w:t>
            </w:r>
          </w:p>
        </w:tc>
        <w:tc>
          <w:tcPr>
            <w:tcW w:w="387" w:type="pct"/>
            <w:tcBorders>
              <w:bottom w:val="single" w:sz="4" w:space="0" w:color="auto"/>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7</w:t>
            </w:r>
            <w:r w:rsidR="00AA71D5" w:rsidRPr="00737872">
              <w:rPr>
                <w:rFonts w:ascii="Times New Roman" w:hAnsi="Times New Roman" w:cs="Times New Roman"/>
                <w:sz w:val="19"/>
                <w:szCs w:val="19"/>
              </w:rPr>
              <w:t>.</w:t>
            </w:r>
            <w:r w:rsidRPr="00737872">
              <w:rPr>
                <w:rFonts w:ascii="Times New Roman" w:hAnsi="Times New Roman" w:cs="Times New Roman"/>
                <w:sz w:val="19"/>
                <w:szCs w:val="19"/>
              </w:rPr>
              <w:t>86</w:t>
            </w:r>
          </w:p>
        </w:tc>
        <w:tc>
          <w:tcPr>
            <w:tcW w:w="147" w:type="pct"/>
            <w:tcBorders>
              <w:left w:val="nil"/>
              <w:bottom w:val="single" w:sz="4" w:space="0" w:color="auto"/>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w:t>
            </w:r>
          </w:p>
        </w:tc>
        <w:tc>
          <w:tcPr>
            <w:tcW w:w="387" w:type="pct"/>
            <w:tcBorders>
              <w:left w:val="nil"/>
              <w:bottom w:val="single" w:sz="4" w:space="0" w:color="auto"/>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68</w:t>
            </w:r>
            <w:r w:rsidR="00AA71D5" w:rsidRPr="00737872">
              <w:rPr>
                <w:rFonts w:ascii="Times New Roman" w:hAnsi="Times New Roman" w:cs="Times New Roman"/>
                <w:sz w:val="19"/>
                <w:szCs w:val="19"/>
              </w:rPr>
              <w:t>.</w:t>
            </w:r>
            <w:r w:rsidRPr="00737872">
              <w:rPr>
                <w:rFonts w:ascii="Times New Roman" w:hAnsi="Times New Roman" w:cs="Times New Roman"/>
                <w:sz w:val="19"/>
                <w:szCs w:val="19"/>
              </w:rPr>
              <w:t>47</w:t>
            </w:r>
          </w:p>
        </w:tc>
        <w:tc>
          <w:tcPr>
            <w:tcW w:w="414" w:type="pct"/>
            <w:tcBorders>
              <w:bottom w:val="single" w:sz="4" w:space="0" w:color="auto"/>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51.75</w:t>
            </w:r>
          </w:p>
        </w:tc>
        <w:tc>
          <w:tcPr>
            <w:tcW w:w="154" w:type="pct"/>
            <w:tcBorders>
              <w:left w:val="nil"/>
              <w:bottom w:val="single" w:sz="4" w:space="0" w:color="auto"/>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w:t>
            </w:r>
          </w:p>
        </w:tc>
        <w:tc>
          <w:tcPr>
            <w:tcW w:w="323" w:type="pct"/>
            <w:tcBorders>
              <w:left w:val="nil"/>
              <w:bottom w:val="single" w:sz="4" w:space="0" w:color="auto"/>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1.30</w:t>
            </w:r>
          </w:p>
        </w:tc>
        <w:tc>
          <w:tcPr>
            <w:tcW w:w="456" w:type="pct"/>
            <w:vMerge/>
            <w:tcBorders>
              <w:left w:val="nil"/>
              <w:bottom w:val="single" w:sz="4" w:space="0" w:color="auto"/>
            </w:tcBorders>
            <w:shd w:val="clear" w:color="000000" w:fill="FFFFFF"/>
            <w:vAlign w:val="center"/>
          </w:tcPr>
          <w:p w:rsidR="005720B0" w:rsidRPr="00737872" w:rsidRDefault="005720B0" w:rsidP="00737872">
            <w:pPr>
              <w:autoSpaceDE w:val="0"/>
              <w:autoSpaceDN w:val="0"/>
              <w:bidi w:val="0"/>
              <w:adjustRightInd w:val="0"/>
              <w:snapToGrid w:val="0"/>
              <w:spacing w:after="0" w:line="240" w:lineRule="auto"/>
              <w:jc w:val="both"/>
              <w:rPr>
                <w:rFonts w:ascii="Times New Roman" w:hAnsi="Times New Roman" w:cs="Times New Roman"/>
                <w:sz w:val="19"/>
                <w:szCs w:val="19"/>
              </w:rPr>
            </w:pPr>
          </w:p>
        </w:tc>
        <w:tc>
          <w:tcPr>
            <w:tcW w:w="536" w:type="pct"/>
            <w:vMerge/>
            <w:tcBorders>
              <w:left w:val="nil"/>
              <w:bottom w:val="single" w:sz="4" w:space="0" w:color="auto"/>
              <w:right w:val="single" w:sz="4" w:space="0" w:color="auto"/>
            </w:tcBorders>
            <w:shd w:val="clear" w:color="000000" w:fill="FFFFFF"/>
            <w:vAlign w:val="center"/>
          </w:tcPr>
          <w:p w:rsidR="005720B0" w:rsidRPr="00737872" w:rsidRDefault="005720B0" w:rsidP="00737872">
            <w:pPr>
              <w:autoSpaceDE w:val="0"/>
              <w:autoSpaceDN w:val="0"/>
              <w:bidi w:val="0"/>
              <w:adjustRightInd w:val="0"/>
              <w:snapToGrid w:val="0"/>
              <w:spacing w:after="0" w:line="240" w:lineRule="auto"/>
              <w:jc w:val="both"/>
              <w:rPr>
                <w:rFonts w:ascii="Times New Roman" w:hAnsi="Times New Roman" w:cs="Times New Roman"/>
                <w:sz w:val="19"/>
                <w:szCs w:val="19"/>
              </w:rPr>
            </w:pPr>
          </w:p>
        </w:tc>
      </w:tr>
      <w:tr w:rsidR="00BF7D07" w:rsidRPr="00737872" w:rsidTr="00BF7D07">
        <w:trPr>
          <w:jc w:val="center"/>
        </w:trPr>
        <w:tc>
          <w:tcPr>
            <w:tcW w:w="1475" w:type="pct"/>
            <w:vMerge w:val="restart"/>
            <w:tcBorders>
              <w:top w:val="single" w:sz="4" w:space="0" w:color="auto"/>
              <w:left w:val="single" w:sz="4" w:space="0" w:color="auto"/>
            </w:tcBorders>
            <w:shd w:val="clear" w:color="000000" w:fill="FFFFFF"/>
            <w:vAlign w:val="center"/>
          </w:tcPr>
          <w:p w:rsidR="005720B0" w:rsidRPr="00737872" w:rsidRDefault="005720B0"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Min. dose of CTV59.4</w:t>
            </w:r>
          </w:p>
        </w:tc>
        <w:tc>
          <w:tcPr>
            <w:tcW w:w="720" w:type="pct"/>
            <w:tcBorders>
              <w:top w:val="single" w:sz="4" w:space="0" w:color="auto"/>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IMRT</w:t>
            </w:r>
          </w:p>
        </w:tc>
        <w:tc>
          <w:tcPr>
            <w:tcW w:w="387" w:type="pct"/>
            <w:tcBorders>
              <w:top w:val="single" w:sz="4" w:space="0" w:color="auto"/>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10</w:t>
            </w:r>
            <w:r w:rsidR="00AA71D5" w:rsidRPr="00737872">
              <w:rPr>
                <w:rFonts w:ascii="Times New Roman" w:hAnsi="Times New Roman" w:cs="Times New Roman"/>
                <w:sz w:val="19"/>
                <w:szCs w:val="19"/>
              </w:rPr>
              <w:t>.</w:t>
            </w:r>
            <w:r w:rsidRPr="00737872">
              <w:rPr>
                <w:rFonts w:ascii="Times New Roman" w:hAnsi="Times New Roman" w:cs="Times New Roman"/>
                <w:sz w:val="19"/>
                <w:szCs w:val="19"/>
              </w:rPr>
              <w:t>13</w:t>
            </w:r>
          </w:p>
        </w:tc>
        <w:tc>
          <w:tcPr>
            <w:tcW w:w="147" w:type="pct"/>
            <w:tcBorders>
              <w:top w:val="single" w:sz="4" w:space="0" w:color="auto"/>
              <w:left w:val="nil"/>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w:t>
            </w:r>
          </w:p>
        </w:tc>
        <w:tc>
          <w:tcPr>
            <w:tcW w:w="387" w:type="pct"/>
            <w:tcBorders>
              <w:top w:val="single" w:sz="4" w:space="0" w:color="auto"/>
              <w:lef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54</w:t>
            </w:r>
            <w:r w:rsidR="00AA71D5" w:rsidRPr="00737872">
              <w:rPr>
                <w:rFonts w:ascii="Times New Roman" w:hAnsi="Times New Roman" w:cs="Times New Roman"/>
                <w:sz w:val="19"/>
                <w:szCs w:val="19"/>
              </w:rPr>
              <w:t>.</w:t>
            </w:r>
            <w:r w:rsidRPr="00737872">
              <w:rPr>
                <w:rFonts w:ascii="Times New Roman" w:hAnsi="Times New Roman" w:cs="Times New Roman"/>
                <w:sz w:val="19"/>
                <w:szCs w:val="19"/>
              </w:rPr>
              <w:t>18</w:t>
            </w:r>
          </w:p>
        </w:tc>
        <w:tc>
          <w:tcPr>
            <w:tcW w:w="414" w:type="pct"/>
            <w:tcBorders>
              <w:top w:val="single" w:sz="4" w:space="0" w:color="auto"/>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39.20</w:t>
            </w:r>
          </w:p>
        </w:tc>
        <w:tc>
          <w:tcPr>
            <w:tcW w:w="154" w:type="pct"/>
            <w:tcBorders>
              <w:top w:val="single" w:sz="4" w:space="0" w:color="auto"/>
              <w:left w:val="nil"/>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w:t>
            </w:r>
          </w:p>
        </w:tc>
        <w:tc>
          <w:tcPr>
            <w:tcW w:w="323" w:type="pct"/>
            <w:tcBorders>
              <w:top w:val="single" w:sz="4" w:space="0" w:color="auto"/>
              <w:lef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1.17</w:t>
            </w:r>
          </w:p>
        </w:tc>
        <w:tc>
          <w:tcPr>
            <w:tcW w:w="456" w:type="pct"/>
            <w:vMerge w:val="restart"/>
            <w:tcBorders>
              <w:top w:val="single" w:sz="4" w:space="0" w:color="auto"/>
              <w:lef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13.029</w:t>
            </w:r>
          </w:p>
        </w:tc>
        <w:tc>
          <w:tcPr>
            <w:tcW w:w="536" w:type="pct"/>
            <w:vMerge w:val="restart"/>
            <w:tcBorders>
              <w:top w:val="single" w:sz="4" w:space="0" w:color="auto"/>
              <w:left w:val="nil"/>
              <w:right w:val="single" w:sz="4" w:space="0" w:color="auto"/>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0.001*</w:t>
            </w:r>
          </w:p>
        </w:tc>
      </w:tr>
      <w:tr w:rsidR="00BF7D07" w:rsidRPr="00737872" w:rsidTr="00BF7D07">
        <w:trPr>
          <w:jc w:val="center"/>
        </w:trPr>
        <w:tc>
          <w:tcPr>
            <w:tcW w:w="1475" w:type="pct"/>
            <w:vMerge/>
            <w:tcBorders>
              <w:left w:val="single" w:sz="4" w:space="0" w:color="auto"/>
              <w:bottom w:val="single" w:sz="4" w:space="0" w:color="auto"/>
            </w:tcBorders>
            <w:shd w:val="clear" w:color="000000" w:fill="FFFFFF"/>
            <w:vAlign w:val="center"/>
          </w:tcPr>
          <w:p w:rsidR="005720B0" w:rsidRPr="00737872" w:rsidRDefault="005720B0"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p>
        </w:tc>
        <w:tc>
          <w:tcPr>
            <w:tcW w:w="720" w:type="pct"/>
            <w:tcBorders>
              <w:bottom w:val="single" w:sz="4" w:space="0" w:color="auto"/>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Conformal</w:t>
            </w:r>
          </w:p>
        </w:tc>
        <w:tc>
          <w:tcPr>
            <w:tcW w:w="387" w:type="pct"/>
            <w:tcBorders>
              <w:bottom w:val="single" w:sz="4" w:space="0" w:color="auto"/>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3</w:t>
            </w:r>
            <w:r w:rsidR="00AA71D5" w:rsidRPr="00737872">
              <w:rPr>
                <w:rFonts w:ascii="Times New Roman" w:hAnsi="Times New Roman" w:cs="Times New Roman"/>
                <w:sz w:val="19"/>
                <w:szCs w:val="19"/>
              </w:rPr>
              <w:t>.</w:t>
            </w:r>
            <w:r w:rsidRPr="00737872">
              <w:rPr>
                <w:rFonts w:ascii="Times New Roman" w:hAnsi="Times New Roman" w:cs="Times New Roman"/>
                <w:sz w:val="19"/>
                <w:szCs w:val="19"/>
              </w:rPr>
              <w:t>87</w:t>
            </w:r>
          </w:p>
        </w:tc>
        <w:tc>
          <w:tcPr>
            <w:tcW w:w="147" w:type="pct"/>
            <w:tcBorders>
              <w:left w:val="nil"/>
              <w:bottom w:val="single" w:sz="4" w:space="0" w:color="auto"/>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w:t>
            </w:r>
          </w:p>
        </w:tc>
        <w:tc>
          <w:tcPr>
            <w:tcW w:w="387" w:type="pct"/>
            <w:tcBorders>
              <w:left w:val="nil"/>
              <w:bottom w:val="single" w:sz="4" w:space="0" w:color="auto"/>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70</w:t>
            </w:r>
            <w:r w:rsidR="00AA71D5" w:rsidRPr="00737872">
              <w:rPr>
                <w:rFonts w:ascii="Times New Roman" w:hAnsi="Times New Roman" w:cs="Times New Roman"/>
                <w:sz w:val="19"/>
                <w:szCs w:val="19"/>
              </w:rPr>
              <w:t>.</w:t>
            </w:r>
            <w:r w:rsidRPr="00737872">
              <w:rPr>
                <w:rFonts w:ascii="Times New Roman" w:hAnsi="Times New Roman" w:cs="Times New Roman"/>
                <w:sz w:val="19"/>
                <w:szCs w:val="19"/>
              </w:rPr>
              <w:t>83</w:t>
            </w:r>
          </w:p>
        </w:tc>
        <w:tc>
          <w:tcPr>
            <w:tcW w:w="414" w:type="pct"/>
            <w:tcBorders>
              <w:bottom w:val="single" w:sz="4" w:space="0" w:color="auto"/>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25.80</w:t>
            </w:r>
          </w:p>
        </w:tc>
        <w:tc>
          <w:tcPr>
            <w:tcW w:w="154" w:type="pct"/>
            <w:tcBorders>
              <w:left w:val="nil"/>
              <w:bottom w:val="single" w:sz="4" w:space="0" w:color="auto"/>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w:t>
            </w:r>
          </w:p>
        </w:tc>
        <w:tc>
          <w:tcPr>
            <w:tcW w:w="323" w:type="pct"/>
            <w:tcBorders>
              <w:left w:val="nil"/>
              <w:bottom w:val="single" w:sz="4" w:space="0" w:color="auto"/>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1.67</w:t>
            </w:r>
          </w:p>
        </w:tc>
        <w:tc>
          <w:tcPr>
            <w:tcW w:w="456" w:type="pct"/>
            <w:vMerge/>
            <w:tcBorders>
              <w:left w:val="nil"/>
              <w:bottom w:val="single" w:sz="4" w:space="0" w:color="auto"/>
            </w:tcBorders>
            <w:shd w:val="clear" w:color="000000" w:fill="FFFFFF"/>
            <w:vAlign w:val="center"/>
          </w:tcPr>
          <w:p w:rsidR="005720B0" w:rsidRPr="00737872" w:rsidRDefault="005720B0" w:rsidP="00737872">
            <w:pPr>
              <w:autoSpaceDE w:val="0"/>
              <w:autoSpaceDN w:val="0"/>
              <w:bidi w:val="0"/>
              <w:adjustRightInd w:val="0"/>
              <w:snapToGrid w:val="0"/>
              <w:spacing w:after="0" w:line="240" w:lineRule="auto"/>
              <w:jc w:val="both"/>
              <w:rPr>
                <w:rFonts w:ascii="Times New Roman" w:hAnsi="Times New Roman" w:cs="Times New Roman"/>
                <w:sz w:val="19"/>
                <w:szCs w:val="19"/>
              </w:rPr>
            </w:pPr>
          </w:p>
        </w:tc>
        <w:tc>
          <w:tcPr>
            <w:tcW w:w="536" w:type="pct"/>
            <w:vMerge/>
            <w:tcBorders>
              <w:left w:val="nil"/>
              <w:bottom w:val="single" w:sz="4" w:space="0" w:color="auto"/>
              <w:right w:val="single" w:sz="4" w:space="0" w:color="auto"/>
            </w:tcBorders>
            <w:shd w:val="clear" w:color="000000" w:fill="FFFFFF"/>
            <w:vAlign w:val="center"/>
          </w:tcPr>
          <w:p w:rsidR="005720B0" w:rsidRPr="00737872" w:rsidRDefault="005720B0" w:rsidP="00737872">
            <w:pPr>
              <w:autoSpaceDE w:val="0"/>
              <w:autoSpaceDN w:val="0"/>
              <w:bidi w:val="0"/>
              <w:adjustRightInd w:val="0"/>
              <w:snapToGrid w:val="0"/>
              <w:spacing w:after="0" w:line="240" w:lineRule="auto"/>
              <w:jc w:val="both"/>
              <w:rPr>
                <w:rFonts w:ascii="Times New Roman" w:hAnsi="Times New Roman" w:cs="Times New Roman"/>
                <w:sz w:val="19"/>
                <w:szCs w:val="19"/>
              </w:rPr>
            </w:pPr>
          </w:p>
        </w:tc>
      </w:tr>
      <w:tr w:rsidR="00BF7D07" w:rsidRPr="00737872" w:rsidTr="00BF7D07">
        <w:trPr>
          <w:jc w:val="center"/>
        </w:trPr>
        <w:tc>
          <w:tcPr>
            <w:tcW w:w="1475" w:type="pct"/>
            <w:vMerge w:val="restart"/>
            <w:tcBorders>
              <w:top w:val="single" w:sz="4" w:space="0" w:color="auto"/>
              <w:left w:val="single" w:sz="4" w:space="0" w:color="auto"/>
              <w:bottom w:val="single" w:sz="4" w:space="0" w:color="auto"/>
            </w:tcBorders>
            <w:shd w:val="clear" w:color="000000" w:fill="FFFFFF"/>
            <w:vAlign w:val="center"/>
          </w:tcPr>
          <w:p w:rsidR="005720B0" w:rsidRPr="00737872" w:rsidRDefault="005720B0"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Max. dose of CTV59.4</w:t>
            </w:r>
          </w:p>
        </w:tc>
        <w:tc>
          <w:tcPr>
            <w:tcW w:w="720" w:type="pct"/>
            <w:tcBorders>
              <w:top w:val="single" w:sz="4" w:space="0" w:color="auto"/>
              <w:bottom w:val="single" w:sz="4" w:space="0" w:color="auto"/>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IMRT</w:t>
            </w:r>
          </w:p>
        </w:tc>
        <w:tc>
          <w:tcPr>
            <w:tcW w:w="387" w:type="pct"/>
            <w:tcBorders>
              <w:top w:val="single" w:sz="4" w:space="0" w:color="auto"/>
              <w:bottom w:val="single" w:sz="4" w:space="0" w:color="auto"/>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59</w:t>
            </w:r>
            <w:r w:rsidR="00AA71D5" w:rsidRPr="00737872">
              <w:rPr>
                <w:rFonts w:ascii="Times New Roman" w:hAnsi="Times New Roman" w:cs="Times New Roman"/>
                <w:sz w:val="19"/>
                <w:szCs w:val="19"/>
              </w:rPr>
              <w:t>.</w:t>
            </w:r>
            <w:r w:rsidRPr="00737872">
              <w:rPr>
                <w:rFonts w:ascii="Times New Roman" w:hAnsi="Times New Roman" w:cs="Times New Roman"/>
                <w:sz w:val="19"/>
                <w:szCs w:val="19"/>
              </w:rPr>
              <w:t>57</w:t>
            </w:r>
          </w:p>
        </w:tc>
        <w:tc>
          <w:tcPr>
            <w:tcW w:w="147" w:type="pct"/>
            <w:tcBorders>
              <w:top w:val="single" w:sz="4" w:space="0" w:color="auto"/>
              <w:left w:val="nil"/>
              <w:bottom w:val="single" w:sz="4" w:space="0" w:color="auto"/>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w:t>
            </w:r>
          </w:p>
        </w:tc>
        <w:tc>
          <w:tcPr>
            <w:tcW w:w="387" w:type="pct"/>
            <w:tcBorders>
              <w:top w:val="single" w:sz="4" w:space="0" w:color="auto"/>
              <w:left w:val="nil"/>
              <w:bottom w:val="single" w:sz="4" w:space="0" w:color="auto"/>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79</w:t>
            </w:r>
            <w:r w:rsidR="00AA71D5" w:rsidRPr="00737872">
              <w:rPr>
                <w:rFonts w:ascii="Times New Roman" w:hAnsi="Times New Roman" w:cs="Times New Roman"/>
                <w:sz w:val="19"/>
                <w:szCs w:val="19"/>
              </w:rPr>
              <w:t>.</w:t>
            </w:r>
            <w:r w:rsidRPr="00737872">
              <w:rPr>
                <w:rFonts w:ascii="Times New Roman" w:hAnsi="Times New Roman" w:cs="Times New Roman"/>
                <w:sz w:val="19"/>
                <w:szCs w:val="19"/>
              </w:rPr>
              <w:t>40</w:t>
            </w:r>
          </w:p>
        </w:tc>
        <w:tc>
          <w:tcPr>
            <w:tcW w:w="414" w:type="pct"/>
            <w:tcBorders>
              <w:top w:val="single" w:sz="4" w:space="0" w:color="auto"/>
              <w:bottom w:val="single" w:sz="4" w:space="0" w:color="auto"/>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70.34</w:t>
            </w:r>
          </w:p>
        </w:tc>
        <w:tc>
          <w:tcPr>
            <w:tcW w:w="154" w:type="pct"/>
            <w:tcBorders>
              <w:top w:val="single" w:sz="4" w:space="0" w:color="auto"/>
              <w:left w:val="nil"/>
              <w:bottom w:val="single" w:sz="4" w:space="0" w:color="auto"/>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w:t>
            </w:r>
          </w:p>
        </w:tc>
        <w:tc>
          <w:tcPr>
            <w:tcW w:w="323" w:type="pct"/>
            <w:tcBorders>
              <w:top w:val="single" w:sz="4" w:space="0" w:color="auto"/>
              <w:left w:val="nil"/>
              <w:bottom w:val="single" w:sz="4" w:space="0" w:color="auto"/>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5.34</w:t>
            </w:r>
          </w:p>
        </w:tc>
        <w:tc>
          <w:tcPr>
            <w:tcW w:w="456" w:type="pct"/>
            <w:vMerge w:val="restart"/>
            <w:tcBorders>
              <w:top w:val="single" w:sz="4" w:space="0" w:color="auto"/>
              <w:left w:val="nil"/>
              <w:bottom w:val="single" w:sz="4" w:space="0" w:color="auto"/>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9.118</w:t>
            </w:r>
          </w:p>
        </w:tc>
        <w:tc>
          <w:tcPr>
            <w:tcW w:w="536" w:type="pct"/>
            <w:vMerge w:val="restart"/>
            <w:tcBorders>
              <w:top w:val="single" w:sz="4" w:space="0" w:color="auto"/>
              <w:left w:val="nil"/>
              <w:bottom w:val="single" w:sz="4" w:space="0" w:color="auto"/>
              <w:right w:val="single" w:sz="4" w:space="0" w:color="auto"/>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0.004*</w:t>
            </w:r>
          </w:p>
        </w:tc>
      </w:tr>
      <w:tr w:rsidR="00BF7D07" w:rsidRPr="00737872" w:rsidTr="00BF7D07">
        <w:trPr>
          <w:jc w:val="center"/>
        </w:trPr>
        <w:tc>
          <w:tcPr>
            <w:tcW w:w="1475" w:type="pct"/>
            <w:vMerge/>
            <w:tcBorders>
              <w:top w:val="single" w:sz="4" w:space="0" w:color="auto"/>
              <w:left w:val="single" w:sz="4" w:space="0" w:color="auto"/>
              <w:bottom w:val="single" w:sz="4" w:space="0" w:color="auto"/>
            </w:tcBorders>
            <w:shd w:val="clear" w:color="000000" w:fill="FFFFFF"/>
            <w:vAlign w:val="center"/>
          </w:tcPr>
          <w:p w:rsidR="005720B0" w:rsidRPr="00737872" w:rsidRDefault="005720B0"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p>
        </w:tc>
        <w:tc>
          <w:tcPr>
            <w:tcW w:w="720" w:type="pct"/>
            <w:tcBorders>
              <w:top w:val="single" w:sz="4" w:space="0" w:color="auto"/>
              <w:bottom w:val="single" w:sz="4" w:space="0" w:color="auto"/>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Conformal</w:t>
            </w:r>
          </w:p>
        </w:tc>
        <w:tc>
          <w:tcPr>
            <w:tcW w:w="387" w:type="pct"/>
            <w:tcBorders>
              <w:top w:val="single" w:sz="4" w:space="0" w:color="auto"/>
              <w:bottom w:val="single" w:sz="4" w:space="0" w:color="auto"/>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39</w:t>
            </w:r>
            <w:r w:rsidR="00AA71D5" w:rsidRPr="00737872">
              <w:rPr>
                <w:rFonts w:ascii="Times New Roman" w:hAnsi="Times New Roman" w:cs="Times New Roman"/>
                <w:sz w:val="19"/>
                <w:szCs w:val="19"/>
              </w:rPr>
              <w:t>.</w:t>
            </w:r>
            <w:r w:rsidRPr="00737872">
              <w:rPr>
                <w:rFonts w:ascii="Times New Roman" w:hAnsi="Times New Roman" w:cs="Times New Roman"/>
                <w:sz w:val="19"/>
                <w:szCs w:val="19"/>
              </w:rPr>
              <w:t>11</w:t>
            </w:r>
          </w:p>
        </w:tc>
        <w:tc>
          <w:tcPr>
            <w:tcW w:w="147" w:type="pct"/>
            <w:tcBorders>
              <w:top w:val="single" w:sz="4" w:space="0" w:color="auto"/>
              <w:left w:val="nil"/>
              <w:bottom w:val="single" w:sz="4" w:space="0" w:color="auto"/>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w:t>
            </w:r>
          </w:p>
        </w:tc>
        <w:tc>
          <w:tcPr>
            <w:tcW w:w="387" w:type="pct"/>
            <w:tcBorders>
              <w:top w:val="single" w:sz="4" w:space="0" w:color="auto"/>
              <w:left w:val="nil"/>
              <w:bottom w:val="single" w:sz="4" w:space="0" w:color="auto"/>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72</w:t>
            </w:r>
            <w:r w:rsidR="00AA71D5" w:rsidRPr="00737872">
              <w:rPr>
                <w:rFonts w:ascii="Times New Roman" w:hAnsi="Times New Roman" w:cs="Times New Roman"/>
                <w:sz w:val="19"/>
                <w:szCs w:val="19"/>
              </w:rPr>
              <w:t>.</w:t>
            </w:r>
            <w:r w:rsidRPr="00737872">
              <w:rPr>
                <w:rFonts w:ascii="Times New Roman" w:hAnsi="Times New Roman" w:cs="Times New Roman"/>
                <w:sz w:val="19"/>
                <w:szCs w:val="19"/>
              </w:rPr>
              <w:t>72</w:t>
            </w:r>
          </w:p>
        </w:tc>
        <w:tc>
          <w:tcPr>
            <w:tcW w:w="414" w:type="pct"/>
            <w:tcBorders>
              <w:top w:val="single" w:sz="4" w:space="0" w:color="auto"/>
              <w:bottom w:val="single" w:sz="4" w:space="0" w:color="auto"/>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64.30</w:t>
            </w:r>
          </w:p>
        </w:tc>
        <w:tc>
          <w:tcPr>
            <w:tcW w:w="154" w:type="pct"/>
            <w:tcBorders>
              <w:top w:val="single" w:sz="4" w:space="0" w:color="auto"/>
              <w:left w:val="nil"/>
              <w:bottom w:val="single" w:sz="4" w:space="0" w:color="auto"/>
              <w:right w:val="nil"/>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w:t>
            </w:r>
          </w:p>
        </w:tc>
        <w:tc>
          <w:tcPr>
            <w:tcW w:w="323" w:type="pct"/>
            <w:tcBorders>
              <w:top w:val="single" w:sz="4" w:space="0" w:color="auto"/>
              <w:left w:val="nil"/>
              <w:bottom w:val="single" w:sz="4" w:space="0" w:color="auto"/>
            </w:tcBorders>
            <w:shd w:val="clear" w:color="000000" w:fill="FFFFFF"/>
            <w:vAlign w:val="center"/>
          </w:tcPr>
          <w:p w:rsidR="005720B0" w:rsidRPr="00737872" w:rsidRDefault="005720B0"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9.58</w:t>
            </w:r>
          </w:p>
        </w:tc>
        <w:tc>
          <w:tcPr>
            <w:tcW w:w="456" w:type="pct"/>
            <w:vMerge/>
            <w:tcBorders>
              <w:top w:val="single" w:sz="4" w:space="0" w:color="auto"/>
              <w:left w:val="nil"/>
              <w:bottom w:val="single" w:sz="4" w:space="0" w:color="auto"/>
            </w:tcBorders>
            <w:shd w:val="clear" w:color="000000" w:fill="FFFFFF"/>
            <w:vAlign w:val="center"/>
          </w:tcPr>
          <w:p w:rsidR="005720B0" w:rsidRPr="00737872" w:rsidRDefault="005720B0" w:rsidP="00737872">
            <w:pPr>
              <w:autoSpaceDE w:val="0"/>
              <w:autoSpaceDN w:val="0"/>
              <w:bidi w:val="0"/>
              <w:adjustRightInd w:val="0"/>
              <w:snapToGrid w:val="0"/>
              <w:spacing w:after="0" w:line="240" w:lineRule="auto"/>
              <w:jc w:val="both"/>
              <w:rPr>
                <w:rFonts w:ascii="Times New Roman" w:hAnsi="Times New Roman" w:cs="Times New Roman"/>
                <w:sz w:val="19"/>
                <w:szCs w:val="19"/>
              </w:rPr>
            </w:pPr>
          </w:p>
        </w:tc>
        <w:tc>
          <w:tcPr>
            <w:tcW w:w="536" w:type="pct"/>
            <w:vMerge/>
            <w:tcBorders>
              <w:top w:val="single" w:sz="4" w:space="0" w:color="auto"/>
              <w:left w:val="nil"/>
              <w:bottom w:val="single" w:sz="4" w:space="0" w:color="auto"/>
              <w:right w:val="single" w:sz="4" w:space="0" w:color="auto"/>
            </w:tcBorders>
            <w:shd w:val="clear" w:color="000000" w:fill="FFFFFF"/>
            <w:vAlign w:val="center"/>
          </w:tcPr>
          <w:p w:rsidR="005720B0" w:rsidRPr="00737872" w:rsidRDefault="005720B0" w:rsidP="00737872">
            <w:pPr>
              <w:autoSpaceDE w:val="0"/>
              <w:autoSpaceDN w:val="0"/>
              <w:bidi w:val="0"/>
              <w:adjustRightInd w:val="0"/>
              <w:snapToGrid w:val="0"/>
              <w:spacing w:after="0" w:line="240" w:lineRule="auto"/>
              <w:jc w:val="both"/>
              <w:rPr>
                <w:rFonts w:ascii="Times New Roman" w:hAnsi="Times New Roman" w:cs="Times New Roman"/>
                <w:sz w:val="19"/>
                <w:szCs w:val="19"/>
              </w:rPr>
            </w:pPr>
          </w:p>
        </w:tc>
      </w:tr>
    </w:tbl>
    <w:p w:rsidR="00AA2CB1" w:rsidRPr="00737872" w:rsidRDefault="00AA2CB1" w:rsidP="00737872">
      <w:pPr>
        <w:bidi w:val="0"/>
        <w:snapToGrid w:val="0"/>
        <w:spacing w:after="0" w:line="240" w:lineRule="auto"/>
        <w:jc w:val="both"/>
        <w:rPr>
          <w:rFonts w:ascii="Times New Roman" w:hAnsi="Times New Roman" w:cs="Times New Roman"/>
          <w:b/>
          <w:bCs/>
          <w:i/>
          <w:iCs/>
          <w:sz w:val="20"/>
          <w:szCs w:val="20"/>
        </w:rPr>
      </w:pPr>
    </w:p>
    <w:p w:rsidR="00737872" w:rsidRDefault="00737872" w:rsidP="00737872">
      <w:pPr>
        <w:bidi w:val="0"/>
        <w:snapToGrid w:val="0"/>
        <w:spacing w:after="0" w:line="240" w:lineRule="auto"/>
        <w:jc w:val="both"/>
        <w:rPr>
          <w:rFonts w:ascii="Times New Roman" w:hAnsi="Times New Roman" w:cs="Times New Roman"/>
          <w:b/>
          <w:bCs/>
          <w:i/>
          <w:iCs/>
          <w:sz w:val="20"/>
          <w:szCs w:val="20"/>
        </w:rPr>
        <w:sectPr w:rsidR="00737872" w:rsidSect="00BF7D07">
          <w:type w:val="continuous"/>
          <w:pgSz w:w="12242" w:h="15842" w:code="1"/>
          <w:pgMar w:top="1440" w:right="1440" w:bottom="1440" w:left="1440" w:header="720" w:footer="720" w:gutter="0"/>
          <w:cols w:space="720"/>
          <w:docGrid w:linePitch="360"/>
        </w:sectPr>
      </w:pPr>
    </w:p>
    <w:p w:rsidR="00737872" w:rsidRPr="00737872" w:rsidRDefault="00737872" w:rsidP="00737872">
      <w:pPr>
        <w:tabs>
          <w:tab w:val="right" w:pos="142"/>
        </w:tabs>
        <w:bidi w:val="0"/>
        <w:snapToGrid w:val="0"/>
        <w:spacing w:after="0" w:line="240" w:lineRule="auto"/>
        <w:jc w:val="both"/>
        <w:rPr>
          <w:rFonts w:ascii="Times New Roman" w:hAnsi="Times New Roman" w:cs="Times New Roman"/>
          <w:b/>
          <w:bCs/>
          <w:sz w:val="20"/>
          <w:szCs w:val="20"/>
          <w:lang w:bidi="ar-EG"/>
        </w:rPr>
      </w:pPr>
      <w:r w:rsidRPr="00737872">
        <w:rPr>
          <w:rFonts w:ascii="Times New Roman" w:hAnsi="Times New Roman" w:cs="Times New Roman"/>
          <w:b/>
          <w:bCs/>
          <w:sz w:val="20"/>
          <w:szCs w:val="20"/>
        </w:rPr>
        <w:lastRenderedPageBreak/>
        <w:t>Dose-volume analysis</w:t>
      </w:r>
    </w:p>
    <w:p w:rsidR="00737872" w:rsidRPr="00737872" w:rsidRDefault="00737872" w:rsidP="00737872">
      <w:pPr>
        <w:bidi w:val="0"/>
        <w:snapToGrid w:val="0"/>
        <w:spacing w:after="0" w:line="240" w:lineRule="auto"/>
        <w:ind w:firstLine="425"/>
        <w:jc w:val="both"/>
        <w:rPr>
          <w:rFonts w:ascii="Times New Roman" w:hAnsi="Times New Roman" w:cs="Times New Roman"/>
          <w:sz w:val="20"/>
          <w:szCs w:val="20"/>
          <w:lang w:bidi="ar-EG"/>
        </w:rPr>
      </w:pPr>
      <w:r w:rsidRPr="00737872">
        <w:rPr>
          <w:rFonts w:ascii="Times New Roman" w:hAnsi="Times New Roman" w:cs="Times New Roman"/>
          <w:b/>
          <w:bCs/>
          <w:i/>
          <w:iCs/>
          <w:sz w:val="20"/>
          <w:szCs w:val="20"/>
        </w:rPr>
        <w:t>Table 4</w:t>
      </w:r>
      <w:r w:rsidRPr="00737872">
        <w:rPr>
          <w:rFonts w:ascii="Times New Roman" w:hAnsi="Times New Roman" w:cs="Times New Roman"/>
          <w:sz w:val="20"/>
          <w:szCs w:val="20"/>
        </w:rPr>
        <w:t xml:space="preserve"> shows the dose-volume statistics of both IMRT and 3D-CRT plans based on </w:t>
      </w:r>
      <w:proofErr w:type="spellStart"/>
      <w:r w:rsidRPr="00737872">
        <w:rPr>
          <w:rFonts w:ascii="Times New Roman" w:hAnsi="Times New Roman" w:cs="Times New Roman"/>
          <w:sz w:val="20"/>
          <w:szCs w:val="20"/>
        </w:rPr>
        <w:t>DVHs</w:t>
      </w:r>
      <w:proofErr w:type="spellEnd"/>
      <w:r w:rsidRPr="00737872">
        <w:rPr>
          <w:rFonts w:ascii="Times New Roman" w:hAnsi="Times New Roman" w:cs="Times New Roman"/>
          <w:sz w:val="20"/>
          <w:szCs w:val="20"/>
        </w:rPr>
        <w:t xml:space="preserve"> of the target volumes in the 30 patients.</w:t>
      </w:r>
    </w:p>
    <w:p w:rsidR="00737872" w:rsidRPr="00737872" w:rsidRDefault="00737872" w:rsidP="00737872">
      <w:pPr>
        <w:tabs>
          <w:tab w:val="right" w:pos="142"/>
        </w:tabs>
        <w:bidi w:val="0"/>
        <w:snapToGrid w:val="0"/>
        <w:spacing w:after="0" w:line="240" w:lineRule="auto"/>
        <w:jc w:val="both"/>
        <w:rPr>
          <w:rFonts w:ascii="Times New Roman" w:hAnsi="Times New Roman" w:cs="Times New Roman"/>
          <w:b/>
          <w:bCs/>
          <w:i/>
          <w:iCs/>
          <w:sz w:val="20"/>
          <w:szCs w:val="20"/>
        </w:rPr>
      </w:pPr>
      <w:r w:rsidRPr="00737872">
        <w:rPr>
          <w:rFonts w:ascii="Times New Roman" w:hAnsi="Times New Roman" w:cs="Times New Roman"/>
          <w:b/>
          <w:bCs/>
          <w:i/>
          <w:iCs/>
          <w:sz w:val="20"/>
          <w:szCs w:val="20"/>
        </w:rPr>
        <w:t>Regarding target volumes</w:t>
      </w:r>
    </w:p>
    <w:p w:rsidR="00737872" w:rsidRDefault="00737872" w:rsidP="00737872">
      <w:pPr>
        <w:bidi w:val="0"/>
        <w:snapToGrid w:val="0"/>
        <w:spacing w:after="0" w:line="240" w:lineRule="auto"/>
        <w:ind w:firstLine="425"/>
        <w:jc w:val="both"/>
        <w:rPr>
          <w:rFonts w:ascii="Times New Roman" w:hAnsi="Times New Roman" w:cs="Times New Roman"/>
          <w:sz w:val="20"/>
          <w:szCs w:val="20"/>
        </w:rPr>
      </w:pPr>
      <w:r w:rsidRPr="00737872">
        <w:rPr>
          <w:rFonts w:ascii="Times New Roman" w:hAnsi="Times New Roman" w:cs="Times New Roman"/>
          <w:sz w:val="20"/>
          <w:szCs w:val="20"/>
        </w:rPr>
        <w:lastRenderedPageBreak/>
        <w:t>IMRT plans provided better coverage of the target volumes. In IMRT plans, 95% of PTV 69.96 was covered by a mean dose of 67.5</w:t>
      </w:r>
      <w:r w:rsidRPr="00737872">
        <w:rPr>
          <w:rFonts w:ascii="Times New Roman" w:hAnsi="Times New Roman" w:cs="Times New Roman"/>
          <w:b/>
          <w:bCs/>
          <w:sz w:val="20"/>
          <w:szCs w:val="20"/>
        </w:rPr>
        <w:t xml:space="preserve"> ±</w:t>
      </w:r>
      <w:r w:rsidRPr="00737872">
        <w:rPr>
          <w:rFonts w:ascii="Times New Roman" w:hAnsi="Times New Roman" w:cs="Times New Roman"/>
          <w:sz w:val="20"/>
          <w:szCs w:val="20"/>
        </w:rPr>
        <w:t xml:space="preserve"> 1.3 </w:t>
      </w:r>
      <w:proofErr w:type="spellStart"/>
      <w:r w:rsidRPr="00737872">
        <w:rPr>
          <w:rFonts w:ascii="Times New Roman" w:hAnsi="Times New Roman" w:cs="Times New Roman"/>
          <w:sz w:val="20"/>
          <w:szCs w:val="20"/>
        </w:rPr>
        <w:t>Gy</w:t>
      </w:r>
      <w:proofErr w:type="spellEnd"/>
      <w:r w:rsidRPr="00737872">
        <w:rPr>
          <w:rFonts w:ascii="Times New Roman" w:hAnsi="Times New Roman" w:cs="Times New Roman"/>
          <w:sz w:val="20"/>
          <w:szCs w:val="20"/>
        </w:rPr>
        <w:t xml:space="preserve"> on contrary of 3D-CRT plans that was covered by a mean dose of 60 </w:t>
      </w:r>
      <w:r w:rsidRPr="00737872">
        <w:rPr>
          <w:rFonts w:ascii="Times New Roman" w:hAnsi="Times New Roman" w:cs="Times New Roman"/>
          <w:b/>
          <w:bCs/>
          <w:sz w:val="20"/>
          <w:szCs w:val="20"/>
        </w:rPr>
        <w:t>±</w:t>
      </w:r>
      <w:r w:rsidRPr="00737872">
        <w:rPr>
          <w:rFonts w:ascii="Times New Roman" w:hAnsi="Times New Roman" w:cs="Times New Roman"/>
          <w:sz w:val="20"/>
          <w:szCs w:val="20"/>
        </w:rPr>
        <w:t xml:space="preserve"> 7.28 </w:t>
      </w:r>
      <w:proofErr w:type="spellStart"/>
      <w:r w:rsidRPr="00737872">
        <w:rPr>
          <w:rFonts w:ascii="Times New Roman" w:hAnsi="Times New Roman" w:cs="Times New Roman"/>
          <w:sz w:val="20"/>
          <w:szCs w:val="20"/>
        </w:rPr>
        <w:t>Gy</w:t>
      </w:r>
      <w:proofErr w:type="spellEnd"/>
      <w:r w:rsidRPr="00737872">
        <w:rPr>
          <w:rFonts w:ascii="Times New Roman" w:hAnsi="Times New Roman" w:cs="Times New Roman"/>
          <w:sz w:val="20"/>
          <w:szCs w:val="20"/>
        </w:rPr>
        <w:t xml:space="preserve"> with statistically significant difference (p= 0.001). The mean dose to PTV</w:t>
      </w:r>
      <w:r w:rsidRPr="00737872">
        <w:rPr>
          <w:rFonts w:ascii="Times New Roman" w:hAnsi="Times New Roman" w:cs="Times New Roman"/>
          <w:sz w:val="20"/>
          <w:szCs w:val="20"/>
          <w:lang w:eastAsia="zh-CN"/>
        </w:rPr>
        <w:t xml:space="preserve"> </w:t>
      </w:r>
      <w:r w:rsidRPr="00737872">
        <w:rPr>
          <w:rFonts w:ascii="Times New Roman" w:hAnsi="Times New Roman" w:cs="Times New Roman"/>
          <w:sz w:val="20"/>
          <w:szCs w:val="20"/>
        </w:rPr>
        <w:lastRenderedPageBreak/>
        <w:t xml:space="preserve">69.96was 70.98 </w:t>
      </w:r>
      <w:r w:rsidRPr="00737872">
        <w:rPr>
          <w:rFonts w:ascii="Times New Roman" w:hAnsi="Times New Roman" w:cs="Times New Roman"/>
          <w:b/>
          <w:bCs/>
          <w:sz w:val="20"/>
          <w:szCs w:val="20"/>
        </w:rPr>
        <w:t>±</w:t>
      </w:r>
      <w:r w:rsidRPr="00737872">
        <w:rPr>
          <w:rFonts w:ascii="Times New Roman" w:hAnsi="Times New Roman" w:cs="Times New Roman"/>
          <w:sz w:val="20"/>
          <w:szCs w:val="20"/>
        </w:rPr>
        <w:t xml:space="preserve"> 4.03 </w:t>
      </w:r>
      <w:proofErr w:type="spellStart"/>
      <w:r w:rsidRPr="00737872">
        <w:rPr>
          <w:rFonts w:ascii="Times New Roman" w:hAnsi="Times New Roman" w:cs="Times New Roman"/>
          <w:sz w:val="20"/>
          <w:szCs w:val="20"/>
        </w:rPr>
        <w:t>Gy</w:t>
      </w:r>
      <w:proofErr w:type="spellEnd"/>
      <w:r w:rsidRPr="00737872">
        <w:rPr>
          <w:rFonts w:ascii="Times New Roman" w:hAnsi="Times New Roman" w:cs="Times New Roman"/>
          <w:sz w:val="20"/>
          <w:szCs w:val="20"/>
        </w:rPr>
        <w:t xml:space="preserve"> in IMRT, while it was 66.27 </w:t>
      </w:r>
      <w:r w:rsidRPr="00737872">
        <w:rPr>
          <w:rFonts w:ascii="Times New Roman" w:hAnsi="Times New Roman" w:cs="Times New Roman"/>
          <w:b/>
          <w:bCs/>
          <w:sz w:val="20"/>
          <w:szCs w:val="20"/>
        </w:rPr>
        <w:t xml:space="preserve">± </w:t>
      </w:r>
      <w:r w:rsidRPr="00737872">
        <w:rPr>
          <w:rFonts w:ascii="Times New Roman" w:hAnsi="Times New Roman" w:cs="Times New Roman"/>
          <w:sz w:val="20"/>
          <w:szCs w:val="20"/>
        </w:rPr>
        <w:t xml:space="preserve">2.84 </w:t>
      </w:r>
      <w:proofErr w:type="spellStart"/>
      <w:r w:rsidRPr="00737872">
        <w:rPr>
          <w:rFonts w:ascii="Times New Roman" w:hAnsi="Times New Roman" w:cs="Times New Roman"/>
          <w:sz w:val="20"/>
          <w:szCs w:val="20"/>
        </w:rPr>
        <w:t>Gy</w:t>
      </w:r>
      <w:proofErr w:type="spellEnd"/>
      <w:r w:rsidRPr="00737872">
        <w:rPr>
          <w:rFonts w:ascii="Times New Roman" w:hAnsi="Times New Roman" w:cs="Times New Roman"/>
          <w:sz w:val="20"/>
          <w:szCs w:val="20"/>
        </w:rPr>
        <w:t xml:space="preserve"> in the 3D-CRT with statistically significant difference (p= 0.001). The mean minimum &amp; maximum dose to PTV69.96 was 51.59 </w:t>
      </w:r>
      <w:r w:rsidRPr="00737872">
        <w:rPr>
          <w:rFonts w:ascii="Times New Roman" w:hAnsi="Times New Roman" w:cs="Times New Roman"/>
          <w:b/>
          <w:bCs/>
          <w:sz w:val="20"/>
          <w:szCs w:val="20"/>
        </w:rPr>
        <w:t>±</w:t>
      </w:r>
      <w:r w:rsidRPr="00737872">
        <w:rPr>
          <w:rFonts w:ascii="Times New Roman" w:hAnsi="Times New Roman" w:cs="Times New Roman"/>
          <w:sz w:val="20"/>
          <w:szCs w:val="20"/>
        </w:rPr>
        <w:t xml:space="preserve"> 1.38 </w:t>
      </w:r>
      <w:proofErr w:type="spellStart"/>
      <w:r w:rsidRPr="00737872">
        <w:rPr>
          <w:rFonts w:ascii="Times New Roman" w:hAnsi="Times New Roman" w:cs="Times New Roman"/>
          <w:sz w:val="20"/>
          <w:szCs w:val="20"/>
        </w:rPr>
        <w:t>Gy</w:t>
      </w:r>
      <w:proofErr w:type="spellEnd"/>
      <w:r w:rsidRPr="00737872">
        <w:rPr>
          <w:rFonts w:ascii="Times New Roman" w:hAnsi="Times New Roman" w:cs="Times New Roman"/>
          <w:sz w:val="20"/>
          <w:szCs w:val="20"/>
        </w:rPr>
        <w:t xml:space="preserve">, 77.4 </w:t>
      </w:r>
      <w:r w:rsidRPr="00737872">
        <w:rPr>
          <w:rFonts w:ascii="Times New Roman" w:hAnsi="Times New Roman" w:cs="Times New Roman"/>
          <w:b/>
          <w:bCs/>
          <w:sz w:val="20"/>
          <w:szCs w:val="20"/>
        </w:rPr>
        <w:t>±</w:t>
      </w:r>
      <w:r w:rsidRPr="00737872">
        <w:rPr>
          <w:rFonts w:ascii="Times New Roman" w:hAnsi="Times New Roman" w:cs="Times New Roman"/>
          <w:sz w:val="20"/>
          <w:szCs w:val="20"/>
        </w:rPr>
        <w:t xml:space="preserve"> 3.22Gy in IMRT, while they were 39.25</w:t>
      </w:r>
      <w:r w:rsidRPr="00737872">
        <w:rPr>
          <w:rFonts w:ascii="Times New Roman" w:hAnsi="Times New Roman" w:cs="Times New Roman"/>
          <w:b/>
          <w:bCs/>
          <w:sz w:val="20"/>
          <w:szCs w:val="20"/>
        </w:rPr>
        <w:t xml:space="preserve">± </w:t>
      </w:r>
      <w:r w:rsidRPr="00737872">
        <w:rPr>
          <w:rFonts w:ascii="Times New Roman" w:hAnsi="Times New Roman" w:cs="Times New Roman"/>
          <w:sz w:val="20"/>
          <w:szCs w:val="20"/>
        </w:rPr>
        <w:t xml:space="preserve">1.77 </w:t>
      </w:r>
      <w:proofErr w:type="spellStart"/>
      <w:r w:rsidRPr="00737872">
        <w:rPr>
          <w:rFonts w:ascii="Times New Roman" w:hAnsi="Times New Roman" w:cs="Times New Roman"/>
          <w:sz w:val="20"/>
          <w:szCs w:val="20"/>
        </w:rPr>
        <w:t>Gy</w:t>
      </w:r>
      <w:proofErr w:type="spellEnd"/>
      <w:r w:rsidRPr="00737872">
        <w:rPr>
          <w:rFonts w:ascii="Times New Roman" w:hAnsi="Times New Roman" w:cs="Times New Roman"/>
          <w:sz w:val="20"/>
          <w:szCs w:val="20"/>
        </w:rPr>
        <w:t xml:space="preserve"> and 69.35</w:t>
      </w:r>
      <w:r w:rsidRPr="00737872">
        <w:rPr>
          <w:rFonts w:ascii="Times New Roman" w:hAnsi="Times New Roman" w:cs="Times New Roman"/>
          <w:b/>
          <w:bCs/>
          <w:sz w:val="20"/>
          <w:szCs w:val="20"/>
        </w:rPr>
        <w:t>±</w:t>
      </w:r>
      <w:r w:rsidRPr="00737872">
        <w:rPr>
          <w:rFonts w:ascii="Times New Roman" w:hAnsi="Times New Roman" w:cs="Times New Roman"/>
          <w:sz w:val="20"/>
          <w:szCs w:val="20"/>
        </w:rPr>
        <w:t xml:space="preserve"> 5.4 </w:t>
      </w:r>
      <w:proofErr w:type="spellStart"/>
      <w:r w:rsidRPr="00737872">
        <w:rPr>
          <w:rFonts w:ascii="Times New Roman" w:hAnsi="Times New Roman" w:cs="Times New Roman"/>
          <w:sz w:val="20"/>
          <w:szCs w:val="20"/>
        </w:rPr>
        <w:t>Gy</w:t>
      </w:r>
      <w:proofErr w:type="spellEnd"/>
      <w:r w:rsidRPr="00737872">
        <w:rPr>
          <w:rFonts w:ascii="Times New Roman" w:hAnsi="Times New Roman" w:cs="Times New Roman"/>
          <w:sz w:val="20"/>
          <w:szCs w:val="20"/>
        </w:rPr>
        <w:t xml:space="preserve"> in the 3D-CRT respectively. Statistically significant difference was observed between IMRT and 3D-CRT plans in the maximum dose of PTV69.96 only (p= 0.001). Regarding CTV 59.4, in IMRT plan, 95% of it was covered by a mean dose of 56.4 </w:t>
      </w:r>
      <w:r w:rsidRPr="00737872">
        <w:rPr>
          <w:rFonts w:ascii="Times New Roman" w:hAnsi="Times New Roman" w:cs="Times New Roman"/>
          <w:b/>
          <w:bCs/>
          <w:sz w:val="20"/>
          <w:szCs w:val="20"/>
        </w:rPr>
        <w:t>±</w:t>
      </w:r>
      <w:r w:rsidRPr="00737872">
        <w:rPr>
          <w:rFonts w:ascii="Times New Roman" w:hAnsi="Times New Roman" w:cs="Times New Roman"/>
          <w:sz w:val="20"/>
          <w:szCs w:val="20"/>
        </w:rPr>
        <w:t xml:space="preserve"> 4.7 </w:t>
      </w:r>
      <w:proofErr w:type="spellStart"/>
      <w:r w:rsidRPr="00737872">
        <w:rPr>
          <w:rFonts w:ascii="Times New Roman" w:hAnsi="Times New Roman" w:cs="Times New Roman"/>
          <w:sz w:val="20"/>
          <w:szCs w:val="20"/>
        </w:rPr>
        <w:t>Gy</w:t>
      </w:r>
      <w:proofErr w:type="spellEnd"/>
      <w:r w:rsidRPr="00737872">
        <w:rPr>
          <w:rFonts w:ascii="Times New Roman" w:hAnsi="Times New Roman" w:cs="Times New Roman"/>
          <w:sz w:val="20"/>
          <w:szCs w:val="20"/>
        </w:rPr>
        <w:t xml:space="preserve"> in contrary of 3D-CRT plan that was covered by a mean dose of 44.3 </w:t>
      </w:r>
      <w:r w:rsidRPr="00737872">
        <w:rPr>
          <w:rFonts w:ascii="Times New Roman" w:hAnsi="Times New Roman" w:cs="Times New Roman"/>
          <w:b/>
          <w:bCs/>
          <w:sz w:val="20"/>
          <w:szCs w:val="20"/>
        </w:rPr>
        <w:t>±</w:t>
      </w:r>
      <w:r w:rsidRPr="00737872">
        <w:rPr>
          <w:rFonts w:ascii="Times New Roman" w:hAnsi="Times New Roman" w:cs="Times New Roman"/>
          <w:sz w:val="20"/>
          <w:szCs w:val="20"/>
        </w:rPr>
        <w:t xml:space="preserve"> 5.6 </w:t>
      </w:r>
      <w:proofErr w:type="spellStart"/>
      <w:r w:rsidRPr="00737872">
        <w:rPr>
          <w:rFonts w:ascii="Times New Roman" w:hAnsi="Times New Roman" w:cs="Times New Roman"/>
          <w:sz w:val="20"/>
          <w:szCs w:val="20"/>
        </w:rPr>
        <w:t>Gy</w:t>
      </w:r>
      <w:proofErr w:type="spellEnd"/>
      <w:r w:rsidRPr="00737872">
        <w:rPr>
          <w:rFonts w:ascii="Times New Roman" w:hAnsi="Times New Roman" w:cs="Times New Roman"/>
          <w:sz w:val="20"/>
          <w:szCs w:val="20"/>
        </w:rPr>
        <w:t xml:space="preserve"> with statistically significant difference (p= 0.001). The mean dose to CTV 59.4 was 62 </w:t>
      </w:r>
      <w:r w:rsidRPr="00737872">
        <w:rPr>
          <w:rFonts w:ascii="Times New Roman" w:hAnsi="Times New Roman" w:cs="Times New Roman"/>
          <w:b/>
          <w:bCs/>
          <w:sz w:val="20"/>
          <w:szCs w:val="20"/>
        </w:rPr>
        <w:t>±</w:t>
      </w:r>
      <w:r w:rsidRPr="00737872">
        <w:rPr>
          <w:rFonts w:ascii="Times New Roman" w:hAnsi="Times New Roman" w:cs="Times New Roman"/>
          <w:sz w:val="20"/>
          <w:szCs w:val="20"/>
        </w:rPr>
        <w:t xml:space="preserve"> 5.57 </w:t>
      </w:r>
      <w:proofErr w:type="spellStart"/>
      <w:r w:rsidRPr="00737872">
        <w:rPr>
          <w:rFonts w:ascii="Times New Roman" w:hAnsi="Times New Roman" w:cs="Times New Roman"/>
          <w:sz w:val="20"/>
          <w:szCs w:val="20"/>
        </w:rPr>
        <w:t>Gy</w:t>
      </w:r>
      <w:proofErr w:type="spellEnd"/>
      <w:r w:rsidRPr="00737872">
        <w:rPr>
          <w:rFonts w:ascii="Times New Roman" w:hAnsi="Times New Roman" w:cs="Times New Roman"/>
          <w:sz w:val="20"/>
          <w:szCs w:val="20"/>
        </w:rPr>
        <w:t xml:space="preserve"> in IMRT and decreased to 51.8 </w:t>
      </w:r>
      <w:r w:rsidRPr="00737872">
        <w:rPr>
          <w:rFonts w:ascii="Times New Roman" w:hAnsi="Times New Roman" w:cs="Times New Roman"/>
          <w:b/>
          <w:bCs/>
          <w:sz w:val="20"/>
          <w:szCs w:val="20"/>
        </w:rPr>
        <w:t xml:space="preserve">± </w:t>
      </w:r>
      <w:r w:rsidRPr="00737872">
        <w:rPr>
          <w:rFonts w:ascii="Times New Roman" w:hAnsi="Times New Roman" w:cs="Times New Roman"/>
          <w:sz w:val="20"/>
          <w:szCs w:val="20"/>
        </w:rPr>
        <w:t xml:space="preserve">1.3Gy in the 3D-CRT with statistically significant difference (p= 0.001). The mean minimum &amp; maximum dose to CTV 59.4 was 39 </w:t>
      </w:r>
      <w:r w:rsidRPr="00737872">
        <w:rPr>
          <w:rFonts w:ascii="Times New Roman" w:hAnsi="Times New Roman" w:cs="Times New Roman"/>
          <w:b/>
          <w:bCs/>
          <w:sz w:val="20"/>
          <w:szCs w:val="20"/>
        </w:rPr>
        <w:t>±</w:t>
      </w:r>
      <w:r w:rsidRPr="00737872">
        <w:rPr>
          <w:rFonts w:ascii="Times New Roman" w:hAnsi="Times New Roman" w:cs="Times New Roman"/>
          <w:sz w:val="20"/>
          <w:szCs w:val="20"/>
        </w:rPr>
        <w:t xml:space="preserve"> 1.17 </w:t>
      </w:r>
      <w:proofErr w:type="spellStart"/>
      <w:r w:rsidRPr="00737872">
        <w:rPr>
          <w:rFonts w:ascii="Times New Roman" w:hAnsi="Times New Roman" w:cs="Times New Roman"/>
          <w:sz w:val="20"/>
          <w:szCs w:val="20"/>
        </w:rPr>
        <w:t>Gy</w:t>
      </w:r>
      <w:proofErr w:type="spellEnd"/>
      <w:r w:rsidRPr="00737872">
        <w:rPr>
          <w:rFonts w:ascii="Times New Roman" w:hAnsi="Times New Roman" w:cs="Times New Roman"/>
          <w:sz w:val="20"/>
          <w:szCs w:val="20"/>
        </w:rPr>
        <w:t xml:space="preserve">, 70 </w:t>
      </w:r>
      <w:r w:rsidRPr="00737872">
        <w:rPr>
          <w:rFonts w:ascii="Times New Roman" w:hAnsi="Times New Roman" w:cs="Times New Roman"/>
          <w:b/>
          <w:bCs/>
          <w:sz w:val="20"/>
          <w:szCs w:val="20"/>
        </w:rPr>
        <w:t>±</w:t>
      </w:r>
      <w:r w:rsidRPr="00737872">
        <w:rPr>
          <w:rFonts w:ascii="Times New Roman" w:hAnsi="Times New Roman" w:cs="Times New Roman"/>
          <w:sz w:val="20"/>
          <w:szCs w:val="20"/>
        </w:rPr>
        <w:t xml:space="preserve"> 5.34 </w:t>
      </w:r>
      <w:proofErr w:type="spellStart"/>
      <w:r w:rsidRPr="00737872">
        <w:rPr>
          <w:rFonts w:ascii="Times New Roman" w:hAnsi="Times New Roman" w:cs="Times New Roman"/>
          <w:sz w:val="20"/>
          <w:szCs w:val="20"/>
        </w:rPr>
        <w:t>Gy</w:t>
      </w:r>
      <w:proofErr w:type="spellEnd"/>
      <w:r w:rsidRPr="00737872">
        <w:rPr>
          <w:rFonts w:ascii="Times New Roman" w:hAnsi="Times New Roman" w:cs="Times New Roman"/>
          <w:sz w:val="20"/>
          <w:szCs w:val="20"/>
        </w:rPr>
        <w:t xml:space="preserve"> in IMRT, while they were 25.8 </w:t>
      </w:r>
      <w:r w:rsidRPr="00737872">
        <w:rPr>
          <w:rFonts w:ascii="Times New Roman" w:hAnsi="Times New Roman" w:cs="Times New Roman"/>
          <w:b/>
          <w:bCs/>
          <w:sz w:val="20"/>
          <w:szCs w:val="20"/>
        </w:rPr>
        <w:t>±</w:t>
      </w:r>
      <w:r w:rsidRPr="00737872">
        <w:rPr>
          <w:rFonts w:ascii="Times New Roman" w:hAnsi="Times New Roman" w:cs="Times New Roman"/>
          <w:sz w:val="20"/>
          <w:szCs w:val="20"/>
        </w:rPr>
        <w:t xml:space="preserve"> 1.67 </w:t>
      </w:r>
      <w:proofErr w:type="spellStart"/>
      <w:r w:rsidRPr="00737872">
        <w:rPr>
          <w:rFonts w:ascii="Times New Roman" w:hAnsi="Times New Roman" w:cs="Times New Roman"/>
          <w:sz w:val="20"/>
          <w:szCs w:val="20"/>
        </w:rPr>
        <w:t>Gy</w:t>
      </w:r>
      <w:proofErr w:type="spellEnd"/>
      <w:r w:rsidRPr="00737872">
        <w:rPr>
          <w:rFonts w:ascii="Times New Roman" w:hAnsi="Times New Roman" w:cs="Times New Roman"/>
          <w:sz w:val="20"/>
          <w:szCs w:val="20"/>
        </w:rPr>
        <w:t xml:space="preserve"> and 64.3 </w:t>
      </w:r>
      <w:r w:rsidRPr="00737872">
        <w:rPr>
          <w:rFonts w:ascii="Times New Roman" w:hAnsi="Times New Roman" w:cs="Times New Roman"/>
          <w:b/>
          <w:bCs/>
          <w:sz w:val="20"/>
          <w:szCs w:val="20"/>
        </w:rPr>
        <w:t xml:space="preserve">± </w:t>
      </w:r>
      <w:r w:rsidRPr="00737872">
        <w:rPr>
          <w:rFonts w:ascii="Times New Roman" w:hAnsi="Times New Roman" w:cs="Times New Roman"/>
          <w:sz w:val="20"/>
          <w:szCs w:val="20"/>
        </w:rPr>
        <w:t>9.58Gy in the 3D-CRT respectively with statistically significant difference (p= 0.001) &amp; (p= 0.004)</w:t>
      </w:r>
      <w:r>
        <w:rPr>
          <w:rFonts w:ascii="Times New Roman" w:hAnsi="Times New Roman" w:cs="Times New Roman"/>
          <w:sz w:val="20"/>
          <w:szCs w:val="20"/>
        </w:rPr>
        <w:t>.</w:t>
      </w:r>
    </w:p>
    <w:p w:rsidR="00AB5C0D" w:rsidRPr="00737872" w:rsidRDefault="003856DC" w:rsidP="00737872">
      <w:pPr>
        <w:bidi w:val="0"/>
        <w:snapToGrid w:val="0"/>
        <w:spacing w:after="0" w:line="240" w:lineRule="auto"/>
        <w:jc w:val="both"/>
        <w:rPr>
          <w:rFonts w:ascii="Times New Roman" w:hAnsi="Times New Roman" w:cs="Times New Roman"/>
          <w:b/>
          <w:bCs/>
          <w:sz w:val="20"/>
          <w:szCs w:val="20"/>
          <w:lang w:bidi="ar-EG"/>
        </w:rPr>
      </w:pPr>
      <w:r w:rsidRPr="00737872">
        <w:rPr>
          <w:rFonts w:ascii="Times New Roman" w:hAnsi="Times New Roman" w:cs="Times New Roman"/>
          <w:b/>
          <w:bCs/>
          <w:i/>
          <w:iCs/>
          <w:sz w:val="20"/>
          <w:szCs w:val="20"/>
        </w:rPr>
        <w:lastRenderedPageBreak/>
        <w:t>Regarding organs at risk:</w:t>
      </w:r>
    </w:p>
    <w:p w:rsidR="00AB5C0D" w:rsidRPr="00737872" w:rsidRDefault="00D264E3" w:rsidP="00737872">
      <w:pPr>
        <w:bidi w:val="0"/>
        <w:snapToGrid w:val="0"/>
        <w:spacing w:after="0" w:line="240" w:lineRule="auto"/>
        <w:ind w:firstLine="425"/>
        <w:jc w:val="both"/>
        <w:rPr>
          <w:rFonts w:ascii="Times New Roman" w:hAnsi="Times New Roman" w:cs="Times New Roman"/>
          <w:b/>
          <w:bCs/>
          <w:i/>
          <w:iCs/>
          <w:sz w:val="20"/>
          <w:szCs w:val="20"/>
          <w:lang w:bidi="ar-EG"/>
        </w:rPr>
      </w:pPr>
      <w:r w:rsidRPr="00737872">
        <w:rPr>
          <w:rFonts w:ascii="Times New Roman" w:hAnsi="Times New Roman" w:cs="Times New Roman"/>
          <w:sz w:val="20"/>
          <w:szCs w:val="20"/>
        </w:rPr>
        <w:t xml:space="preserve">IMRT plans provided significant sparing of critical </w:t>
      </w:r>
      <w:r w:rsidR="00AA2CB1" w:rsidRPr="00737872">
        <w:rPr>
          <w:rFonts w:ascii="Times New Roman" w:hAnsi="Times New Roman" w:cs="Times New Roman"/>
          <w:sz w:val="20"/>
          <w:szCs w:val="20"/>
        </w:rPr>
        <w:t>risk</w:t>
      </w:r>
      <w:r w:rsidRPr="00737872">
        <w:rPr>
          <w:rFonts w:ascii="Times New Roman" w:hAnsi="Times New Roman" w:cs="Times New Roman"/>
          <w:sz w:val="20"/>
          <w:szCs w:val="20"/>
        </w:rPr>
        <w:t xml:space="preserve"> organs</w:t>
      </w:r>
      <w:r w:rsidR="001B3E3A" w:rsidRPr="00737872">
        <w:rPr>
          <w:rFonts w:ascii="Times New Roman" w:hAnsi="Times New Roman" w:cs="Times New Roman"/>
          <w:sz w:val="20"/>
          <w:szCs w:val="20"/>
        </w:rPr>
        <w:t>.</w:t>
      </w:r>
      <w:r w:rsidR="00035FA1" w:rsidRPr="00737872">
        <w:rPr>
          <w:rFonts w:ascii="Times New Roman" w:hAnsi="Times New Roman" w:cs="Times New Roman"/>
          <w:sz w:val="20"/>
          <w:szCs w:val="20"/>
        </w:rPr>
        <w:t xml:space="preserve"> The average maximum spinal cord dose decreased from 54.47Gy in 3D-CRT to39.7 </w:t>
      </w:r>
      <w:proofErr w:type="spellStart"/>
      <w:r w:rsidR="00035FA1" w:rsidRPr="00737872">
        <w:rPr>
          <w:rFonts w:ascii="Times New Roman" w:hAnsi="Times New Roman" w:cs="Times New Roman"/>
          <w:sz w:val="20"/>
          <w:szCs w:val="20"/>
        </w:rPr>
        <w:t>Gyin</w:t>
      </w:r>
      <w:proofErr w:type="spellEnd"/>
      <w:r w:rsidR="00035FA1" w:rsidRPr="00737872">
        <w:rPr>
          <w:rFonts w:ascii="Times New Roman" w:hAnsi="Times New Roman" w:cs="Times New Roman"/>
          <w:sz w:val="20"/>
          <w:szCs w:val="20"/>
        </w:rPr>
        <w:t xml:space="preserve"> IMRT </w:t>
      </w:r>
      <w:r w:rsidR="001B3E3A" w:rsidRPr="00737872">
        <w:rPr>
          <w:rFonts w:ascii="Times New Roman" w:hAnsi="Times New Roman" w:cs="Times New Roman"/>
          <w:sz w:val="20"/>
          <w:szCs w:val="20"/>
        </w:rPr>
        <w:t>with statistically si</w:t>
      </w:r>
      <w:r w:rsidR="00035FA1" w:rsidRPr="00737872">
        <w:rPr>
          <w:rFonts w:ascii="Times New Roman" w:hAnsi="Times New Roman" w:cs="Times New Roman"/>
          <w:sz w:val="20"/>
          <w:szCs w:val="20"/>
        </w:rPr>
        <w:t>gnificant difference (p=0.001)</w:t>
      </w:r>
      <w:r w:rsidR="00737872" w:rsidRPr="00737872">
        <w:rPr>
          <w:rFonts w:ascii="Times New Roman" w:hAnsi="Times New Roman" w:cs="Times New Roman"/>
          <w:sz w:val="20"/>
          <w:szCs w:val="20"/>
        </w:rPr>
        <w:t>,</w:t>
      </w:r>
      <w:r w:rsidR="00737872">
        <w:rPr>
          <w:rFonts w:ascii="Times New Roman" w:hAnsi="Times New Roman" w:cs="Times New Roman"/>
          <w:sz w:val="20"/>
          <w:szCs w:val="20"/>
        </w:rPr>
        <w:t xml:space="preserve"> </w:t>
      </w:r>
      <w:r w:rsidR="00737872" w:rsidRPr="00737872">
        <w:rPr>
          <w:rFonts w:ascii="Times New Roman" w:hAnsi="Times New Roman" w:cs="Times New Roman"/>
          <w:sz w:val="20"/>
          <w:szCs w:val="20"/>
        </w:rPr>
        <w:t>w</w:t>
      </w:r>
      <w:r w:rsidR="00035FA1" w:rsidRPr="00737872">
        <w:rPr>
          <w:rFonts w:ascii="Times New Roman" w:hAnsi="Times New Roman" w:cs="Times New Roman"/>
          <w:sz w:val="20"/>
          <w:szCs w:val="20"/>
        </w:rPr>
        <w:t>hereas</w:t>
      </w:r>
      <w:r w:rsidR="00AA2CB1" w:rsidRPr="00737872">
        <w:rPr>
          <w:rFonts w:ascii="Times New Roman" w:hAnsi="Times New Roman" w:cs="Times New Roman"/>
          <w:sz w:val="20"/>
          <w:szCs w:val="20"/>
        </w:rPr>
        <w:t xml:space="preserve"> mean maximum brain stem dose</w:t>
      </w:r>
      <w:r w:rsidR="00035FA1" w:rsidRPr="00737872">
        <w:rPr>
          <w:rFonts w:ascii="Times New Roman" w:hAnsi="Times New Roman" w:cs="Times New Roman"/>
          <w:sz w:val="20"/>
          <w:szCs w:val="20"/>
        </w:rPr>
        <w:t xml:space="preserve"> decreased from 54.73 </w:t>
      </w:r>
      <w:proofErr w:type="spellStart"/>
      <w:r w:rsidR="00035FA1" w:rsidRPr="00737872">
        <w:rPr>
          <w:rFonts w:ascii="Times New Roman" w:hAnsi="Times New Roman" w:cs="Times New Roman"/>
          <w:sz w:val="20"/>
          <w:szCs w:val="20"/>
        </w:rPr>
        <w:t>Gy</w:t>
      </w:r>
      <w:proofErr w:type="spellEnd"/>
      <w:r w:rsidR="00035FA1" w:rsidRPr="00737872">
        <w:rPr>
          <w:rFonts w:ascii="Times New Roman" w:hAnsi="Times New Roman" w:cs="Times New Roman"/>
          <w:sz w:val="20"/>
          <w:szCs w:val="20"/>
        </w:rPr>
        <w:t xml:space="preserve"> to 51.29Gy</w:t>
      </w:r>
      <w:r w:rsidR="001B3E3A" w:rsidRPr="00737872">
        <w:rPr>
          <w:rFonts w:ascii="Times New Roman" w:hAnsi="Times New Roman" w:cs="Times New Roman"/>
          <w:sz w:val="20"/>
          <w:szCs w:val="20"/>
        </w:rPr>
        <w:t>with statis</w:t>
      </w:r>
      <w:r w:rsidR="00AA2CB1" w:rsidRPr="00737872">
        <w:rPr>
          <w:rFonts w:ascii="Times New Roman" w:hAnsi="Times New Roman" w:cs="Times New Roman"/>
          <w:sz w:val="20"/>
          <w:szCs w:val="20"/>
        </w:rPr>
        <w:t xml:space="preserve">tically significant difference. </w:t>
      </w:r>
      <w:r w:rsidR="001B3E3A" w:rsidRPr="00737872">
        <w:rPr>
          <w:rFonts w:ascii="Times New Roman" w:hAnsi="Times New Roman" w:cs="Times New Roman"/>
          <w:sz w:val="20"/>
          <w:szCs w:val="20"/>
        </w:rPr>
        <w:t xml:space="preserve">(p=0.032). Although maximum doses of optic </w:t>
      </w:r>
      <w:proofErr w:type="spellStart"/>
      <w:r w:rsidR="001B3E3A" w:rsidRPr="00737872">
        <w:rPr>
          <w:rFonts w:ascii="Times New Roman" w:hAnsi="Times New Roman" w:cs="Times New Roman"/>
          <w:sz w:val="20"/>
          <w:szCs w:val="20"/>
        </w:rPr>
        <w:t>chiasma</w:t>
      </w:r>
      <w:proofErr w:type="spellEnd"/>
      <w:r w:rsidR="001B3E3A" w:rsidRPr="00737872">
        <w:rPr>
          <w:rFonts w:ascii="Times New Roman" w:hAnsi="Times New Roman" w:cs="Times New Roman"/>
          <w:sz w:val="20"/>
          <w:szCs w:val="20"/>
        </w:rPr>
        <w:t xml:space="preserve"> as well as </w:t>
      </w:r>
      <w:proofErr w:type="spellStart"/>
      <w:r w:rsidR="001B3E3A" w:rsidRPr="00737872">
        <w:rPr>
          <w:rFonts w:ascii="Times New Roman" w:hAnsi="Times New Roman" w:cs="Times New Roman"/>
          <w:sz w:val="20"/>
          <w:szCs w:val="20"/>
        </w:rPr>
        <w:t>Rt</w:t>
      </w:r>
      <w:proofErr w:type="spellEnd"/>
      <w:r w:rsidR="00BF7D07" w:rsidRPr="00737872">
        <w:rPr>
          <w:rFonts w:ascii="Times New Roman" w:hAnsi="Times New Roman" w:cs="Times New Roman"/>
          <w:sz w:val="20"/>
          <w:szCs w:val="20"/>
          <w:lang w:eastAsia="zh-CN"/>
        </w:rPr>
        <w:t xml:space="preserve"> </w:t>
      </w:r>
      <w:r w:rsidR="00BF7D07" w:rsidRPr="00737872">
        <w:rPr>
          <w:rFonts w:ascii="Times New Roman" w:hAnsi="Times New Roman" w:cs="Times New Roman"/>
          <w:sz w:val="20"/>
          <w:szCs w:val="20"/>
        </w:rPr>
        <w:t xml:space="preserve">&amp; </w:t>
      </w:r>
      <w:r w:rsidR="001B3E3A" w:rsidRPr="00737872">
        <w:rPr>
          <w:rFonts w:ascii="Times New Roman" w:hAnsi="Times New Roman" w:cs="Times New Roman"/>
          <w:sz w:val="20"/>
          <w:szCs w:val="20"/>
        </w:rPr>
        <w:t xml:space="preserve">Lt optic nerves in IMRT plans were lower than that </w:t>
      </w:r>
      <w:r w:rsidR="00AA2CB1" w:rsidRPr="00737872">
        <w:rPr>
          <w:rFonts w:ascii="Times New Roman" w:hAnsi="Times New Roman" w:cs="Times New Roman"/>
          <w:sz w:val="20"/>
          <w:szCs w:val="20"/>
        </w:rPr>
        <w:t xml:space="preserve">in </w:t>
      </w:r>
      <w:r w:rsidR="001B3E3A" w:rsidRPr="00737872">
        <w:rPr>
          <w:rFonts w:ascii="Times New Roman" w:hAnsi="Times New Roman" w:cs="Times New Roman"/>
          <w:sz w:val="20"/>
          <w:szCs w:val="20"/>
        </w:rPr>
        <w:t>3D-CRT</w:t>
      </w:r>
      <w:r w:rsidR="00AA2CB1" w:rsidRPr="00737872">
        <w:rPr>
          <w:rFonts w:ascii="Times New Roman" w:hAnsi="Times New Roman" w:cs="Times New Roman"/>
          <w:sz w:val="20"/>
          <w:szCs w:val="20"/>
        </w:rPr>
        <w:t xml:space="preserve"> plans</w:t>
      </w:r>
      <w:r w:rsidR="001B3E3A" w:rsidRPr="00737872">
        <w:rPr>
          <w:rFonts w:ascii="Times New Roman" w:hAnsi="Times New Roman" w:cs="Times New Roman"/>
          <w:sz w:val="20"/>
          <w:szCs w:val="20"/>
        </w:rPr>
        <w:t xml:space="preserve">, no statistically significant differences were seen in comparison of both plans. IMRT had a great role in parotid glands sparing, it maintained mean dose of both parotid glands below 26 </w:t>
      </w:r>
      <w:proofErr w:type="spellStart"/>
      <w:r w:rsidR="001B3E3A" w:rsidRPr="00737872">
        <w:rPr>
          <w:rFonts w:ascii="Times New Roman" w:hAnsi="Times New Roman" w:cs="Times New Roman"/>
          <w:sz w:val="20"/>
          <w:szCs w:val="20"/>
        </w:rPr>
        <w:t>Gy</w:t>
      </w:r>
      <w:proofErr w:type="spellEnd"/>
      <w:r w:rsidR="001B3E3A" w:rsidRPr="00737872">
        <w:rPr>
          <w:rFonts w:ascii="Times New Roman" w:hAnsi="Times New Roman" w:cs="Times New Roman"/>
          <w:sz w:val="20"/>
          <w:szCs w:val="20"/>
        </w:rPr>
        <w:t>. Mean dose</w:t>
      </w:r>
      <w:r w:rsidR="00AA2CB1" w:rsidRPr="00737872">
        <w:rPr>
          <w:rFonts w:ascii="Times New Roman" w:hAnsi="Times New Roman" w:cs="Times New Roman"/>
          <w:sz w:val="20"/>
          <w:szCs w:val="20"/>
        </w:rPr>
        <w:t>s</w:t>
      </w:r>
      <w:r w:rsidR="001B3E3A" w:rsidRPr="00737872">
        <w:rPr>
          <w:rFonts w:ascii="Times New Roman" w:hAnsi="Times New Roman" w:cs="Times New Roman"/>
          <w:sz w:val="20"/>
          <w:szCs w:val="20"/>
        </w:rPr>
        <w:t xml:space="preserve"> of </w:t>
      </w:r>
      <w:proofErr w:type="spellStart"/>
      <w:r w:rsidR="001B3E3A" w:rsidRPr="00737872">
        <w:rPr>
          <w:rFonts w:ascii="Times New Roman" w:hAnsi="Times New Roman" w:cs="Times New Roman"/>
          <w:sz w:val="20"/>
          <w:szCs w:val="20"/>
        </w:rPr>
        <w:t>Rt</w:t>
      </w:r>
      <w:proofErr w:type="spellEnd"/>
      <w:r w:rsidR="00BF7D07" w:rsidRPr="00737872">
        <w:rPr>
          <w:rFonts w:ascii="Times New Roman" w:hAnsi="Times New Roman" w:cs="Times New Roman"/>
          <w:sz w:val="20"/>
          <w:szCs w:val="20"/>
          <w:lang w:eastAsia="zh-CN"/>
        </w:rPr>
        <w:t xml:space="preserve"> </w:t>
      </w:r>
      <w:r w:rsidR="00BF7D07" w:rsidRPr="00737872">
        <w:rPr>
          <w:rFonts w:ascii="Times New Roman" w:hAnsi="Times New Roman" w:cs="Times New Roman"/>
          <w:sz w:val="20"/>
          <w:szCs w:val="20"/>
        </w:rPr>
        <w:t xml:space="preserve">&amp; </w:t>
      </w:r>
      <w:r w:rsidR="001B3E3A" w:rsidRPr="00737872">
        <w:rPr>
          <w:rFonts w:ascii="Times New Roman" w:hAnsi="Times New Roman" w:cs="Times New Roman"/>
          <w:sz w:val="20"/>
          <w:szCs w:val="20"/>
        </w:rPr>
        <w:t xml:space="preserve">Lt parotid </w:t>
      </w:r>
      <w:r w:rsidR="0076675A" w:rsidRPr="00737872">
        <w:rPr>
          <w:rFonts w:ascii="Times New Roman" w:hAnsi="Times New Roman" w:cs="Times New Roman"/>
          <w:sz w:val="20"/>
          <w:szCs w:val="20"/>
        </w:rPr>
        <w:t xml:space="preserve">in IMRT plans </w:t>
      </w:r>
      <w:r w:rsidR="001B3E3A" w:rsidRPr="00737872">
        <w:rPr>
          <w:rFonts w:ascii="Times New Roman" w:hAnsi="Times New Roman" w:cs="Times New Roman"/>
          <w:sz w:val="20"/>
          <w:szCs w:val="20"/>
        </w:rPr>
        <w:t>w</w:t>
      </w:r>
      <w:r w:rsidR="00AA2CB1" w:rsidRPr="00737872">
        <w:rPr>
          <w:rFonts w:ascii="Times New Roman" w:hAnsi="Times New Roman" w:cs="Times New Roman"/>
          <w:sz w:val="20"/>
          <w:szCs w:val="20"/>
        </w:rPr>
        <w:t>ere</w:t>
      </w:r>
      <w:r w:rsidR="0076675A" w:rsidRPr="00737872">
        <w:rPr>
          <w:rFonts w:ascii="Times New Roman" w:hAnsi="Times New Roman" w:cs="Times New Roman"/>
          <w:sz w:val="20"/>
          <w:szCs w:val="20"/>
        </w:rPr>
        <w:t xml:space="preserve">20 </w:t>
      </w:r>
      <w:r w:rsidR="001B3E3A" w:rsidRPr="00737872">
        <w:rPr>
          <w:rFonts w:ascii="Times New Roman" w:hAnsi="Times New Roman" w:cs="Times New Roman"/>
          <w:sz w:val="20"/>
          <w:szCs w:val="20"/>
        </w:rPr>
        <w:t xml:space="preserve">± 4.77 </w:t>
      </w:r>
      <w:proofErr w:type="spellStart"/>
      <w:r w:rsidR="001B3E3A" w:rsidRPr="00737872">
        <w:rPr>
          <w:rFonts w:ascii="Times New Roman" w:hAnsi="Times New Roman" w:cs="Times New Roman"/>
          <w:sz w:val="20"/>
          <w:szCs w:val="20"/>
        </w:rPr>
        <w:t>Gy</w:t>
      </w:r>
      <w:proofErr w:type="spellEnd"/>
      <w:r w:rsidR="00BF7D07" w:rsidRPr="00737872">
        <w:rPr>
          <w:rFonts w:ascii="Times New Roman" w:hAnsi="Times New Roman" w:cs="Times New Roman"/>
          <w:sz w:val="20"/>
          <w:szCs w:val="20"/>
        </w:rPr>
        <w:t xml:space="preserve"> &amp; </w:t>
      </w:r>
      <w:r w:rsidR="001B3E3A" w:rsidRPr="00737872">
        <w:rPr>
          <w:rFonts w:ascii="Times New Roman" w:hAnsi="Times New Roman" w:cs="Times New Roman"/>
          <w:sz w:val="20"/>
          <w:szCs w:val="20"/>
        </w:rPr>
        <w:t xml:space="preserve">23 ± </w:t>
      </w:r>
      <w:r w:rsidR="0076675A" w:rsidRPr="00737872">
        <w:rPr>
          <w:rFonts w:ascii="Times New Roman" w:hAnsi="Times New Roman" w:cs="Times New Roman"/>
          <w:sz w:val="20"/>
          <w:szCs w:val="20"/>
        </w:rPr>
        <w:t xml:space="preserve">2.16 </w:t>
      </w:r>
      <w:r w:rsidR="001B3E3A" w:rsidRPr="00737872">
        <w:rPr>
          <w:rFonts w:ascii="Times New Roman" w:hAnsi="Times New Roman" w:cs="Times New Roman"/>
          <w:sz w:val="20"/>
          <w:szCs w:val="20"/>
        </w:rPr>
        <w:t>whereas in 3D-CRT plans, mean dose</w:t>
      </w:r>
      <w:r w:rsidR="00AA2CB1" w:rsidRPr="00737872">
        <w:rPr>
          <w:rFonts w:ascii="Times New Roman" w:hAnsi="Times New Roman" w:cs="Times New Roman"/>
          <w:sz w:val="20"/>
          <w:szCs w:val="20"/>
        </w:rPr>
        <w:t>s</w:t>
      </w:r>
      <w:r w:rsidR="001B3E3A" w:rsidRPr="00737872">
        <w:rPr>
          <w:rFonts w:ascii="Times New Roman" w:hAnsi="Times New Roman" w:cs="Times New Roman"/>
          <w:sz w:val="20"/>
          <w:szCs w:val="20"/>
        </w:rPr>
        <w:t xml:space="preserve"> w</w:t>
      </w:r>
      <w:r w:rsidR="00AA2CB1" w:rsidRPr="00737872">
        <w:rPr>
          <w:rFonts w:ascii="Times New Roman" w:hAnsi="Times New Roman" w:cs="Times New Roman"/>
          <w:sz w:val="20"/>
          <w:szCs w:val="20"/>
        </w:rPr>
        <w:t>ere</w:t>
      </w:r>
      <w:r w:rsidR="0076675A" w:rsidRPr="00737872">
        <w:rPr>
          <w:rFonts w:ascii="Times New Roman" w:hAnsi="Times New Roman" w:cs="Times New Roman"/>
          <w:sz w:val="20"/>
          <w:szCs w:val="20"/>
        </w:rPr>
        <w:t>61.51</w:t>
      </w:r>
      <w:r w:rsidR="001B3E3A" w:rsidRPr="00737872">
        <w:rPr>
          <w:rFonts w:ascii="Times New Roman" w:hAnsi="Times New Roman" w:cs="Times New Roman"/>
          <w:sz w:val="20"/>
          <w:szCs w:val="20"/>
        </w:rPr>
        <w:t xml:space="preserve"> ± </w:t>
      </w:r>
      <w:r w:rsidR="0076675A" w:rsidRPr="00737872">
        <w:rPr>
          <w:rFonts w:ascii="Times New Roman" w:hAnsi="Times New Roman" w:cs="Times New Roman"/>
          <w:sz w:val="20"/>
          <w:szCs w:val="20"/>
        </w:rPr>
        <w:t xml:space="preserve">6.75 </w:t>
      </w:r>
      <w:proofErr w:type="spellStart"/>
      <w:r w:rsidR="001B3E3A" w:rsidRPr="00737872">
        <w:rPr>
          <w:rFonts w:ascii="Times New Roman" w:hAnsi="Times New Roman" w:cs="Times New Roman"/>
          <w:sz w:val="20"/>
          <w:szCs w:val="20"/>
        </w:rPr>
        <w:t>Gy</w:t>
      </w:r>
      <w:proofErr w:type="spellEnd"/>
      <w:r w:rsidR="00BF7D07" w:rsidRPr="00737872">
        <w:rPr>
          <w:rFonts w:ascii="Times New Roman" w:hAnsi="Times New Roman" w:cs="Times New Roman"/>
          <w:sz w:val="20"/>
          <w:szCs w:val="20"/>
        </w:rPr>
        <w:t xml:space="preserve"> &amp; </w:t>
      </w:r>
      <w:r w:rsidR="0076675A" w:rsidRPr="00737872">
        <w:rPr>
          <w:rFonts w:ascii="Times New Roman" w:hAnsi="Times New Roman" w:cs="Times New Roman"/>
          <w:sz w:val="20"/>
          <w:szCs w:val="20"/>
        </w:rPr>
        <w:t xml:space="preserve">56.44 ± 17.93 </w:t>
      </w:r>
      <w:proofErr w:type="spellStart"/>
      <w:r w:rsidR="0076675A" w:rsidRPr="00737872">
        <w:rPr>
          <w:rFonts w:ascii="Times New Roman" w:hAnsi="Times New Roman" w:cs="Times New Roman"/>
          <w:sz w:val="20"/>
          <w:szCs w:val="20"/>
        </w:rPr>
        <w:t>Gy</w:t>
      </w:r>
      <w:proofErr w:type="spellEnd"/>
      <w:r w:rsidR="00AA2CB1" w:rsidRPr="00737872">
        <w:rPr>
          <w:rFonts w:ascii="Times New Roman" w:hAnsi="Times New Roman" w:cs="Times New Roman"/>
          <w:sz w:val="20"/>
          <w:szCs w:val="20"/>
        </w:rPr>
        <w:t xml:space="preserve"> respectively </w:t>
      </w:r>
      <w:r w:rsidR="001B3E3A" w:rsidRPr="00737872">
        <w:rPr>
          <w:rFonts w:ascii="Times New Roman" w:hAnsi="Times New Roman" w:cs="Times New Roman"/>
          <w:sz w:val="20"/>
          <w:szCs w:val="20"/>
        </w:rPr>
        <w:t>with statistically sig</w:t>
      </w:r>
      <w:r w:rsidR="00035FA1" w:rsidRPr="00737872">
        <w:rPr>
          <w:rFonts w:ascii="Times New Roman" w:hAnsi="Times New Roman" w:cs="Times New Roman"/>
          <w:sz w:val="20"/>
          <w:szCs w:val="20"/>
        </w:rPr>
        <w:t>nificant difference. (p=0.001)</w:t>
      </w:r>
      <w:r w:rsidR="00737872">
        <w:rPr>
          <w:rFonts w:ascii="Times New Roman" w:hAnsi="Times New Roman" w:cs="Times New Roman" w:hint="eastAsia"/>
          <w:sz w:val="20"/>
          <w:szCs w:val="20"/>
          <w:lang w:eastAsia="zh-CN"/>
        </w:rPr>
        <w:t>.</w:t>
      </w:r>
      <w:r w:rsidR="00035FA1" w:rsidRPr="00737872">
        <w:rPr>
          <w:rFonts w:ascii="Times New Roman" w:hAnsi="Times New Roman" w:cs="Times New Roman"/>
          <w:sz w:val="20"/>
          <w:szCs w:val="20"/>
        </w:rPr>
        <w:t xml:space="preserve"> </w:t>
      </w:r>
      <w:r w:rsidR="00035FA1" w:rsidRPr="00737872">
        <w:rPr>
          <w:rFonts w:ascii="Times New Roman" w:hAnsi="Times New Roman" w:cs="Times New Roman"/>
          <w:b/>
          <w:bCs/>
          <w:i/>
          <w:iCs/>
          <w:sz w:val="20"/>
          <w:szCs w:val="20"/>
        </w:rPr>
        <w:t>(T</w:t>
      </w:r>
      <w:r w:rsidR="0076675A" w:rsidRPr="00737872">
        <w:rPr>
          <w:rFonts w:ascii="Times New Roman" w:hAnsi="Times New Roman" w:cs="Times New Roman"/>
          <w:b/>
          <w:bCs/>
          <w:i/>
          <w:iCs/>
          <w:sz w:val="20"/>
          <w:szCs w:val="20"/>
        </w:rPr>
        <w:t xml:space="preserve">able </w:t>
      </w:r>
      <w:r w:rsidR="004275D6" w:rsidRPr="00737872">
        <w:rPr>
          <w:rFonts w:ascii="Times New Roman" w:hAnsi="Times New Roman" w:cs="Times New Roman"/>
          <w:b/>
          <w:bCs/>
          <w:i/>
          <w:iCs/>
          <w:sz w:val="20"/>
          <w:szCs w:val="20"/>
        </w:rPr>
        <w:t>5</w:t>
      </w:r>
      <w:r w:rsidR="00035FA1" w:rsidRPr="00737872">
        <w:rPr>
          <w:rFonts w:ascii="Times New Roman" w:hAnsi="Times New Roman" w:cs="Times New Roman"/>
          <w:b/>
          <w:bCs/>
          <w:i/>
          <w:iCs/>
          <w:sz w:val="20"/>
          <w:szCs w:val="20"/>
        </w:rPr>
        <w:t>)</w:t>
      </w:r>
    </w:p>
    <w:p w:rsidR="00737872" w:rsidRDefault="00737872" w:rsidP="00737872">
      <w:pPr>
        <w:bidi w:val="0"/>
        <w:snapToGrid w:val="0"/>
        <w:spacing w:after="0" w:line="240" w:lineRule="auto"/>
        <w:jc w:val="both"/>
        <w:rPr>
          <w:rFonts w:ascii="Times New Roman" w:hAnsi="Times New Roman" w:cs="Times New Roman"/>
          <w:b/>
          <w:bCs/>
          <w:i/>
          <w:iCs/>
          <w:sz w:val="20"/>
          <w:szCs w:val="20"/>
        </w:rPr>
        <w:sectPr w:rsidR="00737872" w:rsidSect="00737872">
          <w:type w:val="continuous"/>
          <w:pgSz w:w="12242" w:h="15842" w:code="1"/>
          <w:pgMar w:top="1440" w:right="1440" w:bottom="1440" w:left="1440" w:header="720" w:footer="720" w:gutter="0"/>
          <w:cols w:num="2" w:space="550"/>
          <w:docGrid w:linePitch="360"/>
        </w:sectPr>
      </w:pPr>
    </w:p>
    <w:p w:rsidR="00BF7D07" w:rsidRPr="00737872" w:rsidRDefault="00BF7D07" w:rsidP="00737872">
      <w:pPr>
        <w:bidi w:val="0"/>
        <w:snapToGrid w:val="0"/>
        <w:spacing w:after="0" w:line="240" w:lineRule="auto"/>
        <w:jc w:val="both"/>
        <w:rPr>
          <w:rFonts w:ascii="Times New Roman" w:hAnsi="Times New Roman" w:cs="Times New Roman"/>
          <w:b/>
          <w:bCs/>
          <w:i/>
          <w:iCs/>
          <w:sz w:val="20"/>
          <w:szCs w:val="20"/>
        </w:rPr>
      </w:pPr>
    </w:p>
    <w:p w:rsidR="003856DC" w:rsidRPr="00737872" w:rsidRDefault="0076675A" w:rsidP="00737872">
      <w:pPr>
        <w:bidi w:val="0"/>
        <w:snapToGrid w:val="0"/>
        <w:spacing w:after="0" w:line="240" w:lineRule="auto"/>
        <w:jc w:val="center"/>
        <w:rPr>
          <w:rFonts w:ascii="Times New Roman" w:hAnsi="Times New Roman" w:cs="Times New Roman"/>
          <w:sz w:val="20"/>
          <w:szCs w:val="20"/>
          <w:lang w:bidi="ar-EG"/>
        </w:rPr>
      </w:pPr>
      <w:r w:rsidRPr="00737872">
        <w:rPr>
          <w:rFonts w:ascii="Times New Roman" w:hAnsi="Times New Roman" w:cs="Times New Roman"/>
          <w:b/>
          <w:bCs/>
          <w:sz w:val="20"/>
          <w:szCs w:val="20"/>
        </w:rPr>
        <w:t>Table (</w:t>
      </w:r>
      <w:r w:rsidR="004275D6" w:rsidRPr="00737872">
        <w:rPr>
          <w:rFonts w:ascii="Times New Roman" w:hAnsi="Times New Roman" w:cs="Times New Roman"/>
          <w:b/>
          <w:bCs/>
          <w:sz w:val="20"/>
          <w:szCs w:val="20"/>
        </w:rPr>
        <w:t>5</w:t>
      </w:r>
      <w:r w:rsidRPr="00737872">
        <w:rPr>
          <w:rFonts w:ascii="Times New Roman" w:hAnsi="Times New Roman" w:cs="Times New Roman"/>
          <w:b/>
          <w:bCs/>
          <w:sz w:val="20"/>
          <w:szCs w:val="20"/>
        </w:rPr>
        <w:t>)</w:t>
      </w:r>
      <w:r w:rsidR="00737872" w:rsidRPr="00737872">
        <w:rPr>
          <w:rFonts w:ascii="Times New Roman" w:hAnsi="Times New Roman" w:cs="Times New Roman"/>
          <w:b/>
          <w:bCs/>
          <w:sz w:val="20"/>
          <w:szCs w:val="20"/>
        </w:rPr>
        <w:t>:</w:t>
      </w:r>
      <w:r w:rsidR="00737872">
        <w:rPr>
          <w:rFonts w:ascii="Times New Roman" w:hAnsi="Times New Roman" w:cs="Times New Roman"/>
          <w:b/>
          <w:bCs/>
          <w:sz w:val="20"/>
          <w:szCs w:val="20"/>
        </w:rPr>
        <w:t xml:space="preserve"> </w:t>
      </w:r>
      <w:r w:rsidR="00737872" w:rsidRPr="00737872">
        <w:rPr>
          <w:rFonts w:ascii="Times New Roman" w:hAnsi="Times New Roman" w:cs="Times New Roman"/>
          <w:sz w:val="20"/>
          <w:szCs w:val="20"/>
        </w:rPr>
        <w:t>D</w:t>
      </w:r>
      <w:r w:rsidRPr="00737872">
        <w:rPr>
          <w:rFonts w:ascii="Times New Roman" w:hAnsi="Times New Roman" w:cs="Times New Roman"/>
          <w:sz w:val="20"/>
          <w:szCs w:val="20"/>
        </w:rPr>
        <w:t>ose-volume statistics derived from dose–volume histograms (</w:t>
      </w:r>
      <w:proofErr w:type="spellStart"/>
      <w:r w:rsidRPr="00737872">
        <w:rPr>
          <w:rFonts w:ascii="Times New Roman" w:hAnsi="Times New Roman" w:cs="Times New Roman"/>
          <w:sz w:val="20"/>
          <w:szCs w:val="20"/>
        </w:rPr>
        <w:t>DVHs</w:t>
      </w:r>
      <w:proofErr w:type="spellEnd"/>
      <w:r w:rsidRPr="00737872">
        <w:rPr>
          <w:rFonts w:ascii="Times New Roman" w:hAnsi="Times New Roman" w:cs="Times New Roman"/>
          <w:sz w:val="20"/>
          <w:szCs w:val="20"/>
        </w:rPr>
        <w:t>) for organs at risk</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000"/>
      </w:tblPr>
      <w:tblGrid>
        <w:gridCol w:w="2543"/>
        <w:gridCol w:w="1365"/>
        <w:gridCol w:w="733"/>
        <w:gridCol w:w="279"/>
        <w:gridCol w:w="735"/>
        <w:gridCol w:w="785"/>
        <w:gridCol w:w="292"/>
        <w:gridCol w:w="733"/>
        <w:gridCol w:w="995"/>
        <w:gridCol w:w="1016"/>
      </w:tblGrid>
      <w:tr w:rsidR="00BF7D07" w:rsidRPr="00737872" w:rsidTr="00BF7D07">
        <w:trPr>
          <w:jc w:val="center"/>
        </w:trPr>
        <w:tc>
          <w:tcPr>
            <w:tcW w:w="2061" w:type="pct"/>
            <w:gridSpan w:val="2"/>
            <w:tcBorders>
              <w:top w:val="single" w:sz="4" w:space="0" w:color="auto"/>
              <w:left w:val="single" w:sz="4" w:space="0" w:color="auto"/>
              <w:bottom w:val="single" w:sz="4" w:space="0" w:color="auto"/>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lang w:bidi="ar-EG"/>
              </w:rPr>
            </w:pPr>
          </w:p>
        </w:tc>
        <w:tc>
          <w:tcPr>
            <w:tcW w:w="922" w:type="pct"/>
            <w:gridSpan w:val="3"/>
            <w:tcBorders>
              <w:top w:val="single" w:sz="4" w:space="0" w:color="auto"/>
              <w:bottom w:val="double" w:sz="4" w:space="0" w:color="auto"/>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Range</w:t>
            </w:r>
          </w:p>
        </w:tc>
        <w:tc>
          <w:tcPr>
            <w:tcW w:w="414" w:type="pct"/>
            <w:tcBorders>
              <w:top w:val="single" w:sz="4" w:space="0" w:color="auto"/>
              <w:bottom w:val="double" w:sz="4" w:space="0" w:color="auto"/>
              <w:righ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Mean</w:t>
            </w:r>
          </w:p>
        </w:tc>
        <w:tc>
          <w:tcPr>
            <w:tcW w:w="154" w:type="pct"/>
            <w:tcBorders>
              <w:top w:val="single" w:sz="4" w:space="0" w:color="auto"/>
              <w:left w:val="nil"/>
              <w:bottom w:val="double" w:sz="4" w:space="0" w:color="auto"/>
              <w:righ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w:t>
            </w:r>
          </w:p>
        </w:tc>
        <w:tc>
          <w:tcPr>
            <w:tcW w:w="387" w:type="pct"/>
            <w:tcBorders>
              <w:top w:val="single" w:sz="4" w:space="0" w:color="auto"/>
              <w:left w:val="nil"/>
              <w:bottom w:val="double" w:sz="4" w:space="0" w:color="auto"/>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S. D</w:t>
            </w:r>
          </w:p>
        </w:tc>
        <w:tc>
          <w:tcPr>
            <w:tcW w:w="525" w:type="pct"/>
            <w:tcBorders>
              <w:top w:val="single" w:sz="4" w:space="0" w:color="auto"/>
              <w:left w:val="nil"/>
              <w:bottom w:val="double" w:sz="4" w:space="0" w:color="auto"/>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t. test</w:t>
            </w:r>
          </w:p>
        </w:tc>
        <w:tc>
          <w:tcPr>
            <w:tcW w:w="536" w:type="pct"/>
            <w:tcBorders>
              <w:top w:val="single" w:sz="4" w:space="0" w:color="auto"/>
              <w:left w:val="nil"/>
              <w:bottom w:val="double" w:sz="4" w:space="0" w:color="auto"/>
              <w:right w:val="single" w:sz="4" w:space="0" w:color="auto"/>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p. value</w:t>
            </w:r>
          </w:p>
        </w:tc>
      </w:tr>
      <w:tr w:rsidR="00BF7D07" w:rsidRPr="00737872" w:rsidTr="00BF7D07">
        <w:trPr>
          <w:jc w:val="center"/>
        </w:trPr>
        <w:tc>
          <w:tcPr>
            <w:tcW w:w="1342" w:type="pct"/>
            <w:vMerge w:val="restart"/>
            <w:tcBorders>
              <w:top w:val="single" w:sz="4" w:space="0" w:color="auto"/>
              <w:left w:val="single" w:sz="4" w:space="0" w:color="auto"/>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proofErr w:type="spellStart"/>
            <w:r w:rsidRPr="00737872">
              <w:rPr>
                <w:rFonts w:ascii="Times New Roman" w:hAnsi="Times New Roman" w:cs="Times New Roman"/>
                <w:b/>
                <w:bCs/>
                <w:sz w:val="19"/>
                <w:szCs w:val="19"/>
              </w:rPr>
              <w:t>Dmax</w:t>
            </w:r>
            <w:proofErr w:type="spellEnd"/>
            <w:r w:rsidRPr="00737872">
              <w:rPr>
                <w:rFonts w:ascii="Times New Roman" w:hAnsi="Times New Roman" w:cs="Times New Roman"/>
                <w:b/>
                <w:bCs/>
                <w:sz w:val="19"/>
                <w:szCs w:val="19"/>
              </w:rPr>
              <w:t xml:space="preserve"> spinal cord</w:t>
            </w:r>
          </w:p>
        </w:tc>
        <w:tc>
          <w:tcPr>
            <w:tcW w:w="720" w:type="pct"/>
            <w:tcBorders>
              <w:top w:val="single" w:sz="4" w:space="0" w:color="auto"/>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IMRT</w:t>
            </w:r>
          </w:p>
        </w:tc>
        <w:tc>
          <w:tcPr>
            <w:tcW w:w="387" w:type="pct"/>
            <w:tcBorders>
              <w:top w:val="single" w:sz="4" w:space="0" w:color="auto"/>
              <w:righ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37</w:t>
            </w:r>
          </w:p>
        </w:tc>
        <w:tc>
          <w:tcPr>
            <w:tcW w:w="147" w:type="pct"/>
            <w:tcBorders>
              <w:top w:val="single" w:sz="4" w:space="0" w:color="auto"/>
              <w:left w:val="nil"/>
              <w:righ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w:t>
            </w:r>
          </w:p>
        </w:tc>
        <w:tc>
          <w:tcPr>
            <w:tcW w:w="387" w:type="pct"/>
            <w:tcBorders>
              <w:top w:val="single" w:sz="4" w:space="0" w:color="auto"/>
              <w:left w:val="nil"/>
            </w:tcBorders>
            <w:shd w:val="clear" w:color="000000" w:fill="FFFFFF"/>
            <w:vAlign w:val="center"/>
          </w:tcPr>
          <w:p w:rsidR="003856DC" w:rsidRPr="00737872" w:rsidRDefault="0076675A"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45</w:t>
            </w:r>
          </w:p>
        </w:tc>
        <w:tc>
          <w:tcPr>
            <w:tcW w:w="414" w:type="pct"/>
            <w:tcBorders>
              <w:top w:val="single" w:sz="4" w:space="0" w:color="auto"/>
              <w:right w:val="nil"/>
            </w:tcBorders>
            <w:shd w:val="clear" w:color="000000" w:fill="FFFFFF"/>
            <w:vAlign w:val="center"/>
          </w:tcPr>
          <w:p w:rsidR="003856DC" w:rsidRPr="00737872" w:rsidRDefault="0076675A"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39</w:t>
            </w:r>
          </w:p>
        </w:tc>
        <w:tc>
          <w:tcPr>
            <w:tcW w:w="154" w:type="pct"/>
            <w:tcBorders>
              <w:top w:val="single" w:sz="4" w:space="0" w:color="auto"/>
              <w:left w:val="nil"/>
              <w:righ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w:t>
            </w:r>
          </w:p>
        </w:tc>
        <w:tc>
          <w:tcPr>
            <w:tcW w:w="387" w:type="pct"/>
            <w:tcBorders>
              <w:top w:val="single" w:sz="4" w:space="0" w:color="auto"/>
              <w:left w:val="nil"/>
            </w:tcBorders>
            <w:shd w:val="clear" w:color="000000" w:fill="FFFFFF"/>
            <w:vAlign w:val="center"/>
          </w:tcPr>
          <w:p w:rsidR="003856DC" w:rsidRPr="00737872" w:rsidRDefault="0076675A"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4</w:t>
            </w:r>
            <w:r w:rsidR="003856DC" w:rsidRPr="00737872">
              <w:rPr>
                <w:rFonts w:ascii="Times New Roman" w:hAnsi="Times New Roman" w:cs="Times New Roman"/>
                <w:b/>
                <w:bCs/>
                <w:sz w:val="19"/>
                <w:szCs w:val="19"/>
              </w:rPr>
              <w:t>.77</w:t>
            </w:r>
          </w:p>
        </w:tc>
        <w:tc>
          <w:tcPr>
            <w:tcW w:w="525" w:type="pct"/>
            <w:vMerge w:val="restart"/>
            <w:tcBorders>
              <w:top w:val="single" w:sz="4" w:space="0" w:color="auto"/>
              <w:lef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64.583</w:t>
            </w:r>
          </w:p>
        </w:tc>
        <w:tc>
          <w:tcPr>
            <w:tcW w:w="536" w:type="pct"/>
            <w:vMerge w:val="restart"/>
            <w:tcBorders>
              <w:top w:val="single" w:sz="4" w:space="0" w:color="auto"/>
              <w:left w:val="nil"/>
              <w:right w:val="single" w:sz="4" w:space="0" w:color="auto"/>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0.001*</w:t>
            </w:r>
          </w:p>
        </w:tc>
      </w:tr>
      <w:tr w:rsidR="00BF7D07" w:rsidRPr="00737872" w:rsidTr="00BF7D07">
        <w:trPr>
          <w:jc w:val="center"/>
        </w:trPr>
        <w:tc>
          <w:tcPr>
            <w:tcW w:w="1342" w:type="pct"/>
            <w:vMerge/>
            <w:tcBorders>
              <w:left w:val="single" w:sz="4" w:space="0" w:color="auto"/>
              <w:bottom w:val="single" w:sz="4" w:space="0" w:color="auto"/>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p>
        </w:tc>
        <w:tc>
          <w:tcPr>
            <w:tcW w:w="720" w:type="pct"/>
            <w:tcBorders>
              <w:bottom w:val="single" w:sz="4" w:space="0" w:color="auto"/>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Conformal</w:t>
            </w:r>
          </w:p>
        </w:tc>
        <w:tc>
          <w:tcPr>
            <w:tcW w:w="387" w:type="pct"/>
            <w:tcBorders>
              <w:bottom w:val="single" w:sz="4" w:space="0" w:color="auto"/>
              <w:righ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44.4</w:t>
            </w:r>
          </w:p>
        </w:tc>
        <w:tc>
          <w:tcPr>
            <w:tcW w:w="147" w:type="pct"/>
            <w:tcBorders>
              <w:left w:val="nil"/>
              <w:bottom w:val="single" w:sz="4" w:space="0" w:color="auto"/>
              <w:righ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w:t>
            </w:r>
          </w:p>
        </w:tc>
        <w:tc>
          <w:tcPr>
            <w:tcW w:w="387" w:type="pct"/>
            <w:tcBorders>
              <w:left w:val="nil"/>
              <w:bottom w:val="single" w:sz="4" w:space="0" w:color="auto"/>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66</w:t>
            </w:r>
          </w:p>
        </w:tc>
        <w:tc>
          <w:tcPr>
            <w:tcW w:w="414" w:type="pct"/>
            <w:tcBorders>
              <w:bottom w:val="single" w:sz="4" w:space="0" w:color="auto"/>
              <w:righ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54.47</w:t>
            </w:r>
          </w:p>
        </w:tc>
        <w:tc>
          <w:tcPr>
            <w:tcW w:w="154" w:type="pct"/>
            <w:tcBorders>
              <w:left w:val="nil"/>
              <w:bottom w:val="single" w:sz="4" w:space="0" w:color="auto"/>
              <w:righ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w:t>
            </w:r>
          </w:p>
        </w:tc>
        <w:tc>
          <w:tcPr>
            <w:tcW w:w="387" w:type="pct"/>
            <w:tcBorders>
              <w:left w:val="nil"/>
              <w:bottom w:val="single" w:sz="4" w:space="0" w:color="auto"/>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6.30</w:t>
            </w:r>
          </w:p>
        </w:tc>
        <w:tc>
          <w:tcPr>
            <w:tcW w:w="525" w:type="pct"/>
            <w:vMerge/>
            <w:tcBorders>
              <w:left w:val="nil"/>
              <w:bottom w:val="single" w:sz="4" w:space="0" w:color="auto"/>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p>
        </w:tc>
        <w:tc>
          <w:tcPr>
            <w:tcW w:w="536" w:type="pct"/>
            <w:vMerge/>
            <w:tcBorders>
              <w:left w:val="nil"/>
              <w:bottom w:val="single" w:sz="4" w:space="0" w:color="auto"/>
              <w:right w:val="single" w:sz="4" w:space="0" w:color="auto"/>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p>
        </w:tc>
      </w:tr>
      <w:tr w:rsidR="00BF7D07" w:rsidRPr="00737872" w:rsidTr="00BF7D07">
        <w:trPr>
          <w:jc w:val="center"/>
        </w:trPr>
        <w:tc>
          <w:tcPr>
            <w:tcW w:w="1342" w:type="pct"/>
            <w:vMerge w:val="restart"/>
            <w:tcBorders>
              <w:top w:val="single" w:sz="4" w:space="0" w:color="auto"/>
              <w:left w:val="single" w:sz="4" w:space="0" w:color="auto"/>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proofErr w:type="spellStart"/>
            <w:r w:rsidRPr="00737872">
              <w:rPr>
                <w:rFonts w:ascii="Times New Roman" w:hAnsi="Times New Roman" w:cs="Times New Roman"/>
                <w:b/>
                <w:bCs/>
                <w:sz w:val="19"/>
                <w:szCs w:val="19"/>
              </w:rPr>
              <w:t>Dmax</w:t>
            </w:r>
            <w:proofErr w:type="spellEnd"/>
            <w:r w:rsidRPr="00737872">
              <w:rPr>
                <w:rFonts w:ascii="Times New Roman" w:hAnsi="Times New Roman" w:cs="Times New Roman"/>
                <w:b/>
                <w:bCs/>
                <w:sz w:val="19"/>
                <w:szCs w:val="19"/>
              </w:rPr>
              <w:t xml:space="preserve"> brain stem</w:t>
            </w:r>
          </w:p>
        </w:tc>
        <w:tc>
          <w:tcPr>
            <w:tcW w:w="720" w:type="pct"/>
            <w:tcBorders>
              <w:top w:val="single" w:sz="4" w:space="0" w:color="auto"/>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IMRT</w:t>
            </w:r>
          </w:p>
        </w:tc>
        <w:tc>
          <w:tcPr>
            <w:tcW w:w="387" w:type="pct"/>
            <w:tcBorders>
              <w:top w:val="single" w:sz="4" w:space="0" w:color="auto"/>
              <w:righ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43</w:t>
            </w:r>
          </w:p>
        </w:tc>
        <w:tc>
          <w:tcPr>
            <w:tcW w:w="147" w:type="pct"/>
            <w:tcBorders>
              <w:top w:val="single" w:sz="4" w:space="0" w:color="auto"/>
              <w:left w:val="nil"/>
              <w:righ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w:t>
            </w:r>
          </w:p>
        </w:tc>
        <w:tc>
          <w:tcPr>
            <w:tcW w:w="387" w:type="pct"/>
            <w:tcBorders>
              <w:top w:val="single" w:sz="4" w:space="0" w:color="auto"/>
              <w:lef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54</w:t>
            </w:r>
          </w:p>
        </w:tc>
        <w:tc>
          <w:tcPr>
            <w:tcW w:w="414" w:type="pct"/>
            <w:tcBorders>
              <w:top w:val="single" w:sz="4" w:space="0" w:color="auto"/>
              <w:righ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51.29</w:t>
            </w:r>
          </w:p>
        </w:tc>
        <w:tc>
          <w:tcPr>
            <w:tcW w:w="154" w:type="pct"/>
            <w:tcBorders>
              <w:top w:val="single" w:sz="4" w:space="0" w:color="auto"/>
              <w:left w:val="nil"/>
              <w:righ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w:t>
            </w:r>
          </w:p>
        </w:tc>
        <w:tc>
          <w:tcPr>
            <w:tcW w:w="387" w:type="pct"/>
            <w:tcBorders>
              <w:top w:val="single" w:sz="4" w:space="0" w:color="auto"/>
              <w:left w:val="nil"/>
            </w:tcBorders>
            <w:shd w:val="clear" w:color="000000" w:fill="FFFFFF"/>
            <w:vAlign w:val="center"/>
          </w:tcPr>
          <w:p w:rsidR="003856DC" w:rsidRPr="00737872" w:rsidRDefault="0076675A"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2</w:t>
            </w:r>
            <w:r w:rsidR="003856DC" w:rsidRPr="00737872">
              <w:rPr>
                <w:rFonts w:ascii="Times New Roman" w:hAnsi="Times New Roman" w:cs="Times New Roman"/>
                <w:b/>
                <w:bCs/>
                <w:sz w:val="19"/>
                <w:szCs w:val="19"/>
              </w:rPr>
              <w:t>.01</w:t>
            </w:r>
          </w:p>
        </w:tc>
        <w:tc>
          <w:tcPr>
            <w:tcW w:w="525" w:type="pct"/>
            <w:vMerge w:val="restart"/>
            <w:tcBorders>
              <w:top w:val="single" w:sz="4" w:space="0" w:color="auto"/>
              <w:lef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3.923</w:t>
            </w:r>
          </w:p>
        </w:tc>
        <w:tc>
          <w:tcPr>
            <w:tcW w:w="536" w:type="pct"/>
            <w:vMerge w:val="restart"/>
            <w:tcBorders>
              <w:top w:val="single" w:sz="4" w:space="0" w:color="auto"/>
              <w:left w:val="nil"/>
              <w:right w:val="single" w:sz="4" w:space="0" w:color="auto"/>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0.032*</w:t>
            </w:r>
          </w:p>
        </w:tc>
      </w:tr>
      <w:tr w:rsidR="00BF7D07" w:rsidRPr="00737872" w:rsidTr="00BF7D07">
        <w:trPr>
          <w:jc w:val="center"/>
        </w:trPr>
        <w:tc>
          <w:tcPr>
            <w:tcW w:w="1342" w:type="pct"/>
            <w:vMerge/>
            <w:tcBorders>
              <w:left w:val="single" w:sz="4" w:space="0" w:color="auto"/>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p>
        </w:tc>
        <w:tc>
          <w:tcPr>
            <w:tcW w:w="720" w:type="pct"/>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Conformal</w:t>
            </w:r>
          </w:p>
        </w:tc>
        <w:tc>
          <w:tcPr>
            <w:tcW w:w="387" w:type="pct"/>
            <w:tcBorders>
              <w:righ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37.4</w:t>
            </w:r>
          </w:p>
        </w:tc>
        <w:tc>
          <w:tcPr>
            <w:tcW w:w="147" w:type="pct"/>
            <w:tcBorders>
              <w:left w:val="nil"/>
              <w:righ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w:t>
            </w:r>
          </w:p>
        </w:tc>
        <w:tc>
          <w:tcPr>
            <w:tcW w:w="387" w:type="pct"/>
            <w:tcBorders>
              <w:lef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67.57</w:t>
            </w:r>
          </w:p>
        </w:tc>
        <w:tc>
          <w:tcPr>
            <w:tcW w:w="414" w:type="pct"/>
            <w:tcBorders>
              <w:righ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54.73</w:t>
            </w:r>
          </w:p>
        </w:tc>
        <w:tc>
          <w:tcPr>
            <w:tcW w:w="154" w:type="pct"/>
            <w:tcBorders>
              <w:left w:val="nil"/>
              <w:righ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w:t>
            </w:r>
          </w:p>
        </w:tc>
        <w:tc>
          <w:tcPr>
            <w:tcW w:w="387" w:type="pct"/>
            <w:tcBorders>
              <w:lef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8.02</w:t>
            </w:r>
          </w:p>
        </w:tc>
        <w:tc>
          <w:tcPr>
            <w:tcW w:w="525" w:type="pct"/>
            <w:vMerge/>
            <w:tcBorders>
              <w:lef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p>
        </w:tc>
        <w:tc>
          <w:tcPr>
            <w:tcW w:w="536" w:type="pct"/>
            <w:vMerge/>
            <w:tcBorders>
              <w:left w:val="nil"/>
              <w:right w:val="single" w:sz="4" w:space="0" w:color="auto"/>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p>
        </w:tc>
      </w:tr>
      <w:tr w:rsidR="00BF7D07" w:rsidRPr="00737872" w:rsidTr="00BF7D07">
        <w:trPr>
          <w:jc w:val="center"/>
        </w:trPr>
        <w:tc>
          <w:tcPr>
            <w:tcW w:w="1342" w:type="pct"/>
            <w:vMerge w:val="restart"/>
            <w:tcBorders>
              <w:left w:val="single" w:sz="4" w:space="0" w:color="auto"/>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lang w:bidi="ar-EG"/>
              </w:rPr>
            </w:pPr>
            <w:proofErr w:type="spellStart"/>
            <w:r w:rsidRPr="00737872">
              <w:rPr>
                <w:rFonts w:ascii="Times New Roman" w:hAnsi="Times New Roman" w:cs="Times New Roman"/>
                <w:b/>
                <w:bCs/>
                <w:sz w:val="19"/>
                <w:szCs w:val="19"/>
              </w:rPr>
              <w:t>Dmax</w:t>
            </w:r>
            <w:proofErr w:type="spellEnd"/>
            <w:r w:rsidRPr="00737872">
              <w:rPr>
                <w:rFonts w:ascii="Times New Roman" w:hAnsi="Times New Roman" w:cs="Times New Roman"/>
                <w:b/>
                <w:bCs/>
                <w:sz w:val="19"/>
                <w:szCs w:val="19"/>
              </w:rPr>
              <w:t xml:space="preserve"> optic </w:t>
            </w:r>
            <w:proofErr w:type="spellStart"/>
            <w:r w:rsidRPr="00737872">
              <w:rPr>
                <w:rFonts w:ascii="Times New Roman" w:hAnsi="Times New Roman" w:cs="Times New Roman"/>
                <w:b/>
                <w:bCs/>
                <w:sz w:val="19"/>
                <w:szCs w:val="19"/>
              </w:rPr>
              <w:t>chiasma</w:t>
            </w:r>
            <w:proofErr w:type="spellEnd"/>
          </w:p>
        </w:tc>
        <w:tc>
          <w:tcPr>
            <w:tcW w:w="720" w:type="pct"/>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IMRT</w:t>
            </w:r>
          </w:p>
        </w:tc>
        <w:tc>
          <w:tcPr>
            <w:tcW w:w="387" w:type="pct"/>
            <w:tcBorders>
              <w:right w:val="nil"/>
            </w:tcBorders>
            <w:shd w:val="clear" w:color="000000" w:fill="FFFFFF"/>
            <w:vAlign w:val="center"/>
          </w:tcPr>
          <w:p w:rsidR="003856DC" w:rsidRPr="00737872" w:rsidRDefault="00AA71D5"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20</w:t>
            </w:r>
          </w:p>
        </w:tc>
        <w:tc>
          <w:tcPr>
            <w:tcW w:w="147" w:type="pct"/>
            <w:tcBorders>
              <w:left w:val="nil"/>
              <w:righ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w:t>
            </w:r>
          </w:p>
        </w:tc>
        <w:tc>
          <w:tcPr>
            <w:tcW w:w="387" w:type="pct"/>
            <w:tcBorders>
              <w:lef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52.68</w:t>
            </w:r>
          </w:p>
        </w:tc>
        <w:tc>
          <w:tcPr>
            <w:tcW w:w="414" w:type="pct"/>
            <w:tcBorders>
              <w:righ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2</w:t>
            </w:r>
            <w:r w:rsidR="00AA71D5" w:rsidRPr="00737872">
              <w:rPr>
                <w:rFonts w:ascii="Times New Roman" w:hAnsi="Times New Roman" w:cs="Times New Roman"/>
                <w:b/>
                <w:bCs/>
                <w:sz w:val="19"/>
                <w:szCs w:val="19"/>
              </w:rPr>
              <w:t>4</w:t>
            </w:r>
            <w:r w:rsidRPr="00737872">
              <w:rPr>
                <w:rFonts w:ascii="Times New Roman" w:hAnsi="Times New Roman" w:cs="Times New Roman"/>
                <w:b/>
                <w:bCs/>
                <w:sz w:val="19"/>
                <w:szCs w:val="19"/>
              </w:rPr>
              <w:t>.01</w:t>
            </w:r>
          </w:p>
        </w:tc>
        <w:tc>
          <w:tcPr>
            <w:tcW w:w="154" w:type="pct"/>
            <w:tcBorders>
              <w:left w:val="nil"/>
              <w:righ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w:t>
            </w:r>
          </w:p>
        </w:tc>
        <w:tc>
          <w:tcPr>
            <w:tcW w:w="387" w:type="pct"/>
            <w:tcBorders>
              <w:lef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19.65</w:t>
            </w:r>
          </w:p>
        </w:tc>
        <w:tc>
          <w:tcPr>
            <w:tcW w:w="525" w:type="pct"/>
            <w:vMerge w:val="restart"/>
            <w:tcBorders>
              <w:lef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0.077</w:t>
            </w:r>
          </w:p>
        </w:tc>
        <w:tc>
          <w:tcPr>
            <w:tcW w:w="536" w:type="pct"/>
            <w:vMerge w:val="restart"/>
            <w:tcBorders>
              <w:left w:val="nil"/>
              <w:right w:val="single" w:sz="4" w:space="0" w:color="auto"/>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0.783</w:t>
            </w:r>
          </w:p>
        </w:tc>
      </w:tr>
      <w:tr w:rsidR="00BF7D07" w:rsidRPr="00737872" w:rsidTr="00BF7D07">
        <w:trPr>
          <w:jc w:val="center"/>
        </w:trPr>
        <w:tc>
          <w:tcPr>
            <w:tcW w:w="1342" w:type="pct"/>
            <w:vMerge/>
            <w:tcBorders>
              <w:left w:val="single" w:sz="4" w:space="0" w:color="auto"/>
              <w:bottom w:val="single" w:sz="4" w:space="0" w:color="auto"/>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p>
        </w:tc>
        <w:tc>
          <w:tcPr>
            <w:tcW w:w="720" w:type="pct"/>
            <w:tcBorders>
              <w:bottom w:val="single" w:sz="4" w:space="0" w:color="auto"/>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Conformal</w:t>
            </w:r>
          </w:p>
        </w:tc>
        <w:tc>
          <w:tcPr>
            <w:tcW w:w="387" w:type="pct"/>
            <w:tcBorders>
              <w:bottom w:val="single" w:sz="4" w:space="0" w:color="auto"/>
              <w:right w:val="nil"/>
            </w:tcBorders>
            <w:shd w:val="clear" w:color="000000" w:fill="FFFFFF"/>
            <w:vAlign w:val="center"/>
          </w:tcPr>
          <w:p w:rsidR="003856DC" w:rsidRPr="00737872" w:rsidRDefault="00AA71D5"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25</w:t>
            </w:r>
          </w:p>
        </w:tc>
        <w:tc>
          <w:tcPr>
            <w:tcW w:w="147" w:type="pct"/>
            <w:tcBorders>
              <w:left w:val="nil"/>
              <w:bottom w:val="single" w:sz="4" w:space="0" w:color="auto"/>
              <w:righ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w:t>
            </w:r>
          </w:p>
        </w:tc>
        <w:tc>
          <w:tcPr>
            <w:tcW w:w="387" w:type="pct"/>
            <w:tcBorders>
              <w:left w:val="nil"/>
              <w:bottom w:val="single" w:sz="4" w:space="0" w:color="auto"/>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65.95</w:t>
            </w:r>
          </w:p>
        </w:tc>
        <w:tc>
          <w:tcPr>
            <w:tcW w:w="414" w:type="pct"/>
            <w:tcBorders>
              <w:bottom w:val="single" w:sz="4" w:space="0" w:color="auto"/>
              <w:righ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2</w:t>
            </w:r>
            <w:r w:rsidR="00AA71D5" w:rsidRPr="00737872">
              <w:rPr>
                <w:rFonts w:ascii="Times New Roman" w:hAnsi="Times New Roman" w:cs="Times New Roman"/>
                <w:b/>
                <w:bCs/>
                <w:sz w:val="19"/>
                <w:szCs w:val="19"/>
              </w:rPr>
              <w:t>7</w:t>
            </w:r>
            <w:r w:rsidRPr="00737872">
              <w:rPr>
                <w:rFonts w:ascii="Times New Roman" w:hAnsi="Times New Roman" w:cs="Times New Roman"/>
                <w:b/>
                <w:bCs/>
                <w:sz w:val="19"/>
                <w:szCs w:val="19"/>
              </w:rPr>
              <w:t>.63</w:t>
            </w:r>
          </w:p>
        </w:tc>
        <w:tc>
          <w:tcPr>
            <w:tcW w:w="154" w:type="pct"/>
            <w:tcBorders>
              <w:left w:val="nil"/>
              <w:bottom w:val="single" w:sz="4" w:space="0" w:color="auto"/>
              <w:righ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w:t>
            </w:r>
          </w:p>
        </w:tc>
        <w:tc>
          <w:tcPr>
            <w:tcW w:w="387" w:type="pct"/>
            <w:tcBorders>
              <w:left w:val="nil"/>
              <w:bottom w:val="single" w:sz="4" w:space="0" w:color="auto"/>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18.77</w:t>
            </w:r>
          </w:p>
        </w:tc>
        <w:tc>
          <w:tcPr>
            <w:tcW w:w="525" w:type="pct"/>
            <w:vMerge/>
            <w:tcBorders>
              <w:left w:val="nil"/>
              <w:bottom w:val="single" w:sz="4" w:space="0" w:color="auto"/>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p>
        </w:tc>
        <w:tc>
          <w:tcPr>
            <w:tcW w:w="536" w:type="pct"/>
            <w:vMerge/>
            <w:tcBorders>
              <w:left w:val="nil"/>
              <w:bottom w:val="single" w:sz="4" w:space="0" w:color="auto"/>
              <w:right w:val="single" w:sz="4" w:space="0" w:color="auto"/>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p>
        </w:tc>
      </w:tr>
      <w:tr w:rsidR="00BF7D07" w:rsidRPr="00737872" w:rsidTr="00BF7D07">
        <w:trPr>
          <w:jc w:val="center"/>
        </w:trPr>
        <w:tc>
          <w:tcPr>
            <w:tcW w:w="1342" w:type="pct"/>
            <w:vMerge w:val="restart"/>
            <w:tcBorders>
              <w:top w:val="single" w:sz="4" w:space="0" w:color="auto"/>
              <w:left w:val="single" w:sz="4" w:space="0" w:color="auto"/>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lang w:bidi="ar-EG"/>
              </w:rPr>
            </w:pPr>
            <w:proofErr w:type="spellStart"/>
            <w:r w:rsidRPr="00737872">
              <w:rPr>
                <w:rFonts w:ascii="Times New Roman" w:hAnsi="Times New Roman" w:cs="Times New Roman"/>
                <w:b/>
                <w:bCs/>
                <w:sz w:val="19"/>
                <w:szCs w:val="19"/>
              </w:rPr>
              <w:t>Dmax</w:t>
            </w:r>
            <w:proofErr w:type="spellEnd"/>
            <w:r w:rsidRPr="00737872">
              <w:rPr>
                <w:rFonts w:ascii="Times New Roman" w:hAnsi="Times New Roman" w:cs="Times New Roman"/>
                <w:b/>
                <w:bCs/>
                <w:sz w:val="19"/>
                <w:szCs w:val="19"/>
              </w:rPr>
              <w:t xml:space="preserve"> RT optic nerve </w:t>
            </w:r>
          </w:p>
        </w:tc>
        <w:tc>
          <w:tcPr>
            <w:tcW w:w="720" w:type="pct"/>
            <w:tcBorders>
              <w:top w:val="single" w:sz="4" w:space="0" w:color="auto"/>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IMRT</w:t>
            </w:r>
          </w:p>
        </w:tc>
        <w:tc>
          <w:tcPr>
            <w:tcW w:w="387" w:type="pct"/>
            <w:tcBorders>
              <w:top w:val="single" w:sz="4" w:space="0" w:color="auto"/>
              <w:right w:val="nil"/>
            </w:tcBorders>
            <w:shd w:val="clear" w:color="000000" w:fill="FFFFFF"/>
            <w:vAlign w:val="center"/>
          </w:tcPr>
          <w:p w:rsidR="003856DC" w:rsidRPr="00737872" w:rsidRDefault="00AA71D5"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11</w:t>
            </w:r>
          </w:p>
        </w:tc>
        <w:tc>
          <w:tcPr>
            <w:tcW w:w="147" w:type="pct"/>
            <w:tcBorders>
              <w:top w:val="single" w:sz="4" w:space="0" w:color="auto"/>
              <w:left w:val="nil"/>
              <w:righ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w:t>
            </w:r>
          </w:p>
        </w:tc>
        <w:tc>
          <w:tcPr>
            <w:tcW w:w="387" w:type="pct"/>
            <w:tcBorders>
              <w:top w:val="single" w:sz="4" w:space="0" w:color="auto"/>
              <w:lef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40</w:t>
            </w:r>
          </w:p>
        </w:tc>
        <w:tc>
          <w:tcPr>
            <w:tcW w:w="414" w:type="pct"/>
            <w:tcBorders>
              <w:top w:val="single" w:sz="4" w:space="0" w:color="auto"/>
              <w:righ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14.41</w:t>
            </w:r>
          </w:p>
        </w:tc>
        <w:tc>
          <w:tcPr>
            <w:tcW w:w="154" w:type="pct"/>
            <w:tcBorders>
              <w:top w:val="single" w:sz="4" w:space="0" w:color="auto"/>
              <w:left w:val="nil"/>
              <w:righ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w:t>
            </w:r>
          </w:p>
        </w:tc>
        <w:tc>
          <w:tcPr>
            <w:tcW w:w="387" w:type="pct"/>
            <w:tcBorders>
              <w:top w:val="single" w:sz="4" w:space="0" w:color="auto"/>
              <w:lef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14.12</w:t>
            </w:r>
          </w:p>
        </w:tc>
        <w:tc>
          <w:tcPr>
            <w:tcW w:w="525" w:type="pct"/>
            <w:vMerge w:val="restart"/>
            <w:tcBorders>
              <w:top w:val="single" w:sz="4" w:space="0" w:color="auto"/>
              <w:lef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3.726</w:t>
            </w:r>
          </w:p>
        </w:tc>
        <w:tc>
          <w:tcPr>
            <w:tcW w:w="536" w:type="pct"/>
            <w:vMerge w:val="restart"/>
            <w:tcBorders>
              <w:top w:val="single" w:sz="4" w:space="0" w:color="auto"/>
              <w:left w:val="nil"/>
              <w:right w:val="single" w:sz="4" w:space="0" w:color="auto"/>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0.058</w:t>
            </w:r>
          </w:p>
        </w:tc>
      </w:tr>
      <w:tr w:rsidR="00BF7D07" w:rsidRPr="00737872" w:rsidTr="00BF7D07">
        <w:trPr>
          <w:jc w:val="center"/>
        </w:trPr>
        <w:tc>
          <w:tcPr>
            <w:tcW w:w="1342" w:type="pct"/>
            <w:vMerge/>
            <w:tcBorders>
              <w:left w:val="single" w:sz="4" w:space="0" w:color="auto"/>
              <w:bottom w:val="single" w:sz="4" w:space="0" w:color="auto"/>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p>
        </w:tc>
        <w:tc>
          <w:tcPr>
            <w:tcW w:w="720" w:type="pct"/>
            <w:tcBorders>
              <w:bottom w:val="single" w:sz="4" w:space="0" w:color="auto"/>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Conformal</w:t>
            </w:r>
          </w:p>
        </w:tc>
        <w:tc>
          <w:tcPr>
            <w:tcW w:w="387" w:type="pct"/>
            <w:tcBorders>
              <w:bottom w:val="single" w:sz="4" w:space="0" w:color="auto"/>
              <w:right w:val="nil"/>
            </w:tcBorders>
            <w:shd w:val="clear" w:color="000000" w:fill="FFFFFF"/>
            <w:vAlign w:val="center"/>
          </w:tcPr>
          <w:p w:rsidR="003856DC" w:rsidRPr="00737872" w:rsidRDefault="00AA71D5"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20</w:t>
            </w:r>
          </w:p>
        </w:tc>
        <w:tc>
          <w:tcPr>
            <w:tcW w:w="147" w:type="pct"/>
            <w:tcBorders>
              <w:left w:val="nil"/>
              <w:bottom w:val="single" w:sz="4" w:space="0" w:color="auto"/>
              <w:righ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w:t>
            </w:r>
          </w:p>
        </w:tc>
        <w:tc>
          <w:tcPr>
            <w:tcW w:w="387" w:type="pct"/>
            <w:tcBorders>
              <w:left w:val="nil"/>
              <w:bottom w:val="single" w:sz="4" w:space="0" w:color="auto"/>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67</w:t>
            </w:r>
          </w:p>
        </w:tc>
        <w:tc>
          <w:tcPr>
            <w:tcW w:w="414" w:type="pct"/>
            <w:tcBorders>
              <w:bottom w:val="single" w:sz="4" w:space="0" w:color="auto"/>
              <w:righ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23.09</w:t>
            </w:r>
          </w:p>
        </w:tc>
        <w:tc>
          <w:tcPr>
            <w:tcW w:w="154" w:type="pct"/>
            <w:tcBorders>
              <w:left w:val="nil"/>
              <w:bottom w:val="single" w:sz="4" w:space="0" w:color="auto"/>
              <w:righ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w:t>
            </w:r>
          </w:p>
        </w:tc>
        <w:tc>
          <w:tcPr>
            <w:tcW w:w="387" w:type="pct"/>
            <w:tcBorders>
              <w:left w:val="nil"/>
              <w:bottom w:val="single" w:sz="4" w:space="0" w:color="auto"/>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20.18</w:t>
            </w:r>
          </w:p>
        </w:tc>
        <w:tc>
          <w:tcPr>
            <w:tcW w:w="525" w:type="pct"/>
            <w:vMerge/>
            <w:tcBorders>
              <w:left w:val="nil"/>
              <w:bottom w:val="single" w:sz="4" w:space="0" w:color="auto"/>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p>
        </w:tc>
        <w:tc>
          <w:tcPr>
            <w:tcW w:w="536" w:type="pct"/>
            <w:vMerge/>
            <w:tcBorders>
              <w:left w:val="nil"/>
              <w:bottom w:val="single" w:sz="4" w:space="0" w:color="auto"/>
              <w:right w:val="single" w:sz="4" w:space="0" w:color="auto"/>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p>
        </w:tc>
      </w:tr>
      <w:tr w:rsidR="00BF7D07" w:rsidRPr="00737872" w:rsidTr="00BF7D07">
        <w:trPr>
          <w:jc w:val="center"/>
        </w:trPr>
        <w:tc>
          <w:tcPr>
            <w:tcW w:w="1342" w:type="pct"/>
            <w:vMerge w:val="restart"/>
            <w:tcBorders>
              <w:top w:val="single" w:sz="4" w:space="0" w:color="auto"/>
              <w:left w:val="single" w:sz="4" w:space="0" w:color="auto"/>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lang w:bidi="ar-EG"/>
              </w:rPr>
            </w:pPr>
            <w:proofErr w:type="spellStart"/>
            <w:r w:rsidRPr="00737872">
              <w:rPr>
                <w:rFonts w:ascii="Times New Roman" w:hAnsi="Times New Roman" w:cs="Times New Roman"/>
                <w:b/>
                <w:bCs/>
                <w:sz w:val="19"/>
                <w:szCs w:val="19"/>
              </w:rPr>
              <w:t>Dmax</w:t>
            </w:r>
            <w:proofErr w:type="spellEnd"/>
            <w:r w:rsidRPr="00737872">
              <w:rPr>
                <w:rFonts w:ascii="Times New Roman" w:hAnsi="Times New Roman" w:cs="Times New Roman"/>
                <w:b/>
                <w:bCs/>
                <w:sz w:val="19"/>
                <w:szCs w:val="19"/>
              </w:rPr>
              <w:t xml:space="preserve"> LT optic nerve</w:t>
            </w:r>
          </w:p>
        </w:tc>
        <w:tc>
          <w:tcPr>
            <w:tcW w:w="720" w:type="pct"/>
            <w:tcBorders>
              <w:top w:val="single" w:sz="4" w:space="0" w:color="auto"/>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IMRT</w:t>
            </w:r>
          </w:p>
        </w:tc>
        <w:tc>
          <w:tcPr>
            <w:tcW w:w="387" w:type="pct"/>
            <w:tcBorders>
              <w:top w:val="single" w:sz="4" w:space="0" w:color="auto"/>
              <w:right w:val="nil"/>
            </w:tcBorders>
            <w:shd w:val="clear" w:color="000000" w:fill="FFFFFF"/>
            <w:vAlign w:val="center"/>
          </w:tcPr>
          <w:p w:rsidR="003856DC" w:rsidRPr="00737872" w:rsidRDefault="00AA71D5"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13</w:t>
            </w:r>
          </w:p>
        </w:tc>
        <w:tc>
          <w:tcPr>
            <w:tcW w:w="147" w:type="pct"/>
            <w:tcBorders>
              <w:top w:val="single" w:sz="4" w:space="0" w:color="auto"/>
              <w:left w:val="nil"/>
              <w:righ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w:t>
            </w:r>
          </w:p>
        </w:tc>
        <w:tc>
          <w:tcPr>
            <w:tcW w:w="387" w:type="pct"/>
            <w:tcBorders>
              <w:top w:val="single" w:sz="4" w:space="0" w:color="auto"/>
              <w:lef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42</w:t>
            </w:r>
          </w:p>
        </w:tc>
        <w:tc>
          <w:tcPr>
            <w:tcW w:w="414" w:type="pct"/>
            <w:tcBorders>
              <w:top w:val="single" w:sz="4" w:space="0" w:color="auto"/>
              <w:righ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17.12</w:t>
            </w:r>
          </w:p>
        </w:tc>
        <w:tc>
          <w:tcPr>
            <w:tcW w:w="154" w:type="pct"/>
            <w:tcBorders>
              <w:top w:val="single" w:sz="4" w:space="0" w:color="auto"/>
              <w:left w:val="nil"/>
              <w:righ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w:t>
            </w:r>
          </w:p>
        </w:tc>
        <w:tc>
          <w:tcPr>
            <w:tcW w:w="387" w:type="pct"/>
            <w:tcBorders>
              <w:top w:val="single" w:sz="4" w:space="0" w:color="auto"/>
              <w:lef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16.08</w:t>
            </w:r>
          </w:p>
        </w:tc>
        <w:tc>
          <w:tcPr>
            <w:tcW w:w="525" w:type="pct"/>
            <w:vMerge w:val="restart"/>
            <w:tcBorders>
              <w:top w:val="single" w:sz="4" w:space="0" w:color="auto"/>
              <w:lef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1.692</w:t>
            </w:r>
          </w:p>
        </w:tc>
        <w:tc>
          <w:tcPr>
            <w:tcW w:w="536" w:type="pct"/>
            <w:vMerge w:val="restart"/>
            <w:tcBorders>
              <w:top w:val="single" w:sz="4" w:space="0" w:color="auto"/>
              <w:left w:val="nil"/>
              <w:right w:val="single" w:sz="4" w:space="0" w:color="auto"/>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0.198</w:t>
            </w:r>
          </w:p>
        </w:tc>
      </w:tr>
      <w:tr w:rsidR="00BF7D07" w:rsidRPr="00737872" w:rsidTr="00BF7D07">
        <w:trPr>
          <w:jc w:val="center"/>
        </w:trPr>
        <w:tc>
          <w:tcPr>
            <w:tcW w:w="1342" w:type="pct"/>
            <w:vMerge/>
            <w:tcBorders>
              <w:left w:val="single" w:sz="4" w:space="0" w:color="auto"/>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p>
        </w:tc>
        <w:tc>
          <w:tcPr>
            <w:tcW w:w="720" w:type="pct"/>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Conformal</w:t>
            </w:r>
          </w:p>
        </w:tc>
        <w:tc>
          <w:tcPr>
            <w:tcW w:w="387" w:type="pct"/>
            <w:tcBorders>
              <w:right w:val="nil"/>
            </w:tcBorders>
            <w:shd w:val="clear" w:color="000000" w:fill="FFFFFF"/>
            <w:vAlign w:val="center"/>
          </w:tcPr>
          <w:p w:rsidR="003856DC" w:rsidRPr="00737872" w:rsidRDefault="00AA71D5"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18</w:t>
            </w:r>
          </w:p>
        </w:tc>
        <w:tc>
          <w:tcPr>
            <w:tcW w:w="147" w:type="pct"/>
            <w:tcBorders>
              <w:left w:val="nil"/>
              <w:righ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w:t>
            </w:r>
          </w:p>
        </w:tc>
        <w:tc>
          <w:tcPr>
            <w:tcW w:w="387" w:type="pct"/>
            <w:tcBorders>
              <w:lef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65</w:t>
            </w:r>
          </w:p>
        </w:tc>
        <w:tc>
          <w:tcPr>
            <w:tcW w:w="414" w:type="pct"/>
            <w:tcBorders>
              <w:righ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23.19</w:t>
            </w:r>
          </w:p>
        </w:tc>
        <w:tc>
          <w:tcPr>
            <w:tcW w:w="154" w:type="pct"/>
            <w:tcBorders>
              <w:left w:val="nil"/>
              <w:righ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w:t>
            </w:r>
          </w:p>
        </w:tc>
        <w:tc>
          <w:tcPr>
            <w:tcW w:w="387" w:type="pct"/>
            <w:tcBorders>
              <w:lef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19.86</w:t>
            </w:r>
          </w:p>
        </w:tc>
        <w:tc>
          <w:tcPr>
            <w:tcW w:w="525" w:type="pct"/>
            <w:vMerge/>
            <w:tcBorders>
              <w:lef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p>
        </w:tc>
        <w:tc>
          <w:tcPr>
            <w:tcW w:w="536" w:type="pct"/>
            <w:vMerge/>
            <w:tcBorders>
              <w:left w:val="nil"/>
              <w:right w:val="single" w:sz="4" w:space="0" w:color="auto"/>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p>
        </w:tc>
      </w:tr>
      <w:tr w:rsidR="00BF7D07" w:rsidRPr="00737872" w:rsidTr="00BF7D07">
        <w:trPr>
          <w:jc w:val="center"/>
        </w:trPr>
        <w:tc>
          <w:tcPr>
            <w:tcW w:w="1342" w:type="pct"/>
            <w:vMerge w:val="restart"/>
            <w:tcBorders>
              <w:left w:val="single" w:sz="4" w:space="0" w:color="auto"/>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 xml:space="preserve">Mean </w:t>
            </w:r>
            <w:proofErr w:type="spellStart"/>
            <w:r w:rsidRPr="00737872">
              <w:rPr>
                <w:rFonts w:ascii="Times New Roman" w:hAnsi="Times New Roman" w:cs="Times New Roman"/>
                <w:b/>
                <w:bCs/>
                <w:sz w:val="19"/>
                <w:szCs w:val="19"/>
              </w:rPr>
              <w:t>Rt</w:t>
            </w:r>
            <w:proofErr w:type="spellEnd"/>
            <w:r w:rsidRPr="00737872">
              <w:rPr>
                <w:rFonts w:ascii="Times New Roman" w:hAnsi="Times New Roman" w:cs="Times New Roman"/>
                <w:b/>
                <w:bCs/>
                <w:sz w:val="19"/>
                <w:szCs w:val="19"/>
              </w:rPr>
              <w:t xml:space="preserve"> parotid</w:t>
            </w:r>
          </w:p>
        </w:tc>
        <w:tc>
          <w:tcPr>
            <w:tcW w:w="720" w:type="pct"/>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IMRT</w:t>
            </w:r>
          </w:p>
        </w:tc>
        <w:tc>
          <w:tcPr>
            <w:tcW w:w="387" w:type="pct"/>
            <w:tcBorders>
              <w:righ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19.2</w:t>
            </w:r>
          </w:p>
        </w:tc>
        <w:tc>
          <w:tcPr>
            <w:tcW w:w="147" w:type="pct"/>
            <w:tcBorders>
              <w:left w:val="nil"/>
              <w:righ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w:t>
            </w:r>
          </w:p>
        </w:tc>
        <w:tc>
          <w:tcPr>
            <w:tcW w:w="387" w:type="pct"/>
            <w:tcBorders>
              <w:left w:val="nil"/>
            </w:tcBorders>
            <w:shd w:val="clear" w:color="000000" w:fill="FFFFFF"/>
            <w:vAlign w:val="center"/>
          </w:tcPr>
          <w:p w:rsidR="003856DC" w:rsidRPr="00737872" w:rsidRDefault="001B3E3A"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25</w:t>
            </w:r>
          </w:p>
        </w:tc>
        <w:tc>
          <w:tcPr>
            <w:tcW w:w="414" w:type="pct"/>
            <w:tcBorders>
              <w:right w:val="nil"/>
            </w:tcBorders>
            <w:shd w:val="clear" w:color="000000" w:fill="FFFFFF"/>
            <w:vAlign w:val="center"/>
          </w:tcPr>
          <w:p w:rsidR="003856DC" w:rsidRPr="00737872" w:rsidRDefault="0076675A"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20</w:t>
            </w:r>
          </w:p>
        </w:tc>
        <w:tc>
          <w:tcPr>
            <w:tcW w:w="154" w:type="pct"/>
            <w:tcBorders>
              <w:left w:val="nil"/>
              <w:righ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w:t>
            </w:r>
          </w:p>
        </w:tc>
        <w:tc>
          <w:tcPr>
            <w:tcW w:w="387" w:type="pct"/>
            <w:tcBorders>
              <w:lef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4.77</w:t>
            </w:r>
          </w:p>
        </w:tc>
        <w:tc>
          <w:tcPr>
            <w:tcW w:w="525" w:type="pct"/>
            <w:vMerge w:val="restart"/>
            <w:tcBorders>
              <w:lef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588.948</w:t>
            </w:r>
          </w:p>
        </w:tc>
        <w:tc>
          <w:tcPr>
            <w:tcW w:w="536" w:type="pct"/>
            <w:vMerge w:val="restart"/>
            <w:tcBorders>
              <w:left w:val="nil"/>
              <w:right w:val="single" w:sz="4" w:space="0" w:color="auto"/>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0.001*</w:t>
            </w:r>
          </w:p>
        </w:tc>
      </w:tr>
      <w:tr w:rsidR="00BF7D07" w:rsidRPr="00737872" w:rsidTr="00BF7D07">
        <w:trPr>
          <w:jc w:val="center"/>
        </w:trPr>
        <w:tc>
          <w:tcPr>
            <w:tcW w:w="1342" w:type="pct"/>
            <w:vMerge/>
            <w:tcBorders>
              <w:left w:val="single" w:sz="4" w:space="0" w:color="auto"/>
              <w:bottom w:val="single" w:sz="4" w:space="0" w:color="auto"/>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p>
        </w:tc>
        <w:tc>
          <w:tcPr>
            <w:tcW w:w="720" w:type="pct"/>
            <w:tcBorders>
              <w:bottom w:val="single" w:sz="4" w:space="0" w:color="auto"/>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Conformal</w:t>
            </w:r>
          </w:p>
        </w:tc>
        <w:tc>
          <w:tcPr>
            <w:tcW w:w="387" w:type="pct"/>
            <w:tcBorders>
              <w:bottom w:val="single" w:sz="4" w:space="0" w:color="auto"/>
              <w:righ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38.63</w:t>
            </w:r>
          </w:p>
        </w:tc>
        <w:tc>
          <w:tcPr>
            <w:tcW w:w="147" w:type="pct"/>
            <w:tcBorders>
              <w:left w:val="nil"/>
              <w:bottom w:val="single" w:sz="4" w:space="0" w:color="auto"/>
              <w:righ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w:t>
            </w:r>
          </w:p>
        </w:tc>
        <w:tc>
          <w:tcPr>
            <w:tcW w:w="387" w:type="pct"/>
            <w:tcBorders>
              <w:left w:val="nil"/>
              <w:bottom w:val="single" w:sz="4" w:space="0" w:color="auto"/>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68</w:t>
            </w:r>
          </w:p>
        </w:tc>
        <w:tc>
          <w:tcPr>
            <w:tcW w:w="414" w:type="pct"/>
            <w:tcBorders>
              <w:bottom w:val="single" w:sz="4" w:space="0" w:color="auto"/>
              <w:righ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61.51</w:t>
            </w:r>
          </w:p>
        </w:tc>
        <w:tc>
          <w:tcPr>
            <w:tcW w:w="154" w:type="pct"/>
            <w:tcBorders>
              <w:left w:val="nil"/>
              <w:bottom w:val="single" w:sz="4" w:space="0" w:color="auto"/>
              <w:righ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w:t>
            </w:r>
          </w:p>
        </w:tc>
        <w:tc>
          <w:tcPr>
            <w:tcW w:w="387" w:type="pct"/>
            <w:tcBorders>
              <w:left w:val="nil"/>
              <w:bottom w:val="single" w:sz="4" w:space="0" w:color="auto"/>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6.75</w:t>
            </w:r>
          </w:p>
        </w:tc>
        <w:tc>
          <w:tcPr>
            <w:tcW w:w="525" w:type="pct"/>
            <w:vMerge/>
            <w:tcBorders>
              <w:left w:val="nil"/>
              <w:bottom w:val="single" w:sz="4" w:space="0" w:color="auto"/>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p>
        </w:tc>
        <w:tc>
          <w:tcPr>
            <w:tcW w:w="536" w:type="pct"/>
            <w:vMerge/>
            <w:tcBorders>
              <w:left w:val="nil"/>
              <w:bottom w:val="single" w:sz="4" w:space="0" w:color="auto"/>
              <w:right w:val="single" w:sz="4" w:space="0" w:color="auto"/>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p>
        </w:tc>
      </w:tr>
      <w:tr w:rsidR="00BF7D07" w:rsidRPr="00737872" w:rsidTr="00BF7D07">
        <w:trPr>
          <w:jc w:val="center"/>
        </w:trPr>
        <w:tc>
          <w:tcPr>
            <w:tcW w:w="1342" w:type="pct"/>
            <w:vMerge w:val="restart"/>
            <w:tcBorders>
              <w:top w:val="single" w:sz="4" w:space="0" w:color="auto"/>
              <w:left w:val="single" w:sz="4" w:space="0" w:color="auto"/>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Mean Lt parotid</w:t>
            </w:r>
          </w:p>
        </w:tc>
        <w:tc>
          <w:tcPr>
            <w:tcW w:w="720" w:type="pct"/>
            <w:tcBorders>
              <w:top w:val="single" w:sz="4" w:space="0" w:color="auto"/>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IMRT</w:t>
            </w:r>
          </w:p>
        </w:tc>
        <w:tc>
          <w:tcPr>
            <w:tcW w:w="387" w:type="pct"/>
            <w:tcBorders>
              <w:top w:val="single" w:sz="4" w:space="0" w:color="auto"/>
              <w:righ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13</w:t>
            </w:r>
          </w:p>
        </w:tc>
        <w:tc>
          <w:tcPr>
            <w:tcW w:w="147" w:type="pct"/>
            <w:tcBorders>
              <w:top w:val="single" w:sz="4" w:space="0" w:color="auto"/>
              <w:left w:val="nil"/>
              <w:righ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w:t>
            </w:r>
          </w:p>
        </w:tc>
        <w:tc>
          <w:tcPr>
            <w:tcW w:w="387" w:type="pct"/>
            <w:tcBorders>
              <w:top w:val="single" w:sz="4" w:space="0" w:color="auto"/>
              <w:left w:val="nil"/>
            </w:tcBorders>
            <w:shd w:val="clear" w:color="000000" w:fill="FFFFFF"/>
            <w:vAlign w:val="center"/>
          </w:tcPr>
          <w:p w:rsidR="003856DC" w:rsidRPr="00737872" w:rsidRDefault="0076675A"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26</w:t>
            </w:r>
          </w:p>
        </w:tc>
        <w:tc>
          <w:tcPr>
            <w:tcW w:w="414" w:type="pct"/>
            <w:tcBorders>
              <w:top w:val="single" w:sz="4" w:space="0" w:color="auto"/>
              <w:righ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23.00</w:t>
            </w:r>
          </w:p>
        </w:tc>
        <w:tc>
          <w:tcPr>
            <w:tcW w:w="154" w:type="pct"/>
            <w:tcBorders>
              <w:top w:val="single" w:sz="4" w:space="0" w:color="auto"/>
              <w:left w:val="nil"/>
              <w:righ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w:t>
            </w:r>
          </w:p>
        </w:tc>
        <w:tc>
          <w:tcPr>
            <w:tcW w:w="387" w:type="pct"/>
            <w:tcBorders>
              <w:top w:val="single" w:sz="4" w:space="0" w:color="auto"/>
              <w:left w:val="nil"/>
            </w:tcBorders>
            <w:shd w:val="clear" w:color="000000" w:fill="FFFFFF"/>
            <w:vAlign w:val="center"/>
          </w:tcPr>
          <w:p w:rsidR="003856DC" w:rsidRPr="00737872" w:rsidRDefault="0076675A" w:rsidP="00737872">
            <w:pPr>
              <w:autoSpaceDE w:val="0"/>
              <w:autoSpaceDN w:val="0"/>
              <w:bidi w:val="0"/>
              <w:adjustRightInd w:val="0"/>
              <w:snapToGrid w:val="0"/>
              <w:spacing w:after="0" w:line="240" w:lineRule="auto"/>
              <w:jc w:val="both"/>
              <w:rPr>
                <w:rFonts w:ascii="Times New Roman" w:hAnsi="Times New Roman" w:cs="Times New Roman"/>
                <w:b/>
                <w:bCs/>
                <w:sz w:val="19"/>
                <w:szCs w:val="19"/>
                <w:lang w:bidi="ar-EG"/>
              </w:rPr>
            </w:pPr>
            <w:r w:rsidRPr="00737872">
              <w:rPr>
                <w:rFonts w:ascii="Times New Roman" w:hAnsi="Times New Roman" w:cs="Times New Roman"/>
                <w:b/>
                <w:bCs/>
                <w:sz w:val="19"/>
                <w:szCs w:val="19"/>
              </w:rPr>
              <w:t>2</w:t>
            </w:r>
            <w:r w:rsidR="003856DC" w:rsidRPr="00737872">
              <w:rPr>
                <w:rFonts w:ascii="Times New Roman" w:hAnsi="Times New Roman" w:cs="Times New Roman"/>
                <w:b/>
                <w:bCs/>
                <w:sz w:val="19"/>
                <w:szCs w:val="19"/>
              </w:rPr>
              <w:t>.16</w:t>
            </w:r>
          </w:p>
        </w:tc>
        <w:tc>
          <w:tcPr>
            <w:tcW w:w="525" w:type="pct"/>
            <w:vMerge w:val="restart"/>
            <w:tcBorders>
              <w:top w:val="single" w:sz="4" w:space="0" w:color="auto"/>
              <w:lef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90.036</w:t>
            </w:r>
          </w:p>
        </w:tc>
        <w:tc>
          <w:tcPr>
            <w:tcW w:w="536" w:type="pct"/>
            <w:vMerge w:val="restart"/>
            <w:tcBorders>
              <w:top w:val="single" w:sz="4" w:space="0" w:color="auto"/>
              <w:left w:val="nil"/>
              <w:right w:val="single" w:sz="4" w:space="0" w:color="auto"/>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0.001*</w:t>
            </w:r>
          </w:p>
        </w:tc>
      </w:tr>
      <w:tr w:rsidR="00BF7D07" w:rsidRPr="00737872" w:rsidTr="00BF7D07">
        <w:trPr>
          <w:jc w:val="center"/>
        </w:trPr>
        <w:tc>
          <w:tcPr>
            <w:tcW w:w="1342" w:type="pct"/>
            <w:vMerge/>
            <w:tcBorders>
              <w:left w:val="single" w:sz="4" w:space="0" w:color="auto"/>
              <w:bottom w:val="single" w:sz="4" w:space="0" w:color="auto"/>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p>
        </w:tc>
        <w:tc>
          <w:tcPr>
            <w:tcW w:w="720" w:type="pct"/>
            <w:tcBorders>
              <w:bottom w:val="single" w:sz="4" w:space="0" w:color="auto"/>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Conformal</w:t>
            </w:r>
          </w:p>
        </w:tc>
        <w:tc>
          <w:tcPr>
            <w:tcW w:w="387" w:type="pct"/>
            <w:tcBorders>
              <w:bottom w:val="single" w:sz="4" w:space="0" w:color="auto"/>
              <w:righ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6.4</w:t>
            </w:r>
          </w:p>
        </w:tc>
        <w:tc>
          <w:tcPr>
            <w:tcW w:w="147" w:type="pct"/>
            <w:tcBorders>
              <w:left w:val="nil"/>
              <w:bottom w:val="single" w:sz="4" w:space="0" w:color="auto"/>
              <w:righ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w:t>
            </w:r>
          </w:p>
        </w:tc>
        <w:tc>
          <w:tcPr>
            <w:tcW w:w="387" w:type="pct"/>
            <w:tcBorders>
              <w:left w:val="nil"/>
              <w:bottom w:val="single" w:sz="4" w:space="0" w:color="auto"/>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67</w:t>
            </w:r>
          </w:p>
        </w:tc>
        <w:tc>
          <w:tcPr>
            <w:tcW w:w="414" w:type="pct"/>
            <w:tcBorders>
              <w:bottom w:val="single" w:sz="4" w:space="0" w:color="auto"/>
              <w:righ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56.44</w:t>
            </w:r>
          </w:p>
        </w:tc>
        <w:tc>
          <w:tcPr>
            <w:tcW w:w="154" w:type="pct"/>
            <w:tcBorders>
              <w:left w:val="nil"/>
              <w:bottom w:val="single" w:sz="4" w:space="0" w:color="auto"/>
              <w:right w:val="nil"/>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w:t>
            </w:r>
          </w:p>
        </w:tc>
        <w:tc>
          <w:tcPr>
            <w:tcW w:w="387" w:type="pct"/>
            <w:tcBorders>
              <w:left w:val="nil"/>
              <w:bottom w:val="single" w:sz="4" w:space="0" w:color="auto"/>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17.93</w:t>
            </w:r>
          </w:p>
        </w:tc>
        <w:tc>
          <w:tcPr>
            <w:tcW w:w="525" w:type="pct"/>
            <w:vMerge/>
            <w:tcBorders>
              <w:left w:val="nil"/>
              <w:bottom w:val="single" w:sz="4" w:space="0" w:color="auto"/>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p>
        </w:tc>
        <w:tc>
          <w:tcPr>
            <w:tcW w:w="536" w:type="pct"/>
            <w:vMerge/>
            <w:tcBorders>
              <w:left w:val="nil"/>
              <w:bottom w:val="single" w:sz="4" w:space="0" w:color="auto"/>
              <w:right w:val="single" w:sz="4" w:space="0" w:color="auto"/>
            </w:tcBorders>
            <w:shd w:val="clear" w:color="000000" w:fill="FFFFFF"/>
            <w:vAlign w:val="center"/>
          </w:tcPr>
          <w:p w:rsidR="003856DC" w:rsidRPr="00737872" w:rsidRDefault="003856DC"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p>
        </w:tc>
      </w:tr>
    </w:tbl>
    <w:p w:rsidR="005720B0" w:rsidRPr="00737872" w:rsidRDefault="005720B0" w:rsidP="00737872">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p>
    <w:p w:rsidR="00737872" w:rsidRDefault="00737872" w:rsidP="00737872">
      <w:pPr>
        <w:autoSpaceDE w:val="0"/>
        <w:autoSpaceDN w:val="0"/>
        <w:bidi w:val="0"/>
        <w:adjustRightInd w:val="0"/>
        <w:snapToGrid w:val="0"/>
        <w:spacing w:after="0" w:line="240" w:lineRule="auto"/>
        <w:jc w:val="both"/>
        <w:rPr>
          <w:rFonts w:ascii="Times New Roman" w:hAnsi="Times New Roman" w:cs="Times New Roman"/>
          <w:b/>
          <w:bCs/>
          <w:i/>
          <w:iCs/>
          <w:sz w:val="20"/>
          <w:szCs w:val="20"/>
        </w:rPr>
        <w:sectPr w:rsidR="00737872" w:rsidSect="00BF7D07">
          <w:type w:val="continuous"/>
          <w:pgSz w:w="12242" w:h="15842" w:code="1"/>
          <w:pgMar w:top="1440" w:right="1440" w:bottom="1440" w:left="1440" w:header="720" w:footer="720" w:gutter="0"/>
          <w:cols w:space="720"/>
          <w:docGrid w:linePitch="360"/>
        </w:sectPr>
      </w:pPr>
    </w:p>
    <w:p w:rsidR="00EB3174" w:rsidRPr="00737872" w:rsidRDefault="00EB3174" w:rsidP="00737872">
      <w:pPr>
        <w:autoSpaceDE w:val="0"/>
        <w:autoSpaceDN w:val="0"/>
        <w:bidi w:val="0"/>
        <w:adjustRightInd w:val="0"/>
        <w:snapToGrid w:val="0"/>
        <w:spacing w:after="0" w:line="240" w:lineRule="auto"/>
        <w:jc w:val="both"/>
        <w:rPr>
          <w:rFonts w:ascii="Times New Roman" w:hAnsi="Times New Roman" w:cs="Times New Roman"/>
          <w:b/>
          <w:bCs/>
          <w:i/>
          <w:iCs/>
          <w:sz w:val="20"/>
          <w:szCs w:val="20"/>
          <w:lang w:bidi="ar-EG"/>
        </w:rPr>
      </w:pPr>
      <w:r w:rsidRPr="00737872">
        <w:rPr>
          <w:rFonts w:ascii="Times New Roman" w:hAnsi="Times New Roman" w:cs="Times New Roman"/>
          <w:b/>
          <w:bCs/>
          <w:i/>
          <w:iCs/>
          <w:sz w:val="20"/>
          <w:szCs w:val="20"/>
        </w:rPr>
        <w:lastRenderedPageBreak/>
        <w:t>Regarding plan parameters:</w:t>
      </w:r>
    </w:p>
    <w:p w:rsidR="00EB3174" w:rsidRPr="00737872" w:rsidRDefault="00EB3174" w:rsidP="00737872">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737872">
        <w:rPr>
          <w:rFonts w:ascii="Times New Roman" w:hAnsi="Times New Roman" w:cs="Times New Roman"/>
          <w:sz w:val="20"/>
          <w:szCs w:val="20"/>
        </w:rPr>
        <w:t xml:space="preserve">As illustrated in </w:t>
      </w:r>
      <w:r w:rsidR="00AA2CB1" w:rsidRPr="00737872">
        <w:rPr>
          <w:rFonts w:ascii="Times New Roman" w:hAnsi="Times New Roman" w:cs="Times New Roman"/>
          <w:b/>
          <w:bCs/>
          <w:i/>
          <w:iCs/>
          <w:sz w:val="20"/>
          <w:szCs w:val="20"/>
        </w:rPr>
        <w:t>T</w:t>
      </w:r>
      <w:r w:rsidRPr="00737872">
        <w:rPr>
          <w:rFonts w:ascii="Times New Roman" w:hAnsi="Times New Roman" w:cs="Times New Roman"/>
          <w:b/>
          <w:bCs/>
          <w:i/>
          <w:iCs/>
          <w:sz w:val="20"/>
          <w:szCs w:val="20"/>
        </w:rPr>
        <w:t xml:space="preserve">able </w:t>
      </w:r>
      <w:r w:rsidR="004275D6" w:rsidRPr="00737872">
        <w:rPr>
          <w:rFonts w:ascii="Times New Roman" w:hAnsi="Times New Roman" w:cs="Times New Roman"/>
          <w:b/>
          <w:bCs/>
          <w:i/>
          <w:iCs/>
          <w:sz w:val="20"/>
          <w:szCs w:val="20"/>
        </w:rPr>
        <w:t>6</w:t>
      </w:r>
      <w:r w:rsidRPr="00737872">
        <w:rPr>
          <w:rFonts w:ascii="Times New Roman" w:hAnsi="Times New Roman" w:cs="Times New Roman"/>
          <w:sz w:val="20"/>
          <w:szCs w:val="20"/>
        </w:rPr>
        <w:t>: IMRT plans</w:t>
      </w:r>
      <w:r w:rsidR="004275D6" w:rsidRPr="00737872">
        <w:rPr>
          <w:rFonts w:ascii="Times New Roman" w:hAnsi="Times New Roman" w:cs="Times New Roman"/>
          <w:sz w:val="20"/>
          <w:szCs w:val="20"/>
        </w:rPr>
        <w:t xml:space="preserve"> showed more homogenous dose distribution than that in 3D-CRT plans</w:t>
      </w:r>
      <w:r w:rsidR="00F76000" w:rsidRPr="00737872">
        <w:rPr>
          <w:rFonts w:ascii="Times New Roman" w:hAnsi="Times New Roman" w:cs="Times New Roman"/>
          <w:sz w:val="20"/>
          <w:szCs w:val="20"/>
          <w:lang w:eastAsia="zh-CN"/>
        </w:rPr>
        <w:t xml:space="preserve"> </w:t>
      </w:r>
      <w:r w:rsidRPr="00737872">
        <w:rPr>
          <w:rFonts w:ascii="Times New Roman" w:hAnsi="Times New Roman" w:cs="Times New Roman"/>
          <w:sz w:val="20"/>
          <w:szCs w:val="20"/>
        </w:rPr>
        <w:t>with statistically significant difference (p=0.008</w:t>
      </w:r>
      <w:r w:rsidR="004275D6" w:rsidRPr="00737872">
        <w:rPr>
          <w:rFonts w:ascii="Times New Roman" w:hAnsi="Times New Roman" w:cs="Times New Roman"/>
          <w:sz w:val="20"/>
          <w:szCs w:val="20"/>
        </w:rPr>
        <w:t>).</w:t>
      </w:r>
      <w:r w:rsidRPr="00737872">
        <w:rPr>
          <w:rFonts w:ascii="Times New Roman" w:hAnsi="Times New Roman" w:cs="Times New Roman"/>
          <w:sz w:val="20"/>
          <w:szCs w:val="20"/>
        </w:rPr>
        <w:t xml:space="preserve"> However CI didn't show statistically </w:t>
      </w:r>
      <w:r w:rsidRPr="00737872">
        <w:rPr>
          <w:rFonts w:ascii="Times New Roman" w:hAnsi="Times New Roman" w:cs="Times New Roman"/>
          <w:sz w:val="20"/>
          <w:szCs w:val="20"/>
        </w:rPr>
        <w:lastRenderedPageBreak/>
        <w:t>significant difference between both plans.</w:t>
      </w:r>
      <w:r w:rsidR="00F76000" w:rsidRPr="00737872">
        <w:rPr>
          <w:rFonts w:ascii="Times New Roman" w:hAnsi="Times New Roman" w:cs="Times New Roman"/>
          <w:sz w:val="20"/>
          <w:szCs w:val="20"/>
          <w:lang w:eastAsia="zh-CN"/>
        </w:rPr>
        <w:t xml:space="preserve"> </w:t>
      </w:r>
      <w:r w:rsidRPr="00737872">
        <w:rPr>
          <w:rFonts w:ascii="Times New Roman" w:hAnsi="Times New Roman" w:cs="Times New Roman"/>
          <w:sz w:val="20"/>
          <w:szCs w:val="20"/>
        </w:rPr>
        <w:t>IMRT plan</w:t>
      </w:r>
      <w:r w:rsidR="00AA2CB1" w:rsidRPr="00737872">
        <w:rPr>
          <w:rFonts w:ascii="Times New Roman" w:hAnsi="Times New Roman" w:cs="Times New Roman"/>
          <w:sz w:val="20"/>
          <w:szCs w:val="20"/>
        </w:rPr>
        <w:t>s</w:t>
      </w:r>
      <w:r w:rsidRPr="00737872">
        <w:rPr>
          <w:rFonts w:ascii="Times New Roman" w:hAnsi="Times New Roman" w:cs="Times New Roman"/>
          <w:sz w:val="20"/>
          <w:szCs w:val="20"/>
        </w:rPr>
        <w:t xml:space="preserve"> required more monitor units as well as time per fraction in comparison of 3D-CRT with significantly statistically difference. (p=0.001)</w:t>
      </w:r>
    </w:p>
    <w:p w:rsidR="00737872" w:rsidRDefault="00737872" w:rsidP="00737872">
      <w:pPr>
        <w:tabs>
          <w:tab w:val="right" w:pos="142"/>
        </w:tabs>
        <w:bidi w:val="0"/>
        <w:snapToGrid w:val="0"/>
        <w:spacing w:after="0" w:line="240" w:lineRule="auto"/>
        <w:jc w:val="both"/>
        <w:rPr>
          <w:rFonts w:ascii="Times New Roman" w:hAnsi="Times New Roman" w:cs="Times New Roman"/>
          <w:b/>
          <w:bCs/>
          <w:sz w:val="20"/>
          <w:szCs w:val="20"/>
        </w:rPr>
        <w:sectPr w:rsidR="00737872" w:rsidSect="00737872">
          <w:type w:val="continuous"/>
          <w:pgSz w:w="12242" w:h="15842" w:code="1"/>
          <w:pgMar w:top="1440" w:right="1440" w:bottom="1440" w:left="1440" w:header="720" w:footer="720" w:gutter="0"/>
          <w:cols w:num="2" w:space="550"/>
          <w:docGrid w:linePitch="360"/>
        </w:sectPr>
      </w:pPr>
    </w:p>
    <w:p w:rsidR="00BF7D07" w:rsidRPr="00737872" w:rsidRDefault="00BF7D07" w:rsidP="00737872">
      <w:pPr>
        <w:tabs>
          <w:tab w:val="right" w:pos="142"/>
        </w:tabs>
        <w:bidi w:val="0"/>
        <w:snapToGrid w:val="0"/>
        <w:spacing w:after="0" w:line="240" w:lineRule="auto"/>
        <w:jc w:val="both"/>
        <w:rPr>
          <w:rFonts w:ascii="Times New Roman" w:hAnsi="Times New Roman" w:cs="Times New Roman"/>
          <w:b/>
          <w:bCs/>
          <w:sz w:val="20"/>
          <w:szCs w:val="20"/>
        </w:rPr>
      </w:pPr>
    </w:p>
    <w:p w:rsidR="00EB3174" w:rsidRPr="00737872" w:rsidRDefault="00EB3174" w:rsidP="00737872">
      <w:pPr>
        <w:tabs>
          <w:tab w:val="right" w:pos="142"/>
        </w:tabs>
        <w:bidi w:val="0"/>
        <w:snapToGrid w:val="0"/>
        <w:spacing w:after="0" w:line="240" w:lineRule="auto"/>
        <w:jc w:val="center"/>
        <w:rPr>
          <w:rFonts w:ascii="Times New Roman" w:hAnsi="Times New Roman" w:cs="Times New Roman"/>
          <w:sz w:val="20"/>
          <w:szCs w:val="20"/>
        </w:rPr>
      </w:pPr>
      <w:r w:rsidRPr="00737872">
        <w:rPr>
          <w:rFonts w:ascii="Times New Roman" w:hAnsi="Times New Roman" w:cs="Times New Roman"/>
          <w:b/>
          <w:bCs/>
          <w:sz w:val="20"/>
          <w:szCs w:val="20"/>
        </w:rPr>
        <w:t>Table (</w:t>
      </w:r>
      <w:r w:rsidR="004275D6" w:rsidRPr="00737872">
        <w:rPr>
          <w:rFonts w:ascii="Times New Roman" w:hAnsi="Times New Roman" w:cs="Times New Roman"/>
          <w:b/>
          <w:bCs/>
          <w:sz w:val="20"/>
          <w:szCs w:val="20"/>
        </w:rPr>
        <w:t>6</w:t>
      </w:r>
      <w:r w:rsidRPr="00737872">
        <w:rPr>
          <w:rFonts w:ascii="Times New Roman" w:hAnsi="Times New Roman" w:cs="Times New Roman"/>
          <w:b/>
          <w:bCs/>
          <w:sz w:val="20"/>
          <w:szCs w:val="20"/>
        </w:rPr>
        <w:t>):</w:t>
      </w:r>
      <w:r w:rsidRPr="00737872">
        <w:rPr>
          <w:rFonts w:ascii="Times New Roman" w:hAnsi="Times New Roman" w:cs="Times New Roman"/>
          <w:sz w:val="20"/>
          <w:szCs w:val="20"/>
        </w:rPr>
        <w:t xml:space="preserve"> Different plan parameters</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000"/>
      </w:tblPr>
      <w:tblGrid>
        <w:gridCol w:w="1909"/>
        <w:gridCol w:w="1548"/>
        <w:gridCol w:w="974"/>
        <w:gridCol w:w="316"/>
        <w:gridCol w:w="760"/>
        <w:gridCol w:w="891"/>
        <w:gridCol w:w="332"/>
        <w:gridCol w:w="834"/>
        <w:gridCol w:w="834"/>
        <w:gridCol w:w="1078"/>
      </w:tblGrid>
      <w:tr w:rsidR="00BF7D07" w:rsidRPr="00737872" w:rsidTr="00BF7D07">
        <w:trPr>
          <w:jc w:val="center"/>
        </w:trPr>
        <w:tc>
          <w:tcPr>
            <w:tcW w:w="1007" w:type="pct"/>
            <w:tcBorders>
              <w:top w:val="single" w:sz="4" w:space="0" w:color="auto"/>
              <w:left w:val="single" w:sz="4" w:space="0" w:color="auto"/>
              <w:bottom w:val="single" w:sz="4" w:space="0" w:color="auto"/>
            </w:tcBorders>
            <w:shd w:val="clear" w:color="000000" w:fill="FFFFFF"/>
            <w:vAlign w:val="center"/>
          </w:tcPr>
          <w:p w:rsidR="00EB3174" w:rsidRPr="00737872" w:rsidRDefault="00EB3174"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Item</w:t>
            </w:r>
          </w:p>
        </w:tc>
        <w:tc>
          <w:tcPr>
            <w:tcW w:w="817" w:type="pct"/>
            <w:tcBorders>
              <w:top w:val="single" w:sz="4" w:space="0" w:color="auto"/>
              <w:bottom w:val="single" w:sz="4" w:space="0" w:color="auto"/>
            </w:tcBorders>
            <w:shd w:val="clear" w:color="000000" w:fill="FFFFFF"/>
            <w:vAlign w:val="center"/>
          </w:tcPr>
          <w:p w:rsidR="00EB3174" w:rsidRPr="00737872" w:rsidRDefault="00EB3174"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p>
        </w:tc>
        <w:tc>
          <w:tcPr>
            <w:tcW w:w="514" w:type="pct"/>
            <w:tcBorders>
              <w:top w:val="single" w:sz="4" w:space="0" w:color="auto"/>
              <w:bottom w:val="single" w:sz="4" w:space="0" w:color="auto"/>
              <w:right w:val="nil"/>
            </w:tcBorders>
            <w:shd w:val="clear" w:color="000000" w:fill="FFFFFF"/>
            <w:vAlign w:val="center"/>
          </w:tcPr>
          <w:p w:rsidR="00EB3174" w:rsidRPr="00737872" w:rsidRDefault="00EB3174"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Range</w:t>
            </w:r>
          </w:p>
        </w:tc>
        <w:tc>
          <w:tcPr>
            <w:tcW w:w="167" w:type="pct"/>
            <w:tcBorders>
              <w:top w:val="single" w:sz="4" w:space="0" w:color="auto"/>
              <w:left w:val="nil"/>
              <w:bottom w:val="single" w:sz="4" w:space="0" w:color="auto"/>
              <w:right w:val="nil"/>
            </w:tcBorders>
            <w:shd w:val="clear" w:color="000000" w:fill="FFFFFF"/>
            <w:vAlign w:val="center"/>
          </w:tcPr>
          <w:p w:rsidR="00EB3174" w:rsidRPr="00737872" w:rsidRDefault="00EB3174"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p>
        </w:tc>
        <w:tc>
          <w:tcPr>
            <w:tcW w:w="401" w:type="pct"/>
            <w:tcBorders>
              <w:top w:val="single" w:sz="4" w:space="0" w:color="auto"/>
              <w:left w:val="nil"/>
              <w:bottom w:val="single" w:sz="4" w:space="0" w:color="auto"/>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b/>
                <w:bCs/>
                <w:sz w:val="19"/>
                <w:szCs w:val="19"/>
              </w:rPr>
            </w:pPr>
          </w:p>
        </w:tc>
        <w:tc>
          <w:tcPr>
            <w:tcW w:w="470" w:type="pct"/>
            <w:tcBorders>
              <w:top w:val="single" w:sz="4" w:space="0" w:color="auto"/>
              <w:bottom w:val="single" w:sz="4" w:space="0" w:color="auto"/>
              <w:right w:val="nil"/>
            </w:tcBorders>
            <w:shd w:val="clear" w:color="000000" w:fill="FFFFFF"/>
            <w:vAlign w:val="center"/>
          </w:tcPr>
          <w:p w:rsidR="00EB3174" w:rsidRPr="00737872" w:rsidRDefault="00EB3174"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Mean</w:t>
            </w:r>
          </w:p>
        </w:tc>
        <w:tc>
          <w:tcPr>
            <w:tcW w:w="175" w:type="pct"/>
            <w:tcBorders>
              <w:top w:val="single" w:sz="4" w:space="0" w:color="auto"/>
              <w:left w:val="nil"/>
              <w:bottom w:val="single" w:sz="4" w:space="0" w:color="auto"/>
              <w:right w:val="nil"/>
            </w:tcBorders>
            <w:shd w:val="clear" w:color="000000" w:fill="FFFFFF"/>
            <w:vAlign w:val="center"/>
          </w:tcPr>
          <w:p w:rsidR="00EB3174" w:rsidRPr="00737872" w:rsidRDefault="00EB3174"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w:t>
            </w:r>
          </w:p>
        </w:tc>
        <w:tc>
          <w:tcPr>
            <w:tcW w:w="440" w:type="pct"/>
            <w:tcBorders>
              <w:top w:val="single" w:sz="4" w:space="0" w:color="auto"/>
              <w:left w:val="nil"/>
              <w:bottom w:val="single" w:sz="4" w:space="0" w:color="auto"/>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S. D</w:t>
            </w:r>
          </w:p>
        </w:tc>
        <w:tc>
          <w:tcPr>
            <w:tcW w:w="440" w:type="pct"/>
            <w:tcBorders>
              <w:top w:val="single" w:sz="4" w:space="0" w:color="auto"/>
              <w:left w:val="nil"/>
              <w:bottom w:val="single" w:sz="4" w:space="0" w:color="auto"/>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b/>
                <w:bCs/>
                <w:sz w:val="19"/>
                <w:szCs w:val="19"/>
              </w:rPr>
            </w:pPr>
            <w:proofErr w:type="spellStart"/>
            <w:r w:rsidRPr="00737872">
              <w:rPr>
                <w:rFonts w:ascii="Times New Roman" w:hAnsi="Times New Roman" w:cs="Times New Roman"/>
                <w:b/>
                <w:bCs/>
                <w:sz w:val="19"/>
                <w:szCs w:val="19"/>
              </w:rPr>
              <w:t>t.test</w:t>
            </w:r>
            <w:proofErr w:type="spellEnd"/>
          </w:p>
        </w:tc>
        <w:tc>
          <w:tcPr>
            <w:tcW w:w="570" w:type="pct"/>
            <w:tcBorders>
              <w:top w:val="single" w:sz="4" w:space="0" w:color="auto"/>
              <w:left w:val="nil"/>
              <w:bottom w:val="single" w:sz="4" w:space="0" w:color="auto"/>
              <w:right w:val="single" w:sz="4" w:space="0" w:color="auto"/>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b/>
                <w:bCs/>
                <w:sz w:val="19"/>
                <w:szCs w:val="19"/>
              </w:rPr>
            </w:pPr>
            <w:proofErr w:type="spellStart"/>
            <w:r w:rsidRPr="00737872">
              <w:rPr>
                <w:rFonts w:ascii="Times New Roman" w:hAnsi="Times New Roman" w:cs="Times New Roman"/>
                <w:b/>
                <w:bCs/>
                <w:sz w:val="19"/>
                <w:szCs w:val="19"/>
              </w:rPr>
              <w:t>p.value</w:t>
            </w:r>
            <w:proofErr w:type="spellEnd"/>
          </w:p>
        </w:tc>
      </w:tr>
      <w:tr w:rsidR="00BF7D07" w:rsidRPr="00737872" w:rsidTr="00BF7D07">
        <w:trPr>
          <w:jc w:val="center"/>
        </w:trPr>
        <w:tc>
          <w:tcPr>
            <w:tcW w:w="1007" w:type="pct"/>
            <w:vMerge w:val="restart"/>
            <w:tcBorders>
              <w:top w:val="single" w:sz="4" w:space="0" w:color="auto"/>
              <w:left w:val="single" w:sz="4" w:space="0" w:color="auto"/>
              <w:bottom w:val="single" w:sz="4" w:space="0" w:color="auto"/>
            </w:tcBorders>
            <w:shd w:val="clear" w:color="000000" w:fill="FFFFFF"/>
            <w:vAlign w:val="center"/>
          </w:tcPr>
          <w:p w:rsidR="00EB3174" w:rsidRPr="00737872" w:rsidRDefault="00EB3174"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CI</w:t>
            </w:r>
          </w:p>
        </w:tc>
        <w:tc>
          <w:tcPr>
            <w:tcW w:w="817" w:type="pct"/>
            <w:tcBorders>
              <w:top w:val="single" w:sz="4" w:space="0" w:color="auto"/>
              <w:bottom w:val="single" w:sz="4" w:space="0" w:color="auto"/>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IMRT</w:t>
            </w:r>
          </w:p>
        </w:tc>
        <w:tc>
          <w:tcPr>
            <w:tcW w:w="514" w:type="pct"/>
            <w:tcBorders>
              <w:top w:val="single" w:sz="4" w:space="0" w:color="auto"/>
              <w:bottom w:val="single" w:sz="4" w:space="0" w:color="auto"/>
              <w:right w:val="nil"/>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0.2</w:t>
            </w:r>
          </w:p>
        </w:tc>
        <w:tc>
          <w:tcPr>
            <w:tcW w:w="167" w:type="pct"/>
            <w:tcBorders>
              <w:top w:val="single" w:sz="4" w:space="0" w:color="auto"/>
              <w:left w:val="nil"/>
              <w:bottom w:val="single" w:sz="4" w:space="0" w:color="auto"/>
              <w:right w:val="nil"/>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w:t>
            </w:r>
          </w:p>
        </w:tc>
        <w:tc>
          <w:tcPr>
            <w:tcW w:w="401" w:type="pct"/>
            <w:tcBorders>
              <w:top w:val="single" w:sz="4" w:space="0" w:color="auto"/>
              <w:left w:val="nil"/>
              <w:bottom w:val="single" w:sz="4" w:space="0" w:color="auto"/>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5</w:t>
            </w:r>
          </w:p>
        </w:tc>
        <w:tc>
          <w:tcPr>
            <w:tcW w:w="470" w:type="pct"/>
            <w:tcBorders>
              <w:top w:val="single" w:sz="4" w:space="0" w:color="auto"/>
              <w:bottom w:val="single" w:sz="4" w:space="0" w:color="auto"/>
              <w:right w:val="nil"/>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1.24</w:t>
            </w:r>
          </w:p>
        </w:tc>
        <w:tc>
          <w:tcPr>
            <w:tcW w:w="175" w:type="pct"/>
            <w:tcBorders>
              <w:top w:val="single" w:sz="4" w:space="0" w:color="auto"/>
              <w:left w:val="nil"/>
              <w:bottom w:val="single" w:sz="4" w:space="0" w:color="auto"/>
              <w:right w:val="nil"/>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w:t>
            </w:r>
          </w:p>
        </w:tc>
        <w:tc>
          <w:tcPr>
            <w:tcW w:w="440" w:type="pct"/>
            <w:tcBorders>
              <w:top w:val="single" w:sz="4" w:space="0" w:color="auto"/>
              <w:left w:val="nil"/>
              <w:bottom w:val="single" w:sz="4" w:space="0" w:color="auto"/>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1.03</w:t>
            </w:r>
          </w:p>
        </w:tc>
        <w:tc>
          <w:tcPr>
            <w:tcW w:w="440" w:type="pct"/>
            <w:vMerge w:val="restart"/>
            <w:tcBorders>
              <w:top w:val="single" w:sz="4" w:space="0" w:color="auto"/>
              <w:left w:val="nil"/>
              <w:bottom w:val="single" w:sz="4" w:space="0" w:color="auto"/>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0.065</w:t>
            </w:r>
          </w:p>
        </w:tc>
        <w:tc>
          <w:tcPr>
            <w:tcW w:w="570" w:type="pct"/>
            <w:vMerge w:val="restart"/>
            <w:tcBorders>
              <w:top w:val="single" w:sz="4" w:space="0" w:color="auto"/>
              <w:left w:val="nil"/>
              <w:bottom w:val="single" w:sz="4" w:space="0" w:color="auto"/>
              <w:right w:val="single" w:sz="4" w:space="0" w:color="auto"/>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0.799</w:t>
            </w:r>
          </w:p>
        </w:tc>
      </w:tr>
      <w:tr w:rsidR="00BF7D07" w:rsidRPr="00737872" w:rsidTr="00BF7D07">
        <w:trPr>
          <w:jc w:val="center"/>
        </w:trPr>
        <w:tc>
          <w:tcPr>
            <w:tcW w:w="1007" w:type="pct"/>
            <w:vMerge/>
            <w:tcBorders>
              <w:top w:val="single" w:sz="4" w:space="0" w:color="auto"/>
              <w:left w:val="single" w:sz="4" w:space="0" w:color="auto"/>
              <w:bottom w:val="single" w:sz="4" w:space="0" w:color="auto"/>
            </w:tcBorders>
            <w:shd w:val="clear" w:color="000000" w:fill="FFFFFF"/>
            <w:vAlign w:val="center"/>
          </w:tcPr>
          <w:p w:rsidR="00EB3174" w:rsidRPr="00737872" w:rsidRDefault="00EB3174"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p>
        </w:tc>
        <w:tc>
          <w:tcPr>
            <w:tcW w:w="817" w:type="pct"/>
            <w:tcBorders>
              <w:top w:val="single" w:sz="4" w:space="0" w:color="auto"/>
              <w:bottom w:val="single" w:sz="4" w:space="0" w:color="auto"/>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Conformal</w:t>
            </w:r>
          </w:p>
        </w:tc>
        <w:tc>
          <w:tcPr>
            <w:tcW w:w="514" w:type="pct"/>
            <w:tcBorders>
              <w:top w:val="single" w:sz="4" w:space="0" w:color="auto"/>
              <w:bottom w:val="single" w:sz="4" w:space="0" w:color="auto"/>
              <w:right w:val="nil"/>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0.18</w:t>
            </w:r>
          </w:p>
        </w:tc>
        <w:tc>
          <w:tcPr>
            <w:tcW w:w="167" w:type="pct"/>
            <w:tcBorders>
              <w:top w:val="single" w:sz="4" w:space="0" w:color="auto"/>
              <w:left w:val="nil"/>
              <w:bottom w:val="single" w:sz="4" w:space="0" w:color="auto"/>
              <w:right w:val="nil"/>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w:t>
            </w:r>
          </w:p>
        </w:tc>
        <w:tc>
          <w:tcPr>
            <w:tcW w:w="401" w:type="pct"/>
            <w:tcBorders>
              <w:top w:val="single" w:sz="4" w:space="0" w:color="auto"/>
              <w:left w:val="nil"/>
              <w:bottom w:val="single" w:sz="4" w:space="0" w:color="auto"/>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3.4</w:t>
            </w:r>
          </w:p>
        </w:tc>
        <w:tc>
          <w:tcPr>
            <w:tcW w:w="470" w:type="pct"/>
            <w:tcBorders>
              <w:top w:val="single" w:sz="4" w:space="0" w:color="auto"/>
              <w:bottom w:val="single" w:sz="4" w:space="0" w:color="auto"/>
              <w:right w:val="nil"/>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1.18</w:t>
            </w:r>
          </w:p>
        </w:tc>
        <w:tc>
          <w:tcPr>
            <w:tcW w:w="175" w:type="pct"/>
            <w:tcBorders>
              <w:top w:val="single" w:sz="4" w:space="0" w:color="auto"/>
              <w:left w:val="nil"/>
              <w:bottom w:val="single" w:sz="4" w:space="0" w:color="auto"/>
              <w:right w:val="nil"/>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w:t>
            </w:r>
          </w:p>
        </w:tc>
        <w:tc>
          <w:tcPr>
            <w:tcW w:w="440" w:type="pct"/>
            <w:tcBorders>
              <w:top w:val="single" w:sz="4" w:space="0" w:color="auto"/>
              <w:left w:val="nil"/>
              <w:bottom w:val="single" w:sz="4" w:space="0" w:color="auto"/>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0.89</w:t>
            </w:r>
          </w:p>
        </w:tc>
        <w:tc>
          <w:tcPr>
            <w:tcW w:w="440" w:type="pct"/>
            <w:vMerge/>
            <w:tcBorders>
              <w:top w:val="single" w:sz="4" w:space="0" w:color="auto"/>
              <w:left w:val="nil"/>
              <w:bottom w:val="single" w:sz="4" w:space="0" w:color="auto"/>
            </w:tcBorders>
            <w:shd w:val="clear" w:color="000000" w:fill="FFFFFF"/>
            <w:vAlign w:val="center"/>
          </w:tcPr>
          <w:p w:rsidR="00EB3174" w:rsidRPr="00737872" w:rsidRDefault="00EB3174" w:rsidP="00737872">
            <w:pPr>
              <w:autoSpaceDE w:val="0"/>
              <w:autoSpaceDN w:val="0"/>
              <w:bidi w:val="0"/>
              <w:adjustRightInd w:val="0"/>
              <w:snapToGrid w:val="0"/>
              <w:spacing w:after="0" w:line="240" w:lineRule="auto"/>
              <w:jc w:val="both"/>
              <w:rPr>
                <w:rFonts w:ascii="Times New Roman" w:hAnsi="Times New Roman" w:cs="Times New Roman"/>
                <w:sz w:val="19"/>
                <w:szCs w:val="19"/>
              </w:rPr>
            </w:pPr>
          </w:p>
        </w:tc>
        <w:tc>
          <w:tcPr>
            <w:tcW w:w="570" w:type="pct"/>
            <w:vMerge/>
            <w:tcBorders>
              <w:top w:val="single" w:sz="4" w:space="0" w:color="auto"/>
              <w:left w:val="nil"/>
              <w:bottom w:val="single" w:sz="4" w:space="0" w:color="auto"/>
              <w:right w:val="single" w:sz="4" w:space="0" w:color="auto"/>
            </w:tcBorders>
            <w:shd w:val="clear" w:color="000000" w:fill="FFFFFF"/>
            <w:vAlign w:val="center"/>
          </w:tcPr>
          <w:p w:rsidR="00EB3174" w:rsidRPr="00737872" w:rsidRDefault="00EB3174" w:rsidP="00737872">
            <w:pPr>
              <w:autoSpaceDE w:val="0"/>
              <w:autoSpaceDN w:val="0"/>
              <w:bidi w:val="0"/>
              <w:adjustRightInd w:val="0"/>
              <w:snapToGrid w:val="0"/>
              <w:spacing w:after="0" w:line="240" w:lineRule="auto"/>
              <w:jc w:val="both"/>
              <w:rPr>
                <w:rFonts w:ascii="Times New Roman" w:hAnsi="Times New Roman" w:cs="Times New Roman"/>
                <w:sz w:val="19"/>
                <w:szCs w:val="19"/>
              </w:rPr>
            </w:pPr>
          </w:p>
        </w:tc>
      </w:tr>
      <w:tr w:rsidR="00BF7D07" w:rsidRPr="00737872" w:rsidTr="00BF7D07">
        <w:trPr>
          <w:jc w:val="center"/>
        </w:trPr>
        <w:tc>
          <w:tcPr>
            <w:tcW w:w="1007" w:type="pct"/>
            <w:vMerge w:val="restart"/>
            <w:tcBorders>
              <w:top w:val="single" w:sz="4" w:space="0" w:color="auto"/>
              <w:left w:val="single" w:sz="4" w:space="0" w:color="auto"/>
              <w:bottom w:val="single" w:sz="4" w:space="0" w:color="auto"/>
            </w:tcBorders>
            <w:shd w:val="clear" w:color="000000" w:fill="FFFFFF"/>
            <w:vAlign w:val="center"/>
          </w:tcPr>
          <w:p w:rsidR="00EB3174" w:rsidRPr="00737872" w:rsidRDefault="00EB3174"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HI</w:t>
            </w:r>
          </w:p>
        </w:tc>
        <w:tc>
          <w:tcPr>
            <w:tcW w:w="817" w:type="pct"/>
            <w:tcBorders>
              <w:top w:val="single" w:sz="4" w:space="0" w:color="auto"/>
              <w:bottom w:val="single" w:sz="4" w:space="0" w:color="auto"/>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IMRT</w:t>
            </w:r>
          </w:p>
        </w:tc>
        <w:tc>
          <w:tcPr>
            <w:tcW w:w="514" w:type="pct"/>
            <w:tcBorders>
              <w:top w:val="single" w:sz="4" w:space="0" w:color="auto"/>
              <w:bottom w:val="single" w:sz="4" w:space="0" w:color="auto"/>
              <w:right w:val="nil"/>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0.06</w:t>
            </w:r>
          </w:p>
        </w:tc>
        <w:tc>
          <w:tcPr>
            <w:tcW w:w="167" w:type="pct"/>
            <w:tcBorders>
              <w:top w:val="single" w:sz="4" w:space="0" w:color="auto"/>
              <w:left w:val="nil"/>
              <w:bottom w:val="single" w:sz="4" w:space="0" w:color="auto"/>
              <w:right w:val="nil"/>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w:t>
            </w:r>
          </w:p>
        </w:tc>
        <w:tc>
          <w:tcPr>
            <w:tcW w:w="401" w:type="pct"/>
            <w:tcBorders>
              <w:top w:val="single" w:sz="4" w:space="0" w:color="auto"/>
              <w:left w:val="nil"/>
              <w:bottom w:val="single" w:sz="4" w:space="0" w:color="auto"/>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0.3</w:t>
            </w:r>
          </w:p>
        </w:tc>
        <w:tc>
          <w:tcPr>
            <w:tcW w:w="470" w:type="pct"/>
            <w:tcBorders>
              <w:top w:val="single" w:sz="4" w:space="0" w:color="auto"/>
              <w:bottom w:val="single" w:sz="4" w:space="0" w:color="auto"/>
              <w:right w:val="nil"/>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0.11</w:t>
            </w:r>
          </w:p>
        </w:tc>
        <w:tc>
          <w:tcPr>
            <w:tcW w:w="175" w:type="pct"/>
            <w:tcBorders>
              <w:top w:val="single" w:sz="4" w:space="0" w:color="auto"/>
              <w:left w:val="nil"/>
              <w:bottom w:val="single" w:sz="4" w:space="0" w:color="auto"/>
              <w:right w:val="nil"/>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w:t>
            </w:r>
          </w:p>
        </w:tc>
        <w:tc>
          <w:tcPr>
            <w:tcW w:w="440" w:type="pct"/>
            <w:tcBorders>
              <w:top w:val="single" w:sz="4" w:space="0" w:color="auto"/>
              <w:left w:val="nil"/>
              <w:bottom w:val="single" w:sz="4" w:space="0" w:color="auto"/>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0.06</w:t>
            </w:r>
          </w:p>
        </w:tc>
        <w:tc>
          <w:tcPr>
            <w:tcW w:w="440" w:type="pct"/>
            <w:vMerge w:val="restart"/>
            <w:tcBorders>
              <w:top w:val="single" w:sz="4" w:space="0" w:color="auto"/>
              <w:left w:val="nil"/>
              <w:bottom w:val="single" w:sz="4" w:space="0" w:color="auto"/>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7.457</w:t>
            </w:r>
          </w:p>
        </w:tc>
        <w:tc>
          <w:tcPr>
            <w:tcW w:w="570" w:type="pct"/>
            <w:vMerge w:val="restart"/>
            <w:tcBorders>
              <w:top w:val="single" w:sz="4" w:space="0" w:color="auto"/>
              <w:left w:val="nil"/>
              <w:bottom w:val="single" w:sz="4" w:space="0" w:color="auto"/>
              <w:right w:val="single" w:sz="4" w:space="0" w:color="auto"/>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0.008*</w:t>
            </w:r>
          </w:p>
        </w:tc>
      </w:tr>
      <w:tr w:rsidR="00BF7D07" w:rsidRPr="00737872" w:rsidTr="00BF7D07">
        <w:trPr>
          <w:jc w:val="center"/>
        </w:trPr>
        <w:tc>
          <w:tcPr>
            <w:tcW w:w="1007" w:type="pct"/>
            <w:vMerge/>
            <w:tcBorders>
              <w:top w:val="single" w:sz="4" w:space="0" w:color="auto"/>
              <w:left w:val="single" w:sz="4" w:space="0" w:color="auto"/>
              <w:bottom w:val="single" w:sz="4" w:space="0" w:color="auto"/>
            </w:tcBorders>
            <w:shd w:val="clear" w:color="000000" w:fill="FFFFFF"/>
            <w:vAlign w:val="center"/>
          </w:tcPr>
          <w:p w:rsidR="00EB3174" w:rsidRPr="00737872" w:rsidRDefault="00EB3174"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p>
        </w:tc>
        <w:tc>
          <w:tcPr>
            <w:tcW w:w="817" w:type="pct"/>
            <w:tcBorders>
              <w:top w:val="single" w:sz="4" w:space="0" w:color="auto"/>
              <w:bottom w:val="single" w:sz="4" w:space="0" w:color="auto"/>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Conformal</w:t>
            </w:r>
          </w:p>
        </w:tc>
        <w:tc>
          <w:tcPr>
            <w:tcW w:w="514" w:type="pct"/>
            <w:tcBorders>
              <w:top w:val="single" w:sz="4" w:space="0" w:color="auto"/>
              <w:bottom w:val="single" w:sz="4" w:space="0" w:color="auto"/>
              <w:right w:val="nil"/>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0.05</w:t>
            </w:r>
          </w:p>
        </w:tc>
        <w:tc>
          <w:tcPr>
            <w:tcW w:w="167" w:type="pct"/>
            <w:tcBorders>
              <w:top w:val="single" w:sz="4" w:space="0" w:color="auto"/>
              <w:left w:val="nil"/>
              <w:bottom w:val="single" w:sz="4" w:space="0" w:color="auto"/>
              <w:right w:val="nil"/>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w:t>
            </w:r>
          </w:p>
        </w:tc>
        <w:tc>
          <w:tcPr>
            <w:tcW w:w="401" w:type="pct"/>
            <w:tcBorders>
              <w:top w:val="single" w:sz="4" w:space="0" w:color="auto"/>
              <w:left w:val="nil"/>
              <w:bottom w:val="single" w:sz="4" w:space="0" w:color="auto"/>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0.7</w:t>
            </w:r>
          </w:p>
        </w:tc>
        <w:tc>
          <w:tcPr>
            <w:tcW w:w="470" w:type="pct"/>
            <w:tcBorders>
              <w:top w:val="single" w:sz="4" w:space="0" w:color="auto"/>
              <w:bottom w:val="single" w:sz="4" w:space="0" w:color="auto"/>
              <w:right w:val="nil"/>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0.19</w:t>
            </w:r>
          </w:p>
        </w:tc>
        <w:tc>
          <w:tcPr>
            <w:tcW w:w="175" w:type="pct"/>
            <w:tcBorders>
              <w:top w:val="single" w:sz="4" w:space="0" w:color="auto"/>
              <w:left w:val="nil"/>
              <w:bottom w:val="single" w:sz="4" w:space="0" w:color="auto"/>
              <w:right w:val="nil"/>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w:t>
            </w:r>
          </w:p>
        </w:tc>
        <w:tc>
          <w:tcPr>
            <w:tcW w:w="440" w:type="pct"/>
            <w:tcBorders>
              <w:top w:val="single" w:sz="4" w:space="0" w:color="auto"/>
              <w:left w:val="nil"/>
              <w:bottom w:val="single" w:sz="4" w:space="0" w:color="auto"/>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0.16</w:t>
            </w:r>
          </w:p>
        </w:tc>
        <w:tc>
          <w:tcPr>
            <w:tcW w:w="440" w:type="pct"/>
            <w:vMerge/>
            <w:tcBorders>
              <w:top w:val="single" w:sz="4" w:space="0" w:color="auto"/>
              <w:left w:val="nil"/>
              <w:bottom w:val="single" w:sz="4" w:space="0" w:color="auto"/>
            </w:tcBorders>
            <w:shd w:val="clear" w:color="000000" w:fill="FFFFFF"/>
            <w:vAlign w:val="center"/>
          </w:tcPr>
          <w:p w:rsidR="00EB3174" w:rsidRPr="00737872" w:rsidRDefault="00EB3174" w:rsidP="00737872">
            <w:pPr>
              <w:autoSpaceDE w:val="0"/>
              <w:autoSpaceDN w:val="0"/>
              <w:bidi w:val="0"/>
              <w:adjustRightInd w:val="0"/>
              <w:snapToGrid w:val="0"/>
              <w:spacing w:after="0" w:line="240" w:lineRule="auto"/>
              <w:jc w:val="both"/>
              <w:rPr>
                <w:rFonts w:ascii="Times New Roman" w:hAnsi="Times New Roman" w:cs="Times New Roman"/>
                <w:sz w:val="19"/>
                <w:szCs w:val="19"/>
              </w:rPr>
            </w:pPr>
          </w:p>
        </w:tc>
        <w:tc>
          <w:tcPr>
            <w:tcW w:w="570" w:type="pct"/>
            <w:vMerge/>
            <w:tcBorders>
              <w:top w:val="single" w:sz="4" w:space="0" w:color="auto"/>
              <w:left w:val="nil"/>
              <w:bottom w:val="single" w:sz="4" w:space="0" w:color="auto"/>
              <w:right w:val="single" w:sz="4" w:space="0" w:color="auto"/>
            </w:tcBorders>
            <w:shd w:val="clear" w:color="000000" w:fill="FFFFFF"/>
            <w:vAlign w:val="center"/>
          </w:tcPr>
          <w:p w:rsidR="00EB3174" w:rsidRPr="00737872" w:rsidRDefault="00EB3174" w:rsidP="00737872">
            <w:pPr>
              <w:autoSpaceDE w:val="0"/>
              <w:autoSpaceDN w:val="0"/>
              <w:bidi w:val="0"/>
              <w:adjustRightInd w:val="0"/>
              <w:snapToGrid w:val="0"/>
              <w:spacing w:after="0" w:line="240" w:lineRule="auto"/>
              <w:jc w:val="both"/>
              <w:rPr>
                <w:rFonts w:ascii="Times New Roman" w:hAnsi="Times New Roman" w:cs="Times New Roman"/>
                <w:sz w:val="19"/>
                <w:szCs w:val="19"/>
              </w:rPr>
            </w:pPr>
          </w:p>
        </w:tc>
      </w:tr>
      <w:tr w:rsidR="00BF7D07" w:rsidRPr="00737872" w:rsidTr="00BF7D07">
        <w:trPr>
          <w:jc w:val="center"/>
        </w:trPr>
        <w:tc>
          <w:tcPr>
            <w:tcW w:w="1007" w:type="pct"/>
            <w:vMerge w:val="restart"/>
            <w:tcBorders>
              <w:top w:val="single" w:sz="4" w:space="0" w:color="auto"/>
              <w:left w:val="single" w:sz="4" w:space="0" w:color="auto"/>
              <w:bottom w:val="single" w:sz="4" w:space="0" w:color="auto"/>
            </w:tcBorders>
            <w:shd w:val="clear" w:color="000000" w:fill="FFFFFF"/>
            <w:vAlign w:val="center"/>
          </w:tcPr>
          <w:p w:rsidR="00EB3174" w:rsidRPr="00737872" w:rsidRDefault="00EB3174" w:rsidP="00737872">
            <w:pPr>
              <w:autoSpaceDE w:val="0"/>
              <w:autoSpaceDN w:val="0"/>
              <w:bidi w:val="0"/>
              <w:adjustRightInd w:val="0"/>
              <w:snapToGrid w:val="0"/>
              <w:spacing w:after="0" w:line="240" w:lineRule="auto"/>
              <w:jc w:val="both"/>
              <w:rPr>
                <w:rFonts w:ascii="Times New Roman" w:hAnsi="Times New Roman" w:cs="Times New Roman"/>
                <w:b/>
                <w:bCs/>
                <w:sz w:val="19"/>
                <w:szCs w:val="19"/>
                <w:lang w:bidi="ar-EG"/>
              </w:rPr>
            </w:pPr>
            <w:r w:rsidRPr="00737872">
              <w:rPr>
                <w:rFonts w:ascii="Times New Roman" w:hAnsi="Times New Roman" w:cs="Times New Roman"/>
                <w:b/>
                <w:bCs/>
                <w:sz w:val="19"/>
                <w:szCs w:val="19"/>
              </w:rPr>
              <w:t>MU</w:t>
            </w:r>
            <w:r w:rsidRPr="00737872">
              <w:rPr>
                <w:rFonts w:ascii="Times New Roman" w:hAnsi="Times New Roman" w:cs="Times New Roman"/>
                <w:sz w:val="19"/>
                <w:szCs w:val="19"/>
              </w:rPr>
              <w:t>/</w:t>
            </w:r>
            <w:r w:rsidRPr="00737872">
              <w:rPr>
                <w:rFonts w:ascii="Times New Roman" w:hAnsi="Times New Roman" w:cs="Times New Roman"/>
                <w:b/>
                <w:bCs/>
                <w:sz w:val="19"/>
                <w:szCs w:val="19"/>
              </w:rPr>
              <w:t>fraction</w:t>
            </w:r>
          </w:p>
        </w:tc>
        <w:tc>
          <w:tcPr>
            <w:tcW w:w="817" w:type="pct"/>
            <w:tcBorders>
              <w:top w:val="single" w:sz="4" w:space="0" w:color="auto"/>
              <w:bottom w:val="single" w:sz="4" w:space="0" w:color="auto"/>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IMRT</w:t>
            </w:r>
          </w:p>
        </w:tc>
        <w:tc>
          <w:tcPr>
            <w:tcW w:w="514" w:type="pct"/>
            <w:tcBorders>
              <w:top w:val="single" w:sz="4" w:space="0" w:color="auto"/>
              <w:bottom w:val="single" w:sz="4" w:space="0" w:color="auto"/>
              <w:right w:val="nil"/>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377</w:t>
            </w:r>
          </w:p>
        </w:tc>
        <w:tc>
          <w:tcPr>
            <w:tcW w:w="167" w:type="pct"/>
            <w:tcBorders>
              <w:top w:val="single" w:sz="4" w:space="0" w:color="auto"/>
              <w:left w:val="nil"/>
              <w:bottom w:val="single" w:sz="4" w:space="0" w:color="auto"/>
              <w:right w:val="nil"/>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w:t>
            </w:r>
          </w:p>
        </w:tc>
        <w:tc>
          <w:tcPr>
            <w:tcW w:w="401" w:type="pct"/>
            <w:tcBorders>
              <w:top w:val="single" w:sz="4" w:space="0" w:color="auto"/>
              <w:left w:val="nil"/>
              <w:bottom w:val="single" w:sz="4" w:space="0" w:color="auto"/>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1128</w:t>
            </w:r>
          </w:p>
        </w:tc>
        <w:tc>
          <w:tcPr>
            <w:tcW w:w="470" w:type="pct"/>
            <w:tcBorders>
              <w:top w:val="single" w:sz="4" w:space="0" w:color="auto"/>
              <w:bottom w:val="single" w:sz="4" w:space="0" w:color="auto"/>
              <w:right w:val="nil"/>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827.9</w:t>
            </w:r>
          </w:p>
        </w:tc>
        <w:tc>
          <w:tcPr>
            <w:tcW w:w="175" w:type="pct"/>
            <w:tcBorders>
              <w:top w:val="single" w:sz="4" w:space="0" w:color="auto"/>
              <w:left w:val="nil"/>
              <w:bottom w:val="single" w:sz="4" w:space="0" w:color="auto"/>
              <w:right w:val="nil"/>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w:t>
            </w:r>
          </w:p>
        </w:tc>
        <w:tc>
          <w:tcPr>
            <w:tcW w:w="440" w:type="pct"/>
            <w:tcBorders>
              <w:top w:val="single" w:sz="4" w:space="0" w:color="auto"/>
              <w:left w:val="nil"/>
              <w:bottom w:val="single" w:sz="4" w:space="0" w:color="auto"/>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148.4</w:t>
            </w:r>
          </w:p>
        </w:tc>
        <w:tc>
          <w:tcPr>
            <w:tcW w:w="440" w:type="pct"/>
            <w:vMerge w:val="restart"/>
            <w:tcBorders>
              <w:top w:val="single" w:sz="4" w:space="0" w:color="auto"/>
              <w:left w:val="nil"/>
              <w:bottom w:val="single" w:sz="4" w:space="0" w:color="auto"/>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88.67</w:t>
            </w:r>
          </w:p>
        </w:tc>
        <w:tc>
          <w:tcPr>
            <w:tcW w:w="570" w:type="pct"/>
            <w:vMerge w:val="restart"/>
            <w:tcBorders>
              <w:top w:val="single" w:sz="4" w:space="0" w:color="auto"/>
              <w:left w:val="nil"/>
              <w:bottom w:val="single" w:sz="4" w:space="0" w:color="auto"/>
              <w:right w:val="single" w:sz="4" w:space="0" w:color="auto"/>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0.001*</w:t>
            </w:r>
          </w:p>
        </w:tc>
      </w:tr>
      <w:tr w:rsidR="00BF7D07" w:rsidRPr="00737872" w:rsidTr="00BF7D07">
        <w:trPr>
          <w:jc w:val="center"/>
        </w:trPr>
        <w:tc>
          <w:tcPr>
            <w:tcW w:w="1007" w:type="pct"/>
            <w:vMerge/>
            <w:tcBorders>
              <w:top w:val="single" w:sz="4" w:space="0" w:color="auto"/>
              <w:left w:val="single" w:sz="4" w:space="0" w:color="auto"/>
              <w:bottom w:val="single" w:sz="4" w:space="0" w:color="auto"/>
            </w:tcBorders>
            <w:shd w:val="clear" w:color="000000" w:fill="FFFFFF"/>
            <w:vAlign w:val="center"/>
          </w:tcPr>
          <w:p w:rsidR="00EB3174" w:rsidRPr="00737872" w:rsidRDefault="00EB3174"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p>
        </w:tc>
        <w:tc>
          <w:tcPr>
            <w:tcW w:w="817" w:type="pct"/>
            <w:tcBorders>
              <w:top w:val="single" w:sz="4" w:space="0" w:color="auto"/>
              <w:bottom w:val="single" w:sz="4" w:space="0" w:color="auto"/>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Conformal</w:t>
            </w:r>
          </w:p>
        </w:tc>
        <w:tc>
          <w:tcPr>
            <w:tcW w:w="514" w:type="pct"/>
            <w:tcBorders>
              <w:top w:val="single" w:sz="4" w:space="0" w:color="auto"/>
              <w:bottom w:val="single" w:sz="4" w:space="0" w:color="auto"/>
              <w:right w:val="nil"/>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211</w:t>
            </w:r>
          </w:p>
        </w:tc>
        <w:tc>
          <w:tcPr>
            <w:tcW w:w="167" w:type="pct"/>
            <w:tcBorders>
              <w:top w:val="single" w:sz="4" w:space="0" w:color="auto"/>
              <w:left w:val="nil"/>
              <w:bottom w:val="single" w:sz="4" w:space="0" w:color="auto"/>
              <w:right w:val="nil"/>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w:t>
            </w:r>
          </w:p>
        </w:tc>
        <w:tc>
          <w:tcPr>
            <w:tcW w:w="401" w:type="pct"/>
            <w:tcBorders>
              <w:top w:val="single" w:sz="4" w:space="0" w:color="auto"/>
              <w:left w:val="nil"/>
              <w:bottom w:val="single" w:sz="4" w:space="0" w:color="auto"/>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787</w:t>
            </w:r>
          </w:p>
        </w:tc>
        <w:tc>
          <w:tcPr>
            <w:tcW w:w="470" w:type="pct"/>
            <w:tcBorders>
              <w:top w:val="single" w:sz="4" w:space="0" w:color="auto"/>
              <w:bottom w:val="single" w:sz="4" w:space="0" w:color="auto"/>
              <w:right w:val="nil"/>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443.9</w:t>
            </w:r>
          </w:p>
        </w:tc>
        <w:tc>
          <w:tcPr>
            <w:tcW w:w="175" w:type="pct"/>
            <w:tcBorders>
              <w:top w:val="single" w:sz="4" w:space="0" w:color="auto"/>
              <w:left w:val="nil"/>
              <w:bottom w:val="single" w:sz="4" w:space="0" w:color="auto"/>
              <w:right w:val="nil"/>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w:t>
            </w:r>
          </w:p>
        </w:tc>
        <w:tc>
          <w:tcPr>
            <w:tcW w:w="440" w:type="pct"/>
            <w:tcBorders>
              <w:top w:val="single" w:sz="4" w:space="0" w:color="auto"/>
              <w:left w:val="nil"/>
              <w:bottom w:val="single" w:sz="4" w:space="0" w:color="auto"/>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166.9</w:t>
            </w:r>
          </w:p>
        </w:tc>
        <w:tc>
          <w:tcPr>
            <w:tcW w:w="440" w:type="pct"/>
            <w:vMerge/>
            <w:tcBorders>
              <w:top w:val="single" w:sz="4" w:space="0" w:color="auto"/>
              <w:left w:val="nil"/>
              <w:bottom w:val="single" w:sz="4" w:space="0" w:color="auto"/>
            </w:tcBorders>
            <w:shd w:val="clear" w:color="000000" w:fill="FFFFFF"/>
            <w:vAlign w:val="center"/>
          </w:tcPr>
          <w:p w:rsidR="00EB3174" w:rsidRPr="00737872" w:rsidRDefault="00EB3174" w:rsidP="00737872">
            <w:pPr>
              <w:autoSpaceDE w:val="0"/>
              <w:autoSpaceDN w:val="0"/>
              <w:bidi w:val="0"/>
              <w:adjustRightInd w:val="0"/>
              <w:snapToGrid w:val="0"/>
              <w:spacing w:after="0" w:line="240" w:lineRule="auto"/>
              <w:jc w:val="both"/>
              <w:rPr>
                <w:rFonts w:ascii="Times New Roman" w:hAnsi="Times New Roman" w:cs="Times New Roman"/>
                <w:sz w:val="19"/>
                <w:szCs w:val="19"/>
              </w:rPr>
            </w:pPr>
          </w:p>
        </w:tc>
        <w:tc>
          <w:tcPr>
            <w:tcW w:w="570" w:type="pct"/>
            <w:vMerge/>
            <w:tcBorders>
              <w:top w:val="single" w:sz="4" w:space="0" w:color="auto"/>
              <w:left w:val="nil"/>
              <w:bottom w:val="single" w:sz="4" w:space="0" w:color="auto"/>
              <w:right w:val="single" w:sz="4" w:space="0" w:color="auto"/>
            </w:tcBorders>
            <w:shd w:val="clear" w:color="000000" w:fill="FFFFFF"/>
            <w:vAlign w:val="center"/>
          </w:tcPr>
          <w:p w:rsidR="00EB3174" w:rsidRPr="00737872" w:rsidRDefault="00EB3174" w:rsidP="00737872">
            <w:pPr>
              <w:autoSpaceDE w:val="0"/>
              <w:autoSpaceDN w:val="0"/>
              <w:bidi w:val="0"/>
              <w:adjustRightInd w:val="0"/>
              <w:snapToGrid w:val="0"/>
              <w:spacing w:after="0" w:line="240" w:lineRule="auto"/>
              <w:jc w:val="both"/>
              <w:rPr>
                <w:rFonts w:ascii="Times New Roman" w:hAnsi="Times New Roman" w:cs="Times New Roman"/>
                <w:sz w:val="19"/>
                <w:szCs w:val="19"/>
              </w:rPr>
            </w:pPr>
          </w:p>
        </w:tc>
      </w:tr>
      <w:tr w:rsidR="00BF7D07" w:rsidRPr="00737872" w:rsidTr="00BF7D07">
        <w:trPr>
          <w:jc w:val="center"/>
        </w:trPr>
        <w:tc>
          <w:tcPr>
            <w:tcW w:w="1007" w:type="pct"/>
            <w:vMerge w:val="restart"/>
            <w:tcBorders>
              <w:top w:val="single" w:sz="4" w:space="0" w:color="auto"/>
              <w:left w:val="single" w:sz="4" w:space="0" w:color="auto"/>
              <w:bottom w:val="single" w:sz="4" w:space="0" w:color="auto"/>
            </w:tcBorders>
            <w:shd w:val="clear" w:color="000000" w:fill="FFFFFF"/>
            <w:vAlign w:val="center"/>
          </w:tcPr>
          <w:p w:rsidR="00EB3174" w:rsidRPr="00737872" w:rsidRDefault="00EB3174"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Time</w:t>
            </w:r>
            <w:r w:rsidRPr="00737872">
              <w:rPr>
                <w:rFonts w:ascii="Times New Roman" w:hAnsi="Times New Roman" w:cs="Times New Roman"/>
                <w:sz w:val="19"/>
                <w:szCs w:val="19"/>
              </w:rPr>
              <w:t>/</w:t>
            </w:r>
            <w:r w:rsidRPr="00737872">
              <w:rPr>
                <w:rFonts w:ascii="Times New Roman" w:hAnsi="Times New Roman" w:cs="Times New Roman"/>
                <w:b/>
                <w:bCs/>
                <w:sz w:val="19"/>
                <w:szCs w:val="19"/>
              </w:rPr>
              <w:t>minutes</w:t>
            </w:r>
          </w:p>
        </w:tc>
        <w:tc>
          <w:tcPr>
            <w:tcW w:w="817" w:type="pct"/>
            <w:tcBorders>
              <w:top w:val="single" w:sz="4" w:space="0" w:color="auto"/>
              <w:bottom w:val="single" w:sz="4" w:space="0" w:color="auto"/>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IMRT</w:t>
            </w:r>
          </w:p>
        </w:tc>
        <w:tc>
          <w:tcPr>
            <w:tcW w:w="514" w:type="pct"/>
            <w:tcBorders>
              <w:top w:val="single" w:sz="4" w:space="0" w:color="auto"/>
              <w:bottom w:val="single" w:sz="4" w:space="0" w:color="auto"/>
              <w:right w:val="nil"/>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1.8</w:t>
            </w:r>
          </w:p>
        </w:tc>
        <w:tc>
          <w:tcPr>
            <w:tcW w:w="167" w:type="pct"/>
            <w:tcBorders>
              <w:top w:val="single" w:sz="4" w:space="0" w:color="auto"/>
              <w:left w:val="nil"/>
              <w:bottom w:val="single" w:sz="4" w:space="0" w:color="auto"/>
              <w:right w:val="nil"/>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w:t>
            </w:r>
          </w:p>
        </w:tc>
        <w:tc>
          <w:tcPr>
            <w:tcW w:w="401" w:type="pct"/>
            <w:tcBorders>
              <w:top w:val="single" w:sz="4" w:space="0" w:color="auto"/>
              <w:left w:val="nil"/>
              <w:bottom w:val="single" w:sz="4" w:space="0" w:color="auto"/>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5.6</w:t>
            </w:r>
          </w:p>
        </w:tc>
        <w:tc>
          <w:tcPr>
            <w:tcW w:w="470" w:type="pct"/>
            <w:tcBorders>
              <w:top w:val="single" w:sz="4" w:space="0" w:color="auto"/>
              <w:bottom w:val="single" w:sz="4" w:space="0" w:color="auto"/>
              <w:right w:val="nil"/>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4.14</w:t>
            </w:r>
          </w:p>
        </w:tc>
        <w:tc>
          <w:tcPr>
            <w:tcW w:w="175" w:type="pct"/>
            <w:tcBorders>
              <w:top w:val="single" w:sz="4" w:space="0" w:color="auto"/>
              <w:left w:val="nil"/>
              <w:bottom w:val="single" w:sz="4" w:space="0" w:color="auto"/>
              <w:right w:val="nil"/>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w:t>
            </w:r>
          </w:p>
        </w:tc>
        <w:tc>
          <w:tcPr>
            <w:tcW w:w="440" w:type="pct"/>
            <w:tcBorders>
              <w:top w:val="single" w:sz="4" w:space="0" w:color="auto"/>
              <w:left w:val="nil"/>
              <w:bottom w:val="single" w:sz="4" w:space="0" w:color="auto"/>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0.74</w:t>
            </w:r>
          </w:p>
        </w:tc>
        <w:tc>
          <w:tcPr>
            <w:tcW w:w="440" w:type="pct"/>
            <w:vMerge w:val="restart"/>
            <w:tcBorders>
              <w:top w:val="single" w:sz="4" w:space="0" w:color="auto"/>
              <w:left w:val="nil"/>
              <w:bottom w:val="single" w:sz="4" w:space="0" w:color="auto"/>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88.77</w:t>
            </w:r>
          </w:p>
        </w:tc>
        <w:tc>
          <w:tcPr>
            <w:tcW w:w="570" w:type="pct"/>
            <w:vMerge w:val="restart"/>
            <w:tcBorders>
              <w:top w:val="single" w:sz="4" w:space="0" w:color="auto"/>
              <w:left w:val="nil"/>
              <w:bottom w:val="single" w:sz="4" w:space="0" w:color="auto"/>
              <w:right w:val="single" w:sz="4" w:space="0" w:color="auto"/>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0.001*</w:t>
            </w:r>
          </w:p>
        </w:tc>
      </w:tr>
      <w:tr w:rsidR="00BF7D07" w:rsidRPr="00737872" w:rsidTr="00BF7D07">
        <w:trPr>
          <w:jc w:val="center"/>
        </w:trPr>
        <w:tc>
          <w:tcPr>
            <w:tcW w:w="1007" w:type="pct"/>
            <w:vMerge/>
            <w:tcBorders>
              <w:top w:val="single" w:sz="4" w:space="0" w:color="auto"/>
              <w:left w:val="single" w:sz="4" w:space="0" w:color="auto"/>
              <w:bottom w:val="single" w:sz="4" w:space="0" w:color="auto"/>
            </w:tcBorders>
            <w:shd w:val="clear" w:color="000000" w:fill="FFFFFF"/>
            <w:vAlign w:val="center"/>
          </w:tcPr>
          <w:p w:rsidR="00EB3174" w:rsidRPr="00737872" w:rsidRDefault="00EB3174" w:rsidP="00737872">
            <w:pPr>
              <w:autoSpaceDE w:val="0"/>
              <w:autoSpaceDN w:val="0"/>
              <w:bidi w:val="0"/>
              <w:adjustRightInd w:val="0"/>
              <w:snapToGrid w:val="0"/>
              <w:spacing w:after="0" w:line="240" w:lineRule="auto"/>
              <w:jc w:val="both"/>
              <w:rPr>
                <w:rFonts w:ascii="Times New Roman" w:hAnsi="Times New Roman" w:cs="Times New Roman"/>
                <w:b/>
                <w:bCs/>
                <w:sz w:val="19"/>
                <w:szCs w:val="19"/>
              </w:rPr>
            </w:pPr>
          </w:p>
        </w:tc>
        <w:tc>
          <w:tcPr>
            <w:tcW w:w="817" w:type="pct"/>
            <w:tcBorders>
              <w:top w:val="single" w:sz="4" w:space="0" w:color="auto"/>
              <w:bottom w:val="single" w:sz="4" w:space="0" w:color="auto"/>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b/>
                <w:bCs/>
                <w:sz w:val="19"/>
                <w:szCs w:val="19"/>
              </w:rPr>
            </w:pPr>
            <w:r w:rsidRPr="00737872">
              <w:rPr>
                <w:rFonts w:ascii="Times New Roman" w:hAnsi="Times New Roman" w:cs="Times New Roman"/>
                <w:b/>
                <w:bCs/>
                <w:sz w:val="19"/>
                <w:szCs w:val="19"/>
              </w:rPr>
              <w:t>Conformal</w:t>
            </w:r>
          </w:p>
        </w:tc>
        <w:tc>
          <w:tcPr>
            <w:tcW w:w="514" w:type="pct"/>
            <w:tcBorders>
              <w:top w:val="single" w:sz="4" w:space="0" w:color="auto"/>
              <w:bottom w:val="single" w:sz="4" w:space="0" w:color="auto"/>
              <w:right w:val="nil"/>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1.05</w:t>
            </w:r>
          </w:p>
        </w:tc>
        <w:tc>
          <w:tcPr>
            <w:tcW w:w="167" w:type="pct"/>
            <w:tcBorders>
              <w:top w:val="single" w:sz="4" w:space="0" w:color="auto"/>
              <w:left w:val="nil"/>
              <w:bottom w:val="single" w:sz="4" w:space="0" w:color="auto"/>
              <w:right w:val="nil"/>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w:t>
            </w:r>
          </w:p>
        </w:tc>
        <w:tc>
          <w:tcPr>
            <w:tcW w:w="401" w:type="pct"/>
            <w:tcBorders>
              <w:top w:val="single" w:sz="4" w:space="0" w:color="auto"/>
              <w:left w:val="nil"/>
              <w:bottom w:val="single" w:sz="4" w:space="0" w:color="auto"/>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3.9</w:t>
            </w:r>
          </w:p>
        </w:tc>
        <w:tc>
          <w:tcPr>
            <w:tcW w:w="470" w:type="pct"/>
            <w:tcBorders>
              <w:top w:val="single" w:sz="4" w:space="0" w:color="auto"/>
              <w:bottom w:val="single" w:sz="4" w:space="0" w:color="auto"/>
              <w:right w:val="nil"/>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2.21</w:t>
            </w:r>
          </w:p>
        </w:tc>
        <w:tc>
          <w:tcPr>
            <w:tcW w:w="175" w:type="pct"/>
            <w:tcBorders>
              <w:top w:val="single" w:sz="4" w:space="0" w:color="auto"/>
              <w:left w:val="nil"/>
              <w:bottom w:val="single" w:sz="4" w:space="0" w:color="auto"/>
              <w:right w:val="nil"/>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w:t>
            </w:r>
          </w:p>
        </w:tc>
        <w:tc>
          <w:tcPr>
            <w:tcW w:w="440" w:type="pct"/>
            <w:tcBorders>
              <w:top w:val="single" w:sz="4" w:space="0" w:color="auto"/>
              <w:left w:val="nil"/>
              <w:bottom w:val="single" w:sz="4" w:space="0" w:color="auto"/>
            </w:tcBorders>
            <w:shd w:val="clear" w:color="000000" w:fill="FFFFFF"/>
            <w:vAlign w:val="center"/>
          </w:tcPr>
          <w:p w:rsidR="00EB3174" w:rsidRPr="00737872" w:rsidRDefault="00EB3174" w:rsidP="00737872">
            <w:pPr>
              <w:bidi w:val="0"/>
              <w:snapToGrid w:val="0"/>
              <w:spacing w:after="0" w:line="240" w:lineRule="auto"/>
              <w:jc w:val="both"/>
              <w:rPr>
                <w:rFonts w:ascii="Times New Roman" w:hAnsi="Times New Roman" w:cs="Times New Roman"/>
                <w:sz w:val="19"/>
                <w:szCs w:val="19"/>
              </w:rPr>
            </w:pPr>
            <w:r w:rsidRPr="00737872">
              <w:rPr>
                <w:rFonts w:ascii="Times New Roman" w:hAnsi="Times New Roman" w:cs="Times New Roman"/>
                <w:sz w:val="19"/>
                <w:szCs w:val="19"/>
              </w:rPr>
              <w:t>0.83</w:t>
            </w:r>
          </w:p>
        </w:tc>
        <w:tc>
          <w:tcPr>
            <w:tcW w:w="440" w:type="pct"/>
            <w:vMerge/>
            <w:tcBorders>
              <w:top w:val="single" w:sz="4" w:space="0" w:color="auto"/>
              <w:left w:val="nil"/>
              <w:bottom w:val="single" w:sz="4" w:space="0" w:color="auto"/>
            </w:tcBorders>
            <w:shd w:val="clear" w:color="000000" w:fill="FFFFFF"/>
            <w:vAlign w:val="center"/>
          </w:tcPr>
          <w:p w:rsidR="00EB3174" w:rsidRPr="00737872" w:rsidRDefault="00EB3174" w:rsidP="00737872">
            <w:pPr>
              <w:autoSpaceDE w:val="0"/>
              <w:autoSpaceDN w:val="0"/>
              <w:bidi w:val="0"/>
              <w:adjustRightInd w:val="0"/>
              <w:snapToGrid w:val="0"/>
              <w:spacing w:after="0" w:line="240" w:lineRule="auto"/>
              <w:jc w:val="both"/>
              <w:rPr>
                <w:rFonts w:ascii="Times New Roman" w:hAnsi="Times New Roman" w:cs="Times New Roman"/>
                <w:sz w:val="19"/>
                <w:szCs w:val="19"/>
              </w:rPr>
            </w:pPr>
          </w:p>
        </w:tc>
        <w:tc>
          <w:tcPr>
            <w:tcW w:w="570" w:type="pct"/>
            <w:vMerge/>
            <w:tcBorders>
              <w:top w:val="single" w:sz="4" w:space="0" w:color="auto"/>
              <w:left w:val="nil"/>
              <w:bottom w:val="single" w:sz="4" w:space="0" w:color="auto"/>
              <w:right w:val="single" w:sz="4" w:space="0" w:color="auto"/>
            </w:tcBorders>
            <w:shd w:val="clear" w:color="000000" w:fill="FFFFFF"/>
            <w:vAlign w:val="center"/>
          </w:tcPr>
          <w:p w:rsidR="00EB3174" w:rsidRPr="00737872" w:rsidRDefault="00EB3174" w:rsidP="00737872">
            <w:pPr>
              <w:autoSpaceDE w:val="0"/>
              <w:autoSpaceDN w:val="0"/>
              <w:bidi w:val="0"/>
              <w:adjustRightInd w:val="0"/>
              <w:snapToGrid w:val="0"/>
              <w:spacing w:after="0" w:line="240" w:lineRule="auto"/>
              <w:jc w:val="both"/>
              <w:rPr>
                <w:rFonts w:ascii="Times New Roman" w:hAnsi="Times New Roman" w:cs="Times New Roman"/>
                <w:sz w:val="19"/>
                <w:szCs w:val="19"/>
              </w:rPr>
            </w:pPr>
          </w:p>
        </w:tc>
      </w:tr>
    </w:tbl>
    <w:p w:rsidR="00EB3174" w:rsidRPr="00737872" w:rsidRDefault="00EB3174" w:rsidP="00737872">
      <w:pPr>
        <w:autoSpaceDE w:val="0"/>
        <w:autoSpaceDN w:val="0"/>
        <w:bidi w:val="0"/>
        <w:adjustRightInd w:val="0"/>
        <w:snapToGrid w:val="0"/>
        <w:spacing w:after="0" w:line="240" w:lineRule="auto"/>
        <w:jc w:val="both"/>
        <w:rPr>
          <w:rFonts w:ascii="Times New Roman" w:hAnsi="Times New Roman" w:cs="Times New Roman"/>
          <w:sz w:val="19"/>
          <w:szCs w:val="19"/>
          <w:lang w:bidi="ar-EG"/>
        </w:rPr>
      </w:pPr>
      <w:r w:rsidRPr="00737872">
        <w:rPr>
          <w:rFonts w:ascii="Times New Roman" w:hAnsi="Times New Roman" w:cs="Times New Roman"/>
          <w:sz w:val="19"/>
          <w:szCs w:val="19"/>
        </w:rPr>
        <w:t>CI: Confirmatory index, HI: Homogeneity index</w:t>
      </w:r>
    </w:p>
    <w:p w:rsidR="00737872" w:rsidRDefault="00737872" w:rsidP="00737872">
      <w:pPr>
        <w:tabs>
          <w:tab w:val="right" w:pos="142"/>
        </w:tabs>
        <w:bidi w:val="0"/>
        <w:snapToGrid w:val="0"/>
        <w:spacing w:after="0" w:line="240" w:lineRule="auto"/>
        <w:jc w:val="both"/>
        <w:rPr>
          <w:rFonts w:ascii="Times New Roman" w:hAnsi="Times New Roman" w:cs="Times New Roman" w:hint="eastAsia"/>
          <w:b/>
          <w:bCs/>
          <w:sz w:val="20"/>
          <w:szCs w:val="20"/>
          <w:lang w:eastAsia="zh-CN"/>
        </w:rPr>
      </w:pPr>
    </w:p>
    <w:p w:rsidR="00A60B24" w:rsidRDefault="00A60B24" w:rsidP="00A60B24">
      <w:pPr>
        <w:tabs>
          <w:tab w:val="right" w:pos="142"/>
        </w:tabs>
        <w:bidi w:val="0"/>
        <w:snapToGrid w:val="0"/>
        <w:spacing w:after="0" w:line="240" w:lineRule="auto"/>
        <w:jc w:val="both"/>
        <w:rPr>
          <w:rFonts w:ascii="Times New Roman" w:hAnsi="Times New Roman" w:cs="Times New Roman" w:hint="eastAsia"/>
          <w:b/>
          <w:bCs/>
          <w:sz w:val="20"/>
          <w:szCs w:val="20"/>
          <w:lang w:eastAsia="zh-CN"/>
        </w:rPr>
        <w:sectPr w:rsidR="00A60B24" w:rsidSect="00BF7D07">
          <w:type w:val="continuous"/>
          <w:pgSz w:w="12242" w:h="15842" w:code="1"/>
          <w:pgMar w:top="1440" w:right="1440" w:bottom="1440" w:left="1440" w:header="720" w:footer="720" w:gutter="0"/>
          <w:cols w:space="720"/>
          <w:docGrid w:linePitch="360"/>
        </w:sectPr>
      </w:pPr>
    </w:p>
    <w:p w:rsidR="0038549F" w:rsidRPr="00A60B24" w:rsidRDefault="0038549F" w:rsidP="00737872">
      <w:pPr>
        <w:tabs>
          <w:tab w:val="right" w:pos="142"/>
        </w:tabs>
        <w:bidi w:val="0"/>
        <w:snapToGrid w:val="0"/>
        <w:spacing w:after="0" w:line="240" w:lineRule="auto"/>
        <w:jc w:val="both"/>
        <w:rPr>
          <w:rFonts w:ascii="Times New Roman" w:hAnsi="Times New Roman" w:cs="Times New Roman"/>
          <w:b/>
          <w:bCs/>
          <w:sz w:val="20"/>
          <w:szCs w:val="20"/>
        </w:rPr>
      </w:pPr>
      <w:r w:rsidRPr="00A60B24">
        <w:rPr>
          <w:rFonts w:ascii="Times New Roman" w:hAnsi="Times New Roman" w:cs="Times New Roman"/>
          <w:b/>
          <w:bCs/>
          <w:sz w:val="20"/>
          <w:szCs w:val="20"/>
        </w:rPr>
        <w:lastRenderedPageBreak/>
        <w:t>Toxicity profile:</w:t>
      </w:r>
    </w:p>
    <w:p w:rsidR="0038549F" w:rsidRPr="00A60B24" w:rsidRDefault="0038549F" w:rsidP="00737872">
      <w:pPr>
        <w:autoSpaceDE w:val="0"/>
        <w:autoSpaceDN w:val="0"/>
        <w:bidi w:val="0"/>
        <w:adjustRightInd w:val="0"/>
        <w:snapToGrid w:val="0"/>
        <w:spacing w:after="0" w:line="240" w:lineRule="auto"/>
        <w:jc w:val="both"/>
        <w:rPr>
          <w:rFonts w:ascii="Times New Roman" w:hAnsi="Times New Roman" w:cs="Times New Roman"/>
          <w:b/>
          <w:bCs/>
          <w:i/>
          <w:iCs/>
          <w:sz w:val="20"/>
          <w:szCs w:val="20"/>
          <w:lang w:bidi="ar-EG"/>
        </w:rPr>
      </w:pPr>
      <w:r w:rsidRPr="00A60B24">
        <w:rPr>
          <w:rFonts w:ascii="Times New Roman" w:hAnsi="Times New Roman" w:cs="Times New Roman"/>
          <w:b/>
          <w:bCs/>
          <w:i/>
          <w:iCs/>
          <w:sz w:val="20"/>
          <w:szCs w:val="20"/>
        </w:rPr>
        <w:t>Hematological toxicity</w:t>
      </w:r>
    </w:p>
    <w:p w:rsidR="00BF7D07" w:rsidRPr="00A60B24" w:rsidRDefault="0038549F" w:rsidP="00737872">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A60B24">
        <w:rPr>
          <w:rFonts w:ascii="Times New Roman" w:hAnsi="Times New Roman" w:cs="Times New Roman"/>
          <w:sz w:val="20"/>
          <w:szCs w:val="20"/>
        </w:rPr>
        <w:t>Grade 1</w:t>
      </w:r>
      <w:r w:rsidR="00BF7D07" w:rsidRPr="00A60B24">
        <w:rPr>
          <w:rFonts w:ascii="Times New Roman" w:hAnsi="Times New Roman" w:cs="Times New Roman"/>
          <w:sz w:val="20"/>
          <w:szCs w:val="20"/>
        </w:rPr>
        <w:t xml:space="preserve"> &amp; </w:t>
      </w:r>
      <w:r w:rsidRPr="00A60B24">
        <w:rPr>
          <w:rFonts w:ascii="Times New Roman" w:hAnsi="Times New Roman" w:cs="Times New Roman"/>
          <w:sz w:val="20"/>
          <w:szCs w:val="20"/>
        </w:rPr>
        <w:t xml:space="preserve">2 anemia and </w:t>
      </w:r>
      <w:proofErr w:type="spellStart"/>
      <w:r w:rsidRPr="00A60B24">
        <w:rPr>
          <w:rFonts w:ascii="Times New Roman" w:hAnsi="Times New Roman" w:cs="Times New Roman"/>
          <w:sz w:val="20"/>
          <w:szCs w:val="20"/>
        </w:rPr>
        <w:t>neutropenia</w:t>
      </w:r>
      <w:proofErr w:type="spellEnd"/>
      <w:r w:rsidRPr="00A60B24">
        <w:rPr>
          <w:rFonts w:ascii="Times New Roman" w:hAnsi="Times New Roman" w:cs="Times New Roman"/>
          <w:sz w:val="20"/>
          <w:szCs w:val="20"/>
        </w:rPr>
        <w:t xml:space="preserve"> occurred in 46.67%</w:t>
      </w:r>
      <w:r w:rsidR="00BF7D07" w:rsidRPr="00A60B24">
        <w:rPr>
          <w:rFonts w:ascii="Times New Roman" w:hAnsi="Times New Roman" w:cs="Times New Roman"/>
          <w:sz w:val="20"/>
          <w:szCs w:val="20"/>
        </w:rPr>
        <w:t xml:space="preserve"> &amp; </w:t>
      </w:r>
      <w:r w:rsidRPr="00A60B24">
        <w:rPr>
          <w:rFonts w:ascii="Times New Roman" w:hAnsi="Times New Roman" w:cs="Times New Roman"/>
          <w:sz w:val="20"/>
          <w:szCs w:val="20"/>
        </w:rPr>
        <w:t xml:space="preserve">30% respectively. One patient had grade 3 </w:t>
      </w:r>
      <w:proofErr w:type="spellStart"/>
      <w:r w:rsidRPr="00A60B24">
        <w:rPr>
          <w:rFonts w:ascii="Times New Roman" w:hAnsi="Times New Roman" w:cs="Times New Roman"/>
          <w:sz w:val="20"/>
          <w:szCs w:val="20"/>
        </w:rPr>
        <w:lastRenderedPageBreak/>
        <w:t>neu</w:t>
      </w:r>
      <w:r w:rsidR="0052509C" w:rsidRPr="00A60B24">
        <w:rPr>
          <w:rFonts w:ascii="Times New Roman" w:hAnsi="Times New Roman" w:cs="Times New Roman"/>
          <w:sz w:val="20"/>
          <w:szCs w:val="20"/>
        </w:rPr>
        <w:t>tropenia</w:t>
      </w:r>
      <w:proofErr w:type="spellEnd"/>
      <w:r w:rsidR="0052509C" w:rsidRPr="00A60B24">
        <w:rPr>
          <w:rFonts w:ascii="Times New Roman" w:hAnsi="Times New Roman" w:cs="Times New Roman"/>
          <w:sz w:val="20"/>
          <w:szCs w:val="20"/>
        </w:rPr>
        <w:t>. No one had grade 3 an</w:t>
      </w:r>
      <w:r w:rsidRPr="00A60B24">
        <w:rPr>
          <w:rFonts w:ascii="Times New Roman" w:hAnsi="Times New Roman" w:cs="Times New Roman"/>
          <w:sz w:val="20"/>
          <w:szCs w:val="20"/>
        </w:rPr>
        <w:t xml:space="preserve">emia or thrombocytopenia. Most of the patients had anemia and </w:t>
      </w:r>
      <w:proofErr w:type="spellStart"/>
      <w:r w:rsidRPr="00A60B24">
        <w:rPr>
          <w:rFonts w:ascii="Times New Roman" w:hAnsi="Times New Roman" w:cs="Times New Roman"/>
          <w:sz w:val="20"/>
          <w:szCs w:val="20"/>
        </w:rPr>
        <w:t>neutropenia</w:t>
      </w:r>
      <w:proofErr w:type="spellEnd"/>
      <w:r w:rsidRPr="00A60B24">
        <w:rPr>
          <w:rFonts w:ascii="Times New Roman" w:hAnsi="Times New Roman" w:cs="Times New Roman"/>
          <w:sz w:val="20"/>
          <w:szCs w:val="20"/>
        </w:rPr>
        <w:t xml:space="preserve"> at the 4</w:t>
      </w:r>
      <w:r w:rsidRPr="00A60B24">
        <w:rPr>
          <w:rFonts w:ascii="Times New Roman" w:hAnsi="Times New Roman" w:cs="Times New Roman"/>
          <w:sz w:val="20"/>
          <w:szCs w:val="20"/>
          <w:vertAlign w:val="superscript"/>
        </w:rPr>
        <w:t>th</w:t>
      </w:r>
      <w:r w:rsidRPr="00A60B24">
        <w:rPr>
          <w:rFonts w:ascii="Times New Roman" w:hAnsi="Times New Roman" w:cs="Times New Roman"/>
          <w:sz w:val="20"/>
          <w:szCs w:val="20"/>
        </w:rPr>
        <w:t xml:space="preserve"> and the 5</w:t>
      </w:r>
      <w:r w:rsidRPr="00A60B24">
        <w:rPr>
          <w:rFonts w:ascii="Times New Roman" w:hAnsi="Times New Roman" w:cs="Times New Roman"/>
          <w:sz w:val="20"/>
          <w:szCs w:val="20"/>
          <w:vertAlign w:val="superscript"/>
        </w:rPr>
        <w:t>th</w:t>
      </w:r>
      <w:r w:rsidRPr="00A60B24">
        <w:rPr>
          <w:rFonts w:ascii="Times New Roman" w:hAnsi="Times New Roman" w:cs="Times New Roman"/>
          <w:sz w:val="20"/>
          <w:szCs w:val="20"/>
        </w:rPr>
        <w:t xml:space="preserve"> week</w:t>
      </w:r>
      <w:r w:rsidR="00737872" w:rsidRPr="00A60B24">
        <w:rPr>
          <w:rFonts w:ascii="Times New Roman" w:hAnsi="Times New Roman" w:cs="Times New Roman" w:hint="eastAsia"/>
          <w:sz w:val="20"/>
          <w:szCs w:val="20"/>
          <w:lang w:eastAsia="zh-CN"/>
        </w:rPr>
        <w:t>.</w:t>
      </w:r>
      <w:r w:rsidRPr="00A60B24">
        <w:rPr>
          <w:rFonts w:ascii="Times New Roman" w:hAnsi="Times New Roman" w:cs="Times New Roman"/>
          <w:sz w:val="20"/>
          <w:szCs w:val="20"/>
        </w:rPr>
        <w:t xml:space="preserve"> </w:t>
      </w:r>
      <w:r w:rsidRPr="00A60B24">
        <w:rPr>
          <w:rFonts w:ascii="Times New Roman" w:hAnsi="Times New Roman" w:cs="Times New Roman"/>
          <w:b/>
          <w:bCs/>
          <w:i/>
          <w:iCs/>
          <w:sz w:val="20"/>
          <w:szCs w:val="20"/>
        </w:rPr>
        <w:t>(</w:t>
      </w:r>
      <w:r w:rsidR="004275D6" w:rsidRPr="00A60B24">
        <w:rPr>
          <w:rFonts w:ascii="Times New Roman" w:hAnsi="Times New Roman" w:cs="Times New Roman"/>
          <w:b/>
          <w:bCs/>
          <w:i/>
          <w:iCs/>
          <w:sz w:val="20"/>
          <w:szCs w:val="20"/>
        </w:rPr>
        <w:t>T</w:t>
      </w:r>
      <w:r w:rsidRPr="00A60B24">
        <w:rPr>
          <w:rFonts w:ascii="Times New Roman" w:hAnsi="Times New Roman" w:cs="Times New Roman"/>
          <w:b/>
          <w:bCs/>
          <w:i/>
          <w:iCs/>
          <w:sz w:val="20"/>
          <w:szCs w:val="20"/>
        </w:rPr>
        <w:t xml:space="preserve">able </w:t>
      </w:r>
      <w:r w:rsidR="004275D6" w:rsidRPr="00A60B24">
        <w:rPr>
          <w:rFonts w:ascii="Times New Roman" w:hAnsi="Times New Roman" w:cs="Times New Roman"/>
          <w:b/>
          <w:bCs/>
          <w:i/>
          <w:iCs/>
          <w:sz w:val="20"/>
          <w:szCs w:val="20"/>
        </w:rPr>
        <w:t>7</w:t>
      </w:r>
      <w:r w:rsidRPr="00A60B24">
        <w:rPr>
          <w:rFonts w:ascii="Times New Roman" w:hAnsi="Times New Roman" w:cs="Times New Roman"/>
          <w:b/>
          <w:bCs/>
          <w:i/>
          <w:iCs/>
          <w:sz w:val="20"/>
          <w:szCs w:val="20"/>
        </w:rPr>
        <w:t>)</w:t>
      </w:r>
    </w:p>
    <w:p w:rsidR="00737872" w:rsidRPr="00A60B24" w:rsidRDefault="00737872" w:rsidP="00737872">
      <w:pPr>
        <w:autoSpaceDE w:val="0"/>
        <w:autoSpaceDN w:val="0"/>
        <w:bidi w:val="0"/>
        <w:adjustRightInd w:val="0"/>
        <w:snapToGrid w:val="0"/>
        <w:spacing w:after="0" w:line="240" w:lineRule="auto"/>
        <w:jc w:val="center"/>
        <w:rPr>
          <w:rFonts w:ascii="Times New Roman" w:hAnsi="Times New Roman" w:cs="Times New Roman"/>
          <w:sz w:val="20"/>
          <w:szCs w:val="20"/>
          <w:lang w:bidi="ar-EG"/>
        </w:rPr>
        <w:sectPr w:rsidR="00737872" w:rsidRPr="00A60B24" w:rsidSect="00737872">
          <w:type w:val="continuous"/>
          <w:pgSz w:w="12242" w:h="15842" w:code="1"/>
          <w:pgMar w:top="1440" w:right="1440" w:bottom="1440" w:left="1440" w:header="720" w:footer="720" w:gutter="0"/>
          <w:cols w:num="2" w:space="550"/>
          <w:docGrid w:linePitch="360"/>
        </w:sectPr>
      </w:pPr>
    </w:p>
    <w:p w:rsidR="00737872" w:rsidRPr="00A60B24" w:rsidRDefault="00737872" w:rsidP="00737872">
      <w:pPr>
        <w:autoSpaceDE w:val="0"/>
        <w:autoSpaceDN w:val="0"/>
        <w:bidi w:val="0"/>
        <w:adjustRightInd w:val="0"/>
        <w:snapToGrid w:val="0"/>
        <w:spacing w:after="0" w:line="240" w:lineRule="auto"/>
        <w:jc w:val="center"/>
        <w:rPr>
          <w:rFonts w:ascii="Times New Roman" w:hAnsi="Times New Roman" w:cs="Times New Roman"/>
          <w:b/>
          <w:bCs/>
          <w:sz w:val="20"/>
          <w:szCs w:val="20"/>
          <w:lang w:eastAsia="zh-CN"/>
        </w:rPr>
      </w:pPr>
    </w:p>
    <w:p w:rsidR="0038549F" w:rsidRPr="00A60B24" w:rsidRDefault="0038549F" w:rsidP="00737872">
      <w:pPr>
        <w:autoSpaceDE w:val="0"/>
        <w:autoSpaceDN w:val="0"/>
        <w:bidi w:val="0"/>
        <w:adjustRightInd w:val="0"/>
        <w:snapToGrid w:val="0"/>
        <w:spacing w:after="0" w:line="240" w:lineRule="auto"/>
        <w:jc w:val="center"/>
        <w:rPr>
          <w:rFonts w:ascii="Times New Roman" w:hAnsi="Times New Roman" w:cs="Times New Roman"/>
          <w:sz w:val="20"/>
          <w:szCs w:val="20"/>
        </w:rPr>
      </w:pPr>
      <w:r w:rsidRPr="00A60B24">
        <w:rPr>
          <w:rFonts w:ascii="Times New Roman" w:hAnsi="Times New Roman" w:cs="Times New Roman"/>
          <w:b/>
          <w:bCs/>
          <w:sz w:val="20"/>
          <w:szCs w:val="20"/>
        </w:rPr>
        <w:t>Table (</w:t>
      </w:r>
      <w:r w:rsidR="004275D6" w:rsidRPr="00A60B24">
        <w:rPr>
          <w:rFonts w:ascii="Times New Roman" w:hAnsi="Times New Roman" w:cs="Times New Roman"/>
          <w:b/>
          <w:bCs/>
          <w:sz w:val="20"/>
          <w:szCs w:val="20"/>
        </w:rPr>
        <w:t>7</w:t>
      </w:r>
      <w:r w:rsidRPr="00A60B24">
        <w:rPr>
          <w:rFonts w:ascii="Times New Roman" w:hAnsi="Times New Roman" w:cs="Times New Roman"/>
          <w:b/>
          <w:bCs/>
          <w:sz w:val="20"/>
          <w:szCs w:val="20"/>
        </w:rPr>
        <w:t>)</w:t>
      </w:r>
      <w:r w:rsidR="00737872" w:rsidRPr="00A60B24">
        <w:rPr>
          <w:rFonts w:ascii="Times New Roman" w:hAnsi="Times New Roman" w:cs="Times New Roman"/>
          <w:b/>
          <w:bCs/>
          <w:sz w:val="20"/>
          <w:szCs w:val="20"/>
        </w:rPr>
        <w:t xml:space="preserve">: </w:t>
      </w:r>
      <w:r w:rsidR="00737872" w:rsidRPr="00A60B24">
        <w:rPr>
          <w:rFonts w:ascii="Times New Roman" w:hAnsi="Times New Roman" w:cs="Times New Roman"/>
          <w:sz w:val="20"/>
          <w:szCs w:val="20"/>
        </w:rPr>
        <w:t>H</w:t>
      </w:r>
      <w:r w:rsidR="0052509C" w:rsidRPr="00A60B24">
        <w:rPr>
          <w:rFonts w:ascii="Times New Roman" w:hAnsi="Times New Roman" w:cs="Times New Roman"/>
          <w:sz w:val="20"/>
          <w:szCs w:val="20"/>
        </w:rPr>
        <w:t>ematological</w:t>
      </w:r>
      <w:r w:rsidRPr="00A60B24">
        <w:rPr>
          <w:rFonts w:ascii="Times New Roman" w:hAnsi="Times New Roman" w:cs="Times New Roman"/>
          <w:sz w:val="20"/>
          <w:szCs w:val="20"/>
        </w:rPr>
        <w:t xml:space="preserve"> toxicity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3334"/>
        <w:gridCol w:w="582"/>
        <w:gridCol w:w="1169"/>
        <w:gridCol w:w="961"/>
        <w:gridCol w:w="1929"/>
        <w:gridCol w:w="449"/>
        <w:gridCol w:w="1052"/>
      </w:tblGrid>
      <w:tr w:rsidR="0038549F" w:rsidRPr="00A60B24" w:rsidTr="00BF7D07">
        <w:trPr>
          <w:jc w:val="center"/>
        </w:trPr>
        <w:tc>
          <w:tcPr>
            <w:tcW w:w="1759" w:type="pct"/>
            <w:vMerge w:val="restart"/>
            <w:vAlign w:val="center"/>
          </w:tcPr>
          <w:p w:rsidR="0038549F" w:rsidRPr="00A60B24" w:rsidRDefault="0038549F" w:rsidP="00737872">
            <w:pPr>
              <w:bidi w:val="0"/>
              <w:snapToGrid w:val="0"/>
              <w:spacing w:after="0" w:line="240" w:lineRule="auto"/>
              <w:jc w:val="both"/>
              <w:rPr>
                <w:rFonts w:ascii="Times New Roman" w:hAnsi="Times New Roman" w:cs="Times New Roman"/>
                <w:b/>
                <w:bCs/>
                <w:sz w:val="20"/>
                <w:szCs w:val="20"/>
              </w:rPr>
            </w:pPr>
            <w:r w:rsidRPr="00A60B24">
              <w:rPr>
                <w:rFonts w:ascii="Times New Roman" w:hAnsi="Times New Roman" w:cs="Times New Roman"/>
                <w:b/>
                <w:bCs/>
                <w:sz w:val="20"/>
                <w:szCs w:val="20"/>
              </w:rPr>
              <w:t>Adverse event</w:t>
            </w:r>
          </w:p>
        </w:tc>
        <w:tc>
          <w:tcPr>
            <w:tcW w:w="924" w:type="pct"/>
            <w:gridSpan w:val="2"/>
            <w:vAlign w:val="center"/>
          </w:tcPr>
          <w:p w:rsidR="0038549F" w:rsidRPr="00A60B24" w:rsidRDefault="0038549F" w:rsidP="00737872">
            <w:pPr>
              <w:bidi w:val="0"/>
              <w:snapToGrid w:val="0"/>
              <w:spacing w:after="0" w:line="240" w:lineRule="auto"/>
              <w:jc w:val="both"/>
              <w:rPr>
                <w:rFonts w:ascii="Times New Roman" w:hAnsi="Times New Roman" w:cs="Times New Roman"/>
                <w:b/>
                <w:bCs/>
                <w:sz w:val="20"/>
                <w:szCs w:val="20"/>
              </w:rPr>
            </w:pPr>
            <w:r w:rsidRPr="00A60B24">
              <w:rPr>
                <w:rFonts w:ascii="Times New Roman" w:hAnsi="Times New Roman" w:cs="Times New Roman"/>
                <w:b/>
                <w:bCs/>
                <w:sz w:val="20"/>
                <w:szCs w:val="20"/>
              </w:rPr>
              <w:t>Grade 0</w:t>
            </w:r>
          </w:p>
        </w:tc>
        <w:tc>
          <w:tcPr>
            <w:tcW w:w="1525" w:type="pct"/>
            <w:gridSpan w:val="2"/>
            <w:vAlign w:val="center"/>
          </w:tcPr>
          <w:p w:rsidR="0038549F" w:rsidRPr="00A60B24" w:rsidRDefault="0038549F" w:rsidP="00737872">
            <w:pPr>
              <w:bidi w:val="0"/>
              <w:snapToGrid w:val="0"/>
              <w:spacing w:after="0" w:line="240" w:lineRule="auto"/>
              <w:jc w:val="both"/>
              <w:rPr>
                <w:rFonts w:ascii="Times New Roman" w:hAnsi="Times New Roman" w:cs="Times New Roman"/>
                <w:b/>
                <w:bCs/>
                <w:sz w:val="20"/>
                <w:szCs w:val="20"/>
              </w:rPr>
            </w:pPr>
            <w:r w:rsidRPr="00A60B24">
              <w:rPr>
                <w:rFonts w:ascii="Times New Roman" w:hAnsi="Times New Roman" w:cs="Times New Roman"/>
                <w:b/>
                <w:bCs/>
                <w:sz w:val="20"/>
                <w:szCs w:val="20"/>
              </w:rPr>
              <w:t>Grade 1/Grade 2</w:t>
            </w:r>
          </w:p>
        </w:tc>
        <w:tc>
          <w:tcPr>
            <w:tcW w:w="791" w:type="pct"/>
            <w:gridSpan w:val="2"/>
            <w:vAlign w:val="center"/>
          </w:tcPr>
          <w:p w:rsidR="0038549F" w:rsidRPr="00A60B24" w:rsidRDefault="0038549F" w:rsidP="00737872">
            <w:pPr>
              <w:bidi w:val="0"/>
              <w:snapToGrid w:val="0"/>
              <w:spacing w:after="0" w:line="240" w:lineRule="auto"/>
              <w:jc w:val="both"/>
              <w:rPr>
                <w:rFonts w:ascii="Times New Roman" w:hAnsi="Times New Roman" w:cs="Times New Roman"/>
                <w:b/>
                <w:bCs/>
                <w:sz w:val="20"/>
                <w:szCs w:val="20"/>
              </w:rPr>
            </w:pPr>
            <w:r w:rsidRPr="00A60B24">
              <w:rPr>
                <w:rFonts w:ascii="Times New Roman" w:hAnsi="Times New Roman" w:cs="Times New Roman"/>
                <w:b/>
                <w:bCs/>
                <w:sz w:val="20"/>
                <w:szCs w:val="20"/>
              </w:rPr>
              <w:t>Grade 3</w:t>
            </w:r>
          </w:p>
        </w:tc>
      </w:tr>
      <w:tr w:rsidR="00BF7D07" w:rsidRPr="00A60B24" w:rsidTr="00BF7D07">
        <w:trPr>
          <w:jc w:val="center"/>
        </w:trPr>
        <w:tc>
          <w:tcPr>
            <w:tcW w:w="1759" w:type="pct"/>
            <w:vMerge/>
            <w:vAlign w:val="center"/>
          </w:tcPr>
          <w:p w:rsidR="0038549F" w:rsidRPr="00A60B24" w:rsidRDefault="0038549F" w:rsidP="00737872">
            <w:pPr>
              <w:bidi w:val="0"/>
              <w:snapToGrid w:val="0"/>
              <w:spacing w:after="0" w:line="240" w:lineRule="auto"/>
              <w:jc w:val="both"/>
              <w:rPr>
                <w:rFonts w:ascii="Times New Roman" w:hAnsi="Times New Roman" w:cs="Times New Roman"/>
                <w:b/>
                <w:bCs/>
                <w:sz w:val="20"/>
                <w:szCs w:val="20"/>
              </w:rPr>
            </w:pPr>
          </w:p>
        </w:tc>
        <w:tc>
          <w:tcPr>
            <w:tcW w:w="307" w:type="pct"/>
            <w:vAlign w:val="center"/>
          </w:tcPr>
          <w:p w:rsidR="0038549F" w:rsidRPr="00A60B24" w:rsidRDefault="0038549F" w:rsidP="00737872">
            <w:pPr>
              <w:bidi w:val="0"/>
              <w:snapToGrid w:val="0"/>
              <w:spacing w:after="0" w:line="240" w:lineRule="auto"/>
              <w:jc w:val="both"/>
              <w:rPr>
                <w:rFonts w:ascii="Times New Roman" w:hAnsi="Times New Roman" w:cs="Times New Roman"/>
                <w:b/>
                <w:bCs/>
                <w:sz w:val="20"/>
                <w:szCs w:val="20"/>
              </w:rPr>
            </w:pPr>
            <w:r w:rsidRPr="00A60B24">
              <w:rPr>
                <w:rFonts w:ascii="Times New Roman" w:hAnsi="Times New Roman" w:cs="Times New Roman"/>
                <w:b/>
                <w:bCs/>
                <w:sz w:val="20"/>
                <w:szCs w:val="20"/>
              </w:rPr>
              <w:t>n</w:t>
            </w:r>
          </w:p>
        </w:tc>
        <w:tc>
          <w:tcPr>
            <w:tcW w:w="617" w:type="pct"/>
            <w:vAlign w:val="center"/>
          </w:tcPr>
          <w:p w:rsidR="0038549F" w:rsidRPr="00A60B24" w:rsidRDefault="0038549F" w:rsidP="00737872">
            <w:pPr>
              <w:bidi w:val="0"/>
              <w:snapToGrid w:val="0"/>
              <w:spacing w:after="0" w:line="240" w:lineRule="auto"/>
              <w:jc w:val="both"/>
              <w:rPr>
                <w:rFonts w:ascii="Times New Roman" w:hAnsi="Times New Roman" w:cs="Times New Roman"/>
                <w:b/>
                <w:bCs/>
                <w:sz w:val="20"/>
                <w:szCs w:val="20"/>
              </w:rPr>
            </w:pPr>
            <w:r w:rsidRPr="00A60B24">
              <w:rPr>
                <w:rFonts w:ascii="Times New Roman" w:hAnsi="Times New Roman" w:cs="Times New Roman"/>
                <w:b/>
                <w:bCs/>
                <w:sz w:val="20"/>
                <w:szCs w:val="20"/>
              </w:rPr>
              <w:t>%</w:t>
            </w:r>
          </w:p>
        </w:tc>
        <w:tc>
          <w:tcPr>
            <w:tcW w:w="507" w:type="pct"/>
            <w:vAlign w:val="center"/>
          </w:tcPr>
          <w:p w:rsidR="0038549F" w:rsidRPr="00A60B24" w:rsidRDefault="0038549F" w:rsidP="00737872">
            <w:pPr>
              <w:bidi w:val="0"/>
              <w:snapToGrid w:val="0"/>
              <w:spacing w:after="0" w:line="240" w:lineRule="auto"/>
              <w:jc w:val="both"/>
              <w:rPr>
                <w:rFonts w:ascii="Times New Roman" w:hAnsi="Times New Roman" w:cs="Times New Roman"/>
                <w:b/>
                <w:bCs/>
                <w:sz w:val="20"/>
                <w:szCs w:val="20"/>
              </w:rPr>
            </w:pPr>
            <w:r w:rsidRPr="00A60B24">
              <w:rPr>
                <w:rFonts w:ascii="Times New Roman" w:hAnsi="Times New Roman" w:cs="Times New Roman"/>
                <w:b/>
                <w:bCs/>
                <w:sz w:val="20"/>
                <w:szCs w:val="20"/>
              </w:rPr>
              <w:t>n</w:t>
            </w:r>
          </w:p>
        </w:tc>
        <w:tc>
          <w:tcPr>
            <w:tcW w:w="1018" w:type="pct"/>
            <w:vAlign w:val="center"/>
          </w:tcPr>
          <w:p w:rsidR="0038549F" w:rsidRPr="00A60B24" w:rsidRDefault="0038549F" w:rsidP="00737872">
            <w:pPr>
              <w:bidi w:val="0"/>
              <w:snapToGrid w:val="0"/>
              <w:spacing w:after="0" w:line="240" w:lineRule="auto"/>
              <w:jc w:val="both"/>
              <w:rPr>
                <w:rFonts w:ascii="Times New Roman" w:hAnsi="Times New Roman" w:cs="Times New Roman"/>
                <w:b/>
                <w:bCs/>
                <w:sz w:val="20"/>
                <w:szCs w:val="20"/>
              </w:rPr>
            </w:pPr>
            <w:r w:rsidRPr="00A60B24">
              <w:rPr>
                <w:rFonts w:ascii="Times New Roman" w:hAnsi="Times New Roman" w:cs="Times New Roman"/>
                <w:b/>
                <w:bCs/>
                <w:sz w:val="20"/>
                <w:szCs w:val="20"/>
              </w:rPr>
              <w:t>%</w:t>
            </w:r>
          </w:p>
        </w:tc>
        <w:tc>
          <w:tcPr>
            <w:tcW w:w="237" w:type="pct"/>
            <w:vAlign w:val="center"/>
          </w:tcPr>
          <w:p w:rsidR="0038549F" w:rsidRPr="00A60B24" w:rsidRDefault="0038549F" w:rsidP="00737872">
            <w:pPr>
              <w:bidi w:val="0"/>
              <w:snapToGrid w:val="0"/>
              <w:spacing w:after="0" w:line="240" w:lineRule="auto"/>
              <w:jc w:val="both"/>
              <w:rPr>
                <w:rFonts w:ascii="Times New Roman" w:hAnsi="Times New Roman" w:cs="Times New Roman"/>
                <w:b/>
                <w:bCs/>
                <w:sz w:val="20"/>
                <w:szCs w:val="20"/>
              </w:rPr>
            </w:pPr>
            <w:r w:rsidRPr="00A60B24">
              <w:rPr>
                <w:rFonts w:ascii="Times New Roman" w:hAnsi="Times New Roman" w:cs="Times New Roman"/>
                <w:b/>
                <w:bCs/>
                <w:sz w:val="20"/>
                <w:szCs w:val="20"/>
              </w:rPr>
              <w:t>n</w:t>
            </w:r>
          </w:p>
        </w:tc>
        <w:tc>
          <w:tcPr>
            <w:tcW w:w="555" w:type="pct"/>
            <w:vAlign w:val="center"/>
          </w:tcPr>
          <w:p w:rsidR="0038549F" w:rsidRPr="00A60B24" w:rsidRDefault="0038549F" w:rsidP="00737872">
            <w:pPr>
              <w:bidi w:val="0"/>
              <w:snapToGrid w:val="0"/>
              <w:spacing w:after="0" w:line="240" w:lineRule="auto"/>
              <w:jc w:val="both"/>
              <w:rPr>
                <w:rFonts w:ascii="Times New Roman" w:hAnsi="Times New Roman" w:cs="Times New Roman"/>
                <w:b/>
                <w:bCs/>
                <w:sz w:val="20"/>
                <w:szCs w:val="20"/>
              </w:rPr>
            </w:pPr>
            <w:r w:rsidRPr="00A60B24">
              <w:rPr>
                <w:rFonts w:ascii="Times New Roman" w:hAnsi="Times New Roman" w:cs="Times New Roman"/>
                <w:b/>
                <w:bCs/>
                <w:sz w:val="20"/>
                <w:szCs w:val="20"/>
              </w:rPr>
              <w:t>%</w:t>
            </w:r>
          </w:p>
        </w:tc>
      </w:tr>
      <w:tr w:rsidR="00BF7D07" w:rsidRPr="00A60B24" w:rsidTr="00BF7D07">
        <w:trPr>
          <w:jc w:val="center"/>
        </w:trPr>
        <w:tc>
          <w:tcPr>
            <w:tcW w:w="1759" w:type="pct"/>
            <w:vAlign w:val="center"/>
          </w:tcPr>
          <w:p w:rsidR="0038549F" w:rsidRPr="00A60B24" w:rsidRDefault="0038549F" w:rsidP="00737872">
            <w:pPr>
              <w:bidi w:val="0"/>
              <w:snapToGrid w:val="0"/>
              <w:spacing w:after="0" w:line="240" w:lineRule="auto"/>
              <w:jc w:val="both"/>
              <w:rPr>
                <w:rFonts w:ascii="Times New Roman" w:hAnsi="Times New Roman" w:cs="Times New Roman"/>
                <w:b/>
                <w:bCs/>
                <w:sz w:val="20"/>
                <w:szCs w:val="20"/>
                <w:lang w:bidi="ar-EG"/>
              </w:rPr>
            </w:pPr>
            <w:r w:rsidRPr="00A60B24">
              <w:rPr>
                <w:rFonts w:ascii="Times New Roman" w:hAnsi="Times New Roman" w:cs="Times New Roman"/>
                <w:b/>
                <w:bCs/>
                <w:sz w:val="20"/>
                <w:szCs w:val="20"/>
              </w:rPr>
              <w:t>Anemia</w:t>
            </w:r>
          </w:p>
        </w:tc>
        <w:tc>
          <w:tcPr>
            <w:tcW w:w="307"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16</w:t>
            </w:r>
          </w:p>
        </w:tc>
        <w:tc>
          <w:tcPr>
            <w:tcW w:w="617"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53.3%</w:t>
            </w:r>
          </w:p>
        </w:tc>
        <w:tc>
          <w:tcPr>
            <w:tcW w:w="507"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14</w:t>
            </w:r>
          </w:p>
        </w:tc>
        <w:tc>
          <w:tcPr>
            <w:tcW w:w="1018"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46.7%</w:t>
            </w:r>
          </w:p>
        </w:tc>
        <w:tc>
          <w:tcPr>
            <w:tcW w:w="237"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0</w:t>
            </w:r>
          </w:p>
        </w:tc>
        <w:tc>
          <w:tcPr>
            <w:tcW w:w="555"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0%</w:t>
            </w:r>
          </w:p>
        </w:tc>
      </w:tr>
      <w:tr w:rsidR="00BF7D07" w:rsidRPr="00A60B24" w:rsidTr="00BF7D07">
        <w:trPr>
          <w:jc w:val="center"/>
        </w:trPr>
        <w:tc>
          <w:tcPr>
            <w:tcW w:w="1759" w:type="pct"/>
            <w:vAlign w:val="center"/>
          </w:tcPr>
          <w:p w:rsidR="0038549F" w:rsidRPr="00A60B24" w:rsidRDefault="0038549F" w:rsidP="00737872">
            <w:pPr>
              <w:bidi w:val="0"/>
              <w:snapToGrid w:val="0"/>
              <w:spacing w:after="0" w:line="240" w:lineRule="auto"/>
              <w:jc w:val="both"/>
              <w:rPr>
                <w:rFonts w:ascii="Times New Roman" w:hAnsi="Times New Roman" w:cs="Times New Roman"/>
                <w:b/>
                <w:bCs/>
                <w:sz w:val="20"/>
                <w:szCs w:val="20"/>
              </w:rPr>
            </w:pPr>
            <w:proofErr w:type="spellStart"/>
            <w:r w:rsidRPr="00A60B24">
              <w:rPr>
                <w:rFonts w:ascii="Times New Roman" w:hAnsi="Times New Roman" w:cs="Times New Roman"/>
                <w:b/>
                <w:bCs/>
                <w:sz w:val="20"/>
                <w:szCs w:val="20"/>
              </w:rPr>
              <w:t>Neutropenia</w:t>
            </w:r>
            <w:proofErr w:type="spellEnd"/>
            <w:r w:rsidRPr="00A60B24">
              <w:rPr>
                <w:rFonts w:ascii="Times New Roman" w:hAnsi="Times New Roman" w:cs="Times New Roman"/>
                <w:b/>
                <w:bCs/>
                <w:sz w:val="20"/>
                <w:szCs w:val="20"/>
              </w:rPr>
              <w:t xml:space="preserve"> (ANC)</w:t>
            </w:r>
          </w:p>
        </w:tc>
        <w:tc>
          <w:tcPr>
            <w:tcW w:w="307"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20</w:t>
            </w:r>
          </w:p>
        </w:tc>
        <w:tc>
          <w:tcPr>
            <w:tcW w:w="617"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66.7%</w:t>
            </w:r>
          </w:p>
        </w:tc>
        <w:tc>
          <w:tcPr>
            <w:tcW w:w="507"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9</w:t>
            </w:r>
          </w:p>
        </w:tc>
        <w:tc>
          <w:tcPr>
            <w:tcW w:w="1018"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30%</w:t>
            </w:r>
          </w:p>
        </w:tc>
        <w:tc>
          <w:tcPr>
            <w:tcW w:w="237"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1</w:t>
            </w:r>
          </w:p>
        </w:tc>
        <w:tc>
          <w:tcPr>
            <w:tcW w:w="555"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3.3%</w:t>
            </w:r>
          </w:p>
        </w:tc>
      </w:tr>
      <w:tr w:rsidR="00BF7D07" w:rsidRPr="00A60B24" w:rsidTr="00BF7D07">
        <w:trPr>
          <w:jc w:val="center"/>
        </w:trPr>
        <w:tc>
          <w:tcPr>
            <w:tcW w:w="1759" w:type="pct"/>
            <w:vAlign w:val="center"/>
          </w:tcPr>
          <w:p w:rsidR="0038549F" w:rsidRPr="00A60B24" w:rsidRDefault="0038549F" w:rsidP="00737872">
            <w:pPr>
              <w:bidi w:val="0"/>
              <w:snapToGrid w:val="0"/>
              <w:spacing w:after="0" w:line="240" w:lineRule="auto"/>
              <w:jc w:val="both"/>
              <w:rPr>
                <w:rFonts w:ascii="Times New Roman" w:hAnsi="Times New Roman" w:cs="Times New Roman"/>
                <w:b/>
                <w:bCs/>
                <w:sz w:val="20"/>
                <w:szCs w:val="20"/>
              </w:rPr>
            </w:pPr>
            <w:r w:rsidRPr="00A60B24">
              <w:rPr>
                <w:rFonts w:ascii="Times New Roman" w:hAnsi="Times New Roman" w:cs="Times New Roman"/>
                <w:b/>
                <w:bCs/>
                <w:sz w:val="20"/>
                <w:szCs w:val="20"/>
              </w:rPr>
              <w:t>Thrombocytopenia</w:t>
            </w:r>
          </w:p>
        </w:tc>
        <w:tc>
          <w:tcPr>
            <w:tcW w:w="307"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29</w:t>
            </w:r>
          </w:p>
        </w:tc>
        <w:tc>
          <w:tcPr>
            <w:tcW w:w="617"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96.7%</w:t>
            </w:r>
          </w:p>
        </w:tc>
        <w:tc>
          <w:tcPr>
            <w:tcW w:w="507"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1</w:t>
            </w:r>
          </w:p>
        </w:tc>
        <w:tc>
          <w:tcPr>
            <w:tcW w:w="1018"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3.3%</w:t>
            </w:r>
          </w:p>
        </w:tc>
        <w:tc>
          <w:tcPr>
            <w:tcW w:w="237"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0</w:t>
            </w:r>
          </w:p>
        </w:tc>
        <w:tc>
          <w:tcPr>
            <w:tcW w:w="555"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0%</w:t>
            </w:r>
          </w:p>
        </w:tc>
      </w:tr>
    </w:tbl>
    <w:p w:rsidR="0038549F" w:rsidRPr="00A60B24" w:rsidRDefault="0038549F" w:rsidP="00737872">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A60B24">
        <w:rPr>
          <w:rFonts w:ascii="Times New Roman" w:hAnsi="Times New Roman" w:cs="Times New Roman"/>
          <w:sz w:val="20"/>
          <w:szCs w:val="20"/>
        </w:rPr>
        <w:t xml:space="preserve">ANC: absolute </w:t>
      </w:r>
      <w:proofErr w:type="spellStart"/>
      <w:r w:rsidRPr="00A60B24">
        <w:rPr>
          <w:rFonts w:ascii="Times New Roman" w:hAnsi="Times New Roman" w:cs="Times New Roman"/>
          <w:sz w:val="20"/>
          <w:szCs w:val="20"/>
        </w:rPr>
        <w:t>neutrophile</w:t>
      </w:r>
      <w:proofErr w:type="spellEnd"/>
      <w:r w:rsidRPr="00A60B24">
        <w:rPr>
          <w:rFonts w:ascii="Times New Roman" w:hAnsi="Times New Roman" w:cs="Times New Roman"/>
          <w:sz w:val="20"/>
          <w:szCs w:val="20"/>
        </w:rPr>
        <w:t xml:space="preserve"> count</w:t>
      </w:r>
    </w:p>
    <w:p w:rsidR="00737872" w:rsidRPr="00A60B24" w:rsidRDefault="00BF7D07" w:rsidP="00737872">
      <w:pPr>
        <w:autoSpaceDE w:val="0"/>
        <w:autoSpaceDN w:val="0"/>
        <w:bidi w:val="0"/>
        <w:adjustRightInd w:val="0"/>
        <w:snapToGrid w:val="0"/>
        <w:spacing w:after="0" w:line="240" w:lineRule="auto"/>
        <w:jc w:val="both"/>
        <w:rPr>
          <w:rFonts w:ascii="Times New Roman" w:hAnsi="Times New Roman" w:cs="Times New Roman"/>
          <w:b/>
          <w:bCs/>
          <w:i/>
          <w:iCs/>
          <w:sz w:val="20"/>
          <w:szCs w:val="20"/>
        </w:rPr>
        <w:sectPr w:rsidR="00737872" w:rsidRPr="00A60B24" w:rsidSect="00BF7D07">
          <w:type w:val="continuous"/>
          <w:pgSz w:w="12242" w:h="15842" w:code="1"/>
          <w:pgMar w:top="1440" w:right="1440" w:bottom="1440" w:left="1440" w:header="720" w:footer="720" w:gutter="0"/>
          <w:cols w:space="720"/>
          <w:docGrid w:linePitch="360"/>
        </w:sectPr>
      </w:pPr>
      <w:r w:rsidRPr="00A60B24">
        <w:rPr>
          <w:rFonts w:ascii="Times New Roman" w:hAnsi="Times New Roman" w:cs="Times New Roman"/>
          <w:b/>
          <w:bCs/>
          <w:i/>
          <w:iCs/>
          <w:sz w:val="20"/>
          <w:szCs w:val="20"/>
        </w:rPr>
        <w:cr/>
      </w:r>
    </w:p>
    <w:p w:rsidR="0038549F" w:rsidRPr="00A60B24" w:rsidRDefault="0038549F" w:rsidP="00737872">
      <w:pPr>
        <w:autoSpaceDE w:val="0"/>
        <w:autoSpaceDN w:val="0"/>
        <w:bidi w:val="0"/>
        <w:adjustRightInd w:val="0"/>
        <w:snapToGrid w:val="0"/>
        <w:spacing w:after="0" w:line="240" w:lineRule="auto"/>
        <w:jc w:val="both"/>
        <w:rPr>
          <w:rFonts w:ascii="Times New Roman" w:hAnsi="Times New Roman" w:cs="Times New Roman"/>
          <w:b/>
          <w:bCs/>
          <w:i/>
          <w:iCs/>
          <w:sz w:val="20"/>
          <w:szCs w:val="20"/>
          <w:lang w:bidi="ar-EG"/>
        </w:rPr>
      </w:pPr>
      <w:r w:rsidRPr="00A60B24">
        <w:rPr>
          <w:rFonts w:ascii="Times New Roman" w:hAnsi="Times New Roman" w:cs="Times New Roman"/>
          <w:b/>
          <w:bCs/>
          <w:i/>
          <w:iCs/>
          <w:sz w:val="20"/>
          <w:szCs w:val="20"/>
        </w:rPr>
        <w:lastRenderedPageBreak/>
        <w:t>Non-hematological acute toxicities</w:t>
      </w:r>
    </w:p>
    <w:p w:rsidR="0038549F" w:rsidRPr="00A60B24" w:rsidRDefault="0038549F" w:rsidP="00737872">
      <w:pPr>
        <w:autoSpaceDE w:val="0"/>
        <w:autoSpaceDN w:val="0"/>
        <w:bidi w:val="0"/>
        <w:adjustRightInd w:val="0"/>
        <w:snapToGrid w:val="0"/>
        <w:spacing w:after="0" w:line="240" w:lineRule="auto"/>
        <w:ind w:firstLine="425"/>
        <w:jc w:val="both"/>
        <w:rPr>
          <w:rFonts w:ascii="Times New Roman" w:hAnsi="Times New Roman" w:cs="Times New Roman"/>
          <w:b/>
          <w:bCs/>
          <w:i/>
          <w:iCs/>
          <w:sz w:val="20"/>
          <w:szCs w:val="20"/>
          <w:lang w:bidi="ar-EG"/>
        </w:rPr>
      </w:pPr>
      <w:r w:rsidRPr="00A60B24">
        <w:rPr>
          <w:rFonts w:ascii="Times New Roman" w:hAnsi="Times New Roman" w:cs="Times New Roman"/>
          <w:sz w:val="20"/>
          <w:szCs w:val="20"/>
        </w:rPr>
        <w:t>Acute radiation toxicity</w:t>
      </w:r>
      <w:r w:rsidR="007641E0" w:rsidRPr="00A60B24">
        <w:rPr>
          <w:rFonts w:ascii="Times New Roman" w:hAnsi="Times New Roman" w:cs="Times New Roman"/>
          <w:sz w:val="20"/>
          <w:szCs w:val="20"/>
        </w:rPr>
        <w:t xml:space="preserve"> was well tolerated</w:t>
      </w:r>
      <w:r w:rsidRPr="00A60B24">
        <w:rPr>
          <w:rFonts w:ascii="Times New Roman" w:hAnsi="Times New Roman" w:cs="Times New Roman"/>
          <w:sz w:val="20"/>
          <w:szCs w:val="20"/>
        </w:rPr>
        <w:t xml:space="preserve">. High grade 3 </w:t>
      </w:r>
      <w:proofErr w:type="spellStart"/>
      <w:r w:rsidRPr="00A60B24">
        <w:rPr>
          <w:rFonts w:ascii="Times New Roman" w:hAnsi="Times New Roman" w:cs="Times New Roman"/>
          <w:sz w:val="20"/>
          <w:szCs w:val="20"/>
        </w:rPr>
        <w:t>mucositis</w:t>
      </w:r>
      <w:proofErr w:type="spellEnd"/>
      <w:r w:rsidRPr="00A60B24">
        <w:rPr>
          <w:rFonts w:ascii="Times New Roman" w:hAnsi="Times New Roman" w:cs="Times New Roman"/>
          <w:sz w:val="20"/>
          <w:szCs w:val="20"/>
        </w:rPr>
        <w:t xml:space="preserve"> was noticed in 4 patients (13.3 %). Nine patients (30%) suffered from grade 3 </w:t>
      </w:r>
      <w:proofErr w:type="spellStart"/>
      <w:r w:rsidRPr="00A60B24">
        <w:rPr>
          <w:rFonts w:ascii="Times New Roman" w:hAnsi="Times New Roman" w:cs="Times New Roman"/>
          <w:sz w:val="20"/>
          <w:szCs w:val="20"/>
        </w:rPr>
        <w:t>xerostomia</w:t>
      </w:r>
      <w:proofErr w:type="spellEnd"/>
      <w:r w:rsidRPr="00A60B24">
        <w:rPr>
          <w:rFonts w:ascii="Times New Roman" w:hAnsi="Times New Roman" w:cs="Times New Roman"/>
          <w:sz w:val="20"/>
          <w:szCs w:val="20"/>
        </w:rPr>
        <w:t xml:space="preserve">. Five patients (16.67%) complained from grade 3 oral pain as well as grade 3 </w:t>
      </w:r>
      <w:proofErr w:type="spellStart"/>
      <w:r w:rsidRPr="00A60B24">
        <w:rPr>
          <w:rFonts w:ascii="Times New Roman" w:hAnsi="Times New Roman" w:cs="Times New Roman"/>
          <w:sz w:val="20"/>
          <w:szCs w:val="20"/>
        </w:rPr>
        <w:t>dysphagia</w:t>
      </w:r>
      <w:proofErr w:type="spellEnd"/>
      <w:r w:rsidRPr="00A60B24">
        <w:rPr>
          <w:rFonts w:ascii="Times New Roman" w:hAnsi="Times New Roman" w:cs="Times New Roman"/>
          <w:sz w:val="20"/>
          <w:szCs w:val="20"/>
        </w:rPr>
        <w:t xml:space="preserve">. Grade 3 laryngitis </w:t>
      </w:r>
      <w:r w:rsidRPr="00A60B24">
        <w:rPr>
          <w:rFonts w:ascii="Times New Roman" w:hAnsi="Times New Roman" w:cs="Times New Roman"/>
          <w:sz w:val="20"/>
          <w:szCs w:val="20"/>
        </w:rPr>
        <w:lastRenderedPageBreak/>
        <w:t>was observed in 6 patients (20%). Also, grade 3 radiation dermatitis occurred in 4 patients (13.3%). Only one patient had grade 3 weight loss</w:t>
      </w:r>
      <w:r w:rsidR="007641E0" w:rsidRPr="00A60B24">
        <w:rPr>
          <w:rFonts w:ascii="Times New Roman" w:hAnsi="Times New Roman" w:cs="Times New Roman"/>
          <w:sz w:val="20"/>
          <w:szCs w:val="20"/>
        </w:rPr>
        <w:t>.</w:t>
      </w:r>
      <w:r w:rsidR="00F76000" w:rsidRPr="00A60B24">
        <w:rPr>
          <w:rFonts w:ascii="Times New Roman" w:hAnsi="Times New Roman" w:cs="Times New Roman"/>
          <w:sz w:val="20"/>
          <w:szCs w:val="20"/>
          <w:lang w:eastAsia="zh-CN"/>
        </w:rPr>
        <w:t xml:space="preserve"> </w:t>
      </w:r>
      <w:r w:rsidR="007641E0" w:rsidRPr="00A60B24">
        <w:rPr>
          <w:rFonts w:ascii="Times New Roman" w:hAnsi="Times New Roman" w:cs="Times New Roman"/>
          <w:sz w:val="20"/>
          <w:szCs w:val="20"/>
        </w:rPr>
        <w:t>Patients complained from toxicities on the 4</w:t>
      </w:r>
      <w:r w:rsidR="007641E0" w:rsidRPr="00A60B24">
        <w:rPr>
          <w:rFonts w:ascii="Times New Roman" w:hAnsi="Times New Roman" w:cs="Times New Roman"/>
          <w:sz w:val="20"/>
          <w:szCs w:val="20"/>
          <w:vertAlign w:val="superscript"/>
        </w:rPr>
        <w:t>th</w:t>
      </w:r>
      <w:r w:rsidR="007641E0" w:rsidRPr="00A60B24">
        <w:rPr>
          <w:rFonts w:ascii="Times New Roman" w:hAnsi="Times New Roman" w:cs="Times New Roman"/>
          <w:sz w:val="20"/>
          <w:szCs w:val="20"/>
        </w:rPr>
        <w:t>, 5</w:t>
      </w:r>
      <w:r w:rsidR="007641E0" w:rsidRPr="00A60B24">
        <w:rPr>
          <w:rFonts w:ascii="Times New Roman" w:hAnsi="Times New Roman" w:cs="Times New Roman"/>
          <w:sz w:val="20"/>
          <w:szCs w:val="20"/>
          <w:vertAlign w:val="superscript"/>
        </w:rPr>
        <w:t>th</w:t>
      </w:r>
      <w:r w:rsidR="007641E0" w:rsidRPr="00A60B24">
        <w:rPr>
          <w:rFonts w:ascii="Times New Roman" w:hAnsi="Times New Roman" w:cs="Times New Roman"/>
          <w:sz w:val="20"/>
          <w:szCs w:val="20"/>
        </w:rPr>
        <w:t xml:space="preserve"> and 6</w:t>
      </w:r>
      <w:r w:rsidR="007641E0" w:rsidRPr="00A60B24">
        <w:rPr>
          <w:rFonts w:ascii="Times New Roman" w:hAnsi="Times New Roman" w:cs="Times New Roman"/>
          <w:sz w:val="20"/>
          <w:szCs w:val="20"/>
          <w:vertAlign w:val="superscript"/>
        </w:rPr>
        <w:t>th</w:t>
      </w:r>
      <w:r w:rsidR="007641E0" w:rsidRPr="00A60B24">
        <w:rPr>
          <w:rFonts w:ascii="Times New Roman" w:hAnsi="Times New Roman" w:cs="Times New Roman"/>
          <w:sz w:val="20"/>
          <w:szCs w:val="20"/>
        </w:rPr>
        <w:t xml:space="preserve"> week with the peak incidence on the 5</w:t>
      </w:r>
      <w:r w:rsidR="007641E0" w:rsidRPr="00A60B24">
        <w:rPr>
          <w:rFonts w:ascii="Times New Roman" w:hAnsi="Times New Roman" w:cs="Times New Roman"/>
          <w:sz w:val="20"/>
          <w:szCs w:val="20"/>
          <w:vertAlign w:val="superscript"/>
        </w:rPr>
        <w:t>th</w:t>
      </w:r>
      <w:r w:rsidR="007641E0" w:rsidRPr="00A60B24">
        <w:rPr>
          <w:rFonts w:ascii="Times New Roman" w:hAnsi="Times New Roman" w:cs="Times New Roman"/>
          <w:sz w:val="20"/>
          <w:szCs w:val="20"/>
        </w:rPr>
        <w:t xml:space="preserve"> week</w:t>
      </w:r>
      <w:r w:rsidR="002E5DEE" w:rsidRPr="00A60B24">
        <w:rPr>
          <w:rFonts w:ascii="Times New Roman" w:hAnsi="Times New Roman" w:cs="Times New Roman"/>
          <w:sz w:val="20"/>
          <w:szCs w:val="20"/>
        </w:rPr>
        <w:t xml:space="preserve">. </w:t>
      </w:r>
      <w:r w:rsidRPr="00A60B24">
        <w:rPr>
          <w:rFonts w:ascii="Times New Roman" w:hAnsi="Times New Roman" w:cs="Times New Roman"/>
          <w:b/>
          <w:bCs/>
          <w:i/>
          <w:iCs/>
          <w:sz w:val="20"/>
          <w:szCs w:val="20"/>
        </w:rPr>
        <w:t xml:space="preserve">(Table </w:t>
      </w:r>
      <w:r w:rsidR="004275D6" w:rsidRPr="00A60B24">
        <w:rPr>
          <w:rFonts w:ascii="Times New Roman" w:hAnsi="Times New Roman" w:cs="Times New Roman"/>
          <w:b/>
          <w:bCs/>
          <w:i/>
          <w:iCs/>
          <w:sz w:val="20"/>
          <w:szCs w:val="20"/>
        </w:rPr>
        <w:t>8</w:t>
      </w:r>
      <w:r w:rsidRPr="00A60B24">
        <w:rPr>
          <w:rFonts w:ascii="Times New Roman" w:hAnsi="Times New Roman" w:cs="Times New Roman"/>
          <w:b/>
          <w:bCs/>
          <w:i/>
          <w:iCs/>
          <w:sz w:val="20"/>
          <w:szCs w:val="20"/>
        </w:rPr>
        <w:t>)</w:t>
      </w:r>
    </w:p>
    <w:p w:rsidR="00737872" w:rsidRPr="00A60B24" w:rsidRDefault="00737872" w:rsidP="00737872">
      <w:pPr>
        <w:autoSpaceDE w:val="0"/>
        <w:autoSpaceDN w:val="0"/>
        <w:bidi w:val="0"/>
        <w:adjustRightInd w:val="0"/>
        <w:snapToGrid w:val="0"/>
        <w:spacing w:after="0" w:line="240" w:lineRule="auto"/>
        <w:jc w:val="center"/>
        <w:rPr>
          <w:rFonts w:ascii="Times New Roman" w:hAnsi="Times New Roman" w:cs="Times New Roman"/>
          <w:b/>
          <w:bCs/>
          <w:sz w:val="20"/>
          <w:szCs w:val="20"/>
        </w:rPr>
        <w:sectPr w:rsidR="00737872" w:rsidRPr="00A60B24" w:rsidSect="00737872">
          <w:type w:val="continuous"/>
          <w:pgSz w:w="12242" w:h="15842" w:code="1"/>
          <w:pgMar w:top="1440" w:right="1440" w:bottom="1440" w:left="1440" w:header="720" w:footer="720" w:gutter="0"/>
          <w:cols w:num="2" w:space="550"/>
          <w:docGrid w:linePitch="360"/>
        </w:sectPr>
      </w:pPr>
    </w:p>
    <w:p w:rsidR="006B757F" w:rsidRPr="00A60B24" w:rsidRDefault="006B757F" w:rsidP="00737872">
      <w:pPr>
        <w:autoSpaceDE w:val="0"/>
        <w:autoSpaceDN w:val="0"/>
        <w:bidi w:val="0"/>
        <w:adjustRightInd w:val="0"/>
        <w:snapToGrid w:val="0"/>
        <w:spacing w:after="0" w:line="240" w:lineRule="auto"/>
        <w:jc w:val="center"/>
        <w:rPr>
          <w:rFonts w:ascii="Times New Roman" w:hAnsi="Times New Roman" w:cs="Times New Roman"/>
          <w:b/>
          <w:bCs/>
          <w:sz w:val="20"/>
          <w:szCs w:val="20"/>
        </w:rPr>
      </w:pPr>
    </w:p>
    <w:p w:rsidR="0038549F" w:rsidRPr="00A60B24" w:rsidRDefault="0038549F" w:rsidP="00737872">
      <w:pPr>
        <w:autoSpaceDE w:val="0"/>
        <w:autoSpaceDN w:val="0"/>
        <w:bidi w:val="0"/>
        <w:adjustRightInd w:val="0"/>
        <w:snapToGrid w:val="0"/>
        <w:spacing w:after="0" w:line="240" w:lineRule="auto"/>
        <w:jc w:val="center"/>
        <w:rPr>
          <w:rFonts w:ascii="Times New Roman" w:hAnsi="Times New Roman" w:cs="Times New Roman"/>
          <w:sz w:val="20"/>
          <w:szCs w:val="20"/>
          <w:lang w:bidi="ar-EG"/>
        </w:rPr>
      </w:pPr>
      <w:r w:rsidRPr="00A60B24">
        <w:rPr>
          <w:rFonts w:ascii="Times New Roman" w:hAnsi="Times New Roman" w:cs="Times New Roman"/>
          <w:b/>
          <w:bCs/>
          <w:sz w:val="20"/>
          <w:szCs w:val="20"/>
        </w:rPr>
        <w:t>Table (</w:t>
      </w:r>
      <w:r w:rsidR="004275D6" w:rsidRPr="00A60B24">
        <w:rPr>
          <w:rFonts w:ascii="Times New Roman" w:hAnsi="Times New Roman" w:cs="Times New Roman"/>
          <w:b/>
          <w:bCs/>
          <w:sz w:val="20"/>
          <w:szCs w:val="20"/>
        </w:rPr>
        <w:t>8</w:t>
      </w:r>
      <w:r w:rsidRPr="00A60B24">
        <w:rPr>
          <w:rFonts w:ascii="Times New Roman" w:hAnsi="Times New Roman" w:cs="Times New Roman"/>
          <w:b/>
          <w:bCs/>
          <w:sz w:val="20"/>
          <w:szCs w:val="20"/>
        </w:rPr>
        <w:t>):</w:t>
      </w:r>
      <w:r w:rsidRPr="00A60B24">
        <w:rPr>
          <w:rFonts w:ascii="Times New Roman" w:hAnsi="Times New Roman" w:cs="Times New Roman"/>
          <w:sz w:val="20"/>
          <w:szCs w:val="20"/>
        </w:rPr>
        <w:t xml:space="preserve"> Non-</w:t>
      </w:r>
      <w:r w:rsidR="0052509C" w:rsidRPr="00A60B24">
        <w:rPr>
          <w:rFonts w:ascii="Times New Roman" w:hAnsi="Times New Roman" w:cs="Times New Roman"/>
          <w:sz w:val="20"/>
          <w:szCs w:val="20"/>
        </w:rPr>
        <w:t>hematological</w:t>
      </w:r>
      <w:r w:rsidRPr="00A60B24">
        <w:rPr>
          <w:rFonts w:ascii="Times New Roman" w:hAnsi="Times New Roman" w:cs="Times New Roman"/>
          <w:sz w:val="20"/>
          <w:szCs w:val="20"/>
        </w:rPr>
        <w:t xml:space="preserve"> acute toxicities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3181"/>
        <w:gridCol w:w="246"/>
        <w:gridCol w:w="688"/>
        <w:gridCol w:w="341"/>
        <w:gridCol w:w="798"/>
        <w:gridCol w:w="341"/>
        <w:gridCol w:w="688"/>
        <w:gridCol w:w="246"/>
        <w:gridCol w:w="796"/>
        <w:gridCol w:w="2151"/>
      </w:tblGrid>
      <w:tr w:rsidR="00BF7D07" w:rsidRPr="00A60B24" w:rsidTr="00BF7D07">
        <w:trPr>
          <w:jc w:val="center"/>
        </w:trPr>
        <w:tc>
          <w:tcPr>
            <w:tcW w:w="1678" w:type="pct"/>
            <w:vMerge w:val="restart"/>
            <w:vAlign w:val="center"/>
          </w:tcPr>
          <w:p w:rsidR="006B757F" w:rsidRPr="00A60B24" w:rsidRDefault="006B757F" w:rsidP="00737872">
            <w:pPr>
              <w:bidi w:val="0"/>
              <w:snapToGrid w:val="0"/>
              <w:spacing w:after="0" w:line="240" w:lineRule="auto"/>
              <w:jc w:val="both"/>
              <w:rPr>
                <w:rFonts w:ascii="Times New Roman" w:hAnsi="Times New Roman" w:cs="Times New Roman"/>
                <w:b/>
                <w:bCs/>
                <w:sz w:val="20"/>
                <w:szCs w:val="20"/>
                <w:lang w:bidi="ar-EG"/>
              </w:rPr>
            </w:pPr>
            <w:r w:rsidRPr="00A60B24">
              <w:rPr>
                <w:rFonts w:ascii="Times New Roman" w:hAnsi="Times New Roman" w:cs="Times New Roman"/>
                <w:b/>
                <w:bCs/>
                <w:sz w:val="20"/>
                <w:szCs w:val="20"/>
              </w:rPr>
              <w:t>Adverse events</w:t>
            </w:r>
          </w:p>
        </w:tc>
        <w:tc>
          <w:tcPr>
            <w:tcW w:w="493" w:type="pct"/>
            <w:gridSpan w:val="2"/>
            <w:vAlign w:val="center"/>
          </w:tcPr>
          <w:p w:rsidR="006B757F" w:rsidRPr="00A60B24" w:rsidRDefault="006B757F" w:rsidP="00737872">
            <w:pPr>
              <w:bidi w:val="0"/>
              <w:snapToGrid w:val="0"/>
              <w:spacing w:after="0" w:line="240" w:lineRule="auto"/>
              <w:jc w:val="both"/>
              <w:rPr>
                <w:rFonts w:ascii="Times New Roman" w:hAnsi="Times New Roman" w:cs="Times New Roman"/>
                <w:b/>
                <w:bCs/>
                <w:sz w:val="20"/>
                <w:szCs w:val="20"/>
              </w:rPr>
            </w:pPr>
            <w:r w:rsidRPr="00A60B24">
              <w:rPr>
                <w:rFonts w:ascii="Times New Roman" w:hAnsi="Times New Roman" w:cs="Times New Roman"/>
                <w:b/>
                <w:bCs/>
                <w:sz w:val="20"/>
                <w:szCs w:val="20"/>
              </w:rPr>
              <w:t>Grade 0</w:t>
            </w:r>
          </w:p>
        </w:tc>
        <w:tc>
          <w:tcPr>
            <w:tcW w:w="601" w:type="pct"/>
            <w:gridSpan w:val="2"/>
            <w:vAlign w:val="center"/>
          </w:tcPr>
          <w:p w:rsidR="006B757F" w:rsidRPr="00A60B24" w:rsidRDefault="006B757F" w:rsidP="00737872">
            <w:pPr>
              <w:bidi w:val="0"/>
              <w:snapToGrid w:val="0"/>
              <w:spacing w:after="0" w:line="240" w:lineRule="auto"/>
              <w:jc w:val="both"/>
              <w:rPr>
                <w:rFonts w:ascii="Times New Roman" w:hAnsi="Times New Roman" w:cs="Times New Roman"/>
                <w:b/>
                <w:bCs/>
                <w:sz w:val="20"/>
                <w:szCs w:val="20"/>
              </w:rPr>
            </w:pPr>
            <w:r w:rsidRPr="00A60B24">
              <w:rPr>
                <w:rFonts w:ascii="Times New Roman" w:hAnsi="Times New Roman" w:cs="Times New Roman"/>
                <w:b/>
                <w:bCs/>
                <w:sz w:val="20"/>
                <w:szCs w:val="20"/>
              </w:rPr>
              <w:t>Grade 1</w:t>
            </w:r>
          </w:p>
        </w:tc>
        <w:tc>
          <w:tcPr>
            <w:tcW w:w="543" w:type="pct"/>
            <w:gridSpan w:val="2"/>
            <w:vAlign w:val="center"/>
          </w:tcPr>
          <w:p w:rsidR="006B757F" w:rsidRPr="00A60B24" w:rsidRDefault="006B757F" w:rsidP="00737872">
            <w:pPr>
              <w:bidi w:val="0"/>
              <w:snapToGrid w:val="0"/>
              <w:spacing w:after="0" w:line="240" w:lineRule="auto"/>
              <w:jc w:val="both"/>
              <w:rPr>
                <w:rFonts w:ascii="Times New Roman" w:hAnsi="Times New Roman" w:cs="Times New Roman"/>
                <w:b/>
                <w:bCs/>
                <w:sz w:val="20"/>
                <w:szCs w:val="20"/>
              </w:rPr>
            </w:pPr>
            <w:r w:rsidRPr="00A60B24">
              <w:rPr>
                <w:rFonts w:ascii="Times New Roman" w:hAnsi="Times New Roman" w:cs="Times New Roman"/>
                <w:b/>
                <w:bCs/>
                <w:sz w:val="20"/>
                <w:szCs w:val="20"/>
              </w:rPr>
              <w:t>Grade 2</w:t>
            </w:r>
          </w:p>
        </w:tc>
        <w:tc>
          <w:tcPr>
            <w:tcW w:w="550" w:type="pct"/>
            <w:gridSpan w:val="2"/>
            <w:vAlign w:val="center"/>
          </w:tcPr>
          <w:p w:rsidR="006B757F" w:rsidRPr="00A60B24" w:rsidRDefault="006B757F" w:rsidP="00737872">
            <w:pPr>
              <w:bidi w:val="0"/>
              <w:snapToGrid w:val="0"/>
              <w:spacing w:after="0" w:line="240" w:lineRule="auto"/>
              <w:jc w:val="both"/>
              <w:rPr>
                <w:rFonts w:ascii="Times New Roman" w:hAnsi="Times New Roman" w:cs="Times New Roman"/>
                <w:b/>
                <w:bCs/>
                <w:sz w:val="20"/>
                <w:szCs w:val="20"/>
              </w:rPr>
            </w:pPr>
            <w:r w:rsidRPr="00A60B24">
              <w:rPr>
                <w:rFonts w:ascii="Times New Roman" w:hAnsi="Times New Roman" w:cs="Times New Roman"/>
                <w:b/>
                <w:bCs/>
                <w:sz w:val="20"/>
                <w:szCs w:val="20"/>
              </w:rPr>
              <w:t>Grade 3</w:t>
            </w:r>
          </w:p>
        </w:tc>
        <w:tc>
          <w:tcPr>
            <w:tcW w:w="1135" w:type="pct"/>
            <w:vMerge w:val="restart"/>
            <w:vAlign w:val="center"/>
          </w:tcPr>
          <w:p w:rsidR="006B757F" w:rsidRPr="00A60B24" w:rsidRDefault="006B757F" w:rsidP="00737872">
            <w:pPr>
              <w:bidi w:val="0"/>
              <w:snapToGrid w:val="0"/>
              <w:spacing w:after="0" w:line="240" w:lineRule="auto"/>
              <w:jc w:val="both"/>
              <w:rPr>
                <w:rFonts w:ascii="Times New Roman" w:hAnsi="Times New Roman" w:cs="Times New Roman"/>
                <w:b/>
                <w:bCs/>
                <w:sz w:val="20"/>
                <w:szCs w:val="20"/>
              </w:rPr>
            </w:pPr>
            <w:r w:rsidRPr="00A60B24">
              <w:rPr>
                <w:rFonts w:ascii="Times New Roman" w:hAnsi="Times New Roman" w:cs="Times New Roman"/>
                <w:b/>
                <w:bCs/>
                <w:sz w:val="20"/>
                <w:szCs w:val="20"/>
              </w:rPr>
              <w:t>Time of highest grade</w:t>
            </w:r>
          </w:p>
        </w:tc>
      </w:tr>
      <w:tr w:rsidR="00BF7D07" w:rsidRPr="00A60B24" w:rsidTr="00BF7D07">
        <w:trPr>
          <w:jc w:val="center"/>
        </w:trPr>
        <w:tc>
          <w:tcPr>
            <w:tcW w:w="1678" w:type="pct"/>
            <w:vMerge/>
            <w:vAlign w:val="center"/>
          </w:tcPr>
          <w:p w:rsidR="006B757F" w:rsidRPr="00A60B24" w:rsidRDefault="006B757F" w:rsidP="00737872">
            <w:pPr>
              <w:bidi w:val="0"/>
              <w:snapToGrid w:val="0"/>
              <w:spacing w:after="0" w:line="240" w:lineRule="auto"/>
              <w:jc w:val="both"/>
              <w:rPr>
                <w:rFonts w:ascii="Times New Roman" w:hAnsi="Times New Roman" w:cs="Times New Roman"/>
                <w:b/>
                <w:bCs/>
                <w:sz w:val="20"/>
                <w:szCs w:val="20"/>
              </w:rPr>
            </w:pPr>
          </w:p>
        </w:tc>
        <w:tc>
          <w:tcPr>
            <w:tcW w:w="130" w:type="pct"/>
            <w:vAlign w:val="center"/>
          </w:tcPr>
          <w:p w:rsidR="006B757F" w:rsidRPr="00A60B24" w:rsidRDefault="006B757F" w:rsidP="00737872">
            <w:pPr>
              <w:bidi w:val="0"/>
              <w:snapToGrid w:val="0"/>
              <w:spacing w:after="0" w:line="240" w:lineRule="auto"/>
              <w:jc w:val="both"/>
              <w:rPr>
                <w:rFonts w:ascii="Times New Roman" w:hAnsi="Times New Roman" w:cs="Times New Roman"/>
                <w:b/>
                <w:bCs/>
                <w:sz w:val="20"/>
                <w:szCs w:val="20"/>
              </w:rPr>
            </w:pPr>
            <w:r w:rsidRPr="00A60B24">
              <w:rPr>
                <w:rFonts w:ascii="Times New Roman" w:hAnsi="Times New Roman" w:cs="Times New Roman"/>
                <w:b/>
                <w:bCs/>
                <w:sz w:val="20"/>
                <w:szCs w:val="20"/>
              </w:rPr>
              <w:t>n</w:t>
            </w:r>
          </w:p>
        </w:tc>
        <w:tc>
          <w:tcPr>
            <w:tcW w:w="363" w:type="pct"/>
            <w:vAlign w:val="center"/>
          </w:tcPr>
          <w:p w:rsidR="006B757F" w:rsidRPr="00A60B24" w:rsidRDefault="006B757F" w:rsidP="00737872">
            <w:pPr>
              <w:bidi w:val="0"/>
              <w:snapToGrid w:val="0"/>
              <w:spacing w:after="0" w:line="240" w:lineRule="auto"/>
              <w:jc w:val="both"/>
              <w:rPr>
                <w:rFonts w:ascii="Times New Roman" w:hAnsi="Times New Roman" w:cs="Times New Roman"/>
                <w:b/>
                <w:bCs/>
                <w:sz w:val="20"/>
                <w:szCs w:val="20"/>
              </w:rPr>
            </w:pPr>
            <w:r w:rsidRPr="00A60B24">
              <w:rPr>
                <w:rFonts w:ascii="Times New Roman" w:hAnsi="Times New Roman" w:cs="Times New Roman"/>
                <w:b/>
                <w:bCs/>
                <w:sz w:val="20"/>
                <w:szCs w:val="20"/>
              </w:rPr>
              <w:t>%</w:t>
            </w:r>
          </w:p>
        </w:tc>
        <w:tc>
          <w:tcPr>
            <w:tcW w:w="180" w:type="pct"/>
            <w:vAlign w:val="center"/>
          </w:tcPr>
          <w:p w:rsidR="006B757F" w:rsidRPr="00A60B24" w:rsidRDefault="006B757F" w:rsidP="00737872">
            <w:pPr>
              <w:bidi w:val="0"/>
              <w:snapToGrid w:val="0"/>
              <w:spacing w:after="0" w:line="240" w:lineRule="auto"/>
              <w:jc w:val="both"/>
              <w:rPr>
                <w:rFonts w:ascii="Times New Roman" w:hAnsi="Times New Roman" w:cs="Times New Roman"/>
                <w:b/>
                <w:bCs/>
                <w:sz w:val="20"/>
                <w:szCs w:val="20"/>
              </w:rPr>
            </w:pPr>
            <w:r w:rsidRPr="00A60B24">
              <w:rPr>
                <w:rFonts w:ascii="Times New Roman" w:hAnsi="Times New Roman" w:cs="Times New Roman"/>
                <w:b/>
                <w:bCs/>
                <w:sz w:val="20"/>
                <w:szCs w:val="20"/>
              </w:rPr>
              <w:t>n</w:t>
            </w:r>
          </w:p>
        </w:tc>
        <w:tc>
          <w:tcPr>
            <w:tcW w:w="420" w:type="pct"/>
            <w:vAlign w:val="center"/>
          </w:tcPr>
          <w:p w:rsidR="006B757F" w:rsidRPr="00A60B24" w:rsidRDefault="006B757F" w:rsidP="00737872">
            <w:pPr>
              <w:bidi w:val="0"/>
              <w:snapToGrid w:val="0"/>
              <w:spacing w:after="0" w:line="240" w:lineRule="auto"/>
              <w:jc w:val="both"/>
              <w:rPr>
                <w:rFonts w:ascii="Times New Roman" w:hAnsi="Times New Roman" w:cs="Times New Roman"/>
                <w:b/>
                <w:bCs/>
                <w:sz w:val="20"/>
                <w:szCs w:val="20"/>
              </w:rPr>
            </w:pPr>
            <w:r w:rsidRPr="00A60B24">
              <w:rPr>
                <w:rFonts w:ascii="Times New Roman" w:hAnsi="Times New Roman" w:cs="Times New Roman"/>
                <w:b/>
                <w:bCs/>
                <w:sz w:val="20"/>
                <w:szCs w:val="20"/>
              </w:rPr>
              <w:t>%</w:t>
            </w:r>
          </w:p>
        </w:tc>
        <w:tc>
          <w:tcPr>
            <w:tcW w:w="180" w:type="pct"/>
            <w:vAlign w:val="center"/>
          </w:tcPr>
          <w:p w:rsidR="006B757F" w:rsidRPr="00A60B24" w:rsidRDefault="006B757F" w:rsidP="00737872">
            <w:pPr>
              <w:bidi w:val="0"/>
              <w:snapToGrid w:val="0"/>
              <w:spacing w:after="0" w:line="240" w:lineRule="auto"/>
              <w:jc w:val="both"/>
              <w:rPr>
                <w:rFonts w:ascii="Times New Roman" w:hAnsi="Times New Roman" w:cs="Times New Roman"/>
                <w:b/>
                <w:bCs/>
                <w:sz w:val="20"/>
                <w:szCs w:val="20"/>
              </w:rPr>
            </w:pPr>
            <w:r w:rsidRPr="00A60B24">
              <w:rPr>
                <w:rFonts w:ascii="Times New Roman" w:hAnsi="Times New Roman" w:cs="Times New Roman"/>
                <w:b/>
                <w:bCs/>
                <w:sz w:val="20"/>
                <w:szCs w:val="20"/>
              </w:rPr>
              <w:t>n</w:t>
            </w:r>
          </w:p>
        </w:tc>
        <w:tc>
          <w:tcPr>
            <w:tcW w:w="363" w:type="pct"/>
            <w:vAlign w:val="center"/>
          </w:tcPr>
          <w:p w:rsidR="006B757F" w:rsidRPr="00A60B24" w:rsidRDefault="006B757F" w:rsidP="00737872">
            <w:pPr>
              <w:bidi w:val="0"/>
              <w:snapToGrid w:val="0"/>
              <w:spacing w:after="0" w:line="240" w:lineRule="auto"/>
              <w:jc w:val="both"/>
              <w:rPr>
                <w:rFonts w:ascii="Times New Roman" w:hAnsi="Times New Roman" w:cs="Times New Roman"/>
                <w:b/>
                <w:bCs/>
                <w:sz w:val="20"/>
                <w:szCs w:val="20"/>
              </w:rPr>
            </w:pPr>
            <w:r w:rsidRPr="00A60B24">
              <w:rPr>
                <w:rFonts w:ascii="Times New Roman" w:hAnsi="Times New Roman" w:cs="Times New Roman"/>
                <w:b/>
                <w:bCs/>
                <w:sz w:val="20"/>
                <w:szCs w:val="20"/>
              </w:rPr>
              <w:t>%</w:t>
            </w:r>
          </w:p>
        </w:tc>
        <w:tc>
          <w:tcPr>
            <w:tcW w:w="130" w:type="pct"/>
            <w:vAlign w:val="center"/>
          </w:tcPr>
          <w:p w:rsidR="006B757F" w:rsidRPr="00A60B24" w:rsidRDefault="006B757F" w:rsidP="00737872">
            <w:pPr>
              <w:bidi w:val="0"/>
              <w:snapToGrid w:val="0"/>
              <w:spacing w:after="0" w:line="240" w:lineRule="auto"/>
              <w:jc w:val="both"/>
              <w:rPr>
                <w:rFonts w:ascii="Times New Roman" w:hAnsi="Times New Roman" w:cs="Times New Roman"/>
                <w:b/>
                <w:bCs/>
                <w:sz w:val="20"/>
                <w:szCs w:val="20"/>
              </w:rPr>
            </w:pPr>
            <w:r w:rsidRPr="00A60B24">
              <w:rPr>
                <w:rFonts w:ascii="Times New Roman" w:hAnsi="Times New Roman" w:cs="Times New Roman"/>
                <w:b/>
                <w:bCs/>
                <w:sz w:val="20"/>
                <w:szCs w:val="20"/>
              </w:rPr>
              <w:t>n</w:t>
            </w:r>
          </w:p>
        </w:tc>
        <w:tc>
          <w:tcPr>
            <w:tcW w:w="420" w:type="pct"/>
            <w:vAlign w:val="center"/>
          </w:tcPr>
          <w:p w:rsidR="006B757F" w:rsidRPr="00A60B24" w:rsidRDefault="006B757F" w:rsidP="00737872">
            <w:pPr>
              <w:bidi w:val="0"/>
              <w:snapToGrid w:val="0"/>
              <w:spacing w:after="0" w:line="240" w:lineRule="auto"/>
              <w:jc w:val="both"/>
              <w:rPr>
                <w:rFonts w:ascii="Times New Roman" w:hAnsi="Times New Roman" w:cs="Times New Roman"/>
                <w:b/>
                <w:bCs/>
                <w:sz w:val="20"/>
                <w:szCs w:val="20"/>
              </w:rPr>
            </w:pPr>
            <w:r w:rsidRPr="00A60B24">
              <w:rPr>
                <w:rFonts w:ascii="Times New Roman" w:hAnsi="Times New Roman" w:cs="Times New Roman"/>
                <w:b/>
                <w:bCs/>
                <w:sz w:val="20"/>
                <w:szCs w:val="20"/>
              </w:rPr>
              <w:t>%</w:t>
            </w:r>
          </w:p>
        </w:tc>
        <w:tc>
          <w:tcPr>
            <w:tcW w:w="1135" w:type="pct"/>
            <w:vMerge/>
            <w:vAlign w:val="center"/>
          </w:tcPr>
          <w:p w:rsidR="006B757F" w:rsidRPr="00A60B24" w:rsidRDefault="006B757F" w:rsidP="00737872">
            <w:pPr>
              <w:bidi w:val="0"/>
              <w:snapToGrid w:val="0"/>
              <w:spacing w:after="0" w:line="240" w:lineRule="auto"/>
              <w:jc w:val="both"/>
              <w:rPr>
                <w:rFonts w:ascii="Times New Roman" w:hAnsi="Times New Roman" w:cs="Times New Roman"/>
                <w:b/>
                <w:bCs/>
                <w:sz w:val="20"/>
                <w:szCs w:val="20"/>
              </w:rPr>
            </w:pPr>
          </w:p>
        </w:tc>
      </w:tr>
      <w:tr w:rsidR="00BF7D07" w:rsidRPr="00A60B24" w:rsidTr="00BF7D07">
        <w:trPr>
          <w:jc w:val="center"/>
        </w:trPr>
        <w:tc>
          <w:tcPr>
            <w:tcW w:w="1678" w:type="pct"/>
            <w:vAlign w:val="center"/>
          </w:tcPr>
          <w:p w:rsidR="0038549F" w:rsidRPr="00A60B24" w:rsidRDefault="0038549F" w:rsidP="00737872">
            <w:pPr>
              <w:bidi w:val="0"/>
              <w:snapToGrid w:val="0"/>
              <w:spacing w:after="0" w:line="240" w:lineRule="auto"/>
              <w:jc w:val="both"/>
              <w:rPr>
                <w:rFonts w:ascii="Times New Roman" w:hAnsi="Times New Roman" w:cs="Times New Roman"/>
                <w:b/>
                <w:bCs/>
                <w:sz w:val="20"/>
                <w:szCs w:val="20"/>
              </w:rPr>
            </w:pPr>
            <w:proofErr w:type="spellStart"/>
            <w:r w:rsidRPr="00A60B24">
              <w:rPr>
                <w:rFonts w:ascii="Times New Roman" w:hAnsi="Times New Roman" w:cs="Times New Roman"/>
                <w:b/>
                <w:bCs/>
                <w:sz w:val="20"/>
                <w:szCs w:val="20"/>
              </w:rPr>
              <w:t>Mucositis</w:t>
            </w:r>
            <w:proofErr w:type="spellEnd"/>
          </w:p>
        </w:tc>
        <w:tc>
          <w:tcPr>
            <w:tcW w:w="130"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0</w:t>
            </w:r>
          </w:p>
        </w:tc>
        <w:tc>
          <w:tcPr>
            <w:tcW w:w="363"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0</w:t>
            </w:r>
          </w:p>
        </w:tc>
        <w:tc>
          <w:tcPr>
            <w:tcW w:w="180"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5</w:t>
            </w:r>
          </w:p>
        </w:tc>
        <w:tc>
          <w:tcPr>
            <w:tcW w:w="420"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16.67%</w:t>
            </w:r>
          </w:p>
        </w:tc>
        <w:tc>
          <w:tcPr>
            <w:tcW w:w="180"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21</w:t>
            </w:r>
          </w:p>
        </w:tc>
        <w:tc>
          <w:tcPr>
            <w:tcW w:w="363"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70%</w:t>
            </w:r>
          </w:p>
        </w:tc>
        <w:tc>
          <w:tcPr>
            <w:tcW w:w="130"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4</w:t>
            </w:r>
          </w:p>
        </w:tc>
        <w:tc>
          <w:tcPr>
            <w:tcW w:w="420"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13.3%</w:t>
            </w:r>
          </w:p>
        </w:tc>
        <w:tc>
          <w:tcPr>
            <w:tcW w:w="1135"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4</w:t>
            </w:r>
            <w:r w:rsidRPr="00A60B24">
              <w:rPr>
                <w:rFonts w:ascii="Times New Roman" w:hAnsi="Times New Roman" w:cs="Times New Roman"/>
                <w:sz w:val="20"/>
                <w:szCs w:val="20"/>
                <w:vertAlign w:val="superscript"/>
              </w:rPr>
              <w:t>th</w:t>
            </w:r>
            <w:r w:rsidR="00BF7D07" w:rsidRPr="00A60B24">
              <w:rPr>
                <w:rFonts w:ascii="Times New Roman" w:hAnsi="Times New Roman" w:cs="Times New Roman"/>
                <w:sz w:val="20"/>
                <w:szCs w:val="20"/>
              </w:rPr>
              <w:t xml:space="preserve"> &amp; </w:t>
            </w:r>
            <w:r w:rsidRPr="00A60B24">
              <w:rPr>
                <w:rFonts w:ascii="Times New Roman" w:hAnsi="Times New Roman" w:cs="Times New Roman"/>
                <w:sz w:val="20"/>
                <w:szCs w:val="20"/>
              </w:rPr>
              <w:t>5</w:t>
            </w:r>
            <w:r w:rsidRPr="00A60B24">
              <w:rPr>
                <w:rFonts w:ascii="Times New Roman" w:hAnsi="Times New Roman" w:cs="Times New Roman"/>
                <w:sz w:val="20"/>
                <w:szCs w:val="20"/>
                <w:vertAlign w:val="superscript"/>
              </w:rPr>
              <w:t>th</w:t>
            </w:r>
            <w:r w:rsidRPr="00A60B24">
              <w:rPr>
                <w:rFonts w:ascii="Times New Roman" w:hAnsi="Times New Roman" w:cs="Times New Roman"/>
                <w:sz w:val="20"/>
                <w:szCs w:val="20"/>
              </w:rPr>
              <w:t xml:space="preserve"> weeks</w:t>
            </w:r>
          </w:p>
        </w:tc>
      </w:tr>
      <w:tr w:rsidR="00BF7D07" w:rsidRPr="00A60B24" w:rsidTr="00BF7D07">
        <w:trPr>
          <w:jc w:val="center"/>
        </w:trPr>
        <w:tc>
          <w:tcPr>
            <w:tcW w:w="1678" w:type="pct"/>
            <w:vAlign w:val="center"/>
          </w:tcPr>
          <w:p w:rsidR="0038549F" w:rsidRPr="00A60B24" w:rsidRDefault="0038549F" w:rsidP="00737872">
            <w:pPr>
              <w:bidi w:val="0"/>
              <w:snapToGrid w:val="0"/>
              <w:spacing w:after="0" w:line="240" w:lineRule="auto"/>
              <w:jc w:val="both"/>
              <w:rPr>
                <w:rFonts w:ascii="Times New Roman" w:hAnsi="Times New Roman" w:cs="Times New Roman"/>
                <w:b/>
                <w:bCs/>
                <w:sz w:val="20"/>
                <w:szCs w:val="20"/>
              </w:rPr>
            </w:pPr>
            <w:r w:rsidRPr="00A60B24">
              <w:rPr>
                <w:rFonts w:ascii="Times New Roman" w:hAnsi="Times New Roman" w:cs="Times New Roman"/>
                <w:b/>
                <w:bCs/>
                <w:sz w:val="20"/>
                <w:szCs w:val="20"/>
              </w:rPr>
              <w:t>Acute salivary toxicity</w:t>
            </w:r>
          </w:p>
        </w:tc>
        <w:tc>
          <w:tcPr>
            <w:tcW w:w="130"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0</w:t>
            </w:r>
          </w:p>
        </w:tc>
        <w:tc>
          <w:tcPr>
            <w:tcW w:w="363"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0</w:t>
            </w:r>
          </w:p>
        </w:tc>
        <w:tc>
          <w:tcPr>
            <w:tcW w:w="180"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6</w:t>
            </w:r>
          </w:p>
        </w:tc>
        <w:tc>
          <w:tcPr>
            <w:tcW w:w="420"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20%</w:t>
            </w:r>
          </w:p>
        </w:tc>
        <w:tc>
          <w:tcPr>
            <w:tcW w:w="180"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15</w:t>
            </w:r>
          </w:p>
        </w:tc>
        <w:tc>
          <w:tcPr>
            <w:tcW w:w="363"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50%</w:t>
            </w:r>
          </w:p>
        </w:tc>
        <w:tc>
          <w:tcPr>
            <w:tcW w:w="130"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9</w:t>
            </w:r>
          </w:p>
        </w:tc>
        <w:tc>
          <w:tcPr>
            <w:tcW w:w="420"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30%</w:t>
            </w:r>
          </w:p>
        </w:tc>
        <w:tc>
          <w:tcPr>
            <w:tcW w:w="1135"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5</w:t>
            </w:r>
            <w:r w:rsidRPr="00A60B24">
              <w:rPr>
                <w:rFonts w:ascii="Times New Roman" w:hAnsi="Times New Roman" w:cs="Times New Roman"/>
                <w:sz w:val="20"/>
                <w:szCs w:val="20"/>
                <w:vertAlign w:val="superscript"/>
              </w:rPr>
              <w:t>th</w:t>
            </w:r>
            <w:r w:rsidR="00BF7D07" w:rsidRPr="00A60B24">
              <w:rPr>
                <w:rFonts w:ascii="Times New Roman" w:hAnsi="Times New Roman" w:cs="Times New Roman"/>
                <w:sz w:val="20"/>
                <w:szCs w:val="20"/>
              </w:rPr>
              <w:t xml:space="preserve"> &amp; </w:t>
            </w:r>
            <w:r w:rsidRPr="00A60B24">
              <w:rPr>
                <w:rFonts w:ascii="Times New Roman" w:hAnsi="Times New Roman" w:cs="Times New Roman"/>
                <w:sz w:val="20"/>
                <w:szCs w:val="20"/>
              </w:rPr>
              <w:t>6</w:t>
            </w:r>
            <w:r w:rsidRPr="00A60B24">
              <w:rPr>
                <w:rFonts w:ascii="Times New Roman" w:hAnsi="Times New Roman" w:cs="Times New Roman"/>
                <w:sz w:val="20"/>
                <w:szCs w:val="20"/>
                <w:vertAlign w:val="superscript"/>
              </w:rPr>
              <w:t>th</w:t>
            </w:r>
            <w:r w:rsidRPr="00A60B24">
              <w:rPr>
                <w:rFonts w:ascii="Times New Roman" w:hAnsi="Times New Roman" w:cs="Times New Roman"/>
                <w:sz w:val="20"/>
                <w:szCs w:val="20"/>
              </w:rPr>
              <w:t xml:space="preserve"> weeks</w:t>
            </w:r>
          </w:p>
        </w:tc>
      </w:tr>
      <w:tr w:rsidR="00BF7D07" w:rsidRPr="00A60B24" w:rsidTr="00BF7D07">
        <w:trPr>
          <w:jc w:val="center"/>
        </w:trPr>
        <w:tc>
          <w:tcPr>
            <w:tcW w:w="1678" w:type="pct"/>
            <w:vAlign w:val="center"/>
          </w:tcPr>
          <w:p w:rsidR="0038549F" w:rsidRPr="00A60B24" w:rsidRDefault="0038549F" w:rsidP="00737872">
            <w:pPr>
              <w:bidi w:val="0"/>
              <w:snapToGrid w:val="0"/>
              <w:spacing w:after="0" w:line="240" w:lineRule="auto"/>
              <w:jc w:val="both"/>
              <w:rPr>
                <w:rFonts w:ascii="Times New Roman" w:hAnsi="Times New Roman" w:cs="Times New Roman"/>
                <w:b/>
                <w:bCs/>
                <w:sz w:val="20"/>
                <w:szCs w:val="20"/>
              </w:rPr>
            </w:pPr>
            <w:r w:rsidRPr="00A60B24">
              <w:rPr>
                <w:rFonts w:ascii="Times New Roman" w:hAnsi="Times New Roman" w:cs="Times New Roman"/>
                <w:b/>
                <w:bCs/>
                <w:sz w:val="20"/>
                <w:szCs w:val="20"/>
              </w:rPr>
              <w:t>Thickening of salivary secretions</w:t>
            </w:r>
          </w:p>
        </w:tc>
        <w:tc>
          <w:tcPr>
            <w:tcW w:w="130"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0</w:t>
            </w:r>
          </w:p>
        </w:tc>
        <w:tc>
          <w:tcPr>
            <w:tcW w:w="363"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0</w:t>
            </w:r>
          </w:p>
        </w:tc>
        <w:tc>
          <w:tcPr>
            <w:tcW w:w="180"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17</w:t>
            </w:r>
          </w:p>
        </w:tc>
        <w:tc>
          <w:tcPr>
            <w:tcW w:w="420"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56.7%</w:t>
            </w:r>
          </w:p>
        </w:tc>
        <w:tc>
          <w:tcPr>
            <w:tcW w:w="180"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13</w:t>
            </w:r>
          </w:p>
        </w:tc>
        <w:tc>
          <w:tcPr>
            <w:tcW w:w="363"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43.3%</w:t>
            </w:r>
          </w:p>
        </w:tc>
        <w:tc>
          <w:tcPr>
            <w:tcW w:w="130"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0</w:t>
            </w:r>
          </w:p>
        </w:tc>
        <w:tc>
          <w:tcPr>
            <w:tcW w:w="420"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0</w:t>
            </w:r>
          </w:p>
        </w:tc>
        <w:tc>
          <w:tcPr>
            <w:tcW w:w="1135"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5</w:t>
            </w:r>
            <w:r w:rsidRPr="00A60B24">
              <w:rPr>
                <w:rFonts w:ascii="Times New Roman" w:hAnsi="Times New Roman" w:cs="Times New Roman"/>
                <w:sz w:val="20"/>
                <w:szCs w:val="20"/>
                <w:vertAlign w:val="superscript"/>
              </w:rPr>
              <w:t>th</w:t>
            </w:r>
            <w:r w:rsidRPr="00A60B24">
              <w:rPr>
                <w:rFonts w:ascii="Times New Roman" w:hAnsi="Times New Roman" w:cs="Times New Roman"/>
                <w:sz w:val="20"/>
                <w:szCs w:val="20"/>
              </w:rPr>
              <w:t xml:space="preserve"> week</w:t>
            </w:r>
          </w:p>
        </w:tc>
      </w:tr>
      <w:tr w:rsidR="00BF7D07" w:rsidRPr="00A60B24" w:rsidTr="00BF7D07">
        <w:trPr>
          <w:jc w:val="center"/>
        </w:trPr>
        <w:tc>
          <w:tcPr>
            <w:tcW w:w="1678" w:type="pct"/>
            <w:vAlign w:val="center"/>
          </w:tcPr>
          <w:p w:rsidR="0038549F" w:rsidRPr="00A60B24" w:rsidRDefault="0038549F" w:rsidP="00737872">
            <w:pPr>
              <w:bidi w:val="0"/>
              <w:snapToGrid w:val="0"/>
              <w:spacing w:after="0" w:line="240" w:lineRule="auto"/>
              <w:jc w:val="both"/>
              <w:rPr>
                <w:rFonts w:ascii="Times New Roman" w:hAnsi="Times New Roman" w:cs="Times New Roman"/>
                <w:b/>
                <w:bCs/>
                <w:sz w:val="20"/>
                <w:szCs w:val="20"/>
              </w:rPr>
            </w:pPr>
            <w:r w:rsidRPr="00A60B24">
              <w:rPr>
                <w:rFonts w:ascii="Times New Roman" w:hAnsi="Times New Roman" w:cs="Times New Roman"/>
                <w:b/>
                <w:bCs/>
                <w:sz w:val="20"/>
                <w:szCs w:val="20"/>
              </w:rPr>
              <w:t>Pain</w:t>
            </w:r>
          </w:p>
        </w:tc>
        <w:tc>
          <w:tcPr>
            <w:tcW w:w="130"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0</w:t>
            </w:r>
          </w:p>
        </w:tc>
        <w:tc>
          <w:tcPr>
            <w:tcW w:w="363"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0</w:t>
            </w:r>
          </w:p>
        </w:tc>
        <w:tc>
          <w:tcPr>
            <w:tcW w:w="180"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5</w:t>
            </w:r>
          </w:p>
        </w:tc>
        <w:tc>
          <w:tcPr>
            <w:tcW w:w="420"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16.67%</w:t>
            </w:r>
          </w:p>
        </w:tc>
        <w:tc>
          <w:tcPr>
            <w:tcW w:w="180"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20</w:t>
            </w:r>
          </w:p>
        </w:tc>
        <w:tc>
          <w:tcPr>
            <w:tcW w:w="363"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66.7%</w:t>
            </w:r>
          </w:p>
        </w:tc>
        <w:tc>
          <w:tcPr>
            <w:tcW w:w="130"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5</w:t>
            </w:r>
          </w:p>
        </w:tc>
        <w:tc>
          <w:tcPr>
            <w:tcW w:w="420"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16.67%</w:t>
            </w:r>
          </w:p>
        </w:tc>
        <w:tc>
          <w:tcPr>
            <w:tcW w:w="1135"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5</w:t>
            </w:r>
            <w:r w:rsidRPr="00A60B24">
              <w:rPr>
                <w:rFonts w:ascii="Times New Roman" w:hAnsi="Times New Roman" w:cs="Times New Roman"/>
                <w:sz w:val="20"/>
                <w:szCs w:val="20"/>
                <w:vertAlign w:val="superscript"/>
              </w:rPr>
              <w:t>th</w:t>
            </w:r>
            <w:r w:rsidRPr="00A60B24">
              <w:rPr>
                <w:rFonts w:ascii="Times New Roman" w:hAnsi="Times New Roman" w:cs="Times New Roman"/>
                <w:sz w:val="20"/>
                <w:szCs w:val="20"/>
              </w:rPr>
              <w:t xml:space="preserve"> week</w:t>
            </w:r>
          </w:p>
        </w:tc>
      </w:tr>
      <w:tr w:rsidR="00BF7D07" w:rsidRPr="00A60B24" w:rsidTr="00BF7D07">
        <w:trPr>
          <w:jc w:val="center"/>
        </w:trPr>
        <w:tc>
          <w:tcPr>
            <w:tcW w:w="1678" w:type="pct"/>
            <w:vAlign w:val="center"/>
          </w:tcPr>
          <w:p w:rsidR="0038549F" w:rsidRPr="00A60B24" w:rsidRDefault="0038549F" w:rsidP="00737872">
            <w:pPr>
              <w:bidi w:val="0"/>
              <w:snapToGrid w:val="0"/>
              <w:spacing w:after="0" w:line="240" w:lineRule="auto"/>
              <w:jc w:val="both"/>
              <w:rPr>
                <w:rFonts w:ascii="Times New Roman" w:hAnsi="Times New Roman" w:cs="Times New Roman"/>
                <w:b/>
                <w:bCs/>
                <w:sz w:val="20"/>
                <w:szCs w:val="20"/>
              </w:rPr>
            </w:pPr>
            <w:r w:rsidRPr="00A60B24">
              <w:rPr>
                <w:rFonts w:ascii="Times New Roman" w:hAnsi="Times New Roman" w:cs="Times New Roman"/>
                <w:b/>
                <w:bCs/>
                <w:sz w:val="20"/>
                <w:szCs w:val="20"/>
              </w:rPr>
              <w:t>Laryngitis</w:t>
            </w:r>
          </w:p>
        </w:tc>
        <w:tc>
          <w:tcPr>
            <w:tcW w:w="130"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4</w:t>
            </w:r>
          </w:p>
        </w:tc>
        <w:tc>
          <w:tcPr>
            <w:tcW w:w="363"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13.3%</w:t>
            </w:r>
          </w:p>
        </w:tc>
        <w:tc>
          <w:tcPr>
            <w:tcW w:w="180"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5</w:t>
            </w:r>
          </w:p>
        </w:tc>
        <w:tc>
          <w:tcPr>
            <w:tcW w:w="420"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16.67%</w:t>
            </w:r>
          </w:p>
        </w:tc>
        <w:tc>
          <w:tcPr>
            <w:tcW w:w="180"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15</w:t>
            </w:r>
          </w:p>
        </w:tc>
        <w:tc>
          <w:tcPr>
            <w:tcW w:w="363"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50%</w:t>
            </w:r>
          </w:p>
        </w:tc>
        <w:tc>
          <w:tcPr>
            <w:tcW w:w="130"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6</w:t>
            </w:r>
          </w:p>
        </w:tc>
        <w:tc>
          <w:tcPr>
            <w:tcW w:w="420"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20%</w:t>
            </w:r>
          </w:p>
        </w:tc>
        <w:tc>
          <w:tcPr>
            <w:tcW w:w="1135"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4</w:t>
            </w:r>
            <w:r w:rsidRPr="00A60B24">
              <w:rPr>
                <w:rFonts w:ascii="Times New Roman" w:hAnsi="Times New Roman" w:cs="Times New Roman"/>
                <w:sz w:val="20"/>
                <w:szCs w:val="20"/>
                <w:vertAlign w:val="superscript"/>
              </w:rPr>
              <w:t>th</w:t>
            </w:r>
            <w:r w:rsidR="00BF7D07" w:rsidRPr="00A60B24">
              <w:rPr>
                <w:rFonts w:ascii="Times New Roman" w:hAnsi="Times New Roman" w:cs="Times New Roman"/>
                <w:sz w:val="20"/>
                <w:szCs w:val="20"/>
              </w:rPr>
              <w:t xml:space="preserve"> &amp; </w:t>
            </w:r>
            <w:r w:rsidRPr="00A60B24">
              <w:rPr>
                <w:rFonts w:ascii="Times New Roman" w:hAnsi="Times New Roman" w:cs="Times New Roman"/>
                <w:sz w:val="20"/>
                <w:szCs w:val="20"/>
              </w:rPr>
              <w:t>5</w:t>
            </w:r>
            <w:r w:rsidRPr="00A60B24">
              <w:rPr>
                <w:rFonts w:ascii="Times New Roman" w:hAnsi="Times New Roman" w:cs="Times New Roman"/>
                <w:sz w:val="20"/>
                <w:szCs w:val="20"/>
                <w:vertAlign w:val="superscript"/>
              </w:rPr>
              <w:t>th</w:t>
            </w:r>
            <w:r w:rsidRPr="00A60B24">
              <w:rPr>
                <w:rFonts w:ascii="Times New Roman" w:hAnsi="Times New Roman" w:cs="Times New Roman"/>
                <w:sz w:val="20"/>
                <w:szCs w:val="20"/>
              </w:rPr>
              <w:t xml:space="preserve"> weeks</w:t>
            </w:r>
          </w:p>
        </w:tc>
      </w:tr>
      <w:tr w:rsidR="00BF7D07" w:rsidRPr="00A60B24" w:rsidTr="00BF7D07">
        <w:trPr>
          <w:jc w:val="center"/>
        </w:trPr>
        <w:tc>
          <w:tcPr>
            <w:tcW w:w="1678" w:type="pct"/>
            <w:tcBorders>
              <w:top w:val="single" w:sz="4" w:space="0" w:color="auto"/>
              <w:left w:val="single" w:sz="4" w:space="0" w:color="auto"/>
              <w:bottom w:val="single" w:sz="4" w:space="0" w:color="auto"/>
              <w:right w:val="single" w:sz="4" w:space="0" w:color="auto"/>
            </w:tcBorders>
            <w:vAlign w:val="center"/>
          </w:tcPr>
          <w:p w:rsidR="0038549F" w:rsidRPr="00A60B24" w:rsidRDefault="0038549F" w:rsidP="00737872">
            <w:pPr>
              <w:bidi w:val="0"/>
              <w:snapToGrid w:val="0"/>
              <w:spacing w:after="0" w:line="240" w:lineRule="auto"/>
              <w:jc w:val="both"/>
              <w:rPr>
                <w:rFonts w:ascii="Times New Roman" w:hAnsi="Times New Roman" w:cs="Times New Roman"/>
                <w:b/>
                <w:bCs/>
                <w:sz w:val="20"/>
                <w:szCs w:val="20"/>
              </w:rPr>
            </w:pPr>
            <w:proofErr w:type="spellStart"/>
            <w:r w:rsidRPr="00A60B24">
              <w:rPr>
                <w:rFonts w:ascii="Times New Roman" w:hAnsi="Times New Roman" w:cs="Times New Roman"/>
                <w:b/>
                <w:bCs/>
                <w:sz w:val="20"/>
                <w:szCs w:val="20"/>
              </w:rPr>
              <w:t>Dysphagia</w:t>
            </w:r>
            <w:proofErr w:type="spellEnd"/>
          </w:p>
        </w:tc>
        <w:tc>
          <w:tcPr>
            <w:tcW w:w="130" w:type="pct"/>
            <w:tcBorders>
              <w:top w:val="single" w:sz="4" w:space="0" w:color="auto"/>
              <w:left w:val="single" w:sz="4" w:space="0" w:color="auto"/>
              <w:bottom w:val="single" w:sz="4" w:space="0" w:color="auto"/>
              <w:right w:val="single" w:sz="4" w:space="0" w:color="auto"/>
            </w:tcBorders>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2</w:t>
            </w:r>
          </w:p>
        </w:tc>
        <w:tc>
          <w:tcPr>
            <w:tcW w:w="363" w:type="pct"/>
            <w:tcBorders>
              <w:top w:val="single" w:sz="4" w:space="0" w:color="auto"/>
              <w:left w:val="single" w:sz="4" w:space="0" w:color="auto"/>
              <w:bottom w:val="single" w:sz="4" w:space="0" w:color="auto"/>
              <w:right w:val="single" w:sz="4" w:space="0" w:color="auto"/>
            </w:tcBorders>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6.67%</w:t>
            </w:r>
          </w:p>
        </w:tc>
        <w:tc>
          <w:tcPr>
            <w:tcW w:w="180" w:type="pct"/>
            <w:tcBorders>
              <w:top w:val="single" w:sz="4" w:space="0" w:color="auto"/>
              <w:left w:val="single" w:sz="4" w:space="0" w:color="auto"/>
              <w:bottom w:val="single" w:sz="4" w:space="0" w:color="auto"/>
              <w:right w:val="single" w:sz="4" w:space="0" w:color="auto"/>
            </w:tcBorders>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8</w:t>
            </w:r>
          </w:p>
        </w:tc>
        <w:tc>
          <w:tcPr>
            <w:tcW w:w="420" w:type="pct"/>
            <w:tcBorders>
              <w:top w:val="single" w:sz="4" w:space="0" w:color="auto"/>
              <w:left w:val="single" w:sz="4" w:space="0" w:color="auto"/>
              <w:bottom w:val="single" w:sz="4" w:space="0" w:color="auto"/>
              <w:right w:val="single" w:sz="4" w:space="0" w:color="auto"/>
            </w:tcBorders>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26.67%</w:t>
            </w:r>
          </w:p>
        </w:tc>
        <w:tc>
          <w:tcPr>
            <w:tcW w:w="180" w:type="pct"/>
            <w:tcBorders>
              <w:top w:val="single" w:sz="4" w:space="0" w:color="auto"/>
              <w:left w:val="single" w:sz="4" w:space="0" w:color="auto"/>
              <w:bottom w:val="single" w:sz="4" w:space="0" w:color="auto"/>
              <w:right w:val="single" w:sz="4" w:space="0" w:color="auto"/>
            </w:tcBorders>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15</w:t>
            </w:r>
          </w:p>
        </w:tc>
        <w:tc>
          <w:tcPr>
            <w:tcW w:w="363" w:type="pct"/>
            <w:tcBorders>
              <w:top w:val="single" w:sz="4" w:space="0" w:color="auto"/>
              <w:left w:val="single" w:sz="4" w:space="0" w:color="auto"/>
              <w:bottom w:val="single" w:sz="4" w:space="0" w:color="auto"/>
              <w:right w:val="single" w:sz="4" w:space="0" w:color="auto"/>
            </w:tcBorders>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50%</w:t>
            </w:r>
          </w:p>
        </w:tc>
        <w:tc>
          <w:tcPr>
            <w:tcW w:w="130" w:type="pct"/>
            <w:tcBorders>
              <w:top w:val="single" w:sz="4" w:space="0" w:color="auto"/>
              <w:left w:val="single" w:sz="4" w:space="0" w:color="auto"/>
              <w:bottom w:val="single" w:sz="4" w:space="0" w:color="auto"/>
              <w:right w:val="single" w:sz="4" w:space="0" w:color="auto"/>
            </w:tcBorders>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5</w:t>
            </w:r>
          </w:p>
        </w:tc>
        <w:tc>
          <w:tcPr>
            <w:tcW w:w="420" w:type="pct"/>
            <w:tcBorders>
              <w:top w:val="single" w:sz="4" w:space="0" w:color="auto"/>
              <w:left w:val="single" w:sz="4" w:space="0" w:color="auto"/>
              <w:bottom w:val="single" w:sz="4" w:space="0" w:color="auto"/>
              <w:right w:val="single" w:sz="4" w:space="0" w:color="auto"/>
            </w:tcBorders>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16.67%</w:t>
            </w:r>
          </w:p>
        </w:tc>
        <w:tc>
          <w:tcPr>
            <w:tcW w:w="1135" w:type="pct"/>
            <w:tcBorders>
              <w:top w:val="single" w:sz="4" w:space="0" w:color="auto"/>
              <w:left w:val="single" w:sz="4" w:space="0" w:color="auto"/>
              <w:bottom w:val="single" w:sz="4" w:space="0" w:color="auto"/>
              <w:right w:val="single" w:sz="4" w:space="0" w:color="auto"/>
            </w:tcBorders>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5</w:t>
            </w:r>
            <w:r w:rsidRPr="00A60B24">
              <w:rPr>
                <w:rFonts w:ascii="Times New Roman" w:hAnsi="Times New Roman" w:cs="Times New Roman"/>
                <w:sz w:val="20"/>
                <w:szCs w:val="20"/>
                <w:vertAlign w:val="superscript"/>
              </w:rPr>
              <w:t>th</w:t>
            </w:r>
            <w:r w:rsidRPr="00A60B24">
              <w:rPr>
                <w:rFonts w:ascii="Times New Roman" w:hAnsi="Times New Roman" w:cs="Times New Roman"/>
                <w:sz w:val="20"/>
                <w:szCs w:val="20"/>
              </w:rPr>
              <w:t xml:space="preserve"> week</w:t>
            </w:r>
          </w:p>
        </w:tc>
      </w:tr>
      <w:tr w:rsidR="00BF7D07" w:rsidRPr="00A60B24" w:rsidTr="00BF7D07">
        <w:trPr>
          <w:jc w:val="center"/>
        </w:trPr>
        <w:tc>
          <w:tcPr>
            <w:tcW w:w="1678" w:type="pct"/>
            <w:tcBorders>
              <w:top w:val="single" w:sz="4" w:space="0" w:color="auto"/>
              <w:left w:val="single" w:sz="4" w:space="0" w:color="auto"/>
              <w:bottom w:val="single" w:sz="4" w:space="0" w:color="auto"/>
              <w:right w:val="single" w:sz="4" w:space="0" w:color="auto"/>
            </w:tcBorders>
            <w:vAlign w:val="center"/>
          </w:tcPr>
          <w:p w:rsidR="0038549F" w:rsidRPr="00A60B24" w:rsidRDefault="0038549F" w:rsidP="00737872">
            <w:pPr>
              <w:bidi w:val="0"/>
              <w:snapToGrid w:val="0"/>
              <w:spacing w:after="0" w:line="240" w:lineRule="auto"/>
              <w:jc w:val="both"/>
              <w:rPr>
                <w:rFonts w:ascii="Times New Roman" w:hAnsi="Times New Roman" w:cs="Times New Roman"/>
                <w:b/>
                <w:bCs/>
                <w:sz w:val="20"/>
                <w:szCs w:val="20"/>
              </w:rPr>
            </w:pPr>
            <w:r w:rsidRPr="00A60B24">
              <w:rPr>
                <w:rFonts w:ascii="Times New Roman" w:hAnsi="Times New Roman" w:cs="Times New Roman"/>
                <w:b/>
                <w:bCs/>
                <w:sz w:val="20"/>
                <w:szCs w:val="20"/>
              </w:rPr>
              <w:t>Radiation dermatitis</w:t>
            </w:r>
          </w:p>
        </w:tc>
        <w:tc>
          <w:tcPr>
            <w:tcW w:w="130" w:type="pct"/>
            <w:tcBorders>
              <w:top w:val="single" w:sz="4" w:space="0" w:color="auto"/>
              <w:left w:val="single" w:sz="4" w:space="0" w:color="auto"/>
              <w:bottom w:val="single" w:sz="4" w:space="0" w:color="auto"/>
              <w:right w:val="single" w:sz="4" w:space="0" w:color="auto"/>
            </w:tcBorders>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0</w:t>
            </w:r>
          </w:p>
        </w:tc>
        <w:tc>
          <w:tcPr>
            <w:tcW w:w="363" w:type="pct"/>
            <w:tcBorders>
              <w:top w:val="single" w:sz="4" w:space="0" w:color="auto"/>
              <w:left w:val="single" w:sz="4" w:space="0" w:color="auto"/>
              <w:bottom w:val="single" w:sz="4" w:space="0" w:color="auto"/>
              <w:right w:val="single" w:sz="4" w:space="0" w:color="auto"/>
            </w:tcBorders>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0</w:t>
            </w:r>
          </w:p>
        </w:tc>
        <w:tc>
          <w:tcPr>
            <w:tcW w:w="180" w:type="pct"/>
            <w:tcBorders>
              <w:top w:val="single" w:sz="4" w:space="0" w:color="auto"/>
              <w:left w:val="single" w:sz="4" w:space="0" w:color="auto"/>
              <w:bottom w:val="single" w:sz="4" w:space="0" w:color="auto"/>
              <w:right w:val="single" w:sz="4" w:space="0" w:color="auto"/>
            </w:tcBorders>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11</w:t>
            </w:r>
          </w:p>
        </w:tc>
        <w:tc>
          <w:tcPr>
            <w:tcW w:w="420" w:type="pct"/>
            <w:tcBorders>
              <w:top w:val="single" w:sz="4" w:space="0" w:color="auto"/>
              <w:left w:val="single" w:sz="4" w:space="0" w:color="auto"/>
              <w:bottom w:val="single" w:sz="4" w:space="0" w:color="auto"/>
              <w:right w:val="single" w:sz="4" w:space="0" w:color="auto"/>
            </w:tcBorders>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36.7%</w:t>
            </w:r>
          </w:p>
        </w:tc>
        <w:tc>
          <w:tcPr>
            <w:tcW w:w="180" w:type="pct"/>
            <w:tcBorders>
              <w:top w:val="single" w:sz="4" w:space="0" w:color="auto"/>
              <w:left w:val="single" w:sz="4" w:space="0" w:color="auto"/>
              <w:bottom w:val="single" w:sz="4" w:space="0" w:color="auto"/>
              <w:right w:val="single" w:sz="4" w:space="0" w:color="auto"/>
            </w:tcBorders>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15</w:t>
            </w:r>
          </w:p>
        </w:tc>
        <w:tc>
          <w:tcPr>
            <w:tcW w:w="363" w:type="pct"/>
            <w:tcBorders>
              <w:top w:val="single" w:sz="4" w:space="0" w:color="auto"/>
              <w:left w:val="single" w:sz="4" w:space="0" w:color="auto"/>
              <w:bottom w:val="single" w:sz="4" w:space="0" w:color="auto"/>
              <w:right w:val="single" w:sz="4" w:space="0" w:color="auto"/>
            </w:tcBorders>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50%</w:t>
            </w:r>
          </w:p>
        </w:tc>
        <w:tc>
          <w:tcPr>
            <w:tcW w:w="130" w:type="pct"/>
            <w:tcBorders>
              <w:top w:val="single" w:sz="4" w:space="0" w:color="auto"/>
              <w:left w:val="single" w:sz="4" w:space="0" w:color="auto"/>
              <w:bottom w:val="single" w:sz="4" w:space="0" w:color="auto"/>
              <w:right w:val="single" w:sz="4" w:space="0" w:color="auto"/>
            </w:tcBorders>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4</w:t>
            </w:r>
          </w:p>
        </w:tc>
        <w:tc>
          <w:tcPr>
            <w:tcW w:w="420" w:type="pct"/>
            <w:tcBorders>
              <w:top w:val="single" w:sz="4" w:space="0" w:color="auto"/>
              <w:left w:val="single" w:sz="4" w:space="0" w:color="auto"/>
              <w:bottom w:val="single" w:sz="4" w:space="0" w:color="auto"/>
              <w:right w:val="single" w:sz="4" w:space="0" w:color="auto"/>
            </w:tcBorders>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13.3%</w:t>
            </w:r>
          </w:p>
        </w:tc>
        <w:tc>
          <w:tcPr>
            <w:tcW w:w="1135" w:type="pct"/>
            <w:tcBorders>
              <w:top w:val="single" w:sz="4" w:space="0" w:color="auto"/>
              <w:left w:val="single" w:sz="4" w:space="0" w:color="auto"/>
              <w:bottom w:val="single" w:sz="4" w:space="0" w:color="auto"/>
              <w:right w:val="single" w:sz="4" w:space="0" w:color="auto"/>
            </w:tcBorders>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6</w:t>
            </w:r>
            <w:r w:rsidRPr="00A60B24">
              <w:rPr>
                <w:rFonts w:ascii="Times New Roman" w:hAnsi="Times New Roman" w:cs="Times New Roman"/>
                <w:sz w:val="20"/>
                <w:szCs w:val="20"/>
                <w:vertAlign w:val="superscript"/>
              </w:rPr>
              <w:t>th</w:t>
            </w:r>
            <w:r w:rsidRPr="00A60B24">
              <w:rPr>
                <w:rFonts w:ascii="Times New Roman" w:hAnsi="Times New Roman" w:cs="Times New Roman"/>
                <w:sz w:val="20"/>
                <w:szCs w:val="20"/>
              </w:rPr>
              <w:t xml:space="preserve"> week</w:t>
            </w:r>
          </w:p>
        </w:tc>
      </w:tr>
      <w:tr w:rsidR="00BF7D07" w:rsidRPr="00A60B24" w:rsidTr="00BF7D07">
        <w:trPr>
          <w:jc w:val="center"/>
        </w:trPr>
        <w:tc>
          <w:tcPr>
            <w:tcW w:w="1678" w:type="pct"/>
            <w:tcBorders>
              <w:top w:val="single" w:sz="4" w:space="0" w:color="auto"/>
              <w:left w:val="single" w:sz="4" w:space="0" w:color="auto"/>
              <w:bottom w:val="single" w:sz="4" w:space="0" w:color="auto"/>
              <w:right w:val="single" w:sz="4" w:space="0" w:color="auto"/>
            </w:tcBorders>
            <w:vAlign w:val="center"/>
          </w:tcPr>
          <w:p w:rsidR="0038549F" w:rsidRPr="00A60B24" w:rsidRDefault="0038549F" w:rsidP="00737872">
            <w:pPr>
              <w:bidi w:val="0"/>
              <w:snapToGrid w:val="0"/>
              <w:spacing w:after="0" w:line="240" w:lineRule="auto"/>
              <w:jc w:val="both"/>
              <w:rPr>
                <w:rFonts w:ascii="Times New Roman" w:hAnsi="Times New Roman" w:cs="Times New Roman"/>
                <w:b/>
                <w:bCs/>
                <w:sz w:val="20"/>
                <w:szCs w:val="20"/>
              </w:rPr>
            </w:pPr>
            <w:r w:rsidRPr="00A60B24">
              <w:rPr>
                <w:rFonts w:ascii="Times New Roman" w:hAnsi="Times New Roman" w:cs="Times New Roman"/>
                <w:b/>
                <w:bCs/>
                <w:sz w:val="20"/>
                <w:szCs w:val="20"/>
              </w:rPr>
              <w:t>Weight loss</w:t>
            </w:r>
          </w:p>
        </w:tc>
        <w:tc>
          <w:tcPr>
            <w:tcW w:w="130" w:type="pct"/>
            <w:tcBorders>
              <w:top w:val="single" w:sz="4" w:space="0" w:color="auto"/>
              <w:left w:val="single" w:sz="4" w:space="0" w:color="auto"/>
              <w:bottom w:val="single" w:sz="4" w:space="0" w:color="auto"/>
              <w:right w:val="single" w:sz="4" w:space="0" w:color="auto"/>
            </w:tcBorders>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1</w:t>
            </w:r>
          </w:p>
        </w:tc>
        <w:tc>
          <w:tcPr>
            <w:tcW w:w="363" w:type="pct"/>
            <w:tcBorders>
              <w:top w:val="single" w:sz="4" w:space="0" w:color="auto"/>
              <w:left w:val="single" w:sz="4" w:space="0" w:color="auto"/>
              <w:bottom w:val="single" w:sz="4" w:space="0" w:color="auto"/>
              <w:right w:val="single" w:sz="4" w:space="0" w:color="auto"/>
            </w:tcBorders>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3.3%</w:t>
            </w:r>
          </w:p>
        </w:tc>
        <w:tc>
          <w:tcPr>
            <w:tcW w:w="180" w:type="pct"/>
            <w:tcBorders>
              <w:top w:val="single" w:sz="4" w:space="0" w:color="auto"/>
              <w:left w:val="single" w:sz="4" w:space="0" w:color="auto"/>
              <w:bottom w:val="single" w:sz="4" w:space="0" w:color="auto"/>
              <w:right w:val="single" w:sz="4" w:space="0" w:color="auto"/>
            </w:tcBorders>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18</w:t>
            </w:r>
          </w:p>
        </w:tc>
        <w:tc>
          <w:tcPr>
            <w:tcW w:w="420" w:type="pct"/>
            <w:tcBorders>
              <w:top w:val="single" w:sz="4" w:space="0" w:color="auto"/>
              <w:left w:val="single" w:sz="4" w:space="0" w:color="auto"/>
              <w:bottom w:val="single" w:sz="4" w:space="0" w:color="auto"/>
              <w:right w:val="single" w:sz="4" w:space="0" w:color="auto"/>
            </w:tcBorders>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60%</w:t>
            </w:r>
          </w:p>
        </w:tc>
        <w:tc>
          <w:tcPr>
            <w:tcW w:w="180" w:type="pct"/>
            <w:tcBorders>
              <w:top w:val="single" w:sz="4" w:space="0" w:color="auto"/>
              <w:left w:val="single" w:sz="4" w:space="0" w:color="auto"/>
              <w:bottom w:val="single" w:sz="4" w:space="0" w:color="auto"/>
              <w:right w:val="single" w:sz="4" w:space="0" w:color="auto"/>
            </w:tcBorders>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10</w:t>
            </w:r>
          </w:p>
        </w:tc>
        <w:tc>
          <w:tcPr>
            <w:tcW w:w="363" w:type="pct"/>
            <w:tcBorders>
              <w:top w:val="single" w:sz="4" w:space="0" w:color="auto"/>
              <w:left w:val="single" w:sz="4" w:space="0" w:color="auto"/>
              <w:bottom w:val="single" w:sz="4" w:space="0" w:color="auto"/>
              <w:right w:val="single" w:sz="4" w:space="0" w:color="auto"/>
            </w:tcBorders>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33.3%</w:t>
            </w:r>
          </w:p>
        </w:tc>
        <w:tc>
          <w:tcPr>
            <w:tcW w:w="130" w:type="pct"/>
            <w:tcBorders>
              <w:top w:val="single" w:sz="4" w:space="0" w:color="auto"/>
              <w:left w:val="single" w:sz="4" w:space="0" w:color="auto"/>
              <w:bottom w:val="single" w:sz="4" w:space="0" w:color="auto"/>
              <w:right w:val="single" w:sz="4" w:space="0" w:color="auto"/>
            </w:tcBorders>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1</w:t>
            </w:r>
          </w:p>
        </w:tc>
        <w:tc>
          <w:tcPr>
            <w:tcW w:w="420" w:type="pct"/>
            <w:tcBorders>
              <w:top w:val="single" w:sz="4" w:space="0" w:color="auto"/>
              <w:left w:val="single" w:sz="4" w:space="0" w:color="auto"/>
              <w:bottom w:val="single" w:sz="4" w:space="0" w:color="auto"/>
              <w:right w:val="single" w:sz="4" w:space="0" w:color="auto"/>
            </w:tcBorders>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3.3%</w:t>
            </w:r>
          </w:p>
        </w:tc>
        <w:tc>
          <w:tcPr>
            <w:tcW w:w="1135" w:type="pct"/>
            <w:tcBorders>
              <w:top w:val="single" w:sz="4" w:space="0" w:color="auto"/>
              <w:left w:val="single" w:sz="4" w:space="0" w:color="auto"/>
              <w:bottom w:val="single" w:sz="4" w:space="0" w:color="auto"/>
              <w:right w:val="single" w:sz="4" w:space="0" w:color="auto"/>
            </w:tcBorders>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6</w:t>
            </w:r>
            <w:r w:rsidRPr="00A60B24">
              <w:rPr>
                <w:rFonts w:ascii="Times New Roman" w:hAnsi="Times New Roman" w:cs="Times New Roman"/>
                <w:sz w:val="20"/>
                <w:szCs w:val="20"/>
                <w:vertAlign w:val="superscript"/>
              </w:rPr>
              <w:t>th</w:t>
            </w:r>
            <w:r w:rsidRPr="00A60B24">
              <w:rPr>
                <w:rFonts w:ascii="Times New Roman" w:hAnsi="Times New Roman" w:cs="Times New Roman"/>
                <w:sz w:val="20"/>
                <w:szCs w:val="20"/>
              </w:rPr>
              <w:t xml:space="preserve"> week</w:t>
            </w:r>
          </w:p>
        </w:tc>
      </w:tr>
    </w:tbl>
    <w:p w:rsidR="00BF7D07" w:rsidRPr="00A60B24" w:rsidRDefault="00BF7D07" w:rsidP="00737872">
      <w:pPr>
        <w:autoSpaceDE w:val="0"/>
        <w:autoSpaceDN w:val="0"/>
        <w:bidi w:val="0"/>
        <w:adjustRightInd w:val="0"/>
        <w:snapToGrid w:val="0"/>
        <w:spacing w:after="0" w:line="240" w:lineRule="auto"/>
        <w:jc w:val="both"/>
        <w:rPr>
          <w:rFonts w:ascii="Times New Roman" w:hAnsi="Times New Roman" w:cs="Times New Roman"/>
          <w:b/>
          <w:bCs/>
          <w:i/>
          <w:iCs/>
          <w:sz w:val="20"/>
          <w:szCs w:val="20"/>
        </w:rPr>
      </w:pPr>
    </w:p>
    <w:p w:rsidR="00737872" w:rsidRPr="00A60B24" w:rsidRDefault="00737872" w:rsidP="00737872">
      <w:pPr>
        <w:autoSpaceDE w:val="0"/>
        <w:autoSpaceDN w:val="0"/>
        <w:bidi w:val="0"/>
        <w:adjustRightInd w:val="0"/>
        <w:snapToGrid w:val="0"/>
        <w:spacing w:after="0" w:line="240" w:lineRule="auto"/>
        <w:jc w:val="both"/>
        <w:rPr>
          <w:rFonts w:ascii="Times New Roman" w:hAnsi="Times New Roman" w:cs="Times New Roman"/>
          <w:b/>
          <w:bCs/>
          <w:i/>
          <w:iCs/>
          <w:sz w:val="20"/>
          <w:szCs w:val="20"/>
        </w:rPr>
        <w:sectPr w:rsidR="00737872" w:rsidRPr="00A60B24" w:rsidSect="00BF7D07">
          <w:type w:val="continuous"/>
          <w:pgSz w:w="12242" w:h="15842" w:code="1"/>
          <w:pgMar w:top="1440" w:right="1440" w:bottom="1440" w:left="1440" w:header="720" w:footer="720" w:gutter="0"/>
          <w:cols w:space="720"/>
          <w:docGrid w:linePitch="360"/>
        </w:sectPr>
      </w:pPr>
    </w:p>
    <w:p w:rsidR="0038549F" w:rsidRPr="00A60B24" w:rsidRDefault="0038549F" w:rsidP="00737872">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A60B24">
        <w:rPr>
          <w:rFonts w:ascii="Times New Roman" w:hAnsi="Times New Roman" w:cs="Times New Roman"/>
          <w:b/>
          <w:bCs/>
          <w:i/>
          <w:iCs/>
          <w:sz w:val="20"/>
          <w:szCs w:val="20"/>
        </w:rPr>
        <w:lastRenderedPageBreak/>
        <w:t>Late radiation toxicities</w:t>
      </w:r>
    </w:p>
    <w:p w:rsidR="0038549F" w:rsidRPr="00A60B24" w:rsidRDefault="0038549F" w:rsidP="00737872">
      <w:pPr>
        <w:autoSpaceDE w:val="0"/>
        <w:autoSpaceDN w:val="0"/>
        <w:bidi w:val="0"/>
        <w:adjustRightInd w:val="0"/>
        <w:snapToGrid w:val="0"/>
        <w:spacing w:after="0" w:line="240" w:lineRule="auto"/>
        <w:ind w:firstLine="425"/>
        <w:jc w:val="both"/>
        <w:rPr>
          <w:rFonts w:ascii="Times New Roman" w:hAnsi="Times New Roman" w:cs="Times New Roman"/>
          <w:b/>
          <w:bCs/>
          <w:i/>
          <w:iCs/>
          <w:sz w:val="20"/>
          <w:szCs w:val="20"/>
        </w:rPr>
      </w:pPr>
      <w:r w:rsidRPr="00A60B24">
        <w:rPr>
          <w:rFonts w:ascii="Times New Roman" w:hAnsi="Times New Roman" w:cs="Times New Roman"/>
          <w:sz w:val="20"/>
          <w:szCs w:val="20"/>
        </w:rPr>
        <w:t xml:space="preserve">Only one patient still had grade 3 </w:t>
      </w:r>
      <w:proofErr w:type="spellStart"/>
      <w:r w:rsidRPr="00A60B24">
        <w:rPr>
          <w:rFonts w:ascii="Times New Roman" w:hAnsi="Times New Roman" w:cs="Times New Roman"/>
          <w:sz w:val="20"/>
          <w:szCs w:val="20"/>
        </w:rPr>
        <w:t>xersoto</w:t>
      </w:r>
      <w:r w:rsidR="002E5DEE" w:rsidRPr="00A60B24">
        <w:rPr>
          <w:rFonts w:ascii="Times New Roman" w:hAnsi="Times New Roman" w:cs="Times New Roman"/>
          <w:sz w:val="20"/>
          <w:szCs w:val="20"/>
        </w:rPr>
        <w:t>mia</w:t>
      </w:r>
      <w:proofErr w:type="spellEnd"/>
      <w:r w:rsidR="002E5DEE" w:rsidRPr="00A60B24">
        <w:rPr>
          <w:rFonts w:ascii="Times New Roman" w:hAnsi="Times New Roman" w:cs="Times New Roman"/>
          <w:sz w:val="20"/>
          <w:szCs w:val="20"/>
        </w:rPr>
        <w:t xml:space="preserve"> and one patient had grade 3 </w:t>
      </w:r>
      <w:proofErr w:type="spellStart"/>
      <w:r w:rsidRPr="00A60B24">
        <w:rPr>
          <w:rFonts w:ascii="Times New Roman" w:hAnsi="Times New Roman" w:cs="Times New Roman"/>
          <w:sz w:val="20"/>
          <w:szCs w:val="20"/>
        </w:rPr>
        <w:t>dysphagia</w:t>
      </w:r>
      <w:proofErr w:type="spellEnd"/>
      <w:r w:rsidRPr="00A60B24">
        <w:rPr>
          <w:rFonts w:ascii="Times New Roman" w:hAnsi="Times New Roman" w:cs="Times New Roman"/>
          <w:sz w:val="20"/>
          <w:szCs w:val="20"/>
        </w:rPr>
        <w:t xml:space="preserve">. No grade 4 toxicities were noticed. However 20 % of patients </w:t>
      </w:r>
      <w:r w:rsidR="0052509C" w:rsidRPr="00A60B24">
        <w:rPr>
          <w:rFonts w:ascii="Times New Roman" w:hAnsi="Times New Roman" w:cs="Times New Roman"/>
          <w:sz w:val="20"/>
          <w:szCs w:val="20"/>
        </w:rPr>
        <w:t xml:space="preserve">still </w:t>
      </w:r>
      <w:r w:rsidRPr="00A60B24">
        <w:rPr>
          <w:rFonts w:ascii="Times New Roman" w:hAnsi="Times New Roman" w:cs="Times New Roman"/>
          <w:sz w:val="20"/>
          <w:szCs w:val="20"/>
        </w:rPr>
        <w:lastRenderedPageBreak/>
        <w:t xml:space="preserve">had grade 2 </w:t>
      </w:r>
      <w:proofErr w:type="spellStart"/>
      <w:r w:rsidRPr="00A60B24">
        <w:rPr>
          <w:rFonts w:ascii="Times New Roman" w:hAnsi="Times New Roman" w:cs="Times New Roman"/>
          <w:sz w:val="20"/>
          <w:szCs w:val="20"/>
        </w:rPr>
        <w:t>xerostomia</w:t>
      </w:r>
      <w:proofErr w:type="spellEnd"/>
      <w:r w:rsidRPr="00A60B24">
        <w:rPr>
          <w:rFonts w:ascii="Times New Roman" w:hAnsi="Times New Roman" w:cs="Times New Roman"/>
          <w:sz w:val="20"/>
          <w:szCs w:val="20"/>
        </w:rPr>
        <w:t xml:space="preserve"> and one patient had grade 2 </w:t>
      </w:r>
      <w:proofErr w:type="spellStart"/>
      <w:r w:rsidRPr="00A60B24">
        <w:rPr>
          <w:rFonts w:ascii="Times New Roman" w:hAnsi="Times New Roman" w:cs="Times New Roman"/>
          <w:sz w:val="20"/>
          <w:szCs w:val="20"/>
        </w:rPr>
        <w:t>dysphagia</w:t>
      </w:r>
      <w:proofErr w:type="spellEnd"/>
      <w:r w:rsidRPr="00A60B24">
        <w:rPr>
          <w:rFonts w:ascii="Times New Roman" w:hAnsi="Times New Roman" w:cs="Times New Roman"/>
          <w:sz w:val="20"/>
          <w:szCs w:val="20"/>
        </w:rPr>
        <w:t xml:space="preserve">. Grade 2 hoarseness of voice remained in 2 patients. </w:t>
      </w:r>
      <w:r w:rsidRPr="00A60B24">
        <w:rPr>
          <w:rFonts w:ascii="Times New Roman" w:hAnsi="Times New Roman" w:cs="Times New Roman"/>
          <w:b/>
          <w:bCs/>
          <w:i/>
          <w:iCs/>
          <w:sz w:val="20"/>
          <w:szCs w:val="20"/>
        </w:rPr>
        <w:t xml:space="preserve">(Table </w:t>
      </w:r>
      <w:r w:rsidR="004275D6" w:rsidRPr="00A60B24">
        <w:rPr>
          <w:rFonts w:ascii="Times New Roman" w:hAnsi="Times New Roman" w:cs="Times New Roman"/>
          <w:b/>
          <w:bCs/>
          <w:i/>
          <w:iCs/>
          <w:sz w:val="20"/>
          <w:szCs w:val="20"/>
        </w:rPr>
        <w:t>9</w:t>
      </w:r>
      <w:r w:rsidRPr="00A60B24">
        <w:rPr>
          <w:rFonts w:ascii="Times New Roman" w:hAnsi="Times New Roman" w:cs="Times New Roman"/>
          <w:b/>
          <w:bCs/>
          <w:i/>
          <w:iCs/>
          <w:sz w:val="20"/>
          <w:szCs w:val="20"/>
        </w:rPr>
        <w:t>)</w:t>
      </w:r>
    </w:p>
    <w:p w:rsidR="00737872" w:rsidRPr="00A60B24" w:rsidRDefault="00737872" w:rsidP="00737872">
      <w:pPr>
        <w:bidi w:val="0"/>
        <w:snapToGrid w:val="0"/>
        <w:spacing w:after="0" w:line="240" w:lineRule="auto"/>
        <w:jc w:val="both"/>
        <w:rPr>
          <w:rFonts w:ascii="Times New Roman" w:hAnsi="Times New Roman" w:cs="Times New Roman"/>
          <w:b/>
          <w:bCs/>
          <w:sz w:val="20"/>
          <w:szCs w:val="20"/>
        </w:rPr>
        <w:sectPr w:rsidR="00737872" w:rsidRPr="00A60B24" w:rsidSect="00737872">
          <w:type w:val="continuous"/>
          <w:pgSz w:w="12242" w:h="15842" w:code="1"/>
          <w:pgMar w:top="1440" w:right="1440" w:bottom="1440" w:left="1440" w:header="720" w:footer="720" w:gutter="0"/>
          <w:cols w:num="2" w:space="550"/>
          <w:docGrid w:linePitch="360"/>
        </w:sectPr>
      </w:pPr>
    </w:p>
    <w:p w:rsidR="00BF7D07" w:rsidRPr="00A60B24" w:rsidRDefault="00BF7D07" w:rsidP="00737872">
      <w:pPr>
        <w:bidi w:val="0"/>
        <w:snapToGrid w:val="0"/>
        <w:spacing w:after="0" w:line="240" w:lineRule="auto"/>
        <w:jc w:val="both"/>
        <w:rPr>
          <w:rFonts w:ascii="Times New Roman" w:hAnsi="Times New Roman" w:cs="Times New Roman"/>
          <w:b/>
          <w:bCs/>
          <w:sz w:val="20"/>
          <w:szCs w:val="20"/>
        </w:rPr>
      </w:pPr>
    </w:p>
    <w:p w:rsidR="0038549F" w:rsidRPr="00A60B24" w:rsidRDefault="0038549F" w:rsidP="00737872">
      <w:pPr>
        <w:autoSpaceDE w:val="0"/>
        <w:autoSpaceDN w:val="0"/>
        <w:bidi w:val="0"/>
        <w:adjustRightInd w:val="0"/>
        <w:snapToGrid w:val="0"/>
        <w:spacing w:after="0" w:line="240" w:lineRule="auto"/>
        <w:jc w:val="center"/>
        <w:rPr>
          <w:rFonts w:ascii="Times New Roman" w:hAnsi="Times New Roman" w:cs="Times New Roman"/>
          <w:sz w:val="20"/>
          <w:szCs w:val="20"/>
        </w:rPr>
      </w:pPr>
      <w:r w:rsidRPr="00A60B24">
        <w:rPr>
          <w:rFonts w:ascii="Times New Roman" w:hAnsi="Times New Roman" w:cs="Times New Roman"/>
          <w:b/>
          <w:bCs/>
          <w:sz w:val="20"/>
          <w:szCs w:val="20"/>
        </w:rPr>
        <w:t>Table (</w:t>
      </w:r>
      <w:r w:rsidR="004275D6" w:rsidRPr="00A60B24">
        <w:rPr>
          <w:rFonts w:ascii="Times New Roman" w:hAnsi="Times New Roman" w:cs="Times New Roman"/>
          <w:b/>
          <w:bCs/>
          <w:sz w:val="20"/>
          <w:szCs w:val="20"/>
        </w:rPr>
        <w:t>9</w:t>
      </w:r>
      <w:r w:rsidRPr="00A60B24">
        <w:rPr>
          <w:rFonts w:ascii="Times New Roman" w:hAnsi="Times New Roman" w:cs="Times New Roman"/>
          <w:b/>
          <w:bCs/>
          <w:sz w:val="20"/>
          <w:szCs w:val="20"/>
        </w:rPr>
        <w:t>):</w:t>
      </w:r>
      <w:r w:rsidRPr="00A60B24">
        <w:rPr>
          <w:rFonts w:ascii="Times New Roman" w:hAnsi="Times New Roman" w:cs="Times New Roman"/>
          <w:sz w:val="20"/>
          <w:szCs w:val="20"/>
        </w:rPr>
        <w:t xml:space="preserve"> Late radiation toxicities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3258"/>
        <w:gridCol w:w="548"/>
        <w:gridCol w:w="1274"/>
        <w:gridCol w:w="557"/>
        <w:gridCol w:w="853"/>
        <w:gridCol w:w="394"/>
        <w:gridCol w:w="1099"/>
        <w:gridCol w:w="394"/>
        <w:gridCol w:w="1099"/>
      </w:tblGrid>
      <w:tr w:rsidR="0038549F" w:rsidRPr="00A60B24" w:rsidTr="00BF7D07">
        <w:trPr>
          <w:jc w:val="center"/>
        </w:trPr>
        <w:tc>
          <w:tcPr>
            <w:tcW w:w="1719" w:type="pct"/>
            <w:vMerge w:val="restart"/>
            <w:vAlign w:val="center"/>
          </w:tcPr>
          <w:p w:rsidR="0038549F" w:rsidRPr="00A60B24" w:rsidRDefault="0038549F" w:rsidP="00737872">
            <w:pPr>
              <w:bidi w:val="0"/>
              <w:snapToGrid w:val="0"/>
              <w:spacing w:after="0" w:line="240" w:lineRule="auto"/>
              <w:jc w:val="both"/>
              <w:rPr>
                <w:rFonts w:ascii="Times New Roman" w:hAnsi="Times New Roman" w:cs="Times New Roman"/>
                <w:b/>
                <w:bCs/>
                <w:sz w:val="20"/>
                <w:szCs w:val="20"/>
              </w:rPr>
            </w:pPr>
            <w:r w:rsidRPr="00A60B24">
              <w:rPr>
                <w:rFonts w:ascii="Times New Roman" w:hAnsi="Times New Roman" w:cs="Times New Roman"/>
                <w:b/>
                <w:bCs/>
                <w:sz w:val="20"/>
                <w:szCs w:val="20"/>
              </w:rPr>
              <w:t>Adverse event</w:t>
            </w:r>
          </w:p>
        </w:tc>
        <w:tc>
          <w:tcPr>
            <w:tcW w:w="961" w:type="pct"/>
            <w:gridSpan w:val="2"/>
            <w:vAlign w:val="center"/>
          </w:tcPr>
          <w:p w:rsidR="0038549F" w:rsidRPr="00A60B24" w:rsidRDefault="0038549F" w:rsidP="00737872">
            <w:pPr>
              <w:bidi w:val="0"/>
              <w:snapToGrid w:val="0"/>
              <w:spacing w:after="0" w:line="240" w:lineRule="auto"/>
              <w:jc w:val="both"/>
              <w:rPr>
                <w:rFonts w:ascii="Times New Roman" w:hAnsi="Times New Roman" w:cs="Times New Roman"/>
                <w:b/>
                <w:bCs/>
                <w:sz w:val="20"/>
                <w:szCs w:val="20"/>
              </w:rPr>
            </w:pPr>
            <w:r w:rsidRPr="00A60B24">
              <w:rPr>
                <w:rFonts w:ascii="Times New Roman" w:hAnsi="Times New Roman" w:cs="Times New Roman"/>
                <w:b/>
                <w:bCs/>
                <w:sz w:val="20"/>
                <w:szCs w:val="20"/>
              </w:rPr>
              <w:t>Grade 0</w:t>
            </w:r>
          </w:p>
        </w:tc>
        <w:tc>
          <w:tcPr>
            <w:tcW w:w="744" w:type="pct"/>
            <w:gridSpan w:val="2"/>
            <w:vAlign w:val="center"/>
          </w:tcPr>
          <w:p w:rsidR="0038549F" w:rsidRPr="00A60B24" w:rsidRDefault="0038549F" w:rsidP="00737872">
            <w:pPr>
              <w:bidi w:val="0"/>
              <w:snapToGrid w:val="0"/>
              <w:spacing w:after="0" w:line="240" w:lineRule="auto"/>
              <w:jc w:val="both"/>
              <w:rPr>
                <w:rFonts w:ascii="Times New Roman" w:hAnsi="Times New Roman" w:cs="Times New Roman"/>
                <w:b/>
                <w:bCs/>
                <w:sz w:val="20"/>
                <w:szCs w:val="20"/>
              </w:rPr>
            </w:pPr>
            <w:r w:rsidRPr="00A60B24">
              <w:rPr>
                <w:rFonts w:ascii="Times New Roman" w:hAnsi="Times New Roman" w:cs="Times New Roman"/>
                <w:b/>
                <w:bCs/>
                <w:sz w:val="20"/>
                <w:szCs w:val="20"/>
              </w:rPr>
              <w:t>Grade 1</w:t>
            </w:r>
          </w:p>
        </w:tc>
        <w:tc>
          <w:tcPr>
            <w:tcW w:w="788" w:type="pct"/>
            <w:gridSpan w:val="2"/>
            <w:vAlign w:val="center"/>
          </w:tcPr>
          <w:p w:rsidR="0038549F" w:rsidRPr="00A60B24" w:rsidRDefault="0038549F" w:rsidP="00737872">
            <w:pPr>
              <w:bidi w:val="0"/>
              <w:snapToGrid w:val="0"/>
              <w:spacing w:after="0" w:line="240" w:lineRule="auto"/>
              <w:jc w:val="both"/>
              <w:rPr>
                <w:rFonts w:ascii="Times New Roman" w:hAnsi="Times New Roman" w:cs="Times New Roman"/>
                <w:b/>
                <w:bCs/>
                <w:sz w:val="20"/>
                <w:szCs w:val="20"/>
              </w:rPr>
            </w:pPr>
            <w:r w:rsidRPr="00A60B24">
              <w:rPr>
                <w:rFonts w:ascii="Times New Roman" w:hAnsi="Times New Roman" w:cs="Times New Roman"/>
                <w:b/>
                <w:bCs/>
                <w:sz w:val="20"/>
                <w:szCs w:val="20"/>
              </w:rPr>
              <w:t>Grade 2</w:t>
            </w:r>
          </w:p>
        </w:tc>
        <w:tc>
          <w:tcPr>
            <w:tcW w:w="788" w:type="pct"/>
            <w:gridSpan w:val="2"/>
            <w:vAlign w:val="center"/>
          </w:tcPr>
          <w:p w:rsidR="0038549F" w:rsidRPr="00A60B24" w:rsidRDefault="0038549F" w:rsidP="00737872">
            <w:pPr>
              <w:bidi w:val="0"/>
              <w:snapToGrid w:val="0"/>
              <w:spacing w:after="0" w:line="240" w:lineRule="auto"/>
              <w:jc w:val="both"/>
              <w:rPr>
                <w:rFonts w:ascii="Times New Roman" w:hAnsi="Times New Roman" w:cs="Times New Roman"/>
                <w:b/>
                <w:bCs/>
                <w:sz w:val="20"/>
                <w:szCs w:val="20"/>
              </w:rPr>
            </w:pPr>
            <w:r w:rsidRPr="00A60B24">
              <w:rPr>
                <w:rFonts w:ascii="Times New Roman" w:hAnsi="Times New Roman" w:cs="Times New Roman"/>
                <w:b/>
                <w:bCs/>
                <w:sz w:val="20"/>
                <w:szCs w:val="20"/>
              </w:rPr>
              <w:t>Grade 3</w:t>
            </w:r>
          </w:p>
        </w:tc>
      </w:tr>
      <w:tr w:rsidR="00BF7D07" w:rsidRPr="00A60B24" w:rsidTr="00BF7D07">
        <w:trPr>
          <w:jc w:val="center"/>
        </w:trPr>
        <w:tc>
          <w:tcPr>
            <w:tcW w:w="1719" w:type="pct"/>
            <w:vMerge/>
            <w:vAlign w:val="center"/>
          </w:tcPr>
          <w:p w:rsidR="0038549F" w:rsidRPr="00A60B24" w:rsidRDefault="0038549F" w:rsidP="00737872">
            <w:pPr>
              <w:bidi w:val="0"/>
              <w:snapToGrid w:val="0"/>
              <w:spacing w:after="0" w:line="240" w:lineRule="auto"/>
              <w:jc w:val="both"/>
              <w:rPr>
                <w:rFonts w:ascii="Times New Roman" w:hAnsi="Times New Roman" w:cs="Times New Roman"/>
                <w:b/>
                <w:bCs/>
                <w:sz w:val="20"/>
                <w:szCs w:val="20"/>
              </w:rPr>
            </w:pPr>
          </w:p>
        </w:tc>
        <w:tc>
          <w:tcPr>
            <w:tcW w:w="289" w:type="pct"/>
            <w:vAlign w:val="center"/>
          </w:tcPr>
          <w:p w:rsidR="0038549F" w:rsidRPr="00A60B24" w:rsidRDefault="0038549F" w:rsidP="00737872">
            <w:pPr>
              <w:bidi w:val="0"/>
              <w:snapToGrid w:val="0"/>
              <w:spacing w:after="0" w:line="240" w:lineRule="auto"/>
              <w:jc w:val="both"/>
              <w:rPr>
                <w:rFonts w:ascii="Times New Roman" w:hAnsi="Times New Roman" w:cs="Times New Roman"/>
                <w:b/>
                <w:bCs/>
                <w:sz w:val="20"/>
                <w:szCs w:val="20"/>
              </w:rPr>
            </w:pPr>
            <w:r w:rsidRPr="00A60B24">
              <w:rPr>
                <w:rFonts w:ascii="Times New Roman" w:hAnsi="Times New Roman" w:cs="Times New Roman"/>
                <w:b/>
                <w:bCs/>
                <w:sz w:val="20"/>
                <w:szCs w:val="20"/>
              </w:rPr>
              <w:t>n</w:t>
            </w:r>
          </w:p>
        </w:tc>
        <w:tc>
          <w:tcPr>
            <w:tcW w:w="672" w:type="pct"/>
            <w:vAlign w:val="center"/>
          </w:tcPr>
          <w:p w:rsidR="0038549F" w:rsidRPr="00A60B24" w:rsidRDefault="0038549F" w:rsidP="00737872">
            <w:pPr>
              <w:bidi w:val="0"/>
              <w:snapToGrid w:val="0"/>
              <w:spacing w:after="0" w:line="240" w:lineRule="auto"/>
              <w:jc w:val="both"/>
              <w:rPr>
                <w:rFonts w:ascii="Times New Roman" w:hAnsi="Times New Roman" w:cs="Times New Roman"/>
                <w:b/>
                <w:bCs/>
                <w:sz w:val="20"/>
                <w:szCs w:val="20"/>
              </w:rPr>
            </w:pPr>
            <w:r w:rsidRPr="00A60B24">
              <w:rPr>
                <w:rFonts w:ascii="Times New Roman" w:hAnsi="Times New Roman" w:cs="Times New Roman"/>
                <w:b/>
                <w:bCs/>
                <w:sz w:val="20"/>
                <w:szCs w:val="20"/>
              </w:rPr>
              <w:t>%</w:t>
            </w:r>
          </w:p>
        </w:tc>
        <w:tc>
          <w:tcPr>
            <w:tcW w:w="294" w:type="pct"/>
            <w:vAlign w:val="center"/>
          </w:tcPr>
          <w:p w:rsidR="0038549F" w:rsidRPr="00A60B24" w:rsidRDefault="0038549F" w:rsidP="00737872">
            <w:pPr>
              <w:bidi w:val="0"/>
              <w:snapToGrid w:val="0"/>
              <w:spacing w:after="0" w:line="240" w:lineRule="auto"/>
              <w:jc w:val="both"/>
              <w:rPr>
                <w:rFonts w:ascii="Times New Roman" w:hAnsi="Times New Roman" w:cs="Times New Roman"/>
                <w:b/>
                <w:bCs/>
                <w:sz w:val="20"/>
                <w:szCs w:val="20"/>
              </w:rPr>
            </w:pPr>
            <w:r w:rsidRPr="00A60B24">
              <w:rPr>
                <w:rFonts w:ascii="Times New Roman" w:hAnsi="Times New Roman" w:cs="Times New Roman"/>
                <w:b/>
                <w:bCs/>
                <w:sz w:val="20"/>
                <w:szCs w:val="20"/>
              </w:rPr>
              <w:t>n</w:t>
            </w:r>
          </w:p>
        </w:tc>
        <w:tc>
          <w:tcPr>
            <w:tcW w:w="450" w:type="pct"/>
            <w:vAlign w:val="center"/>
          </w:tcPr>
          <w:p w:rsidR="0038549F" w:rsidRPr="00A60B24" w:rsidRDefault="0038549F" w:rsidP="00737872">
            <w:pPr>
              <w:bidi w:val="0"/>
              <w:snapToGrid w:val="0"/>
              <w:spacing w:after="0" w:line="240" w:lineRule="auto"/>
              <w:jc w:val="both"/>
              <w:rPr>
                <w:rFonts w:ascii="Times New Roman" w:hAnsi="Times New Roman" w:cs="Times New Roman"/>
                <w:b/>
                <w:bCs/>
                <w:sz w:val="20"/>
                <w:szCs w:val="20"/>
              </w:rPr>
            </w:pPr>
            <w:r w:rsidRPr="00A60B24">
              <w:rPr>
                <w:rFonts w:ascii="Times New Roman" w:hAnsi="Times New Roman" w:cs="Times New Roman"/>
                <w:b/>
                <w:bCs/>
                <w:sz w:val="20"/>
                <w:szCs w:val="20"/>
              </w:rPr>
              <w:t>%</w:t>
            </w:r>
          </w:p>
        </w:tc>
        <w:tc>
          <w:tcPr>
            <w:tcW w:w="208" w:type="pct"/>
            <w:vAlign w:val="center"/>
          </w:tcPr>
          <w:p w:rsidR="0038549F" w:rsidRPr="00A60B24" w:rsidRDefault="0038549F" w:rsidP="00737872">
            <w:pPr>
              <w:bidi w:val="0"/>
              <w:snapToGrid w:val="0"/>
              <w:spacing w:after="0" w:line="240" w:lineRule="auto"/>
              <w:jc w:val="both"/>
              <w:rPr>
                <w:rFonts w:ascii="Times New Roman" w:hAnsi="Times New Roman" w:cs="Times New Roman"/>
                <w:b/>
                <w:bCs/>
                <w:sz w:val="20"/>
                <w:szCs w:val="20"/>
              </w:rPr>
            </w:pPr>
            <w:r w:rsidRPr="00A60B24">
              <w:rPr>
                <w:rFonts w:ascii="Times New Roman" w:hAnsi="Times New Roman" w:cs="Times New Roman"/>
                <w:b/>
                <w:bCs/>
                <w:sz w:val="20"/>
                <w:szCs w:val="20"/>
              </w:rPr>
              <w:t>n</w:t>
            </w:r>
          </w:p>
        </w:tc>
        <w:tc>
          <w:tcPr>
            <w:tcW w:w="580" w:type="pct"/>
            <w:vAlign w:val="center"/>
          </w:tcPr>
          <w:p w:rsidR="0038549F" w:rsidRPr="00A60B24" w:rsidRDefault="0038549F" w:rsidP="00737872">
            <w:pPr>
              <w:bidi w:val="0"/>
              <w:snapToGrid w:val="0"/>
              <w:spacing w:after="0" w:line="240" w:lineRule="auto"/>
              <w:jc w:val="both"/>
              <w:rPr>
                <w:rFonts w:ascii="Times New Roman" w:hAnsi="Times New Roman" w:cs="Times New Roman"/>
                <w:b/>
                <w:bCs/>
                <w:sz w:val="20"/>
                <w:szCs w:val="20"/>
              </w:rPr>
            </w:pPr>
            <w:r w:rsidRPr="00A60B24">
              <w:rPr>
                <w:rFonts w:ascii="Times New Roman" w:hAnsi="Times New Roman" w:cs="Times New Roman"/>
                <w:b/>
                <w:bCs/>
                <w:sz w:val="20"/>
                <w:szCs w:val="20"/>
              </w:rPr>
              <w:t>%</w:t>
            </w:r>
          </w:p>
        </w:tc>
        <w:tc>
          <w:tcPr>
            <w:tcW w:w="208" w:type="pct"/>
            <w:vAlign w:val="center"/>
          </w:tcPr>
          <w:p w:rsidR="0038549F" w:rsidRPr="00A60B24" w:rsidRDefault="0038549F" w:rsidP="00737872">
            <w:pPr>
              <w:bidi w:val="0"/>
              <w:snapToGrid w:val="0"/>
              <w:spacing w:after="0" w:line="240" w:lineRule="auto"/>
              <w:jc w:val="both"/>
              <w:rPr>
                <w:rFonts w:ascii="Times New Roman" w:hAnsi="Times New Roman" w:cs="Times New Roman"/>
                <w:b/>
                <w:bCs/>
                <w:sz w:val="20"/>
                <w:szCs w:val="20"/>
              </w:rPr>
            </w:pPr>
            <w:r w:rsidRPr="00A60B24">
              <w:rPr>
                <w:rFonts w:ascii="Times New Roman" w:hAnsi="Times New Roman" w:cs="Times New Roman"/>
                <w:b/>
                <w:bCs/>
                <w:sz w:val="20"/>
                <w:szCs w:val="20"/>
              </w:rPr>
              <w:t>n</w:t>
            </w:r>
          </w:p>
        </w:tc>
        <w:tc>
          <w:tcPr>
            <w:tcW w:w="580" w:type="pct"/>
            <w:vAlign w:val="center"/>
          </w:tcPr>
          <w:p w:rsidR="0038549F" w:rsidRPr="00A60B24" w:rsidRDefault="0038549F" w:rsidP="00737872">
            <w:pPr>
              <w:bidi w:val="0"/>
              <w:snapToGrid w:val="0"/>
              <w:spacing w:after="0" w:line="240" w:lineRule="auto"/>
              <w:jc w:val="both"/>
              <w:rPr>
                <w:rFonts w:ascii="Times New Roman" w:hAnsi="Times New Roman" w:cs="Times New Roman"/>
                <w:b/>
                <w:bCs/>
                <w:sz w:val="20"/>
                <w:szCs w:val="20"/>
              </w:rPr>
            </w:pPr>
            <w:r w:rsidRPr="00A60B24">
              <w:rPr>
                <w:rFonts w:ascii="Times New Roman" w:hAnsi="Times New Roman" w:cs="Times New Roman"/>
                <w:b/>
                <w:bCs/>
                <w:sz w:val="20"/>
                <w:szCs w:val="20"/>
              </w:rPr>
              <w:t>%</w:t>
            </w:r>
          </w:p>
        </w:tc>
      </w:tr>
      <w:tr w:rsidR="00BF7D07" w:rsidRPr="00A60B24" w:rsidTr="00BF7D07">
        <w:trPr>
          <w:jc w:val="center"/>
        </w:trPr>
        <w:tc>
          <w:tcPr>
            <w:tcW w:w="1719" w:type="pct"/>
            <w:vAlign w:val="center"/>
          </w:tcPr>
          <w:p w:rsidR="0038549F" w:rsidRPr="00A60B24" w:rsidRDefault="0038549F" w:rsidP="00737872">
            <w:pPr>
              <w:bidi w:val="0"/>
              <w:snapToGrid w:val="0"/>
              <w:spacing w:after="0" w:line="240" w:lineRule="auto"/>
              <w:jc w:val="both"/>
              <w:rPr>
                <w:rFonts w:ascii="Times New Roman" w:hAnsi="Times New Roman" w:cs="Times New Roman"/>
                <w:b/>
                <w:bCs/>
                <w:sz w:val="20"/>
                <w:szCs w:val="20"/>
              </w:rPr>
            </w:pPr>
            <w:proofErr w:type="spellStart"/>
            <w:r w:rsidRPr="00A60B24">
              <w:rPr>
                <w:rFonts w:ascii="Times New Roman" w:hAnsi="Times New Roman" w:cs="Times New Roman"/>
                <w:b/>
                <w:bCs/>
                <w:sz w:val="20"/>
                <w:szCs w:val="20"/>
              </w:rPr>
              <w:t>Xerostomia</w:t>
            </w:r>
            <w:proofErr w:type="spellEnd"/>
          </w:p>
        </w:tc>
        <w:tc>
          <w:tcPr>
            <w:tcW w:w="289"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5</w:t>
            </w:r>
          </w:p>
        </w:tc>
        <w:tc>
          <w:tcPr>
            <w:tcW w:w="672"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16.67%</w:t>
            </w:r>
          </w:p>
        </w:tc>
        <w:tc>
          <w:tcPr>
            <w:tcW w:w="294"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18</w:t>
            </w:r>
          </w:p>
        </w:tc>
        <w:tc>
          <w:tcPr>
            <w:tcW w:w="450"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60%</w:t>
            </w:r>
          </w:p>
        </w:tc>
        <w:tc>
          <w:tcPr>
            <w:tcW w:w="208"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6</w:t>
            </w:r>
          </w:p>
        </w:tc>
        <w:tc>
          <w:tcPr>
            <w:tcW w:w="580"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20%</w:t>
            </w:r>
          </w:p>
        </w:tc>
        <w:tc>
          <w:tcPr>
            <w:tcW w:w="208"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1</w:t>
            </w:r>
          </w:p>
        </w:tc>
        <w:tc>
          <w:tcPr>
            <w:tcW w:w="580"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3.33%</w:t>
            </w:r>
          </w:p>
        </w:tc>
      </w:tr>
      <w:tr w:rsidR="00BF7D07" w:rsidRPr="00A60B24" w:rsidTr="00BF7D07">
        <w:trPr>
          <w:jc w:val="center"/>
        </w:trPr>
        <w:tc>
          <w:tcPr>
            <w:tcW w:w="1719" w:type="pct"/>
            <w:vAlign w:val="center"/>
          </w:tcPr>
          <w:p w:rsidR="0038549F" w:rsidRPr="00A60B24" w:rsidRDefault="0038549F" w:rsidP="00737872">
            <w:pPr>
              <w:bidi w:val="0"/>
              <w:snapToGrid w:val="0"/>
              <w:spacing w:after="0" w:line="240" w:lineRule="auto"/>
              <w:jc w:val="both"/>
              <w:rPr>
                <w:rFonts w:ascii="Times New Roman" w:hAnsi="Times New Roman" w:cs="Times New Roman"/>
                <w:b/>
                <w:bCs/>
                <w:sz w:val="20"/>
                <w:szCs w:val="20"/>
              </w:rPr>
            </w:pPr>
            <w:r w:rsidRPr="00A60B24">
              <w:rPr>
                <w:rFonts w:ascii="Times New Roman" w:hAnsi="Times New Roman" w:cs="Times New Roman"/>
                <w:b/>
                <w:bCs/>
                <w:sz w:val="20"/>
                <w:szCs w:val="20"/>
              </w:rPr>
              <w:t>Fatigue</w:t>
            </w:r>
          </w:p>
        </w:tc>
        <w:tc>
          <w:tcPr>
            <w:tcW w:w="289"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18</w:t>
            </w:r>
          </w:p>
        </w:tc>
        <w:tc>
          <w:tcPr>
            <w:tcW w:w="672"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60%</w:t>
            </w:r>
          </w:p>
        </w:tc>
        <w:tc>
          <w:tcPr>
            <w:tcW w:w="294"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12</w:t>
            </w:r>
          </w:p>
        </w:tc>
        <w:tc>
          <w:tcPr>
            <w:tcW w:w="450"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40%</w:t>
            </w:r>
          </w:p>
        </w:tc>
        <w:tc>
          <w:tcPr>
            <w:tcW w:w="208"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0</w:t>
            </w:r>
          </w:p>
        </w:tc>
        <w:tc>
          <w:tcPr>
            <w:tcW w:w="580"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0</w:t>
            </w:r>
          </w:p>
        </w:tc>
        <w:tc>
          <w:tcPr>
            <w:tcW w:w="208"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0</w:t>
            </w:r>
          </w:p>
        </w:tc>
        <w:tc>
          <w:tcPr>
            <w:tcW w:w="580"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0</w:t>
            </w:r>
          </w:p>
        </w:tc>
      </w:tr>
      <w:tr w:rsidR="00BF7D07" w:rsidRPr="00A60B24" w:rsidTr="00BF7D07">
        <w:trPr>
          <w:jc w:val="center"/>
        </w:trPr>
        <w:tc>
          <w:tcPr>
            <w:tcW w:w="1719" w:type="pct"/>
            <w:vAlign w:val="center"/>
          </w:tcPr>
          <w:p w:rsidR="0038549F" w:rsidRPr="00A60B24" w:rsidRDefault="0038549F" w:rsidP="00737872">
            <w:pPr>
              <w:bidi w:val="0"/>
              <w:snapToGrid w:val="0"/>
              <w:spacing w:after="0" w:line="240" w:lineRule="auto"/>
              <w:jc w:val="both"/>
              <w:rPr>
                <w:rFonts w:ascii="Times New Roman" w:hAnsi="Times New Roman" w:cs="Times New Roman"/>
                <w:b/>
                <w:bCs/>
                <w:sz w:val="20"/>
                <w:szCs w:val="20"/>
              </w:rPr>
            </w:pPr>
            <w:r w:rsidRPr="00A60B24">
              <w:rPr>
                <w:rFonts w:ascii="Times New Roman" w:hAnsi="Times New Roman" w:cs="Times New Roman"/>
                <w:b/>
                <w:bCs/>
                <w:sz w:val="20"/>
                <w:szCs w:val="20"/>
              </w:rPr>
              <w:t xml:space="preserve">Neck </w:t>
            </w:r>
            <w:proofErr w:type="spellStart"/>
            <w:r w:rsidRPr="00A60B24">
              <w:rPr>
                <w:rFonts w:ascii="Times New Roman" w:hAnsi="Times New Roman" w:cs="Times New Roman"/>
                <w:b/>
                <w:bCs/>
                <w:sz w:val="20"/>
                <w:szCs w:val="20"/>
              </w:rPr>
              <w:t>oedema</w:t>
            </w:r>
            <w:proofErr w:type="spellEnd"/>
          </w:p>
        </w:tc>
        <w:tc>
          <w:tcPr>
            <w:tcW w:w="289"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20</w:t>
            </w:r>
          </w:p>
        </w:tc>
        <w:tc>
          <w:tcPr>
            <w:tcW w:w="672"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66.67%</w:t>
            </w:r>
          </w:p>
        </w:tc>
        <w:tc>
          <w:tcPr>
            <w:tcW w:w="294"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9</w:t>
            </w:r>
          </w:p>
        </w:tc>
        <w:tc>
          <w:tcPr>
            <w:tcW w:w="450"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30%</w:t>
            </w:r>
          </w:p>
        </w:tc>
        <w:tc>
          <w:tcPr>
            <w:tcW w:w="208"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1</w:t>
            </w:r>
          </w:p>
        </w:tc>
        <w:tc>
          <w:tcPr>
            <w:tcW w:w="580"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3.33%</w:t>
            </w:r>
          </w:p>
        </w:tc>
        <w:tc>
          <w:tcPr>
            <w:tcW w:w="208"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0</w:t>
            </w:r>
          </w:p>
        </w:tc>
        <w:tc>
          <w:tcPr>
            <w:tcW w:w="580"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0</w:t>
            </w:r>
          </w:p>
        </w:tc>
      </w:tr>
      <w:tr w:rsidR="00BF7D07" w:rsidRPr="00A60B24" w:rsidTr="00BF7D07">
        <w:trPr>
          <w:jc w:val="center"/>
        </w:trPr>
        <w:tc>
          <w:tcPr>
            <w:tcW w:w="1719" w:type="pct"/>
            <w:vAlign w:val="center"/>
          </w:tcPr>
          <w:p w:rsidR="0038549F" w:rsidRPr="00A60B24" w:rsidRDefault="0038549F" w:rsidP="00737872">
            <w:pPr>
              <w:bidi w:val="0"/>
              <w:snapToGrid w:val="0"/>
              <w:spacing w:after="0" w:line="240" w:lineRule="auto"/>
              <w:jc w:val="both"/>
              <w:rPr>
                <w:rFonts w:ascii="Times New Roman" w:hAnsi="Times New Roman" w:cs="Times New Roman"/>
                <w:b/>
                <w:bCs/>
                <w:sz w:val="20"/>
                <w:szCs w:val="20"/>
              </w:rPr>
            </w:pPr>
            <w:proofErr w:type="spellStart"/>
            <w:r w:rsidRPr="00A60B24">
              <w:rPr>
                <w:rFonts w:ascii="Times New Roman" w:hAnsi="Times New Roman" w:cs="Times New Roman"/>
                <w:b/>
                <w:bCs/>
                <w:sz w:val="20"/>
                <w:szCs w:val="20"/>
              </w:rPr>
              <w:t>Hoarsence</w:t>
            </w:r>
            <w:proofErr w:type="spellEnd"/>
            <w:r w:rsidRPr="00A60B24">
              <w:rPr>
                <w:rFonts w:ascii="Times New Roman" w:hAnsi="Times New Roman" w:cs="Times New Roman"/>
                <w:b/>
                <w:bCs/>
                <w:sz w:val="20"/>
                <w:szCs w:val="20"/>
              </w:rPr>
              <w:t xml:space="preserve"> of voice</w:t>
            </w:r>
          </w:p>
        </w:tc>
        <w:tc>
          <w:tcPr>
            <w:tcW w:w="289"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4</w:t>
            </w:r>
          </w:p>
        </w:tc>
        <w:tc>
          <w:tcPr>
            <w:tcW w:w="672"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13.3%</w:t>
            </w:r>
          </w:p>
        </w:tc>
        <w:tc>
          <w:tcPr>
            <w:tcW w:w="294"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24</w:t>
            </w:r>
          </w:p>
        </w:tc>
        <w:tc>
          <w:tcPr>
            <w:tcW w:w="450"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80%</w:t>
            </w:r>
          </w:p>
        </w:tc>
        <w:tc>
          <w:tcPr>
            <w:tcW w:w="208"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2</w:t>
            </w:r>
          </w:p>
        </w:tc>
        <w:tc>
          <w:tcPr>
            <w:tcW w:w="580"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6.67%</w:t>
            </w:r>
          </w:p>
        </w:tc>
        <w:tc>
          <w:tcPr>
            <w:tcW w:w="208"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0</w:t>
            </w:r>
          </w:p>
        </w:tc>
        <w:tc>
          <w:tcPr>
            <w:tcW w:w="580" w:type="pct"/>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0</w:t>
            </w:r>
          </w:p>
        </w:tc>
      </w:tr>
      <w:tr w:rsidR="00BF7D07" w:rsidRPr="00A60B24" w:rsidTr="00BF7D07">
        <w:trPr>
          <w:jc w:val="center"/>
        </w:trPr>
        <w:tc>
          <w:tcPr>
            <w:tcW w:w="1719" w:type="pct"/>
            <w:tcBorders>
              <w:top w:val="single" w:sz="4" w:space="0" w:color="auto"/>
              <w:left w:val="single" w:sz="4" w:space="0" w:color="auto"/>
              <w:bottom w:val="single" w:sz="4" w:space="0" w:color="auto"/>
              <w:right w:val="single" w:sz="4" w:space="0" w:color="auto"/>
            </w:tcBorders>
            <w:vAlign w:val="center"/>
          </w:tcPr>
          <w:p w:rsidR="0038549F" w:rsidRPr="00A60B24" w:rsidRDefault="0038549F" w:rsidP="00737872">
            <w:pPr>
              <w:bidi w:val="0"/>
              <w:snapToGrid w:val="0"/>
              <w:spacing w:after="0" w:line="240" w:lineRule="auto"/>
              <w:jc w:val="both"/>
              <w:rPr>
                <w:rFonts w:ascii="Times New Roman" w:hAnsi="Times New Roman" w:cs="Times New Roman"/>
                <w:b/>
                <w:bCs/>
                <w:sz w:val="20"/>
                <w:szCs w:val="20"/>
              </w:rPr>
            </w:pPr>
            <w:proofErr w:type="spellStart"/>
            <w:r w:rsidRPr="00A60B24">
              <w:rPr>
                <w:rFonts w:ascii="Times New Roman" w:hAnsi="Times New Roman" w:cs="Times New Roman"/>
                <w:b/>
                <w:bCs/>
                <w:sz w:val="20"/>
                <w:szCs w:val="20"/>
              </w:rPr>
              <w:t>Dysphagia</w:t>
            </w:r>
            <w:proofErr w:type="spellEnd"/>
          </w:p>
        </w:tc>
        <w:tc>
          <w:tcPr>
            <w:tcW w:w="289" w:type="pct"/>
            <w:tcBorders>
              <w:top w:val="single" w:sz="4" w:space="0" w:color="auto"/>
              <w:left w:val="single" w:sz="4" w:space="0" w:color="auto"/>
              <w:bottom w:val="single" w:sz="4" w:space="0" w:color="auto"/>
              <w:right w:val="single" w:sz="4" w:space="0" w:color="auto"/>
            </w:tcBorders>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7</w:t>
            </w:r>
          </w:p>
        </w:tc>
        <w:tc>
          <w:tcPr>
            <w:tcW w:w="672" w:type="pct"/>
            <w:tcBorders>
              <w:top w:val="single" w:sz="4" w:space="0" w:color="auto"/>
              <w:left w:val="single" w:sz="4" w:space="0" w:color="auto"/>
              <w:bottom w:val="single" w:sz="4" w:space="0" w:color="auto"/>
              <w:right w:val="single" w:sz="4" w:space="0" w:color="auto"/>
            </w:tcBorders>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23.33%</w:t>
            </w:r>
          </w:p>
        </w:tc>
        <w:tc>
          <w:tcPr>
            <w:tcW w:w="294" w:type="pct"/>
            <w:tcBorders>
              <w:top w:val="single" w:sz="4" w:space="0" w:color="auto"/>
              <w:left w:val="single" w:sz="4" w:space="0" w:color="auto"/>
              <w:bottom w:val="single" w:sz="4" w:space="0" w:color="auto"/>
              <w:right w:val="single" w:sz="4" w:space="0" w:color="auto"/>
            </w:tcBorders>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21</w:t>
            </w:r>
          </w:p>
        </w:tc>
        <w:tc>
          <w:tcPr>
            <w:tcW w:w="450" w:type="pct"/>
            <w:tcBorders>
              <w:top w:val="single" w:sz="4" w:space="0" w:color="auto"/>
              <w:left w:val="single" w:sz="4" w:space="0" w:color="auto"/>
              <w:bottom w:val="single" w:sz="4" w:space="0" w:color="auto"/>
              <w:right w:val="single" w:sz="4" w:space="0" w:color="auto"/>
            </w:tcBorders>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70%</w:t>
            </w:r>
          </w:p>
        </w:tc>
        <w:tc>
          <w:tcPr>
            <w:tcW w:w="208" w:type="pct"/>
            <w:tcBorders>
              <w:top w:val="single" w:sz="4" w:space="0" w:color="auto"/>
              <w:left w:val="single" w:sz="4" w:space="0" w:color="auto"/>
              <w:bottom w:val="single" w:sz="4" w:space="0" w:color="auto"/>
              <w:right w:val="single" w:sz="4" w:space="0" w:color="auto"/>
            </w:tcBorders>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1</w:t>
            </w:r>
          </w:p>
        </w:tc>
        <w:tc>
          <w:tcPr>
            <w:tcW w:w="580" w:type="pct"/>
            <w:tcBorders>
              <w:top w:val="single" w:sz="4" w:space="0" w:color="auto"/>
              <w:left w:val="single" w:sz="4" w:space="0" w:color="auto"/>
              <w:bottom w:val="single" w:sz="4" w:space="0" w:color="auto"/>
              <w:right w:val="single" w:sz="4" w:space="0" w:color="auto"/>
            </w:tcBorders>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3.33%</w:t>
            </w:r>
          </w:p>
        </w:tc>
        <w:tc>
          <w:tcPr>
            <w:tcW w:w="208" w:type="pct"/>
            <w:tcBorders>
              <w:top w:val="single" w:sz="4" w:space="0" w:color="auto"/>
              <w:left w:val="single" w:sz="4" w:space="0" w:color="auto"/>
              <w:bottom w:val="single" w:sz="4" w:space="0" w:color="auto"/>
              <w:right w:val="single" w:sz="4" w:space="0" w:color="auto"/>
            </w:tcBorders>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1</w:t>
            </w:r>
          </w:p>
        </w:tc>
        <w:tc>
          <w:tcPr>
            <w:tcW w:w="580" w:type="pct"/>
            <w:tcBorders>
              <w:top w:val="single" w:sz="4" w:space="0" w:color="auto"/>
              <w:left w:val="single" w:sz="4" w:space="0" w:color="auto"/>
              <w:bottom w:val="single" w:sz="4" w:space="0" w:color="auto"/>
              <w:right w:val="single" w:sz="4" w:space="0" w:color="auto"/>
            </w:tcBorders>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3.33%</w:t>
            </w:r>
          </w:p>
        </w:tc>
      </w:tr>
      <w:tr w:rsidR="00BF7D07" w:rsidRPr="00A60B24" w:rsidTr="00BF7D07">
        <w:trPr>
          <w:jc w:val="center"/>
        </w:trPr>
        <w:tc>
          <w:tcPr>
            <w:tcW w:w="1719" w:type="pct"/>
            <w:tcBorders>
              <w:top w:val="single" w:sz="4" w:space="0" w:color="auto"/>
              <w:left w:val="single" w:sz="4" w:space="0" w:color="auto"/>
              <w:bottom w:val="single" w:sz="4" w:space="0" w:color="auto"/>
              <w:right w:val="single" w:sz="4" w:space="0" w:color="auto"/>
            </w:tcBorders>
            <w:vAlign w:val="center"/>
          </w:tcPr>
          <w:p w:rsidR="0038549F" w:rsidRPr="00A60B24" w:rsidRDefault="0038549F" w:rsidP="00737872">
            <w:pPr>
              <w:bidi w:val="0"/>
              <w:snapToGrid w:val="0"/>
              <w:spacing w:after="0" w:line="240" w:lineRule="auto"/>
              <w:jc w:val="both"/>
              <w:rPr>
                <w:rFonts w:ascii="Times New Roman" w:hAnsi="Times New Roman" w:cs="Times New Roman"/>
                <w:b/>
                <w:bCs/>
                <w:sz w:val="20"/>
                <w:szCs w:val="20"/>
              </w:rPr>
            </w:pPr>
            <w:proofErr w:type="spellStart"/>
            <w:r w:rsidRPr="00A60B24">
              <w:rPr>
                <w:rFonts w:ascii="Times New Roman" w:hAnsi="Times New Roman" w:cs="Times New Roman"/>
                <w:b/>
                <w:bCs/>
                <w:sz w:val="20"/>
                <w:szCs w:val="20"/>
              </w:rPr>
              <w:t>Trismus</w:t>
            </w:r>
            <w:proofErr w:type="spellEnd"/>
          </w:p>
        </w:tc>
        <w:tc>
          <w:tcPr>
            <w:tcW w:w="289" w:type="pct"/>
            <w:tcBorders>
              <w:top w:val="single" w:sz="4" w:space="0" w:color="auto"/>
              <w:left w:val="single" w:sz="4" w:space="0" w:color="auto"/>
              <w:bottom w:val="single" w:sz="4" w:space="0" w:color="auto"/>
              <w:right w:val="single" w:sz="4" w:space="0" w:color="auto"/>
            </w:tcBorders>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24</w:t>
            </w:r>
          </w:p>
        </w:tc>
        <w:tc>
          <w:tcPr>
            <w:tcW w:w="672" w:type="pct"/>
            <w:tcBorders>
              <w:top w:val="single" w:sz="4" w:space="0" w:color="auto"/>
              <w:left w:val="single" w:sz="4" w:space="0" w:color="auto"/>
              <w:bottom w:val="single" w:sz="4" w:space="0" w:color="auto"/>
              <w:right w:val="single" w:sz="4" w:space="0" w:color="auto"/>
            </w:tcBorders>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80%</w:t>
            </w:r>
          </w:p>
        </w:tc>
        <w:tc>
          <w:tcPr>
            <w:tcW w:w="294" w:type="pct"/>
            <w:tcBorders>
              <w:top w:val="single" w:sz="4" w:space="0" w:color="auto"/>
              <w:left w:val="single" w:sz="4" w:space="0" w:color="auto"/>
              <w:bottom w:val="single" w:sz="4" w:space="0" w:color="auto"/>
              <w:right w:val="single" w:sz="4" w:space="0" w:color="auto"/>
            </w:tcBorders>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6</w:t>
            </w:r>
          </w:p>
        </w:tc>
        <w:tc>
          <w:tcPr>
            <w:tcW w:w="450" w:type="pct"/>
            <w:tcBorders>
              <w:top w:val="single" w:sz="4" w:space="0" w:color="auto"/>
              <w:left w:val="single" w:sz="4" w:space="0" w:color="auto"/>
              <w:bottom w:val="single" w:sz="4" w:space="0" w:color="auto"/>
              <w:right w:val="single" w:sz="4" w:space="0" w:color="auto"/>
            </w:tcBorders>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20%</w:t>
            </w:r>
          </w:p>
        </w:tc>
        <w:tc>
          <w:tcPr>
            <w:tcW w:w="208" w:type="pct"/>
            <w:tcBorders>
              <w:top w:val="single" w:sz="4" w:space="0" w:color="auto"/>
              <w:left w:val="single" w:sz="4" w:space="0" w:color="auto"/>
              <w:bottom w:val="single" w:sz="4" w:space="0" w:color="auto"/>
              <w:right w:val="single" w:sz="4" w:space="0" w:color="auto"/>
            </w:tcBorders>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0</w:t>
            </w:r>
          </w:p>
        </w:tc>
        <w:tc>
          <w:tcPr>
            <w:tcW w:w="580" w:type="pct"/>
            <w:tcBorders>
              <w:top w:val="single" w:sz="4" w:space="0" w:color="auto"/>
              <w:left w:val="single" w:sz="4" w:space="0" w:color="auto"/>
              <w:bottom w:val="single" w:sz="4" w:space="0" w:color="auto"/>
              <w:right w:val="single" w:sz="4" w:space="0" w:color="auto"/>
            </w:tcBorders>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0</w:t>
            </w:r>
          </w:p>
        </w:tc>
        <w:tc>
          <w:tcPr>
            <w:tcW w:w="208" w:type="pct"/>
            <w:tcBorders>
              <w:top w:val="single" w:sz="4" w:space="0" w:color="auto"/>
              <w:left w:val="single" w:sz="4" w:space="0" w:color="auto"/>
              <w:bottom w:val="single" w:sz="4" w:space="0" w:color="auto"/>
              <w:right w:val="single" w:sz="4" w:space="0" w:color="auto"/>
            </w:tcBorders>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0</w:t>
            </w:r>
          </w:p>
        </w:tc>
        <w:tc>
          <w:tcPr>
            <w:tcW w:w="580" w:type="pct"/>
            <w:tcBorders>
              <w:top w:val="single" w:sz="4" w:space="0" w:color="auto"/>
              <w:left w:val="single" w:sz="4" w:space="0" w:color="auto"/>
              <w:bottom w:val="single" w:sz="4" w:space="0" w:color="auto"/>
              <w:right w:val="single" w:sz="4" w:space="0" w:color="auto"/>
            </w:tcBorders>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0</w:t>
            </w:r>
          </w:p>
        </w:tc>
      </w:tr>
      <w:tr w:rsidR="00BF7D07" w:rsidRPr="00A60B24" w:rsidTr="00BF7D07">
        <w:trPr>
          <w:jc w:val="center"/>
        </w:trPr>
        <w:tc>
          <w:tcPr>
            <w:tcW w:w="1719" w:type="pct"/>
            <w:tcBorders>
              <w:top w:val="single" w:sz="4" w:space="0" w:color="auto"/>
              <w:left w:val="single" w:sz="4" w:space="0" w:color="auto"/>
              <w:bottom w:val="single" w:sz="4" w:space="0" w:color="auto"/>
              <w:right w:val="single" w:sz="4" w:space="0" w:color="auto"/>
            </w:tcBorders>
            <w:vAlign w:val="center"/>
          </w:tcPr>
          <w:p w:rsidR="0038549F" w:rsidRPr="00A60B24" w:rsidRDefault="0038549F" w:rsidP="00737872">
            <w:pPr>
              <w:bidi w:val="0"/>
              <w:snapToGrid w:val="0"/>
              <w:spacing w:after="0" w:line="240" w:lineRule="auto"/>
              <w:jc w:val="both"/>
              <w:rPr>
                <w:rFonts w:ascii="Times New Roman" w:hAnsi="Times New Roman" w:cs="Times New Roman"/>
                <w:b/>
                <w:bCs/>
                <w:sz w:val="20"/>
                <w:szCs w:val="20"/>
              </w:rPr>
            </w:pPr>
            <w:proofErr w:type="spellStart"/>
            <w:r w:rsidRPr="00A60B24">
              <w:rPr>
                <w:rFonts w:ascii="Times New Roman" w:hAnsi="Times New Roman" w:cs="Times New Roman"/>
                <w:b/>
                <w:bCs/>
                <w:sz w:val="20"/>
                <w:szCs w:val="20"/>
              </w:rPr>
              <w:t>Osteonecrosis</w:t>
            </w:r>
            <w:proofErr w:type="spellEnd"/>
            <w:r w:rsidRPr="00A60B24">
              <w:rPr>
                <w:rFonts w:ascii="Times New Roman" w:hAnsi="Times New Roman" w:cs="Times New Roman"/>
                <w:b/>
                <w:bCs/>
                <w:sz w:val="20"/>
                <w:szCs w:val="20"/>
              </w:rPr>
              <w:t xml:space="preserve"> of jaw</w:t>
            </w:r>
          </w:p>
        </w:tc>
        <w:tc>
          <w:tcPr>
            <w:tcW w:w="289" w:type="pct"/>
            <w:tcBorders>
              <w:top w:val="single" w:sz="4" w:space="0" w:color="auto"/>
              <w:left w:val="single" w:sz="4" w:space="0" w:color="auto"/>
              <w:bottom w:val="single" w:sz="4" w:space="0" w:color="auto"/>
              <w:right w:val="single" w:sz="4" w:space="0" w:color="auto"/>
            </w:tcBorders>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30</w:t>
            </w:r>
          </w:p>
        </w:tc>
        <w:tc>
          <w:tcPr>
            <w:tcW w:w="672" w:type="pct"/>
            <w:tcBorders>
              <w:top w:val="single" w:sz="4" w:space="0" w:color="auto"/>
              <w:left w:val="single" w:sz="4" w:space="0" w:color="auto"/>
              <w:bottom w:val="single" w:sz="4" w:space="0" w:color="auto"/>
              <w:right w:val="single" w:sz="4" w:space="0" w:color="auto"/>
            </w:tcBorders>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100%</w:t>
            </w:r>
          </w:p>
        </w:tc>
        <w:tc>
          <w:tcPr>
            <w:tcW w:w="294" w:type="pct"/>
            <w:tcBorders>
              <w:top w:val="single" w:sz="4" w:space="0" w:color="auto"/>
              <w:left w:val="single" w:sz="4" w:space="0" w:color="auto"/>
              <w:bottom w:val="single" w:sz="4" w:space="0" w:color="auto"/>
              <w:right w:val="single" w:sz="4" w:space="0" w:color="auto"/>
            </w:tcBorders>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0</w:t>
            </w:r>
          </w:p>
        </w:tc>
        <w:tc>
          <w:tcPr>
            <w:tcW w:w="450" w:type="pct"/>
            <w:tcBorders>
              <w:top w:val="single" w:sz="4" w:space="0" w:color="auto"/>
              <w:left w:val="single" w:sz="4" w:space="0" w:color="auto"/>
              <w:bottom w:val="single" w:sz="4" w:space="0" w:color="auto"/>
              <w:right w:val="single" w:sz="4" w:space="0" w:color="auto"/>
            </w:tcBorders>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0</w:t>
            </w:r>
          </w:p>
        </w:tc>
        <w:tc>
          <w:tcPr>
            <w:tcW w:w="208" w:type="pct"/>
            <w:tcBorders>
              <w:top w:val="single" w:sz="4" w:space="0" w:color="auto"/>
              <w:left w:val="single" w:sz="4" w:space="0" w:color="auto"/>
              <w:bottom w:val="single" w:sz="4" w:space="0" w:color="auto"/>
              <w:right w:val="single" w:sz="4" w:space="0" w:color="auto"/>
            </w:tcBorders>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0</w:t>
            </w:r>
          </w:p>
        </w:tc>
        <w:tc>
          <w:tcPr>
            <w:tcW w:w="580" w:type="pct"/>
            <w:tcBorders>
              <w:top w:val="single" w:sz="4" w:space="0" w:color="auto"/>
              <w:left w:val="single" w:sz="4" w:space="0" w:color="auto"/>
              <w:bottom w:val="single" w:sz="4" w:space="0" w:color="auto"/>
              <w:right w:val="single" w:sz="4" w:space="0" w:color="auto"/>
            </w:tcBorders>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0</w:t>
            </w:r>
          </w:p>
        </w:tc>
        <w:tc>
          <w:tcPr>
            <w:tcW w:w="208" w:type="pct"/>
            <w:tcBorders>
              <w:top w:val="single" w:sz="4" w:space="0" w:color="auto"/>
              <w:left w:val="single" w:sz="4" w:space="0" w:color="auto"/>
              <w:bottom w:val="single" w:sz="4" w:space="0" w:color="auto"/>
              <w:right w:val="single" w:sz="4" w:space="0" w:color="auto"/>
            </w:tcBorders>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0</w:t>
            </w:r>
          </w:p>
        </w:tc>
        <w:tc>
          <w:tcPr>
            <w:tcW w:w="580" w:type="pct"/>
            <w:tcBorders>
              <w:top w:val="single" w:sz="4" w:space="0" w:color="auto"/>
              <w:left w:val="single" w:sz="4" w:space="0" w:color="auto"/>
              <w:bottom w:val="single" w:sz="4" w:space="0" w:color="auto"/>
              <w:right w:val="single" w:sz="4" w:space="0" w:color="auto"/>
            </w:tcBorders>
            <w:vAlign w:val="center"/>
          </w:tcPr>
          <w:p w:rsidR="0038549F" w:rsidRPr="00A60B24" w:rsidRDefault="0038549F" w:rsidP="00737872">
            <w:pPr>
              <w:bidi w:val="0"/>
              <w:snapToGrid w:val="0"/>
              <w:spacing w:after="0" w:line="240" w:lineRule="auto"/>
              <w:jc w:val="both"/>
              <w:rPr>
                <w:rFonts w:ascii="Times New Roman" w:hAnsi="Times New Roman" w:cs="Times New Roman"/>
                <w:sz w:val="20"/>
                <w:szCs w:val="20"/>
              </w:rPr>
            </w:pPr>
            <w:r w:rsidRPr="00A60B24">
              <w:rPr>
                <w:rFonts w:ascii="Times New Roman" w:hAnsi="Times New Roman" w:cs="Times New Roman"/>
                <w:sz w:val="20"/>
                <w:szCs w:val="20"/>
              </w:rPr>
              <w:t>0</w:t>
            </w:r>
          </w:p>
        </w:tc>
      </w:tr>
    </w:tbl>
    <w:p w:rsidR="00BF7D07" w:rsidRPr="00A60B24" w:rsidRDefault="00BF7D07" w:rsidP="00737872">
      <w:pPr>
        <w:bidi w:val="0"/>
        <w:snapToGrid w:val="0"/>
        <w:spacing w:after="0" w:line="240" w:lineRule="auto"/>
        <w:jc w:val="both"/>
        <w:rPr>
          <w:rFonts w:ascii="Times New Roman" w:hAnsi="Times New Roman" w:cs="Times New Roman"/>
          <w:b/>
          <w:bCs/>
          <w:sz w:val="20"/>
          <w:szCs w:val="20"/>
          <w:lang w:bidi="ar-EG"/>
        </w:rPr>
      </w:pPr>
    </w:p>
    <w:p w:rsidR="00737872" w:rsidRPr="00A60B24" w:rsidRDefault="00737872" w:rsidP="00737872">
      <w:pPr>
        <w:bidi w:val="0"/>
        <w:snapToGrid w:val="0"/>
        <w:spacing w:after="0" w:line="240" w:lineRule="auto"/>
        <w:jc w:val="both"/>
        <w:rPr>
          <w:rFonts w:ascii="Times New Roman" w:hAnsi="Times New Roman" w:cs="Times New Roman"/>
          <w:b/>
          <w:bCs/>
          <w:sz w:val="20"/>
          <w:szCs w:val="20"/>
          <w:lang w:bidi="ar-EG"/>
        </w:rPr>
        <w:sectPr w:rsidR="00737872" w:rsidRPr="00A60B24" w:rsidSect="00BF7D07">
          <w:type w:val="continuous"/>
          <w:pgSz w:w="12242" w:h="15842" w:code="1"/>
          <w:pgMar w:top="1440" w:right="1440" w:bottom="1440" w:left="1440" w:header="720" w:footer="720" w:gutter="0"/>
          <w:cols w:space="720"/>
          <w:docGrid w:linePitch="360"/>
        </w:sectPr>
      </w:pPr>
    </w:p>
    <w:p w:rsidR="0038549F" w:rsidRPr="00A60B24" w:rsidRDefault="0038549F" w:rsidP="00737872">
      <w:pPr>
        <w:bidi w:val="0"/>
        <w:snapToGrid w:val="0"/>
        <w:spacing w:after="0" w:line="240" w:lineRule="auto"/>
        <w:jc w:val="both"/>
        <w:rPr>
          <w:rFonts w:ascii="Times New Roman" w:hAnsi="Times New Roman" w:cs="Times New Roman"/>
          <w:b/>
          <w:bCs/>
          <w:sz w:val="20"/>
          <w:szCs w:val="20"/>
          <w:lang w:bidi="ar-EG"/>
        </w:rPr>
      </w:pPr>
      <w:r w:rsidRPr="00A60B24">
        <w:rPr>
          <w:rFonts w:ascii="Times New Roman" w:hAnsi="Times New Roman" w:cs="Times New Roman"/>
          <w:b/>
          <w:bCs/>
          <w:sz w:val="20"/>
          <w:szCs w:val="20"/>
          <w:lang w:bidi="ar-EG"/>
        </w:rPr>
        <w:lastRenderedPageBreak/>
        <w:t>Quality of life:</w:t>
      </w:r>
    </w:p>
    <w:p w:rsidR="0038549F" w:rsidRPr="00A60B24" w:rsidRDefault="0038549F" w:rsidP="00737872">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A60B24">
        <w:rPr>
          <w:rFonts w:ascii="Times New Roman" w:hAnsi="Times New Roman" w:cs="Times New Roman"/>
          <w:sz w:val="20"/>
          <w:szCs w:val="20"/>
        </w:rPr>
        <w:t>In the acute phase (</w:t>
      </w:r>
      <w:proofErr w:type="spellStart"/>
      <w:r w:rsidRPr="00A60B24">
        <w:rPr>
          <w:rFonts w:ascii="Times New Roman" w:hAnsi="Times New Roman" w:cs="Times New Roman"/>
          <w:sz w:val="20"/>
          <w:szCs w:val="20"/>
        </w:rPr>
        <w:t>ie</w:t>
      </w:r>
      <w:proofErr w:type="spellEnd"/>
      <w:r w:rsidRPr="00A60B24">
        <w:rPr>
          <w:rFonts w:ascii="Times New Roman" w:hAnsi="Times New Roman" w:cs="Times New Roman"/>
          <w:sz w:val="20"/>
          <w:szCs w:val="20"/>
        </w:rPr>
        <w:t xml:space="preserve">, during radiotherapy), as expected, there was significant worsening of symptoms. About 80 % of patients (24/30) reported mean QLQ score higher than 50 after the 3rd week of RT. The deterioration was clinically significant in </w:t>
      </w:r>
      <w:r w:rsidRPr="00A60B24">
        <w:rPr>
          <w:rFonts w:ascii="Times New Roman" w:hAnsi="Times New Roman" w:cs="Times New Roman"/>
          <w:sz w:val="20"/>
          <w:szCs w:val="20"/>
        </w:rPr>
        <w:lastRenderedPageBreak/>
        <w:t>swallowing, local pain, sticky saliva, dry mouth. At the 12-month follow-up, a recovery to baseline and even improvement was observed with the exception of the dry mouth and sticky saliva items, which remained in 25 % of patients (7\28). Percentage of patients with mean QLQ score &gt;50 (</w:t>
      </w:r>
      <w:proofErr w:type="spellStart"/>
      <w:r w:rsidRPr="00A60B24">
        <w:rPr>
          <w:rFonts w:ascii="Times New Roman" w:hAnsi="Times New Roman" w:cs="Times New Roman"/>
          <w:sz w:val="20"/>
          <w:szCs w:val="20"/>
        </w:rPr>
        <w:t>i.e</w:t>
      </w:r>
      <w:proofErr w:type="spellEnd"/>
      <w:r w:rsidRPr="00A60B24">
        <w:rPr>
          <w:rFonts w:ascii="Times New Roman" w:hAnsi="Times New Roman" w:cs="Times New Roman"/>
          <w:sz w:val="20"/>
          <w:szCs w:val="20"/>
        </w:rPr>
        <w:t xml:space="preserve"> poorer health) improved </w:t>
      </w:r>
      <w:r w:rsidRPr="00A60B24">
        <w:rPr>
          <w:rFonts w:ascii="Times New Roman" w:hAnsi="Times New Roman" w:cs="Times New Roman"/>
          <w:sz w:val="20"/>
          <w:szCs w:val="20"/>
        </w:rPr>
        <w:lastRenderedPageBreak/>
        <w:t xml:space="preserve">after one year of treatment compared to that before </w:t>
      </w:r>
      <w:r w:rsidRPr="00A60B24">
        <w:rPr>
          <w:rFonts w:ascii="Times New Roman" w:hAnsi="Times New Roman" w:cs="Times New Roman"/>
          <w:sz w:val="20"/>
          <w:szCs w:val="20"/>
        </w:rPr>
        <w:lastRenderedPageBreak/>
        <w:t xml:space="preserve">starting RT (25 % </w:t>
      </w:r>
      <w:proofErr w:type="spellStart"/>
      <w:r w:rsidRPr="00A60B24">
        <w:rPr>
          <w:rFonts w:ascii="Times New Roman" w:hAnsi="Times New Roman" w:cs="Times New Roman"/>
          <w:sz w:val="20"/>
          <w:szCs w:val="20"/>
        </w:rPr>
        <w:t>vs</w:t>
      </w:r>
      <w:proofErr w:type="spellEnd"/>
      <w:r w:rsidRPr="00A60B24">
        <w:rPr>
          <w:rFonts w:ascii="Times New Roman" w:hAnsi="Times New Roman" w:cs="Times New Roman"/>
          <w:sz w:val="20"/>
          <w:szCs w:val="20"/>
        </w:rPr>
        <w:t xml:space="preserve"> 53.3%) respectively. </w:t>
      </w:r>
      <w:bookmarkStart w:id="0" w:name="_GoBack"/>
      <w:r w:rsidRPr="00A60B24">
        <w:rPr>
          <w:rFonts w:ascii="Times New Roman" w:hAnsi="Times New Roman" w:cs="Times New Roman"/>
          <w:b/>
          <w:bCs/>
          <w:i/>
          <w:iCs/>
          <w:sz w:val="20"/>
          <w:szCs w:val="20"/>
        </w:rPr>
        <w:t xml:space="preserve">(Table </w:t>
      </w:r>
      <w:r w:rsidR="004275D6" w:rsidRPr="00A60B24">
        <w:rPr>
          <w:rFonts w:ascii="Times New Roman" w:hAnsi="Times New Roman" w:cs="Times New Roman"/>
          <w:b/>
          <w:bCs/>
          <w:i/>
          <w:iCs/>
          <w:sz w:val="20"/>
          <w:szCs w:val="20"/>
        </w:rPr>
        <w:t>10</w:t>
      </w:r>
      <w:r w:rsidRPr="00A60B24">
        <w:rPr>
          <w:rFonts w:ascii="Times New Roman" w:hAnsi="Times New Roman" w:cs="Times New Roman"/>
          <w:b/>
          <w:bCs/>
          <w:i/>
          <w:iCs/>
          <w:sz w:val="20"/>
          <w:szCs w:val="20"/>
        </w:rPr>
        <w:t>)</w:t>
      </w:r>
      <w:bookmarkEnd w:id="0"/>
    </w:p>
    <w:p w:rsidR="00737872" w:rsidRPr="00A60B24" w:rsidRDefault="00737872" w:rsidP="00737872">
      <w:pPr>
        <w:autoSpaceDE w:val="0"/>
        <w:autoSpaceDN w:val="0"/>
        <w:bidi w:val="0"/>
        <w:adjustRightInd w:val="0"/>
        <w:snapToGrid w:val="0"/>
        <w:spacing w:after="0" w:line="240" w:lineRule="auto"/>
        <w:jc w:val="both"/>
        <w:rPr>
          <w:rFonts w:ascii="Times New Roman" w:hAnsi="Times New Roman" w:cs="Times New Roman"/>
          <w:b/>
          <w:bCs/>
          <w:sz w:val="20"/>
          <w:szCs w:val="20"/>
        </w:rPr>
        <w:sectPr w:rsidR="00737872" w:rsidRPr="00A60B24" w:rsidSect="00737872">
          <w:type w:val="continuous"/>
          <w:pgSz w:w="12242" w:h="15842" w:code="1"/>
          <w:pgMar w:top="1440" w:right="1440" w:bottom="1440" w:left="1440" w:header="720" w:footer="720" w:gutter="0"/>
          <w:cols w:num="2" w:space="550"/>
          <w:docGrid w:linePitch="360"/>
        </w:sectPr>
      </w:pPr>
    </w:p>
    <w:p w:rsidR="00A60B24" w:rsidRPr="00A60B24" w:rsidRDefault="00A60B24" w:rsidP="00737872">
      <w:pPr>
        <w:autoSpaceDE w:val="0"/>
        <w:autoSpaceDN w:val="0"/>
        <w:bidi w:val="0"/>
        <w:adjustRightInd w:val="0"/>
        <w:snapToGrid w:val="0"/>
        <w:spacing w:after="0" w:line="240" w:lineRule="auto"/>
        <w:jc w:val="center"/>
        <w:rPr>
          <w:rFonts w:ascii="Times New Roman" w:hAnsi="Times New Roman" w:cs="Times New Roman" w:hint="eastAsia"/>
          <w:b/>
          <w:bCs/>
          <w:sz w:val="20"/>
          <w:szCs w:val="20"/>
          <w:lang w:eastAsia="zh-CN"/>
        </w:rPr>
      </w:pPr>
    </w:p>
    <w:p w:rsidR="0038549F" w:rsidRPr="00A60B24" w:rsidRDefault="0038549F" w:rsidP="00A60B24">
      <w:pPr>
        <w:autoSpaceDE w:val="0"/>
        <w:autoSpaceDN w:val="0"/>
        <w:bidi w:val="0"/>
        <w:adjustRightInd w:val="0"/>
        <w:snapToGrid w:val="0"/>
        <w:spacing w:after="0" w:line="240" w:lineRule="auto"/>
        <w:jc w:val="center"/>
        <w:rPr>
          <w:rFonts w:ascii="Times New Roman" w:hAnsi="Times New Roman" w:cs="Times New Roman"/>
          <w:sz w:val="20"/>
          <w:szCs w:val="20"/>
        </w:rPr>
      </w:pPr>
      <w:r w:rsidRPr="00A60B24">
        <w:rPr>
          <w:rFonts w:ascii="Times New Roman" w:hAnsi="Times New Roman" w:cs="Times New Roman"/>
          <w:b/>
          <w:bCs/>
          <w:sz w:val="20"/>
          <w:szCs w:val="20"/>
        </w:rPr>
        <w:t>Table (</w:t>
      </w:r>
      <w:r w:rsidR="004275D6" w:rsidRPr="00A60B24">
        <w:rPr>
          <w:rFonts w:ascii="Times New Roman" w:hAnsi="Times New Roman" w:cs="Times New Roman"/>
          <w:b/>
          <w:bCs/>
          <w:sz w:val="20"/>
          <w:szCs w:val="20"/>
        </w:rPr>
        <w:t>10</w:t>
      </w:r>
      <w:r w:rsidRPr="00A60B24">
        <w:rPr>
          <w:rFonts w:ascii="Times New Roman" w:hAnsi="Times New Roman" w:cs="Times New Roman"/>
          <w:b/>
          <w:bCs/>
          <w:sz w:val="20"/>
          <w:szCs w:val="20"/>
        </w:rPr>
        <w:t>):</w:t>
      </w:r>
      <w:r w:rsidRPr="00A60B24">
        <w:rPr>
          <w:rFonts w:ascii="Times New Roman" w:hAnsi="Times New Roman" w:cs="Times New Roman"/>
          <w:sz w:val="20"/>
          <w:szCs w:val="20"/>
        </w:rPr>
        <w:t xml:space="preserve"> QLQ assessment data; Patients with mean scores &gt; 50</w:t>
      </w:r>
    </w:p>
    <w:tbl>
      <w:tblPr>
        <w:tblStyle w:val="TableGrid"/>
        <w:bidiVisual/>
        <w:tblW w:w="5000" w:type="pct"/>
        <w:jc w:val="center"/>
        <w:tblCellMar>
          <w:left w:w="57" w:type="dxa"/>
          <w:right w:w="57" w:type="dxa"/>
        </w:tblCellMar>
        <w:tblLook w:val="04A0"/>
      </w:tblPr>
      <w:tblGrid>
        <w:gridCol w:w="1380"/>
        <w:gridCol w:w="1300"/>
        <w:gridCol w:w="1270"/>
        <w:gridCol w:w="5526"/>
      </w:tblGrid>
      <w:tr w:rsidR="0038549F" w:rsidRPr="00A60B24" w:rsidTr="00BF7D07">
        <w:trPr>
          <w:jc w:val="center"/>
        </w:trPr>
        <w:tc>
          <w:tcPr>
            <w:tcW w:w="2083" w:type="pct"/>
            <w:gridSpan w:val="3"/>
            <w:vAlign w:val="center"/>
          </w:tcPr>
          <w:p w:rsidR="0038549F" w:rsidRPr="00A60B24" w:rsidRDefault="0038549F" w:rsidP="00737872">
            <w:pPr>
              <w:bidi w:val="0"/>
              <w:snapToGrid w:val="0"/>
              <w:jc w:val="both"/>
              <w:rPr>
                <w:lang w:bidi="ar-EG"/>
              </w:rPr>
            </w:pPr>
            <w:r w:rsidRPr="00A60B24">
              <w:rPr>
                <w:lang w:bidi="ar-EG"/>
              </w:rPr>
              <w:t>Number of patients with mean score &gt;50</w:t>
            </w:r>
          </w:p>
        </w:tc>
        <w:tc>
          <w:tcPr>
            <w:tcW w:w="2917" w:type="pct"/>
            <w:vMerge w:val="restart"/>
            <w:vAlign w:val="center"/>
          </w:tcPr>
          <w:p w:rsidR="0038549F" w:rsidRPr="00A60B24" w:rsidRDefault="0038549F" w:rsidP="00737872">
            <w:pPr>
              <w:bidi w:val="0"/>
              <w:snapToGrid w:val="0"/>
              <w:jc w:val="both"/>
              <w:rPr>
                <w:lang w:bidi="ar-EG"/>
              </w:rPr>
            </w:pPr>
            <w:r w:rsidRPr="00A60B24">
              <w:rPr>
                <w:lang w:bidi="ar-EG"/>
              </w:rPr>
              <w:t>Scale name/Item number and description</w:t>
            </w:r>
          </w:p>
        </w:tc>
      </w:tr>
      <w:tr w:rsidR="0038549F" w:rsidRPr="00A60B24" w:rsidTr="00BF7D07">
        <w:trPr>
          <w:jc w:val="center"/>
        </w:trPr>
        <w:tc>
          <w:tcPr>
            <w:tcW w:w="728" w:type="pct"/>
            <w:vAlign w:val="center"/>
          </w:tcPr>
          <w:p w:rsidR="0038549F" w:rsidRPr="00A60B24" w:rsidRDefault="0038549F" w:rsidP="00737872">
            <w:pPr>
              <w:bidi w:val="0"/>
              <w:snapToGrid w:val="0"/>
              <w:jc w:val="both"/>
              <w:rPr>
                <w:lang w:bidi="ar-EG"/>
              </w:rPr>
            </w:pPr>
            <w:r w:rsidRPr="00A60B24">
              <w:rPr>
                <w:lang w:bidi="ar-EG"/>
              </w:rPr>
              <w:t>At one year</w:t>
            </w:r>
          </w:p>
        </w:tc>
        <w:tc>
          <w:tcPr>
            <w:tcW w:w="686" w:type="pct"/>
            <w:vAlign w:val="center"/>
          </w:tcPr>
          <w:p w:rsidR="0038549F" w:rsidRPr="00A60B24" w:rsidRDefault="0038549F" w:rsidP="00737872">
            <w:pPr>
              <w:bidi w:val="0"/>
              <w:snapToGrid w:val="0"/>
              <w:jc w:val="both"/>
              <w:rPr>
                <w:lang w:bidi="ar-EG"/>
              </w:rPr>
            </w:pPr>
            <w:r w:rsidRPr="00A60B24">
              <w:rPr>
                <w:lang w:bidi="ar-EG"/>
              </w:rPr>
              <w:t>During RT</w:t>
            </w:r>
          </w:p>
        </w:tc>
        <w:tc>
          <w:tcPr>
            <w:tcW w:w="670" w:type="pct"/>
            <w:vAlign w:val="center"/>
          </w:tcPr>
          <w:p w:rsidR="0038549F" w:rsidRPr="00A60B24" w:rsidRDefault="0038549F" w:rsidP="00737872">
            <w:pPr>
              <w:bidi w:val="0"/>
              <w:snapToGrid w:val="0"/>
              <w:jc w:val="both"/>
              <w:rPr>
                <w:lang w:bidi="ar-EG"/>
              </w:rPr>
            </w:pPr>
            <w:r w:rsidRPr="00A60B24">
              <w:rPr>
                <w:lang w:bidi="ar-EG"/>
              </w:rPr>
              <w:t>Before RT</w:t>
            </w:r>
          </w:p>
        </w:tc>
        <w:tc>
          <w:tcPr>
            <w:tcW w:w="2917" w:type="pct"/>
            <w:vMerge/>
            <w:vAlign w:val="center"/>
          </w:tcPr>
          <w:p w:rsidR="0038549F" w:rsidRPr="00A60B24" w:rsidRDefault="0038549F" w:rsidP="00737872">
            <w:pPr>
              <w:bidi w:val="0"/>
              <w:snapToGrid w:val="0"/>
              <w:jc w:val="both"/>
              <w:rPr>
                <w:lang w:bidi="ar-EG"/>
              </w:rPr>
            </w:pPr>
          </w:p>
        </w:tc>
      </w:tr>
      <w:tr w:rsidR="0038549F" w:rsidRPr="00A60B24" w:rsidTr="00BF7D07">
        <w:trPr>
          <w:jc w:val="center"/>
        </w:trPr>
        <w:tc>
          <w:tcPr>
            <w:tcW w:w="728" w:type="pct"/>
            <w:vAlign w:val="center"/>
          </w:tcPr>
          <w:p w:rsidR="0038549F" w:rsidRPr="00A60B24" w:rsidRDefault="0038549F" w:rsidP="00737872">
            <w:pPr>
              <w:bidi w:val="0"/>
              <w:snapToGrid w:val="0"/>
              <w:jc w:val="both"/>
              <w:rPr>
                <w:lang w:bidi="ar-EG"/>
              </w:rPr>
            </w:pPr>
            <w:r w:rsidRPr="00A60B24">
              <w:rPr>
                <w:lang w:bidi="ar-EG"/>
              </w:rPr>
              <w:t>4</w:t>
            </w:r>
          </w:p>
        </w:tc>
        <w:tc>
          <w:tcPr>
            <w:tcW w:w="686" w:type="pct"/>
            <w:vAlign w:val="center"/>
          </w:tcPr>
          <w:p w:rsidR="0038549F" w:rsidRPr="00A60B24" w:rsidRDefault="0038549F" w:rsidP="00737872">
            <w:pPr>
              <w:bidi w:val="0"/>
              <w:snapToGrid w:val="0"/>
              <w:jc w:val="both"/>
              <w:rPr>
                <w:lang w:bidi="ar-EG"/>
              </w:rPr>
            </w:pPr>
            <w:r w:rsidRPr="00A60B24">
              <w:rPr>
                <w:lang w:bidi="ar-EG"/>
              </w:rPr>
              <w:t>24</w:t>
            </w:r>
          </w:p>
        </w:tc>
        <w:tc>
          <w:tcPr>
            <w:tcW w:w="670" w:type="pct"/>
            <w:vAlign w:val="center"/>
          </w:tcPr>
          <w:p w:rsidR="0038549F" w:rsidRPr="00A60B24" w:rsidRDefault="0038549F" w:rsidP="00737872">
            <w:pPr>
              <w:bidi w:val="0"/>
              <w:snapToGrid w:val="0"/>
              <w:jc w:val="both"/>
              <w:rPr>
                <w:lang w:bidi="ar-EG"/>
              </w:rPr>
            </w:pPr>
            <w:r w:rsidRPr="00A60B24">
              <w:rPr>
                <w:lang w:bidi="ar-EG"/>
              </w:rPr>
              <w:t>9</w:t>
            </w:r>
          </w:p>
        </w:tc>
        <w:tc>
          <w:tcPr>
            <w:tcW w:w="2917" w:type="pct"/>
            <w:vAlign w:val="center"/>
          </w:tcPr>
          <w:p w:rsidR="0038549F" w:rsidRPr="00A60B24" w:rsidRDefault="0038549F" w:rsidP="00737872">
            <w:pPr>
              <w:autoSpaceDE w:val="0"/>
              <w:autoSpaceDN w:val="0"/>
              <w:bidi w:val="0"/>
              <w:adjustRightInd w:val="0"/>
              <w:snapToGrid w:val="0"/>
              <w:jc w:val="both"/>
              <w:rPr>
                <w:b/>
                <w:bCs/>
              </w:rPr>
            </w:pPr>
            <w:r w:rsidRPr="00A60B24">
              <w:rPr>
                <w:b/>
                <w:bCs/>
              </w:rPr>
              <w:t>1-Pain (</w:t>
            </w:r>
            <w:r w:rsidRPr="00A60B24">
              <w:rPr>
                <w:rFonts w:eastAsiaTheme="minorHAnsi"/>
                <w:b/>
                <w:bCs/>
              </w:rPr>
              <w:t>HNPA)</w:t>
            </w:r>
          </w:p>
          <w:p w:rsidR="0038549F" w:rsidRPr="00A60B24" w:rsidRDefault="0038549F" w:rsidP="00737872">
            <w:pPr>
              <w:autoSpaceDE w:val="0"/>
              <w:autoSpaceDN w:val="0"/>
              <w:bidi w:val="0"/>
              <w:adjustRightInd w:val="0"/>
              <w:snapToGrid w:val="0"/>
              <w:jc w:val="both"/>
            </w:pPr>
            <w:r w:rsidRPr="00A60B24">
              <w:t>1 Pain in the mouth</w:t>
            </w:r>
          </w:p>
          <w:p w:rsidR="0038549F" w:rsidRPr="00A60B24" w:rsidRDefault="0038549F" w:rsidP="00737872">
            <w:pPr>
              <w:autoSpaceDE w:val="0"/>
              <w:autoSpaceDN w:val="0"/>
              <w:bidi w:val="0"/>
              <w:adjustRightInd w:val="0"/>
              <w:snapToGrid w:val="0"/>
              <w:jc w:val="both"/>
            </w:pPr>
            <w:r w:rsidRPr="00A60B24">
              <w:t>2 Pain in the jaw</w:t>
            </w:r>
          </w:p>
          <w:p w:rsidR="0038549F" w:rsidRPr="00A60B24" w:rsidRDefault="0038549F" w:rsidP="00737872">
            <w:pPr>
              <w:autoSpaceDE w:val="0"/>
              <w:autoSpaceDN w:val="0"/>
              <w:bidi w:val="0"/>
              <w:adjustRightInd w:val="0"/>
              <w:snapToGrid w:val="0"/>
              <w:jc w:val="both"/>
            </w:pPr>
            <w:r w:rsidRPr="00A60B24">
              <w:t>3 Soreness in the mouth</w:t>
            </w:r>
          </w:p>
          <w:p w:rsidR="0038549F" w:rsidRPr="00A60B24" w:rsidRDefault="0038549F" w:rsidP="00737872">
            <w:pPr>
              <w:bidi w:val="0"/>
              <w:snapToGrid w:val="0"/>
              <w:jc w:val="both"/>
              <w:rPr>
                <w:lang w:bidi="ar-EG"/>
              </w:rPr>
            </w:pPr>
            <w:r w:rsidRPr="00A60B24">
              <w:t>4 Painful throat</w:t>
            </w:r>
          </w:p>
        </w:tc>
      </w:tr>
      <w:tr w:rsidR="0038549F" w:rsidRPr="00A60B24" w:rsidTr="00BF7D07">
        <w:trPr>
          <w:jc w:val="center"/>
        </w:trPr>
        <w:tc>
          <w:tcPr>
            <w:tcW w:w="728" w:type="pct"/>
            <w:vAlign w:val="center"/>
          </w:tcPr>
          <w:p w:rsidR="0038549F" w:rsidRPr="00A60B24" w:rsidRDefault="0038549F" w:rsidP="00737872">
            <w:pPr>
              <w:bidi w:val="0"/>
              <w:snapToGrid w:val="0"/>
              <w:jc w:val="both"/>
              <w:rPr>
                <w:lang w:bidi="ar-EG"/>
              </w:rPr>
            </w:pPr>
            <w:r w:rsidRPr="00A60B24">
              <w:rPr>
                <w:lang w:bidi="ar-EG"/>
              </w:rPr>
              <w:t>2</w:t>
            </w:r>
          </w:p>
        </w:tc>
        <w:tc>
          <w:tcPr>
            <w:tcW w:w="686" w:type="pct"/>
            <w:vAlign w:val="center"/>
          </w:tcPr>
          <w:p w:rsidR="0038549F" w:rsidRPr="00A60B24" w:rsidRDefault="0038549F" w:rsidP="00737872">
            <w:pPr>
              <w:bidi w:val="0"/>
              <w:snapToGrid w:val="0"/>
              <w:jc w:val="both"/>
              <w:rPr>
                <w:lang w:bidi="ar-EG"/>
              </w:rPr>
            </w:pPr>
            <w:r w:rsidRPr="00A60B24">
              <w:rPr>
                <w:lang w:bidi="ar-EG"/>
              </w:rPr>
              <w:t>23</w:t>
            </w:r>
          </w:p>
        </w:tc>
        <w:tc>
          <w:tcPr>
            <w:tcW w:w="670" w:type="pct"/>
            <w:vAlign w:val="center"/>
          </w:tcPr>
          <w:p w:rsidR="0038549F" w:rsidRPr="00A60B24" w:rsidRDefault="0038549F" w:rsidP="00737872">
            <w:pPr>
              <w:bidi w:val="0"/>
              <w:snapToGrid w:val="0"/>
              <w:jc w:val="both"/>
              <w:rPr>
                <w:lang w:bidi="ar-EG"/>
              </w:rPr>
            </w:pPr>
            <w:r w:rsidRPr="00A60B24">
              <w:rPr>
                <w:lang w:bidi="ar-EG"/>
              </w:rPr>
              <w:t>6</w:t>
            </w:r>
          </w:p>
        </w:tc>
        <w:tc>
          <w:tcPr>
            <w:tcW w:w="2917" w:type="pct"/>
            <w:vAlign w:val="center"/>
          </w:tcPr>
          <w:p w:rsidR="0038549F" w:rsidRPr="00A60B24" w:rsidRDefault="0038549F" w:rsidP="00737872">
            <w:pPr>
              <w:autoSpaceDE w:val="0"/>
              <w:autoSpaceDN w:val="0"/>
              <w:bidi w:val="0"/>
              <w:adjustRightInd w:val="0"/>
              <w:snapToGrid w:val="0"/>
              <w:jc w:val="both"/>
              <w:rPr>
                <w:b/>
                <w:bCs/>
              </w:rPr>
            </w:pPr>
            <w:r w:rsidRPr="00A60B24">
              <w:rPr>
                <w:b/>
                <w:bCs/>
              </w:rPr>
              <w:t xml:space="preserve">2-Swallowing </w:t>
            </w:r>
            <w:r w:rsidRPr="00A60B24">
              <w:rPr>
                <w:rFonts w:eastAsiaTheme="minorHAnsi"/>
                <w:b/>
                <w:bCs/>
              </w:rPr>
              <w:t>(HNSW)</w:t>
            </w:r>
          </w:p>
          <w:p w:rsidR="0038549F" w:rsidRPr="00A60B24" w:rsidRDefault="0038549F" w:rsidP="00737872">
            <w:pPr>
              <w:autoSpaceDE w:val="0"/>
              <w:autoSpaceDN w:val="0"/>
              <w:bidi w:val="0"/>
              <w:adjustRightInd w:val="0"/>
              <w:snapToGrid w:val="0"/>
              <w:jc w:val="both"/>
            </w:pPr>
            <w:r w:rsidRPr="00A60B24">
              <w:t>5 Problems swallowing liquid</w:t>
            </w:r>
          </w:p>
          <w:p w:rsidR="0038549F" w:rsidRPr="00A60B24" w:rsidRDefault="0038549F" w:rsidP="00737872">
            <w:pPr>
              <w:autoSpaceDE w:val="0"/>
              <w:autoSpaceDN w:val="0"/>
              <w:bidi w:val="0"/>
              <w:adjustRightInd w:val="0"/>
              <w:snapToGrid w:val="0"/>
              <w:jc w:val="both"/>
            </w:pPr>
            <w:r w:rsidRPr="00A60B24">
              <w:t>6 Problems swallowing pureed food</w:t>
            </w:r>
          </w:p>
          <w:p w:rsidR="0038549F" w:rsidRPr="00A60B24" w:rsidRDefault="0038549F" w:rsidP="00737872">
            <w:pPr>
              <w:autoSpaceDE w:val="0"/>
              <w:autoSpaceDN w:val="0"/>
              <w:bidi w:val="0"/>
              <w:adjustRightInd w:val="0"/>
              <w:snapToGrid w:val="0"/>
              <w:jc w:val="both"/>
            </w:pPr>
            <w:r w:rsidRPr="00A60B24">
              <w:t>7 Problems swallowing solid food</w:t>
            </w:r>
          </w:p>
          <w:p w:rsidR="0038549F" w:rsidRPr="00A60B24" w:rsidRDefault="0038549F" w:rsidP="00737872">
            <w:pPr>
              <w:bidi w:val="0"/>
              <w:snapToGrid w:val="0"/>
              <w:jc w:val="both"/>
              <w:rPr>
                <w:lang w:bidi="ar-EG"/>
              </w:rPr>
            </w:pPr>
            <w:r w:rsidRPr="00A60B24">
              <w:t>8 Choked when swallowing</w:t>
            </w:r>
          </w:p>
        </w:tc>
      </w:tr>
      <w:tr w:rsidR="0038549F" w:rsidRPr="00A60B24" w:rsidTr="00BF7D07">
        <w:trPr>
          <w:jc w:val="center"/>
        </w:trPr>
        <w:tc>
          <w:tcPr>
            <w:tcW w:w="728" w:type="pct"/>
            <w:vAlign w:val="center"/>
          </w:tcPr>
          <w:p w:rsidR="0038549F" w:rsidRPr="00A60B24" w:rsidRDefault="0038549F" w:rsidP="00737872">
            <w:pPr>
              <w:bidi w:val="0"/>
              <w:snapToGrid w:val="0"/>
              <w:jc w:val="both"/>
              <w:rPr>
                <w:lang w:bidi="ar-EG"/>
              </w:rPr>
            </w:pPr>
            <w:r w:rsidRPr="00A60B24">
              <w:rPr>
                <w:lang w:bidi="ar-EG"/>
              </w:rPr>
              <w:t>5</w:t>
            </w:r>
          </w:p>
        </w:tc>
        <w:tc>
          <w:tcPr>
            <w:tcW w:w="686" w:type="pct"/>
            <w:vAlign w:val="center"/>
          </w:tcPr>
          <w:p w:rsidR="0038549F" w:rsidRPr="00A60B24" w:rsidRDefault="0038549F" w:rsidP="00737872">
            <w:pPr>
              <w:bidi w:val="0"/>
              <w:snapToGrid w:val="0"/>
              <w:jc w:val="both"/>
              <w:rPr>
                <w:lang w:bidi="ar-EG"/>
              </w:rPr>
            </w:pPr>
            <w:r w:rsidRPr="00A60B24">
              <w:rPr>
                <w:lang w:bidi="ar-EG"/>
              </w:rPr>
              <w:t>18</w:t>
            </w:r>
          </w:p>
        </w:tc>
        <w:tc>
          <w:tcPr>
            <w:tcW w:w="670" w:type="pct"/>
            <w:vAlign w:val="center"/>
          </w:tcPr>
          <w:p w:rsidR="0038549F" w:rsidRPr="00A60B24" w:rsidRDefault="0038549F" w:rsidP="00737872">
            <w:pPr>
              <w:bidi w:val="0"/>
              <w:snapToGrid w:val="0"/>
              <w:jc w:val="both"/>
              <w:rPr>
                <w:lang w:bidi="ar-EG"/>
              </w:rPr>
            </w:pPr>
            <w:r w:rsidRPr="00A60B24">
              <w:rPr>
                <w:lang w:bidi="ar-EG"/>
              </w:rPr>
              <w:t>16</w:t>
            </w:r>
          </w:p>
        </w:tc>
        <w:tc>
          <w:tcPr>
            <w:tcW w:w="2917" w:type="pct"/>
            <w:vAlign w:val="center"/>
          </w:tcPr>
          <w:p w:rsidR="0038549F" w:rsidRPr="00A60B24" w:rsidRDefault="0038549F" w:rsidP="00737872">
            <w:pPr>
              <w:autoSpaceDE w:val="0"/>
              <w:autoSpaceDN w:val="0"/>
              <w:bidi w:val="0"/>
              <w:adjustRightInd w:val="0"/>
              <w:snapToGrid w:val="0"/>
              <w:jc w:val="both"/>
              <w:rPr>
                <w:b/>
                <w:bCs/>
              </w:rPr>
            </w:pPr>
            <w:r w:rsidRPr="00A60B24">
              <w:rPr>
                <w:b/>
                <w:bCs/>
              </w:rPr>
              <w:t xml:space="preserve">3-Senses </w:t>
            </w:r>
            <w:r w:rsidRPr="00A60B24">
              <w:rPr>
                <w:rFonts w:eastAsiaTheme="minorHAnsi"/>
                <w:b/>
                <w:bCs/>
              </w:rPr>
              <w:t>(HNSE)</w:t>
            </w:r>
          </w:p>
          <w:p w:rsidR="0038549F" w:rsidRPr="00A60B24" w:rsidRDefault="0038549F" w:rsidP="00737872">
            <w:pPr>
              <w:autoSpaceDE w:val="0"/>
              <w:autoSpaceDN w:val="0"/>
              <w:bidi w:val="0"/>
              <w:adjustRightInd w:val="0"/>
              <w:snapToGrid w:val="0"/>
              <w:jc w:val="both"/>
            </w:pPr>
            <w:r w:rsidRPr="00A60B24">
              <w:t>13 Problems with your sense of smell</w:t>
            </w:r>
          </w:p>
          <w:p w:rsidR="0038549F" w:rsidRPr="00A60B24" w:rsidRDefault="0038549F" w:rsidP="00737872">
            <w:pPr>
              <w:autoSpaceDE w:val="0"/>
              <w:autoSpaceDN w:val="0"/>
              <w:bidi w:val="0"/>
              <w:adjustRightInd w:val="0"/>
              <w:snapToGrid w:val="0"/>
              <w:jc w:val="both"/>
            </w:pPr>
            <w:r w:rsidRPr="00A60B24">
              <w:t>14 Problems with your sense of taste</w:t>
            </w:r>
          </w:p>
        </w:tc>
      </w:tr>
      <w:tr w:rsidR="0038549F" w:rsidRPr="00A60B24" w:rsidTr="00BF7D07">
        <w:trPr>
          <w:jc w:val="center"/>
        </w:trPr>
        <w:tc>
          <w:tcPr>
            <w:tcW w:w="728" w:type="pct"/>
            <w:vAlign w:val="center"/>
          </w:tcPr>
          <w:p w:rsidR="0038549F" w:rsidRPr="00A60B24" w:rsidRDefault="0038549F" w:rsidP="00737872">
            <w:pPr>
              <w:bidi w:val="0"/>
              <w:snapToGrid w:val="0"/>
              <w:jc w:val="both"/>
              <w:rPr>
                <w:lang w:bidi="ar-EG"/>
              </w:rPr>
            </w:pPr>
            <w:r w:rsidRPr="00A60B24">
              <w:rPr>
                <w:lang w:bidi="ar-EG"/>
              </w:rPr>
              <w:t>2</w:t>
            </w:r>
          </w:p>
        </w:tc>
        <w:tc>
          <w:tcPr>
            <w:tcW w:w="686" w:type="pct"/>
            <w:vAlign w:val="center"/>
          </w:tcPr>
          <w:p w:rsidR="0038549F" w:rsidRPr="00A60B24" w:rsidRDefault="0038549F" w:rsidP="00737872">
            <w:pPr>
              <w:bidi w:val="0"/>
              <w:snapToGrid w:val="0"/>
              <w:jc w:val="both"/>
              <w:rPr>
                <w:lang w:bidi="ar-EG"/>
              </w:rPr>
            </w:pPr>
            <w:r w:rsidRPr="00A60B24">
              <w:rPr>
                <w:lang w:bidi="ar-EG"/>
              </w:rPr>
              <w:t>8</w:t>
            </w:r>
          </w:p>
        </w:tc>
        <w:tc>
          <w:tcPr>
            <w:tcW w:w="670" w:type="pct"/>
            <w:vAlign w:val="center"/>
          </w:tcPr>
          <w:p w:rsidR="0038549F" w:rsidRPr="00A60B24" w:rsidRDefault="0038549F" w:rsidP="00737872">
            <w:pPr>
              <w:bidi w:val="0"/>
              <w:snapToGrid w:val="0"/>
              <w:jc w:val="both"/>
              <w:rPr>
                <w:lang w:bidi="ar-EG"/>
              </w:rPr>
            </w:pPr>
            <w:r w:rsidRPr="00A60B24">
              <w:rPr>
                <w:lang w:bidi="ar-EG"/>
              </w:rPr>
              <w:t>3</w:t>
            </w:r>
          </w:p>
        </w:tc>
        <w:tc>
          <w:tcPr>
            <w:tcW w:w="2917" w:type="pct"/>
            <w:vAlign w:val="center"/>
          </w:tcPr>
          <w:p w:rsidR="0038549F" w:rsidRPr="00A60B24" w:rsidRDefault="0038549F" w:rsidP="00737872">
            <w:pPr>
              <w:autoSpaceDE w:val="0"/>
              <w:autoSpaceDN w:val="0"/>
              <w:bidi w:val="0"/>
              <w:adjustRightInd w:val="0"/>
              <w:snapToGrid w:val="0"/>
              <w:jc w:val="both"/>
              <w:rPr>
                <w:b/>
                <w:bCs/>
              </w:rPr>
            </w:pPr>
            <w:r w:rsidRPr="00A60B24">
              <w:rPr>
                <w:b/>
                <w:bCs/>
              </w:rPr>
              <w:t xml:space="preserve">4-Speech </w:t>
            </w:r>
            <w:r w:rsidRPr="00A60B24">
              <w:rPr>
                <w:rFonts w:eastAsiaTheme="minorHAnsi"/>
                <w:b/>
                <w:bCs/>
              </w:rPr>
              <w:t>(HNSP)</w:t>
            </w:r>
          </w:p>
          <w:p w:rsidR="0038549F" w:rsidRPr="00A60B24" w:rsidRDefault="0038549F" w:rsidP="00737872">
            <w:pPr>
              <w:autoSpaceDE w:val="0"/>
              <w:autoSpaceDN w:val="0"/>
              <w:bidi w:val="0"/>
              <w:adjustRightInd w:val="0"/>
              <w:snapToGrid w:val="0"/>
              <w:jc w:val="both"/>
            </w:pPr>
            <w:r w:rsidRPr="00A60B24">
              <w:t>16 Been hoarse</w:t>
            </w:r>
          </w:p>
          <w:p w:rsidR="0038549F" w:rsidRPr="00A60B24" w:rsidRDefault="0038549F" w:rsidP="00737872">
            <w:pPr>
              <w:autoSpaceDE w:val="0"/>
              <w:autoSpaceDN w:val="0"/>
              <w:bidi w:val="0"/>
              <w:adjustRightInd w:val="0"/>
              <w:snapToGrid w:val="0"/>
              <w:jc w:val="both"/>
            </w:pPr>
            <w:r w:rsidRPr="00A60B24">
              <w:t>23 Trouble talking to other people</w:t>
            </w:r>
          </w:p>
          <w:p w:rsidR="0038549F" w:rsidRPr="00A60B24" w:rsidRDefault="0038549F" w:rsidP="00737872">
            <w:pPr>
              <w:bidi w:val="0"/>
              <w:snapToGrid w:val="0"/>
              <w:jc w:val="both"/>
              <w:rPr>
                <w:lang w:bidi="ar-EG"/>
              </w:rPr>
            </w:pPr>
            <w:r w:rsidRPr="00A60B24">
              <w:t>24 Trouble talking on the telephone</w:t>
            </w:r>
          </w:p>
        </w:tc>
      </w:tr>
      <w:tr w:rsidR="0038549F" w:rsidRPr="00A60B24" w:rsidTr="00BF7D07">
        <w:trPr>
          <w:jc w:val="center"/>
        </w:trPr>
        <w:tc>
          <w:tcPr>
            <w:tcW w:w="728" w:type="pct"/>
            <w:vAlign w:val="center"/>
          </w:tcPr>
          <w:p w:rsidR="0038549F" w:rsidRPr="00A60B24" w:rsidRDefault="0038549F" w:rsidP="00737872">
            <w:pPr>
              <w:bidi w:val="0"/>
              <w:snapToGrid w:val="0"/>
              <w:jc w:val="both"/>
              <w:rPr>
                <w:lang w:bidi="ar-EG"/>
              </w:rPr>
            </w:pPr>
            <w:r w:rsidRPr="00A60B24">
              <w:rPr>
                <w:lang w:bidi="ar-EG"/>
              </w:rPr>
              <w:t>1</w:t>
            </w:r>
          </w:p>
        </w:tc>
        <w:tc>
          <w:tcPr>
            <w:tcW w:w="686" w:type="pct"/>
            <w:vAlign w:val="center"/>
          </w:tcPr>
          <w:p w:rsidR="0038549F" w:rsidRPr="00A60B24" w:rsidRDefault="0038549F" w:rsidP="00737872">
            <w:pPr>
              <w:bidi w:val="0"/>
              <w:snapToGrid w:val="0"/>
              <w:jc w:val="both"/>
              <w:rPr>
                <w:lang w:bidi="ar-EG"/>
              </w:rPr>
            </w:pPr>
            <w:r w:rsidRPr="00A60B24">
              <w:rPr>
                <w:lang w:bidi="ar-EG"/>
              </w:rPr>
              <w:t>4</w:t>
            </w:r>
          </w:p>
        </w:tc>
        <w:tc>
          <w:tcPr>
            <w:tcW w:w="670" w:type="pct"/>
            <w:vAlign w:val="center"/>
          </w:tcPr>
          <w:p w:rsidR="0038549F" w:rsidRPr="00A60B24" w:rsidRDefault="0038549F" w:rsidP="00737872">
            <w:pPr>
              <w:bidi w:val="0"/>
              <w:snapToGrid w:val="0"/>
              <w:jc w:val="both"/>
              <w:rPr>
                <w:lang w:bidi="ar-EG"/>
              </w:rPr>
            </w:pPr>
            <w:r w:rsidRPr="00A60B24">
              <w:rPr>
                <w:lang w:bidi="ar-EG"/>
              </w:rPr>
              <w:t>2</w:t>
            </w:r>
          </w:p>
        </w:tc>
        <w:tc>
          <w:tcPr>
            <w:tcW w:w="2917" w:type="pct"/>
            <w:vAlign w:val="center"/>
          </w:tcPr>
          <w:p w:rsidR="0038549F" w:rsidRPr="00A60B24" w:rsidRDefault="0038549F" w:rsidP="00737872">
            <w:pPr>
              <w:autoSpaceDE w:val="0"/>
              <w:autoSpaceDN w:val="0"/>
              <w:bidi w:val="0"/>
              <w:adjustRightInd w:val="0"/>
              <w:snapToGrid w:val="0"/>
              <w:jc w:val="both"/>
              <w:rPr>
                <w:b/>
                <w:bCs/>
              </w:rPr>
            </w:pPr>
            <w:r w:rsidRPr="00A60B24">
              <w:rPr>
                <w:b/>
                <w:bCs/>
              </w:rPr>
              <w:t xml:space="preserve">5-Social eating </w:t>
            </w:r>
            <w:r w:rsidRPr="00A60B24">
              <w:rPr>
                <w:rFonts w:eastAsiaTheme="minorHAnsi"/>
                <w:b/>
                <w:bCs/>
              </w:rPr>
              <w:t>(HNSO)</w:t>
            </w:r>
          </w:p>
          <w:p w:rsidR="0038549F" w:rsidRPr="00A60B24" w:rsidRDefault="0038549F" w:rsidP="00737872">
            <w:pPr>
              <w:autoSpaceDE w:val="0"/>
              <w:autoSpaceDN w:val="0"/>
              <w:bidi w:val="0"/>
              <w:adjustRightInd w:val="0"/>
              <w:snapToGrid w:val="0"/>
              <w:jc w:val="both"/>
            </w:pPr>
            <w:r w:rsidRPr="00A60B24">
              <w:t>19 Trouble eating</w:t>
            </w:r>
          </w:p>
          <w:p w:rsidR="0038549F" w:rsidRPr="00A60B24" w:rsidRDefault="0038549F" w:rsidP="00737872">
            <w:pPr>
              <w:autoSpaceDE w:val="0"/>
              <w:autoSpaceDN w:val="0"/>
              <w:bidi w:val="0"/>
              <w:adjustRightInd w:val="0"/>
              <w:snapToGrid w:val="0"/>
              <w:jc w:val="both"/>
            </w:pPr>
            <w:r w:rsidRPr="00A60B24">
              <w:t>20 Trouble eating in front of family</w:t>
            </w:r>
          </w:p>
          <w:p w:rsidR="0038549F" w:rsidRPr="00A60B24" w:rsidRDefault="0038549F" w:rsidP="00737872">
            <w:pPr>
              <w:autoSpaceDE w:val="0"/>
              <w:autoSpaceDN w:val="0"/>
              <w:bidi w:val="0"/>
              <w:adjustRightInd w:val="0"/>
              <w:snapToGrid w:val="0"/>
              <w:jc w:val="both"/>
            </w:pPr>
            <w:r w:rsidRPr="00A60B24">
              <w:t>21 Trouble eating in front of others</w:t>
            </w:r>
          </w:p>
          <w:p w:rsidR="0038549F" w:rsidRPr="00A60B24" w:rsidRDefault="0038549F" w:rsidP="00737872">
            <w:pPr>
              <w:autoSpaceDE w:val="0"/>
              <w:autoSpaceDN w:val="0"/>
              <w:bidi w:val="0"/>
              <w:adjustRightInd w:val="0"/>
              <w:snapToGrid w:val="0"/>
              <w:jc w:val="both"/>
            </w:pPr>
            <w:r w:rsidRPr="00A60B24">
              <w:t>22 Trouble enjoying meals</w:t>
            </w:r>
          </w:p>
        </w:tc>
      </w:tr>
      <w:tr w:rsidR="0038549F" w:rsidRPr="00A60B24" w:rsidTr="00BF7D07">
        <w:trPr>
          <w:jc w:val="center"/>
        </w:trPr>
        <w:tc>
          <w:tcPr>
            <w:tcW w:w="728" w:type="pct"/>
            <w:vAlign w:val="center"/>
          </w:tcPr>
          <w:p w:rsidR="0038549F" w:rsidRPr="00A60B24" w:rsidRDefault="0038549F" w:rsidP="00737872">
            <w:pPr>
              <w:bidi w:val="0"/>
              <w:snapToGrid w:val="0"/>
              <w:jc w:val="both"/>
              <w:rPr>
                <w:lang w:bidi="ar-EG"/>
              </w:rPr>
            </w:pPr>
            <w:r w:rsidRPr="00A60B24">
              <w:rPr>
                <w:lang w:bidi="ar-EG"/>
              </w:rPr>
              <w:t>0</w:t>
            </w:r>
          </w:p>
        </w:tc>
        <w:tc>
          <w:tcPr>
            <w:tcW w:w="686" w:type="pct"/>
            <w:vAlign w:val="center"/>
          </w:tcPr>
          <w:p w:rsidR="0038549F" w:rsidRPr="00A60B24" w:rsidRDefault="0038549F" w:rsidP="00737872">
            <w:pPr>
              <w:bidi w:val="0"/>
              <w:snapToGrid w:val="0"/>
              <w:jc w:val="both"/>
              <w:rPr>
                <w:lang w:bidi="ar-EG"/>
              </w:rPr>
            </w:pPr>
            <w:r w:rsidRPr="00A60B24">
              <w:rPr>
                <w:lang w:bidi="ar-EG"/>
              </w:rPr>
              <w:t>3</w:t>
            </w:r>
          </w:p>
        </w:tc>
        <w:tc>
          <w:tcPr>
            <w:tcW w:w="670" w:type="pct"/>
            <w:vAlign w:val="center"/>
          </w:tcPr>
          <w:p w:rsidR="0038549F" w:rsidRPr="00A60B24" w:rsidRDefault="0038549F" w:rsidP="00737872">
            <w:pPr>
              <w:bidi w:val="0"/>
              <w:snapToGrid w:val="0"/>
              <w:jc w:val="both"/>
              <w:rPr>
                <w:lang w:bidi="ar-EG"/>
              </w:rPr>
            </w:pPr>
            <w:r w:rsidRPr="00A60B24">
              <w:rPr>
                <w:lang w:bidi="ar-EG"/>
              </w:rPr>
              <w:t>2</w:t>
            </w:r>
          </w:p>
        </w:tc>
        <w:tc>
          <w:tcPr>
            <w:tcW w:w="2917" w:type="pct"/>
            <w:vAlign w:val="center"/>
          </w:tcPr>
          <w:p w:rsidR="0038549F" w:rsidRPr="00A60B24" w:rsidRDefault="0038549F" w:rsidP="00737872">
            <w:pPr>
              <w:autoSpaceDE w:val="0"/>
              <w:autoSpaceDN w:val="0"/>
              <w:bidi w:val="0"/>
              <w:adjustRightInd w:val="0"/>
              <w:snapToGrid w:val="0"/>
              <w:jc w:val="both"/>
              <w:rPr>
                <w:b/>
                <w:bCs/>
              </w:rPr>
            </w:pPr>
            <w:r w:rsidRPr="00A60B24">
              <w:rPr>
                <w:b/>
                <w:bCs/>
              </w:rPr>
              <w:t xml:space="preserve">6-Social contact </w:t>
            </w:r>
            <w:r w:rsidRPr="00A60B24">
              <w:rPr>
                <w:rFonts w:eastAsiaTheme="minorHAnsi"/>
                <w:b/>
                <w:bCs/>
              </w:rPr>
              <w:t>(HNSC)</w:t>
            </w:r>
          </w:p>
          <w:p w:rsidR="0038549F" w:rsidRPr="00A60B24" w:rsidRDefault="0038549F" w:rsidP="00737872">
            <w:pPr>
              <w:autoSpaceDE w:val="0"/>
              <w:autoSpaceDN w:val="0"/>
              <w:bidi w:val="0"/>
              <w:adjustRightInd w:val="0"/>
              <w:snapToGrid w:val="0"/>
              <w:jc w:val="both"/>
            </w:pPr>
            <w:r w:rsidRPr="00A60B24">
              <w:t>18 Bothered by appearance</w:t>
            </w:r>
          </w:p>
          <w:p w:rsidR="0038549F" w:rsidRPr="00A60B24" w:rsidRDefault="0038549F" w:rsidP="00737872">
            <w:pPr>
              <w:autoSpaceDE w:val="0"/>
              <w:autoSpaceDN w:val="0"/>
              <w:bidi w:val="0"/>
              <w:adjustRightInd w:val="0"/>
              <w:snapToGrid w:val="0"/>
              <w:jc w:val="both"/>
            </w:pPr>
            <w:r w:rsidRPr="00A60B24">
              <w:t>25 Trouble having social contact with family</w:t>
            </w:r>
          </w:p>
          <w:p w:rsidR="0038549F" w:rsidRPr="00A60B24" w:rsidRDefault="0038549F" w:rsidP="00737872">
            <w:pPr>
              <w:autoSpaceDE w:val="0"/>
              <w:autoSpaceDN w:val="0"/>
              <w:bidi w:val="0"/>
              <w:adjustRightInd w:val="0"/>
              <w:snapToGrid w:val="0"/>
              <w:jc w:val="both"/>
            </w:pPr>
            <w:r w:rsidRPr="00A60B24">
              <w:t>26 Trouble having social contact with friends</w:t>
            </w:r>
          </w:p>
          <w:p w:rsidR="0038549F" w:rsidRPr="00A60B24" w:rsidRDefault="0038549F" w:rsidP="00737872">
            <w:pPr>
              <w:autoSpaceDE w:val="0"/>
              <w:autoSpaceDN w:val="0"/>
              <w:bidi w:val="0"/>
              <w:adjustRightInd w:val="0"/>
              <w:snapToGrid w:val="0"/>
              <w:jc w:val="both"/>
            </w:pPr>
            <w:r w:rsidRPr="00A60B24">
              <w:t>27 Trouble going out in public</w:t>
            </w:r>
          </w:p>
          <w:p w:rsidR="0038549F" w:rsidRPr="00A60B24" w:rsidRDefault="0038549F" w:rsidP="00737872">
            <w:pPr>
              <w:autoSpaceDE w:val="0"/>
              <w:autoSpaceDN w:val="0"/>
              <w:bidi w:val="0"/>
              <w:adjustRightInd w:val="0"/>
              <w:snapToGrid w:val="0"/>
              <w:jc w:val="both"/>
            </w:pPr>
            <w:r w:rsidRPr="00A60B24">
              <w:t>28 Trouble having physical contact with family or friends</w:t>
            </w:r>
          </w:p>
        </w:tc>
      </w:tr>
      <w:tr w:rsidR="0038549F" w:rsidRPr="00A60B24" w:rsidTr="00BF7D07">
        <w:trPr>
          <w:jc w:val="center"/>
        </w:trPr>
        <w:tc>
          <w:tcPr>
            <w:tcW w:w="728" w:type="pct"/>
            <w:vAlign w:val="center"/>
          </w:tcPr>
          <w:p w:rsidR="0038549F" w:rsidRPr="00A60B24" w:rsidRDefault="0038549F" w:rsidP="00737872">
            <w:pPr>
              <w:bidi w:val="0"/>
              <w:snapToGrid w:val="0"/>
              <w:jc w:val="both"/>
              <w:rPr>
                <w:lang w:bidi="ar-EG"/>
              </w:rPr>
            </w:pPr>
            <w:r w:rsidRPr="00A60B24">
              <w:rPr>
                <w:lang w:bidi="ar-EG"/>
              </w:rPr>
              <w:t>4</w:t>
            </w:r>
          </w:p>
        </w:tc>
        <w:tc>
          <w:tcPr>
            <w:tcW w:w="686" w:type="pct"/>
            <w:vAlign w:val="center"/>
          </w:tcPr>
          <w:p w:rsidR="0038549F" w:rsidRPr="00A60B24" w:rsidRDefault="0038549F" w:rsidP="00737872">
            <w:pPr>
              <w:bidi w:val="0"/>
              <w:snapToGrid w:val="0"/>
              <w:jc w:val="both"/>
              <w:rPr>
                <w:lang w:bidi="ar-EG"/>
              </w:rPr>
            </w:pPr>
            <w:r w:rsidRPr="00A60B24">
              <w:rPr>
                <w:lang w:bidi="ar-EG"/>
              </w:rPr>
              <w:t>12</w:t>
            </w:r>
          </w:p>
        </w:tc>
        <w:tc>
          <w:tcPr>
            <w:tcW w:w="670" w:type="pct"/>
            <w:vAlign w:val="center"/>
          </w:tcPr>
          <w:p w:rsidR="0038549F" w:rsidRPr="00A60B24" w:rsidRDefault="0038549F" w:rsidP="00737872">
            <w:pPr>
              <w:bidi w:val="0"/>
              <w:snapToGrid w:val="0"/>
              <w:jc w:val="both"/>
              <w:rPr>
                <w:lang w:bidi="ar-EG"/>
              </w:rPr>
            </w:pPr>
            <w:r w:rsidRPr="00A60B24">
              <w:rPr>
                <w:lang w:bidi="ar-EG"/>
              </w:rPr>
              <w:t>6</w:t>
            </w:r>
          </w:p>
        </w:tc>
        <w:tc>
          <w:tcPr>
            <w:tcW w:w="2917" w:type="pct"/>
            <w:vAlign w:val="center"/>
          </w:tcPr>
          <w:p w:rsidR="0038549F" w:rsidRPr="00A60B24" w:rsidRDefault="0038549F" w:rsidP="00737872">
            <w:pPr>
              <w:autoSpaceDE w:val="0"/>
              <w:autoSpaceDN w:val="0"/>
              <w:bidi w:val="0"/>
              <w:adjustRightInd w:val="0"/>
              <w:snapToGrid w:val="0"/>
              <w:jc w:val="both"/>
              <w:rPr>
                <w:b/>
                <w:bCs/>
              </w:rPr>
            </w:pPr>
            <w:r w:rsidRPr="00A60B24">
              <w:rPr>
                <w:b/>
                <w:bCs/>
              </w:rPr>
              <w:t xml:space="preserve">7-Sexuality </w:t>
            </w:r>
            <w:r w:rsidRPr="00A60B24">
              <w:rPr>
                <w:rFonts w:eastAsiaTheme="minorHAnsi"/>
                <w:b/>
                <w:bCs/>
              </w:rPr>
              <w:t>(HNSX)</w:t>
            </w:r>
          </w:p>
          <w:p w:rsidR="0038549F" w:rsidRPr="00A60B24" w:rsidRDefault="0038549F" w:rsidP="00737872">
            <w:pPr>
              <w:autoSpaceDE w:val="0"/>
              <w:autoSpaceDN w:val="0"/>
              <w:bidi w:val="0"/>
              <w:adjustRightInd w:val="0"/>
              <w:snapToGrid w:val="0"/>
              <w:jc w:val="both"/>
            </w:pPr>
            <w:r w:rsidRPr="00A60B24">
              <w:t>29 Less interest in sex</w:t>
            </w:r>
          </w:p>
          <w:p w:rsidR="0038549F" w:rsidRPr="00A60B24" w:rsidRDefault="0038549F" w:rsidP="00737872">
            <w:pPr>
              <w:bidi w:val="0"/>
              <w:snapToGrid w:val="0"/>
              <w:jc w:val="both"/>
              <w:rPr>
                <w:lang w:bidi="ar-EG"/>
              </w:rPr>
            </w:pPr>
            <w:r w:rsidRPr="00A60B24">
              <w:t>30 Less sexual enjoyment</w:t>
            </w:r>
          </w:p>
        </w:tc>
      </w:tr>
      <w:tr w:rsidR="0038549F" w:rsidRPr="00A60B24" w:rsidTr="00BF7D07">
        <w:trPr>
          <w:jc w:val="center"/>
        </w:trPr>
        <w:tc>
          <w:tcPr>
            <w:tcW w:w="728" w:type="pct"/>
            <w:vAlign w:val="center"/>
          </w:tcPr>
          <w:p w:rsidR="0038549F" w:rsidRPr="00A60B24" w:rsidRDefault="0038549F" w:rsidP="00737872">
            <w:pPr>
              <w:bidi w:val="0"/>
              <w:snapToGrid w:val="0"/>
              <w:jc w:val="both"/>
              <w:rPr>
                <w:lang w:bidi="ar-EG"/>
              </w:rPr>
            </w:pPr>
          </w:p>
        </w:tc>
        <w:tc>
          <w:tcPr>
            <w:tcW w:w="686" w:type="pct"/>
            <w:vAlign w:val="center"/>
          </w:tcPr>
          <w:p w:rsidR="0038549F" w:rsidRPr="00A60B24" w:rsidRDefault="0038549F" w:rsidP="00737872">
            <w:pPr>
              <w:bidi w:val="0"/>
              <w:snapToGrid w:val="0"/>
              <w:jc w:val="both"/>
              <w:rPr>
                <w:lang w:bidi="ar-EG"/>
              </w:rPr>
            </w:pPr>
          </w:p>
        </w:tc>
        <w:tc>
          <w:tcPr>
            <w:tcW w:w="670" w:type="pct"/>
            <w:vAlign w:val="center"/>
          </w:tcPr>
          <w:p w:rsidR="0038549F" w:rsidRPr="00A60B24" w:rsidRDefault="0038549F" w:rsidP="00737872">
            <w:pPr>
              <w:bidi w:val="0"/>
              <w:snapToGrid w:val="0"/>
              <w:jc w:val="both"/>
              <w:rPr>
                <w:lang w:bidi="ar-EG"/>
              </w:rPr>
            </w:pPr>
          </w:p>
        </w:tc>
        <w:tc>
          <w:tcPr>
            <w:tcW w:w="2917" w:type="pct"/>
            <w:vAlign w:val="center"/>
          </w:tcPr>
          <w:p w:rsidR="0038549F" w:rsidRPr="00A60B24" w:rsidRDefault="0038549F" w:rsidP="00737872">
            <w:pPr>
              <w:autoSpaceDE w:val="0"/>
              <w:autoSpaceDN w:val="0"/>
              <w:bidi w:val="0"/>
              <w:adjustRightInd w:val="0"/>
              <w:snapToGrid w:val="0"/>
              <w:jc w:val="both"/>
              <w:rPr>
                <w:b/>
                <w:bCs/>
              </w:rPr>
            </w:pPr>
            <w:r w:rsidRPr="00A60B24">
              <w:rPr>
                <w:b/>
                <w:bCs/>
              </w:rPr>
              <w:t>Single items</w:t>
            </w:r>
          </w:p>
        </w:tc>
      </w:tr>
      <w:tr w:rsidR="0038549F" w:rsidRPr="00A60B24" w:rsidTr="00BF7D07">
        <w:trPr>
          <w:jc w:val="center"/>
        </w:trPr>
        <w:tc>
          <w:tcPr>
            <w:tcW w:w="728" w:type="pct"/>
            <w:vAlign w:val="center"/>
          </w:tcPr>
          <w:p w:rsidR="0038549F" w:rsidRPr="00A60B24" w:rsidRDefault="0038549F" w:rsidP="00737872">
            <w:pPr>
              <w:bidi w:val="0"/>
              <w:snapToGrid w:val="0"/>
              <w:jc w:val="both"/>
              <w:rPr>
                <w:lang w:bidi="ar-EG"/>
              </w:rPr>
            </w:pPr>
            <w:r w:rsidRPr="00A60B24">
              <w:rPr>
                <w:lang w:bidi="ar-EG"/>
              </w:rPr>
              <w:t>1</w:t>
            </w:r>
          </w:p>
        </w:tc>
        <w:tc>
          <w:tcPr>
            <w:tcW w:w="686" w:type="pct"/>
            <w:vAlign w:val="center"/>
          </w:tcPr>
          <w:p w:rsidR="0038549F" w:rsidRPr="00A60B24" w:rsidRDefault="0038549F" w:rsidP="00737872">
            <w:pPr>
              <w:bidi w:val="0"/>
              <w:snapToGrid w:val="0"/>
              <w:jc w:val="both"/>
              <w:rPr>
                <w:lang w:bidi="ar-EG"/>
              </w:rPr>
            </w:pPr>
            <w:r w:rsidRPr="00A60B24">
              <w:rPr>
                <w:lang w:bidi="ar-EG"/>
              </w:rPr>
              <w:t>2</w:t>
            </w:r>
          </w:p>
        </w:tc>
        <w:tc>
          <w:tcPr>
            <w:tcW w:w="670" w:type="pct"/>
            <w:vAlign w:val="center"/>
          </w:tcPr>
          <w:p w:rsidR="0038549F" w:rsidRPr="00A60B24" w:rsidRDefault="0038549F" w:rsidP="00737872">
            <w:pPr>
              <w:bidi w:val="0"/>
              <w:snapToGrid w:val="0"/>
              <w:jc w:val="both"/>
              <w:rPr>
                <w:lang w:bidi="ar-EG"/>
              </w:rPr>
            </w:pPr>
            <w:r w:rsidRPr="00A60B24">
              <w:rPr>
                <w:lang w:bidi="ar-EG"/>
              </w:rPr>
              <w:t>0</w:t>
            </w:r>
          </w:p>
        </w:tc>
        <w:tc>
          <w:tcPr>
            <w:tcW w:w="2917" w:type="pct"/>
            <w:vAlign w:val="center"/>
          </w:tcPr>
          <w:p w:rsidR="0038549F" w:rsidRPr="00A60B24" w:rsidRDefault="0038549F" w:rsidP="00737872">
            <w:pPr>
              <w:autoSpaceDE w:val="0"/>
              <w:autoSpaceDN w:val="0"/>
              <w:bidi w:val="0"/>
              <w:adjustRightInd w:val="0"/>
              <w:snapToGrid w:val="0"/>
              <w:jc w:val="both"/>
              <w:rPr>
                <w:b/>
                <w:bCs/>
              </w:rPr>
            </w:pPr>
            <w:r w:rsidRPr="00A60B24">
              <w:t>9 Problems with teeth</w:t>
            </w:r>
          </w:p>
        </w:tc>
      </w:tr>
      <w:tr w:rsidR="0038549F" w:rsidRPr="00A60B24" w:rsidTr="00BF7D07">
        <w:trPr>
          <w:jc w:val="center"/>
        </w:trPr>
        <w:tc>
          <w:tcPr>
            <w:tcW w:w="728" w:type="pct"/>
            <w:vAlign w:val="center"/>
          </w:tcPr>
          <w:p w:rsidR="0038549F" w:rsidRPr="00A60B24" w:rsidRDefault="0038549F" w:rsidP="00737872">
            <w:pPr>
              <w:bidi w:val="0"/>
              <w:snapToGrid w:val="0"/>
              <w:jc w:val="both"/>
              <w:rPr>
                <w:lang w:bidi="ar-EG"/>
              </w:rPr>
            </w:pPr>
            <w:r w:rsidRPr="00A60B24">
              <w:rPr>
                <w:lang w:bidi="ar-EG"/>
              </w:rPr>
              <w:t>1</w:t>
            </w:r>
          </w:p>
        </w:tc>
        <w:tc>
          <w:tcPr>
            <w:tcW w:w="686" w:type="pct"/>
            <w:vAlign w:val="center"/>
          </w:tcPr>
          <w:p w:rsidR="0038549F" w:rsidRPr="00A60B24" w:rsidRDefault="0038549F" w:rsidP="00737872">
            <w:pPr>
              <w:bidi w:val="0"/>
              <w:snapToGrid w:val="0"/>
              <w:jc w:val="both"/>
              <w:rPr>
                <w:lang w:bidi="ar-EG"/>
              </w:rPr>
            </w:pPr>
            <w:r w:rsidRPr="00A60B24">
              <w:rPr>
                <w:lang w:bidi="ar-EG"/>
              </w:rPr>
              <w:t>5</w:t>
            </w:r>
          </w:p>
        </w:tc>
        <w:tc>
          <w:tcPr>
            <w:tcW w:w="670" w:type="pct"/>
            <w:vAlign w:val="center"/>
          </w:tcPr>
          <w:p w:rsidR="0038549F" w:rsidRPr="00A60B24" w:rsidRDefault="0038549F" w:rsidP="00737872">
            <w:pPr>
              <w:bidi w:val="0"/>
              <w:snapToGrid w:val="0"/>
              <w:jc w:val="both"/>
              <w:rPr>
                <w:lang w:bidi="ar-EG"/>
              </w:rPr>
            </w:pPr>
            <w:r w:rsidRPr="00A60B24">
              <w:rPr>
                <w:lang w:bidi="ar-EG"/>
              </w:rPr>
              <w:t>2</w:t>
            </w:r>
          </w:p>
        </w:tc>
        <w:tc>
          <w:tcPr>
            <w:tcW w:w="2917" w:type="pct"/>
            <w:vAlign w:val="center"/>
          </w:tcPr>
          <w:p w:rsidR="0038549F" w:rsidRPr="00A60B24" w:rsidRDefault="0038549F" w:rsidP="00737872">
            <w:pPr>
              <w:autoSpaceDE w:val="0"/>
              <w:autoSpaceDN w:val="0"/>
              <w:bidi w:val="0"/>
              <w:adjustRightInd w:val="0"/>
              <w:snapToGrid w:val="0"/>
              <w:jc w:val="both"/>
              <w:rPr>
                <w:b/>
                <w:bCs/>
              </w:rPr>
            </w:pPr>
            <w:r w:rsidRPr="00A60B24">
              <w:t>10 Problems opening mouth</w:t>
            </w:r>
          </w:p>
        </w:tc>
      </w:tr>
      <w:tr w:rsidR="0038549F" w:rsidRPr="00A60B24" w:rsidTr="00BF7D07">
        <w:trPr>
          <w:jc w:val="center"/>
        </w:trPr>
        <w:tc>
          <w:tcPr>
            <w:tcW w:w="728" w:type="pct"/>
            <w:vAlign w:val="center"/>
          </w:tcPr>
          <w:p w:rsidR="0038549F" w:rsidRPr="00A60B24" w:rsidRDefault="0038549F" w:rsidP="00737872">
            <w:pPr>
              <w:bidi w:val="0"/>
              <w:snapToGrid w:val="0"/>
              <w:jc w:val="both"/>
              <w:rPr>
                <w:lang w:bidi="ar-EG"/>
              </w:rPr>
            </w:pPr>
            <w:r w:rsidRPr="00A60B24">
              <w:rPr>
                <w:lang w:bidi="ar-EG"/>
              </w:rPr>
              <w:t>7</w:t>
            </w:r>
          </w:p>
        </w:tc>
        <w:tc>
          <w:tcPr>
            <w:tcW w:w="686" w:type="pct"/>
            <w:vAlign w:val="center"/>
          </w:tcPr>
          <w:p w:rsidR="0038549F" w:rsidRPr="00A60B24" w:rsidRDefault="0038549F" w:rsidP="00737872">
            <w:pPr>
              <w:bidi w:val="0"/>
              <w:snapToGrid w:val="0"/>
              <w:jc w:val="both"/>
              <w:rPr>
                <w:lang w:bidi="ar-EG"/>
              </w:rPr>
            </w:pPr>
            <w:r w:rsidRPr="00A60B24">
              <w:rPr>
                <w:lang w:bidi="ar-EG"/>
              </w:rPr>
              <w:t>24</w:t>
            </w:r>
          </w:p>
        </w:tc>
        <w:tc>
          <w:tcPr>
            <w:tcW w:w="670" w:type="pct"/>
            <w:vAlign w:val="center"/>
          </w:tcPr>
          <w:p w:rsidR="0038549F" w:rsidRPr="00A60B24" w:rsidRDefault="0038549F" w:rsidP="00737872">
            <w:pPr>
              <w:bidi w:val="0"/>
              <w:snapToGrid w:val="0"/>
              <w:jc w:val="both"/>
              <w:rPr>
                <w:lang w:bidi="ar-EG"/>
              </w:rPr>
            </w:pPr>
            <w:r w:rsidRPr="00A60B24">
              <w:rPr>
                <w:lang w:bidi="ar-EG"/>
              </w:rPr>
              <w:t>5</w:t>
            </w:r>
          </w:p>
        </w:tc>
        <w:tc>
          <w:tcPr>
            <w:tcW w:w="2917" w:type="pct"/>
            <w:vAlign w:val="center"/>
          </w:tcPr>
          <w:p w:rsidR="0038549F" w:rsidRPr="00A60B24" w:rsidRDefault="0038549F" w:rsidP="00737872">
            <w:pPr>
              <w:autoSpaceDE w:val="0"/>
              <w:autoSpaceDN w:val="0"/>
              <w:bidi w:val="0"/>
              <w:adjustRightInd w:val="0"/>
              <w:snapToGrid w:val="0"/>
              <w:jc w:val="both"/>
              <w:rPr>
                <w:b/>
                <w:bCs/>
              </w:rPr>
            </w:pPr>
            <w:r w:rsidRPr="00A60B24">
              <w:t>11 Dry mouth</w:t>
            </w:r>
          </w:p>
        </w:tc>
      </w:tr>
      <w:tr w:rsidR="0038549F" w:rsidRPr="00A60B24" w:rsidTr="00BF7D07">
        <w:trPr>
          <w:jc w:val="center"/>
        </w:trPr>
        <w:tc>
          <w:tcPr>
            <w:tcW w:w="728" w:type="pct"/>
            <w:vAlign w:val="center"/>
          </w:tcPr>
          <w:p w:rsidR="0038549F" w:rsidRPr="00A60B24" w:rsidRDefault="0038549F" w:rsidP="00737872">
            <w:pPr>
              <w:bidi w:val="0"/>
              <w:snapToGrid w:val="0"/>
              <w:jc w:val="both"/>
              <w:rPr>
                <w:lang w:bidi="ar-EG"/>
              </w:rPr>
            </w:pPr>
            <w:r w:rsidRPr="00A60B24">
              <w:rPr>
                <w:lang w:bidi="ar-EG"/>
              </w:rPr>
              <w:t>7</w:t>
            </w:r>
          </w:p>
        </w:tc>
        <w:tc>
          <w:tcPr>
            <w:tcW w:w="686" w:type="pct"/>
            <w:vAlign w:val="center"/>
          </w:tcPr>
          <w:p w:rsidR="0038549F" w:rsidRPr="00A60B24" w:rsidRDefault="0038549F" w:rsidP="00737872">
            <w:pPr>
              <w:bidi w:val="0"/>
              <w:snapToGrid w:val="0"/>
              <w:jc w:val="both"/>
              <w:rPr>
                <w:lang w:bidi="ar-EG"/>
              </w:rPr>
            </w:pPr>
            <w:r w:rsidRPr="00A60B24">
              <w:rPr>
                <w:lang w:bidi="ar-EG"/>
              </w:rPr>
              <w:t>24</w:t>
            </w:r>
          </w:p>
        </w:tc>
        <w:tc>
          <w:tcPr>
            <w:tcW w:w="670" w:type="pct"/>
            <w:vAlign w:val="center"/>
          </w:tcPr>
          <w:p w:rsidR="0038549F" w:rsidRPr="00A60B24" w:rsidRDefault="0038549F" w:rsidP="00737872">
            <w:pPr>
              <w:bidi w:val="0"/>
              <w:snapToGrid w:val="0"/>
              <w:jc w:val="both"/>
              <w:rPr>
                <w:lang w:bidi="ar-EG"/>
              </w:rPr>
            </w:pPr>
            <w:r w:rsidRPr="00A60B24">
              <w:rPr>
                <w:lang w:bidi="ar-EG"/>
              </w:rPr>
              <w:t>6</w:t>
            </w:r>
          </w:p>
        </w:tc>
        <w:tc>
          <w:tcPr>
            <w:tcW w:w="2917" w:type="pct"/>
            <w:vAlign w:val="center"/>
          </w:tcPr>
          <w:p w:rsidR="0038549F" w:rsidRPr="00A60B24" w:rsidRDefault="0038549F" w:rsidP="00737872">
            <w:pPr>
              <w:autoSpaceDE w:val="0"/>
              <w:autoSpaceDN w:val="0"/>
              <w:bidi w:val="0"/>
              <w:adjustRightInd w:val="0"/>
              <w:snapToGrid w:val="0"/>
              <w:jc w:val="both"/>
              <w:rPr>
                <w:b/>
                <w:bCs/>
              </w:rPr>
            </w:pPr>
            <w:r w:rsidRPr="00A60B24">
              <w:t>12 Sticky saliva</w:t>
            </w:r>
          </w:p>
        </w:tc>
      </w:tr>
      <w:tr w:rsidR="0038549F" w:rsidRPr="00A60B24" w:rsidTr="00BF7D07">
        <w:trPr>
          <w:jc w:val="center"/>
        </w:trPr>
        <w:tc>
          <w:tcPr>
            <w:tcW w:w="728" w:type="pct"/>
            <w:vAlign w:val="center"/>
          </w:tcPr>
          <w:p w:rsidR="0038549F" w:rsidRPr="00A60B24" w:rsidRDefault="0038549F" w:rsidP="00737872">
            <w:pPr>
              <w:bidi w:val="0"/>
              <w:snapToGrid w:val="0"/>
              <w:jc w:val="both"/>
              <w:rPr>
                <w:lang w:bidi="ar-EG"/>
              </w:rPr>
            </w:pPr>
            <w:r w:rsidRPr="00A60B24">
              <w:rPr>
                <w:lang w:bidi="ar-EG"/>
              </w:rPr>
              <w:t>0</w:t>
            </w:r>
          </w:p>
        </w:tc>
        <w:tc>
          <w:tcPr>
            <w:tcW w:w="686" w:type="pct"/>
            <w:vAlign w:val="center"/>
          </w:tcPr>
          <w:p w:rsidR="0038549F" w:rsidRPr="00A60B24" w:rsidRDefault="0038549F" w:rsidP="00737872">
            <w:pPr>
              <w:bidi w:val="0"/>
              <w:snapToGrid w:val="0"/>
              <w:jc w:val="both"/>
              <w:rPr>
                <w:lang w:bidi="ar-EG"/>
              </w:rPr>
            </w:pPr>
            <w:r w:rsidRPr="00A60B24">
              <w:rPr>
                <w:lang w:bidi="ar-EG"/>
              </w:rPr>
              <w:t>1</w:t>
            </w:r>
          </w:p>
        </w:tc>
        <w:tc>
          <w:tcPr>
            <w:tcW w:w="670" w:type="pct"/>
            <w:vAlign w:val="center"/>
          </w:tcPr>
          <w:p w:rsidR="0038549F" w:rsidRPr="00A60B24" w:rsidRDefault="0038549F" w:rsidP="00737872">
            <w:pPr>
              <w:bidi w:val="0"/>
              <w:snapToGrid w:val="0"/>
              <w:jc w:val="both"/>
              <w:rPr>
                <w:lang w:bidi="ar-EG"/>
              </w:rPr>
            </w:pPr>
            <w:r w:rsidRPr="00A60B24">
              <w:rPr>
                <w:lang w:bidi="ar-EG"/>
              </w:rPr>
              <w:t>0</w:t>
            </w:r>
          </w:p>
        </w:tc>
        <w:tc>
          <w:tcPr>
            <w:tcW w:w="2917" w:type="pct"/>
            <w:vAlign w:val="center"/>
          </w:tcPr>
          <w:p w:rsidR="0038549F" w:rsidRPr="00A60B24" w:rsidRDefault="0038549F" w:rsidP="00737872">
            <w:pPr>
              <w:autoSpaceDE w:val="0"/>
              <w:autoSpaceDN w:val="0"/>
              <w:bidi w:val="0"/>
              <w:adjustRightInd w:val="0"/>
              <w:snapToGrid w:val="0"/>
              <w:jc w:val="both"/>
              <w:rPr>
                <w:b/>
                <w:bCs/>
              </w:rPr>
            </w:pPr>
            <w:r w:rsidRPr="00A60B24">
              <w:t>hn15 Cough</w:t>
            </w:r>
          </w:p>
        </w:tc>
      </w:tr>
      <w:tr w:rsidR="0038549F" w:rsidRPr="00A60B24" w:rsidTr="00BF7D07">
        <w:trPr>
          <w:jc w:val="center"/>
        </w:trPr>
        <w:tc>
          <w:tcPr>
            <w:tcW w:w="728" w:type="pct"/>
            <w:vAlign w:val="center"/>
          </w:tcPr>
          <w:p w:rsidR="0038549F" w:rsidRPr="00A60B24" w:rsidRDefault="0038549F" w:rsidP="00737872">
            <w:pPr>
              <w:bidi w:val="0"/>
              <w:snapToGrid w:val="0"/>
              <w:jc w:val="both"/>
              <w:rPr>
                <w:lang w:bidi="ar-EG"/>
              </w:rPr>
            </w:pPr>
            <w:r w:rsidRPr="00A60B24">
              <w:rPr>
                <w:lang w:bidi="ar-EG"/>
              </w:rPr>
              <w:t>3</w:t>
            </w:r>
          </w:p>
        </w:tc>
        <w:tc>
          <w:tcPr>
            <w:tcW w:w="686" w:type="pct"/>
            <w:vAlign w:val="center"/>
          </w:tcPr>
          <w:p w:rsidR="0038549F" w:rsidRPr="00A60B24" w:rsidRDefault="0038549F" w:rsidP="00737872">
            <w:pPr>
              <w:bidi w:val="0"/>
              <w:snapToGrid w:val="0"/>
              <w:jc w:val="both"/>
              <w:rPr>
                <w:lang w:bidi="ar-EG"/>
              </w:rPr>
            </w:pPr>
            <w:r w:rsidRPr="00A60B24">
              <w:rPr>
                <w:lang w:bidi="ar-EG"/>
              </w:rPr>
              <w:t>10</w:t>
            </w:r>
          </w:p>
        </w:tc>
        <w:tc>
          <w:tcPr>
            <w:tcW w:w="670" w:type="pct"/>
            <w:vAlign w:val="center"/>
          </w:tcPr>
          <w:p w:rsidR="0038549F" w:rsidRPr="00A60B24" w:rsidRDefault="0038549F" w:rsidP="00737872">
            <w:pPr>
              <w:bidi w:val="0"/>
              <w:snapToGrid w:val="0"/>
              <w:jc w:val="both"/>
              <w:rPr>
                <w:lang w:bidi="ar-EG"/>
              </w:rPr>
            </w:pPr>
            <w:r w:rsidRPr="00A60B24">
              <w:rPr>
                <w:lang w:bidi="ar-EG"/>
              </w:rPr>
              <w:t>5</w:t>
            </w:r>
          </w:p>
        </w:tc>
        <w:tc>
          <w:tcPr>
            <w:tcW w:w="2917" w:type="pct"/>
            <w:vAlign w:val="center"/>
          </w:tcPr>
          <w:p w:rsidR="0038549F" w:rsidRPr="00A60B24" w:rsidRDefault="0038549F" w:rsidP="00737872">
            <w:pPr>
              <w:autoSpaceDE w:val="0"/>
              <w:autoSpaceDN w:val="0"/>
              <w:bidi w:val="0"/>
              <w:adjustRightInd w:val="0"/>
              <w:snapToGrid w:val="0"/>
              <w:jc w:val="both"/>
              <w:rPr>
                <w:b/>
                <w:bCs/>
              </w:rPr>
            </w:pPr>
            <w:r w:rsidRPr="00A60B24">
              <w:t>17 Felt ill</w:t>
            </w:r>
          </w:p>
        </w:tc>
      </w:tr>
      <w:tr w:rsidR="0038549F" w:rsidRPr="00A60B24" w:rsidTr="00BF7D07">
        <w:trPr>
          <w:jc w:val="center"/>
        </w:trPr>
        <w:tc>
          <w:tcPr>
            <w:tcW w:w="728" w:type="pct"/>
            <w:vAlign w:val="center"/>
          </w:tcPr>
          <w:p w:rsidR="0038549F" w:rsidRPr="00A60B24" w:rsidRDefault="0038549F" w:rsidP="00737872">
            <w:pPr>
              <w:bidi w:val="0"/>
              <w:snapToGrid w:val="0"/>
              <w:jc w:val="both"/>
              <w:rPr>
                <w:lang w:bidi="ar-EG"/>
              </w:rPr>
            </w:pPr>
            <w:r w:rsidRPr="00A60B24">
              <w:rPr>
                <w:lang w:bidi="ar-EG"/>
              </w:rPr>
              <w:t>5</w:t>
            </w:r>
          </w:p>
        </w:tc>
        <w:tc>
          <w:tcPr>
            <w:tcW w:w="686" w:type="pct"/>
            <w:vAlign w:val="center"/>
          </w:tcPr>
          <w:p w:rsidR="0038549F" w:rsidRPr="00A60B24" w:rsidRDefault="0038549F" w:rsidP="00737872">
            <w:pPr>
              <w:bidi w:val="0"/>
              <w:snapToGrid w:val="0"/>
              <w:jc w:val="both"/>
              <w:rPr>
                <w:lang w:bidi="ar-EG"/>
              </w:rPr>
            </w:pPr>
            <w:r w:rsidRPr="00A60B24">
              <w:rPr>
                <w:lang w:bidi="ar-EG"/>
              </w:rPr>
              <w:t>14</w:t>
            </w:r>
          </w:p>
        </w:tc>
        <w:tc>
          <w:tcPr>
            <w:tcW w:w="670" w:type="pct"/>
            <w:vAlign w:val="center"/>
          </w:tcPr>
          <w:p w:rsidR="0038549F" w:rsidRPr="00A60B24" w:rsidRDefault="0038549F" w:rsidP="00737872">
            <w:pPr>
              <w:bidi w:val="0"/>
              <w:snapToGrid w:val="0"/>
              <w:jc w:val="both"/>
              <w:rPr>
                <w:lang w:bidi="ar-EG"/>
              </w:rPr>
            </w:pPr>
            <w:r w:rsidRPr="00A60B24">
              <w:rPr>
                <w:lang w:bidi="ar-EG"/>
              </w:rPr>
              <w:t>8</w:t>
            </w:r>
          </w:p>
        </w:tc>
        <w:tc>
          <w:tcPr>
            <w:tcW w:w="2917" w:type="pct"/>
            <w:vAlign w:val="center"/>
          </w:tcPr>
          <w:p w:rsidR="0038549F" w:rsidRPr="00A60B24" w:rsidRDefault="0038549F" w:rsidP="00737872">
            <w:pPr>
              <w:autoSpaceDE w:val="0"/>
              <w:autoSpaceDN w:val="0"/>
              <w:bidi w:val="0"/>
              <w:adjustRightInd w:val="0"/>
              <w:snapToGrid w:val="0"/>
              <w:jc w:val="both"/>
            </w:pPr>
            <w:r w:rsidRPr="00A60B24">
              <w:t>31 Using pain killers</w:t>
            </w:r>
          </w:p>
        </w:tc>
      </w:tr>
      <w:tr w:rsidR="0038549F" w:rsidRPr="00A60B24" w:rsidTr="00BF7D07">
        <w:trPr>
          <w:jc w:val="center"/>
        </w:trPr>
        <w:tc>
          <w:tcPr>
            <w:tcW w:w="728" w:type="pct"/>
            <w:vAlign w:val="center"/>
          </w:tcPr>
          <w:p w:rsidR="0038549F" w:rsidRPr="00A60B24" w:rsidRDefault="0038549F" w:rsidP="00737872">
            <w:pPr>
              <w:bidi w:val="0"/>
              <w:snapToGrid w:val="0"/>
              <w:jc w:val="both"/>
              <w:rPr>
                <w:lang w:bidi="ar-EG"/>
              </w:rPr>
            </w:pPr>
            <w:r w:rsidRPr="00A60B24">
              <w:rPr>
                <w:lang w:bidi="ar-EG"/>
              </w:rPr>
              <w:t>1</w:t>
            </w:r>
          </w:p>
        </w:tc>
        <w:tc>
          <w:tcPr>
            <w:tcW w:w="686" w:type="pct"/>
            <w:vAlign w:val="center"/>
          </w:tcPr>
          <w:p w:rsidR="0038549F" w:rsidRPr="00A60B24" w:rsidRDefault="0038549F" w:rsidP="00737872">
            <w:pPr>
              <w:bidi w:val="0"/>
              <w:snapToGrid w:val="0"/>
              <w:jc w:val="both"/>
              <w:rPr>
                <w:lang w:bidi="ar-EG"/>
              </w:rPr>
            </w:pPr>
            <w:r w:rsidRPr="00A60B24">
              <w:rPr>
                <w:lang w:bidi="ar-EG"/>
              </w:rPr>
              <w:t>11</w:t>
            </w:r>
          </w:p>
        </w:tc>
        <w:tc>
          <w:tcPr>
            <w:tcW w:w="670" w:type="pct"/>
            <w:vAlign w:val="center"/>
          </w:tcPr>
          <w:p w:rsidR="0038549F" w:rsidRPr="00A60B24" w:rsidRDefault="0038549F" w:rsidP="00737872">
            <w:pPr>
              <w:bidi w:val="0"/>
              <w:snapToGrid w:val="0"/>
              <w:jc w:val="both"/>
              <w:rPr>
                <w:lang w:bidi="ar-EG"/>
              </w:rPr>
            </w:pPr>
            <w:r w:rsidRPr="00A60B24">
              <w:rPr>
                <w:lang w:bidi="ar-EG"/>
              </w:rPr>
              <w:t>3</w:t>
            </w:r>
          </w:p>
        </w:tc>
        <w:tc>
          <w:tcPr>
            <w:tcW w:w="2917" w:type="pct"/>
            <w:vAlign w:val="center"/>
          </w:tcPr>
          <w:p w:rsidR="0038549F" w:rsidRPr="00A60B24" w:rsidRDefault="0038549F" w:rsidP="00737872">
            <w:pPr>
              <w:autoSpaceDE w:val="0"/>
              <w:autoSpaceDN w:val="0"/>
              <w:bidi w:val="0"/>
              <w:adjustRightInd w:val="0"/>
              <w:snapToGrid w:val="0"/>
              <w:jc w:val="both"/>
            </w:pPr>
            <w:r w:rsidRPr="00A60B24">
              <w:t>32 Using nutritional supplements excluding vitamins</w:t>
            </w:r>
          </w:p>
        </w:tc>
      </w:tr>
      <w:tr w:rsidR="0038549F" w:rsidRPr="00A60B24" w:rsidTr="00BF7D07">
        <w:trPr>
          <w:jc w:val="center"/>
        </w:trPr>
        <w:tc>
          <w:tcPr>
            <w:tcW w:w="728" w:type="pct"/>
            <w:vAlign w:val="center"/>
          </w:tcPr>
          <w:p w:rsidR="0038549F" w:rsidRPr="00A60B24" w:rsidRDefault="0038549F" w:rsidP="00737872">
            <w:pPr>
              <w:bidi w:val="0"/>
              <w:snapToGrid w:val="0"/>
              <w:jc w:val="both"/>
              <w:rPr>
                <w:lang w:bidi="ar-EG"/>
              </w:rPr>
            </w:pPr>
            <w:r w:rsidRPr="00A60B24">
              <w:rPr>
                <w:lang w:bidi="ar-EG"/>
              </w:rPr>
              <w:t>0</w:t>
            </w:r>
          </w:p>
        </w:tc>
        <w:tc>
          <w:tcPr>
            <w:tcW w:w="686" w:type="pct"/>
            <w:vAlign w:val="center"/>
          </w:tcPr>
          <w:p w:rsidR="0038549F" w:rsidRPr="00A60B24" w:rsidRDefault="0038549F" w:rsidP="00737872">
            <w:pPr>
              <w:bidi w:val="0"/>
              <w:snapToGrid w:val="0"/>
              <w:jc w:val="both"/>
              <w:rPr>
                <w:lang w:bidi="ar-EG"/>
              </w:rPr>
            </w:pPr>
            <w:r w:rsidRPr="00A60B24">
              <w:rPr>
                <w:lang w:bidi="ar-EG"/>
              </w:rPr>
              <w:t>0</w:t>
            </w:r>
          </w:p>
        </w:tc>
        <w:tc>
          <w:tcPr>
            <w:tcW w:w="670" w:type="pct"/>
            <w:vAlign w:val="center"/>
          </w:tcPr>
          <w:p w:rsidR="0038549F" w:rsidRPr="00A60B24" w:rsidRDefault="0038549F" w:rsidP="00737872">
            <w:pPr>
              <w:bidi w:val="0"/>
              <w:snapToGrid w:val="0"/>
              <w:jc w:val="both"/>
              <w:rPr>
                <w:lang w:bidi="ar-EG"/>
              </w:rPr>
            </w:pPr>
            <w:r w:rsidRPr="00A60B24">
              <w:rPr>
                <w:lang w:bidi="ar-EG"/>
              </w:rPr>
              <w:t>0</w:t>
            </w:r>
          </w:p>
        </w:tc>
        <w:tc>
          <w:tcPr>
            <w:tcW w:w="2917" w:type="pct"/>
            <w:vAlign w:val="center"/>
          </w:tcPr>
          <w:p w:rsidR="0038549F" w:rsidRPr="00A60B24" w:rsidRDefault="0038549F" w:rsidP="00737872">
            <w:pPr>
              <w:autoSpaceDE w:val="0"/>
              <w:autoSpaceDN w:val="0"/>
              <w:bidi w:val="0"/>
              <w:adjustRightInd w:val="0"/>
              <w:snapToGrid w:val="0"/>
              <w:jc w:val="both"/>
              <w:rPr>
                <w:lang w:bidi="ar-EG"/>
              </w:rPr>
            </w:pPr>
            <w:r w:rsidRPr="00A60B24">
              <w:rPr>
                <w:lang w:bidi="ar-EG"/>
              </w:rPr>
              <w:t>33 Using feeding tube</w:t>
            </w:r>
          </w:p>
        </w:tc>
      </w:tr>
      <w:tr w:rsidR="0038549F" w:rsidRPr="00A60B24" w:rsidTr="00BF7D07">
        <w:trPr>
          <w:jc w:val="center"/>
        </w:trPr>
        <w:tc>
          <w:tcPr>
            <w:tcW w:w="728" w:type="pct"/>
            <w:vAlign w:val="center"/>
          </w:tcPr>
          <w:p w:rsidR="0038549F" w:rsidRPr="00A60B24" w:rsidRDefault="0038549F" w:rsidP="00737872">
            <w:pPr>
              <w:bidi w:val="0"/>
              <w:snapToGrid w:val="0"/>
              <w:jc w:val="both"/>
              <w:rPr>
                <w:lang w:bidi="ar-EG"/>
              </w:rPr>
            </w:pPr>
            <w:r w:rsidRPr="00A60B24">
              <w:rPr>
                <w:lang w:bidi="ar-EG"/>
              </w:rPr>
              <w:t>3</w:t>
            </w:r>
          </w:p>
        </w:tc>
        <w:tc>
          <w:tcPr>
            <w:tcW w:w="686" w:type="pct"/>
            <w:vAlign w:val="center"/>
          </w:tcPr>
          <w:p w:rsidR="0038549F" w:rsidRPr="00A60B24" w:rsidRDefault="0038549F" w:rsidP="00737872">
            <w:pPr>
              <w:bidi w:val="0"/>
              <w:snapToGrid w:val="0"/>
              <w:jc w:val="both"/>
              <w:rPr>
                <w:lang w:bidi="ar-EG"/>
              </w:rPr>
            </w:pPr>
            <w:r w:rsidRPr="00A60B24">
              <w:rPr>
                <w:lang w:bidi="ar-EG"/>
              </w:rPr>
              <w:t>16</w:t>
            </w:r>
          </w:p>
        </w:tc>
        <w:tc>
          <w:tcPr>
            <w:tcW w:w="670" w:type="pct"/>
            <w:vAlign w:val="center"/>
          </w:tcPr>
          <w:p w:rsidR="0038549F" w:rsidRPr="00A60B24" w:rsidRDefault="0038549F" w:rsidP="00737872">
            <w:pPr>
              <w:bidi w:val="0"/>
              <w:snapToGrid w:val="0"/>
              <w:jc w:val="both"/>
              <w:rPr>
                <w:lang w:bidi="ar-EG"/>
              </w:rPr>
            </w:pPr>
            <w:r w:rsidRPr="00A60B24">
              <w:rPr>
                <w:lang w:bidi="ar-EG"/>
              </w:rPr>
              <w:t>13</w:t>
            </w:r>
          </w:p>
        </w:tc>
        <w:tc>
          <w:tcPr>
            <w:tcW w:w="2917" w:type="pct"/>
            <w:vAlign w:val="center"/>
          </w:tcPr>
          <w:p w:rsidR="0038549F" w:rsidRPr="00A60B24" w:rsidRDefault="0038549F" w:rsidP="00737872">
            <w:pPr>
              <w:autoSpaceDE w:val="0"/>
              <w:autoSpaceDN w:val="0"/>
              <w:bidi w:val="0"/>
              <w:adjustRightInd w:val="0"/>
              <w:snapToGrid w:val="0"/>
              <w:jc w:val="both"/>
            </w:pPr>
            <w:r w:rsidRPr="00A60B24">
              <w:t>34 Lost weight</w:t>
            </w:r>
          </w:p>
        </w:tc>
      </w:tr>
      <w:tr w:rsidR="0038549F" w:rsidRPr="00A60B24" w:rsidTr="00BF7D07">
        <w:trPr>
          <w:jc w:val="center"/>
        </w:trPr>
        <w:tc>
          <w:tcPr>
            <w:tcW w:w="728" w:type="pct"/>
            <w:vAlign w:val="center"/>
          </w:tcPr>
          <w:p w:rsidR="0038549F" w:rsidRPr="00A60B24" w:rsidRDefault="0038549F" w:rsidP="00737872">
            <w:pPr>
              <w:bidi w:val="0"/>
              <w:snapToGrid w:val="0"/>
              <w:jc w:val="both"/>
              <w:rPr>
                <w:lang w:bidi="ar-EG"/>
              </w:rPr>
            </w:pPr>
            <w:r w:rsidRPr="00A60B24">
              <w:rPr>
                <w:lang w:bidi="ar-EG"/>
              </w:rPr>
              <w:t>4</w:t>
            </w:r>
          </w:p>
        </w:tc>
        <w:tc>
          <w:tcPr>
            <w:tcW w:w="686" w:type="pct"/>
            <w:vAlign w:val="center"/>
          </w:tcPr>
          <w:p w:rsidR="0038549F" w:rsidRPr="00A60B24" w:rsidRDefault="0038549F" w:rsidP="00737872">
            <w:pPr>
              <w:bidi w:val="0"/>
              <w:snapToGrid w:val="0"/>
              <w:jc w:val="both"/>
              <w:rPr>
                <w:lang w:bidi="ar-EG"/>
              </w:rPr>
            </w:pPr>
            <w:r w:rsidRPr="00A60B24">
              <w:rPr>
                <w:lang w:bidi="ar-EG"/>
              </w:rPr>
              <w:t>0</w:t>
            </w:r>
          </w:p>
        </w:tc>
        <w:tc>
          <w:tcPr>
            <w:tcW w:w="670" w:type="pct"/>
            <w:vAlign w:val="center"/>
          </w:tcPr>
          <w:p w:rsidR="0038549F" w:rsidRPr="00A60B24" w:rsidRDefault="0038549F" w:rsidP="00737872">
            <w:pPr>
              <w:bidi w:val="0"/>
              <w:snapToGrid w:val="0"/>
              <w:jc w:val="both"/>
              <w:rPr>
                <w:lang w:bidi="ar-EG"/>
              </w:rPr>
            </w:pPr>
            <w:r w:rsidRPr="00A60B24">
              <w:rPr>
                <w:lang w:bidi="ar-EG"/>
              </w:rPr>
              <w:t>0</w:t>
            </w:r>
          </w:p>
        </w:tc>
        <w:tc>
          <w:tcPr>
            <w:tcW w:w="2917" w:type="pct"/>
            <w:vAlign w:val="center"/>
          </w:tcPr>
          <w:p w:rsidR="0038549F" w:rsidRPr="00A60B24" w:rsidRDefault="0038549F" w:rsidP="00737872">
            <w:pPr>
              <w:autoSpaceDE w:val="0"/>
              <w:autoSpaceDN w:val="0"/>
              <w:bidi w:val="0"/>
              <w:adjustRightInd w:val="0"/>
              <w:snapToGrid w:val="0"/>
              <w:jc w:val="both"/>
            </w:pPr>
            <w:r w:rsidRPr="00A60B24">
              <w:t>35 Gained weight</w:t>
            </w:r>
          </w:p>
        </w:tc>
      </w:tr>
    </w:tbl>
    <w:p w:rsidR="00F0585D" w:rsidRPr="00A60B24" w:rsidRDefault="00F0585D" w:rsidP="00737872">
      <w:pPr>
        <w:bidi w:val="0"/>
        <w:snapToGrid w:val="0"/>
        <w:spacing w:after="0" w:line="240" w:lineRule="auto"/>
        <w:jc w:val="both"/>
        <w:rPr>
          <w:rFonts w:ascii="Times New Roman" w:hAnsi="Times New Roman" w:cs="Times New Roman"/>
          <w:b/>
          <w:bCs/>
          <w:sz w:val="20"/>
          <w:szCs w:val="20"/>
          <w:lang w:bidi="ar-EG"/>
        </w:rPr>
      </w:pPr>
    </w:p>
    <w:p w:rsidR="00737872" w:rsidRPr="00A60B24" w:rsidRDefault="00737872" w:rsidP="00737872">
      <w:pPr>
        <w:bidi w:val="0"/>
        <w:snapToGrid w:val="0"/>
        <w:spacing w:after="0" w:line="240" w:lineRule="auto"/>
        <w:jc w:val="both"/>
        <w:rPr>
          <w:rFonts w:ascii="Times New Roman" w:hAnsi="Times New Roman" w:cs="Times New Roman"/>
          <w:b/>
          <w:bCs/>
          <w:sz w:val="20"/>
          <w:szCs w:val="20"/>
          <w:lang w:bidi="ar-EG"/>
        </w:rPr>
        <w:sectPr w:rsidR="00737872" w:rsidRPr="00A60B24" w:rsidSect="00BF7D07">
          <w:type w:val="continuous"/>
          <w:pgSz w:w="12242" w:h="15842" w:code="1"/>
          <w:pgMar w:top="1440" w:right="1440" w:bottom="1440" w:left="1440" w:header="720" w:footer="720" w:gutter="0"/>
          <w:cols w:space="720"/>
          <w:docGrid w:linePitch="360"/>
        </w:sectPr>
      </w:pPr>
    </w:p>
    <w:p w:rsidR="000F3CD6" w:rsidRPr="00A60B24" w:rsidRDefault="00F0585D" w:rsidP="00737872">
      <w:pPr>
        <w:bidi w:val="0"/>
        <w:snapToGrid w:val="0"/>
        <w:spacing w:after="0" w:line="240" w:lineRule="auto"/>
        <w:jc w:val="both"/>
        <w:rPr>
          <w:rFonts w:ascii="Times New Roman" w:hAnsi="Times New Roman" w:cs="Times New Roman"/>
          <w:b/>
          <w:bCs/>
          <w:sz w:val="20"/>
          <w:szCs w:val="20"/>
          <w:lang w:bidi="ar-EG"/>
        </w:rPr>
      </w:pPr>
      <w:r w:rsidRPr="00A60B24">
        <w:rPr>
          <w:rFonts w:ascii="Times New Roman" w:hAnsi="Times New Roman" w:cs="Times New Roman"/>
          <w:b/>
          <w:bCs/>
          <w:sz w:val="20"/>
          <w:szCs w:val="20"/>
          <w:lang w:bidi="ar-EG"/>
        </w:rPr>
        <w:lastRenderedPageBreak/>
        <w:t>4. Discussion</w:t>
      </w:r>
    </w:p>
    <w:p w:rsidR="00E3600F" w:rsidRPr="00A60B24" w:rsidRDefault="000F3CD6" w:rsidP="00737872">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r w:rsidRPr="00A60B24">
        <w:rPr>
          <w:rFonts w:ascii="Times New Roman" w:hAnsi="Times New Roman" w:cs="Times New Roman"/>
          <w:sz w:val="20"/>
          <w:szCs w:val="20"/>
        </w:rPr>
        <w:t xml:space="preserve">Transition from 2D conventional radiotherapy to 3DCRT achieved a great advance in radiation technology. Intensity modulated radiotherapy (IMRT) is one of highly precision conformal radiotherapy. It allows delivery of increased doses to tumor tissue </w:t>
      </w:r>
      <w:r w:rsidRPr="00A60B24">
        <w:rPr>
          <w:rFonts w:ascii="Times New Roman" w:hAnsi="Times New Roman" w:cs="Times New Roman"/>
          <w:sz w:val="20"/>
          <w:szCs w:val="20"/>
        </w:rPr>
        <w:lastRenderedPageBreak/>
        <w:t>while limiting the delivered dose to normal organs at risk</w:t>
      </w:r>
      <w:r w:rsidR="00F76000" w:rsidRPr="00A60B24">
        <w:rPr>
          <w:rFonts w:ascii="Times New Roman" w:hAnsi="Times New Roman" w:cs="Times New Roman"/>
          <w:sz w:val="20"/>
          <w:szCs w:val="20"/>
          <w:lang w:eastAsia="zh-CN"/>
        </w:rPr>
        <w:t xml:space="preserve"> </w:t>
      </w:r>
      <w:r w:rsidRPr="00A60B24">
        <w:rPr>
          <w:rFonts w:ascii="Times New Roman" w:hAnsi="Times New Roman" w:cs="Times New Roman"/>
          <w:b/>
          <w:bCs/>
          <w:i/>
          <w:iCs/>
          <w:sz w:val="20"/>
          <w:szCs w:val="20"/>
        </w:rPr>
        <w:t>(</w:t>
      </w:r>
      <w:r w:rsidR="004E20D8" w:rsidRPr="00A60B24">
        <w:rPr>
          <w:rFonts w:ascii="Times New Roman" w:hAnsi="Times New Roman" w:cs="Times New Roman"/>
          <w:b/>
          <w:bCs/>
          <w:i/>
          <w:iCs/>
          <w:sz w:val="20"/>
          <w:szCs w:val="20"/>
        </w:rPr>
        <w:t>13</w:t>
      </w:r>
      <w:r w:rsidRPr="00A60B24">
        <w:rPr>
          <w:rFonts w:ascii="Times New Roman" w:hAnsi="Times New Roman" w:cs="Times New Roman"/>
          <w:b/>
          <w:bCs/>
          <w:i/>
          <w:iCs/>
          <w:sz w:val="20"/>
          <w:szCs w:val="20"/>
        </w:rPr>
        <w:t>).</w:t>
      </w:r>
      <w:r w:rsidRPr="00A60B24">
        <w:rPr>
          <w:rFonts w:ascii="Times New Roman" w:hAnsi="Times New Roman" w:cs="Times New Roman"/>
          <w:sz w:val="20"/>
          <w:szCs w:val="20"/>
        </w:rPr>
        <w:t xml:space="preserve"> In our study, the epidemiological data (Table 1) reflects the general features of the 30 cases. Mean age was 33 years </w:t>
      </w:r>
      <w:r w:rsidR="0052509C" w:rsidRPr="00A60B24">
        <w:rPr>
          <w:rFonts w:ascii="Times New Roman" w:hAnsi="Times New Roman" w:cs="Times New Roman"/>
          <w:sz w:val="20"/>
          <w:szCs w:val="20"/>
        </w:rPr>
        <w:t>±</w:t>
      </w:r>
      <w:r w:rsidRPr="00A60B24">
        <w:rPr>
          <w:rFonts w:ascii="Times New Roman" w:hAnsi="Times New Roman" w:cs="Times New Roman"/>
          <w:sz w:val="20"/>
          <w:szCs w:val="20"/>
        </w:rPr>
        <w:t xml:space="preserve"> 9 </w:t>
      </w:r>
      <w:r w:rsidR="0052509C" w:rsidRPr="00A60B24">
        <w:rPr>
          <w:rFonts w:ascii="Times New Roman" w:hAnsi="Times New Roman" w:cs="Times New Roman"/>
          <w:sz w:val="20"/>
          <w:szCs w:val="20"/>
        </w:rPr>
        <w:t>SD, which</w:t>
      </w:r>
      <w:r w:rsidRPr="00A60B24">
        <w:rPr>
          <w:rFonts w:ascii="Times New Roman" w:hAnsi="Times New Roman" w:cs="Times New Roman"/>
          <w:sz w:val="20"/>
          <w:szCs w:val="20"/>
        </w:rPr>
        <w:t xml:space="preserve"> is less than median age of most of </w:t>
      </w:r>
      <w:r w:rsidR="0052509C" w:rsidRPr="00A60B24">
        <w:rPr>
          <w:rFonts w:ascii="Times New Roman" w:hAnsi="Times New Roman" w:cs="Times New Roman"/>
          <w:sz w:val="20"/>
          <w:szCs w:val="20"/>
        </w:rPr>
        <w:t>literatures</w:t>
      </w:r>
      <w:r w:rsidR="00F76000" w:rsidRPr="00A60B24">
        <w:rPr>
          <w:rFonts w:ascii="Times New Roman" w:hAnsi="Times New Roman" w:cs="Times New Roman"/>
          <w:sz w:val="20"/>
          <w:szCs w:val="20"/>
          <w:lang w:eastAsia="zh-CN"/>
        </w:rPr>
        <w:t xml:space="preserve"> </w:t>
      </w:r>
      <w:r w:rsidRPr="00A60B24">
        <w:rPr>
          <w:rFonts w:ascii="Times New Roman" w:hAnsi="Times New Roman" w:cs="Times New Roman"/>
          <w:b/>
          <w:bCs/>
          <w:sz w:val="20"/>
          <w:szCs w:val="20"/>
        </w:rPr>
        <w:t>(</w:t>
      </w:r>
      <w:r w:rsidR="004E20D8" w:rsidRPr="00A60B24">
        <w:rPr>
          <w:rFonts w:ascii="Times New Roman" w:hAnsi="Times New Roman" w:cs="Times New Roman"/>
          <w:b/>
          <w:bCs/>
          <w:i/>
          <w:iCs/>
          <w:sz w:val="20"/>
          <w:szCs w:val="20"/>
        </w:rPr>
        <w:t>14-15</w:t>
      </w:r>
      <w:r w:rsidRPr="00A60B24">
        <w:rPr>
          <w:rFonts w:ascii="Times New Roman" w:hAnsi="Times New Roman" w:cs="Times New Roman"/>
          <w:b/>
          <w:bCs/>
          <w:i/>
          <w:iCs/>
          <w:sz w:val="20"/>
          <w:szCs w:val="20"/>
        </w:rPr>
        <w:t>)</w:t>
      </w:r>
      <w:r w:rsidR="004E20D8" w:rsidRPr="00A60B24">
        <w:rPr>
          <w:rFonts w:ascii="Times New Roman" w:hAnsi="Times New Roman" w:cs="Times New Roman"/>
          <w:b/>
          <w:bCs/>
          <w:sz w:val="20"/>
          <w:szCs w:val="20"/>
        </w:rPr>
        <w:t>.</w:t>
      </w:r>
      <w:r w:rsidR="00F76000" w:rsidRPr="00A60B24">
        <w:rPr>
          <w:rFonts w:ascii="Times New Roman" w:hAnsi="Times New Roman" w:cs="Times New Roman"/>
          <w:b/>
          <w:bCs/>
          <w:sz w:val="20"/>
          <w:szCs w:val="20"/>
          <w:lang w:eastAsia="zh-CN"/>
        </w:rPr>
        <w:t xml:space="preserve"> </w:t>
      </w:r>
      <w:r w:rsidR="004E20D8" w:rsidRPr="00A60B24">
        <w:rPr>
          <w:rFonts w:ascii="Times New Roman" w:hAnsi="Times New Roman" w:cs="Times New Roman"/>
          <w:b/>
          <w:bCs/>
          <w:i/>
          <w:iCs/>
          <w:sz w:val="20"/>
          <w:szCs w:val="20"/>
        </w:rPr>
        <w:t>Lee et al.,</w:t>
      </w:r>
      <w:r w:rsidR="004E20D8" w:rsidRPr="00A60B24">
        <w:rPr>
          <w:rFonts w:ascii="Times New Roman" w:hAnsi="Times New Roman" w:cs="Times New Roman"/>
          <w:sz w:val="20"/>
          <w:szCs w:val="20"/>
        </w:rPr>
        <w:t xml:space="preserve"> reported that nasopharyngeal carcinoma is common in </w:t>
      </w:r>
      <w:r w:rsidR="004E20D8" w:rsidRPr="00A60B24">
        <w:rPr>
          <w:rFonts w:ascii="Times New Roman" w:hAnsi="Times New Roman" w:cs="Times New Roman"/>
          <w:sz w:val="20"/>
          <w:szCs w:val="20"/>
        </w:rPr>
        <w:lastRenderedPageBreak/>
        <w:t>Mediterranean and some North African population (8 to 12 per 100,000 people), considering them as endemic areas, and the incidence outs</w:t>
      </w:r>
      <w:r w:rsidR="0052509C" w:rsidRPr="00A60B24">
        <w:rPr>
          <w:rFonts w:ascii="Times New Roman" w:hAnsi="Times New Roman" w:cs="Times New Roman"/>
          <w:sz w:val="20"/>
          <w:szCs w:val="20"/>
        </w:rPr>
        <w:t xml:space="preserve">ide endemic areas is much lower </w:t>
      </w:r>
      <w:r w:rsidR="004E20D8" w:rsidRPr="00A60B24">
        <w:rPr>
          <w:rFonts w:ascii="Times New Roman" w:hAnsi="Times New Roman" w:cs="Times New Roman"/>
          <w:b/>
          <w:bCs/>
          <w:sz w:val="20"/>
          <w:szCs w:val="20"/>
        </w:rPr>
        <w:t>(16).</w:t>
      </w:r>
      <w:r w:rsidR="00BF7D07" w:rsidRPr="00A60B24">
        <w:rPr>
          <w:rFonts w:ascii="Times New Roman" w:hAnsi="Times New Roman" w:cs="Times New Roman"/>
          <w:b/>
          <w:bCs/>
          <w:sz w:val="20"/>
          <w:szCs w:val="20"/>
        </w:rPr>
        <w:t xml:space="preserve"> </w:t>
      </w:r>
      <w:r w:rsidR="004E20D8" w:rsidRPr="00A60B24">
        <w:rPr>
          <w:rFonts w:ascii="Times New Roman" w:hAnsi="Times New Roman" w:cs="Times New Roman"/>
          <w:sz w:val="20"/>
          <w:szCs w:val="20"/>
        </w:rPr>
        <w:t xml:space="preserve">More than half of patients (53.3%) had </w:t>
      </w:r>
      <w:r w:rsidR="004E20D8" w:rsidRPr="00A60B24">
        <w:rPr>
          <w:rFonts w:ascii="Times New Roman" w:hAnsi="Times New Roman" w:cs="Times New Roman"/>
          <w:sz w:val="20"/>
          <w:szCs w:val="20"/>
          <w:lang w:bidi="ar-EG"/>
        </w:rPr>
        <w:t>undifferentiated non keratinizing</w:t>
      </w:r>
      <w:r w:rsidR="004E20D8" w:rsidRPr="00A60B24">
        <w:rPr>
          <w:rFonts w:ascii="Times New Roman" w:hAnsi="Times New Roman" w:cs="Times New Roman"/>
          <w:sz w:val="20"/>
          <w:szCs w:val="20"/>
        </w:rPr>
        <w:t xml:space="preserve"> </w:t>
      </w:r>
      <w:proofErr w:type="spellStart"/>
      <w:r w:rsidR="004E20D8" w:rsidRPr="00A60B24">
        <w:rPr>
          <w:rFonts w:ascii="Times New Roman" w:hAnsi="Times New Roman" w:cs="Times New Roman"/>
          <w:sz w:val="20"/>
          <w:szCs w:val="20"/>
        </w:rPr>
        <w:t>squamous</w:t>
      </w:r>
      <w:proofErr w:type="spellEnd"/>
      <w:r w:rsidR="004E20D8" w:rsidRPr="00A60B24">
        <w:rPr>
          <w:rFonts w:ascii="Times New Roman" w:hAnsi="Times New Roman" w:cs="Times New Roman"/>
          <w:sz w:val="20"/>
          <w:szCs w:val="20"/>
        </w:rPr>
        <w:t xml:space="preserve"> cell that correlated with endemic nasopharyngeal carcinoma, similar correlation was observed by </w:t>
      </w:r>
      <w:proofErr w:type="spellStart"/>
      <w:r w:rsidR="004E20D8" w:rsidRPr="00A60B24">
        <w:rPr>
          <w:rFonts w:ascii="Times New Roman" w:hAnsi="Times New Roman" w:cs="Times New Roman"/>
          <w:b/>
          <w:bCs/>
          <w:i/>
          <w:iCs/>
          <w:sz w:val="20"/>
          <w:szCs w:val="20"/>
        </w:rPr>
        <w:t>Yansu</w:t>
      </w:r>
      <w:proofErr w:type="spellEnd"/>
      <w:r w:rsidR="004E20D8" w:rsidRPr="00A60B24">
        <w:rPr>
          <w:rFonts w:ascii="Times New Roman" w:hAnsi="Times New Roman" w:cs="Times New Roman"/>
          <w:sz w:val="20"/>
          <w:szCs w:val="20"/>
        </w:rPr>
        <w:t xml:space="preserve"> and his colleagues </w:t>
      </w:r>
      <w:r w:rsidR="004E20D8" w:rsidRPr="00A60B24">
        <w:rPr>
          <w:rFonts w:ascii="Times New Roman" w:hAnsi="Times New Roman" w:cs="Times New Roman"/>
          <w:b/>
          <w:bCs/>
          <w:i/>
          <w:iCs/>
          <w:sz w:val="20"/>
          <w:szCs w:val="20"/>
        </w:rPr>
        <w:t>(17)</w:t>
      </w:r>
      <w:r w:rsidR="00737872" w:rsidRPr="00A60B24">
        <w:rPr>
          <w:rFonts w:ascii="Times New Roman" w:hAnsi="Times New Roman" w:cs="Times New Roman"/>
          <w:b/>
          <w:bCs/>
          <w:sz w:val="20"/>
          <w:szCs w:val="20"/>
        </w:rPr>
        <w:t xml:space="preserve">. </w:t>
      </w:r>
      <w:r w:rsidR="00737872" w:rsidRPr="00A60B24">
        <w:rPr>
          <w:rFonts w:ascii="Times New Roman" w:hAnsi="Times New Roman" w:cs="Times New Roman"/>
          <w:sz w:val="20"/>
          <w:szCs w:val="20"/>
        </w:rPr>
        <w:t>A</w:t>
      </w:r>
      <w:r w:rsidR="004E20D8" w:rsidRPr="00A60B24">
        <w:rPr>
          <w:rFonts w:ascii="Times New Roman" w:hAnsi="Times New Roman" w:cs="Times New Roman"/>
          <w:sz w:val="20"/>
          <w:szCs w:val="20"/>
        </w:rPr>
        <w:t xml:space="preserve">lso, most patients presented at advanced stage III (73.3%) that is consistently with </w:t>
      </w:r>
      <w:r w:rsidR="0052509C" w:rsidRPr="00A60B24">
        <w:rPr>
          <w:rFonts w:ascii="Times New Roman" w:hAnsi="Times New Roman" w:cs="Times New Roman"/>
          <w:b/>
          <w:bCs/>
          <w:i/>
          <w:iCs/>
          <w:sz w:val="20"/>
          <w:szCs w:val="20"/>
        </w:rPr>
        <w:t>Wang et al.,</w:t>
      </w:r>
      <w:r w:rsidR="004E20D8" w:rsidRPr="00A60B24">
        <w:rPr>
          <w:rFonts w:ascii="Times New Roman" w:hAnsi="Times New Roman" w:cs="Times New Roman"/>
          <w:sz w:val="20"/>
          <w:szCs w:val="20"/>
        </w:rPr>
        <w:t xml:space="preserve"> where 81.9 % </w:t>
      </w:r>
      <w:r w:rsidR="0052509C" w:rsidRPr="00A60B24">
        <w:rPr>
          <w:rFonts w:ascii="Times New Roman" w:hAnsi="Times New Roman" w:cs="Times New Roman"/>
          <w:sz w:val="20"/>
          <w:szCs w:val="20"/>
        </w:rPr>
        <w:t xml:space="preserve">of their patients </w:t>
      </w:r>
      <w:r w:rsidR="004E20D8" w:rsidRPr="00A60B24">
        <w:rPr>
          <w:rFonts w:ascii="Times New Roman" w:hAnsi="Times New Roman" w:cs="Times New Roman"/>
          <w:sz w:val="20"/>
          <w:szCs w:val="20"/>
        </w:rPr>
        <w:t>had stage III–</w:t>
      </w:r>
      <w:proofErr w:type="spellStart"/>
      <w:r w:rsidR="004E20D8" w:rsidRPr="00A60B24">
        <w:rPr>
          <w:rFonts w:ascii="Times New Roman" w:hAnsi="Times New Roman" w:cs="Times New Roman"/>
          <w:sz w:val="20"/>
          <w:szCs w:val="20"/>
        </w:rPr>
        <w:t>IVb</w:t>
      </w:r>
      <w:proofErr w:type="spellEnd"/>
      <w:r w:rsidR="004E20D8" w:rsidRPr="00A60B24">
        <w:rPr>
          <w:rFonts w:ascii="Times New Roman" w:hAnsi="Times New Roman" w:cs="Times New Roman"/>
          <w:sz w:val="20"/>
          <w:szCs w:val="20"/>
        </w:rPr>
        <w:t xml:space="preserve"> diseas</w:t>
      </w:r>
      <w:r w:rsidR="00BF7D07" w:rsidRPr="00A60B24">
        <w:rPr>
          <w:rFonts w:ascii="Times New Roman" w:hAnsi="Times New Roman" w:cs="Times New Roman"/>
          <w:sz w:val="20"/>
          <w:szCs w:val="20"/>
        </w:rPr>
        <w:t xml:space="preserve">e </w:t>
      </w:r>
      <w:r w:rsidR="00BF7D07" w:rsidRPr="00A60B24">
        <w:rPr>
          <w:rFonts w:ascii="Times New Roman" w:hAnsi="Times New Roman" w:cs="Times New Roman"/>
          <w:b/>
          <w:bCs/>
          <w:i/>
          <w:iCs/>
          <w:sz w:val="20"/>
          <w:szCs w:val="20"/>
        </w:rPr>
        <w:t>(</w:t>
      </w:r>
      <w:r w:rsidR="0052509C" w:rsidRPr="00A60B24">
        <w:rPr>
          <w:rFonts w:ascii="Times New Roman" w:hAnsi="Times New Roman" w:cs="Times New Roman"/>
          <w:b/>
          <w:bCs/>
          <w:i/>
          <w:iCs/>
          <w:sz w:val="20"/>
          <w:szCs w:val="20"/>
        </w:rPr>
        <w:t>18)</w:t>
      </w:r>
      <w:r w:rsidR="00737872" w:rsidRPr="00A60B24">
        <w:rPr>
          <w:rFonts w:ascii="Times New Roman" w:hAnsi="Times New Roman" w:cs="Times New Roman"/>
          <w:sz w:val="20"/>
          <w:szCs w:val="20"/>
        </w:rPr>
        <w:t>. T</w:t>
      </w:r>
      <w:r w:rsidR="004E20D8" w:rsidRPr="00A60B24">
        <w:rPr>
          <w:rFonts w:ascii="Times New Roman" w:hAnsi="Times New Roman" w:cs="Times New Roman"/>
          <w:sz w:val="20"/>
          <w:szCs w:val="20"/>
        </w:rPr>
        <w:t xml:space="preserve">he young age of our patients, their advanced stage at presentation as well as the disease site that is near </w:t>
      </w:r>
      <w:r w:rsidR="009201A3" w:rsidRPr="00A60B24">
        <w:rPr>
          <w:rFonts w:ascii="Times New Roman" w:hAnsi="Times New Roman" w:cs="Times New Roman"/>
          <w:sz w:val="20"/>
          <w:szCs w:val="20"/>
        </w:rPr>
        <w:t xml:space="preserve">to </w:t>
      </w:r>
      <w:r w:rsidR="004E20D8" w:rsidRPr="00A60B24">
        <w:rPr>
          <w:rFonts w:ascii="Times New Roman" w:hAnsi="Times New Roman" w:cs="Times New Roman"/>
          <w:sz w:val="20"/>
          <w:szCs w:val="20"/>
        </w:rPr>
        <w:t>a lot of risk organs render</w:t>
      </w:r>
      <w:r w:rsidR="0052509C" w:rsidRPr="00A60B24">
        <w:rPr>
          <w:rFonts w:ascii="Times New Roman" w:hAnsi="Times New Roman" w:cs="Times New Roman"/>
          <w:sz w:val="20"/>
          <w:szCs w:val="20"/>
        </w:rPr>
        <w:t>ed</w:t>
      </w:r>
      <w:r w:rsidR="004E20D8" w:rsidRPr="00A60B24">
        <w:rPr>
          <w:rFonts w:ascii="Times New Roman" w:hAnsi="Times New Roman" w:cs="Times New Roman"/>
          <w:sz w:val="20"/>
          <w:szCs w:val="20"/>
        </w:rPr>
        <w:t xml:space="preserve"> them more eligible for IMRT</w:t>
      </w:r>
      <w:r w:rsidR="0052509C" w:rsidRPr="00A60B24">
        <w:rPr>
          <w:rFonts w:ascii="Times New Roman" w:hAnsi="Times New Roman" w:cs="Times New Roman"/>
          <w:sz w:val="20"/>
          <w:szCs w:val="20"/>
        </w:rPr>
        <w:t>-SIB</w:t>
      </w:r>
      <w:r w:rsidR="004E20D8" w:rsidRPr="00A60B24">
        <w:rPr>
          <w:rFonts w:ascii="Times New Roman" w:hAnsi="Times New Roman" w:cs="Times New Roman"/>
          <w:sz w:val="20"/>
          <w:szCs w:val="20"/>
        </w:rPr>
        <w:t xml:space="preserve"> technique to get its benefit with less toxicities.</w:t>
      </w:r>
      <w:r w:rsidR="00F76000" w:rsidRPr="00A60B24">
        <w:rPr>
          <w:rFonts w:ascii="Times New Roman" w:hAnsi="Times New Roman" w:cs="Times New Roman"/>
          <w:sz w:val="20"/>
          <w:szCs w:val="20"/>
          <w:lang w:eastAsia="zh-CN"/>
        </w:rPr>
        <w:t xml:space="preserve"> </w:t>
      </w:r>
      <w:r w:rsidR="00E3600F" w:rsidRPr="00A60B24">
        <w:rPr>
          <w:rFonts w:ascii="Times New Roman" w:hAnsi="Times New Roman" w:cs="Times New Roman"/>
          <w:sz w:val="20"/>
          <w:szCs w:val="20"/>
        </w:rPr>
        <w:t>In this study, there was statistically significant difference between both techniques as regard to PTV69.96 coverage, its mean and maximum doses</w:t>
      </w:r>
      <w:r w:rsidR="00BF7D07" w:rsidRPr="00A60B24">
        <w:rPr>
          <w:rFonts w:ascii="Times New Roman" w:hAnsi="Times New Roman" w:cs="Times New Roman"/>
          <w:sz w:val="20"/>
          <w:szCs w:val="20"/>
        </w:rPr>
        <w:t xml:space="preserve"> &amp; </w:t>
      </w:r>
      <w:r w:rsidR="00E3600F" w:rsidRPr="00A60B24">
        <w:rPr>
          <w:rFonts w:ascii="Times New Roman" w:hAnsi="Times New Roman" w:cs="Times New Roman"/>
          <w:sz w:val="20"/>
          <w:szCs w:val="20"/>
        </w:rPr>
        <w:t>CTV59.4 coverage, its mean, minimum and maximum doses as well as statistically significant difference on sparing organs at risk as spinal cord, both parotid glands in all cases, brain stem. Similar results were reported by</w:t>
      </w:r>
      <w:r w:rsidR="0052509C" w:rsidRPr="00A60B24">
        <w:rPr>
          <w:rFonts w:ascii="Times New Roman" w:hAnsi="Times New Roman" w:cs="Times New Roman"/>
          <w:b/>
          <w:bCs/>
          <w:i/>
          <w:iCs/>
          <w:sz w:val="20"/>
          <w:szCs w:val="20"/>
        </w:rPr>
        <w:t xml:space="preserve"> Hunt et al.,</w:t>
      </w:r>
      <w:r w:rsidR="00E3600F" w:rsidRPr="00A60B24">
        <w:rPr>
          <w:rFonts w:ascii="Times New Roman" w:hAnsi="Times New Roman" w:cs="Times New Roman"/>
          <w:sz w:val="20"/>
          <w:szCs w:val="20"/>
        </w:rPr>
        <w:t xml:space="preserve"> on treating 23 patients with primary </w:t>
      </w:r>
      <w:proofErr w:type="spellStart"/>
      <w:r w:rsidR="00E3600F" w:rsidRPr="00A60B24">
        <w:rPr>
          <w:rFonts w:ascii="Times New Roman" w:hAnsi="Times New Roman" w:cs="Times New Roman"/>
          <w:sz w:val="20"/>
          <w:szCs w:val="20"/>
        </w:rPr>
        <w:t>nasopharynx</w:t>
      </w:r>
      <w:proofErr w:type="spellEnd"/>
      <w:r w:rsidR="00E3600F" w:rsidRPr="00A60B24">
        <w:rPr>
          <w:rFonts w:ascii="Times New Roman" w:hAnsi="Times New Roman" w:cs="Times New Roman"/>
          <w:sz w:val="20"/>
          <w:szCs w:val="20"/>
        </w:rPr>
        <w:t xml:space="preserve"> cancer using dynamic IMRT with an inverse planning algorithm. On comparison between 3DCRT and IMRT, They found that mean PTV dose had improved in IMRT plans more than that </w:t>
      </w:r>
      <w:r w:rsidR="00D27763" w:rsidRPr="00A60B24">
        <w:rPr>
          <w:rFonts w:ascii="Times New Roman" w:hAnsi="Times New Roman" w:cs="Times New Roman"/>
          <w:sz w:val="20"/>
          <w:szCs w:val="20"/>
        </w:rPr>
        <w:t>in</w:t>
      </w:r>
      <w:r w:rsidR="00E3600F" w:rsidRPr="00A60B24">
        <w:rPr>
          <w:rFonts w:ascii="Times New Roman" w:hAnsi="Times New Roman" w:cs="Times New Roman"/>
          <w:sz w:val="20"/>
          <w:szCs w:val="20"/>
        </w:rPr>
        <w:t xml:space="preserve"> 3DCRT plans (74.6 </w:t>
      </w:r>
      <w:proofErr w:type="spellStart"/>
      <w:r w:rsidR="00E3600F" w:rsidRPr="00A60B24">
        <w:rPr>
          <w:rFonts w:ascii="Times New Roman" w:hAnsi="Times New Roman" w:cs="Times New Roman"/>
          <w:sz w:val="20"/>
          <w:szCs w:val="20"/>
        </w:rPr>
        <w:t>Gy</w:t>
      </w:r>
      <w:proofErr w:type="spellEnd"/>
      <w:r w:rsidR="00E3600F" w:rsidRPr="00A60B24">
        <w:rPr>
          <w:rFonts w:ascii="Times New Roman" w:hAnsi="Times New Roman" w:cs="Times New Roman"/>
          <w:sz w:val="20"/>
          <w:szCs w:val="20"/>
        </w:rPr>
        <w:t xml:space="preserve"> and 77.3 </w:t>
      </w:r>
      <w:proofErr w:type="spellStart"/>
      <w:r w:rsidR="00E3600F" w:rsidRPr="00A60B24">
        <w:rPr>
          <w:rFonts w:ascii="Times New Roman" w:hAnsi="Times New Roman" w:cs="Times New Roman"/>
          <w:sz w:val="20"/>
          <w:szCs w:val="20"/>
        </w:rPr>
        <w:t>Gy</w:t>
      </w:r>
      <w:proofErr w:type="spellEnd"/>
      <w:r w:rsidR="00E3600F" w:rsidRPr="00A60B24">
        <w:rPr>
          <w:rFonts w:ascii="Times New Roman" w:hAnsi="Times New Roman" w:cs="Times New Roman"/>
          <w:sz w:val="20"/>
          <w:szCs w:val="20"/>
        </w:rPr>
        <w:t xml:space="preserve"> with the </w:t>
      </w:r>
      <w:proofErr w:type="spellStart"/>
      <w:r w:rsidR="00E3600F" w:rsidRPr="00A60B24">
        <w:rPr>
          <w:rFonts w:ascii="Times New Roman" w:hAnsi="Times New Roman" w:cs="Times New Roman"/>
          <w:sz w:val="20"/>
          <w:szCs w:val="20"/>
        </w:rPr>
        <w:t>the</w:t>
      </w:r>
      <w:proofErr w:type="spellEnd"/>
      <w:r w:rsidR="00E3600F" w:rsidRPr="00A60B24">
        <w:rPr>
          <w:rFonts w:ascii="Times New Roman" w:hAnsi="Times New Roman" w:cs="Times New Roman"/>
          <w:sz w:val="20"/>
          <w:szCs w:val="20"/>
        </w:rPr>
        <w:t xml:space="preserve"> 3D and IMRT plans, respectively), </w:t>
      </w:r>
      <w:r w:rsidR="00D27763" w:rsidRPr="00A60B24">
        <w:rPr>
          <w:rFonts w:ascii="Times New Roman" w:hAnsi="Times New Roman" w:cs="Times New Roman"/>
          <w:sz w:val="20"/>
          <w:szCs w:val="20"/>
        </w:rPr>
        <w:t>resulting in</w:t>
      </w:r>
      <w:r w:rsidR="00E3600F" w:rsidRPr="00A60B24">
        <w:rPr>
          <w:rFonts w:ascii="Times New Roman" w:hAnsi="Times New Roman" w:cs="Times New Roman"/>
          <w:sz w:val="20"/>
          <w:szCs w:val="20"/>
        </w:rPr>
        <w:t xml:space="preserve"> better improvement of PTV coverage in the </w:t>
      </w:r>
      <w:proofErr w:type="spellStart"/>
      <w:r w:rsidR="00E3600F" w:rsidRPr="00A60B24">
        <w:rPr>
          <w:rFonts w:ascii="Times New Roman" w:hAnsi="Times New Roman" w:cs="Times New Roman"/>
          <w:sz w:val="20"/>
          <w:szCs w:val="20"/>
        </w:rPr>
        <w:t>parapharyngeal</w:t>
      </w:r>
      <w:proofErr w:type="spellEnd"/>
      <w:r w:rsidR="00E3600F" w:rsidRPr="00A60B24">
        <w:rPr>
          <w:rFonts w:ascii="Times New Roman" w:hAnsi="Times New Roman" w:cs="Times New Roman"/>
          <w:sz w:val="20"/>
          <w:szCs w:val="20"/>
        </w:rPr>
        <w:t xml:space="preserve"> region, the medial aspects of the nodal volumes and the skull base using IMRT. Mean maximum Spinal cord dose was decreased from 44 </w:t>
      </w:r>
      <w:proofErr w:type="spellStart"/>
      <w:r w:rsidR="00E3600F" w:rsidRPr="00A60B24">
        <w:rPr>
          <w:rFonts w:ascii="Times New Roman" w:hAnsi="Times New Roman" w:cs="Times New Roman"/>
          <w:sz w:val="20"/>
          <w:szCs w:val="20"/>
        </w:rPr>
        <w:t>Gy</w:t>
      </w:r>
      <w:proofErr w:type="spellEnd"/>
      <w:r w:rsidR="00E3600F" w:rsidRPr="00A60B24">
        <w:rPr>
          <w:rFonts w:ascii="Times New Roman" w:hAnsi="Times New Roman" w:cs="Times New Roman"/>
          <w:sz w:val="20"/>
          <w:szCs w:val="20"/>
        </w:rPr>
        <w:t xml:space="preserve"> in the 3D plan </w:t>
      </w:r>
      <w:r w:rsidR="00D27763" w:rsidRPr="00A60B24">
        <w:rPr>
          <w:rFonts w:ascii="Times New Roman" w:hAnsi="Times New Roman" w:cs="Times New Roman"/>
          <w:sz w:val="20"/>
          <w:szCs w:val="20"/>
        </w:rPr>
        <w:t>to</w:t>
      </w:r>
      <w:r w:rsidR="00E3600F" w:rsidRPr="00A60B24">
        <w:rPr>
          <w:rFonts w:ascii="Times New Roman" w:hAnsi="Times New Roman" w:cs="Times New Roman"/>
          <w:sz w:val="20"/>
          <w:szCs w:val="20"/>
        </w:rPr>
        <w:t xml:space="preserve"> 34.5 </w:t>
      </w:r>
      <w:proofErr w:type="spellStart"/>
      <w:r w:rsidR="00E3600F" w:rsidRPr="00A60B24">
        <w:rPr>
          <w:rFonts w:ascii="Times New Roman" w:hAnsi="Times New Roman" w:cs="Times New Roman"/>
          <w:sz w:val="20"/>
          <w:szCs w:val="20"/>
        </w:rPr>
        <w:t>Gy</w:t>
      </w:r>
      <w:proofErr w:type="spellEnd"/>
      <w:r w:rsidR="00E3600F" w:rsidRPr="00A60B24">
        <w:rPr>
          <w:rFonts w:ascii="Times New Roman" w:hAnsi="Times New Roman" w:cs="Times New Roman"/>
          <w:sz w:val="20"/>
          <w:szCs w:val="20"/>
        </w:rPr>
        <w:t xml:space="preserve"> in IMRT plan. Also, mean parotid gland dose was decreased with </w:t>
      </w:r>
      <w:r w:rsidR="0052509C" w:rsidRPr="00A60B24">
        <w:rPr>
          <w:rFonts w:ascii="Times New Roman" w:hAnsi="Times New Roman" w:cs="Times New Roman"/>
          <w:sz w:val="20"/>
          <w:szCs w:val="20"/>
        </w:rPr>
        <w:t xml:space="preserve">IMRT than that with other plans </w:t>
      </w:r>
      <w:r w:rsidR="00E3600F" w:rsidRPr="00A60B24">
        <w:rPr>
          <w:rFonts w:ascii="Times New Roman" w:hAnsi="Times New Roman" w:cs="Times New Roman"/>
          <w:b/>
          <w:bCs/>
          <w:i/>
          <w:iCs/>
          <w:sz w:val="20"/>
          <w:szCs w:val="20"/>
        </w:rPr>
        <w:t>(19)</w:t>
      </w:r>
      <w:r w:rsidR="00737872" w:rsidRPr="00A60B24">
        <w:rPr>
          <w:rFonts w:ascii="Times New Roman" w:hAnsi="Times New Roman" w:cs="Times New Roman" w:hint="eastAsia"/>
          <w:b/>
          <w:bCs/>
          <w:i/>
          <w:iCs/>
          <w:sz w:val="20"/>
          <w:szCs w:val="20"/>
          <w:lang w:eastAsia="zh-CN"/>
        </w:rPr>
        <w:t>.</w:t>
      </w:r>
    </w:p>
    <w:p w:rsidR="00496385" w:rsidRPr="00A60B24" w:rsidRDefault="00E3600F" w:rsidP="00737872">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A60B24">
        <w:rPr>
          <w:rFonts w:ascii="Times New Roman" w:hAnsi="Times New Roman" w:cs="Times New Roman"/>
          <w:sz w:val="20"/>
          <w:szCs w:val="20"/>
        </w:rPr>
        <w:t>Also,</w:t>
      </w:r>
      <w:r w:rsidR="00F76000" w:rsidRPr="00A60B24">
        <w:rPr>
          <w:rFonts w:ascii="Times New Roman" w:hAnsi="Times New Roman" w:cs="Times New Roman"/>
          <w:sz w:val="20"/>
          <w:szCs w:val="20"/>
          <w:lang w:eastAsia="zh-CN"/>
        </w:rPr>
        <w:t xml:space="preserve"> </w:t>
      </w:r>
      <w:r w:rsidRPr="00A60B24">
        <w:rPr>
          <w:rStyle w:val="authors"/>
          <w:rFonts w:ascii="Times New Roman" w:hAnsi="Times New Roman" w:cs="Times New Roman"/>
          <w:b/>
          <w:bCs/>
          <w:i/>
          <w:iCs/>
          <w:sz w:val="20"/>
          <w:szCs w:val="20"/>
        </w:rPr>
        <w:t>Claus</w:t>
      </w:r>
      <w:r w:rsidR="00D27763" w:rsidRPr="00A60B24">
        <w:rPr>
          <w:rFonts w:ascii="Times New Roman" w:hAnsi="Times New Roman" w:cs="Times New Roman"/>
          <w:b/>
          <w:bCs/>
          <w:i/>
          <w:iCs/>
          <w:sz w:val="20"/>
          <w:szCs w:val="20"/>
        </w:rPr>
        <w:t xml:space="preserve"> et al.,</w:t>
      </w:r>
      <w:r w:rsidRPr="00A60B24">
        <w:rPr>
          <w:rFonts w:ascii="Times New Roman" w:hAnsi="Times New Roman" w:cs="Times New Roman"/>
          <w:sz w:val="20"/>
          <w:szCs w:val="20"/>
        </w:rPr>
        <w:t xml:space="preserve"> reported on comparing dose plans of IMRT with 3D-CRT on 11 patients with nasopharyngeal carcinoma significant improvement of target volume coverage, significant reduction of the maximum dose to the spinal cord and brain stem as well as significant protection of parotid glands in IMRT plans that achieved with both a forward or inverse plan method. However, lower doses to parotid </w:t>
      </w:r>
      <w:proofErr w:type="spellStart"/>
      <w:r w:rsidRPr="00A60B24">
        <w:rPr>
          <w:rFonts w:ascii="Times New Roman" w:hAnsi="Times New Roman" w:cs="Times New Roman"/>
          <w:sz w:val="20"/>
          <w:szCs w:val="20"/>
        </w:rPr>
        <w:t>glans</w:t>
      </w:r>
      <w:proofErr w:type="spellEnd"/>
      <w:r w:rsidRPr="00A60B24">
        <w:rPr>
          <w:rFonts w:ascii="Times New Roman" w:hAnsi="Times New Roman" w:cs="Times New Roman"/>
          <w:sz w:val="20"/>
          <w:szCs w:val="20"/>
        </w:rPr>
        <w:t xml:space="preserve"> delivered through the inverse plan method with mean parotid dose 25.5 </w:t>
      </w:r>
      <w:proofErr w:type="spellStart"/>
      <w:r w:rsidRPr="00A60B24">
        <w:rPr>
          <w:rFonts w:ascii="Times New Roman" w:hAnsi="Times New Roman" w:cs="Times New Roman"/>
          <w:sz w:val="20"/>
          <w:szCs w:val="20"/>
        </w:rPr>
        <w:t>Gyvs</w:t>
      </w:r>
      <w:proofErr w:type="spellEnd"/>
      <w:r w:rsidRPr="00A60B24">
        <w:rPr>
          <w:rFonts w:ascii="Times New Roman" w:hAnsi="Times New Roman" w:cs="Times New Roman"/>
          <w:sz w:val="20"/>
          <w:szCs w:val="20"/>
        </w:rPr>
        <w:t xml:space="preserve"> 37.1 </w:t>
      </w:r>
      <w:proofErr w:type="spellStart"/>
      <w:r w:rsidRPr="00A60B24">
        <w:rPr>
          <w:rFonts w:ascii="Times New Roman" w:hAnsi="Times New Roman" w:cs="Times New Roman"/>
          <w:sz w:val="20"/>
          <w:szCs w:val="20"/>
        </w:rPr>
        <w:t>Gy</w:t>
      </w:r>
      <w:proofErr w:type="spellEnd"/>
      <w:r w:rsidRPr="00A60B24">
        <w:rPr>
          <w:rFonts w:ascii="Times New Roman" w:hAnsi="Times New Roman" w:cs="Times New Roman"/>
          <w:sz w:val="20"/>
          <w:szCs w:val="20"/>
        </w:rPr>
        <w:t xml:space="preserve"> in patients treated with forward plan</w:t>
      </w:r>
      <w:r w:rsidR="00BF7D07" w:rsidRPr="00A60B24">
        <w:rPr>
          <w:rFonts w:ascii="Times New Roman" w:hAnsi="Times New Roman" w:cs="Times New Roman"/>
          <w:sz w:val="20"/>
          <w:szCs w:val="20"/>
        </w:rPr>
        <w:t xml:space="preserve">s </w:t>
      </w:r>
      <w:r w:rsidR="00BF7D07" w:rsidRPr="00A60B24">
        <w:rPr>
          <w:rFonts w:ascii="Times New Roman" w:hAnsi="Times New Roman" w:cs="Times New Roman"/>
          <w:b/>
          <w:bCs/>
          <w:i/>
          <w:iCs/>
          <w:sz w:val="20"/>
          <w:szCs w:val="20"/>
        </w:rPr>
        <w:t>(</w:t>
      </w:r>
      <w:r w:rsidRPr="00A60B24">
        <w:rPr>
          <w:rFonts w:ascii="Times New Roman" w:hAnsi="Times New Roman" w:cs="Times New Roman"/>
          <w:b/>
          <w:bCs/>
          <w:i/>
          <w:iCs/>
          <w:sz w:val="20"/>
          <w:szCs w:val="20"/>
        </w:rPr>
        <w:t>20)</w:t>
      </w:r>
      <w:r w:rsidRPr="00A60B24">
        <w:rPr>
          <w:rFonts w:ascii="Times New Roman" w:hAnsi="Times New Roman" w:cs="Times New Roman"/>
          <w:sz w:val="20"/>
          <w:szCs w:val="20"/>
        </w:rPr>
        <w:t>.</w:t>
      </w:r>
    </w:p>
    <w:p w:rsidR="00496385" w:rsidRPr="00A60B24" w:rsidRDefault="00496385" w:rsidP="00737872">
      <w:pPr>
        <w:autoSpaceDE w:val="0"/>
        <w:autoSpaceDN w:val="0"/>
        <w:bidi w:val="0"/>
        <w:adjustRightInd w:val="0"/>
        <w:snapToGrid w:val="0"/>
        <w:spacing w:after="0" w:line="240" w:lineRule="auto"/>
        <w:ind w:firstLine="425"/>
        <w:jc w:val="both"/>
        <w:rPr>
          <w:rFonts w:ascii="Times New Roman" w:hAnsi="Times New Roman" w:cs="Times New Roman"/>
          <w:b/>
          <w:bCs/>
          <w:i/>
          <w:iCs/>
          <w:sz w:val="20"/>
          <w:szCs w:val="20"/>
        </w:rPr>
      </w:pPr>
      <w:r w:rsidRPr="00A60B24">
        <w:rPr>
          <w:rFonts w:ascii="Times New Roman" w:hAnsi="Times New Roman" w:cs="Times New Roman"/>
          <w:sz w:val="20"/>
          <w:szCs w:val="20"/>
        </w:rPr>
        <w:t>Our study also showed a statistically significant difference between IMRT and 3DCRT plans regarding monitor units/fraction as well as time/minutes.</w:t>
      </w:r>
      <w:r w:rsidR="00F76000" w:rsidRPr="00A60B24">
        <w:rPr>
          <w:rFonts w:ascii="Times New Roman" w:hAnsi="Times New Roman" w:cs="Times New Roman"/>
          <w:sz w:val="20"/>
          <w:szCs w:val="20"/>
          <w:lang w:eastAsia="zh-CN"/>
        </w:rPr>
        <w:t xml:space="preserve"> </w:t>
      </w:r>
      <w:r w:rsidRPr="00A60B24">
        <w:rPr>
          <w:rFonts w:ascii="Times New Roman" w:hAnsi="Times New Roman" w:cs="Times New Roman"/>
          <w:sz w:val="20"/>
          <w:szCs w:val="20"/>
        </w:rPr>
        <w:t xml:space="preserve">Comparable results were found by both </w:t>
      </w:r>
      <w:r w:rsidRPr="00A60B24">
        <w:rPr>
          <w:rFonts w:ascii="Times New Roman" w:hAnsi="Times New Roman" w:cs="Times New Roman"/>
          <w:b/>
          <w:bCs/>
          <w:i/>
          <w:iCs/>
          <w:sz w:val="20"/>
          <w:szCs w:val="20"/>
        </w:rPr>
        <w:t xml:space="preserve">Miles et al., </w:t>
      </w:r>
      <w:r w:rsidRPr="00A60B24">
        <w:rPr>
          <w:rFonts w:ascii="Times New Roman" w:hAnsi="Times New Roman" w:cs="Times New Roman"/>
          <w:sz w:val="20"/>
          <w:szCs w:val="20"/>
        </w:rPr>
        <w:t xml:space="preserve">and </w:t>
      </w:r>
      <w:r w:rsidRPr="00A60B24">
        <w:rPr>
          <w:rFonts w:ascii="Times New Roman" w:hAnsi="Times New Roman" w:cs="Times New Roman"/>
          <w:b/>
          <w:bCs/>
          <w:i/>
          <w:iCs/>
          <w:sz w:val="20"/>
          <w:szCs w:val="20"/>
        </w:rPr>
        <w:t xml:space="preserve">Van de </w:t>
      </w:r>
      <w:proofErr w:type="spellStart"/>
      <w:r w:rsidRPr="00A60B24">
        <w:rPr>
          <w:rFonts w:ascii="Times New Roman" w:hAnsi="Times New Roman" w:cs="Times New Roman"/>
          <w:b/>
          <w:bCs/>
          <w:i/>
          <w:iCs/>
          <w:sz w:val="20"/>
          <w:szCs w:val="20"/>
        </w:rPr>
        <w:t>W</w:t>
      </w:r>
      <w:r w:rsidR="00AE6D4E" w:rsidRPr="00A60B24">
        <w:rPr>
          <w:rFonts w:ascii="Times New Roman" w:hAnsi="Times New Roman" w:cs="Times New Roman"/>
          <w:b/>
          <w:bCs/>
          <w:i/>
          <w:iCs/>
          <w:sz w:val="20"/>
          <w:szCs w:val="20"/>
        </w:rPr>
        <w:t>e</w:t>
      </w:r>
      <w:r w:rsidR="00B12FFC" w:rsidRPr="00A60B24">
        <w:rPr>
          <w:rFonts w:ascii="Times New Roman" w:hAnsi="Times New Roman" w:cs="Times New Roman"/>
          <w:b/>
          <w:bCs/>
          <w:i/>
          <w:iCs/>
          <w:sz w:val="20"/>
          <w:szCs w:val="20"/>
        </w:rPr>
        <w:t>rf</w:t>
      </w:r>
      <w:proofErr w:type="spellEnd"/>
      <w:r w:rsidR="00B12FFC" w:rsidRPr="00A60B24">
        <w:rPr>
          <w:rFonts w:ascii="Times New Roman" w:hAnsi="Times New Roman" w:cs="Times New Roman"/>
          <w:b/>
          <w:bCs/>
          <w:i/>
          <w:iCs/>
          <w:sz w:val="20"/>
          <w:szCs w:val="20"/>
        </w:rPr>
        <w:t xml:space="preserve"> et al.,</w:t>
      </w:r>
      <w:r w:rsidR="00F76000" w:rsidRPr="00A60B24">
        <w:rPr>
          <w:rFonts w:ascii="Times New Roman" w:hAnsi="Times New Roman" w:cs="Times New Roman"/>
          <w:sz w:val="20"/>
          <w:szCs w:val="20"/>
          <w:lang w:eastAsia="zh-CN"/>
        </w:rPr>
        <w:t xml:space="preserve"> </w:t>
      </w:r>
      <w:r w:rsidRPr="00A60B24">
        <w:rPr>
          <w:rFonts w:ascii="Times New Roman" w:hAnsi="Times New Roman" w:cs="Times New Roman"/>
          <w:sz w:val="20"/>
          <w:szCs w:val="20"/>
        </w:rPr>
        <w:t xml:space="preserve">the first study reported that IMRT planning time was significantly longer than for conventional that had included target volume </w:t>
      </w:r>
      <w:proofErr w:type="spellStart"/>
      <w:r w:rsidRPr="00A60B24">
        <w:rPr>
          <w:rFonts w:ascii="Times New Roman" w:hAnsi="Times New Roman" w:cs="Times New Roman"/>
          <w:sz w:val="20"/>
          <w:szCs w:val="20"/>
        </w:rPr>
        <w:t>delination</w:t>
      </w:r>
      <w:proofErr w:type="spellEnd"/>
      <w:r w:rsidRPr="00A60B24">
        <w:rPr>
          <w:rFonts w:ascii="Times New Roman" w:hAnsi="Times New Roman" w:cs="Times New Roman"/>
          <w:sz w:val="20"/>
          <w:szCs w:val="20"/>
        </w:rPr>
        <w:t xml:space="preserve"> by clinician, more physics time specially for patient specific QA. The second one also proved that </w:t>
      </w:r>
      <w:r w:rsidRPr="00A60B24">
        <w:rPr>
          <w:rFonts w:ascii="Times New Roman" w:hAnsi="Times New Roman" w:cs="Times New Roman"/>
          <w:sz w:val="20"/>
          <w:szCs w:val="20"/>
        </w:rPr>
        <w:lastRenderedPageBreak/>
        <w:t>both increased QA and the delivery of IMRT had to be significant parameters determining daily treatment time resulting in increased treatment cost</w:t>
      </w:r>
      <w:r w:rsidR="00BF7D07" w:rsidRPr="00A60B24">
        <w:rPr>
          <w:rFonts w:ascii="Times New Roman" w:hAnsi="Times New Roman" w:cs="Times New Roman"/>
          <w:sz w:val="20"/>
          <w:szCs w:val="20"/>
        </w:rPr>
        <w:t xml:space="preserve">s </w:t>
      </w:r>
      <w:r w:rsidR="00BF7D07" w:rsidRPr="00A60B24">
        <w:rPr>
          <w:rFonts w:ascii="Times New Roman" w:hAnsi="Times New Roman" w:cs="Times New Roman"/>
          <w:b/>
          <w:bCs/>
          <w:i/>
          <w:iCs/>
          <w:sz w:val="20"/>
          <w:szCs w:val="20"/>
        </w:rPr>
        <w:t>(</w:t>
      </w:r>
      <w:r w:rsidR="0042771D" w:rsidRPr="00A60B24">
        <w:rPr>
          <w:rFonts w:ascii="Times New Roman" w:hAnsi="Times New Roman" w:cs="Times New Roman"/>
          <w:b/>
          <w:bCs/>
          <w:i/>
          <w:iCs/>
          <w:sz w:val="20"/>
          <w:szCs w:val="20"/>
        </w:rPr>
        <w:t>21-22</w:t>
      </w:r>
      <w:r w:rsidR="00AE6D4E" w:rsidRPr="00A60B24">
        <w:rPr>
          <w:rFonts w:ascii="Times New Roman" w:hAnsi="Times New Roman" w:cs="Times New Roman"/>
          <w:b/>
          <w:bCs/>
          <w:i/>
          <w:iCs/>
          <w:sz w:val="20"/>
          <w:szCs w:val="20"/>
        </w:rPr>
        <w:t>)</w:t>
      </w:r>
      <w:r w:rsidR="0007119D" w:rsidRPr="00A60B24">
        <w:rPr>
          <w:rFonts w:ascii="Times New Roman" w:hAnsi="Times New Roman" w:cs="Times New Roman"/>
          <w:b/>
          <w:bCs/>
          <w:i/>
          <w:iCs/>
          <w:sz w:val="20"/>
          <w:szCs w:val="20"/>
        </w:rPr>
        <w:t>.</w:t>
      </w:r>
    </w:p>
    <w:p w:rsidR="00496385" w:rsidRPr="00A60B24" w:rsidRDefault="00496385" w:rsidP="00737872">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A60B24">
        <w:rPr>
          <w:rFonts w:ascii="Times New Roman" w:hAnsi="Times New Roman" w:cs="Times New Roman"/>
          <w:sz w:val="20"/>
          <w:szCs w:val="20"/>
        </w:rPr>
        <w:t xml:space="preserve">Also, </w:t>
      </w:r>
      <w:r w:rsidR="00B12FFC" w:rsidRPr="00A60B24">
        <w:rPr>
          <w:rFonts w:ascii="Times New Roman" w:hAnsi="Times New Roman" w:cs="Times New Roman"/>
          <w:b/>
          <w:bCs/>
          <w:i/>
          <w:iCs/>
          <w:sz w:val="20"/>
          <w:szCs w:val="20"/>
        </w:rPr>
        <w:t>Murthy et al.,</w:t>
      </w:r>
      <w:r w:rsidRPr="00A60B24">
        <w:rPr>
          <w:rFonts w:ascii="Times New Roman" w:hAnsi="Times New Roman" w:cs="Times New Roman"/>
          <w:sz w:val="20"/>
          <w:szCs w:val="20"/>
        </w:rPr>
        <w:t xml:space="preserve"> concluded that IMRT delivery</w:t>
      </w:r>
      <w:r w:rsidR="00B12FFC" w:rsidRPr="00A60B24">
        <w:rPr>
          <w:rFonts w:ascii="Times New Roman" w:hAnsi="Times New Roman" w:cs="Times New Roman"/>
          <w:sz w:val="20"/>
          <w:szCs w:val="20"/>
        </w:rPr>
        <w:t xml:space="preserve"> time</w:t>
      </w:r>
      <w:r w:rsidRPr="00A60B24">
        <w:rPr>
          <w:rFonts w:ascii="Times New Roman" w:hAnsi="Times New Roman" w:cs="Times New Roman"/>
          <w:sz w:val="20"/>
          <w:szCs w:val="20"/>
        </w:rPr>
        <w:t xml:space="preserve"> is about 2.5–4 </w:t>
      </w:r>
      <w:r w:rsidR="00B12FFC" w:rsidRPr="00A60B24">
        <w:rPr>
          <w:rFonts w:ascii="Times New Roman" w:hAnsi="Times New Roman" w:cs="Times New Roman"/>
          <w:sz w:val="20"/>
          <w:szCs w:val="20"/>
        </w:rPr>
        <w:t>times</w:t>
      </w:r>
      <w:r w:rsidRPr="00A60B24">
        <w:rPr>
          <w:rFonts w:ascii="Times New Roman" w:hAnsi="Times New Roman" w:cs="Times New Roman"/>
          <w:sz w:val="20"/>
          <w:szCs w:val="20"/>
        </w:rPr>
        <w:t xml:space="preserve"> longer when compared to</w:t>
      </w:r>
      <w:r w:rsidR="00F76000" w:rsidRPr="00A60B24">
        <w:rPr>
          <w:rFonts w:ascii="Times New Roman" w:hAnsi="Times New Roman" w:cs="Times New Roman"/>
          <w:sz w:val="20"/>
          <w:szCs w:val="20"/>
          <w:lang w:eastAsia="zh-CN"/>
        </w:rPr>
        <w:t xml:space="preserve"> </w:t>
      </w:r>
      <w:r w:rsidR="00B12FFC" w:rsidRPr="00A60B24">
        <w:rPr>
          <w:rFonts w:ascii="Times New Roman" w:hAnsi="Times New Roman" w:cs="Times New Roman"/>
          <w:sz w:val="20"/>
          <w:szCs w:val="20"/>
        </w:rPr>
        <w:t xml:space="preserve">3DCRTin </w:t>
      </w:r>
      <w:r w:rsidRPr="00A60B24">
        <w:rPr>
          <w:rFonts w:ascii="Times New Roman" w:hAnsi="Times New Roman" w:cs="Times New Roman"/>
          <w:sz w:val="20"/>
          <w:szCs w:val="20"/>
        </w:rPr>
        <w:t>a cohort of 20 patients. The median treatment delivery time/ fraction varied between the two arms, with 3D CRT taking 15.2 min, while IMRT taking 27.8 min (P&lt;0.001). The total treatment time was also significantly longer in the IMRT arm (P&lt;0.001). The monitor units delivered /fraction and the actual beam-on time were also statistically longer with IMR</w:t>
      </w:r>
      <w:r w:rsidR="00BF7D07" w:rsidRPr="00A60B24">
        <w:rPr>
          <w:rFonts w:ascii="Times New Roman" w:hAnsi="Times New Roman" w:cs="Times New Roman"/>
          <w:sz w:val="20"/>
          <w:szCs w:val="20"/>
        </w:rPr>
        <w:t xml:space="preserve">T </w:t>
      </w:r>
      <w:r w:rsidR="00BF7D07" w:rsidRPr="00A60B24">
        <w:rPr>
          <w:rFonts w:ascii="Times New Roman" w:hAnsi="Times New Roman" w:cs="Times New Roman"/>
          <w:b/>
          <w:bCs/>
          <w:i/>
          <w:iCs/>
          <w:sz w:val="20"/>
          <w:szCs w:val="20"/>
        </w:rPr>
        <w:t>(</w:t>
      </w:r>
      <w:r w:rsidR="0042771D" w:rsidRPr="00A60B24">
        <w:rPr>
          <w:rFonts w:ascii="Times New Roman" w:hAnsi="Times New Roman" w:cs="Times New Roman"/>
          <w:b/>
          <w:bCs/>
          <w:i/>
          <w:iCs/>
          <w:sz w:val="20"/>
          <w:szCs w:val="20"/>
        </w:rPr>
        <w:t>23)</w:t>
      </w:r>
      <w:r w:rsidR="0007119D" w:rsidRPr="00A60B24">
        <w:rPr>
          <w:rFonts w:ascii="Times New Roman" w:hAnsi="Times New Roman" w:cs="Times New Roman"/>
          <w:sz w:val="20"/>
          <w:szCs w:val="20"/>
        </w:rPr>
        <w:t>.</w:t>
      </w:r>
    </w:p>
    <w:p w:rsidR="00496385" w:rsidRPr="00A60B24" w:rsidRDefault="00496385" w:rsidP="00737872">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A60B24">
        <w:rPr>
          <w:rFonts w:ascii="Times New Roman" w:hAnsi="Times New Roman" w:cs="Times New Roman"/>
          <w:sz w:val="20"/>
          <w:szCs w:val="20"/>
        </w:rPr>
        <w:t xml:space="preserve">In our series, acute toxicity was recorded in </w:t>
      </w:r>
      <w:r w:rsidR="0007119D" w:rsidRPr="00A60B24">
        <w:rPr>
          <w:rFonts w:ascii="Times New Roman" w:hAnsi="Times New Roman" w:cs="Times New Roman"/>
          <w:sz w:val="20"/>
          <w:szCs w:val="20"/>
        </w:rPr>
        <w:t>the thirty</w:t>
      </w:r>
      <w:r w:rsidRPr="00A60B24">
        <w:rPr>
          <w:rFonts w:ascii="Times New Roman" w:hAnsi="Times New Roman" w:cs="Times New Roman"/>
          <w:sz w:val="20"/>
          <w:szCs w:val="20"/>
        </w:rPr>
        <w:t xml:space="preserve"> patients, Grade 1</w:t>
      </w:r>
      <w:r w:rsidR="00BF7D07" w:rsidRPr="00A60B24">
        <w:rPr>
          <w:rFonts w:ascii="Times New Roman" w:hAnsi="Times New Roman" w:cs="Times New Roman"/>
          <w:sz w:val="20"/>
          <w:szCs w:val="20"/>
        </w:rPr>
        <w:t xml:space="preserve"> &amp; </w:t>
      </w:r>
      <w:r w:rsidRPr="00A60B24">
        <w:rPr>
          <w:rFonts w:ascii="Times New Roman" w:hAnsi="Times New Roman" w:cs="Times New Roman"/>
          <w:sz w:val="20"/>
          <w:szCs w:val="20"/>
        </w:rPr>
        <w:t xml:space="preserve">2 anemia and </w:t>
      </w:r>
      <w:proofErr w:type="spellStart"/>
      <w:r w:rsidRPr="00A60B24">
        <w:rPr>
          <w:rFonts w:ascii="Times New Roman" w:hAnsi="Times New Roman" w:cs="Times New Roman"/>
          <w:sz w:val="20"/>
          <w:szCs w:val="20"/>
        </w:rPr>
        <w:t>neutropenia</w:t>
      </w:r>
      <w:proofErr w:type="spellEnd"/>
      <w:r w:rsidRPr="00A60B24">
        <w:rPr>
          <w:rFonts w:ascii="Times New Roman" w:hAnsi="Times New Roman" w:cs="Times New Roman"/>
          <w:sz w:val="20"/>
          <w:szCs w:val="20"/>
        </w:rPr>
        <w:t xml:space="preserve"> occurred in 46.67%</w:t>
      </w:r>
      <w:r w:rsidR="00BF7D07" w:rsidRPr="00A60B24">
        <w:rPr>
          <w:rFonts w:ascii="Times New Roman" w:hAnsi="Times New Roman" w:cs="Times New Roman"/>
          <w:sz w:val="20"/>
          <w:szCs w:val="20"/>
        </w:rPr>
        <w:t xml:space="preserve"> &amp; </w:t>
      </w:r>
      <w:r w:rsidRPr="00A60B24">
        <w:rPr>
          <w:rFonts w:ascii="Times New Roman" w:hAnsi="Times New Roman" w:cs="Times New Roman"/>
          <w:sz w:val="20"/>
          <w:szCs w:val="20"/>
        </w:rPr>
        <w:t xml:space="preserve">30% respectively. Only one patient developed grade 3 </w:t>
      </w:r>
      <w:proofErr w:type="spellStart"/>
      <w:r w:rsidRPr="00A60B24">
        <w:rPr>
          <w:rFonts w:ascii="Times New Roman" w:hAnsi="Times New Roman" w:cs="Times New Roman"/>
          <w:sz w:val="20"/>
          <w:szCs w:val="20"/>
        </w:rPr>
        <w:t>neutropenia</w:t>
      </w:r>
      <w:proofErr w:type="spellEnd"/>
      <w:r w:rsidRPr="00A60B24">
        <w:rPr>
          <w:rFonts w:ascii="Times New Roman" w:hAnsi="Times New Roman" w:cs="Times New Roman"/>
          <w:sz w:val="20"/>
          <w:szCs w:val="20"/>
        </w:rPr>
        <w:t>. However,</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 xml:space="preserve">higher grade 3 </w:t>
      </w:r>
      <w:proofErr w:type="spellStart"/>
      <w:r w:rsidRPr="00A60B24">
        <w:rPr>
          <w:rFonts w:ascii="Times New Roman" w:hAnsi="Times New Roman" w:cs="Times New Roman"/>
          <w:sz w:val="20"/>
          <w:szCs w:val="20"/>
        </w:rPr>
        <w:t>mucositis</w:t>
      </w:r>
      <w:proofErr w:type="spellEnd"/>
      <w:r w:rsidR="00737872" w:rsidRPr="00A60B24">
        <w:rPr>
          <w:rFonts w:ascii="Times New Roman" w:hAnsi="Times New Roman" w:cs="Times New Roman"/>
          <w:sz w:val="20"/>
          <w:szCs w:val="20"/>
        </w:rPr>
        <w:t xml:space="preserve">, </w:t>
      </w:r>
      <w:proofErr w:type="spellStart"/>
      <w:r w:rsidR="00737872" w:rsidRPr="00A60B24">
        <w:rPr>
          <w:rFonts w:ascii="Times New Roman" w:hAnsi="Times New Roman" w:cs="Times New Roman"/>
          <w:sz w:val="20"/>
          <w:szCs w:val="20"/>
        </w:rPr>
        <w:t>x</w:t>
      </w:r>
      <w:r w:rsidRPr="00A60B24">
        <w:rPr>
          <w:rFonts w:ascii="Times New Roman" w:hAnsi="Times New Roman" w:cs="Times New Roman"/>
          <w:sz w:val="20"/>
          <w:szCs w:val="20"/>
        </w:rPr>
        <w:t>erostomia</w:t>
      </w:r>
      <w:proofErr w:type="spellEnd"/>
      <w:r w:rsidR="00BF7D07" w:rsidRPr="00A60B24">
        <w:rPr>
          <w:rFonts w:ascii="Times New Roman" w:hAnsi="Times New Roman" w:cs="Times New Roman"/>
          <w:sz w:val="20"/>
          <w:szCs w:val="20"/>
        </w:rPr>
        <w:t>,</w:t>
      </w:r>
      <w:r w:rsidRPr="00A60B24">
        <w:rPr>
          <w:rFonts w:ascii="Times New Roman" w:hAnsi="Times New Roman" w:cs="Times New Roman"/>
          <w:sz w:val="20"/>
          <w:szCs w:val="20"/>
        </w:rPr>
        <w:t xml:space="preserve"> oral pain, </w:t>
      </w:r>
      <w:proofErr w:type="spellStart"/>
      <w:r w:rsidRPr="00A60B24">
        <w:rPr>
          <w:rFonts w:ascii="Times New Roman" w:hAnsi="Times New Roman" w:cs="Times New Roman"/>
          <w:sz w:val="20"/>
          <w:szCs w:val="20"/>
        </w:rPr>
        <w:t>dysphagia</w:t>
      </w:r>
      <w:proofErr w:type="spellEnd"/>
      <w:r w:rsidRPr="00A60B24">
        <w:rPr>
          <w:rFonts w:ascii="Times New Roman" w:hAnsi="Times New Roman" w:cs="Times New Roman"/>
          <w:sz w:val="20"/>
          <w:szCs w:val="20"/>
        </w:rPr>
        <w:t>, laryngitis and radiation dermatitis were noticed in 13.3 %, 30%</w:t>
      </w:r>
      <w:r w:rsidR="00BF7D07" w:rsidRPr="00A60B24">
        <w:rPr>
          <w:rFonts w:ascii="Times New Roman" w:hAnsi="Times New Roman" w:cs="Times New Roman"/>
          <w:sz w:val="20"/>
          <w:szCs w:val="20"/>
        </w:rPr>
        <w:t>,</w:t>
      </w:r>
      <w:r w:rsidRPr="00A60B24">
        <w:rPr>
          <w:rFonts w:ascii="Times New Roman" w:hAnsi="Times New Roman" w:cs="Times New Roman"/>
          <w:sz w:val="20"/>
          <w:szCs w:val="20"/>
        </w:rPr>
        <w:t xml:space="preserve"> 16.67%, 16.67%</w:t>
      </w:r>
      <w:r w:rsidR="00BF7D07" w:rsidRPr="00A60B24">
        <w:rPr>
          <w:rFonts w:ascii="Times New Roman" w:hAnsi="Times New Roman" w:cs="Times New Roman"/>
          <w:sz w:val="20"/>
          <w:szCs w:val="20"/>
        </w:rPr>
        <w:t>,</w:t>
      </w:r>
      <w:r w:rsidRPr="00A60B24">
        <w:rPr>
          <w:rFonts w:ascii="Times New Roman" w:hAnsi="Times New Roman" w:cs="Times New Roman"/>
          <w:sz w:val="20"/>
          <w:szCs w:val="20"/>
        </w:rPr>
        <w:t xml:space="preserve"> 20% and 13.3% of patients respectively. Only one patient had grade 3 weight loss.</w:t>
      </w:r>
    </w:p>
    <w:p w:rsidR="00496385" w:rsidRPr="00A60B24" w:rsidRDefault="00496385" w:rsidP="00737872">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A60B24">
        <w:rPr>
          <w:rFonts w:ascii="Times New Roman" w:hAnsi="Times New Roman" w:cs="Times New Roman"/>
          <w:sz w:val="20"/>
          <w:szCs w:val="20"/>
        </w:rPr>
        <w:t>The time of highest grade of toxicity in our study was the 4th,</w:t>
      </w:r>
      <w:r w:rsidR="0007119D" w:rsidRPr="00A60B24">
        <w:rPr>
          <w:rFonts w:ascii="Times New Roman" w:hAnsi="Times New Roman" w:cs="Times New Roman"/>
          <w:sz w:val="20"/>
          <w:szCs w:val="20"/>
        </w:rPr>
        <w:t xml:space="preserve"> 5th</w:t>
      </w:r>
      <w:r w:rsidRPr="00A60B24">
        <w:rPr>
          <w:rFonts w:ascii="Times New Roman" w:hAnsi="Times New Roman" w:cs="Times New Roman"/>
          <w:sz w:val="20"/>
          <w:szCs w:val="20"/>
        </w:rPr>
        <w:t xml:space="preserve">, 6th week with a peak </w:t>
      </w:r>
      <w:r w:rsidR="0007119D" w:rsidRPr="00A60B24">
        <w:rPr>
          <w:rFonts w:ascii="Times New Roman" w:hAnsi="Times New Roman" w:cs="Times New Roman"/>
          <w:sz w:val="20"/>
          <w:szCs w:val="20"/>
        </w:rPr>
        <w:t>on the 5th week which is a well-known</w:t>
      </w:r>
      <w:r w:rsidRPr="00A60B24">
        <w:rPr>
          <w:rFonts w:ascii="Times New Roman" w:hAnsi="Times New Roman" w:cs="Times New Roman"/>
          <w:sz w:val="20"/>
          <w:szCs w:val="20"/>
        </w:rPr>
        <w:t xml:space="preserve"> radiobiological finding due to different kinetics of the cell populations involved </w:t>
      </w:r>
      <w:r w:rsidR="0042771D" w:rsidRPr="00A60B24">
        <w:rPr>
          <w:rFonts w:ascii="Times New Roman" w:hAnsi="Times New Roman" w:cs="Times New Roman"/>
          <w:b/>
          <w:bCs/>
          <w:i/>
          <w:iCs/>
          <w:sz w:val="20"/>
          <w:szCs w:val="20"/>
        </w:rPr>
        <w:t>(24)</w:t>
      </w:r>
      <w:r w:rsidR="0007119D" w:rsidRPr="00A60B24">
        <w:rPr>
          <w:rFonts w:ascii="Times New Roman" w:hAnsi="Times New Roman" w:cs="Times New Roman"/>
          <w:sz w:val="20"/>
          <w:szCs w:val="20"/>
        </w:rPr>
        <w:t>.</w:t>
      </w:r>
    </w:p>
    <w:p w:rsidR="00496385" w:rsidRPr="00A60B24" w:rsidRDefault="00496385" w:rsidP="00737872">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A60B24">
        <w:rPr>
          <w:rFonts w:ascii="Times New Roman" w:hAnsi="Times New Roman" w:cs="Times New Roman"/>
          <w:sz w:val="20"/>
          <w:szCs w:val="20"/>
        </w:rPr>
        <w:t>On evaluating late toxicity, we fo</w:t>
      </w:r>
      <w:r w:rsidRPr="00A60B24">
        <w:rPr>
          <w:rFonts w:ascii="Times New Roman" w:hAnsi="Times New Roman" w:cs="Times New Roman"/>
          <w:sz w:val="20"/>
          <w:szCs w:val="20"/>
        </w:rPr>
        <w:softHyphen/>
        <w:t xml:space="preserve">cused mainly on late </w:t>
      </w:r>
      <w:proofErr w:type="spellStart"/>
      <w:r w:rsidRPr="00A60B24">
        <w:rPr>
          <w:rFonts w:ascii="Times New Roman" w:hAnsi="Times New Roman" w:cs="Times New Roman"/>
          <w:sz w:val="20"/>
          <w:szCs w:val="20"/>
        </w:rPr>
        <w:t>xerostomia</w:t>
      </w:r>
      <w:proofErr w:type="spellEnd"/>
      <w:r w:rsidRPr="00A60B24">
        <w:rPr>
          <w:rFonts w:ascii="Times New Roman" w:hAnsi="Times New Roman" w:cs="Times New Roman"/>
          <w:sz w:val="20"/>
          <w:szCs w:val="20"/>
        </w:rPr>
        <w:t xml:space="preserve"> and </w:t>
      </w:r>
      <w:proofErr w:type="spellStart"/>
      <w:r w:rsidRPr="00A60B24">
        <w:rPr>
          <w:rFonts w:ascii="Times New Roman" w:hAnsi="Times New Roman" w:cs="Times New Roman"/>
          <w:sz w:val="20"/>
          <w:szCs w:val="20"/>
        </w:rPr>
        <w:t>dysphagia</w:t>
      </w:r>
      <w:proofErr w:type="spellEnd"/>
      <w:r w:rsidRPr="00A60B24">
        <w:rPr>
          <w:rFonts w:ascii="Times New Roman" w:hAnsi="Times New Roman" w:cs="Times New Roman"/>
          <w:sz w:val="20"/>
          <w:szCs w:val="20"/>
        </w:rPr>
        <w:t xml:space="preserve"> as these are the most important toxicities after RT for HNSCC. </w:t>
      </w:r>
    </w:p>
    <w:p w:rsidR="00496385" w:rsidRPr="00A60B24" w:rsidRDefault="00496385" w:rsidP="00737872">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A60B24">
        <w:rPr>
          <w:rFonts w:ascii="Times New Roman" w:hAnsi="Times New Roman" w:cs="Times New Roman"/>
          <w:sz w:val="20"/>
          <w:szCs w:val="20"/>
        </w:rPr>
        <w:t xml:space="preserve">In our study, after 9 months of ending radiotherapy, only one patient (3.3%) still had grade 3 </w:t>
      </w:r>
      <w:proofErr w:type="spellStart"/>
      <w:r w:rsidRPr="00A60B24">
        <w:rPr>
          <w:rFonts w:ascii="Times New Roman" w:hAnsi="Times New Roman" w:cs="Times New Roman"/>
          <w:sz w:val="20"/>
          <w:szCs w:val="20"/>
        </w:rPr>
        <w:t>xersotomia</w:t>
      </w:r>
      <w:proofErr w:type="spellEnd"/>
      <w:r w:rsidRPr="00A60B24">
        <w:rPr>
          <w:rFonts w:ascii="Times New Roman" w:hAnsi="Times New Roman" w:cs="Times New Roman"/>
          <w:sz w:val="20"/>
          <w:szCs w:val="20"/>
        </w:rPr>
        <w:t xml:space="preserve"> and one patient had grade 3 </w:t>
      </w:r>
      <w:proofErr w:type="spellStart"/>
      <w:r w:rsidRPr="00A60B24">
        <w:rPr>
          <w:rFonts w:ascii="Times New Roman" w:hAnsi="Times New Roman" w:cs="Times New Roman"/>
          <w:sz w:val="20"/>
          <w:szCs w:val="20"/>
        </w:rPr>
        <w:t>dysphagia</w:t>
      </w:r>
      <w:proofErr w:type="spellEnd"/>
      <w:r w:rsidRPr="00A60B24">
        <w:rPr>
          <w:rFonts w:ascii="Times New Roman" w:hAnsi="Times New Roman" w:cs="Times New Roman"/>
          <w:sz w:val="20"/>
          <w:szCs w:val="20"/>
        </w:rPr>
        <w:t xml:space="preserve"> (3.3%). No grade 4 toxicities were noticed. However 20 % of patients had grade 2 </w:t>
      </w:r>
      <w:proofErr w:type="spellStart"/>
      <w:r w:rsidRPr="00A60B24">
        <w:rPr>
          <w:rFonts w:ascii="Times New Roman" w:hAnsi="Times New Roman" w:cs="Times New Roman"/>
          <w:sz w:val="20"/>
          <w:szCs w:val="20"/>
        </w:rPr>
        <w:t>xerostomia</w:t>
      </w:r>
      <w:proofErr w:type="spellEnd"/>
      <w:r w:rsidRPr="00A60B24">
        <w:rPr>
          <w:rFonts w:ascii="Times New Roman" w:hAnsi="Times New Roman" w:cs="Times New Roman"/>
          <w:sz w:val="20"/>
          <w:szCs w:val="20"/>
        </w:rPr>
        <w:t xml:space="preserve"> and another one had grade 2 </w:t>
      </w:r>
      <w:proofErr w:type="spellStart"/>
      <w:r w:rsidRPr="00A60B24">
        <w:rPr>
          <w:rFonts w:ascii="Times New Roman" w:hAnsi="Times New Roman" w:cs="Times New Roman"/>
          <w:sz w:val="20"/>
          <w:szCs w:val="20"/>
        </w:rPr>
        <w:t>dysphagia</w:t>
      </w:r>
      <w:proofErr w:type="spellEnd"/>
      <w:r w:rsidRPr="00A60B24">
        <w:rPr>
          <w:rFonts w:ascii="Times New Roman" w:hAnsi="Times New Roman" w:cs="Times New Roman"/>
          <w:sz w:val="20"/>
          <w:szCs w:val="20"/>
        </w:rPr>
        <w:t>. Grade 2 hoarseness of voice remained in 2 patients.</w:t>
      </w:r>
    </w:p>
    <w:p w:rsidR="00496385" w:rsidRPr="00A60B24" w:rsidRDefault="00496385" w:rsidP="00737872">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A60B24">
        <w:rPr>
          <w:rFonts w:ascii="Times New Roman" w:hAnsi="Times New Roman" w:cs="Times New Roman"/>
          <w:sz w:val="20"/>
          <w:szCs w:val="20"/>
        </w:rPr>
        <w:t xml:space="preserve">Similar results of our study were proved by </w:t>
      </w:r>
      <w:r w:rsidRPr="00A60B24">
        <w:rPr>
          <w:rFonts w:ascii="Times New Roman" w:hAnsi="Times New Roman" w:cs="Times New Roman"/>
          <w:b/>
          <w:bCs/>
          <w:i/>
          <w:iCs/>
          <w:sz w:val="20"/>
          <w:szCs w:val="20"/>
        </w:rPr>
        <w:t>Lee et al.,</w:t>
      </w:r>
      <w:r w:rsidRPr="00A60B24">
        <w:rPr>
          <w:rFonts w:ascii="Times New Roman" w:hAnsi="Times New Roman" w:cs="Times New Roman"/>
          <w:sz w:val="20"/>
          <w:szCs w:val="20"/>
        </w:rPr>
        <w:t xml:space="preserve"> who examined 68 nasopharyngeal carcinoma patients treated with 70 </w:t>
      </w:r>
      <w:proofErr w:type="spellStart"/>
      <w:r w:rsidRPr="00A60B24">
        <w:rPr>
          <w:rFonts w:ascii="Times New Roman" w:hAnsi="Times New Roman" w:cs="Times New Roman"/>
          <w:sz w:val="20"/>
          <w:szCs w:val="20"/>
        </w:rPr>
        <w:t>Gy</w:t>
      </w:r>
      <w:proofErr w:type="spellEnd"/>
      <w:r w:rsidRPr="00A60B24">
        <w:rPr>
          <w:rFonts w:ascii="Times New Roman" w:hAnsi="Times New Roman" w:cs="Times New Roman"/>
          <w:sz w:val="20"/>
          <w:szCs w:val="20"/>
        </w:rPr>
        <w:t xml:space="preserve"> concurrently with </w:t>
      </w:r>
      <w:proofErr w:type="spellStart"/>
      <w:r w:rsidRPr="00A60B24">
        <w:rPr>
          <w:rFonts w:ascii="Times New Roman" w:hAnsi="Times New Roman" w:cs="Times New Roman"/>
          <w:sz w:val="20"/>
          <w:szCs w:val="20"/>
        </w:rPr>
        <w:t>cisplatin</w:t>
      </w:r>
      <w:proofErr w:type="spellEnd"/>
      <w:r w:rsidRPr="00A60B24">
        <w:rPr>
          <w:rFonts w:ascii="Times New Roman" w:hAnsi="Times New Roman" w:cs="Times New Roman"/>
          <w:sz w:val="20"/>
          <w:szCs w:val="20"/>
        </w:rPr>
        <w:t xml:space="preserve"> followed by adjuvant 3 cycles PE for acute toxicity, they reported acute grade 4 </w:t>
      </w:r>
      <w:proofErr w:type="spellStart"/>
      <w:r w:rsidRPr="00A60B24">
        <w:rPr>
          <w:rFonts w:ascii="Times New Roman" w:hAnsi="Times New Roman" w:cs="Times New Roman"/>
          <w:sz w:val="20"/>
          <w:szCs w:val="20"/>
        </w:rPr>
        <w:t>mu</w:t>
      </w:r>
      <w:r w:rsidR="0007119D" w:rsidRPr="00A60B24">
        <w:rPr>
          <w:rFonts w:ascii="Times New Roman" w:hAnsi="Times New Roman" w:cs="Times New Roman"/>
          <w:sz w:val="20"/>
          <w:szCs w:val="20"/>
        </w:rPr>
        <w:t>cositis</w:t>
      </w:r>
      <w:proofErr w:type="spellEnd"/>
      <w:r w:rsidR="0007119D" w:rsidRPr="00A60B24">
        <w:rPr>
          <w:rFonts w:ascii="Times New Roman" w:hAnsi="Times New Roman" w:cs="Times New Roman"/>
          <w:sz w:val="20"/>
          <w:szCs w:val="20"/>
        </w:rPr>
        <w:t xml:space="preserve"> in 4.4%, and late grade </w:t>
      </w:r>
      <w:r w:rsidRPr="00A60B24">
        <w:rPr>
          <w:rFonts w:ascii="Times New Roman" w:hAnsi="Times New Roman" w:cs="Times New Roman"/>
          <w:sz w:val="20"/>
          <w:szCs w:val="20"/>
        </w:rPr>
        <w:t xml:space="preserve">3 </w:t>
      </w:r>
      <w:proofErr w:type="spellStart"/>
      <w:r w:rsidRPr="00A60B24">
        <w:rPr>
          <w:rFonts w:ascii="Times New Roman" w:hAnsi="Times New Roman" w:cs="Times New Roman"/>
          <w:sz w:val="20"/>
          <w:szCs w:val="20"/>
        </w:rPr>
        <w:t>dysphagia</w:t>
      </w:r>
      <w:proofErr w:type="spellEnd"/>
      <w:r w:rsidRPr="00A60B24">
        <w:rPr>
          <w:rFonts w:ascii="Times New Roman" w:hAnsi="Times New Roman" w:cs="Times New Roman"/>
          <w:sz w:val="20"/>
          <w:szCs w:val="20"/>
        </w:rPr>
        <w:t xml:space="preserve">, </w:t>
      </w:r>
      <w:proofErr w:type="spellStart"/>
      <w:r w:rsidRPr="00A60B24">
        <w:rPr>
          <w:rFonts w:ascii="Times New Roman" w:hAnsi="Times New Roman" w:cs="Times New Roman"/>
          <w:sz w:val="20"/>
          <w:szCs w:val="20"/>
        </w:rPr>
        <w:t>mucositis</w:t>
      </w:r>
      <w:proofErr w:type="spellEnd"/>
      <w:r w:rsidRPr="00A60B24">
        <w:rPr>
          <w:rFonts w:ascii="Times New Roman" w:hAnsi="Times New Roman" w:cs="Times New Roman"/>
          <w:sz w:val="20"/>
          <w:szCs w:val="20"/>
        </w:rPr>
        <w:t xml:space="preserve">, </w:t>
      </w:r>
      <w:proofErr w:type="spellStart"/>
      <w:r w:rsidRPr="00A60B24">
        <w:rPr>
          <w:rFonts w:ascii="Times New Roman" w:hAnsi="Times New Roman" w:cs="Times New Roman"/>
          <w:sz w:val="20"/>
          <w:szCs w:val="20"/>
        </w:rPr>
        <w:t>xerostomia</w:t>
      </w:r>
      <w:proofErr w:type="spellEnd"/>
      <w:r w:rsidRPr="00A60B24">
        <w:rPr>
          <w:rFonts w:ascii="Times New Roman" w:hAnsi="Times New Roman" w:cs="Times New Roman"/>
          <w:sz w:val="20"/>
          <w:szCs w:val="20"/>
        </w:rPr>
        <w:t xml:space="preserve"> in 4.7%, 3.1%, 3.1% respectively. At one year from the start of IMRT, grade 2 </w:t>
      </w:r>
      <w:proofErr w:type="spellStart"/>
      <w:r w:rsidRPr="00A60B24">
        <w:rPr>
          <w:rFonts w:ascii="Times New Roman" w:hAnsi="Times New Roman" w:cs="Times New Roman"/>
          <w:sz w:val="20"/>
          <w:szCs w:val="20"/>
        </w:rPr>
        <w:t>xerostomia</w:t>
      </w:r>
      <w:proofErr w:type="spellEnd"/>
      <w:r w:rsidRPr="00A60B24">
        <w:rPr>
          <w:rFonts w:ascii="Times New Roman" w:hAnsi="Times New Roman" w:cs="Times New Roman"/>
          <w:sz w:val="20"/>
          <w:szCs w:val="20"/>
        </w:rPr>
        <w:t xml:space="preserve"> was 13.5%</w:t>
      </w:r>
      <w:r w:rsidR="00737872" w:rsidRPr="00A60B24">
        <w:rPr>
          <w:rFonts w:ascii="Times New Roman" w:hAnsi="Times New Roman" w:cs="Times New Roman"/>
          <w:sz w:val="20"/>
          <w:szCs w:val="20"/>
        </w:rPr>
        <w:t>, o</w:t>
      </w:r>
      <w:r w:rsidRPr="00A60B24">
        <w:rPr>
          <w:rFonts w:ascii="Times New Roman" w:hAnsi="Times New Roman" w:cs="Times New Roman"/>
          <w:sz w:val="20"/>
          <w:szCs w:val="20"/>
        </w:rPr>
        <w:t xml:space="preserve">nly two patients complained of grade 3 </w:t>
      </w:r>
      <w:proofErr w:type="spellStart"/>
      <w:r w:rsidRPr="00A60B24">
        <w:rPr>
          <w:rFonts w:ascii="Times New Roman" w:hAnsi="Times New Roman" w:cs="Times New Roman"/>
          <w:sz w:val="20"/>
          <w:szCs w:val="20"/>
        </w:rPr>
        <w:t>xerostomia</w:t>
      </w:r>
      <w:proofErr w:type="spellEnd"/>
      <w:r w:rsidRPr="00A60B24">
        <w:rPr>
          <w:rFonts w:ascii="Times New Roman" w:hAnsi="Times New Roman" w:cs="Times New Roman"/>
          <w:sz w:val="20"/>
          <w:szCs w:val="20"/>
        </w:rPr>
        <w:t xml:space="preserve">, and no one </w:t>
      </w:r>
      <w:proofErr w:type="spellStart"/>
      <w:r w:rsidRPr="00A60B24">
        <w:rPr>
          <w:rFonts w:ascii="Times New Roman" w:hAnsi="Times New Roman" w:cs="Times New Roman"/>
          <w:sz w:val="20"/>
          <w:szCs w:val="20"/>
        </w:rPr>
        <w:t>complaind</w:t>
      </w:r>
      <w:proofErr w:type="spellEnd"/>
      <w:r w:rsidRPr="00A60B24">
        <w:rPr>
          <w:rFonts w:ascii="Times New Roman" w:hAnsi="Times New Roman" w:cs="Times New Roman"/>
          <w:sz w:val="20"/>
          <w:szCs w:val="20"/>
        </w:rPr>
        <w:t xml:space="preserve"> from grade 4 </w:t>
      </w:r>
      <w:proofErr w:type="spellStart"/>
      <w:r w:rsidRPr="00A60B24">
        <w:rPr>
          <w:rFonts w:ascii="Times New Roman" w:hAnsi="Times New Roman" w:cs="Times New Roman"/>
          <w:sz w:val="20"/>
          <w:szCs w:val="20"/>
        </w:rPr>
        <w:t>xerostomi</w:t>
      </w:r>
      <w:r w:rsidR="00BF7D07" w:rsidRPr="00A60B24">
        <w:rPr>
          <w:rFonts w:ascii="Times New Roman" w:hAnsi="Times New Roman" w:cs="Times New Roman"/>
          <w:sz w:val="20"/>
          <w:szCs w:val="20"/>
        </w:rPr>
        <w:t>a</w:t>
      </w:r>
      <w:proofErr w:type="spellEnd"/>
      <w:r w:rsidR="00BF7D07" w:rsidRPr="00A60B24">
        <w:rPr>
          <w:rFonts w:ascii="Times New Roman" w:hAnsi="Times New Roman" w:cs="Times New Roman"/>
          <w:sz w:val="20"/>
          <w:szCs w:val="20"/>
        </w:rPr>
        <w:t xml:space="preserve"> </w:t>
      </w:r>
      <w:r w:rsidR="00BF7D07" w:rsidRPr="00A60B24">
        <w:rPr>
          <w:rFonts w:ascii="Times New Roman" w:hAnsi="Times New Roman" w:cs="Times New Roman"/>
          <w:b/>
          <w:bCs/>
          <w:i/>
          <w:iCs/>
          <w:sz w:val="20"/>
          <w:szCs w:val="20"/>
        </w:rPr>
        <w:t>(</w:t>
      </w:r>
      <w:r w:rsidR="0042771D" w:rsidRPr="00A60B24">
        <w:rPr>
          <w:rFonts w:ascii="Times New Roman" w:hAnsi="Times New Roman" w:cs="Times New Roman"/>
          <w:b/>
          <w:bCs/>
          <w:i/>
          <w:iCs/>
          <w:sz w:val="20"/>
          <w:szCs w:val="20"/>
        </w:rPr>
        <w:t>25)</w:t>
      </w:r>
      <w:r w:rsidRPr="00A60B24">
        <w:rPr>
          <w:rFonts w:ascii="Times New Roman" w:hAnsi="Times New Roman" w:cs="Times New Roman"/>
          <w:sz w:val="20"/>
          <w:szCs w:val="20"/>
        </w:rPr>
        <w:t>.</w:t>
      </w:r>
    </w:p>
    <w:p w:rsidR="00496385" w:rsidRPr="00A60B24" w:rsidRDefault="00496385" w:rsidP="00737872">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A60B24">
        <w:rPr>
          <w:rFonts w:ascii="Times New Roman" w:hAnsi="Times New Roman" w:cs="Times New Roman"/>
          <w:sz w:val="20"/>
          <w:szCs w:val="20"/>
        </w:rPr>
        <w:t xml:space="preserve">Also, </w:t>
      </w:r>
      <w:proofErr w:type="spellStart"/>
      <w:r w:rsidRPr="00A60B24">
        <w:rPr>
          <w:rFonts w:ascii="Times New Roman" w:hAnsi="Times New Roman" w:cs="Times New Roman"/>
          <w:b/>
          <w:bCs/>
          <w:i/>
          <w:iCs/>
          <w:sz w:val="20"/>
          <w:szCs w:val="20"/>
        </w:rPr>
        <w:t>Nutting</w:t>
      </w:r>
      <w:proofErr w:type="spellEnd"/>
      <w:r w:rsidRPr="00A60B24">
        <w:rPr>
          <w:rFonts w:ascii="Times New Roman" w:hAnsi="Times New Roman" w:cs="Times New Roman"/>
          <w:b/>
          <w:bCs/>
          <w:i/>
          <w:iCs/>
          <w:sz w:val="20"/>
          <w:szCs w:val="20"/>
        </w:rPr>
        <w:t xml:space="preserve"> et al.,</w:t>
      </w:r>
      <w:r w:rsidRPr="00A60B24">
        <w:rPr>
          <w:rFonts w:ascii="Times New Roman" w:hAnsi="Times New Roman" w:cs="Times New Roman"/>
          <w:sz w:val="20"/>
          <w:szCs w:val="20"/>
        </w:rPr>
        <w:t xml:space="preserve"> reported in one of la</w:t>
      </w:r>
      <w:r w:rsidR="0007119D" w:rsidRPr="00A60B24">
        <w:rPr>
          <w:rFonts w:ascii="Times New Roman" w:hAnsi="Times New Roman" w:cs="Times New Roman"/>
          <w:sz w:val="20"/>
          <w:szCs w:val="20"/>
        </w:rPr>
        <w:t xml:space="preserve">rgest, </w:t>
      </w:r>
      <w:proofErr w:type="spellStart"/>
      <w:r w:rsidR="0007119D" w:rsidRPr="00A60B24">
        <w:rPr>
          <w:rFonts w:ascii="Times New Roman" w:hAnsi="Times New Roman" w:cs="Times New Roman"/>
          <w:sz w:val="20"/>
          <w:szCs w:val="20"/>
        </w:rPr>
        <w:t>multicentric</w:t>
      </w:r>
      <w:proofErr w:type="spellEnd"/>
      <w:r w:rsidR="0007119D" w:rsidRPr="00A60B24">
        <w:rPr>
          <w:rFonts w:ascii="Times New Roman" w:hAnsi="Times New Roman" w:cs="Times New Roman"/>
          <w:sz w:val="20"/>
          <w:szCs w:val="20"/>
        </w:rPr>
        <w:t xml:space="preserve"> studies of </w:t>
      </w:r>
      <w:r w:rsidRPr="00A60B24">
        <w:rPr>
          <w:rFonts w:ascii="Times New Roman" w:hAnsi="Times New Roman" w:cs="Times New Roman"/>
          <w:sz w:val="20"/>
          <w:szCs w:val="20"/>
        </w:rPr>
        <w:t>94 patients with advanced pharyngeal cancer that at one ye</w:t>
      </w:r>
      <w:r w:rsidR="0007119D" w:rsidRPr="00A60B24">
        <w:rPr>
          <w:rFonts w:ascii="Times New Roman" w:hAnsi="Times New Roman" w:cs="Times New Roman"/>
          <w:sz w:val="20"/>
          <w:szCs w:val="20"/>
        </w:rPr>
        <w:t xml:space="preserve">ar, grade 2 </w:t>
      </w:r>
      <w:proofErr w:type="spellStart"/>
      <w:r w:rsidR="0007119D" w:rsidRPr="00A60B24">
        <w:rPr>
          <w:rFonts w:ascii="Times New Roman" w:hAnsi="Times New Roman" w:cs="Times New Roman"/>
          <w:sz w:val="20"/>
          <w:szCs w:val="20"/>
        </w:rPr>
        <w:t>xerostomia</w:t>
      </w:r>
      <w:proofErr w:type="spellEnd"/>
      <w:r w:rsidR="0007119D" w:rsidRPr="00A60B24">
        <w:rPr>
          <w:rFonts w:ascii="Times New Roman" w:hAnsi="Times New Roman" w:cs="Times New Roman"/>
          <w:sz w:val="20"/>
          <w:szCs w:val="20"/>
        </w:rPr>
        <w:t xml:space="preserve"> was 38 %</w:t>
      </w:r>
      <w:r w:rsidRPr="00A60B24">
        <w:rPr>
          <w:rFonts w:ascii="Times New Roman" w:hAnsi="Times New Roman" w:cs="Times New Roman"/>
          <w:sz w:val="20"/>
          <w:szCs w:val="20"/>
        </w:rPr>
        <w:t xml:space="preserve">. The difference between our study and </w:t>
      </w:r>
      <w:proofErr w:type="spellStart"/>
      <w:r w:rsidRPr="00A60B24">
        <w:rPr>
          <w:rFonts w:ascii="Times New Roman" w:hAnsi="Times New Roman" w:cs="Times New Roman"/>
          <w:sz w:val="20"/>
          <w:szCs w:val="20"/>
        </w:rPr>
        <w:t>Nutting</w:t>
      </w:r>
      <w:proofErr w:type="spellEnd"/>
      <w:r w:rsidRPr="00A60B24">
        <w:rPr>
          <w:rFonts w:ascii="Times New Roman" w:hAnsi="Times New Roman" w:cs="Times New Roman"/>
          <w:sz w:val="20"/>
          <w:szCs w:val="20"/>
        </w:rPr>
        <w:t xml:space="preserve"> may be due to scoring late toxicity by the late-effects on normal tissues-subjective objective management</w:t>
      </w:r>
      <w:r w:rsidR="00F76000" w:rsidRPr="00A60B24">
        <w:rPr>
          <w:rFonts w:ascii="Times New Roman" w:hAnsi="Times New Roman" w:cs="Times New Roman"/>
          <w:sz w:val="20"/>
          <w:szCs w:val="20"/>
          <w:lang w:eastAsia="zh-CN"/>
        </w:rPr>
        <w:t xml:space="preserve"> </w:t>
      </w:r>
      <w:r w:rsidRPr="00A60B24">
        <w:rPr>
          <w:rFonts w:ascii="Times New Roman" w:hAnsi="Times New Roman" w:cs="Times New Roman"/>
          <w:sz w:val="20"/>
          <w:szCs w:val="20"/>
        </w:rPr>
        <w:t>analytic (LENT-SOMA</w:t>
      </w:r>
      <w:r w:rsidR="00BF7D07" w:rsidRPr="00A60B24">
        <w:rPr>
          <w:rFonts w:ascii="Times New Roman" w:hAnsi="Times New Roman" w:cs="Times New Roman"/>
          <w:sz w:val="20"/>
          <w:szCs w:val="20"/>
        </w:rPr>
        <w:t xml:space="preserve">) </w:t>
      </w:r>
      <w:r w:rsidR="00BF7D07" w:rsidRPr="00A60B24">
        <w:rPr>
          <w:rFonts w:ascii="Times New Roman" w:hAnsi="Times New Roman" w:cs="Times New Roman"/>
          <w:b/>
          <w:bCs/>
          <w:i/>
          <w:iCs/>
          <w:sz w:val="20"/>
          <w:szCs w:val="20"/>
        </w:rPr>
        <w:t>(</w:t>
      </w:r>
      <w:r w:rsidR="0042771D" w:rsidRPr="00A60B24">
        <w:rPr>
          <w:rFonts w:ascii="Times New Roman" w:hAnsi="Times New Roman" w:cs="Times New Roman"/>
          <w:b/>
          <w:bCs/>
          <w:i/>
          <w:iCs/>
          <w:sz w:val="20"/>
          <w:szCs w:val="20"/>
        </w:rPr>
        <w:t>26)</w:t>
      </w:r>
      <w:r w:rsidR="00BF7D07" w:rsidRPr="00A60B24">
        <w:rPr>
          <w:rFonts w:ascii="Times New Roman" w:hAnsi="Times New Roman" w:cs="Times New Roman"/>
          <w:sz w:val="20"/>
          <w:szCs w:val="20"/>
        </w:rPr>
        <w:t>.</w:t>
      </w:r>
    </w:p>
    <w:p w:rsidR="00BF7D07" w:rsidRPr="00A60B24" w:rsidRDefault="00496385" w:rsidP="00737872">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A60B24">
        <w:rPr>
          <w:rFonts w:ascii="Times New Roman" w:hAnsi="Times New Roman" w:cs="Times New Roman"/>
          <w:sz w:val="20"/>
          <w:szCs w:val="20"/>
        </w:rPr>
        <w:t xml:space="preserve">In our series, no </w:t>
      </w:r>
      <w:proofErr w:type="spellStart"/>
      <w:r w:rsidRPr="00A60B24">
        <w:rPr>
          <w:rFonts w:ascii="Times New Roman" w:hAnsi="Times New Roman" w:cs="Times New Roman"/>
          <w:sz w:val="20"/>
          <w:szCs w:val="20"/>
        </w:rPr>
        <w:t>osteoradionecrosis</w:t>
      </w:r>
      <w:proofErr w:type="spellEnd"/>
      <w:r w:rsidRPr="00A60B24">
        <w:rPr>
          <w:rFonts w:ascii="Times New Roman" w:hAnsi="Times New Roman" w:cs="Times New Roman"/>
          <w:sz w:val="20"/>
          <w:szCs w:val="20"/>
        </w:rPr>
        <w:t xml:space="preserve"> of jaw was observed similarly as shown by</w:t>
      </w:r>
      <w:r w:rsidR="0007119D" w:rsidRPr="00A60B24">
        <w:rPr>
          <w:rFonts w:ascii="Times New Roman" w:hAnsi="Times New Roman" w:cs="Times New Roman"/>
          <w:b/>
          <w:bCs/>
          <w:i/>
          <w:iCs/>
          <w:sz w:val="20"/>
          <w:szCs w:val="20"/>
        </w:rPr>
        <w:t xml:space="preserve"> Chen et al.,</w:t>
      </w:r>
      <w:r w:rsidRPr="00A60B24">
        <w:rPr>
          <w:rFonts w:ascii="Times New Roman" w:hAnsi="Times New Roman" w:cs="Times New Roman"/>
          <w:sz w:val="20"/>
          <w:szCs w:val="20"/>
        </w:rPr>
        <w:t xml:space="preserve"> who studied the incidence of </w:t>
      </w:r>
      <w:proofErr w:type="spellStart"/>
      <w:r w:rsidRPr="00A60B24">
        <w:rPr>
          <w:rFonts w:ascii="Times New Roman" w:hAnsi="Times New Roman" w:cs="Times New Roman"/>
          <w:sz w:val="20"/>
          <w:szCs w:val="20"/>
        </w:rPr>
        <w:t>osteoradionecrosis</w:t>
      </w:r>
      <w:proofErr w:type="spellEnd"/>
      <w:r w:rsidRPr="00A60B24">
        <w:rPr>
          <w:rFonts w:ascii="Times New Roman" w:hAnsi="Times New Roman" w:cs="Times New Roman"/>
          <w:sz w:val="20"/>
          <w:szCs w:val="20"/>
        </w:rPr>
        <w:t xml:space="preserve"> in patients </w:t>
      </w:r>
      <w:r w:rsidRPr="00A60B24">
        <w:rPr>
          <w:rFonts w:ascii="Times New Roman" w:hAnsi="Times New Roman" w:cs="Times New Roman"/>
          <w:sz w:val="20"/>
          <w:szCs w:val="20"/>
        </w:rPr>
        <w:lastRenderedPageBreak/>
        <w:t xml:space="preserve">with </w:t>
      </w:r>
      <w:proofErr w:type="spellStart"/>
      <w:r w:rsidRPr="00A60B24">
        <w:rPr>
          <w:rFonts w:ascii="Times New Roman" w:hAnsi="Times New Roman" w:cs="Times New Roman"/>
          <w:sz w:val="20"/>
          <w:szCs w:val="20"/>
        </w:rPr>
        <w:t>paranasal</w:t>
      </w:r>
      <w:proofErr w:type="spellEnd"/>
      <w:r w:rsidRPr="00A60B24">
        <w:rPr>
          <w:rFonts w:ascii="Times New Roman" w:hAnsi="Times New Roman" w:cs="Times New Roman"/>
          <w:sz w:val="20"/>
          <w:szCs w:val="20"/>
        </w:rPr>
        <w:t xml:space="preserve"> sinuses and nasal cavity cancers treated by either 2DRT or 3DCRT or IMRT, they found that</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only IMRT treatmen</w:t>
      </w:r>
      <w:r w:rsidR="0007119D" w:rsidRPr="00A60B24">
        <w:rPr>
          <w:rFonts w:ascii="Times New Roman" w:hAnsi="Times New Roman" w:cs="Times New Roman"/>
          <w:sz w:val="20"/>
          <w:szCs w:val="20"/>
        </w:rPr>
        <w:t xml:space="preserve">t was associated with no events </w:t>
      </w:r>
      <w:r w:rsidR="0042771D" w:rsidRPr="00A60B24">
        <w:rPr>
          <w:rFonts w:ascii="Times New Roman" w:hAnsi="Times New Roman" w:cs="Times New Roman"/>
          <w:b/>
          <w:bCs/>
          <w:i/>
          <w:iCs/>
          <w:sz w:val="20"/>
          <w:szCs w:val="20"/>
        </w:rPr>
        <w:t>(27)</w:t>
      </w:r>
      <w:r w:rsidR="0007119D" w:rsidRPr="00A60B24">
        <w:rPr>
          <w:rFonts w:ascii="Times New Roman" w:hAnsi="Times New Roman" w:cs="Times New Roman"/>
          <w:sz w:val="20"/>
          <w:szCs w:val="20"/>
        </w:rPr>
        <w:t>.</w:t>
      </w:r>
    </w:p>
    <w:p w:rsidR="00496385" w:rsidRPr="00A60B24" w:rsidRDefault="00BF7D07" w:rsidP="00737872">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A60B24">
        <w:rPr>
          <w:rFonts w:ascii="Times New Roman" w:hAnsi="Times New Roman" w:cs="Times New Roman"/>
          <w:sz w:val="20"/>
          <w:szCs w:val="20"/>
        </w:rPr>
        <w:t>S</w:t>
      </w:r>
      <w:r w:rsidR="00496385" w:rsidRPr="00A60B24">
        <w:rPr>
          <w:rFonts w:ascii="Times New Roman" w:hAnsi="Times New Roman" w:cs="Times New Roman"/>
          <w:sz w:val="20"/>
          <w:szCs w:val="20"/>
        </w:rPr>
        <w:t xml:space="preserve">imilarly, </w:t>
      </w:r>
      <w:proofErr w:type="spellStart"/>
      <w:r w:rsidR="00496385" w:rsidRPr="00A60B24">
        <w:rPr>
          <w:rFonts w:ascii="Times New Roman" w:hAnsi="Times New Roman" w:cs="Times New Roman"/>
          <w:b/>
          <w:bCs/>
          <w:i/>
          <w:iCs/>
          <w:sz w:val="20"/>
          <w:szCs w:val="20"/>
        </w:rPr>
        <w:t>Rastogi</w:t>
      </w:r>
      <w:proofErr w:type="spellEnd"/>
      <w:r w:rsidR="00496385" w:rsidRPr="00A60B24">
        <w:rPr>
          <w:rFonts w:ascii="Times New Roman" w:hAnsi="Times New Roman" w:cs="Times New Roman"/>
          <w:b/>
          <w:bCs/>
          <w:i/>
          <w:iCs/>
          <w:sz w:val="20"/>
          <w:szCs w:val="20"/>
        </w:rPr>
        <w:t xml:space="preserve"> M et al.,</w:t>
      </w:r>
      <w:r w:rsidR="00496385" w:rsidRPr="00A60B24">
        <w:rPr>
          <w:rFonts w:ascii="Times New Roman" w:hAnsi="Times New Roman" w:cs="Times New Roman"/>
          <w:sz w:val="20"/>
          <w:szCs w:val="20"/>
        </w:rPr>
        <w:t xml:space="preserve"> evaluated feasibility, toxicity patterns and loco-regional control </w:t>
      </w:r>
      <w:r w:rsidR="0007119D" w:rsidRPr="00A60B24">
        <w:rPr>
          <w:rFonts w:ascii="Times New Roman" w:hAnsi="Times New Roman" w:cs="Times New Roman"/>
          <w:sz w:val="20"/>
          <w:szCs w:val="20"/>
        </w:rPr>
        <w:t xml:space="preserve">rates of IMRT-SIB technique in </w:t>
      </w:r>
      <w:r w:rsidR="00496385" w:rsidRPr="00A60B24">
        <w:rPr>
          <w:rFonts w:ascii="Times New Roman" w:hAnsi="Times New Roman" w:cs="Times New Roman"/>
          <w:sz w:val="20"/>
          <w:szCs w:val="20"/>
        </w:rPr>
        <w:t xml:space="preserve">30 HNSCC </w:t>
      </w:r>
      <w:r w:rsidR="0007119D" w:rsidRPr="00A60B24">
        <w:rPr>
          <w:rFonts w:ascii="Times New Roman" w:hAnsi="Times New Roman" w:cs="Times New Roman"/>
          <w:sz w:val="20"/>
          <w:szCs w:val="20"/>
        </w:rPr>
        <w:t>patients who</w:t>
      </w:r>
      <w:r w:rsidR="00496385" w:rsidRPr="00A60B24">
        <w:rPr>
          <w:rFonts w:ascii="Times New Roman" w:hAnsi="Times New Roman" w:cs="Times New Roman"/>
          <w:sz w:val="20"/>
          <w:szCs w:val="20"/>
        </w:rPr>
        <w:t xml:space="preserve"> aren't candidates for CCRT. Acute grade 3 </w:t>
      </w:r>
      <w:proofErr w:type="spellStart"/>
      <w:r w:rsidR="00496385" w:rsidRPr="00A60B24">
        <w:rPr>
          <w:rFonts w:ascii="Times New Roman" w:hAnsi="Times New Roman" w:cs="Times New Roman"/>
          <w:sz w:val="20"/>
          <w:szCs w:val="20"/>
        </w:rPr>
        <w:t>mucositis</w:t>
      </w:r>
      <w:proofErr w:type="spellEnd"/>
      <w:r w:rsidR="00496385" w:rsidRPr="00A60B24">
        <w:rPr>
          <w:rFonts w:ascii="Times New Roman" w:hAnsi="Times New Roman" w:cs="Times New Roman"/>
          <w:sz w:val="20"/>
          <w:szCs w:val="20"/>
        </w:rPr>
        <w:t xml:space="preserve">, dermatitis, </w:t>
      </w:r>
      <w:proofErr w:type="spellStart"/>
      <w:r w:rsidR="00496385" w:rsidRPr="00A60B24">
        <w:rPr>
          <w:rFonts w:ascii="Times New Roman" w:hAnsi="Times New Roman" w:cs="Times New Roman"/>
          <w:sz w:val="20"/>
          <w:szCs w:val="20"/>
        </w:rPr>
        <w:t>pharyngitis/esophagitis</w:t>
      </w:r>
      <w:proofErr w:type="spellEnd"/>
      <w:r w:rsidR="00496385" w:rsidRPr="00A60B24">
        <w:rPr>
          <w:rFonts w:ascii="Times New Roman" w:hAnsi="Times New Roman" w:cs="Times New Roman"/>
          <w:sz w:val="20"/>
          <w:szCs w:val="20"/>
        </w:rPr>
        <w:t xml:space="preserve"> and laryngeal were 56.66%, 30%, 26.67%, and 6.67% respectively at end of the treatment. Neither grade 4 toxicity nor hematological were noticed. Late grade 2 </w:t>
      </w:r>
      <w:proofErr w:type="spellStart"/>
      <w:r w:rsidR="00496385" w:rsidRPr="00A60B24">
        <w:rPr>
          <w:rFonts w:ascii="Times New Roman" w:hAnsi="Times New Roman" w:cs="Times New Roman"/>
          <w:sz w:val="20"/>
          <w:szCs w:val="20"/>
        </w:rPr>
        <w:t>xerostomia</w:t>
      </w:r>
      <w:proofErr w:type="spellEnd"/>
      <w:r w:rsidR="00496385" w:rsidRPr="00A60B24">
        <w:rPr>
          <w:rFonts w:ascii="Times New Roman" w:hAnsi="Times New Roman" w:cs="Times New Roman"/>
          <w:sz w:val="20"/>
          <w:szCs w:val="20"/>
        </w:rPr>
        <w:t xml:space="preserve"> was 13.3% whereas grade 2 subcutaneous toxicity was 7%. Thus, IMRT-SIB alone is an acceptable option for p</w:t>
      </w:r>
      <w:r w:rsidR="0007119D" w:rsidRPr="00A60B24">
        <w:rPr>
          <w:rFonts w:ascii="Times New Roman" w:hAnsi="Times New Roman" w:cs="Times New Roman"/>
          <w:sz w:val="20"/>
          <w:szCs w:val="20"/>
        </w:rPr>
        <w:t xml:space="preserve">atients of HNSCC unfit for CCRT </w:t>
      </w:r>
      <w:r w:rsidR="0042771D" w:rsidRPr="00A60B24">
        <w:rPr>
          <w:rFonts w:ascii="Times New Roman" w:hAnsi="Times New Roman" w:cs="Times New Roman"/>
          <w:b/>
          <w:bCs/>
          <w:i/>
          <w:iCs/>
          <w:sz w:val="20"/>
          <w:szCs w:val="20"/>
        </w:rPr>
        <w:t>(28)</w:t>
      </w:r>
      <w:r w:rsidRPr="00A60B24">
        <w:rPr>
          <w:rFonts w:ascii="Times New Roman" w:hAnsi="Times New Roman" w:cs="Times New Roman"/>
          <w:sz w:val="20"/>
          <w:szCs w:val="20"/>
        </w:rPr>
        <w:t>.</w:t>
      </w:r>
    </w:p>
    <w:p w:rsidR="00496385" w:rsidRPr="00A60B24" w:rsidRDefault="00496385" w:rsidP="00737872">
      <w:pPr>
        <w:tabs>
          <w:tab w:val="left" w:pos="6916"/>
        </w:tabs>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A60B24">
        <w:rPr>
          <w:rFonts w:ascii="Times New Roman" w:hAnsi="Times New Roman" w:cs="Times New Roman"/>
          <w:sz w:val="20"/>
          <w:szCs w:val="20"/>
        </w:rPr>
        <w:t>In our study, on analysis of QLQ, there was expected worsening of QOL during RT, mainly in swallowing, local pain, sticky saliva, dry mouth. At the 12-month follow-up, a recovery to baseline and even improvement was observed with the exception of the dry mouth and sticky saliva items. Percentage of patients with mean QLQ score &gt;50 (</w:t>
      </w:r>
      <w:proofErr w:type="spellStart"/>
      <w:r w:rsidRPr="00A60B24">
        <w:rPr>
          <w:rFonts w:ascii="Times New Roman" w:hAnsi="Times New Roman" w:cs="Times New Roman"/>
          <w:sz w:val="20"/>
          <w:szCs w:val="20"/>
        </w:rPr>
        <w:t>i.e</w:t>
      </w:r>
      <w:proofErr w:type="spellEnd"/>
      <w:r w:rsidRPr="00A60B24">
        <w:rPr>
          <w:rFonts w:ascii="Times New Roman" w:hAnsi="Times New Roman" w:cs="Times New Roman"/>
          <w:sz w:val="20"/>
          <w:szCs w:val="20"/>
        </w:rPr>
        <w:t xml:space="preserve"> poorer health) improved after one year of treatment compared to that before starting RT (25 % </w:t>
      </w:r>
      <w:proofErr w:type="spellStart"/>
      <w:r w:rsidRPr="00A60B24">
        <w:rPr>
          <w:rFonts w:ascii="Times New Roman" w:hAnsi="Times New Roman" w:cs="Times New Roman"/>
          <w:sz w:val="20"/>
          <w:szCs w:val="20"/>
        </w:rPr>
        <w:t>vs</w:t>
      </w:r>
      <w:proofErr w:type="spellEnd"/>
      <w:r w:rsidRPr="00A60B24">
        <w:rPr>
          <w:rFonts w:ascii="Times New Roman" w:hAnsi="Times New Roman" w:cs="Times New Roman"/>
          <w:sz w:val="20"/>
          <w:szCs w:val="20"/>
        </w:rPr>
        <w:t xml:space="preserve"> 53.3%) respectively.</w:t>
      </w:r>
    </w:p>
    <w:p w:rsidR="00496385" w:rsidRPr="00A60B24" w:rsidRDefault="00496385" w:rsidP="00737872">
      <w:pPr>
        <w:tabs>
          <w:tab w:val="left" w:pos="6916"/>
        </w:tabs>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A60B24">
        <w:rPr>
          <w:rFonts w:ascii="Times New Roman" w:hAnsi="Times New Roman" w:cs="Times New Roman"/>
          <w:sz w:val="20"/>
          <w:szCs w:val="20"/>
        </w:rPr>
        <w:t>Similar improvement was reported by</w:t>
      </w:r>
      <w:r w:rsidR="0007119D" w:rsidRPr="00A60B24">
        <w:rPr>
          <w:rFonts w:ascii="Times New Roman" w:hAnsi="Times New Roman" w:cs="Times New Roman"/>
          <w:b/>
          <w:bCs/>
          <w:i/>
          <w:iCs/>
          <w:sz w:val="20"/>
          <w:szCs w:val="20"/>
        </w:rPr>
        <w:t xml:space="preserve"> </w:t>
      </w:r>
      <w:proofErr w:type="spellStart"/>
      <w:r w:rsidR="0007119D" w:rsidRPr="00A60B24">
        <w:rPr>
          <w:rFonts w:ascii="Times New Roman" w:hAnsi="Times New Roman" w:cs="Times New Roman"/>
          <w:b/>
          <w:bCs/>
          <w:i/>
          <w:iCs/>
          <w:sz w:val="20"/>
          <w:szCs w:val="20"/>
        </w:rPr>
        <w:t>Nutting</w:t>
      </w:r>
      <w:proofErr w:type="spellEnd"/>
      <w:r w:rsidR="0007119D" w:rsidRPr="00A60B24">
        <w:rPr>
          <w:rFonts w:ascii="Times New Roman" w:hAnsi="Times New Roman" w:cs="Times New Roman"/>
          <w:b/>
          <w:bCs/>
          <w:i/>
          <w:iCs/>
          <w:sz w:val="20"/>
          <w:szCs w:val="20"/>
        </w:rPr>
        <w:t xml:space="preserve"> et al,</w:t>
      </w:r>
      <w:r w:rsidR="00F76000" w:rsidRPr="00A60B24">
        <w:rPr>
          <w:rFonts w:ascii="Times New Roman" w:hAnsi="Times New Roman" w:cs="Times New Roman"/>
          <w:b/>
          <w:bCs/>
          <w:i/>
          <w:iCs/>
          <w:sz w:val="20"/>
          <w:szCs w:val="20"/>
          <w:lang w:eastAsia="zh-CN"/>
        </w:rPr>
        <w:t xml:space="preserve"> </w:t>
      </w:r>
      <w:r w:rsidRPr="00A60B24">
        <w:rPr>
          <w:rFonts w:ascii="Times New Roman" w:hAnsi="Times New Roman" w:cs="Times New Roman"/>
          <w:sz w:val="20"/>
          <w:szCs w:val="20"/>
        </w:rPr>
        <w:t>who demonstrated significant improvements in the clinical</w:t>
      </w:r>
      <w:r w:rsidR="0007119D" w:rsidRPr="00A60B24">
        <w:rPr>
          <w:rFonts w:ascii="Times New Roman" w:hAnsi="Times New Roman" w:cs="Times New Roman"/>
          <w:sz w:val="20"/>
          <w:szCs w:val="20"/>
        </w:rPr>
        <w:t xml:space="preserve"> grade of </w:t>
      </w:r>
      <w:proofErr w:type="spellStart"/>
      <w:r w:rsidR="0007119D" w:rsidRPr="00A60B24">
        <w:rPr>
          <w:rFonts w:ascii="Times New Roman" w:hAnsi="Times New Roman" w:cs="Times New Roman"/>
          <w:sz w:val="20"/>
          <w:szCs w:val="20"/>
        </w:rPr>
        <w:t>xerostomiain</w:t>
      </w:r>
      <w:proofErr w:type="spellEnd"/>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patients who were treated with IMRT both after 12 and 2</w:t>
      </w:r>
      <w:r w:rsidR="0007119D" w:rsidRPr="00A60B24">
        <w:rPr>
          <w:rFonts w:ascii="Times New Roman" w:hAnsi="Times New Roman" w:cs="Times New Roman"/>
          <w:sz w:val="20"/>
          <w:szCs w:val="20"/>
        </w:rPr>
        <w:t>4 months</w:t>
      </w:r>
      <w:r w:rsidR="00BF7D07" w:rsidRPr="00A60B24">
        <w:rPr>
          <w:rFonts w:ascii="Times New Roman" w:hAnsi="Times New Roman" w:cs="Times New Roman"/>
          <w:sz w:val="20"/>
          <w:szCs w:val="20"/>
        </w:rPr>
        <w:t xml:space="preserve"> </w:t>
      </w:r>
      <w:r w:rsidR="0007119D" w:rsidRPr="00A60B24">
        <w:rPr>
          <w:rFonts w:ascii="Times New Roman" w:hAnsi="Times New Roman" w:cs="Times New Roman"/>
          <w:sz w:val="20"/>
          <w:szCs w:val="20"/>
        </w:rPr>
        <w:t xml:space="preserve">in the PARSPORT trial </w:t>
      </w:r>
      <w:r w:rsidR="0042771D" w:rsidRPr="00A60B24">
        <w:rPr>
          <w:rFonts w:ascii="Times New Roman" w:hAnsi="Times New Roman" w:cs="Times New Roman"/>
          <w:b/>
          <w:bCs/>
          <w:i/>
          <w:iCs/>
          <w:sz w:val="20"/>
          <w:szCs w:val="20"/>
        </w:rPr>
        <w:t>(26)</w:t>
      </w:r>
      <w:r w:rsidR="00BF7D07" w:rsidRPr="00A60B24">
        <w:rPr>
          <w:rFonts w:ascii="Times New Roman" w:hAnsi="Times New Roman" w:cs="Times New Roman"/>
          <w:sz w:val="20"/>
          <w:szCs w:val="20"/>
        </w:rPr>
        <w:t>.</w:t>
      </w:r>
    </w:p>
    <w:p w:rsidR="00496385" w:rsidRPr="00A60B24" w:rsidRDefault="00496385" w:rsidP="00737872">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A60B24">
        <w:rPr>
          <w:rFonts w:ascii="Times New Roman" w:hAnsi="Times New Roman" w:cs="Times New Roman"/>
          <w:sz w:val="20"/>
          <w:szCs w:val="20"/>
        </w:rPr>
        <w:t xml:space="preserve">Also, </w:t>
      </w:r>
      <w:r w:rsidR="0007119D" w:rsidRPr="00A60B24">
        <w:rPr>
          <w:rFonts w:ascii="Times New Roman" w:hAnsi="Times New Roman" w:cs="Times New Roman"/>
          <w:sz w:val="20"/>
          <w:szCs w:val="20"/>
        </w:rPr>
        <w:t>a</w:t>
      </w:r>
      <w:r w:rsidRPr="00A60B24">
        <w:rPr>
          <w:rFonts w:ascii="Times New Roman" w:hAnsi="Times New Roman" w:cs="Times New Roman"/>
          <w:sz w:val="20"/>
          <w:szCs w:val="20"/>
        </w:rPr>
        <w:t xml:space="preserve"> trial by </w:t>
      </w:r>
      <w:proofErr w:type="spellStart"/>
      <w:r w:rsidR="0007119D" w:rsidRPr="00A60B24">
        <w:rPr>
          <w:rFonts w:ascii="Times New Roman" w:hAnsi="Times New Roman" w:cs="Times New Roman"/>
          <w:b/>
          <w:bCs/>
          <w:i/>
          <w:iCs/>
          <w:sz w:val="20"/>
          <w:szCs w:val="20"/>
        </w:rPr>
        <w:t>Rathod</w:t>
      </w:r>
      <w:proofErr w:type="spellEnd"/>
      <w:r w:rsidR="0007119D" w:rsidRPr="00A60B24">
        <w:rPr>
          <w:rFonts w:ascii="Times New Roman" w:hAnsi="Times New Roman" w:cs="Times New Roman"/>
          <w:b/>
          <w:bCs/>
          <w:i/>
          <w:iCs/>
          <w:sz w:val="20"/>
          <w:szCs w:val="20"/>
        </w:rPr>
        <w:t xml:space="preserve"> et al,</w:t>
      </w:r>
      <w:r w:rsidRPr="00A60B24">
        <w:rPr>
          <w:rFonts w:ascii="Times New Roman" w:hAnsi="Times New Roman" w:cs="Times New Roman"/>
          <w:sz w:val="20"/>
          <w:szCs w:val="20"/>
        </w:rPr>
        <w:t xml:space="preserve"> had assessed </w:t>
      </w:r>
      <w:r w:rsidR="0007119D" w:rsidRPr="00A60B24">
        <w:rPr>
          <w:rFonts w:ascii="Times New Roman" w:hAnsi="Times New Roman" w:cs="Times New Roman"/>
          <w:sz w:val="20"/>
          <w:szCs w:val="20"/>
        </w:rPr>
        <w:t xml:space="preserve">health related QOL outcomes in </w:t>
      </w:r>
      <w:r w:rsidRPr="00A60B24">
        <w:rPr>
          <w:rFonts w:ascii="Times New Roman" w:hAnsi="Times New Roman" w:cs="Times New Roman"/>
          <w:sz w:val="20"/>
          <w:szCs w:val="20"/>
        </w:rPr>
        <w:t xml:space="preserve">60 HNSCC </w:t>
      </w:r>
      <w:r w:rsidR="0007119D" w:rsidRPr="00A60B24">
        <w:rPr>
          <w:rFonts w:ascii="Times New Roman" w:hAnsi="Times New Roman" w:cs="Times New Roman"/>
          <w:sz w:val="20"/>
          <w:szCs w:val="20"/>
        </w:rPr>
        <w:t xml:space="preserve">patients. </w:t>
      </w:r>
      <w:r w:rsidRPr="00A60B24">
        <w:rPr>
          <w:rFonts w:ascii="Times New Roman" w:hAnsi="Times New Roman" w:cs="Times New Roman"/>
          <w:sz w:val="20"/>
          <w:szCs w:val="20"/>
        </w:rPr>
        <w:t>Although the primary endpoint of the study was acute salivary gland toxicity, several symptom scales, such as dry mouth and opening mouth, were significantly improv</w:t>
      </w:r>
      <w:r w:rsidR="0007119D" w:rsidRPr="00A60B24">
        <w:rPr>
          <w:rFonts w:ascii="Times New Roman" w:hAnsi="Times New Roman" w:cs="Times New Roman"/>
          <w:sz w:val="20"/>
          <w:szCs w:val="20"/>
        </w:rPr>
        <w:t xml:space="preserve">ed at 12 months in the IMRT arm </w:t>
      </w:r>
      <w:r w:rsidR="0042771D" w:rsidRPr="00A60B24">
        <w:rPr>
          <w:rFonts w:ascii="Times New Roman" w:hAnsi="Times New Roman" w:cs="Times New Roman"/>
          <w:b/>
          <w:bCs/>
          <w:i/>
          <w:iCs/>
          <w:sz w:val="20"/>
          <w:szCs w:val="20"/>
        </w:rPr>
        <w:t>(29)</w:t>
      </w:r>
      <w:r w:rsidR="0007119D" w:rsidRPr="00A60B24">
        <w:rPr>
          <w:rFonts w:ascii="Times New Roman" w:hAnsi="Times New Roman" w:cs="Times New Roman"/>
          <w:sz w:val="20"/>
          <w:szCs w:val="20"/>
        </w:rPr>
        <w:t>.</w:t>
      </w:r>
    </w:p>
    <w:p w:rsidR="00496385" w:rsidRPr="00A60B24" w:rsidRDefault="00496385" w:rsidP="00737872">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A60B24">
        <w:rPr>
          <w:rFonts w:ascii="Times New Roman" w:hAnsi="Times New Roman" w:cs="Times New Roman"/>
          <w:sz w:val="20"/>
          <w:szCs w:val="20"/>
        </w:rPr>
        <w:t>Also,</w:t>
      </w:r>
      <w:r w:rsidR="0007119D" w:rsidRPr="00A60B24">
        <w:rPr>
          <w:rFonts w:ascii="Times New Roman" w:hAnsi="Times New Roman" w:cs="Times New Roman"/>
          <w:b/>
          <w:bCs/>
          <w:i/>
          <w:iCs/>
          <w:sz w:val="20"/>
          <w:szCs w:val="20"/>
        </w:rPr>
        <w:t xml:space="preserve"> Huang et al.,</w:t>
      </w:r>
      <w:r w:rsidRPr="00A60B24">
        <w:rPr>
          <w:rFonts w:ascii="Times New Roman" w:hAnsi="Times New Roman" w:cs="Times New Roman"/>
          <w:sz w:val="20"/>
          <w:szCs w:val="20"/>
        </w:rPr>
        <w:t xml:space="preserve"> underwent observational, cross-sectional study of QOL and late toxicities on 242 patients with NPC with survival of more than 5 years after treatment with IMRT or non</w:t>
      </w:r>
      <w:r w:rsidRPr="00A60B24">
        <w:rPr>
          <w:rFonts w:ascii="Cambria Math" w:hAnsi="Cambria Math" w:cs="Times New Roman"/>
          <w:sz w:val="20"/>
          <w:szCs w:val="20"/>
        </w:rPr>
        <w:t>‐</w:t>
      </w:r>
      <w:r w:rsidRPr="00A60B24">
        <w:rPr>
          <w:rFonts w:ascii="Times New Roman" w:hAnsi="Times New Roman" w:cs="Times New Roman"/>
          <w:sz w:val="20"/>
          <w:szCs w:val="20"/>
        </w:rPr>
        <w:t xml:space="preserve">IMRT methods. They found that The IMRT group had both statistically and clinically better outcome in global QOL, cognitive functioning, social functioning, fatigue, and 11 scales of the head and neck module. Also, late toxicities including </w:t>
      </w:r>
      <w:proofErr w:type="spellStart"/>
      <w:r w:rsidRPr="00A60B24">
        <w:rPr>
          <w:rFonts w:ascii="Times New Roman" w:hAnsi="Times New Roman" w:cs="Times New Roman"/>
          <w:sz w:val="20"/>
          <w:szCs w:val="20"/>
        </w:rPr>
        <w:t>xerostomia</w:t>
      </w:r>
      <w:proofErr w:type="spellEnd"/>
      <w:r w:rsidRPr="00A60B24">
        <w:rPr>
          <w:rFonts w:ascii="Times New Roman" w:hAnsi="Times New Roman" w:cs="Times New Roman"/>
          <w:sz w:val="20"/>
          <w:szCs w:val="20"/>
        </w:rPr>
        <w:t xml:space="preserve">, </w:t>
      </w:r>
      <w:proofErr w:type="spellStart"/>
      <w:r w:rsidRPr="00A60B24">
        <w:rPr>
          <w:rFonts w:ascii="Times New Roman" w:hAnsi="Times New Roman" w:cs="Times New Roman"/>
          <w:sz w:val="20"/>
          <w:szCs w:val="20"/>
        </w:rPr>
        <w:t>dysphagia</w:t>
      </w:r>
      <w:proofErr w:type="spellEnd"/>
      <w:r w:rsidRPr="00A60B24">
        <w:rPr>
          <w:rFonts w:ascii="Times New Roman" w:hAnsi="Times New Roman" w:cs="Times New Roman"/>
          <w:sz w:val="20"/>
          <w:szCs w:val="20"/>
        </w:rPr>
        <w:t>, neuropathy, hearing loss, and neck fibrosis were significantl</w:t>
      </w:r>
      <w:r w:rsidR="0007119D" w:rsidRPr="00A60B24">
        <w:rPr>
          <w:rFonts w:ascii="Times New Roman" w:hAnsi="Times New Roman" w:cs="Times New Roman"/>
          <w:sz w:val="20"/>
          <w:szCs w:val="20"/>
        </w:rPr>
        <w:t xml:space="preserve">y less severe in the IMRT group </w:t>
      </w:r>
      <w:r w:rsidR="0042771D" w:rsidRPr="00A60B24">
        <w:rPr>
          <w:rFonts w:ascii="Times New Roman" w:hAnsi="Times New Roman" w:cs="Times New Roman"/>
          <w:b/>
          <w:bCs/>
          <w:i/>
          <w:iCs/>
          <w:sz w:val="20"/>
          <w:szCs w:val="20"/>
        </w:rPr>
        <w:t>(30)</w:t>
      </w:r>
      <w:r w:rsidR="0007119D" w:rsidRPr="00A60B24">
        <w:rPr>
          <w:rFonts w:ascii="Times New Roman" w:hAnsi="Times New Roman" w:cs="Times New Roman"/>
          <w:sz w:val="20"/>
          <w:szCs w:val="20"/>
        </w:rPr>
        <w:t>.</w:t>
      </w:r>
    </w:p>
    <w:p w:rsidR="00496385" w:rsidRPr="00A60B24" w:rsidRDefault="00496385" w:rsidP="00737872">
      <w:pPr>
        <w:tabs>
          <w:tab w:val="left" w:pos="6916"/>
        </w:tabs>
        <w:autoSpaceDE w:val="0"/>
        <w:autoSpaceDN w:val="0"/>
        <w:bidi w:val="0"/>
        <w:adjustRightInd w:val="0"/>
        <w:snapToGrid w:val="0"/>
        <w:spacing w:after="0" w:line="240" w:lineRule="auto"/>
        <w:ind w:firstLine="425"/>
        <w:jc w:val="both"/>
        <w:rPr>
          <w:rFonts w:ascii="Times New Roman" w:hAnsi="Times New Roman" w:cs="Times New Roman"/>
          <w:b/>
          <w:bCs/>
          <w:sz w:val="20"/>
          <w:szCs w:val="20"/>
          <w:lang w:bidi="ar-EG"/>
        </w:rPr>
      </w:pPr>
      <w:proofErr w:type="spellStart"/>
      <w:r w:rsidRPr="00A60B24">
        <w:rPr>
          <w:rFonts w:ascii="Times New Roman" w:hAnsi="Times New Roman" w:cs="Times New Roman"/>
          <w:b/>
          <w:bCs/>
          <w:i/>
          <w:iCs/>
          <w:sz w:val="20"/>
          <w:szCs w:val="20"/>
        </w:rPr>
        <w:t>Edva</w:t>
      </w:r>
      <w:r w:rsidR="0007119D" w:rsidRPr="00A60B24">
        <w:rPr>
          <w:rFonts w:ascii="Times New Roman" w:hAnsi="Times New Roman" w:cs="Times New Roman"/>
          <w:b/>
          <w:bCs/>
          <w:i/>
          <w:iCs/>
          <w:sz w:val="20"/>
          <w:szCs w:val="20"/>
        </w:rPr>
        <w:t>rd</w:t>
      </w:r>
      <w:proofErr w:type="spellEnd"/>
      <w:r w:rsidR="0007119D" w:rsidRPr="00A60B24">
        <w:rPr>
          <w:rFonts w:ascii="Times New Roman" w:hAnsi="Times New Roman" w:cs="Times New Roman"/>
          <w:b/>
          <w:bCs/>
          <w:i/>
          <w:iCs/>
          <w:sz w:val="20"/>
          <w:szCs w:val="20"/>
        </w:rPr>
        <w:t xml:space="preserve"> et al,</w:t>
      </w:r>
      <w:r w:rsidR="0007119D" w:rsidRPr="00A60B24">
        <w:rPr>
          <w:rFonts w:ascii="Times New Roman" w:hAnsi="Times New Roman" w:cs="Times New Roman"/>
          <w:sz w:val="20"/>
          <w:szCs w:val="20"/>
        </w:rPr>
        <w:t xml:space="preserve"> reported </w:t>
      </w:r>
      <w:r w:rsidRPr="00A60B24">
        <w:rPr>
          <w:rFonts w:ascii="Times New Roman" w:hAnsi="Times New Roman" w:cs="Times New Roman"/>
          <w:sz w:val="20"/>
          <w:szCs w:val="20"/>
        </w:rPr>
        <w:t xml:space="preserve">that QOL was deteriorated also in the acute phase. Appetite loss, problems with swallowing, local pain, sticky saliva, dry mouth, fatigue, and decreased role functioning were significantly affected. At the 12-month follow-up, significant improvement was observed in most </w:t>
      </w:r>
      <w:r w:rsidR="0007119D" w:rsidRPr="00A60B24">
        <w:rPr>
          <w:rFonts w:ascii="Times New Roman" w:hAnsi="Times New Roman" w:cs="Times New Roman"/>
          <w:sz w:val="20"/>
          <w:szCs w:val="20"/>
        </w:rPr>
        <w:t xml:space="preserve">of symptoms excepting dry mouth </w:t>
      </w:r>
      <w:r w:rsidR="00EC16A1" w:rsidRPr="00A60B24">
        <w:rPr>
          <w:rFonts w:ascii="Times New Roman" w:hAnsi="Times New Roman" w:cs="Times New Roman"/>
          <w:b/>
          <w:bCs/>
          <w:i/>
          <w:iCs/>
          <w:sz w:val="20"/>
          <w:szCs w:val="20"/>
        </w:rPr>
        <w:t>(31)</w:t>
      </w:r>
      <w:r w:rsidR="0007119D" w:rsidRPr="00A60B24">
        <w:rPr>
          <w:rFonts w:ascii="Times New Roman" w:hAnsi="Times New Roman" w:cs="Times New Roman"/>
          <w:sz w:val="20"/>
          <w:szCs w:val="20"/>
        </w:rPr>
        <w:t>.</w:t>
      </w:r>
    </w:p>
    <w:p w:rsidR="00496385" w:rsidRPr="00A60B24" w:rsidRDefault="00496385" w:rsidP="00737872">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A60B24">
        <w:rPr>
          <w:rFonts w:ascii="Times New Roman" w:hAnsi="Times New Roman" w:cs="Times New Roman"/>
          <w:sz w:val="20"/>
          <w:szCs w:val="20"/>
        </w:rPr>
        <w:t xml:space="preserve">Our study demonstrated that 73.33% of patients achieved complete remission whereas 16.67 % of patients had partial remission, 6.67% of patients had </w:t>
      </w:r>
      <w:r w:rsidRPr="00A60B24">
        <w:rPr>
          <w:rFonts w:ascii="Times New Roman" w:hAnsi="Times New Roman" w:cs="Times New Roman"/>
          <w:sz w:val="20"/>
          <w:szCs w:val="20"/>
        </w:rPr>
        <w:lastRenderedPageBreak/>
        <w:t xml:space="preserve">stable disease and one patient got progression. There was statistically significant difference between tumor response and tumor size as well as N stage. </w:t>
      </w:r>
    </w:p>
    <w:p w:rsidR="00496385" w:rsidRPr="00A60B24" w:rsidRDefault="00496385" w:rsidP="00737872">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A60B24">
        <w:rPr>
          <w:rFonts w:ascii="Times New Roman" w:hAnsi="Times New Roman" w:cs="Times New Roman"/>
          <w:sz w:val="20"/>
          <w:szCs w:val="20"/>
        </w:rPr>
        <w:t xml:space="preserve">Comparable results were reported by </w:t>
      </w:r>
      <w:proofErr w:type="spellStart"/>
      <w:r w:rsidRPr="00A60B24">
        <w:rPr>
          <w:rFonts w:ascii="Times New Roman" w:hAnsi="Times New Roman" w:cs="Times New Roman"/>
          <w:b/>
          <w:bCs/>
          <w:i/>
          <w:iCs/>
          <w:sz w:val="20"/>
          <w:szCs w:val="20"/>
        </w:rPr>
        <w:t>Lertbutsayanukul</w:t>
      </w:r>
      <w:proofErr w:type="spellEnd"/>
      <w:r w:rsidRPr="00A60B24">
        <w:rPr>
          <w:rFonts w:ascii="Times New Roman" w:hAnsi="Times New Roman" w:cs="Times New Roman"/>
          <w:b/>
          <w:bCs/>
          <w:i/>
          <w:iCs/>
          <w:sz w:val="20"/>
          <w:szCs w:val="20"/>
        </w:rPr>
        <w:t xml:space="preserve"> et al</w:t>
      </w:r>
      <w:r w:rsidR="00BF7D07" w:rsidRPr="00A60B24">
        <w:rPr>
          <w:rFonts w:ascii="Times New Roman" w:hAnsi="Times New Roman" w:cs="Times New Roman"/>
          <w:b/>
          <w:bCs/>
          <w:i/>
          <w:iCs/>
          <w:sz w:val="20"/>
          <w:szCs w:val="20"/>
        </w:rPr>
        <w:t>.</w:t>
      </w:r>
      <w:r w:rsidRPr="00A60B24">
        <w:rPr>
          <w:rFonts w:ascii="Times New Roman" w:hAnsi="Times New Roman" w:cs="Times New Roman"/>
          <w:b/>
          <w:bCs/>
          <w:i/>
          <w:iCs/>
          <w:sz w:val="20"/>
          <w:szCs w:val="20"/>
        </w:rPr>
        <w:t>,</w:t>
      </w:r>
      <w:r w:rsidRPr="00A60B24">
        <w:rPr>
          <w:rFonts w:ascii="Times New Roman" w:hAnsi="Times New Roman" w:cs="Times New Roman"/>
          <w:sz w:val="20"/>
          <w:szCs w:val="20"/>
        </w:rPr>
        <w:t xml:space="preserve"> on treating 18 patients with </w:t>
      </w:r>
      <w:r w:rsidRPr="00A60B24">
        <w:rPr>
          <w:rStyle w:val="highlight"/>
          <w:rFonts w:ascii="Times New Roman" w:hAnsi="Times New Roman" w:cs="Times New Roman"/>
          <w:sz w:val="20"/>
          <w:szCs w:val="20"/>
        </w:rPr>
        <w:t>head and neck cancer</w:t>
      </w:r>
      <w:r w:rsidRPr="00A60B24">
        <w:rPr>
          <w:rFonts w:ascii="Times New Roman" w:hAnsi="Times New Roman" w:cs="Times New Roman"/>
          <w:sz w:val="20"/>
          <w:szCs w:val="20"/>
        </w:rPr>
        <w:t xml:space="preserve"> using </w:t>
      </w:r>
      <w:r w:rsidRPr="00A60B24">
        <w:rPr>
          <w:rStyle w:val="highlight"/>
          <w:rFonts w:ascii="Times New Roman" w:hAnsi="Times New Roman" w:cs="Times New Roman"/>
          <w:sz w:val="20"/>
          <w:szCs w:val="20"/>
        </w:rPr>
        <w:t>IMRT</w:t>
      </w:r>
      <w:r w:rsidRPr="00A60B24">
        <w:rPr>
          <w:rFonts w:ascii="Times New Roman" w:hAnsi="Times New Roman" w:cs="Times New Roman"/>
          <w:sz w:val="20"/>
          <w:szCs w:val="20"/>
        </w:rPr>
        <w:t xml:space="preserve"> with concurrent </w:t>
      </w:r>
      <w:proofErr w:type="spellStart"/>
      <w:r w:rsidRPr="00A60B24">
        <w:rPr>
          <w:rFonts w:ascii="Times New Roman" w:hAnsi="Times New Roman" w:cs="Times New Roman"/>
          <w:sz w:val="20"/>
          <w:szCs w:val="20"/>
        </w:rPr>
        <w:t>cisplatin</w:t>
      </w:r>
      <w:proofErr w:type="spellEnd"/>
      <w:r w:rsidRPr="00A60B24">
        <w:rPr>
          <w:rFonts w:ascii="Times New Roman" w:hAnsi="Times New Roman" w:cs="Times New Roman"/>
          <w:sz w:val="20"/>
          <w:szCs w:val="20"/>
        </w:rPr>
        <w:t xml:space="preserve"> or carboplatin,77.8% of patients had nasopharyngeal cancer, at 3 months CR and PR </w:t>
      </w:r>
      <w:r w:rsidR="00CB471A" w:rsidRPr="00A60B24">
        <w:rPr>
          <w:rFonts w:ascii="Times New Roman" w:hAnsi="Times New Roman" w:cs="Times New Roman"/>
          <w:sz w:val="20"/>
          <w:szCs w:val="20"/>
        </w:rPr>
        <w:t>were 71.4%</w:t>
      </w:r>
      <w:r w:rsidR="00BF7D07" w:rsidRPr="00A60B24">
        <w:rPr>
          <w:rFonts w:ascii="Times New Roman" w:hAnsi="Times New Roman" w:cs="Times New Roman"/>
          <w:sz w:val="20"/>
          <w:szCs w:val="20"/>
        </w:rPr>
        <w:t xml:space="preserve"> &amp; </w:t>
      </w:r>
      <w:r w:rsidR="00CB471A" w:rsidRPr="00A60B24">
        <w:rPr>
          <w:rFonts w:ascii="Times New Roman" w:hAnsi="Times New Roman" w:cs="Times New Roman"/>
          <w:sz w:val="20"/>
          <w:szCs w:val="20"/>
        </w:rPr>
        <w:t xml:space="preserve">28.6% respectively </w:t>
      </w:r>
      <w:r w:rsidR="00EC16A1" w:rsidRPr="00A60B24">
        <w:rPr>
          <w:rFonts w:ascii="Times New Roman" w:hAnsi="Times New Roman" w:cs="Times New Roman"/>
          <w:b/>
          <w:bCs/>
          <w:i/>
          <w:iCs/>
          <w:sz w:val="20"/>
          <w:szCs w:val="20"/>
        </w:rPr>
        <w:t>(32)</w:t>
      </w:r>
      <w:r w:rsidR="00CB471A" w:rsidRPr="00A60B24">
        <w:rPr>
          <w:rFonts w:ascii="Times New Roman" w:hAnsi="Times New Roman" w:cs="Times New Roman"/>
          <w:sz w:val="20"/>
          <w:szCs w:val="20"/>
        </w:rPr>
        <w:t>.</w:t>
      </w:r>
    </w:p>
    <w:p w:rsidR="00496385" w:rsidRPr="00A60B24" w:rsidRDefault="00CB471A" w:rsidP="00737872">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roofErr w:type="spellStart"/>
      <w:r w:rsidRPr="00A60B24">
        <w:rPr>
          <w:rFonts w:ascii="Times New Roman" w:hAnsi="Times New Roman" w:cs="Times New Roman"/>
          <w:b/>
          <w:bCs/>
          <w:i/>
          <w:iCs/>
          <w:sz w:val="20"/>
          <w:szCs w:val="20"/>
        </w:rPr>
        <w:t>Montejo</w:t>
      </w:r>
      <w:proofErr w:type="spellEnd"/>
      <w:r w:rsidRPr="00A60B24">
        <w:rPr>
          <w:rFonts w:ascii="Times New Roman" w:hAnsi="Times New Roman" w:cs="Times New Roman"/>
          <w:b/>
          <w:bCs/>
          <w:i/>
          <w:iCs/>
          <w:sz w:val="20"/>
          <w:szCs w:val="20"/>
        </w:rPr>
        <w:t xml:space="preserve"> et al.,</w:t>
      </w:r>
      <w:r w:rsidR="00496385" w:rsidRPr="00A60B24">
        <w:rPr>
          <w:rFonts w:ascii="Times New Roman" w:hAnsi="Times New Roman" w:cs="Times New Roman"/>
          <w:sz w:val="20"/>
          <w:szCs w:val="20"/>
        </w:rPr>
        <w:t xml:space="preserve"> evaluated treatment response of CCRT using IMRT in 43 patients with advanced head-and-neck </w:t>
      </w:r>
      <w:proofErr w:type="spellStart"/>
      <w:r w:rsidR="00496385" w:rsidRPr="00A60B24">
        <w:rPr>
          <w:rFonts w:ascii="Times New Roman" w:hAnsi="Times New Roman" w:cs="Times New Roman"/>
          <w:sz w:val="20"/>
          <w:szCs w:val="20"/>
        </w:rPr>
        <w:t>squamous</w:t>
      </w:r>
      <w:proofErr w:type="spellEnd"/>
      <w:r w:rsidR="00496385" w:rsidRPr="00A60B24">
        <w:rPr>
          <w:rFonts w:ascii="Times New Roman" w:hAnsi="Times New Roman" w:cs="Times New Roman"/>
          <w:sz w:val="20"/>
          <w:szCs w:val="20"/>
        </w:rPr>
        <w:t xml:space="preserve"> cell carcinoma, they reported that 90.7% completed </w:t>
      </w:r>
      <w:proofErr w:type="spellStart"/>
      <w:r w:rsidR="00496385" w:rsidRPr="00A60B24">
        <w:rPr>
          <w:rFonts w:ascii="Times New Roman" w:hAnsi="Times New Roman" w:cs="Times New Roman"/>
          <w:sz w:val="20"/>
          <w:szCs w:val="20"/>
        </w:rPr>
        <w:t>chemoradiotherapy</w:t>
      </w:r>
      <w:proofErr w:type="spellEnd"/>
      <w:r w:rsidR="00496385" w:rsidRPr="00A60B24">
        <w:rPr>
          <w:rFonts w:ascii="Times New Roman" w:hAnsi="Times New Roman" w:cs="Times New Roman"/>
          <w:sz w:val="20"/>
          <w:szCs w:val="20"/>
        </w:rPr>
        <w:t xml:space="preserve">. The median treatment duration was 43 days (range, 38–55 days). The complete response rate was </w:t>
      </w:r>
      <w:r w:rsidRPr="00A60B24">
        <w:rPr>
          <w:rFonts w:ascii="Times New Roman" w:hAnsi="Times New Roman" w:cs="Times New Roman"/>
          <w:sz w:val="20"/>
          <w:szCs w:val="20"/>
        </w:rPr>
        <w:t>74.4 %</w:t>
      </w:r>
      <w:r w:rsidR="00EC16A1" w:rsidRPr="00A60B24">
        <w:rPr>
          <w:rFonts w:ascii="Times New Roman" w:hAnsi="Times New Roman" w:cs="Times New Roman"/>
          <w:b/>
          <w:bCs/>
          <w:i/>
          <w:iCs/>
          <w:sz w:val="20"/>
          <w:szCs w:val="20"/>
        </w:rPr>
        <w:t>(33)</w:t>
      </w:r>
      <w:r w:rsidRPr="00A60B24">
        <w:rPr>
          <w:rFonts w:ascii="Times New Roman" w:hAnsi="Times New Roman" w:cs="Times New Roman"/>
          <w:sz w:val="20"/>
          <w:szCs w:val="20"/>
        </w:rPr>
        <w:t>.</w:t>
      </w:r>
    </w:p>
    <w:p w:rsidR="00496385" w:rsidRPr="00A60B24" w:rsidRDefault="00CB471A" w:rsidP="00737872">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A60B24">
        <w:rPr>
          <w:rFonts w:ascii="Times New Roman" w:hAnsi="Times New Roman" w:cs="Times New Roman"/>
          <w:b/>
          <w:bCs/>
          <w:i/>
          <w:iCs/>
          <w:sz w:val="20"/>
          <w:szCs w:val="20"/>
        </w:rPr>
        <w:t xml:space="preserve">Kim et al., </w:t>
      </w:r>
      <w:r w:rsidR="00496385" w:rsidRPr="00A60B24">
        <w:rPr>
          <w:rFonts w:ascii="Times New Roman" w:hAnsi="Times New Roman" w:cs="Times New Roman"/>
          <w:sz w:val="20"/>
          <w:szCs w:val="20"/>
        </w:rPr>
        <w:t xml:space="preserve">analyzed 53 consecutive nasopharyngeal cancer patients who received definitive treatment using IMRT-SIB and </w:t>
      </w:r>
      <w:proofErr w:type="spellStart"/>
      <w:r w:rsidR="00496385" w:rsidRPr="00A60B24">
        <w:rPr>
          <w:rFonts w:ascii="Times New Roman" w:hAnsi="Times New Roman" w:cs="Times New Roman"/>
          <w:sz w:val="20"/>
          <w:szCs w:val="20"/>
        </w:rPr>
        <w:t>cisplatin</w:t>
      </w:r>
      <w:proofErr w:type="spellEnd"/>
      <w:r w:rsidR="00496385" w:rsidRPr="00A60B24">
        <w:rPr>
          <w:rFonts w:ascii="Times New Roman" w:hAnsi="Times New Roman" w:cs="Times New Roman"/>
          <w:sz w:val="20"/>
          <w:szCs w:val="20"/>
        </w:rPr>
        <w:t>-based concurrent chemotherapy. 49 patients (92.5%) showed a complete clinical and radiographic response at 3 months after initial treatment. Two patients showed a partial response</w:t>
      </w:r>
      <w:r w:rsidR="00737872" w:rsidRPr="00A60B24">
        <w:rPr>
          <w:rFonts w:ascii="Times New Roman" w:hAnsi="Times New Roman" w:cs="Times New Roman"/>
          <w:sz w:val="20"/>
          <w:szCs w:val="20"/>
        </w:rPr>
        <w:t>. T</w:t>
      </w:r>
      <w:r w:rsidR="00496385" w:rsidRPr="00A60B24">
        <w:rPr>
          <w:rFonts w:ascii="Times New Roman" w:hAnsi="Times New Roman" w:cs="Times New Roman"/>
          <w:sz w:val="20"/>
          <w:szCs w:val="20"/>
        </w:rPr>
        <w:t>he remaining two p</w:t>
      </w:r>
      <w:r w:rsidRPr="00A60B24">
        <w:rPr>
          <w:rFonts w:ascii="Times New Roman" w:hAnsi="Times New Roman" w:cs="Times New Roman"/>
          <w:sz w:val="20"/>
          <w:szCs w:val="20"/>
        </w:rPr>
        <w:t xml:space="preserve">atients had progressive disease </w:t>
      </w:r>
      <w:r w:rsidR="00EC16A1" w:rsidRPr="00A60B24">
        <w:rPr>
          <w:rFonts w:ascii="Times New Roman" w:hAnsi="Times New Roman" w:cs="Times New Roman"/>
          <w:b/>
          <w:bCs/>
          <w:i/>
          <w:iCs/>
          <w:sz w:val="20"/>
          <w:szCs w:val="20"/>
        </w:rPr>
        <w:t>(34)</w:t>
      </w:r>
      <w:r w:rsidRPr="00A60B24">
        <w:rPr>
          <w:rFonts w:ascii="Times New Roman" w:hAnsi="Times New Roman" w:cs="Times New Roman"/>
          <w:sz w:val="20"/>
          <w:szCs w:val="20"/>
        </w:rPr>
        <w:t>.</w:t>
      </w:r>
    </w:p>
    <w:p w:rsidR="00496385" w:rsidRPr="00A60B24" w:rsidRDefault="00496385" w:rsidP="00737872">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A60B24">
        <w:rPr>
          <w:rFonts w:ascii="Times New Roman" w:hAnsi="Times New Roman" w:cs="Times New Roman"/>
          <w:sz w:val="20"/>
          <w:szCs w:val="20"/>
        </w:rPr>
        <w:t>At 2 years, within our patients LR</w:t>
      </w:r>
      <w:r w:rsidR="00CB471A" w:rsidRPr="00A60B24">
        <w:rPr>
          <w:rFonts w:ascii="Times New Roman" w:hAnsi="Times New Roman" w:cs="Times New Roman"/>
          <w:sz w:val="20"/>
          <w:szCs w:val="20"/>
        </w:rPr>
        <w:t>PF</w:t>
      </w:r>
      <w:r w:rsidR="00BF7D07" w:rsidRPr="00A60B24">
        <w:rPr>
          <w:rFonts w:ascii="Times New Roman" w:hAnsi="Times New Roman" w:cs="Times New Roman"/>
          <w:sz w:val="20"/>
          <w:szCs w:val="20"/>
        </w:rPr>
        <w:t xml:space="preserve"> &amp; </w:t>
      </w:r>
      <w:r w:rsidRPr="00A60B24">
        <w:rPr>
          <w:rFonts w:ascii="Times New Roman" w:hAnsi="Times New Roman" w:cs="Times New Roman"/>
          <w:sz w:val="20"/>
          <w:szCs w:val="20"/>
        </w:rPr>
        <w:t>DM</w:t>
      </w:r>
      <w:r w:rsidR="00CB471A" w:rsidRPr="00A60B24">
        <w:rPr>
          <w:rFonts w:ascii="Times New Roman" w:hAnsi="Times New Roman" w:cs="Times New Roman"/>
          <w:sz w:val="20"/>
          <w:szCs w:val="20"/>
        </w:rPr>
        <w:t>PF</w:t>
      </w:r>
      <w:r w:rsidR="00F76000" w:rsidRPr="00A60B24">
        <w:rPr>
          <w:rFonts w:ascii="Times New Roman" w:hAnsi="Times New Roman" w:cs="Times New Roman"/>
          <w:sz w:val="20"/>
          <w:szCs w:val="20"/>
          <w:lang w:eastAsia="zh-CN"/>
        </w:rPr>
        <w:t xml:space="preserve"> </w:t>
      </w:r>
      <w:r w:rsidR="00CB471A" w:rsidRPr="00A60B24">
        <w:rPr>
          <w:rFonts w:ascii="Times New Roman" w:hAnsi="Times New Roman" w:cs="Times New Roman"/>
          <w:sz w:val="20"/>
          <w:szCs w:val="20"/>
        </w:rPr>
        <w:t xml:space="preserve">rates </w:t>
      </w:r>
      <w:r w:rsidRPr="00A60B24">
        <w:rPr>
          <w:rFonts w:ascii="Times New Roman" w:hAnsi="Times New Roman" w:cs="Times New Roman"/>
          <w:sz w:val="20"/>
          <w:szCs w:val="20"/>
        </w:rPr>
        <w:t xml:space="preserve">and OS were 89.3 %, 92.86 % and 86.7% respectively. 10 % of patients had </w:t>
      </w:r>
      <w:proofErr w:type="spellStart"/>
      <w:r w:rsidRPr="00A60B24">
        <w:rPr>
          <w:rFonts w:ascii="Times New Roman" w:hAnsi="Times New Roman" w:cs="Times New Roman"/>
          <w:sz w:val="20"/>
          <w:szCs w:val="20"/>
        </w:rPr>
        <w:t>locoregional</w:t>
      </w:r>
      <w:proofErr w:type="spellEnd"/>
      <w:r w:rsidR="00F76000" w:rsidRPr="00A60B24">
        <w:rPr>
          <w:rFonts w:ascii="Times New Roman" w:hAnsi="Times New Roman" w:cs="Times New Roman"/>
          <w:sz w:val="20"/>
          <w:szCs w:val="20"/>
          <w:lang w:eastAsia="zh-CN"/>
        </w:rPr>
        <w:t xml:space="preserve"> </w:t>
      </w:r>
      <w:r w:rsidR="00CB471A" w:rsidRPr="00A60B24">
        <w:rPr>
          <w:rFonts w:ascii="Times New Roman" w:hAnsi="Times New Roman" w:cs="Times New Roman"/>
          <w:sz w:val="20"/>
          <w:szCs w:val="20"/>
        </w:rPr>
        <w:t>recurrence;</w:t>
      </w:r>
      <w:r w:rsidRPr="00A60B24">
        <w:rPr>
          <w:rFonts w:ascii="Times New Roman" w:hAnsi="Times New Roman" w:cs="Times New Roman"/>
          <w:sz w:val="20"/>
          <w:szCs w:val="20"/>
        </w:rPr>
        <w:t xml:space="preserve"> two patients (6.7%) had distant metastasis. </w:t>
      </w:r>
      <w:proofErr w:type="spellStart"/>
      <w:r w:rsidRPr="00A60B24">
        <w:rPr>
          <w:rFonts w:ascii="Times New Roman" w:hAnsi="Times New Roman" w:cs="Times New Roman"/>
          <w:sz w:val="20"/>
          <w:szCs w:val="20"/>
        </w:rPr>
        <w:t>Univariate</w:t>
      </w:r>
      <w:proofErr w:type="spellEnd"/>
      <w:r w:rsidRPr="00A60B24">
        <w:rPr>
          <w:rFonts w:ascii="Times New Roman" w:hAnsi="Times New Roman" w:cs="Times New Roman"/>
          <w:sz w:val="20"/>
          <w:szCs w:val="20"/>
        </w:rPr>
        <w:t xml:space="preserve"> analysis showed that</w:t>
      </w:r>
      <w:r w:rsidR="00BF7D07" w:rsidRPr="00A60B24">
        <w:rPr>
          <w:rFonts w:ascii="Times New Roman" w:hAnsi="Times New Roman" w:cs="Times New Roman"/>
          <w:sz w:val="20"/>
          <w:szCs w:val="20"/>
        </w:rPr>
        <w:t xml:space="preserve"> </w:t>
      </w:r>
      <w:r w:rsidR="00CB471A" w:rsidRPr="00A60B24">
        <w:rPr>
          <w:rFonts w:ascii="Times New Roman" w:hAnsi="Times New Roman" w:cs="Times New Roman"/>
          <w:sz w:val="20"/>
          <w:szCs w:val="20"/>
        </w:rPr>
        <w:t xml:space="preserve">both AJCC stage and </w:t>
      </w:r>
      <w:r w:rsidRPr="00A60B24">
        <w:rPr>
          <w:rFonts w:ascii="Times New Roman" w:hAnsi="Times New Roman" w:cs="Times New Roman"/>
          <w:sz w:val="20"/>
          <w:szCs w:val="20"/>
        </w:rPr>
        <w:t>N classification were significant parameter for overall survival while multivariate analysis revealed that the only significant parameter for overall survival was the stage.</w:t>
      </w:r>
    </w:p>
    <w:p w:rsidR="00496385" w:rsidRPr="00A60B24" w:rsidRDefault="00496385" w:rsidP="00737872">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r w:rsidRPr="00A60B24">
        <w:rPr>
          <w:rFonts w:ascii="Times New Roman" w:hAnsi="Times New Roman" w:cs="Times New Roman"/>
          <w:sz w:val="20"/>
          <w:szCs w:val="20"/>
        </w:rPr>
        <w:t xml:space="preserve">Comparable results </w:t>
      </w:r>
      <w:proofErr w:type="spellStart"/>
      <w:r w:rsidRPr="00A60B24">
        <w:rPr>
          <w:rFonts w:ascii="Times New Roman" w:hAnsi="Times New Roman" w:cs="Times New Roman"/>
          <w:sz w:val="20"/>
          <w:szCs w:val="20"/>
        </w:rPr>
        <w:t>obtaind</w:t>
      </w:r>
      <w:proofErr w:type="spellEnd"/>
      <w:r w:rsidRPr="00A60B24">
        <w:rPr>
          <w:rFonts w:ascii="Times New Roman" w:hAnsi="Times New Roman" w:cs="Times New Roman"/>
          <w:sz w:val="20"/>
          <w:szCs w:val="20"/>
        </w:rPr>
        <w:t xml:space="preserve"> from Grouped’</w:t>
      </w:r>
      <w:r w:rsidR="00F76000" w:rsidRPr="00A60B24">
        <w:rPr>
          <w:rFonts w:ascii="Times New Roman" w:hAnsi="Times New Roman" w:cs="Times New Roman"/>
          <w:sz w:val="20"/>
          <w:szCs w:val="20"/>
          <w:lang w:eastAsia="zh-CN"/>
        </w:rPr>
        <w:t xml:space="preserve"> </w:t>
      </w:r>
      <w:proofErr w:type="spellStart"/>
      <w:r w:rsidRPr="00A60B24">
        <w:rPr>
          <w:rFonts w:ascii="Times New Roman" w:hAnsi="Times New Roman" w:cs="Times New Roman"/>
          <w:sz w:val="20"/>
          <w:szCs w:val="20"/>
        </w:rPr>
        <w:t>Oncologie</w:t>
      </w:r>
      <w:proofErr w:type="spellEnd"/>
      <w:r w:rsidR="00F76000" w:rsidRPr="00A60B24">
        <w:rPr>
          <w:rFonts w:ascii="Times New Roman" w:hAnsi="Times New Roman" w:cs="Times New Roman"/>
          <w:sz w:val="20"/>
          <w:szCs w:val="20"/>
          <w:lang w:eastAsia="zh-CN"/>
        </w:rPr>
        <w:t xml:space="preserve"> </w:t>
      </w:r>
      <w:proofErr w:type="spellStart"/>
      <w:r w:rsidRPr="00A60B24">
        <w:rPr>
          <w:rFonts w:ascii="Times New Roman" w:hAnsi="Times New Roman" w:cs="Times New Roman"/>
          <w:sz w:val="20"/>
          <w:szCs w:val="20"/>
        </w:rPr>
        <w:t>Radiothérapie</w:t>
      </w:r>
      <w:proofErr w:type="spellEnd"/>
      <w:r w:rsidRPr="00A60B24">
        <w:rPr>
          <w:rFonts w:ascii="Times New Roman" w:hAnsi="Times New Roman" w:cs="Times New Roman"/>
          <w:sz w:val="20"/>
          <w:szCs w:val="20"/>
        </w:rPr>
        <w:t xml:space="preserve"> </w:t>
      </w:r>
      <w:proofErr w:type="spellStart"/>
      <w:r w:rsidRPr="00A60B24">
        <w:rPr>
          <w:rFonts w:ascii="Times New Roman" w:hAnsi="Times New Roman" w:cs="Times New Roman"/>
          <w:sz w:val="20"/>
          <w:szCs w:val="20"/>
        </w:rPr>
        <w:t>Tête</w:t>
      </w:r>
      <w:proofErr w:type="spellEnd"/>
      <w:r w:rsidRPr="00A60B24">
        <w:rPr>
          <w:rFonts w:ascii="Times New Roman" w:hAnsi="Times New Roman" w:cs="Times New Roman"/>
          <w:sz w:val="20"/>
          <w:szCs w:val="20"/>
        </w:rPr>
        <w:t xml:space="preserve"> </w:t>
      </w:r>
      <w:proofErr w:type="spellStart"/>
      <w:r w:rsidRPr="00A60B24">
        <w:rPr>
          <w:rFonts w:ascii="Times New Roman" w:hAnsi="Times New Roman" w:cs="Times New Roman"/>
          <w:sz w:val="20"/>
          <w:szCs w:val="20"/>
        </w:rPr>
        <w:t>EtCou</w:t>
      </w:r>
      <w:proofErr w:type="spellEnd"/>
      <w:r w:rsidRPr="00A60B24">
        <w:rPr>
          <w:rFonts w:ascii="Times New Roman" w:hAnsi="Times New Roman" w:cs="Times New Roman"/>
          <w:sz w:val="20"/>
          <w:szCs w:val="20"/>
        </w:rPr>
        <w:t xml:space="preserve"> (GORTEC) in France who reported 2-year loco-regional control and survival of 86% and 86.7%, respectively in a cohort of 208 patients treated with IMRT </w:t>
      </w:r>
      <w:r w:rsidR="00EC16A1" w:rsidRPr="00A60B24">
        <w:rPr>
          <w:rFonts w:ascii="Times New Roman" w:hAnsi="Times New Roman" w:cs="Times New Roman"/>
          <w:b/>
          <w:bCs/>
          <w:i/>
          <w:iCs/>
          <w:sz w:val="20"/>
          <w:szCs w:val="20"/>
        </w:rPr>
        <w:t>(35)</w:t>
      </w:r>
      <w:r w:rsidR="00F76000" w:rsidRPr="00A60B24">
        <w:rPr>
          <w:rFonts w:ascii="Times New Roman" w:hAnsi="Times New Roman" w:cs="Times New Roman"/>
          <w:b/>
          <w:bCs/>
          <w:i/>
          <w:iCs/>
          <w:sz w:val="20"/>
          <w:szCs w:val="20"/>
          <w:lang w:eastAsia="zh-CN"/>
        </w:rPr>
        <w:t>.</w:t>
      </w:r>
    </w:p>
    <w:p w:rsidR="00496385" w:rsidRPr="00A60B24" w:rsidRDefault="00496385" w:rsidP="00737872">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A60B24">
        <w:rPr>
          <w:rFonts w:ascii="Times New Roman" w:hAnsi="Times New Roman" w:cs="Times New Roman"/>
          <w:b/>
          <w:bCs/>
          <w:i/>
          <w:iCs/>
          <w:sz w:val="20"/>
          <w:szCs w:val="20"/>
        </w:rPr>
        <w:t>Lee et al,</w:t>
      </w:r>
      <w:r w:rsidR="00F76000" w:rsidRPr="00A60B24">
        <w:rPr>
          <w:rFonts w:ascii="Times New Roman" w:hAnsi="Times New Roman" w:cs="Times New Roman"/>
          <w:b/>
          <w:bCs/>
          <w:i/>
          <w:iCs/>
          <w:sz w:val="20"/>
          <w:szCs w:val="20"/>
          <w:lang w:eastAsia="zh-CN"/>
        </w:rPr>
        <w:t xml:space="preserve"> </w:t>
      </w:r>
      <w:r w:rsidRPr="00A60B24">
        <w:rPr>
          <w:rFonts w:ascii="Times New Roman" w:hAnsi="Times New Roman" w:cs="Times New Roman"/>
          <w:sz w:val="20"/>
          <w:szCs w:val="20"/>
        </w:rPr>
        <w:t>reported that 2 years LR</w:t>
      </w:r>
      <w:r w:rsidR="00CB471A" w:rsidRPr="00A60B24">
        <w:rPr>
          <w:rFonts w:ascii="Times New Roman" w:hAnsi="Times New Roman" w:cs="Times New Roman"/>
          <w:sz w:val="20"/>
          <w:szCs w:val="20"/>
        </w:rPr>
        <w:t>PF</w:t>
      </w:r>
      <w:r w:rsidR="00BF7D07" w:rsidRPr="00A60B24">
        <w:rPr>
          <w:rFonts w:ascii="Times New Roman" w:hAnsi="Times New Roman" w:cs="Times New Roman"/>
          <w:sz w:val="20"/>
          <w:szCs w:val="20"/>
        </w:rPr>
        <w:t xml:space="preserve"> &amp; </w:t>
      </w:r>
      <w:r w:rsidRPr="00A60B24">
        <w:rPr>
          <w:rFonts w:ascii="Times New Roman" w:hAnsi="Times New Roman" w:cs="Times New Roman"/>
          <w:sz w:val="20"/>
          <w:szCs w:val="20"/>
        </w:rPr>
        <w:t>DM</w:t>
      </w:r>
      <w:r w:rsidR="00CB471A" w:rsidRPr="00A60B24">
        <w:rPr>
          <w:rFonts w:ascii="Times New Roman" w:hAnsi="Times New Roman" w:cs="Times New Roman"/>
          <w:sz w:val="20"/>
          <w:szCs w:val="20"/>
        </w:rPr>
        <w:t>PF rates</w:t>
      </w:r>
      <w:r w:rsidRPr="00A60B24">
        <w:rPr>
          <w:rFonts w:ascii="Times New Roman" w:hAnsi="Times New Roman" w:cs="Times New Roman"/>
          <w:sz w:val="20"/>
          <w:szCs w:val="20"/>
        </w:rPr>
        <w:t xml:space="preserve"> and OS were 87.5 %, 82.1 % and 76.7% respectively on treating 68 patients with stages IIB through IVB NPC. Higher survival in our series may be due to less patients with stage IV than that in Nancy et al. (16.7 % </w:t>
      </w:r>
      <w:proofErr w:type="spellStart"/>
      <w:r w:rsidRPr="00A60B24">
        <w:rPr>
          <w:rFonts w:ascii="Times New Roman" w:hAnsi="Times New Roman" w:cs="Times New Roman"/>
          <w:sz w:val="20"/>
          <w:szCs w:val="20"/>
        </w:rPr>
        <w:t>vs</w:t>
      </w:r>
      <w:proofErr w:type="spellEnd"/>
      <w:r w:rsidRPr="00A60B24">
        <w:rPr>
          <w:rFonts w:ascii="Times New Roman" w:hAnsi="Times New Roman" w:cs="Times New Roman"/>
          <w:sz w:val="20"/>
          <w:szCs w:val="20"/>
        </w:rPr>
        <w:t xml:space="preserve"> 28 %</w:t>
      </w:r>
      <w:r w:rsidR="00BF7D07" w:rsidRPr="00A60B24">
        <w:rPr>
          <w:rFonts w:ascii="Times New Roman" w:hAnsi="Times New Roman" w:cs="Times New Roman"/>
          <w:sz w:val="20"/>
          <w:szCs w:val="20"/>
        </w:rPr>
        <w:t xml:space="preserve">) </w:t>
      </w:r>
      <w:r w:rsidR="00BF7D07" w:rsidRPr="00A60B24">
        <w:rPr>
          <w:rFonts w:ascii="Times New Roman" w:hAnsi="Times New Roman" w:cs="Times New Roman"/>
          <w:b/>
          <w:bCs/>
          <w:i/>
          <w:iCs/>
          <w:sz w:val="20"/>
          <w:szCs w:val="20"/>
        </w:rPr>
        <w:t>(</w:t>
      </w:r>
      <w:r w:rsidR="00EC16A1" w:rsidRPr="00A60B24">
        <w:rPr>
          <w:rFonts w:ascii="Times New Roman" w:hAnsi="Times New Roman" w:cs="Times New Roman"/>
          <w:b/>
          <w:bCs/>
          <w:i/>
          <w:iCs/>
          <w:sz w:val="20"/>
          <w:szCs w:val="20"/>
        </w:rPr>
        <w:t>25)</w:t>
      </w:r>
      <w:r w:rsidR="00CB471A" w:rsidRPr="00A60B24">
        <w:rPr>
          <w:rFonts w:ascii="Times New Roman" w:hAnsi="Times New Roman" w:cs="Times New Roman"/>
          <w:b/>
          <w:bCs/>
          <w:sz w:val="20"/>
          <w:szCs w:val="20"/>
        </w:rPr>
        <w:t>.</w:t>
      </w:r>
    </w:p>
    <w:p w:rsidR="00496385" w:rsidRPr="00A60B24" w:rsidRDefault="00CB471A" w:rsidP="00737872">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A60B24">
        <w:rPr>
          <w:rFonts w:ascii="Times New Roman" w:hAnsi="Times New Roman" w:cs="Times New Roman"/>
          <w:b/>
          <w:bCs/>
          <w:i/>
          <w:iCs/>
          <w:sz w:val="20"/>
          <w:szCs w:val="20"/>
        </w:rPr>
        <w:t>Katano et al,</w:t>
      </w:r>
      <w:r w:rsidR="00496385" w:rsidRPr="00A60B24">
        <w:rPr>
          <w:rFonts w:ascii="Times New Roman" w:hAnsi="Times New Roman" w:cs="Times New Roman"/>
          <w:sz w:val="20"/>
          <w:szCs w:val="20"/>
        </w:rPr>
        <w:t xml:space="preserve"> treated 62 NPC patients with 3D-CRT or IMRT with or without CCT. The estimated 5-year OS, LRPF, and DM</w:t>
      </w:r>
      <w:r w:rsidRPr="00A60B24">
        <w:rPr>
          <w:rFonts w:ascii="Times New Roman" w:hAnsi="Times New Roman" w:cs="Times New Roman"/>
          <w:sz w:val="20"/>
          <w:szCs w:val="20"/>
        </w:rPr>
        <w:t>PF</w:t>
      </w:r>
      <w:r w:rsidR="00496385" w:rsidRPr="00A60B24">
        <w:rPr>
          <w:rFonts w:ascii="Times New Roman" w:hAnsi="Times New Roman" w:cs="Times New Roman"/>
          <w:sz w:val="20"/>
          <w:szCs w:val="20"/>
        </w:rPr>
        <w:t xml:space="preserve"> rates were 72.7%, 77.9%, and 84.2%, respectively. The 5-year OS and PFS rates were significantly worse in the advanced clinical stage group in </w:t>
      </w:r>
      <w:proofErr w:type="spellStart"/>
      <w:r w:rsidR="00496385" w:rsidRPr="00A60B24">
        <w:rPr>
          <w:rFonts w:ascii="Times New Roman" w:hAnsi="Times New Roman" w:cs="Times New Roman"/>
          <w:sz w:val="20"/>
          <w:szCs w:val="20"/>
        </w:rPr>
        <w:t>univariate</w:t>
      </w:r>
      <w:proofErr w:type="spellEnd"/>
      <w:r w:rsidR="00496385" w:rsidRPr="00A60B24">
        <w:rPr>
          <w:rFonts w:ascii="Times New Roman" w:hAnsi="Times New Roman" w:cs="Times New Roman"/>
          <w:sz w:val="20"/>
          <w:szCs w:val="20"/>
        </w:rPr>
        <w:t xml:space="preserve"> analysis. Multivariate analysis revealed that clinical stage and administration of CCT were independent predictors for both OS and P</w:t>
      </w:r>
      <w:r w:rsidRPr="00A60B24">
        <w:rPr>
          <w:rFonts w:ascii="Times New Roman" w:hAnsi="Times New Roman" w:cs="Times New Roman"/>
          <w:sz w:val="20"/>
          <w:szCs w:val="20"/>
        </w:rPr>
        <w:t xml:space="preserve">FS, regardless of other factors </w:t>
      </w:r>
      <w:r w:rsidR="00EC16A1" w:rsidRPr="00A60B24">
        <w:rPr>
          <w:rFonts w:ascii="Times New Roman" w:hAnsi="Times New Roman" w:cs="Times New Roman"/>
          <w:b/>
          <w:bCs/>
          <w:i/>
          <w:iCs/>
          <w:sz w:val="20"/>
          <w:szCs w:val="20"/>
        </w:rPr>
        <w:t>(36)</w:t>
      </w:r>
      <w:r w:rsidRPr="00A60B24">
        <w:rPr>
          <w:rFonts w:ascii="Times New Roman" w:hAnsi="Times New Roman" w:cs="Times New Roman"/>
          <w:sz w:val="20"/>
          <w:szCs w:val="20"/>
        </w:rPr>
        <w:t>.</w:t>
      </w:r>
    </w:p>
    <w:p w:rsidR="00737872" w:rsidRPr="00A60B24" w:rsidRDefault="00737872" w:rsidP="00737872">
      <w:pPr>
        <w:autoSpaceDE w:val="0"/>
        <w:autoSpaceDN w:val="0"/>
        <w:bidi w:val="0"/>
        <w:adjustRightInd w:val="0"/>
        <w:snapToGrid w:val="0"/>
        <w:spacing w:after="0" w:line="240" w:lineRule="auto"/>
        <w:jc w:val="both"/>
        <w:rPr>
          <w:rFonts w:ascii="Times New Roman" w:hAnsi="Times New Roman" w:cs="Times New Roman"/>
          <w:b/>
          <w:bCs/>
          <w:sz w:val="20"/>
          <w:szCs w:val="20"/>
          <w:lang w:eastAsia="zh-CN"/>
        </w:rPr>
      </w:pPr>
    </w:p>
    <w:p w:rsidR="00017C2F" w:rsidRPr="00A60B24" w:rsidRDefault="00F0585D" w:rsidP="00737872">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A60B24">
        <w:rPr>
          <w:rFonts w:ascii="Times New Roman" w:hAnsi="Times New Roman" w:cs="Times New Roman"/>
          <w:b/>
          <w:bCs/>
          <w:sz w:val="20"/>
          <w:szCs w:val="20"/>
        </w:rPr>
        <w:t>Conclusion</w:t>
      </w:r>
    </w:p>
    <w:p w:rsidR="00737872" w:rsidRPr="00A60B24" w:rsidRDefault="00290439" w:rsidP="00737872">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A60B24">
        <w:rPr>
          <w:rFonts w:ascii="Times New Roman" w:hAnsi="Times New Roman" w:cs="Times New Roman"/>
          <w:sz w:val="20"/>
          <w:szCs w:val="20"/>
        </w:rPr>
        <w:t xml:space="preserve">IMRT-SIB is significantly better than 3D-CRT in terms of </w:t>
      </w:r>
      <w:proofErr w:type="spellStart"/>
      <w:r w:rsidRPr="00A60B24">
        <w:rPr>
          <w:rFonts w:ascii="Times New Roman" w:hAnsi="Times New Roman" w:cs="Times New Roman"/>
          <w:sz w:val="20"/>
          <w:szCs w:val="20"/>
        </w:rPr>
        <w:t>PTVs</w:t>
      </w:r>
      <w:proofErr w:type="spellEnd"/>
      <w:r w:rsidRPr="00A60B24">
        <w:rPr>
          <w:rFonts w:ascii="Times New Roman" w:hAnsi="Times New Roman" w:cs="Times New Roman"/>
          <w:sz w:val="20"/>
          <w:szCs w:val="20"/>
        </w:rPr>
        <w:t xml:space="preserve"> coverage as well as spinal cord, brain </w:t>
      </w:r>
      <w:r w:rsidRPr="00A60B24">
        <w:rPr>
          <w:rFonts w:ascii="Times New Roman" w:hAnsi="Times New Roman" w:cs="Times New Roman"/>
          <w:sz w:val="20"/>
          <w:szCs w:val="20"/>
        </w:rPr>
        <w:lastRenderedPageBreak/>
        <w:t>stem and parotid glands sparing</w:t>
      </w:r>
      <w:r w:rsidR="00F76000" w:rsidRPr="00A60B24">
        <w:rPr>
          <w:rFonts w:ascii="Times New Roman" w:hAnsi="Times New Roman" w:cs="Times New Roman"/>
          <w:sz w:val="20"/>
          <w:szCs w:val="20"/>
          <w:lang w:eastAsia="zh-CN"/>
        </w:rPr>
        <w:t xml:space="preserve"> </w:t>
      </w:r>
      <w:r w:rsidRPr="00A60B24">
        <w:rPr>
          <w:rFonts w:ascii="Times New Roman" w:hAnsi="Times New Roman" w:cs="Times New Roman"/>
          <w:sz w:val="20"/>
          <w:szCs w:val="20"/>
        </w:rPr>
        <w:t xml:space="preserve">with reduction of the incidence and severity of toxicity mainly that of </w:t>
      </w:r>
      <w:proofErr w:type="spellStart"/>
      <w:r w:rsidRPr="00A60B24">
        <w:rPr>
          <w:rFonts w:ascii="Times New Roman" w:hAnsi="Times New Roman" w:cs="Times New Roman"/>
          <w:sz w:val="20"/>
          <w:szCs w:val="20"/>
        </w:rPr>
        <w:t>xerostomia</w:t>
      </w:r>
      <w:proofErr w:type="spellEnd"/>
      <w:r w:rsidRPr="00A60B24">
        <w:rPr>
          <w:rFonts w:ascii="Times New Roman" w:hAnsi="Times New Roman" w:cs="Times New Roman"/>
          <w:sz w:val="20"/>
          <w:szCs w:val="20"/>
        </w:rPr>
        <w:t xml:space="preserve"> in nasopharyngeal carcinoma patients with maintenance of</w:t>
      </w:r>
      <w:r w:rsidR="00F76000" w:rsidRPr="00A60B24">
        <w:rPr>
          <w:rFonts w:ascii="Times New Roman" w:hAnsi="Times New Roman" w:cs="Times New Roman"/>
          <w:sz w:val="20"/>
          <w:szCs w:val="20"/>
          <w:lang w:eastAsia="zh-CN"/>
        </w:rPr>
        <w:t xml:space="preserve"> </w:t>
      </w:r>
      <w:r w:rsidRPr="00A60B24">
        <w:rPr>
          <w:rFonts w:ascii="Times New Roman" w:hAnsi="Times New Roman" w:cs="Times New Roman"/>
          <w:sz w:val="20"/>
          <w:szCs w:val="20"/>
        </w:rPr>
        <w:t>tumor control and survival benefits. These benefits</w:t>
      </w:r>
      <w:r w:rsidR="00F76000" w:rsidRPr="00A60B24">
        <w:rPr>
          <w:rFonts w:ascii="Times New Roman" w:hAnsi="Times New Roman" w:cs="Times New Roman"/>
          <w:sz w:val="20"/>
          <w:szCs w:val="20"/>
          <w:lang w:eastAsia="zh-CN"/>
        </w:rPr>
        <w:t xml:space="preserve"> </w:t>
      </w:r>
      <w:proofErr w:type="spellStart"/>
      <w:r w:rsidRPr="00A60B24">
        <w:rPr>
          <w:rFonts w:ascii="Times New Roman" w:hAnsi="Times New Roman" w:cs="Times New Roman"/>
          <w:sz w:val="20"/>
          <w:szCs w:val="20"/>
        </w:rPr>
        <w:t>persiste</w:t>
      </w:r>
      <w:proofErr w:type="spellEnd"/>
      <w:r w:rsidRPr="00A60B24">
        <w:rPr>
          <w:rFonts w:ascii="Times New Roman" w:hAnsi="Times New Roman" w:cs="Times New Roman"/>
          <w:sz w:val="20"/>
          <w:szCs w:val="20"/>
        </w:rPr>
        <w:t xml:space="preserve"> on longitudinal follow-up with patients showing significant recovery of QOL over time, SO, strongly supporting the widespread adoption of IMRT-SIB in head and neck radiotherapy practic</w:t>
      </w:r>
      <w:r w:rsidR="00737872" w:rsidRPr="00A60B24">
        <w:rPr>
          <w:rFonts w:ascii="Times New Roman" w:hAnsi="Times New Roman" w:cs="Times New Roman"/>
          <w:sz w:val="20"/>
          <w:szCs w:val="20"/>
        </w:rPr>
        <w:t>e.</w:t>
      </w:r>
    </w:p>
    <w:p w:rsidR="00BF7D07" w:rsidRPr="00A60B24" w:rsidRDefault="00BF7D07" w:rsidP="00737872">
      <w:pPr>
        <w:autoSpaceDE w:val="0"/>
        <w:autoSpaceDN w:val="0"/>
        <w:bidi w:val="0"/>
        <w:adjustRightInd w:val="0"/>
        <w:snapToGrid w:val="0"/>
        <w:spacing w:after="0" w:line="240" w:lineRule="auto"/>
        <w:jc w:val="both"/>
        <w:rPr>
          <w:rFonts w:ascii="Times New Roman" w:hAnsi="Times New Roman" w:cs="Times New Roman"/>
          <w:b/>
          <w:bCs/>
          <w:sz w:val="20"/>
          <w:szCs w:val="20"/>
          <w:lang w:eastAsia="zh-CN"/>
        </w:rPr>
      </w:pPr>
    </w:p>
    <w:p w:rsidR="00290439" w:rsidRPr="00A60B24" w:rsidRDefault="00290439" w:rsidP="00737872">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A60B24">
        <w:rPr>
          <w:rFonts w:ascii="Times New Roman" w:hAnsi="Times New Roman" w:cs="Times New Roman"/>
          <w:b/>
          <w:bCs/>
          <w:sz w:val="20"/>
          <w:szCs w:val="20"/>
        </w:rPr>
        <w:t>Funding</w:t>
      </w:r>
    </w:p>
    <w:p w:rsidR="00290439" w:rsidRPr="00A60B24" w:rsidRDefault="00290439" w:rsidP="00737872">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r w:rsidRPr="00A60B24">
        <w:rPr>
          <w:rFonts w:ascii="Times New Roman" w:hAnsi="Times New Roman" w:cs="Times New Roman"/>
          <w:sz w:val="20"/>
          <w:szCs w:val="20"/>
        </w:rPr>
        <w:t>None.</w:t>
      </w:r>
    </w:p>
    <w:p w:rsidR="00BF7D07" w:rsidRPr="00A60B24" w:rsidRDefault="00BF7D07" w:rsidP="00737872">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p>
    <w:p w:rsidR="00290439" w:rsidRPr="00A60B24" w:rsidRDefault="00290439" w:rsidP="00737872">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A60B24">
        <w:rPr>
          <w:rFonts w:ascii="Times New Roman" w:hAnsi="Times New Roman" w:cs="Times New Roman"/>
          <w:b/>
          <w:bCs/>
          <w:sz w:val="20"/>
          <w:szCs w:val="20"/>
        </w:rPr>
        <w:t>Conflict of interest</w:t>
      </w:r>
    </w:p>
    <w:p w:rsidR="00290439" w:rsidRPr="00A60B24" w:rsidRDefault="00290439" w:rsidP="00737872">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r w:rsidRPr="00A60B24">
        <w:rPr>
          <w:rFonts w:ascii="Times New Roman" w:hAnsi="Times New Roman" w:cs="Times New Roman"/>
          <w:sz w:val="20"/>
          <w:szCs w:val="20"/>
        </w:rPr>
        <w:t>None.</w:t>
      </w:r>
    </w:p>
    <w:p w:rsidR="00BF7D07" w:rsidRPr="00A60B24" w:rsidRDefault="00BF7D07" w:rsidP="00737872">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p>
    <w:p w:rsidR="00017C2F" w:rsidRPr="00A60B24" w:rsidRDefault="004C3E1E" w:rsidP="00737872">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A60B24">
        <w:rPr>
          <w:rFonts w:ascii="Times New Roman" w:hAnsi="Times New Roman" w:cs="Times New Roman"/>
          <w:b/>
          <w:bCs/>
          <w:sz w:val="20"/>
          <w:szCs w:val="20"/>
        </w:rPr>
        <w:t>References</w:t>
      </w:r>
    </w:p>
    <w:p w:rsidR="004C3E1E" w:rsidRPr="00A60B24" w:rsidRDefault="004C3E1E" w:rsidP="00737872">
      <w:pPr>
        <w:pStyle w:val="ListParagraph"/>
        <w:numPr>
          <w:ilvl w:val="0"/>
          <w:numId w:val="10"/>
        </w:numPr>
        <w:bidi w:val="0"/>
        <w:snapToGrid w:val="0"/>
        <w:spacing w:after="0" w:line="240" w:lineRule="auto"/>
        <w:ind w:left="425" w:hanging="425"/>
        <w:jc w:val="both"/>
        <w:rPr>
          <w:rStyle w:val="element-citation"/>
          <w:rFonts w:ascii="Times New Roman" w:hAnsi="Times New Roman" w:cs="Times New Roman"/>
          <w:sz w:val="20"/>
          <w:szCs w:val="20"/>
        </w:rPr>
      </w:pPr>
      <w:r w:rsidRPr="00A60B24">
        <w:rPr>
          <w:rStyle w:val="element-citation"/>
          <w:rFonts w:ascii="Times New Roman" w:hAnsi="Times New Roman" w:cs="Times New Roman"/>
          <w:sz w:val="20"/>
          <w:szCs w:val="20"/>
        </w:rPr>
        <w:t>Ma</w:t>
      </w:r>
      <w:r w:rsidR="00BF7D07" w:rsidRPr="00A60B24">
        <w:rPr>
          <w:rStyle w:val="element-citation"/>
          <w:rFonts w:ascii="Times New Roman" w:hAnsi="Times New Roman" w:cs="Times New Roman"/>
          <w:sz w:val="20"/>
          <w:szCs w:val="20"/>
        </w:rPr>
        <w:t xml:space="preserve"> </w:t>
      </w:r>
      <w:r w:rsidRPr="00A60B24">
        <w:rPr>
          <w:rStyle w:val="element-citation"/>
          <w:rFonts w:ascii="Times New Roman" w:hAnsi="Times New Roman" w:cs="Times New Roman"/>
          <w:sz w:val="20"/>
          <w:szCs w:val="20"/>
        </w:rPr>
        <w:t>BB,</w:t>
      </w:r>
      <w:r w:rsidR="00BF7D07" w:rsidRPr="00A60B24">
        <w:rPr>
          <w:rStyle w:val="element-citation"/>
          <w:rFonts w:ascii="Times New Roman" w:hAnsi="Times New Roman" w:cs="Times New Roman"/>
          <w:sz w:val="20"/>
          <w:szCs w:val="20"/>
        </w:rPr>
        <w:t xml:space="preserve"> </w:t>
      </w:r>
      <w:proofErr w:type="spellStart"/>
      <w:r w:rsidRPr="00A60B24">
        <w:rPr>
          <w:rStyle w:val="element-citation"/>
          <w:rFonts w:ascii="Times New Roman" w:hAnsi="Times New Roman" w:cs="Times New Roman"/>
          <w:sz w:val="20"/>
          <w:szCs w:val="20"/>
        </w:rPr>
        <w:t>Hui</w:t>
      </w:r>
      <w:proofErr w:type="spellEnd"/>
      <w:r w:rsidR="00BF7D07" w:rsidRPr="00A60B24">
        <w:rPr>
          <w:rStyle w:val="element-citation"/>
          <w:rFonts w:ascii="Times New Roman" w:hAnsi="Times New Roman" w:cs="Times New Roman"/>
          <w:sz w:val="20"/>
          <w:szCs w:val="20"/>
        </w:rPr>
        <w:t xml:space="preserve"> </w:t>
      </w:r>
      <w:r w:rsidRPr="00A60B24">
        <w:rPr>
          <w:rStyle w:val="element-citation"/>
          <w:rFonts w:ascii="Times New Roman" w:hAnsi="Times New Roman" w:cs="Times New Roman"/>
          <w:sz w:val="20"/>
          <w:szCs w:val="20"/>
        </w:rPr>
        <w:t>EP,</w:t>
      </w:r>
      <w:r w:rsidR="00BF7D07" w:rsidRPr="00A60B24">
        <w:rPr>
          <w:rStyle w:val="element-citation"/>
          <w:rFonts w:ascii="Times New Roman" w:hAnsi="Times New Roman" w:cs="Times New Roman"/>
          <w:sz w:val="20"/>
          <w:szCs w:val="20"/>
        </w:rPr>
        <w:t xml:space="preserve"> </w:t>
      </w:r>
      <w:r w:rsidRPr="00A60B24">
        <w:rPr>
          <w:rStyle w:val="element-citation"/>
          <w:rFonts w:ascii="Times New Roman" w:hAnsi="Times New Roman" w:cs="Times New Roman"/>
          <w:sz w:val="20"/>
          <w:szCs w:val="20"/>
        </w:rPr>
        <w:t>Chan</w:t>
      </w:r>
      <w:r w:rsidR="00BF7D07" w:rsidRPr="00A60B24">
        <w:rPr>
          <w:rStyle w:val="element-citation"/>
          <w:rFonts w:ascii="Times New Roman" w:hAnsi="Times New Roman" w:cs="Times New Roman"/>
          <w:sz w:val="20"/>
          <w:szCs w:val="20"/>
        </w:rPr>
        <w:t xml:space="preserve"> </w:t>
      </w:r>
      <w:r w:rsidRPr="00A60B24">
        <w:rPr>
          <w:rStyle w:val="element-citation"/>
          <w:rFonts w:ascii="Times New Roman" w:hAnsi="Times New Roman" w:cs="Times New Roman"/>
          <w:sz w:val="20"/>
          <w:szCs w:val="20"/>
        </w:rPr>
        <w:t>AT.</w:t>
      </w:r>
      <w:r w:rsidR="00BF7D07" w:rsidRPr="00A60B24">
        <w:rPr>
          <w:rStyle w:val="element-citation"/>
          <w:rFonts w:ascii="Times New Roman" w:hAnsi="Times New Roman" w:cs="Times New Roman"/>
          <w:sz w:val="20"/>
          <w:szCs w:val="20"/>
        </w:rPr>
        <w:t xml:space="preserve"> </w:t>
      </w:r>
      <w:r w:rsidRPr="00A60B24">
        <w:rPr>
          <w:rStyle w:val="element-citation"/>
          <w:rFonts w:ascii="Times New Roman" w:hAnsi="Times New Roman" w:cs="Times New Roman"/>
          <w:sz w:val="20"/>
          <w:szCs w:val="20"/>
        </w:rPr>
        <w:t>Investigational</w:t>
      </w:r>
      <w:r w:rsidR="00BF7D07" w:rsidRPr="00A60B24">
        <w:rPr>
          <w:rStyle w:val="element-citation"/>
          <w:rFonts w:ascii="Times New Roman" w:hAnsi="Times New Roman" w:cs="Times New Roman"/>
          <w:sz w:val="20"/>
          <w:szCs w:val="20"/>
        </w:rPr>
        <w:t xml:space="preserve"> </w:t>
      </w:r>
      <w:r w:rsidRPr="00A60B24">
        <w:rPr>
          <w:rStyle w:val="element-citation"/>
          <w:rFonts w:ascii="Times New Roman" w:hAnsi="Times New Roman" w:cs="Times New Roman"/>
          <w:sz w:val="20"/>
          <w:szCs w:val="20"/>
        </w:rPr>
        <w:t>drugs</w:t>
      </w:r>
      <w:r w:rsidR="00BF7D07" w:rsidRPr="00A60B24">
        <w:rPr>
          <w:rStyle w:val="element-citation"/>
          <w:rFonts w:ascii="Times New Roman" w:hAnsi="Times New Roman" w:cs="Times New Roman"/>
          <w:sz w:val="20"/>
          <w:szCs w:val="20"/>
        </w:rPr>
        <w:t xml:space="preserve"> </w:t>
      </w:r>
      <w:r w:rsidRPr="00A60B24">
        <w:rPr>
          <w:rStyle w:val="element-citation"/>
          <w:rFonts w:ascii="Times New Roman" w:hAnsi="Times New Roman" w:cs="Times New Roman"/>
          <w:sz w:val="20"/>
          <w:szCs w:val="20"/>
        </w:rPr>
        <w:t>for</w:t>
      </w:r>
      <w:r w:rsidR="00BF7D07" w:rsidRPr="00A60B24">
        <w:rPr>
          <w:rStyle w:val="element-citation"/>
          <w:rFonts w:ascii="Times New Roman" w:hAnsi="Times New Roman" w:cs="Times New Roman"/>
          <w:sz w:val="20"/>
          <w:szCs w:val="20"/>
        </w:rPr>
        <w:t xml:space="preserve"> </w:t>
      </w:r>
      <w:r w:rsidRPr="00A60B24">
        <w:rPr>
          <w:rStyle w:val="element-citation"/>
          <w:rFonts w:ascii="Times New Roman" w:hAnsi="Times New Roman" w:cs="Times New Roman"/>
          <w:sz w:val="20"/>
          <w:szCs w:val="20"/>
        </w:rPr>
        <w:t>nasopharyngeal</w:t>
      </w:r>
      <w:r w:rsidR="00BF7D07" w:rsidRPr="00A60B24">
        <w:rPr>
          <w:rStyle w:val="element-citation"/>
          <w:rFonts w:ascii="Times New Roman" w:hAnsi="Times New Roman" w:cs="Times New Roman"/>
          <w:sz w:val="20"/>
          <w:szCs w:val="20"/>
        </w:rPr>
        <w:t xml:space="preserve"> </w:t>
      </w:r>
      <w:r w:rsidRPr="00A60B24">
        <w:rPr>
          <w:rStyle w:val="element-citation"/>
          <w:rFonts w:ascii="Times New Roman" w:hAnsi="Times New Roman" w:cs="Times New Roman"/>
          <w:sz w:val="20"/>
          <w:szCs w:val="20"/>
        </w:rPr>
        <w:t>carcinoma.</w:t>
      </w:r>
      <w:r w:rsidR="00BF7D07" w:rsidRPr="00A60B24">
        <w:rPr>
          <w:rStyle w:val="element-citation"/>
          <w:rFonts w:ascii="Times New Roman" w:hAnsi="Times New Roman" w:cs="Times New Roman"/>
          <w:sz w:val="20"/>
          <w:szCs w:val="20"/>
        </w:rPr>
        <w:t xml:space="preserve"> </w:t>
      </w:r>
      <w:r w:rsidRPr="00A60B24">
        <w:rPr>
          <w:rStyle w:val="ref-journal"/>
          <w:rFonts w:ascii="Times New Roman" w:hAnsi="Times New Roman" w:cs="Times New Roman"/>
          <w:sz w:val="20"/>
          <w:szCs w:val="20"/>
        </w:rPr>
        <w:t>Expert</w:t>
      </w:r>
      <w:r w:rsidR="00BF7D07" w:rsidRPr="00A60B24">
        <w:rPr>
          <w:rStyle w:val="ref-journal"/>
          <w:rFonts w:ascii="Times New Roman" w:hAnsi="Times New Roman" w:cs="Times New Roman"/>
          <w:sz w:val="20"/>
          <w:szCs w:val="20"/>
        </w:rPr>
        <w:t xml:space="preserve"> </w:t>
      </w:r>
      <w:proofErr w:type="spellStart"/>
      <w:r w:rsidRPr="00A60B24">
        <w:rPr>
          <w:rStyle w:val="ref-journal"/>
          <w:rFonts w:ascii="Times New Roman" w:hAnsi="Times New Roman" w:cs="Times New Roman"/>
          <w:sz w:val="20"/>
          <w:szCs w:val="20"/>
        </w:rPr>
        <w:t>Opin</w:t>
      </w:r>
      <w:proofErr w:type="spellEnd"/>
      <w:r w:rsidR="00BF7D07" w:rsidRPr="00A60B24">
        <w:rPr>
          <w:rStyle w:val="ref-journal"/>
          <w:rFonts w:ascii="Times New Roman" w:hAnsi="Times New Roman" w:cs="Times New Roman"/>
          <w:sz w:val="20"/>
          <w:szCs w:val="20"/>
          <w:lang w:eastAsia="zh-CN"/>
        </w:rPr>
        <w:t xml:space="preserve"> </w:t>
      </w:r>
      <w:proofErr w:type="spellStart"/>
      <w:r w:rsidRPr="00A60B24">
        <w:rPr>
          <w:rStyle w:val="ref-journal"/>
          <w:rFonts w:ascii="Times New Roman" w:hAnsi="Times New Roman" w:cs="Times New Roman"/>
          <w:sz w:val="20"/>
          <w:szCs w:val="20"/>
        </w:rPr>
        <w:t>Investig</w:t>
      </w:r>
      <w:proofErr w:type="spellEnd"/>
      <w:r w:rsidR="00BF7D07" w:rsidRPr="00A60B24">
        <w:rPr>
          <w:rStyle w:val="ref-journal"/>
          <w:rFonts w:ascii="Times New Roman" w:hAnsi="Times New Roman" w:cs="Times New Roman"/>
          <w:sz w:val="20"/>
          <w:szCs w:val="20"/>
        </w:rPr>
        <w:t xml:space="preserve"> </w:t>
      </w:r>
      <w:r w:rsidRPr="00A60B24">
        <w:rPr>
          <w:rStyle w:val="ref-journal"/>
          <w:rFonts w:ascii="Times New Roman" w:hAnsi="Times New Roman" w:cs="Times New Roman"/>
          <w:sz w:val="20"/>
          <w:szCs w:val="20"/>
        </w:rPr>
        <w:t>Drugs.</w:t>
      </w:r>
      <w:r w:rsidRPr="00A60B24">
        <w:rPr>
          <w:rStyle w:val="element-citation"/>
          <w:rFonts w:ascii="Times New Roman" w:hAnsi="Times New Roman" w:cs="Times New Roman"/>
          <w:sz w:val="20"/>
          <w:szCs w:val="20"/>
        </w:rPr>
        <w:t>2017;</w:t>
      </w:r>
      <w:r w:rsidRPr="00A60B24">
        <w:rPr>
          <w:rStyle w:val="ref-vol"/>
          <w:rFonts w:ascii="Times New Roman" w:hAnsi="Times New Roman" w:cs="Times New Roman"/>
          <w:sz w:val="20"/>
          <w:szCs w:val="20"/>
        </w:rPr>
        <w:t>26</w:t>
      </w:r>
      <w:r w:rsidRPr="00A60B24">
        <w:rPr>
          <w:rStyle w:val="element-citation"/>
          <w:rFonts w:ascii="Times New Roman" w:hAnsi="Times New Roman" w:cs="Times New Roman"/>
          <w:sz w:val="20"/>
          <w:szCs w:val="20"/>
        </w:rPr>
        <w:t>:677–685.</w:t>
      </w:r>
      <w:r w:rsidR="00BF7D07" w:rsidRPr="00A60B24">
        <w:rPr>
          <w:rStyle w:val="element-citation"/>
          <w:rFonts w:ascii="Times New Roman" w:hAnsi="Times New Roman" w:cs="Times New Roman"/>
          <w:sz w:val="20"/>
          <w:szCs w:val="20"/>
        </w:rPr>
        <w:t xml:space="preserve"> </w:t>
      </w:r>
      <w:proofErr w:type="spellStart"/>
      <w:r w:rsidRPr="00A60B24">
        <w:rPr>
          <w:rStyle w:val="element-citation"/>
          <w:rFonts w:ascii="Times New Roman" w:hAnsi="Times New Roman" w:cs="Times New Roman"/>
          <w:sz w:val="20"/>
          <w:szCs w:val="20"/>
        </w:rPr>
        <w:t>doi</w:t>
      </w:r>
      <w:proofErr w:type="spellEnd"/>
      <w:r w:rsidRPr="00A60B24">
        <w:rPr>
          <w:rStyle w:val="element-citation"/>
          <w:rFonts w:ascii="Times New Roman" w:hAnsi="Times New Roman" w:cs="Times New Roman"/>
          <w:sz w:val="20"/>
          <w:szCs w:val="20"/>
        </w:rPr>
        <w:t>:</w:t>
      </w:r>
      <w:r w:rsidR="00BF7D07" w:rsidRPr="00A60B24">
        <w:rPr>
          <w:rStyle w:val="element-citation"/>
          <w:rFonts w:ascii="Times New Roman" w:hAnsi="Times New Roman" w:cs="Times New Roman"/>
          <w:sz w:val="20"/>
          <w:szCs w:val="20"/>
        </w:rPr>
        <w:t xml:space="preserve"> </w:t>
      </w:r>
      <w:r w:rsidRPr="00A60B24">
        <w:rPr>
          <w:rStyle w:val="element-citation"/>
          <w:rFonts w:ascii="Times New Roman" w:hAnsi="Times New Roman" w:cs="Times New Roman"/>
          <w:sz w:val="20"/>
          <w:szCs w:val="20"/>
        </w:rPr>
        <w:t>10.1080/13543784.2017.1324568.</w:t>
      </w:r>
    </w:p>
    <w:p w:rsidR="00737872" w:rsidRPr="00A60B24" w:rsidRDefault="004C3E1E" w:rsidP="00737872">
      <w:pPr>
        <w:pStyle w:val="ListParagraph"/>
        <w:numPr>
          <w:ilvl w:val="0"/>
          <w:numId w:val="10"/>
        </w:numPr>
        <w:bidi w:val="0"/>
        <w:snapToGrid w:val="0"/>
        <w:spacing w:after="0" w:line="240" w:lineRule="auto"/>
        <w:ind w:left="425" w:hanging="425"/>
        <w:jc w:val="both"/>
        <w:rPr>
          <w:rStyle w:val="element-citation"/>
          <w:rFonts w:ascii="Times New Roman" w:hAnsi="Times New Roman" w:cs="Times New Roman"/>
          <w:sz w:val="20"/>
          <w:szCs w:val="20"/>
        </w:rPr>
      </w:pPr>
      <w:r w:rsidRPr="00A60B24">
        <w:rPr>
          <w:rStyle w:val="element-citation"/>
          <w:rFonts w:ascii="Times New Roman" w:hAnsi="Times New Roman" w:cs="Times New Roman"/>
          <w:sz w:val="20"/>
          <w:szCs w:val="20"/>
        </w:rPr>
        <w:t>Tang</w:t>
      </w:r>
      <w:r w:rsidR="00BF7D07" w:rsidRPr="00A60B24">
        <w:rPr>
          <w:rStyle w:val="element-citation"/>
          <w:rFonts w:ascii="Times New Roman" w:hAnsi="Times New Roman" w:cs="Times New Roman"/>
          <w:sz w:val="20"/>
          <w:szCs w:val="20"/>
        </w:rPr>
        <w:t xml:space="preserve"> </w:t>
      </w:r>
      <w:r w:rsidRPr="00A60B24">
        <w:rPr>
          <w:rStyle w:val="element-citation"/>
          <w:rFonts w:ascii="Times New Roman" w:hAnsi="Times New Roman" w:cs="Times New Roman"/>
          <w:sz w:val="20"/>
          <w:szCs w:val="20"/>
        </w:rPr>
        <w:t>LQ,</w:t>
      </w:r>
      <w:r w:rsidR="00BF7D07" w:rsidRPr="00A60B24">
        <w:rPr>
          <w:rStyle w:val="element-citation"/>
          <w:rFonts w:ascii="Times New Roman" w:hAnsi="Times New Roman" w:cs="Times New Roman"/>
          <w:sz w:val="20"/>
          <w:szCs w:val="20"/>
        </w:rPr>
        <w:t xml:space="preserve"> </w:t>
      </w:r>
      <w:r w:rsidRPr="00A60B24">
        <w:rPr>
          <w:rStyle w:val="element-citation"/>
          <w:rFonts w:ascii="Times New Roman" w:hAnsi="Times New Roman" w:cs="Times New Roman"/>
          <w:sz w:val="20"/>
          <w:szCs w:val="20"/>
        </w:rPr>
        <w:t>Li</w:t>
      </w:r>
      <w:r w:rsidR="00BF7D07" w:rsidRPr="00A60B24">
        <w:rPr>
          <w:rStyle w:val="element-citation"/>
          <w:rFonts w:ascii="Times New Roman" w:hAnsi="Times New Roman" w:cs="Times New Roman"/>
          <w:sz w:val="20"/>
          <w:szCs w:val="20"/>
        </w:rPr>
        <w:t xml:space="preserve"> </w:t>
      </w:r>
      <w:r w:rsidRPr="00A60B24">
        <w:rPr>
          <w:rStyle w:val="element-citation"/>
          <w:rFonts w:ascii="Times New Roman" w:hAnsi="Times New Roman" w:cs="Times New Roman"/>
          <w:sz w:val="20"/>
          <w:szCs w:val="20"/>
        </w:rPr>
        <w:t>CF,</w:t>
      </w:r>
      <w:r w:rsidR="00BF7D07" w:rsidRPr="00A60B24">
        <w:rPr>
          <w:rStyle w:val="element-citation"/>
          <w:rFonts w:ascii="Times New Roman" w:hAnsi="Times New Roman" w:cs="Times New Roman"/>
          <w:sz w:val="20"/>
          <w:szCs w:val="20"/>
        </w:rPr>
        <w:t xml:space="preserve"> </w:t>
      </w:r>
      <w:r w:rsidRPr="00A60B24">
        <w:rPr>
          <w:rStyle w:val="element-citation"/>
          <w:rFonts w:ascii="Times New Roman" w:hAnsi="Times New Roman" w:cs="Times New Roman"/>
          <w:sz w:val="20"/>
          <w:szCs w:val="20"/>
        </w:rPr>
        <w:t>Li</w:t>
      </w:r>
      <w:r w:rsidR="00BF7D07" w:rsidRPr="00A60B24">
        <w:rPr>
          <w:rStyle w:val="element-citation"/>
          <w:rFonts w:ascii="Times New Roman" w:hAnsi="Times New Roman" w:cs="Times New Roman"/>
          <w:sz w:val="20"/>
          <w:szCs w:val="20"/>
        </w:rPr>
        <w:t xml:space="preserve"> </w:t>
      </w:r>
      <w:r w:rsidRPr="00A60B24">
        <w:rPr>
          <w:rStyle w:val="element-citation"/>
          <w:rFonts w:ascii="Times New Roman" w:hAnsi="Times New Roman" w:cs="Times New Roman"/>
          <w:sz w:val="20"/>
          <w:szCs w:val="20"/>
        </w:rPr>
        <w:t>J,</w:t>
      </w:r>
      <w:r w:rsidR="00BF7D07" w:rsidRPr="00A60B24">
        <w:rPr>
          <w:rStyle w:val="element-citation"/>
          <w:rFonts w:ascii="Times New Roman" w:hAnsi="Times New Roman" w:cs="Times New Roman"/>
          <w:sz w:val="20"/>
          <w:szCs w:val="20"/>
        </w:rPr>
        <w:t xml:space="preserve"> </w:t>
      </w:r>
      <w:r w:rsidRPr="00A60B24">
        <w:rPr>
          <w:rStyle w:val="element-citation"/>
          <w:rFonts w:ascii="Times New Roman" w:hAnsi="Times New Roman" w:cs="Times New Roman"/>
          <w:sz w:val="20"/>
          <w:szCs w:val="20"/>
        </w:rPr>
        <w:t>Chen</w:t>
      </w:r>
      <w:r w:rsidR="00BF7D07" w:rsidRPr="00A60B24">
        <w:rPr>
          <w:rStyle w:val="element-citation"/>
          <w:rFonts w:ascii="Times New Roman" w:hAnsi="Times New Roman" w:cs="Times New Roman"/>
          <w:sz w:val="20"/>
          <w:szCs w:val="20"/>
        </w:rPr>
        <w:t xml:space="preserve"> </w:t>
      </w:r>
      <w:r w:rsidRPr="00A60B24">
        <w:rPr>
          <w:rStyle w:val="element-citation"/>
          <w:rFonts w:ascii="Times New Roman" w:hAnsi="Times New Roman" w:cs="Times New Roman"/>
          <w:sz w:val="20"/>
          <w:szCs w:val="20"/>
        </w:rPr>
        <w:t>WH,</w:t>
      </w:r>
      <w:r w:rsidR="00BF7D07" w:rsidRPr="00A60B24">
        <w:rPr>
          <w:rStyle w:val="element-citation"/>
          <w:rFonts w:ascii="Times New Roman" w:hAnsi="Times New Roman" w:cs="Times New Roman"/>
          <w:sz w:val="20"/>
          <w:szCs w:val="20"/>
        </w:rPr>
        <w:t xml:space="preserve"> </w:t>
      </w:r>
      <w:r w:rsidRPr="00A60B24">
        <w:rPr>
          <w:rStyle w:val="element-citation"/>
          <w:rFonts w:ascii="Times New Roman" w:hAnsi="Times New Roman" w:cs="Times New Roman"/>
          <w:sz w:val="20"/>
          <w:szCs w:val="20"/>
        </w:rPr>
        <w:t>Chen</w:t>
      </w:r>
      <w:r w:rsidR="00BF7D07" w:rsidRPr="00A60B24">
        <w:rPr>
          <w:rStyle w:val="element-citation"/>
          <w:rFonts w:ascii="Times New Roman" w:hAnsi="Times New Roman" w:cs="Times New Roman"/>
          <w:sz w:val="20"/>
          <w:szCs w:val="20"/>
        </w:rPr>
        <w:t xml:space="preserve"> </w:t>
      </w:r>
      <w:r w:rsidRPr="00A60B24">
        <w:rPr>
          <w:rStyle w:val="element-citation"/>
          <w:rFonts w:ascii="Times New Roman" w:hAnsi="Times New Roman" w:cs="Times New Roman"/>
          <w:sz w:val="20"/>
          <w:szCs w:val="20"/>
        </w:rPr>
        <w:t>QY,</w:t>
      </w:r>
      <w:r w:rsidR="00BF7D07" w:rsidRPr="00A60B24">
        <w:rPr>
          <w:rStyle w:val="element-citation"/>
          <w:rFonts w:ascii="Times New Roman" w:hAnsi="Times New Roman" w:cs="Times New Roman"/>
          <w:sz w:val="20"/>
          <w:szCs w:val="20"/>
        </w:rPr>
        <w:t xml:space="preserve"> </w:t>
      </w:r>
      <w:r w:rsidRPr="00A60B24">
        <w:rPr>
          <w:rStyle w:val="element-citation"/>
          <w:rFonts w:ascii="Times New Roman" w:hAnsi="Times New Roman" w:cs="Times New Roman"/>
          <w:sz w:val="20"/>
          <w:szCs w:val="20"/>
        </w:rPr>
        <w:t>Yuan</w:t>
      </w:r>
      <w:r w:rsidR="00BF7D07" w:rsidRPr="00A60B24">
        <w:rPr>
          <w:rStyle w:val="element-citation"/>
          <w:rFonts w:ascii="Times New Roman" w:hAnsi="Times New Roman" w:cs="Times New Roman"/>
          <w:sz w:val="20"/>
          <w:szCs w:val="20"/>
        </w:rPr>
        <w:t xml:space="preserve"> </w:t>
      </w:r>
      <w:r w:rsidRPr="00A60B24">
        <w:rPr>
          <w:rStyle w:val="element-citation"/>
          <w:rFonts w:ascii="Times New Roman" w:hAnsi="Times New Roman" w:cs="Times New Roman"/>
          <w:sz w:val="20"/>
          <w:szCs w:val="20"/>
        </w:rPr>
        <w:t>LX,</w:t>
      </w:r>
      <w:r w:rsidR="00BF7D07" w:rsidRPr="00A60B24">
        <w:rPr>
          <w:rStyle w:val="element-citation"/>
          <w:rFonts w:ascii="Times New Roman" w:hAnsi="Times New Roman" w:cs="Times New Roman"/>
          <w:sz w:val="20"/>
          <w:szCs w:val="20"/>
        </w:rPr>
        <w:t xml:space="preserve"> </w:t>
      </w:r>
      <w:r w:rsidRPr="00A60B24">
        <w:rPr>
          <w:rStyle w:val="element-citation"/>
          <w:rFonts w:ascii="Times New Roman" w:hAnsi="Times New Roman" w:cs="Times New Roman"/>
          <w:sz w:val="20"/>
          <w:szCs w:val="20"/>
        </w:rPr>
        <w:t>Lai</w:t>
      </w:r>
      <w:r w:rsidR="00BF7D07" w:rsidRPr="00A60B24">
        <w:rPr>
          <w:rStyle w:val="element-citation"/>
          <w:rFonts w:ascii="Times New Roman" w:hAnsi="Times New Roman" w:cs="Times New Roman"/>
          <w:sz w:val="20"/>
          <w:szCs w:val="20"/>
        </w:rPr>
        <w:t xml:space="preserve"> </w:t>
      </w:r>
      <w:r w:rsidRPr="00A60B24">
        <w:rPr>
          <w:rStyle w:val="element-citation"/>
          <w:rFonts w:ascii="Times New Roman" w:hAnsi="Times New Roman" w:cs="Times New Roman"/>
          <w:sz w:val="20"/>
          <w:szCs w:val="20"/>
        </w:rPr>
        <w:t>XP,</w:t>
      </w:r>
      <w:r w:rsidR="00BF7D07" w:rsidRPr="00A60B24">
        <w:rPr>
          <w:rStyle w:val="element-citation"/>
          <w:rFonts w:ascii="Times New Roman" w:hAnsi="Times New Roman" w:cs="Times New Roman"/>
          <w:sz w:val="20"/>
          <w:szCs w:val="20"/>
        </w:rPr>
        <w:t xml:space="preserve"> </w:t>
      </w:r>
      <w:r w:rsidRPr="00A60B24">
        <w:rPr>
          <w:rStyle w:val="element-citation"/>
          <w:rFonts w:ascii="Times New Roman" w:hAnsi="Times New Roman" w:cs="Times New Roman"/>
          <w:sz w:val="20"/>
          <w:szCs w:val="20"/>
        </w:rPr>
        <w:t>He</w:t>
      </w:r>
      <w:r w:rsidR="00BF7D07" w:rsidRPr="00A60B24">
        <w:rPr>
          <w:rStyle w:val="element-citation"/>
          <w:rFonts w:ascii="Times New Roman" w:hAnsi="Times New Roman" w:cs="Times New Roman"/>
          <w:sz w:val="20"/>
          <w:szCs w:val="20"/>
        </w:rPr>
        <w:t xml:space="preserve"> </w:t>
      </w:r>
      <w:r w:rsidRPr="00A60B24">
        <w:rPr>
          <w:rStyle w:val="element-citation"/>
          <w:rFonts w:ascii="Times New Roman" w:hAnsi="Times New Roman" w:cs="Times New Roman"/>
          <w:sz w:val="20"/>
          <w:szCs w:val="20"/>
        </w:rPr>
        <w:t>Y,</w:t>
      </w:r>
      <w:r w:rsidR="00BF7D07" w:rsidRPr="00A60B24">
        <w:rPr>
          <w:rStyle w:val="element-citation"/>
          <w:rFonts w:ascii="Times New Roman" w:hAnsi="Times New Roman" w:cs="Times New Roman"/>
          <w:sz w:val="20"/>
          <w:szCs w:val="20"/>
        </w:rPr>
        <w:t xml:space="preserve"> </w:t>
      </w:r>
      <w:proofErr w:type="spellStart"/>
      <w:r w:rsidRPr="00A60B24">
        <w:rPr>
          <w:rStyle w:val="element-citation"/>
          <w:rFonts w:ascii="Times New Roman" w:hAnsi="Times New Roman" w:cs="Times New Roman"/>
          <w:sz w:val="20"/>
          <w:szCs w:val="20"/>
        </w:rPr>
        <w:t>Xu</w:t>
      </w:r>
      <w:proofErr w:type="spellEnd"/>
      <w:r w:rsidR="00BF7D07" w:rsidRPr="00A60B24">
        <w:rPr>
          <w:rStyle w:val="element-citation"/>
          <w:rFonts w:ascii="Times New Roman" w:hAnsi="Times New Roman" w:cs="Times New Roman"/>
          <w:sz w:val="20"/>
          <w:szCs w:val="20"/>
        </w:rPr>
        <w:t xml:space="preserve"> </w:t>
      </w:r>
      <w:r w:rsidRPr="00A60B24">
        <w:rPr>
          <w:rStyle w:val="element-citation"/>
          <w:rFonts w:ascii="Times New Roman" w:hAnsi="Times New Roman" w:cs="Times New Roman"/>
          <w:sz w:val="20"/>
          <w:szCs w:val="20"/>
        </w:rPr>
        <w:t>YX,</w:t>
      </w:r>
      <w:r w:rsidR="00BF7D07" w:rsidRPr="00A60B24">
        <w:rPr>
          <w:rStyle w:val="element-citation"/>
          <w:rFonts w:ascii="Times New Roman" w:hAnsi="Times New Roman" w:cs="Times New Roman"/>
          <w:sz w:val="20"/>
          <w:szCs w:val="20"/>
        </w:rPr>
        <w:t xml:space="preserve"> </w:t>
      </w:r>
      <w:proofErr w:type="spellStart"/>
      <w:r w:rsidRPr="00A60B24">
        <w:rPr>
          <w:rStyle w:val="element-citation"/>
          <w:rFonts w:ascii="Times New Roman" w:hAnsi="Times New Roman" w:cs="Times New Roman"/>
          <w:sz w:val="20"/>
          <w:szCs w:val="20"/>
        </w:rPr>
        <w:t>Hu</w:t>
      </w:r>
      <w:proofErr w:type="spellEnd"/>
      <w:r w:rsidR="00BF7D07" w:rsidRPr="00A60B24">
        <w:rPr>
          <w:rStyle w:val="element-citation"/>
          <w:rFonts w:ascii="Times New Roman" w:hAnsi="Times New Roman" w:cs="Times New Roman"/>
          <w:sz w:val="20"/>
          <w:szCs w:val="20"/>
        </w:rPr>
        <w:t xml:space="preserve"> </w:t>
      </w:r>
      <w:r w:rsidRPr="00A60B24">
        <w:rPr>
          <w:rStyle w:val="element-citation"/>
          <w:rFonts w:ascii="Times New Roman" w:hAnsi="Times New Roman" w:cs="Times New Roman"/>
          <w:sz w:val="20"/>
          <w:szCs w:val="20"/>
        </w:rPr>
        <w:t>DP.</w:t>
      </w:r>
      <w:r w:rsidR="00BF7D07" w:rsidRPr="00A60B24">
        <w:rPr>
          <w:rStyle w:val="element-citation"/>
          <w:rFonts w:ascii="Times New Roman" w:hAnsi="Times New Roman" w:cs="Times New Roman"/>
          <w:sz w:val="20"/>
          <w:szCs w:val="20"/>
          <w:lang w:eastAsia="zh-CN"/>
        </w:rPr>
        <w:t xml:space="preserve"> </w:t>
      </w:r>
      <w:r w:rsidRPr="00A60B24">
        <w:rPr>
          <w:rStyle w:val="element-citation"/>
          <w:rFonts w:ascii="Times New Roman" w:hAnsi="Times New Roman" w:cs="Times New Roman"/>
          <w:sz w:val="20"/>
          <w:szCs w:val="20"/>
        </w:rPr>
        <w:t>Establishment</w:t>
      </w:r>
      <w:r w:rsidR="00BF7D07" w:rsidRPr="00A60B24">
        <w:rPr>
          <w:rStyle w:val="element-citation"/>
          <w:rFonts w:ascii="Times New Roman" w:hAnsi="Times New Roman" w:cs="Times New Roman"/>
          <w:sz w:val="20"/>
          <w:szCs w:val="20"/>
        </w:rPr>
        <w:t xml:space="preserve"> </w:t>
      </w:r>
      <w:r w:rsidRPr="00A60B24">
        <w:rPr>
          <w:rStyle w:val="element-citation"/>
          <w:rFonts w:ascii="Times New Roman" w:hAnsi="Times New Roman" w:cs="Times New Roman"/>
          <w:sz w:val="20"/>
          <w:szCs w:val="20"/>
        </w:rPr>
        <w:t>and</w:t>
      </w:r>
      <w:r w:rsidR="00BF7D07" w:rsidRPr="00A60B24">
        <w:rPr>
          <w:rStyle w:val="element-citation"/>
          <w:rFonts w:ascii="Times New Roman" w:hAnsi="Times New Roman" w:cs="Times New Roman"/>
          <w:sz w:val="20"/>
          <w:szCs w:val="20"/>
        </w:rPr>
        <w:t xml:space="preserve"> </w:t>
      </w:r>
      <w:r w:rsidRPr="00A60B24">
        <w:rPr>
          <w:rStyle w:val="element-citation"/>
          <w:rFonts w:ascii="Times New Roman" w:hAnsi="Times New Roman" w:cs="Times New Roman"/>
          <w:sz w:val="20"/>
          <w:szCs w:val="20"/>
        </w:rPr>
        <w:t>validation</w:t>
      </w:r>
      <w:r w:rsidR="00BF7D07" w:rsidRPr="00A60B24">
        <w:rPr>
          <w:rStyle w:val="element-citation"/>
          <w:rFonts w:ascii="Times New Roman" w:hAnsi="Times New Roman" w:cs="Times New Roman"/>
          <w:sz w:val="20"/>
          <w:szCs w:val="20"/>
        </w:rPr>
        <w:t xml:space="preserve"> </w:t>
      </w:r>
      <w:r w:rsidRPr="00A60B24">
        <w:rPr>
          <w:rStyle w:val="element-citation"/>
          <w:rFonts w:ascii="Times New Roman" w:hAnsi="Times New Roman" w:cs="Times New Roman"/>
          <w:sz w:val="20"/>
          <w:szCs w:val="20"/>
        </w:rPr>
        <w:t>of</w:t>
      </w:r>
      <w:r w:rsidR="00BF7D07" w:rsidRPr="00A60B24">
        <w:rPr>
          <w:rStyle w:val="element-citation"/>
          <w:rFonts w:ascii="Times New Roman" w:hAnsi="Times New Roman" w:cs="Times New Roman"/>
          <w:sz w:val="20"/>
          <w:szCs w:val="20"/>
        </w:rPr>
        <w:t xml:space="preserve"> </w:t>
      </w:r>
      <w:r w:rsidRPr="00A60B24">
        <w:rPr>
          <w:rStyle w:val="element-citation"/>
          <w:rFonts w:ascii="Times New Roman" w:hAnsi="Times New Roman" w:cs="Times New Roman"/>
          <w:sz w:val="20"/>
          <w:szCs w:val="20"/>
        </w:rPr>
        <w:t>prognostic</w:t>
      </w:r>
      <w:r w:rsidR="00BF7D07" w:rsidRPr="00A60B24">
        <w:rPr>
          <w:rStyle w:val="element-citation"/>
          <w:rFonts w:ascii="Times New Roman" w:hAnsi="Times New Roman" w:cs="Times New Roman"/>
          <w:sz w:val="20"/>
          <w:szCs w:val="20"/>
        </w:rPr>
        <w:t xml:space="preserve"> </w:t>
      </w:r>
      <w:proofErr w:type="spellStart"/>
      <w:r w:rsidRPr="00A60B24">
        <w:rPr>
          <w:rStyle w:val="element-citation"/>
          <w:rFonts w:ascii="Times New Roman" w:hAnsi="Times New Roman" w:cs="Times New Roman"/>
          <w:sz w:val="20"/>
          <w:szCs w:val="20"/>
        </w:rPr>
        <w:t>nomograms</w:t>
      </w:r>
      <w:proofErr w:type="spellEnd"/>
      <w:r w:rsidR="00BF7D07" w:rsidRPr="00A60B24">
        <w:rPr>
          <w:rStyle w:val="element-citation"/>
          <w:rFonts w:ascii="Times New Roman" w:hAnsi="Times New Roman" w:cs="Times New Roman"/>
          <w:sz w:val="20"/>
          <w:szCs w:val="20"/>
        </w:rPr>
        <w:t xml:space="preserve"> </w:t>
      </w:r>
      <w:r w:rsidRPr="00A60B24">
        <w:rPr>
          <w:rStyle w:val="element-citation"/>
          <w:rFonts w:ascii="Times New Roman" w:hAnsi="Times New Roman" w:cs="Times New Roman"/>
          <w:sz w:val="20"/>
          <w:szCs w:val="20"/>
        </w:rPr>
        <w:t>for</w:t>
      </w:r>
      <w:r w:rsidR="00BF7D07" w:rsidRPr="00A60B24">
        <w:rPr>
          <w:rStyle w:val="element-citation"/>
          <w:rFonts w:ascii="Times New Roman" w:hAnsi="Times New Roman" w:cs="Times New Roman"/>
          <w:sz w:val="20"/>
          <w:szCs w:val="20"/>
        </w:rPr>
        <w:t xml:space="preserve"> </w:t>
      </w:r>
      <w:r w:rsidRPr="00A60B24">
        <w:rPr>
          <w:rStyle w:val="element-citation"/>
          <w:rFonts w:ascii="Times New Roman" w:hAnsi="Times New Roman" w:cs="Times New Roman"/>
          <w:sz w:val="20"/>
          <w:szCs w:val="20"/>
        </w:rPr>
        <w:t>endemic</w:t>
      </w:r>
      <w:r w:rsidR="00BF7D07" w:rsidRPr="00A60B24">
        <w:rPr>
          <w:rStyle w:val="element-citation"/>
          <w:rFonts w:ascii="Times New Roman" w:hAnsi="Times New Roman" w:cs="Times New Roman"/>
          <w:sz w:val="20"/>
          <w:szCs w:val="20"/>
        </w:rPr>
        <w:t xml:space="preserve"> </w:t>
      </w:r>
      <w:r w:rsidRPr="00A60B24">
        <w:rPr>
          <w:rStyle w:val="element-citation"/>
          <w:rFonts w:ascii="Times New Roman" w:hAnsi="Times New Roman" w:cs="Times New Roman"/>
          <w:sz w:val="20"/>
          <w:szCs w:val="20"/>
        </w:rPr>
        <w:t>nasopharyngeal</w:t>
      </w:r>
      <w:r w:rsidR="00BF7D07" w:rsidRPr="00A60B24">
        <w:rPr>
          <w:rStyle w:val="element-citation"/>
          <w:rFonts w:ascii="Times New Roman" w:hAnsi="Times New Roman" w:cs="Times New Roman"/>
          <w:sz w:val="20"/>
          <w:szCs w:val="20"/>
        </w:rPr>
        <w:t xml:space="preserve"> </w:t>
      </w:r>
      <w:r w:rsidRPr="00A60B24">
        <w:rPr>
          <w:rStyle w:val="element-citation"/>
          <w:rFonts w:ascii="Times New Roman" w:hAnsi="Times New Roman" w:cs="Times New Roman"/>
          <w:sz w:val="20"/>
          <w:szCs w:val="20"/>
        </w:rPr>
        <w:t>carcinoma.</w:t>
      </w:r>
      <w:r w:rsidR="00BF7D07" w:rsidRPr="00A60B24">
        <w:rPr>
          <w:rStyle w:val="element-citation"/>
          <w:rFonts w:ascii="Times New Roman" w:hAnsi="Times New Roman" w:cs="Times New Roman"/>
          <w:sz w:val="20"/>
          <w:szCs w:val="20"/>
          <w:lang w:eastAsia="zh-CN"/>
        </w:rPr>
        <w:t xml:space="preserve"> </w:t>
      </w:r>
      <w:proofErr w:type="spellStart"/>
      <w:r w:rsidRPr="00A60B24">
        <w:rPr>
          <w:rStyle w:val="ref-journal"/>
          <w:rFonts w:ascii="Times New Roman" w:hAnsi="Times New Roman" w:cs="Times New Roman"/>
          <w:sz w:val="20"/>
          <w:szCs w:val="20"/>
        </w:rPr>
        <w:t>JNatl</w:t>
      </w:r>
      <w:proofErr w:type="spellEnd"/>
      <w:r w:rsidR="00BF7D07" w:rsidRPr="00A60B24">
        <w:rPr>
          <w:rStyle w:val="ref-journal"/>
          <w:rFonts w:ascii="Times New Roman" w:hAnsi="Times New Roman" w:cs="Times New Roman"/>
          <w:sz w:val="20"/>
          <w:szCs w:val="20"/>
        </w:rPr>
        <w:t xml:space="preserve"> </w:t>
      </w:r>
      <w:r w:rsidRPr="00A60B24">
        <w:rPr>
          <w:rStyle w:val="ref-journal"/>
          <w:rFonts w:ascii="Times New Roman" w:hAnsi="Times New Roman" w:cs="Times New Roman"/>
          <w:sz w:val="20"/>
          <w:szCs w:val="20"/>
        </w:rPr>
        <w:t>Cancer</w:t>
      </w:r>
      <w:r w:rsidR="00BF7D07" w:rsidRPr="00A60B24">
        <w:rPr>
          <w:rStyle w:val="ref-journal"/>
          <w:rFonts w:ascii="Times New Roman" w:hAnsi="Times New Roman" w:cs="Times New Roman"/>
          <w:sz w:val="20"/>
          <w:szCs w:val="20"/>
        </w:rPr>
        <w:t xml:space="preserve"> </w:t>
      </w:r>
      <w:r w:rsidRPr="00A60B24">
        <w:rPr>
          <w:rStyle w:val="ref-journal"/>
          <w:rFonts w:ascii="Times New Roman" w:hAnsi="Times New Roman" w:cs="Times New Roman"/>
          <w:sz w:val="20"/>
          <w:szCs w:val="20"/>
        </w:rPr>
        <w:t>Inst.</w:t>
      </w:r>
      <w:r w:rsidR="00BF7D07" w:rsidRPr="00A60B24">
        <w:rPr>
          <w:rStyle w:val="ref-journal"/>
          <w:rFonts w:ascii="Times New Roman" w:hAnsi="Times New Roman" w:cs="Times New Roman"/>
          <w:sz w:val="20"/>
          <w:szCs w:val="20"/>
        </w:rPr>
        <w:t xml:space="preserve"> </w:t>
      </w:r>
      <w:r w:rsidRPr="00A60B24">
        <w:rPr>
          <w:rStyle w:val="element-citation"/>
          <w:rFonts w:ascii="Times New Roman" w:hAnsi="Times New Roman" w:cs="Times New Roman"/>
          <w:sz w:val="20"/>
          <w:szCs w:val="20"/>
        </w:rPr>
        <w:t>2016;</w:t>
      </w:r>
      <w:r w:rsidRPr="00A60B24">
        <w:rPr>
          <w:rStyle w:val="ref-vol"/>
          <w:rFonts w:ascii="Times New Roman" w:hAnsi="Times New Roman" w:cs="Times New Roman"/>
          <w:sz w:val="20"/>
          <w:szCs w:val="20"/>
        </w:rPr>
        <w:t>108</w:t>
      </w:r>
      <w:r w:rsidRPr="00A60B24">
        <w:rPr>
          <w:rStyle w:val="element-citation"/>
          <w:rFonts w:ascii="Times New Roman" w:hAnsi="Times New Roman" w:cs="Times New Roman"/>
          <w:sz w:val="20"/>
          <w:szCs w:val="20"/>
        </w:rPr>
        <w:t>:djv291.</w:t>
      </w:r>
      <w:r w:rsidR="00BF7D07" w:rsidRPr="00A60B24">
        <w:rPr>
          <w:rStyle w:val="element-citation"/>
          <w:rFonts w:ascii="Times New Roman" w:hAnsi="Times New Roman" w:cs="Times New Roman"/>
          <w:sz w:val="20"/>
          <w:szCs w:val="20"/>
        </w:rPr>
        <w:t xml:space="preserve"> </w:t>
      </w:r>
      <w:proofErr w:type="spellStart"/>
      <w:r w:rsidRPr="00A60B24">
        <w:rPr>
          <w:rStyle w:val="element-citation"/>
          <w:rFonts w:ascii="Times New Roman" w:hAnsi="Times New Roman" w:cs="Times New Roman"/>
          <w:sz w:val="20"/>
          <w:szCs w:val="20"/>
        </w:rPr>
        <w:t>doi</w:t>
      </w:r>
      <w:proofErr w:type="spellEnd"/>
      <w:r w:rsidRPr="00A60B24">
        <w:rPr>
          <w:rStyle w:val="element-citation"/>
          <w:rFonts w:ascii="Times New Roman" w:hAnsi="Times New Roman" w:cs="Times New Roman"/>
          <w:sz w:val="20"/>
          <w:szCs w:val="20"/>
        </w:rPr>
        <w:t>:</w:t>
      </w:r>
      <w:r w:rsidR="00BF7D07" w:rsidRPr="00A60B24">
        <w:rPr>
          <w:rStyle w:val="element-citation"/>
          <w:rFonts w:ascii="Times New Roman" w:hAnsi="Times New Roman" w:cs="Times New Roman"/>
          <w:sz w:val="20"/>
          <w:szCs w:val="20"/>
        </w:rPr>
        <w:t xml:space="preserve"> </w:t>
      </w:r>
      <w:r w:rsidRPr="00A60B24">
        <w:rPr>
          <w:rStyle w:val="element-citation"/>
          <w:rFonts w:ascii="Times New Roman" w:hAnsi="Times New Roman" w:cs="Times New Roman"/>
          <w:sz w:val="20"/>
          <w:szCs w:val="20"/>
        </w:rPr>
        <w:t>10.1093/jnci/djv29</w:t>
      </w:r>
      <w:r w:rsidR="00737872" w:rsidRPr="00A60B24">
        <w:rPr>
          <w:rStyle w:val="element-citation"/>
          <w:rFonts w:ascii="Times New Roman" w:hAnsi="Times New Roman" w:cs="Times New Roman"/>
          <w:sz w:val="20"/>
          <w:szCs w:val="20"/>
        </w:rPr>
        <w:t>1.</w:t>
      </w:r>
    </w:p>
    <w:p w:rsidR="004C3E1E" w:rsidRPr="00A60B24" w:rsidRDefault="004C3E1E" w:rsidP="00737872">
      <w:pPr>
        <w:pStyle w:val="ListParagraph"/>
        <w:numPr>
          <w:ilvl w:val="0"/>
          <w:numId w:val="10"/>
        </w:numPr>
        <w:bidi w:val="0"/>
        <w:snapToGrid w:val="0"/>
        <w:spacing w:after="0" w:line="240" w:lineRule="auto"/>
        <w:ind w:left="425" w:hanging="425"/>
        <w:jc w:val="both"/>
        <w:rPr>
          <w:rFonts w:ascii="Times New Roman" w:hAnsi="Times New Roman" w:cs="Times New Roman"/>
          <w:sz w:val="20"/>
          <w:szCs w:val="20"/>
        </w:rPr>
      </w:pPr>
      <w:proofErr w:type="spellStart"/>
      <w:r w:rsidRPr="00A60B24">
        <w:rPr>
          <w:rFonts w:ascii="Times New Roman" w:hAnsi="Times New Roman" w:cs="Times New Roman"/>
          <w:sz w:val="20"/>
          <w:szCs w:val="20"/>
        </w:rPr>
        <w:t>Lastrucci</w:t>
      </w:r>
      <w:proofErr w:type="spellEnd"/>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L1,</w:t>
      </w:r>
      <w:r w:rsidR="00BF7D07" w:rsidRPr="00A60B24">
        <w:rPr>
          <w:rFonts w:ascii="Times New Roman" w:hAnsi="Times New Roman" w:cs="Times New Roman"/>
          <w:sz w:val="20"/>
          <w:szCs w:val="20"/>
        </w:rPr>
        <w:t xml:space="preserve"> </w:t>
      </w:r>
      <w:proofErr w:type="spellStart"/>
      <w:r w:rsidRPr="00A60B24">
        <w:rPr>
          <w:rFonts w:ascii="Times New Roman" w:hAnsi="Times New Roman" w:cs="Times New Roman"/>
          <w:sz w:val="20"/>
          <w:szCs w:val="20"/>
        </w:rPr>
        <w:t>Bertocci</w:t>
      </w:r>
      <w:proofErr w:type="spellEnd"/>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S2,</w:t>
      </w:r>
      <w:r w:rsidR="00BF7D07" w:rsidRPr="00A60B24">
        <w:rPr>
          <w:rFonts w:ascii="Times New Roman" w:hAnsi="Times New Roman" w:cs="Times New Roman"/>
          <w:sz w:val="20"/>
          <w:szCs w:val="20"/>
        </w:rPr>
        <w:t xml:space="preserve"> </w:t>
      </w:r>
      <w:proofErr w:type="spellStart"/>
      <w:r w:rsidRPr="00A60B24">
        <w:rPr>
          <w:rFonts w:ascii="Times New Roman" w:hAnsi="Times New Roman" w:cs="Times New Roman"/>
          <w:sz w:val="20"/>
          <w:szCs w:val="20"/>
        </w:rPr>
        <w:t>Bin</w:t>
      </w:r>
      <w:r w:rsidR="0022135E" w:rsidRPr="00A60B24">
        <w:rPr>
          <w:rFonts w:ascii="Times New Roman" w:hAnsi="Times New Roman" w:cs="Times New Roman"/>
          <w:sz w:val="20"/>
          <w:szCs w:val="20"/>
        </w:rPr>
        <w:t>i</w:t>
      </w:r>
      <w:proofErr w:type="spellEnd"/>
      <w:r w:rsidR="0022135E" w:rsidRPr="00A60B24">
        <w:rPr>
          <w:rFonts w:ascii="Times New Roman" w:hAnsi="Times New Roman" w:cs="Times New Roman"/>
          <w:sz w:val="20"/>
          <w:szCs w:val="20"/>
        </w:rPr>
        <w:t xml:space="preserve"> V</w:t>
      </w:r>
      <w:r w:rsidRPr="00A60B24">
        <w:rPr>
          <w:rFonts w:ascii="Times New Roman" w:hAnsi="Times New Roman" w:cs="Times New Roman"/>
          <w:sz w:val="20"/>
          <w:szCs w:val="20"/>
        </w:rPr>
        <w:t>,</w:t>
      </w:r>
      <w:r w:rsidR="00BF7D07" w:rsidRPr="00A60B24">
        <w:rPr>
          <w:rFonts w:ascii="Times New Roman" w:hAnsi="Times New Roman" w:cs="Times New Roman"/>
          <w:sz w:val="20"/>
          <w:szCs w:val="20"/>
          <w:lang w:eastAsia="zh-CN"/>
        </w:rPr>
        <w:t xml:space="preserve"> </w:t>
      </w:r>
      <w:r w:rsidRPr="00A60B24">
        <w:rPr>
          <w:rFonts w:ascii="Times New Roman" w:hAnsi="Times New Roman" w:cs="Times New Roman"/>
          <w:sz w:val="20"/>
          <w:szCs w:val="20"/>
        </w:rPr>
        <w:t>et</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al.</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Late</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toxicity,</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evolving</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radiotherapy</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techniques,</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and</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quality</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of</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life</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in</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nasopharyngeal</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carcinoma.</w:t>
      </w:r>
      <w:r w:rsidR="00BF7D07" w:rsidRPr="00A60B24">
        <w:rPr>
          <w:rFonts w:ascii="Times New Roman" w:hAnsi="Times New Roman" w:cs="Times New Roman"/>
          <w:sz w:val="20"/>
          <w:szCs w:val="20"/>
        </w:rPr>
        <w:t xml:space="preserve"> </w:t>
      </w:r>
      <w:proofErr w:type="spellStart"/>
      <w:r w:rsidRPr="00A60B24">
        <w:rPr>
          <w:rFonts w:ascii="Times New Roman" w:hAnsi="Times New Roman" w:cs="Times New Roman"/>
          <w:sz w:val="20"/>
          <w:szCs w:val="20"/>
        </w:rPr>
        <w:t>Radiol</w:t>
      </w:r>
      <w:proofErr w:type="spellEnd"/>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Med.</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2017</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Apr;122(4):303-308.</w:t>
      </w:r>
    </w:p>
    <w:p w:rsidR="004C3E1E" w:rsidRPr="00A60B24" w:rsidRDefault="004C3E1E" w:rsidP="00737872">
      <w:pPr>
        <w:pStyle w:val="ListParagraph"/>
        <w:numPr>
          <w:ilvl w:val="0"/>
          <w:numId w:val="10"/>
        </w:numPr>
        <w:autoSpaceDE w:val="0"/>
        <w:autoSpaceDN w:val="0"/>
        <w:bidi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A60B24">
        <w:rPr>
          <w:rFonts w:ascii="Times New Roman" w:hAnsi="Times New Roman" w:cs="Times New Roman"/>
          <w:sz w:val="20"/>
          <w:szCs w:val="20"/>
        </w:rPr>
        <w:t>Ng</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M,</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Leong</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T,</w:t>
      </w:r>
      <w:r w:rsidR="00BF7D07" w:rsidRPr="00A60B24">
        <w:rPr>
          <w:rFonts w:ascii="Times New Roman" w:hAnsi="Times New Roman" w:cs="Times New Roman"/>
          <w:sz w:val="20"/>
          <w:szCs w:val="20"/>
        </w:rPr>
        <w:t xml:space="preserve"> </w:t>
      </w:r>
      <w:proofErr w:type="spellStart"/>
      <w:r w:rsidRPr="00A60B24">
        <w:rPr>
          <w:rFonts w:ascii="Times New Roman" w:hAnsi="Times New Roman" w:cs="Times New Roman"/>
          <w:sz w:val="20"/>
          <w:szCs w:val="20"/>
        </w:rPr>
        <w:t>Chander</w:t>
      </w:r>
      <w:proofErr w:type="spellEnd"/>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S,</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et</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al.</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Australasian</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Gastrointestinal</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Trials</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Group</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(AGITG)</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contouring</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atlas</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and</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planning</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guidelines</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for</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intensity-modulated</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radiotherapy</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in</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anal</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cancer.</w:t>
      </w:r>
      <w:r w:rsidR="00BF7D07" w:rsidRPr="00A60B24">
        <w:rPr>
          <w:rFonts w:ascii="Times New Roman" w:hAnsi="Times New Roman" w:cs="Times New Roman"/>
          <w:sz w:val="20"/>
          <w:szCs w:val="20"/>
        </w:rPr>
        <w:t xml:space="preserve"> </w:t>
      </w:r>
      <w:proofErr w:type="spellStart"/>
      <w:r w:rsidRPr="00A60B24">
        <w:rPr>
          <w:rFonts w:ascii="Times New Roman" w:hAnsi="Times New Roman" w:cs="Times New Roman"/>
          <w:sz w:val="20"/>
          <w:szCs w:val="20"/>
        </w:rPr>
        <w:t>Int</w:t>
      </w:r>
      <w:proofErr w:type="spellEnd"/>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J</w:t>
      </w:r>
      <w:r w:rsidR="00BF7D07" w:rsidRPr="00A60B24">
        <w:rPr>
          <w:rFonts w:ascii="Times New Roman" w:hAnsi="Times New Roman" w:cs="Times New Roman"/>
          <w:sz w:val="20"/>
          <w:szCs w:val="20"/>
        </w:rPr>
        <w:t xml:space="preserve"> </w:t>
      </w:r>
      <w:proofErr w:type="spellStart"/>
      <w:r w:rsidRPr="00A60B24">
        <w:rPr>
          <w:rFonts w:ascii="Times New Roman" w:hAnsi="Times New Roman" w:cs="Times New Roman"/>
          <w:sz w:val="20"/>
          <w:szCs w:val="20"/>
        </w:rPr>
        <w:t>Radiat</w:t>
      </w:r>
      <w:proofErr w:type="spellEnd"/>
      <w:r w:rsidR="00BF7D07" w:rsidRPr="00A60B24">
        <w:rPr>
          <w:rFonts w:ascii="Times New Roman" w:hAnsi="Times New Roman" w:cs="Times New Roman"/>
          <w:sz w:val="20"/>
          <w:szCs w:val="20"/>
          <w:lang w:eastAsia="zh-CN"/>
        </w:rPr>
        <w:t xml:space="preserve"> </w:t>
      </w:r>
      <w:proofErr w:type="spellStart"/>
      <w:r w:rsidRPr="00A60B24">
        <w:rPr>
          <w:rFonts w:ascii="Times New Roman" w:hAnsi="Times New Roman" w:cs="Times New Roman"/>
          <w:sz w:val="20"/>
          <w:szCs w:val="20"/>
        </w:rPr>
        <w:t>Oncol</w:t>
      </w:r>
      <w:proofErr w:type="spellEnd"/>
      <w:r w:rsidR="00BF7D07" w:rsidRPr="00A60B24">
        <w:rPr>
          <w:rFonts w:ascii="Times New Roman" w:hAnsi="Times New Roman" w:cs="Times New Roman"/>
          <w:sz w:val="20"/>
          <w:szCs w:val="20"/>
          <w:lang w:eastAsia="zh-CN"/>
        </w:rPr>
        <w:t xml:space="preserve"> </w:t>
      </w:r>
      <w:proofErr w:type="spellStart"/>
      <w:r w:rsidRPr="00A60B24">
        <w:rPr>
          <w:rFonts w:ascii="Times New Roman" w:hAnsi="Times New Roman" w:cs="Times New Roman"/>
          <w:sz w:val="20"/>
          <w:szCs w:val="20"/>
        </w:rPr>
        <w:t>Biol</w:t>
      </w:r>
      <w:proofErr w:type="spellEnd"/>
      <w:r w:rsidR="00BF7D07" w:rsidRPr="00A60B24">
        <w:rPr>
          <w:rFonts w:ascii="Times New Roman" w:hAnsi="Times New Roman" w:cs="Times New Roman"/>
          <w:sz w:val="20"/>
          <w:szCs w:val="20"/>
          <w:lang w:eastAsia="zh-CN"/>
        </w:rPr>
        <w:t xml:space="preserve"> </w:t>
      </w:r>
      <w:r w:rsidRPr="00A60B24">
        <w:rPr>
          <w:rFonts w:ascii="Times New Roman" w:hAnsi="Times New Roman" w:cs="Times New Roman"/>
          <w:sz w:val="20"/>
          <w:szCs w:val="20"/>
        </w:rPr>
        <w:t>Phys</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2012;83(5):1455–62.</w:t>
      </w:r>
    </w:p>
    <w:p w:rsidR="00737872" w:rsidRPr="00A60B24" w:rsidRDefault="004C3E1E" w:rsidP="00737872">
      <w:pPr>
        <w:pStyle w:val="ListParagraph"/>
        <w:numPr>
          <w:ilvl w:val="0"/>
          <w:numId w:val="10"/>
        </w:numPr>
        <w:bidi w:val="0"/>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A60B24">
        <w:rPr>
          <w:rFonts w:ascii="Times New Roman" w:hAnsi="Times New Roman" w:cs="Times New Roman"/>
          <w:color w:val="000000" w:themeColor="text1"/>
          <w:sz w:val="20"/>
          <w:szCs w:val="20"/>
        </w:rPr>
        <w:t>Lambrecht</w:t>
      </w:r>
      <w:proofErr w:type="spellEnd"/>
      <w:r w:rsidR="00BF7D07" w:rsidRPr="00A60B24">
        <w:rPr>
          <w:rFonts w:ascii="Times New Roman" w:hAnsi="Times New Roman" w:cs="Times New Roman"/>
          <w:color w:val="000000" w:themeColor="text1"/>
          <w:sz w:val="20"/>
          <w:szCs w:val="20"/>
        </w:rPr>
        <w:t xml:space="preserve"> </w:t>
      </w:r>
      <w:r w:rsidRPr="00A60B24">
        <w:rPr>
          <w:rFonts w:ascii="Times New Roman" w:hAnsi="Times New Roman" w:cs="Times New Roman"/>
          <w:color w:val="000000" w:themeColor="text1"/>
          <w:sz w:val="20"/>
          <w:szCs w:val="20"/>
        </w:rPr>
        <w:t>M,</w:t>
      </w:r>
      <w:r w:rsidR="00BF7D07" w:rsidRPr="00A60B24">
        <w:rPr>
          <w:rFonts w:ascii="Times New Roman" w:hAnsi="Times New Roman" w:cs="Times New Roman"/>
          <w:color w:val="000000" w:themeColor="text1"/>
          <w:sz w:val="20"/>
          <w:szCs w:val="20"/>
        </w:rPr>
        <w:t xml:space="preserve"> </w:t>
      </w:r>
      <w:proofErr w:type="spellStart"/>
      <w:r w:rsidRPr="00A60B24">
        <w:rPr>
          <w:rFonts w:ascii="Times New Roman" w:hAnsi="Times New Roman" w:cs="Times New Roman"/>
          <w:color w:val="000000" w:themeColor="text1"/>
          <w:sz w:val="20"/>
          <w:szCs w:val="20"/>
        </w:rPr>
        <w:t>Nevens</w:t>
      </w:r>
      <w:proofErr w:type="spellEnd"/>
      <w:r w:rsidR="00BF7D07" w:rsidRPr="00A60B24">
        <w:rPr>
          <w:rFonts w:ascii="Times New Roman" w:hAnsi="Times New Roman" w:cs="Times New Roman"/>
          <w:color w:val="000000" w:themeColor="text1"/>
          <w:sz w:val="20"/>
          <w:szCs w:val="20"/>
        </w:rPr>
        <w:t xml:space="preserve"> </w:t>
      </w:r>
      <w:r w:rsidRPr="00A60B24">
        <w:rPr>
          <w:rFonts w:ascii="Times New Roman" w:hAnsi="Times New Roman" w:cs="Times New Roman"/>
          <w:color w:val="000000" w:themeColor="text1"/>
          <w:sz w:val="20"/>
          <w:szCs w:val="20"/>
        </w:rPr>
        <w:t>D,</w:t>
      </w:r>
      <w:r w:rsidR="00BF7D07" w:rsidRPr="00A60B24">
        <w:rPr>
          <w:rFonts w:ascii="Times New Roman" w:hAnsi="Times New Roman" w:cs="Times New Roman"/>
          <w:color w:val="000000" w:themeColor="text1"/>
          <w:sz w:val="20"/>
          <w:szCs w:val="20"/>
        </w:rPr>
        <w:t xml:space="preserve"> </w:t>
      </w:r>
      <w:proofErr w:type="spellStart"/>
      <w:r w:rsidRPr="00A60B24">
        <w:rPr>
          <w:rFonts w:ascii="Times New Roman" w:hAnsi="Times New Roman" w:cs="Times New Roman"/>
          <w:color w:val="000000" w:themeColor="text1"/>
          <w:sz w:val="20"/>
          <w:szCs w:val="20"/>
        </w:rPr>
        <w:t>Nuyts</w:t>
      </w:r>
      <w:proofErr w:type="spellEnd"/>
      <w:r w:rsidR="00BF7D07" w:rsidRPr="00A60B24">
        <w:rPr>
          <w:rFonts w:ascii="Times New Roman" w:hAnsi="Times New Roman" w:cs="Times New Roman"/>
          <w:color w:val="000000" w:themeColor="text1"/>
          <w:sz w:val="20"/>
          <w:szCs w:val="20"/>
        </w:rPr>
        <w:t xml:space="preserve"> </w:t>
      </w:r>
      <w:r w:rsidRPr="00A60B24">
        <w:rPr>
          <w:rFonts w:ascii="Times New Roman" w:hAnsi="Times New Roman" w:cs="Times New Roman"/>
          <w:color w:val="000000" w:themeColor="text1"/>
          <w:sz w:val="20"/>
          <w:szCs w:val="20"/>
        </w:rPr>
        <w:t>S</w:t>
      </w:r>
      <w:r w:rsidR="00737872" w:rsidRPr="00A60B24">
        <w:rPr>
          <w:rFonts w:ascii="Times New Roman" w:hAnsi="Times New Roman" w:cs="Times New Roman"/>
          <w:color w:val="000000" w:themeColor="text1"/>
          <w:sz w:val="20"/>
          <w:szCs w:val="20"/>
        </w:rPr>
        <w:t>. I</w:t>
      </w:r>
      <w:r w:rsidRPr="00A60B24">
        <w:rPr>
          <w:rFonts w:ascii="Times New Roman" w:hAnsi="Times New Roman" w:cs="Times New Roman"/>
          <w:color w:val="000000" w:themeColor="text1"/>
          <w:sz w:val="20"/>
          <w:szCs w:val="20"/>
        </w:rPr>
        <w:t>ntensity-modulated</w:t>
      </w:r>
      <w:r w:rsidR="00BF7D07" w:rsidRPr="00A60B24">
        <w:rPr>
          <w:rFonts w:ascii="Times New Roman" w:hAnsi="Times New Roman" w:cs="Times New Roman"/>
          <w:color w:val="000000" w:themeColor="text1"/>
          <w:sz w:val="20"/>
          <w:szCs w:val="20"/>
        </w:rPr>
        <w:t xml:space="preserve"> </w:t>
      </w:r>
      <w:r w:rsidRPr="00A60B24">
        <w:rPr>
          <w:rFonts w:ascii="Times New Roman" w:hAnsi="Times New Roman" w:cs="Times New Roman"/>
          <w:color w:val="000000" w:themeColor="text1"/>
          <w:sz w:val="20"/>
          <w:szCs w:val="20"/>
        </w:rPr>
        <w:t>radiotherapy</w:t>
      </w:r>
      <w:r w:rsidR="00BF7D07" w:rsidRPr="00A60B24">
        <w:rPr>
          <w:rFonts w:ascii="Times New Roman" w:hAnsi="Times New Roman" w:cs="Times New Roman"/>
          <w:color w:val="000000" w:themeColor="text1"/>
          <w:sz w:val="20"/>
          <w:szCs w:val="20"/>
        </w:rPr>
        <w:t xml:space="preserve"> </w:t>
      </w:r>
      <w:r w:rsidRPr="00A60B24">
        <w:rPr>
          <w:rFonts w:ascii="Times New Roman" w:hAnsi="Times New Roman" w:cs="Times New Roman"/>
          <w:color w:val="000000" w:themeColor="text1"/>
          <w:sz w:val="20"/>
          <w:szCs w:val="20"/>
        </w:rPr>
        <w:t>vs.</w:t>
      </w:r>
      <w:r w:rsidR="00BF7D07" w:rsidRPr="00A60B24">
        <w:rPr>
          <w:rFonts w:ascii="Times New Roman" w:hAnsi="Times New Roman" w:cs="Times New Roman"/>
          <w:color w:val="000000" w:themeColor="text1"/>
          <w:sz w:val="20"/>
          <w:szCs w:val="20"/>
        </w:rPr>
        <w:t xml:space="preserve"> </w:t>
      </w:r>
      <w:r w:rsidRPr="00A60B24">
        <w:rPr>
          <w:rFonts w:ascii="Times New Roman" w:hAnsi="Times New Roman" w:cs="Times New Roman"/>
          <w:color w:val="000000" w:themeColor="text1"/>
          <w:sz w:val="20"/>
          <w:szCs w:val="20"/>
        </w:rPr>
        <w:t>parotid-sparing</w:t>
      </w:r>
      <w:r w:rsidR="00BF7D07" w:rsidRPr="00A60B24">
        <w:rPr>
          <w:rFonts w:ascii="Times New Roman" w:hAnsi="Times New Roman" w:cs="Times New Roman"/>
          <w:color w:val="000000" w:themeColor="text1"/>
          <w:sz w:val="20"/>
          <w:szCs w:val="20"/>
        </w:rPr>
        <w:t xml:space="preserve"> </w:t>
      </w:r>
      <w:r w:rsidRPr="00A60B24">
        <w:rPr>
          <w:rFonts w:ascii="Times New Roman" w:hAnsi="Times New Roman" w:cs="Times New Roman"/>
          <w:color w:val="000000" w:themeColor="text1"/>
          <w:sz w:val="20"/>
          <w:szCs w:val="20"/>
        </w:rPr>
        <w:t>3D</w:t>
      </w:r>
      <w:r w:rsidR="00BF7D07" w:rsidRPr="00A60B24">
        <w:rPr>
          <w:rFonts w:ascii="Times New Roman" w:hAnsi="Times New Roman" w:cs="Times New Roman"/>
          <w:color w:val="000000" w:themeColor="text1"/>
          <w:sz w:val="20"/>
          <w:szCs w:val="20"/>
        </w:rPr>
        <w:t xml:space="preserve"> </w:t>
      </w:r>
      <w:r w:rsidRPr="00A60B24">
        <w:rPr>
          <w:rFonts w:ascii="Times New Roman" w:hAnsi="Times New Roman" w:cs="Times New Roman"/>
          <w:color w:val="000000" w:themeColor="text1"/>
          <w:sz w:val="20"/>
          <w:szCs w:val="20"/>
        </w:rPr>
        <w:t>conformal</w:t>
      </w:r>
      <w:r w:rsidR="00BF7D07" w:rsidRPr="00A60B24">
        <w:rPr>
          <w:rFonts w:ascii="Times New Roman" w:hAnsi="Times New Roman" w:cs="Times New Roman"/>
          <w:color w:val="000000" w:themeColor="text1"/>
          <w:sz w:val="20"/>
          <w:szCs w:val="20"/>
        </w:rPr>
        <w:t xml:space="preserve"> </w:t>
      </w:r>
      <w:r w:rsidRPr="00A60B24">
        <w:rPr>
          <w:rFonts w:ascii="Times New Roman" w:hAnsi="Times New Roman" w:cs="Times New Roman"/>
          <w:color w:val="000000" w:themeColor="text1"/>
          <w:sz w:val="20"/>
          <w:szCs w:val="20"/>
        </w:rPr>
        <w:t>radiotherapy.</w:t>
      </w:r>
      <w:r w:rsidR="00BF7D07" w:rsidRPr="00A60B24">
        <w:rPr>
          <w:rFonts w:ascii="Times New Roman" w:hAnsi="Times New Roman" w:cs="Times New Roman"/>
          <w:color w:val="000000" w:themeColor="text1"/>
          <w:sz w:val="20"/>
          <w:szCs w:val="20"/>
        </w:rPr>
        <w:t xml:space="preserve"> </w:t>
      </w:r>
      <w:r w:rsidRPr="00A60B24">
        <w:rPr>
          <w:rFonts w:ascii="Times New Roman" w:hAnsi="Times New Roman" w:cs="Times New Roman"/>
          <w:color w:val="000000" w:themeColor="text1"/>
          <w:sz w:val="20"/>
          <w:szCs w:val="20"/>
        </w:rPr>
        <w:t>Effect</w:t>
      </w:r>
      <w:r w:rsidR="00BF7D07" w:rsidRPr="00A60B24">
        <w:rPr>
          <w:rFonts w:ascii="Times New Roman" w:hAnsi="Times New Roman" w:cs="Times New Roman"/>
          <w:color w:val="000000" w:themeColor="text1"/>
          <w:sz w:val="20"/>
          <w:szCs w:val="20"/>
        </w:rPr>
        <w:t xml:space="preserve"> </w:t>
      </w:r>
      <w:r w:rsidRPr="00A60B24">
        <w:rPr>
          <w:rFonts w:ascii="Times New Roman" w:hAnsi="Times New Roman" w:cs="Times New Roman"/>
          <w:color w:val="000000" w:themeColor="text1"/>
          <w:sz w:val="20"/>
          <w:szCs w:val="20"/>
        </w:rPr>
        <w:t>on</w:t>
      </w:r>
      <w:r w:rsidR="00BF7D07" w:rsidRPr="00A60B24">
        <w:rPr>
          <w:rFonts w:ascii="Times New Roman" w:hAnsi="Times New Roman" w:cs="Times New Roman"/>
          <w:color w:val="000000" w:themeColor="text1"/>
          <w:sz w:val="20"/>
          <w:szCs w:val="20"/>
        </w:rPr>
        <w:t xml:space="preserve"> </w:t>
      </w:r>
      <w:r w:rsidRPr="00A60B24">
        <w:rPr>
          <w:rFonts w:ascii="Times New Roman" w:hAnsi="Times New Roman" w:cs="Times New Roman"/>
          <w:color w:val="000000" w:themeColor="text1"/>
          <w:sz w:val="20"/>
          <w:szCs w:val="20"/>
        </w:rPr>
        <w:t>outcome</w:t>
      </w:r>
      <w:r w:rsidR="00BF7D07" w:rsidRPr="00A60B24">
        <w:rPr>
          <w:rFonts w:ascii="Times New Roman" w:hAnsi="Times New Roman" w:cs="Times New Roman"/>
          <w:color w:val="000000" w:themeColor="text1"/>
          <w:sz w:val="20"/>
          <w:szCs w:val="20"/>
        </w:rPr>
        <w:t xml:space="preserve"> </w:t>
      </w:r>
      <w:r w:rsidRPr="00A60B24">
        <w:rPr>
          <w:rFonts w:ascii="Times New Roman" w:hAnsi="Times New Roman" w:cs="Times New Roman"/>
          <w:color w:val="000000" w:themeColor="text1"/>
          <w:sz w:val="20"/>
          <w:szCs w:val="20"/>
        </w:rPr>
        <w:t>and</w:t>
      </w:r>
      <w:r w:rsidR="00BF7D07" w:rsidRPr="00A60B24">
        <w:rPr>
          <w:rFonts w:ascii="Times New Roman" w:hAnsi="Times New Roman" w:cs="Times New Roman"/>
          <w:color w:val="000000" w:themeColor="text1"/>
          <w:sz w:val="20"/>
          <w:szCs w:val="20"/>
        </w:rPr>
        <w:t xml:space="preserve"> </w:t>
      </w:r>
      <w:r w:rsidRPr="00A60B24">
        <w:rPr>
          <w:rFonts w:ascii="Times New Roman" w:hAnsi="Times New Roman" w:cs="Times New Roman"/>
          <w:color w:val="000000" w:themeColor="text1"/>
          <w:sz w:val="20"/>
          <w:szCs w:val="20"/>
        </w:rPr>
        <w:t>toxicity</w:t>
      </w:r>
      <w:r w:rsidR="00BF7D07" w:rsidRPr="00A60B24">
        <w:rPr>
          <w:rFonts w:ascii="Times New Roman" w:hAnsi="Times New Roman" w:cs="Times New Roman"/>
          <w:color w:val="000000" w:themeColor="text1"/>
          <w:sz w:val="20"/>
          <w:szCs w:val="20"/>
        </w:rPr>
        <w:t xml:space="preserve"> </w:t>
      </w:r>
      <w:r w:rsidRPr="00A60B24">
        <w:rPr>
          <w:rFonts w:ascii="Times New Roman" w:hAnsi="Times New Roman" w:cs="Times New Roman"/>
          <w:color w:val="000000" w:themeColor="text1"/>
          <w:sz w:val="20"/>
          <w:szCs w:val="20"/>
        </w:rPr>
        <w:t>in</w:t>
      </w:r>
      <w:r w:rsidR="00BF7D07" w:rsidRPr="00A60B24">
        <w:rPr>
          <w:rFonts w:ascii="Times New Roman" w:hAnsi="Times New Roman" w:cs="Times New Roman"/>
          <w:color w:val="000000" w:themeColor="text1"/>
          <w:sz w:val="20"/>
          <w:szCs w:val="20"/>
        </w:rPr>
        <w:t xml:space="preserve"> </w:t>
      </w:r>
      <w:r w:rsidRPr="00A60B24">
        <w:rPr>
          <w:rFonts w:ascii="Times New Roman" w:hAnsi="Times New Roman" w:cs="Times New Roman"/>
          <w:color w:val="000000" w:themeColor="text1"/>
          <w:sz w:val="20"/>
          <w:szCs w:val="20"/>
        </w:rPr>
        <w:t>locally</w:t>
      </w:r>
      <w:r w:rsidR="00BF7D07" w:rsidRPr="00A60B24">
        <w:rPr>
          <w:rFonts w:ascii="Times New Roman" w:hAnsi="Times New Roman" w:cs="Times New Roman"/>
          <w:color w:val="000000" w:themeColor="text1"/>
          <w:sz w:val="20"/>
          <w:szCs w:val="20"/>
        </w:rPr>
        <w:t xml:space="preserve"> </w:t>
      </w:r>
      <w:r w:rsidRPr="00A60B24">
        <w:rPr>
          <w:rFonts w:ascii="Times New Roman" w:hAnsi="Times New Roman" w:cs="Times New Roman"/>
          <w:color w:val="000000" w:themeColor="text1"/>
          <w:sz w:val="20"/>
          <w:szCs w:val="20"/>
        </w:rPr>
        <w:t>advanced</w:t>
      </w:r>
      <w:r w:rsidR="00BF7D07" w:rsidRPr="00A60B24">
        <w:rPr>
          <w:rFonts w:ascii="Times New Roman" w:hAnsi="Times New Roman" w:cs="Times New Roman"/>
          <w:color w:val="000000" w:themeColor="text1"/>
          <w:sz w:val="20"/>
          <w:szCs w:val="20"/>
        </w:rPr>
        <w:t xml:space="preserve"> </w:t>
      </w:r>
      <w:r w:rsidRPr="00A60B24">
        <w:rPr>
          <w:rFonts w:ascii="Times New Roman" w:hAnsi="Times New Roman" w:cs="Times New Roman"/>
          <w:color w:val="000000" w:themeColor="text1"/>
          <w:sz w:val="20"/>
          <w:szCs w:val="20"/>
        </w:rPr>
        <w:t>head</w:t>
      </w:r>
      <w:r w:rsidR="00BF7D07" w:rsidRPr="00A60B24">
        <w:rPr>
          <w:rFonts w:ascii="Times New Roman" w:hAnsi="Times New Roman" w:cs="Times New Roman"/>
          <w:color w:val="000000" w:themeColor="text1"/>
          <w:sz w:val="20"/>
          <w:szCs w:val="20"/>
        </w:rPr>
        <w:t xml:space="preserve"> </w:t>
      </w:r>
      <w:r w:rsidRPr="00A60B24">
        <w:rPr>
          <w:rFonts w:ascii="Times New Roman" w:hAnsi="Times New Roman" w:cs="Times New Roman"/>
          <w:color w:val="000000" w:themeColor="text1"/>
          <w:sz w:val="20"/>
          <w:szCs w:val="20"/>
        </w:rPr>
        <w:t>and</w:t>
      </w:r>
      <w:r w:rsidR="00BF7D07" w:rsidRPr="00A60B24">
        <w:rPr>
          <w:rFonts w:ascii="Times New Roman" w:hAnsi="Times New Roman" w:cs="Times New Roman"/>
          <w:color w:val="000000" w:themeColor="text1"/>
          <w:sz w:val="20"/>
          <w:szCs w:val="20"/>
        </w:rPr>
        <w:t xml:space="preserve"> </w:t>
      </w:r>
      <w:r w:rsidRPr="00A60B24">
        <w:rPr>
          <w:rFonts w:ascii="Times New Roman" w:hAnsi="Times New Roman" w:cs="Times New Roman"/>
          <w:color w:val="000000" w:themeColor="text1"/>
          <w:sz w:val="20"/>
          <w:szCs w:val="20"/>
        </w:rPr>
        <w:t>neck</w:t>
      </w:r>
      <w:r w:rsidR="00BF7D07" w:rsidRPr="00A60B24">
        <w:rPr>
          <w:rFonts w:ascii="Times New Roman" w:hAnsi="Times New Roman" w:cs="Times New Roman"/>
          <w:color w:val="000000" w:themeColor="text1"/>
          <w:sz w:val="20"/>
          <w:szCs w:val="20"/>
        </w:rPr>
        <w:t xml:space="preserve"> </w:t>
      </w:r>
      <w:r w:rsidRPr="00A60B24">
        <w:rPr>
          <w:rFonts w:ascii="Times New Roman" w:hAnsi="Times New Roman" w:cs="Times New Roman"/>
          <w:color w:val="000000" w:themeColor="text1"/>
          <w:sz w:val="20"/>
          <w:szCs w:val="20"/>
        </w:rPr>
        <w:t>cancer.</w:t>
      </w:r>
      <w:r w:rsidR="00BF7D07" w:rsidRPr="00A60B24">
        <w:rPr>
          <w:rFonts w:ascii="Times New Roman" w:hAnsi="Times New Roman" w:cs="Times New Roman"/>
          <w:color w:val="000000" w:themeColor="text1"/>
          <w:sz w:val="20"/>
          <w:szCs w:val="20"/>
        </w:rPr>
        <w:t xml:space="preserve"> </w:t>
      </w:r>
      <w:proofErr w:type="spellStart"/>
      <w:r w:rsidRPr="00A60B24">
        <w:rPr>
          <w:rFonts w:ascii="Times New Roman" w:hAnsi="Times New Roman" w:cs="Times New Roman"/>
          <w:color w:val="000000" w:themeColor="text1"/>
          <w:sz w:val="20"/>
          <w:szCs w:val="20"/>
        </w:rPr>
        <w:t>Strahlenther</w:t>
      </w:r>
      <w:proofErr w:type="spellEnd"/>
      <w:r w:rsidR="00BF7D07" w:rsidRPr="00A60B24">
        <w:rPr>
          <w:rFonts w:ascii="Times New Roman" w:hAnsi="Times New Roman" w:cs="Times New Roman"/>
          <w:color w:val="000000" w:themeColor="text1"/>
          <w:sz w:val="20"/>
          <w:szCs w:val="20"/>
          <w:lang w:eastAsia="zh-CN"/>
        </w:rPr>
        <w:t xml:space="preserve"> </w:t>
      </w:r>
      <w:proofErr w:type="spellStart"/>
      <w:r w:rsidRPr="00A60B24">
        <w:rPr>
          <w:rFonts w:ascii="Times New Roman" w:hAnsi="Times New Roman" w:cs="Times New Roman"/>
          <w:color w:val="000000" w:themeColor="text1"/>
          <w:sz w:val="20"/>
          <w:szCs w:val="20"/>
        </w:rPr>
        <w:t>Onkol</w:t>
      </w:r>
      <w:proofErr w:type="spellEnd"/>
      <w:r w:rsidR="00BF7D07" w:rsidRPr="00A60B24">
        <w:rPr>
          <w:rFonts w:ascii="Times New Roman" w:hAnsi="Times New Roman" w:cs="Times New Roman"/>
          <w:color w:val="000000" w:themeColor="text1"/>
          <w:sz w:val="20"/>
          <w:szCs w:val="20"/>
        </w:rPr>
        <w:t xml:space="preserve">. </w:t>
      </w:r>
      <w:r w:rsidRPr="00A60B24">
        <w:rPr>
          <w:rFonts w:ascii="Times New Roman" w:hAnsi="Times New Roman" w:cs="Times New Roman"/>
          <w:color w:val="000000" w:themeColor="text1"/>
          <w:sz w:val="20"/>
          <w:szCs w:val="20"/>
        </w:rPr>
        <w:t>2013;</w:t>
      </w:r>
      <w:r w:rsidR="00BF7D07" w:rsidRPr="00A60B24">
        <w:rPr>
          <w:rFonts w:ascii="Times New Roman" w:hAnsi="Times New Roman" w:cs="Times New Roman"/>
          <w:color w:val="000000" w:themeColor="text1"/>
          <w:sz w:val="20"/>
          <w:szCs w:val="20"/>
        </w:rPr>
        <w:t xml:space="preserve"> </w:t>
      </w:r>
      <w:r w:rsidRPr="00A60B24">
        <w:rPr>
          <w:rFonts w:ascii="Times New Roman" w:hAnsi="Times New Roman" w:cs="Times New Roman"/>
          <w:color w:val="000000" w:themeColor="text1"/>
          <w:sz w:val="20"/>
          <w:szCs w:val="20"/>
        </w:rPr>
        <w:t>189:223–22</w:t>
      </w:r>
      <w:r w:rsidR="00737872" w:rsidRPr="00A60B24">
        <w:rPr>
          <w:rFonts w:ascii="Times New Roman" w:hAnsi="Times New Roman" w:cs="Times New Roman"/>
          <w:color w:val="000000" w:themeColor="text1"/>
          <w:sz w:val="20"/>
          <w:szCs w:val="20"/>
        </w:rPr>
        <w:t>9.</w:t>
      </w:r>
    </w:p>
    <w:p w:rsidR="00737872" w:rsidRPr="00A60B24" w:rsidRDefault="004C3E1E" w:rsidP="00737872">
      <w:pPr>
        <w:pStyle w:val="ListParagraph"/>
        <w:numPr>
          <w:ilvl w:val="0"/>
          <w:numId w:val="10"/>
        </w:numPr>
        <w:bidi w:val="0"/>
        <w:snapToGrid w:val="0"/>
        <w:spacing w:after="0" w:line="240" w:lineRule="auto"/>
        <w:ind w:left="425" w:hanging="425"/>
        <w:jc w:val="both"/>
        <w:rPr>
          <w:rFonts w:ascii="Times New Roman" w:hAnsi="Times New Roman" w:cs="Times New Roman"/>
          <w:sz w:val="20"/>
          <w:szCs w:val="20"/>
        </w:rPr>
      </w:pPr>
      <w:r w:rsidRPr="00A60B24">
        <w:rPr>
          <w:rFonts w:ascii="Times New Roman" w:hAnsi="Times New Roman" w:cs="Times New Roman"/>
          <w:sz w:val="20"/>
          <w:szCs w:val="20"/>
        </w:rPr>
        <w:t>Michael</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T.</w:t>
      </w:r>
      <w:r w:rsidR="00BF7D07" w:rsidRPr="00A60B24">
        <w:rPr>
          <w:rFonts w:ascii="Times New Roman" w:hAnsi="Times New Roman" w:cs="Times New Roman"/>
          <w:sz w:val="20"/>
          <w:szCs w:val="20"/>
        </w:rPr>
        <w:t xml:space="preserve"> </w:t>
      </w:r>
      <w:proofErr w:type="spellStart"/>
      <w:r w:rsidRPr="00A60B24">
        <w:rPr>
          <w:rFonts w:ascii="Times New Roman" w:hAnsi="Times New Roman" w:cs="Times New Roman"/>
          <w:sz w:val="20"/>
          <w:szCs w:val="20"/>
        </w:rPr>
        <w:t>Spiotto</w:t>
      </w:r>
      <w:proofErr w:type="spellEnd"/>
      <w:r w:rsidR="00BF7D07" w:rsidRPr="00A60B24">
        <w:rPr>
          <w:rFonts w:ascii="Times New Roman" w:hAnsi="Times New Roman" w:cs="Times New Roman"/>
          <w:sz w:val="20"/>
          <w:szCs w:val="20"/>
          <w:lang w:eastAsia="zh-CN"/>
        </w:rPr>
        <w:t xml:space="preserve"> </w:t>
      </w:r>
      <w:r w:rsidR="00ED5737" w:rsidRPr="00A60B24">
        <w:rPr>
          <w:rFonts w:ascii="Times New Roman" w:hAnsi="Times New Roman" w:cs="Times New Roman"/>
          <w:sz w:val="20"/>
          <w:szCs w:val="20"/>
        </w:rPr>
        <w:t>1,2,</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and</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Ralph</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R.</w:t>
      </w:r>
      <w:r w:rsidR="00BF7D07" w:rsidRPr="00A60B24">
        <w:rPr>
          <w:rFonts w:ascii="Times New Roman" w:hAnsi="Times New Roman" w:cs="Times New Roman"/>
          <w:sz w:val="20"/>
          <w:szCs w:val="20"/>
        </w:rPr>
        <w:t xml:space="preserve"> </w:t>
      </w:r>
      <w:proofErr w:type="spellStart"/>
      <w:r w:rsidRPr="00A60B24">
        <w:rPr>
          <w:rFonts w:ascii="Times New Roman" w:hAnsi="Times New Roman" w:cs="Times New Roman"/>
          <w:sz w:val="20"/>
          <w:szCs w:val="20"/>
        </w:rPr>
        <w:t>Weichselbaum</w:t>
      </w:r>
      <w:proofErr w:type="spellEnd"/>
      <w:r w:rsidRPr="00A60B24">
        <w:rPr>
          <w:rFonts w:ascii="Times New Roman" w:hAnsi="Times New Roman" w:cs="Times New Roman"/>
          <w:sz w:val="20"/>
          <w:szCs w:val="20"/>
        </w:rPr>
        <w:t>.</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Comparison</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of</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3D</w:t>
      </w:r>
      <w:r w:rsidR="00BF7D07" w:rsidRPr="00A60B24">
        <w:rPr>
          <w:rFonts w:ascii="Times New Roman" w:hAnsi="Times New Roman" w:cs="Times New Roman"/>
          <w:sz w:val="20"/>
          <w:szCs w:val="20"/>
        </w:rPr>
        <w:t xml:space="preserve"> </w:t>
      </w:r>
      <w:proofErr w:type="spellStart"/>
      <w:r w:rsidRPr="00A60B24">
        <w:rPr>
          <w:rFonts w:ascii="Times New Roman" w:hAnsi="Times New Roman" w:cs="Times New Roman"/>
          <w:sz w:val="20"/>
          <w:szCs w:val="20"/>
        </w:rPr>
        <w:t>Confromal</w:t>
      </w:r>
      <w:proofErr w:type="spellEnd"/>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Radiotherapy</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and</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Intensity</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Modulated</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Radiotherapy</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with</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or</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without</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Simultaneous</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Integrated</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Boost</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during</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Concurrent</w:t>
      </w:r>
      <w:r w:rsidR="00BF7D07" w:rsidRPr="00A60B24">
        <w:rPr>
          <w:rFonts w:ascii="Times New Roman" w:hAnsi="Times New Roman" w:cs="Times New Roman"/>
          <w:sz w:val="20"/>
          <w:szCs w:val="20"/>
        </w:rPr>
        <w:t xml:space="preserve"> </w:t>
      </w:r>
      <w:proofErr w:type="spellStart"/>
      <w:r w:rsidRPr="00A60B24">
        <w:rPr>
          <w:rFonts w:ascii="Times New Roman" w:hAnsi="Times New Roman" w:cs="Times New Roman"/>
          <w:sz w:val="20"/>
          <w:szCs w:val="20"/>
        </w:rPr>
        <w:t>Chemoradiation</w:t>
      </w:r>
      <w:proofErr w:type="spellEnd"/>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for</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Locally</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Advanced</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Head</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and</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Neck</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Cancers.</w:t>
      </w:r>
      <w:r w:rsidR="00BF7D07" w:rsidRPr="00A60B24">
        <w:rPr>
          <w:rFonts w:ascii="Times New Roman" w:hAnsi="Times New Roman" w:cs="Times New Roman"/>
          <w:sz w:val="20"/>
          <w:szCs w:val="20"/>
        </w:rPr>
        <w:t xml:space="preserve"> </w:t>
      </w:r>
      <w:proofErr w:type="spellStart"/>
      <w:r w:rsidRPr="00A60B24">
        <w:rPr>
          <w:rFonts w:ascii="Times New Roman" w:hAnsi="Times New Roman" w:cs="Times New Roman"/>
          <w:sz w:val="20"/>
          <w:szCs w:val="20"/>
        </w:rPr>
        <w:t>PLoS</w:t>
      </w:r>
      <w:proofErr w:type="spellEnd"/>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One.</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2014;</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9(4):</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e9445</w:t>
      </w:r>
      <w:r w:rsidR="00737872" w:rsidRPr="00A60B24">
        <w:rPr>
          <w:rFonts w:ascii="Times New Roman" w:hAnsi="Times New Roman" w:cs="Times New Roman"/>
          <w:sz w:val="20"/>
          <w:szCs w:val="20"/>
        </w:rPr>
        <w:t>6.</w:t>
      </w:r>
    </w:p>
    <w:p w:rsidR="0022135E" w:rsidRPr="00A60B24" w:rsidRDefault="004C3E1E" w:rsidP="00737872">
      <w:pPr>
        <w:pStyle w:val="ListParagraph"/>
        <w:numPr>
          <w:ilvl w:val="0"/>
          <w:numId w:val="10"/>
        </w:numPr>
        <w:autoSpaceDE w:val="0"/>
        <w:autoSpaceDN w:val="0"/>
        <w:bidi w:val="0"/>
        <w:adjustRightInd w:val="0"/>
        <w:snapToGrid w:val="0"/>
        <w:spacing w:after="0" w:line="240" w:lineRule="auto"/>
        <w:ind w:left="425" w:hanging="425"/>
        <w:jc w:val="both"/>
        <w:rPr>
          <w:rStyle w:val="Hyperlink"/>
          <w:rFonts w:ascii="Times New Roman" w:hAnsi="Times New Roman" w:cs="Times New Roman"/>
          <w:color w:val="000000" w:themeColor="text1"/>
          <w:sz w:val="20"/>
          <w:szCs w:val="20"/>
          <w:u w:val="none"/>
        </w:rPr>
      </w:pPr>
      <w:proofErr w:type="spellStart"/>
      <w:r w:rsidRPr="00A60B24">
        <w:rPr>
          <w:rFonts w:ascii="Times New Roman" w:hAnsi="Times New Roman" w:cs="Times New Roman"/>
          <w:sz w:val="20"/>
          <w:szCs w:val="20"/>
        </w:rPr>
        <w:t>Ghosh-Laskar</w:t>
      </w:r>
      <w:proofErr w:type="spellEnd"/>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S,</w:t>
      </w:r>
      <w:r w:rsidR="00BF7D07" w:rsidRPr="00A60B24">
        <w:rPr>
          <w:rFonts w:ascii="Times New Roman" w:hAnsi="Times New Roman" w:cs="Times New Roman"/>
          <w:sz w:val="20"/>
          <w:szCs w:val="20"/>
        </w:rPr>
        <w:t xml:space="preserve"> </w:t>
      </w:r>
      <w:proofErr w:type="spellStart"/>
      <w:r w:rsidRPr="00A60B24">
        <w:rPr>
          <w:rFonts w:ascii="Times New Roman" w:hAnsi="Times New Roman" w:cs="Times New Roman"/>
          <w:sz w:val="20"/>
          <w:szCs w:val="20"/>
        </w:rPr>
        <w:t>Yathiraj</w:t>
      </w:r>
      <w:proofErr w:type="spellEnd"/>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PH,</w:t>
      </w:r>
      <w:r w:rsidR="00BF7D07" w:rsidRPr="00A60B24">
        <w:rPr>
          <w:rFonts w:ascii="Times New Roman" w:hAnsi="Times New Roman" w:cs="Times New Roman"/>
          <w:sz w:val="20"/>
          <w:szCs w:val="20"/>
        </w:rPr>
        <w:t xml:space="preserve"> </w:t>
      </w:r>
      <w:proofErr w:type="spellStart"/>
      <w:r w:rsidRPr="00A60B24">
        <w:rPr>
          <w:rFonts w:ascii="Times New Roman" w:hAnsi="Times New Roman" w:cs="Times New Roman"/>
          <w:sz w:val="20"/>
          <w:szCs w:val="20"/>
        </w:rPr>
        <w:t>Dutta</w:t>
      </w:r>
      <w:proofErr w:type="spellEnd"/>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D,</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et</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al.</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Prospective</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randomized</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controlled</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trial</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to</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compare</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3-dimensional</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conformal</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radiotherapy</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to</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intensity-modulated</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radiotherapy</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in</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head</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and</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neck</w:t>
      </w:r>
      <w:r w:rsidR="00BF7D07" w:rsidRPr="00A60B24">
        <w:rPr>
          <w:rStyle w:val="Hyperlink"/>
          <w:rFonts w:ascii="Times New Roman" w:hAnsi="Times New Roman" w:cs="Times New Roman"/>
          <w:color w:val="000000" w:themeColor="text1"/>
          <w:sz w:val="20"/>
          <w:szCs w:val="20"/>
          <w:u w:val="none"/>
        </w:rPr>
        <w:t xml:space="preserve"> </w:t>
      </w:r>
      <w:proofErr w:type="spellStart"/>
      <w:r w:rsidRPr="00A60B24">
        <w:rPr>
          <w:rStyle w:val="Hyperlink"/>
          <w:rFonts w:ascii="Times New Roman" w:hAnsi="Times New Roman" w:cs="Times New Roman"/>
          <w:color w:val="000000" w:themeColor="text1"/>
          <w:sz w:val="20"/>
          <w:szCs w:val="20"/>
          <w:u w:val="none"/>
        </w:rPr>
        <w:t>squamous</w:t>
      </w:r>
      <w:proofErr w:type="spellEnd"/>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cell</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carcinoma:</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Long-term</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results.</w:t>
      </w:r>
      <w:r w:rsidR="00BF7D07" w:rsidRPr="00A60B24">
        <w:rPr>
          <w:rStyle w:val="Hyperlink"/>
          <w:rFonts w:ascii="Times New Roman" w:hAnsi="Times New Roman" w:cs="Times New Roman"/>
          <w:color w:val="000000" w:themeColor="text1"/>
          <w:sz w:val="20"/>
          <w:szCs w:val="20"/>
          <w:u w:val="none"/>
        </w:rPr>
        <w:t xml:space="preserve"> </w:t>
      </w:r>
      <w:r w:rsidRPr="00A60B24">
        <w:rPr>
          <w:rFonts w:ascii="Times New Roman" w:hAnsi="Times New Roman" w:cs="Times New Roman"/>
          <w:sz w:val="20"/>
          <w:szCs w:val="20"/>
        </w:rPr>
        <w:t>Head</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Neck.</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2016;38</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(1):1481-</w:t>
      </w:r>
      <w:r w:rsidR="0022135E" w:rsidRPr="00A60B24">
        <w:rPr>
          <w:rStyle w:val="Hyperlink"/>
          <w:rFonts w:ascii="Times New Roman" w:hAnsi="Times New Roman" w:cs="Times New Roman"/>
          <w:color w:val="000000" w:themeColor="text1"/>
          <w:sz w:val="20"/>
          <w:szCs w:val="20"/>
          <w:u w:val="none"/>
        </w:rPr>
        <w:t>7.</w:t>
      </w:r>
    </w:p>
    <w:p w:rsidR="00737872" w:rsidRPr="00A60B24" w:rsidRDefault="004C3E1E" w:rsidP="00737872">
      <w:pPr>
        <w:pStyle w:val="ListParagraph"/>
        <w:numPr>
          <w:ilvl w:val="0"/>
          <w:numId w:val="10"/>
        </w:numPr>
        <w:autoSpaceDE w:val="0"/>
        <w:autoSpaceDN w:val="0"/>
        <w:bidi w:val="0"/>
        <w:adjustRightInd w:val="0"/>
        <w:snapToGrid w:val="0"/>
        <w:spacing w:after="0" w:line="240" w:lineRule="auto"/>
        <w:ind w:left="425" w:hanging="425"/>
        <w:jc w:val="both"/>
        <w:rPr>
          <w:rStyle w:val="element-citation"/>
          <w:rFonts w:ascii="Times New Roman" w:hAnsi="Times New Roman" w:cs="Times New Roman"/>
          <w:color w:val="000000" w:themeColor="text1"/>
          <w:sz w:val="20"/>
          <w:szCs w:val="20"/>
        </w:rPr>
      </w:pPr>
      <w:r w:rsidRPr="00A60B24">
        <w:rPr>
          <w:rFonts w:ascii="Times New Roman" w:hAnsi="Times New Roman" w:cs="Times New Roman"/>
          <w:sz w:val="20"/>
          <w:szCs w:val="20"/>
          <w:lang w:val="fr-FR"/>
        </w:rPr>
        <w:t>Cox</w:t>
      </w:r>
      <w:r w:rsidR="00BF7D07" w:rsidRPr="00A60B24">
        <w:rPr>
          <w:rFonts w:ascii="Times New Roman" w:hAnsi="Times New Roman" w:cs="Times New Roman"/>
          <w:sz w:val="20"/>
          <w:szCs w:val="20"/>
          <w:lang w:val="fr-FR"/>
        </w:rPr>
        <w:t xml:space="preserve"> </w:t>
      </w:r>
      <w:r w:rsidRPr="00A60B24">
        <w:rPr>
          <w:rFonts w:ascii="Times New Roman" w:hAnsi="Times New Roman" w:cs="Times New Roman"/>
          <w:sz w:val="20"/>
          <w:szCs w:val="20"/>
          <w:lang w:val="fr-FR"/>
        </w:rPr>
        <w:t>JD,</w:t>
      </w:r>
      <w:r w:rsidR="00BF7D07" w:rsidRPr="00A60B24">
        <w:rPr>
          <w:rFonts w:ascii="Times New Roman" w:hAnsi="Times New Roman" w:cs="Times New Roman"/>
          <w:sz w:val="20"/>
          <w:szCs w:val="20"/>
          <w:lang w:val="fr-FR"/>
        </w:rPr>
        <w:t xml:space="preserve"> </w:t>
      </w:r>
      <w:r w:rsidRPr="00A60B24">
        <w:rPr>
          <w:rFonts w:ascii="Times New Roman" w:hAnsi="Times New Roman" w:cs="Times New Roman"/>
          <w:sz w:val="20"/>
          <w:szCs w:val="20"/>
          <w:lang w:val="fr-FR"/>
        </w:rPr>
        <w:t>Stetz</w:t>
      </w:r>
      <w:r w:rsidR="00BF7D07" w:rsidRPr="00A60B24">
        <w:rPr>
          <w:rFonts w:ascii="Times New Roman" w:hAnsi="Times New Roman" w:cs="Times New Roman"/>
          <w:sz w:val="20"/>
          <w:szCs w:val="20"/>
          <w:lang w:val="fr-FR"/>
        </w:rPr>
        <w:t xml:space="preserve"> </w:t>
      </w:r>
      <w:r w:rsidRPr="00A60B24">
        <w:rPr>
          <w:rFonts w:ascii="Times New Roman" w:hAnsi="Times New Roman" w:cs="Times New Roman"/>
          <w:sz w:val="20"/>
          <w:szCs w:val="20"/>
          <w:lang w:val="fr-FR"/>
        </w:rPr>
        <w:t>J,</w:t>
      </w:r>
      <w:r w:rsidR="00BF7D07" w:rsidRPr="00A60B24">
        <w:rPr>
          <w:rFonts w:ascii="Times New Roman" w:hAnsi="Times New Roman" w:cs="Times New Roman"/>
          <w:sz w:val="20"/>
          <w:szCs w:val="20"/>
          <w:lang w:val="fr-FR"/>
        </w:rPr>
        <w:t xml:space="preserve"> </w:t>
      </w:r>
      <w:r w:rsidRPr="00A60B24">
        <w:rPr>
          <w:rFonts w:ascii="Times New Roman" w:hAnsi="Times New Roman" w:cs="Times New Roman"/>
          <w:sz w:val="20"/>
          <w:szCs w:val="20"/>
          <w:lang w:val="fr-FR"/>
        </w:rPr>
        <w:t>Pajak</w:t>
      </w:r>
      <w:r w:rsidR="00BF7D07" w:rsidRPr="00A60B24">
        <w:rPr>
          <w:rFonts w:ascii="Times New Roman" w:hAnsi="Times New Roman" w:cs="Times New Roman"/>
          <w:sz w:val="20"/>
          <w:szCs w:val="20"/>
          <w:lang w:val="fr-FR"/>
        </w:rPr>
        <w:t xml:space="preserve"> </w:t>
      </w:r>
      <w:r w:rsidRPr="00A60B24">
        <w:rPr>
          <w:rFonts w:ascii="Times New Roman" w:hAnsi="Times New Roman" w:cs="Times New Roman"/>
          <w:sz w:val="20"/>
          <w:szCs w:val="20"/>
          <w:lang w:val="fr-FR"/>
        </w:rPr>
        <w:t>TF.</w:t>
      </w:r>
      <w:r w:rsidR="00BF7D07" w:rsidRPr="00A60B24">
        <w:rPr>
          <w:rStyle w:val="element-citation"/>
          <w:rFonts w:ascii="Times New Roman" w:hAnsi="Times New Roman" w:cs="Times New Roman"/>
          <w:color w:val="000000" w:themeColor="text1"/>
          <w:sz w:val="20"/>
          <w:szCs w:val="20"/>
        </w:rPr>
        <w:t xml:space="preserve"> </w:t>
      </w:r>
      <w:r w:rsidRPr="00A60B24">
        <w:rPr>
          <w:rStyle w:val="element-citation"/>
          <w:rFonts w:ascii="Times New Roman" w:hAnsi="Times New Roman" w:cs="Times New Roman"/>
          <w:color w:val="000000" w:themeColor="text1"/>
          <w:sz w:val="20"/>
          <w:szCs w:val="20"/>
        </w:rPr>
        <w:t>Toxicity</w:t>
      </w:r>
      <w:r w:rsidR="00BF7D07" w:rsidRPr="00A60B24">
        <w:rPr>
          <w:rStyle w:val="element-citation"/>
          <w:rFonts w:ascii="Times New Roman" w:hAnsi="Times New Roman" w:cs="Times New Roman"/>
          <w:color w:val="000000" w:themeColor="text1"/>
          <w:sz w:val="20"/>
          <w:szCs w:val="20"/>
        </w:rPr>
        <w:t xml:space="preserve"> </w:t>
      </w:r>
      <w:r w:rsidRPr="00A60B24">
        <w:rPr>
          <w:rStyle w:val="element-citation"/>
          <w:rFonts w:ascii="Times New Roman" w:hAnsi="Times New Roman" w:cs="Times New Roman"/>
          <w:color w:val="000000" w:themeColor="text1"/>
          <w:sz w:val="20"/>
          <w:szCs w:val="20"/>
        </w:rPr>
        <w:t>criteria</w:t>
      </w:r>
      <w:r w:rsidR="00BF7D07" w:rsidRPr="00A60B24">
        <w:rPr>
          <w:rStyle w:val="element-citation"/>
          <w:rFonts w:ascii="Times New Roman" w:hAnsi="Times New Roman" w:cs="Times New Roman"/>
          <w:color w:val="000000" w:themeColor="text1"/>
          <w:sz w:val="20"/>
          <w:szCs w:val="20"/>
        </w:rPr>
        <w:t xml:space="preserve"> </w:t>
      </w:r>
      <w:r w:rsidRPr="00A60B24">
        <w:rPr>
          <w:rStyle w:val="element-citation"/>
          <w:rFonts w:ascii="Times New Roman" w:hAnsi="Times New Roman" w:cs="Times New Roman"/>
          <w:color w:val="000000" w:themeColor="text1"/>
          <w:sz w:val="20"/>
          <w:szCs w:val="20"/>
        </w:rPr>
        <w:t>of</w:t>
      </w:r>
      <w:r w:rsidR="00BF7D07" w:rsidRPr="00A60B24">
        <w:rPr>
          <w:rStyle w:val="element-citation"/>
          <w:rFonts w:ascii="Times New Roman" w:hAnsi="Times New Roman" w:cs="Times New Roman"/>
          <w:color w:val="000000" w:themeColor="text1"/>
          <w:sz w:val="20"/>
          <w:szCs w:val="20"/>
        </w:rPr>
        <w:t xml:space="preserve"> </w:t>
      </w:r>
      <w:r w:rsidRPr="00A60B24">
        <w:rPr>
          <w:rStyle w:val="element-citation"/>
          <w:rFonts w:ascii="Times New Roman" w:hAnsi="Times New Roman" w:cs="Times New Roman"/>
          <w:color w:val="000000" w:themeColor="text1"/>
          <w:sz w:val="20"/>
          <w:szCs w:val="20"/>
        </w:rPr>
        <w:t>the</w:t>
      </w:r>
      <w:r w:rsidR="00BF7D07" w:rsidRPr="00A60B24">
        <w:rPr>
          <w:rStyle w:val="element-citation"/>
          <w:rFonts w:ascii="Times New Roman" w:hAnsi="Times New Roman" w:cs="Times New Roman"/>
          <w:color w:val="000000" w:themeColor="text1"/>
          <w:sz w:val="20"/>
          <w:szCs w:val="20"/>
        </w:rPr>
        <w:t xml:space="preserve"> </w:t>
      </w:r>
      <w:r w:rsidRPr="00A60B24">
        <w:rPr>
          <w:rStyle w:val="element-citation"/>
          <w:rFonts w:ascii="Times New Roman" w:hAnsi="Times New Roman" w:cs="Times New Roman"/>
          <w:color w:val="000000" w:themeColor="text1"/>
          <w:sz w:val="20"/>
          <w:szCs w:val="20"/>
        </w:rPr>
        <w:t>Radiation</w:t>
      </w:r>
      <w:r w:rsidR="00BF7D07" w:rsidRPr="00A60B24">
        <w:rPr>
          <w:rStyle w:val="element-citation"/>
          <w:rFonts w:ascii="Times New Roman" w:hAnsi="Times New Roman" w:cs="Times New Roman"/>
          <w:color w:val="000000" w:themeColor="text1"/>
          <w:sz w:val="20"/>
          <w:szCs w:val="20"/>
        </w:rPr>
        <w:t xml:space="preserve"> </w:t>
      </w:r>
      <w:r w:rsidRPr="00A60B24">
        <w:rPr>
          <w:rStyle w:val="element-citation"/>
          <w:rFonts w:ascii="Times New Roman" w:hAnsi="Times New Roman" w:cs="Times New Roman"/>
          <w:color w:val="000000" w:themeColor="text1"/>
          <w:sz w:val="20"/>
          <w:szCs w:val="20"/>
        </w:rPr>
        <w:t>Therapy</w:t>
      </w:r>
      <w:r w:rsidR="00BF7D07" w:rsidRPr="00A60B24">
        <w:rPr>
          <w:rStyle w:val="element-citation"/>
          <w:rFonts w:ascii="Times New Roman" w:hAnsi="Times New Roman" w:cs="Times New Roman"/>
          <w:color w:val="000000" w:themeColor="text1"/>
          <w:sz w:val="20"/>
          <w:szCs w:val="20"/>
        </w:rPr>
        <w:t xml:space="preserve"> </w:t>
      </w:r>
      <w:r w:rsidRPr="00A60B24">
        <w:rPr>
          <w:rStyle w:val="element-citation"/>
          <w:rFonts w:ascii="Times New Roman" w:hAnsi="Times New Roman" w:cs="Times New Roman"/>
          <w:color w:val="000000" w:themeColor="text1"/>
          <w:sz w:val="20"/>
          <w:szCs w:val="20"/>
        </w:rPr>
        <w:t>Oncology</w:t>
      </w:r>
      <w:r w:rsidR="00BF7D07" w:rsidRPr="00A60B24">
        <w:rPr>
          <w:rStyle w:val="element-citation"/>
          <w:rFonts w:ascii="Times New Roman" w:hAnsi="Times New Roman" w:cs="Times New Roman"/>
          <w:color w:val="000000" w:themeColor="text1"/>
          <w:sz w:val="20"/>
          <w:szCs w:val="20"/>
        </w:rPr>
        <w:t xml:space="preserve"> </w:t>
      </w:r>
      <w:r w:rsidRPr="00A60B24">
        <w:rPr>
          <w:rStyle w:val="element-citation"/>
          <w:rFonts w:ascii="Times New Roman" w:hAnsi="Times New Roman" w:cs="Times New Roman"/>
          <w:color w:val="000000" w:themeColor="text1"/>
          <w:sz w:val="20"/>
          <w:szCs w:val="20"/>
        </w:rPr>
        <w:t>Group</w:t>
      </w:r>
      <w:r w:rsidR="00BF7D07" w:rsidRPr="00A60B24">
        <w:rPr>
          <w:rStyle w:val="element-citation"/>
          <w:rFonts w:ascii="Times New Roman" w:hAnsi="Times New Roman" w:cs="Times New Roman"/>
          <w:color w:val="000000" w:themeColor="text1"/>
          <w:sz w:val="20"/>
          <w:szCs w:val="20"/>
        </w:rPr>
        <w:t xml:space="preserve"> </w:t>
      </w:r>
      <w:r w:rsidRPr="00A60B24">
        <w:rPr>
          <w:rStyle w:val="element-citation"/>
          <w:rFonts w:ascii="Times New Roman" w:hAnsi="Times New Roman" w:cs="Times New Roman"/>
          <w:color w:val="000000" w:themeColor="text1"/>
          <w:sz w:val="20"/>
          <w:szCs w:val="20"/>
        </w:rPr>
        <w:t>(RTOG)</w:t>
      </w:r>
      <w:r w:rsidR="00BF7D07" w:rsidRPr="00A60B24">
        <w:rPr>
          <w:rStyle w:val="element-citation"/>
          <w:rFonts w:ascii="Times New Roman" w:hAnsi="Times New Roman" w:cs="Times New Roman"/>
          <w:color w:val="000000" w:themeColor="text1"/>
          <w:sz w:val="20"/>
          <w:szCs w:val="20"/>
        </w:rPr>
        <w:t xml:space="preserve"> </w:t>
      </w:r>
      <w:r w:rsidRPr="00A60B24">
        <w:rPr>
          <w:rStyle w:val="element-citation"/>
          <w:rFonts w:ascii="Times New Roman" w:hAnsi="Times New Roman" w:cs="Times New Roman"/>
          <w:color w:val="000000" w:themeColor="text1"/>
          <w:sz w:val="20"/>
          <w:szCs w:val="20"/>
        </w:rPr>
        <w:t>and</w:t>
      </w:r>
      <w:r w:rsidR="00BF7D07" w:rsidRPr="00A60B24">
        <w:rPr>
          <w:rStyle w:val="element-citation"/>
          <w:rFonts w:ascii="Times New Roman" w:hAnsi="Times New Roman" w:cs="Times New Roman"/>
          <w:color w:val="000000" w:themeColor="text1"/>
          <w:sz w:val="20"/>
          <w:szCs w:val="20"/>
        </w:rPr>
        <w:t xml:space="preserve"> </w:t>
      </w:r>
      <w:r w:rsidRPr="00A60B24">
        <w:rPr>
          <w:rStyle w:val="element-citation"/>
          <w:rFonts w:ascii="Times New Roman" w:hAnsi="Times New Roman" w:cs="Times New Roman"/>
          <w:color w:val="000000" w:themeColor="text1"/>
          <w:sz w:val="20"/>
          <w:szCs w:val="20"/>
        </w:rPr>
        <w:lastRenderedPageBreak/>
        <w:t>the</w:t>
      </w:r>
      <w:r w:rsidR="00BF7D07" w:rsidRPr="00A60B24">
        <w:rPr>
          <w:rStyle w:val="element-citation"/>
          <w:rFonts w:ascii="Times New Roman" w:hAnsi="Times New Roman" w:cs="Times New Roman"/>
          <w:color w:val="000000" w:themeColor="text1"/>
          <w:sz w:val="20"/>
          <w:szCs w:val="20"/>
        </w:rPr>
        <w:t xml:space="preserve"> </w:t>
      </w:r>
      <w:r w:rsidRPr="00A60B24">
        <w:rPr>
          <w:rStyle w:val="element-citation"/>
          <w:rFonts w:ascii="Times New Roman" w:hAnsi="Times New Roman" w:cs="Times New Roman"/>
          <w:color w:val="000000" w:themeColor="text1"/>
          <w:sz w:val="20"/>
          <w:szCs w:val="20"/>
        </w:rPr>
        <w:t>European</w:t>
      </w:r>
      <w:r w:rsidR="00BF7D07" w:rsidRPr="00A60B24">
        <w:rPr>
          <w:rStyle w:val="element-citation"/>
          <w:rFonts w:ascii="Times New Roman" w:hAnsi="Times New Roman" w:cs="Times New Roman"/>
          <w:color w:val="000000" w:themeColor="text1"/>
          <w:sz w:val="20"/>
          <w:szCs w:val="20"/>
        </w:rPr>
        <w:t xml:space="preserve"> </w:t>
      </w:r>
      <w:r w:rsidRPr="00A60B24">
        <w:rPr>
          <w:rStyle w:val="element-citation"/>
          <w:rFonts w:ascii="Times New Roman" w:hAnsi="Times New Roman" w:cs="Times New Roman"/>
          <w:color w:val="000000" w:themeColor="text1"/>
          <w:sz w:val="20"/>
          <w:szCs w:val="20"/>
        </w:rPr>
        <w:t>Organization</w:t>
      </w:r>
      <w:r w:rsidR="00BF7D07" w:rsidRPr="00A60B24">
        <w:rPr>
          <w:rStyle w:val="element-citation"/>
          <w:rFonts w:ascii="Times New Roman" w:hAnsi="Times New Roman" w:cs="Times New Roman"/>
          <w:color w:val="000000" w:themeColor="text1"/>
          <w:sz w:val="20"/>
          <w:szCs w:val="20"/>
        </w:rPr>
        <w:t xml:space="preserve"> </w:t>
      </w:r>
      <w:r w:rsidRPr="00A60B24">
        <w:rPr>
          <w:rStyle w:val="element-citation"/>
          <w:rFonts w:ascii="Times New Roman" w:hAnsi="Times New Roman" w:cs="Times New Roman"/>
          <w:color w:val="000000" w:themeColor="text1"/>
          <w:sz w:val="20"/>
          <w:szCs w:val="20"/>
        </w:rPr>
        <w:t>for</w:t>
      </w:r>
      <w:r w:rsidR="00BF7D07" w:rsidRPr="00A60B24">
        <w:rPr>
          <w:rStyle w:val="element-citation"/>
          <w:rFonts w:ascii="Times New Roman" w:hAnsi="Times New Roman" w:cs="Times New Roman"/>
          <w:color w:val="000000" w:themeColor="text1"/>
          <w:sz w:val="20"/>
          <w:szCs w:val="20"/>
        </w:rPr>
        <w:t xml:space="preserve"> </w:t>
      </w:r>
      <w:r w:rsidRPr="00A60B24">
        <w:rPr>
          <w:rStyle w:val="element-citation"/>
          <w:rFonts w:ascii="Times New Roman" w:hAnsi="Times New Roman" w:cs="Times New Roman"/>
          <w:color w:val="000000" w:themeColor="text1"/>
          <w:sz w:val="20"/>
          <w:szCs w:val="20"/>
        </w:rPr>
        <w:t>Research</w:t>
      </w:r>
      <w:r w:rsidR="00BF7D07" w:rsidRPr="00A60B24">
        <w:rPr>
          <w:rStyle w:val="element-citation"/>
          <w:rFonts w:ascii="Times New Roman" w:hAnsi="Times New Roman" w:cs="Times New Roman"/>
          <w:color w:val="000000" w:themeColor="text1"/>
          <w:sz w:val="20"/>
          <w:szCs w:val="20"/>
        </w:rPr>
        <w:t xml:space="preserve"> </w:t>
      </w:r>
      <w:r w:rsidRPr="00A60B24">
        <w:rPr>
          <w:rStyle w:val="element-citation"/>
          <w:rFonts w:ascii="Times New Roman" w:hAnsi="Times New Roman" w:cs="Times New Roman"/>
          <w:color w:val="000000" w:themeColor="text1"/>
          <w:sz w:val="20"/>
          <w:szCs w:val="20"/>
        </w:rPr>
        <w:t>and</w:t>
      </w:r>
      <w:r w:rsidR="00BF7D07" w:rsidRPr="00A60B24">
        <w:rPr>
          <w:rStyle w:val="element-citation"/>
          <w:rFonts w:ascii="Times New Roman" w:hAnsi="Times New Roman" w:cs="Times New Roman"/>
          <w:color w:val="000000" w:themeColor="text1"/>
          <w:sz w:val="20"/>
          <w:szCs w:val="20"/>
        </w:rPr>
        <w:t xml:space="preserve"> </w:t>
      </w:r>
      <w:r w:rsidRPr="00A60B24">
        <w:rPr>
          <w:rStyle w:val="element-citation"/>
          <w:rFonts w:ascii="Times New Roman" w:hAnsi="Times New Roman" w:cs="Times New Roman"/>
          <w:color w:val="000000" w:themeColor="text1"/>
          <w:sz w:val="20"/>
          <w:szCs w:val="20"/>
        </w:rPr>
        <w:t>Treatment</w:t>
      </w:r>
      <w:r w:rsidR="00BF7D07" w:rsidRPr="00A60B24">
        <w:rPr>
          <w:rStyle w:val="element-citation"/>
          <w:rFonts w:ascii="Times New Roman" w:hAnsi="Times New Roman" w:cs="Times New Roman"/>
          <w:color w:val="000000" w:themeColor="text1"/>
          <w:sz w:val="20"/>
          <w:szCs w:val="20"/>
        </w:rPr>
        <w:t xml:space="preserve"> </w:t>
      </w:r>
      <w:r w:rsidRPr="00A60B24">
        <w:rPr>
          <w:rStyle w:val="element-citation"/>
          <w:rFonts w:ascii="Times New Roman" w:hAnsi="Times New Roman" w:cs="Times New Roman"/>
          <w:color w:val="000000" w:themeColor="text1"/>
          <w:sz w:val="20"/>
          <w:szCs w:val="20"/>
        </w:rPr>
        <w:t>of</w:t>
      </w:r>
      <w:r w:rsidR="00BF7D07" w:rsidRPr="00A60B24">
        <w:rPr>
          <w:rStyle w:val="element-citation"/>
          <w:rFonts w:ascii="Times New Roman" w:hAnsi="Times New Roman" w:cs="Times New Roman"/>
          <w:color w:val="000000" w:themeColor="text1"/>
          <w:sz w:val="20"/>
          <w:szCs w:val="20"/>
        </w:rPr>
        <w:t xml:space="preserve"> </w:t>
      </w:r>
      <w:r w:rsidRPr="00A60B24">
        <w:rPr>
          <w:rStyle w:val="element-citation"/>
          <w:rFonts w:ascii="Times New Roman" w:hAnsi="Times New Roman" w:cs="Times New Roman"/>
          <w:color w:val="000000" w:themeColor="text1"/>
          <w:sz w:val="20"/>
          <w:szCs w:val="20"/>
        </w:rPr>
        <w:t>Cancer</w:t>
      </w:r>
      <w:r w:rsidR="00BF7D07" w:rsidRPr="00A60B24">
        <w:rPr>
          <w:rStyle w:val="element-citation"/>
          <w:rFonts w:ascii="Times New Roman" w:hAnsi="Times New Roman" w:cs="Times New Roman"/>
          <w:color w:val="000000" w:themeColor="text1"/>
          <w:sz w:val="20"/>
          <w:szCs w:val="20"/>
        </w:rPr>
        <w:t xml:space="preserve"> </w:t>
      </w:r>
      <w:r w:rsidRPr="00A60B24">
        <w:rPr>
          <w:rStyle w:val="element-citation"/>
          <w:rFonts w:ascii="Times New Roman" w:hAnsi="Times New Roman" w:cs="Times New Roman"/>
          <w:color w:val="000000" w:themeColor="text1"/>
          <w:sz w:val="20"/>
          <w:szCs w:val="20"/>
        </w:rPr>
        <w:t>(EORTC)</w:t>
      </w:r>
      <w:r w:rsidR="00BF7D07" w:rsidRPr="00A60B24">
        <w:rPr>
          <w:rStyle w:val="element-citation"/>
          <w:rFonts w:ascii="Times New Roman" w:hAnsi="Times New Roman" w:cs="Times New Roman"/>
          <w:color w:val="000000" w:themeColor="text1"/>
          <w:sz w:val="20"/>
          <w:szCs w:val="20"/>
        </w:rPr>
        <w:t xml:space="preserve"> </w:t>
      </w:r>
      <w:proofErr w:type="spellStart"/>
      <w:r w:rsidRPr="00A60B24">
        <w:rPr>
          <w:rStyle w:val="ref-journal"/>
          <w:rFonts w:ascii="Times New Roman" w:hAnsi="Times New Roman" w:cs="Times New Roman"/>
          <w:color w:val="000000" w:themeColor="text1"/>
          <w:sz w:val="20"/>
          <w:szCs w:val="20"/>
        </w:rPr>
        <w:t>Int</w:t>
      </w:r>
      <w:proofErr w:type="spellEnd"/>
      <w:r w:rsidR="00BF7D07" w:rsidRPr="00A60B24">
        <w:rPr>
          <w:rStyle w:val="ref-journal"/>
          <w:rFonts w:ascii="Times New Roman" w:hAnsi="Times New Roman" w:cs="Times New Roman"/>
          <w:color w:val="000000" w:themeColor="text1"/>
          <w:sz w:val="20"/>
          <w:szCs w:val="20"/>
        </w:rPr>
        <w:t xml:space="preserve"> </w:t>
      </w:r>
      <w:r w:rsidRPr="00A60B24">
        <w:rPr>
          <w:rStyle w:val="ref-journal"/>
          <w:rFonts w:ascii="Times New Roman" w:hAnsi="Times New Roman" w:cs="Times New Roman"/>
          <w:color w:val="000000" w:themeColor="text1"/>
          <w:sz w:val="20"/>
          <w:szCs w:val="20"/>
        </w:rPr>
        <w:t>J</w:t>
      </w:r>
      <w:r w:rsidR="00BF7D07" w:rsidRPr="00A60B24">
        <w:rPr>
          <w:rStyle w:val="ref-journal"/>
          <w:rFonts w:ascii="Times New Roman" w:hAnsi="Times New Roman" w:cs="Times New Roman"/>
          <w:color w:val="000000" w:themeColor="text1"/>
          <w:sz w:val="20"/>
          <w:szCs w:val="20"/>
        </w:rPr>
        <w:t xml:space="preserve"> </w:t>
      </w:r>
      <w:proofErr w:type="spellStart"/>
      <w:r w:rsidRPr="00A60B24">
        <w:rPr>
          <w:rStyle w:val="ref-journal"/>
          <w:rFonts w:ascii="Times New Roman" w:hAnsi="Times New Roman" w:cs="Times New Roman"/>
          <w:color w:val="000000" w:themeColor="text1"/>
          <w:sz w:val="20"/>
          <w:szCs w:val="20"/>
        </w:rPr>
        <w:t>Radiat</w:t>
      </w:r>
      <w:proofErr w:type="spellEnd"/>
      <w:r w:rsidR="00BF7D07" w:rsidRPr="00A60B24">
        <w:rPr>
          <w:rStyle w:val="ref-journal"/>
          <w:rFonts w:ascii="Times New Roman" w:hAnsi="Times New Roman" w:cs="Times New Roman"/>
          <w:color w:val="000000" w:themeColor="text1"/>
          <w:sz w:val="20"/>
          <w:szCs w:val="20"/>
          <w:lang w:eastAsia="zh-CN"/>
        </w:rPr>
        <w:t xml:space="preserve"> </w:t>
      </w:r>
      <w:proofErr w:type="spellStart"/>
      <w:r w:rsidRPr="00A60B24">
        <w:rPr>
          <w:rStyle w:val="ref-journal"/>
          <w:rFonts w:ascii="Times New Roman" w:hAnsi="Times New Roman" w:cs="Times New Roman"/>
          <w:color w:val="000000" w:themeColor="text1"/>
          <w:sz w:val="20"/>
          <w:szCs w:val="20"/>
        </w:rPr>
        <w:t>Oncol</w:t>
      </w:r>
      <w:proofErr w:type="spellEnd"/>
      <w:r w:rsidR="00BF7D07" w:rsidRPr="00A60B24">
        <w:rPr>
          <w:rStyle w:val="ref-journal"/>
          <w:rFonts w:ascii="Times New Roman" w:hAnsi="Times New Roman" w:cs="Times New Roman"/>
          <w:color w:val="000000" w:themeColor="text1"/>
          <w:sz w:val="20"/>
          <w:szCs w:val="20"/>
          <w:lang w:eastAsia="zh-CN"/>
        </w:rPr>
        <w:t xml:space="preserve"> </w:t>
      </w:r>
      <w:proofErr w:type="spellStart"/>
      <w:r w:rsidRPr="00A60B24">
        <w:rPr>
          <w:rStyle w:val="ref-journal"/>
          <w:rFonts w:ascii="Times New Roman" w:hAnsi="Times New Roman" w:cs="Times New Roman"/>
          <w:color w:val="000000" w:themeColor="text1"/>
          <w:sz w:val="20"/>
          <w:szCs w:val="20"/>
        </w:rPr>
        <w:t>Biol</w:t>
      </w:r>
      <w:proofErr w:type="spellEnd"/>
      <w:r w:rsidR="00BF7D07" w:rsidRPr="00A60B24">
        <w:rPr>
          <w:rStyle w:val="ref-journal"/>
          <w:rFonts w:ascii="Times New Roman" w:hAnsi="Times New Roman" w:cs="Times New Roman"/>
          <w:color w:val="000000" w:themeColor="text1"/>
          <w:sz w:val="20"/>
          <w:szCs w:val="20"/>
        </w:rPr>
        <w:t xml:space="preserve"> </w:t>
      </w:r>
      <w:r w:rsidRPr="00A60B24">
        <w:rPr>
          <w:rStyle w:val="ref-journal"/>
          <w:rFonts w:ascii="Times New Roman" w:hAnsi="Times New Roman" w:cs="Times New Roman"/>
          <w:color w:val="000000" w:themeColor="text1"/>
          <w:sz w:val="20"/>
          <w:szCs w:val="20"/>
        </w:rPr>
        <w:t>Phys.</w:t>
      </w:r>
      <w:r w:rsidR="00BF7D07" w:rsidRPr="00A60B24">
        <w:rPr>
          <w:rStyle w:val="ref-journal"/>
          <w:rFonts w:ascii="Times New Roman" w:hAnsi="Times New Roman" w:cs="Times New Roman"/>
          <w:color w:val="000000" w:themeColor="text1"/>
          <w:sz w:val="20"/>
          <w:szCs w:val="20"/>
        </w:rPr>
        <w:t xml:space="preserve"> </w:t>
      </w:r>
      <w:r w:rsidRPr="00A60B24">
        <w:rPr>
          <w:rStyle w:val="element-citation"/>
          <w:rFonts w:ascii="Times New Roman" w:hAnsi="Times New Roman" w:cs="Times New Roman"/>
          <w:color w:val="000000" w:themeColor="text1"/>
          <w:sz w:val="20"/>
          <w:szCs w:val="20"/>
        </w:rPr>
        <w:t>1995;</w:t>
      </w:r>
      <w:r w:rsidRPr="00A60B24">
        <w:rPr>
          <w:rStyle w:val="ref-vol"/>
          <w:rFonts w:ascii="Times New Roman" w:hAnsi="Times New Roman" w:cs="Times New Roman"/>
          <w:color w:val="000000" w:themeColor="text1"/>
          <w:sz w:val="20"/>
          <w:szCs w:val="20"/>
        </w:rPr>
        <w:t>31</w:t>
      </w:r>
      <w:r w:rsidRPr="00A60B24">
        <w:rPr>
          <w:rStyle w:val="element-citation"/>
          <w:rFonts w:ascii="Times New Roman" w:hAnsi="Times New Roman" w:cs="Times New Roman"/>
          <w:color w:val="000000" w:themeColor="text1"/>
          <w:sz w:val="20"/>
          <w:szCs w:val="20"/>
        </w:rPr>
        <w:t>:1341–134</w:t>
      </w:r>
      <w:r w:rsidR="00737872" w:rsidRPr="00A60B24">
        <w:rPr>
          <w:rStyle w:val="element-citation"/>
          <w:rFonts w:ascii="Times New Roman" w:hAnsi="Times New Roman" w:cs="Times New Roman"/>
          <w:color w:val="000000" w:themeColor="text1"/>
          <w:sz w:val="20"/>
          <w:szCs w:val="20"/>
        </w:rPr>
        <w:t>6.</w:t>
      </w:r>
    </w:p>
    <w:p w:rsidR="004C3E1E" w:rsidRPr="00A60B24" w:rsidRDefault="004C3E1E" w:rsidP="00737872">
      <w:pPr>
        <w:pStyle w:val="ListParagraph"/>
        <w:numPr>
          <w:ilvl w:val="0"/>
          <w:numId w:val="10"/>
        </w:numPr>
        <w:autoSpaceDE w:val="0"/>
        <w:autoSpaceDN w:val="0"/>
        <w:bidi w:val="0"/>
        <w:adjustRightInd w:val="0"/>
        <w:snapToGrid w:val="0"/>
        <w:spacing w:after="0" w:line="240" w:lineRule="auto"/>
        <w:ind w:left="425" w:hanging="425"/>
        <w:jc w:val="both"/>
        <w:rPr>
          <w:rFonts w:ascii="Times New Roman" w:hAnsi="Times New Roman" w:cs="Times New Roman"/>
          <w:color w:val="000000" w:themeColor="text1"/>
          <w:sz w:val="20"/>
          <w:szCs w:val="20"/>
          <w:lang w:eastAsia="zh-CN"/>
        </w:rPr>
      </w:pPr>
      <w:r w:rsidRPr="00A60B24">
        <w:rPr>
          <w:rFonts w:ascii="Times New Roman" w:hAnsi="Times New Roman" w:cs="Times New Roman"/>
          <w:sz w:val="20"/>
          <w:szCs w:val="20"/>
          <w:lang w:val="fr-FR"/>
        </w:rPr>
        <w:t>CTCAE.</w:t>
      </w:r>
      <w:r w:rsidR="00BF7D07" w:rsidRPr="00A60B24">
        <w:rPr>
          <w:rFonts w:ascii="Times New Roman" w:hAnsi="Times New Roman" w:cs="Times New Roman"/>
          <w:sz w:val="20"/>
          <w:szCs w:val="20"/>
          <w:lang w:val="fr-FR"/>
        </w:rPr>
        <w:t xml:space="preserve"> </w:t>
      </w:r>
      <w:r w:rsidRPr="00A60B24">
        <w:rPr>
          <w:rFonts w:ascii="Times New Roman" w:hAnsi="Times New Roman" w:cs="Times New Roman"/>
          <w:sz w:val="20"/>
          <w:szCs w:val="20"/>
          <w:lang w:val="fr-FR"/>
        </w:rPr>
        <w:t>Common</w:t>
      </w:r>
      <w:r w:rsidR="00BF7D07" w:rsidRPr="00A60B24">
        <w:rPr>
          <w:rFonts w:ascii="Times New Roman" w:hAnsi="Times New Roman" w:cs="Times New Roman"/>
          <w:sz w:val="20"/>
          <w:szCs w:val="20"/>
          <w:lang w:val="fr-FR"/>
        </w:rPr>
        <w:t xml:space="preserve"> </w:t>
      </w:r>
      <w:r w:rsidRPr="00A60B24">
        <w:rPr>
          <w:rFonts w:ascii="Times New Roman" w:hAnsi="Times New Roman" w:cs="Times New Roman"/>
          <w:sz w:val="20"/>
          <w:szCs w:val="20"/>
          <w:lang w:val="fr-FR"/>
        </w:rPr>
        <w:t>TerminologyCriteria</w:t>
      </w:r>
      <w:r w:rsidR="00BF7D07" w:rsidRPr="00A60B24">
        <w:rPr>
          <w:rFonts w:ascii="Times New Roman" w:hAnsi="Times New Roman" w:cs="Times New Roman"/>
          <w:sz w:val="20"/>
          <w:szCs w:val="20"/>
          <w:lang w:val="fr-FR"/>
        </w:rPr>
        <w:t xml:space="preserve"> </w:t>
      </w:r>
      <w:r w:rsidRPr="00A60B24">
        <w:rPr>
          <w:rFonts w:ascii="Times New Roman" w:hAnsi="Times New Roman" w:cs="Times New Roman"/>
          <w:sz w:val="20"/>
          <w:szCs w:val="20"/>
          <w:lang w:val="fr-FR"/>
        </w:rPr>
        <w:t>for</w:t>
      </w:r>
      <w:r w:rsidR="00BF7D07" w:rsidRPr="00A60B24">
        <w:rPr>
          <w:rFonts w:ascii="Times New Roman" w:hAnsi="Times New Roman" w:cs="Times New Roman"/>
          <w:sz w:val="20"/>
          <w:szCs w:val="20"/>
          <w:lang w:val="fr-FR"/>
        </w:rPr>
        <w:t xml:space="preserve"> </w:t>
      </w:r>
      <w:r w:rsidRPr="00A60B24">
        <w:rPr>
          <w:rFonts w:ascii="Times New Roman" w:hAnsi="Times New Roman" w:cs="Times New Roman"/>
          <w:sz w:val="20"/>
          <w:szCs w:val="20"/>
          <w:lang w:val="fr-FR"/>
        </w:rPr>
        <w:t>Adverse</w:t>
      </w:r>
      <w:r w:rsidR="00BF7D07" w:rsidRPr="00A60B24">
        <w:rPr>
          <w:rFonts w:ascii="Times New Roman" w:hAnsi="Times New Roman" w:cs="Times New Roman"/>
          <w:sz w:val="20"/>
          <w:szCs w:val="20"/>
          <w:lang w:val="fr-FR"/>
        </w:rPr>
        <w:t xml:space="preserve"> </w:t>
      </w:r>
      <w:r w:rsidRPr="00A60B24">
        <w:rPr>
          <w:rFonts w:ascii="Times New Roman" w:hAnsi="Times New Roman" w:cs="Times New Roman"/>
          <w:sz w:val="20"/>
          <w:szCs w:val="20"/>
          <w:lang w:val="fr-FR"/>
        </w:rPr>
        <w:t>Event</w:t>
      </w:r>
      <w:r w:rsidR="00BF7D07" w:rsidRPr="00A60B24">
        <w:rPr>
          <w:rFonts w:ascii="Times New Roman" w:hAnsi="Times New Roman" w:cs="Times New Roman"/>
          <w:color w:val="000000" w:themeColor="text1"/>
          <w:sz w:val="20"/>
          <w:szCs w:val="20"/>
        </w:rPr>
        <w:t xml:space="preserve"> </w:t>
      </w:r>
      <w:hyperlink r:id="rId14" w:history="1">
        <w:r w:rsidR="00A60B24" w:rsidRPr="00734442">
          <w:rPr>
            <w:rStyle w:val="Hyperlink"/>
            <w:rFonts w:ascii="Times New Roman" w:hAnsi="Times New Roman" w:cs="Times New Roman"/>
            <w:sz w:val="20"/>
            <w:szCs w:val="20"/>
          </w:rPr>
          <w:t>http://ctep.cancer.gov/protocoldevelopment/electronic_applications/ctc.htm</w:t>
        </w:r>
      </w:hyperlink>
      <w:r w:rsidR="00BF7D07" w:rsidRPr="00A60B24">
        <w:rPr>
          <w:rFonts w:ascii="Times New Roman" w:hAnsi="Times New Roman" w:cs="Times New Roman"/>
          <w:sz w:val="20"/>
          <w:szCs w:val="20"/>
        </w:rPr>
        <w:t>.</w:t>
      </w:r>
      <w:r w:rsidR="00A60B24">
        <w:rPr>
          <w:rFonts w:ascii="Times New Roman" w:hAnsi="Times New Roman" w:cs="Times New Roman" w:hint="eastAsia"/>
          <w:sz w:val="20"/>
          <w:szCs w:val="20"/>
          <w:lang w:eastAsia="zh-CN"/>
        </w:rPr>
        <w:t xml:space="preserve"> </w:t>
      </w:r>
      <w:r w:rsidR="004661BB" w:rsidRPr="00A60B24">
        <w:rPr>
          <w:rFonts w:ascii="Times New Roman" w:hAnsi="Times New Roman" w:cs="Times New Roman"/>
          <w:sz w:val="20"/>
          <w:szCs w:val="20"/>
        </w:rPr>
        <w:t>v5.0</w:t>
      </w:r>
      <w:r w:rsidR="00BF7D07" w:rsidRPr="00A60B24">
        <w:rPr>
          <w:rFonts w:ascii="Times New Roman" w:hAnsi="Times New Roman" w:cs="Times New Roman"/>
          <w:sz w:val="20"/>
          <w:szCs w:val="20"/>
        </w:rPr>
        <w:t>,</w:t>
      </w:r>
      <w:r w:rsidR="004661BB" w:rsidRPr="00A60B24">
        <w:rPr>
          <w:rFonts w:ascii="Times New Roman" w:hAnsi="Times New Roman" w:cs="Times New Roman"/>
          <w:sz w:val="20"/>
          <w:szCs w:val="20"/>
        </w:rPr>
        <w:t>2017</w:t>
      </w:r>
      <w:r w:rsidR="004661BB" w:rsidRPr="00A60B24">
        <w:rPr>
          <w:rFonts w:ascii="Times New Roman" w:hAnsi="Times New Roman" w:cs="Times New Roman"/>
          <w:color w:val="000000" w:themeColor="text1"/>
          <w:sz w:val="20"/>
          <w:szCs w:val="20"/>
          <w:lang w:eastAsia="zh-CN"/>
        </w:rPr>
        <w:t>.</w:t>
      </w:r>
      <w:r w:rsidR="00BF7D07" w:rsidRPr="00A60B24">
        <w:rPr>
          <w:rFonts w:ascii="Times New Roman" w:hAnsi="Times New Roman" w:cs="Times New Roman"/>
          <w:color w:val="000000" w:themeColor="text1"/>
          <w:sz w:val="20"/>
          <w:szCs w:val="20"/>
          <w:lang w:eastAsia="zh-CN"/>
        </w:rPr>
        <w:t xml:space="preserve"> </w:t>
      </w:r>
    </w:p>
    <w:p w:rsidR="00737872" w:rsidRPr="00A60B24" w:rsidRDefault="004C3E1E" w:rsidP="00737872">
      <w:pPr>
        <w:pStyle w:val="ListParagraph"/>
        <w:numPr>
          <w:ilvl w:val="0"/>
          <w:numId w:val="10"/>
        </w:numPr>
        <w:autoSpaceDE w:val="0"/>
        <w:autoSpaceDN w:val="0"/>
        <w:bidi w:val="0"/>
        <w:adjustRightInd w:val="0"/>
        <w:snapToGrid w:val="0"/>
        <w:spacing w:after="0" w:line="240" w:lineRule="auto"/>
        <w:ind w:left="425" w:hanging="425"/>
        <w:jc w:val="both"/>
        <w:rPr>
          <w:rStyle w:val="authors"/>
          <w:rFonts w:ascii="Times New Roman" w:hAnsi="Times New Roman" w:cs="Times New Roman"/>
          <w:sz w:val="20"/>
          <w:szCs w:val="20"/>
        </w:rPr>
      </w:pPr>
      <w:proofErr w:type="spellStart"/>
      <w:r w:rsidRPr="00A60B24">
        <w:rPr>
          <w:rStyle w:val="authors"/>
          <w:rFonts w:ascii="Times New Roman" w:hAnsi="Times New Roman" w:cs="Times New Roman"/>
          <w:sz w:val="20"/>
          <w:szCs w:val="20"/>
        </w:rPr>
        <w:t>Eisenhauer</w:t>
      </w:r>
      <w:proofErr w:type="spellEnd"/>
      <w:r w:rsidR="00BF7D07" w:rsidRPr="00A60B24">
        <w:rPr>
          <w:rStyle w:val="authors"/>
          <w:rFonts w:ascii="Times New Roman" w:hAnsi="Times New Roman" w:cs="Times New Roman"/>
          <w:sz w:val="20"/>
          <w:szCs w:val="20"/>
        </w:rPr>
        <w:t xml:space="preserve"> </w:t>
      </w:r>
      <w:r w:rsidRPr="00A60B24">
        <w:rPr>
          <w:rStyle w:val="authors"/>
          <w:rFonts w:ascii="Times New Roman" w:hAnsi="Times New Roman" w:cs="Times New Roman"/>
          <w:sz w:val="20"/>
          <w:szCs w:val="20"/>
        </w:rPr>
        <w:t>EA,</w:t>
      </w:r>
      <w:r w:rsidR="00BF7D07" w:rsidRPr="00A60B24">
        <w:rPr>
          <w:rStyle w:val="authors"/>
          <w:rFonts w:ascii="Times New Roman" w:hAnsi="Times New Roman" w:cs="Times New Roman"/>
          <w:sz w:val="20"/>
          <w:szCs w:val="20"/>
        </w:rPr>
        <w:t xml:space="preserve"> </w:t>
      </w:r>
      <w:proofErr w:type="spellStart"/>
      <w:r w:rsidRPr="00A60B24">
        <w:rPr>
          <w:rStyle w:val="authors"/>
          <w:rFonts w:ascii="Times New Roman" w:hAnsi="Times New Roman" w:cs="Times New Roman"/>
          <w:sz w:val="20"/>
          <w:szCs w:val="20"/>
        </w:rPr>
        <w:t>Therasse</w:t>
      </w:r>
      <w:proofErr w:type="spellEnd"/>
      <w:r w:rsidR="00BF7D07" w:rsidRPr="00A60B24">
        <w:rPr>
          <w:rStyle w:val="authors"/>
          <w:rFonts w:ascii="Times New Roman" w:hAnsi="Times New Roman" w:cs="Times New Roman"/>
          <w:sz w:val="20"/>
          <w:szCs w:val="20"/>
        </w:rPr>
        <w:t xml:space="preserve"> </w:t>
      </w:r>
      <w:r w:rsidRPr="00A60B24">
        <w:rPr>
          <w:rStyle w:val="authors"/>
          <w:rFonts w:ascii="Times New Roman" w:hAnsi="Times New Roman" w:cs="Times New Roman"/>
          <w:sz w:val="20"/>
          <w:szCs w:val="20"/>
        </w:rPr>
        <w:t>P,</w:t>
      </w:r>
      <w:r w:rsidR="00BF7D07" w:rsidRPr="00A60B24">
        <w:rPr>
          <w:rStyle w:val="authors"/>
          <w:rFonts w:ascii="Times New Roman" w:hAnsi="Times New Roman" w:cs="Times New Roman"/>
          <w:sz w:val="20"/>
          <w:szCs w:val="20"/>
        </w:rPr>
        <w:t xml:space="preserve"> </w:t>
      </w:r>
      <w:proofErr w:type="spellStart"/>
      <w:r w:rsidRPr="00A60B24">
        <w:rPr>
          <w:rStyle w:val="authors"/>
          <w:rFonts w:ascii="Times New Roman" w:hAnsi="Times New Roman" w:cs="Times New Roman"/>
          <w:sz w:val="20"/>
          <w:szCs w:val="20"/>
        </w:rPr>
        <w:t>Bogaerts</w:t>
      </w:r>
      <w:proofErr w:type="spellEnd"/>
      <w:r w:rsidR="00BF7D07" w:rsidRPr="00A60B24">
        <w:rPr>
          <w:rStyle w:val="authors"/>
          <w:rFonts w:ascii="Times New Roman" w:hAnsi="Times New Roman" w:cs="Times New Roman"/>
          <w:sz w:val="20"/>
          <w:szCs w:val="20"/>
        </w:rPr>
        <w:t xml:space="preserve"> </w:t>
      </w:r>
      <w:r w:rsidRPr="00A60B24">
        <w:rPr>
          <w:rStyle w:val="authors"/>
          <w:rFonts w:ascii="Times New Roman" w:hAnsi="Times New Roman" w:cs="Times New Roman"/>
          <w:sz w:val="20"/>
          <w:szCs w:val="20"/>
        </w:rPr>
        <w:t>J,</w:t>
      </w:r>
      <w:r w:rsidR="00BF7D07" w:rsidRPr="00A60B24">
        <w:rPr>
          <w:rStyle w:val="authors"/>
          <w:rFonts w:ascii="Times New Roman" w:hAnsi="Times New Roman" w:cs="Times New Roman"/>
          <w:sz w:val="20"/>
          <w:szCs w:val="20"/>
        </w:rPr>
        <w:t xml:space="preserve"> </w:t>
      </w:r>
      <w:r w:rsidRPr="00A60B24">
        <w:rPr>
          <w:rStyle w:val="authors"/>
          <w:rFonts w:ascii="Times New Roman" w:hAnsi="Times New Roman" w:cs="Times New Roman"/>
          <w:sz w:val="20"/>
          <w:szCs w:val="20"/>
        </w:rPr>
        <w:t>et</w:t>
      </w:r>
      <w:r w:rsidR="00BF7D07" w:rsidRPr="00A60B24">
        <w:rPr>
          <w:rStyle w:val="authors"/>
          <w:rFonts w:ascii="Times New Roman" w:hAnsi="Times New Roman" w:cs="Times New Roman"/>
          <w:sz w:val="20"/>
          <w:szCs w:val="20"/>
        </w:rPr>
        <w:t xml:space="preserve"> </w:t>
      </w:r>
      <w:r w:rsidRPr="00A60B24">
        <w:rPr>
          <w:rStyle w:val="authors"/>
          <w:rFonts w:ascii="Times New Roman" w:hAnsi="Times New Roman" w:cs="Times New Roman"/>
          <w:sz w:val="20"/>
          <w:szCs w:val="20"/>
        </w:rPr>
        <w:t>al.</w:t>
      </w:r>
      <w:r w:rsidR="00BF7D07" w:rsidRPr="00A60B24">
        <w:rPr>
          <w:rStyle w:val="authors"/>
          <w:rFonts w:ascii="Times New Roman" w:hAnsi="Times New Roman" w:cs="Times New Roman"/>
          <w:sz w:val="20"/>
          <w:szCs w:val="20"/>
        </w:rPr>
        <w:t xml:space="preserve"> </w:t>
      </w:r>
      <w:r w:rsidRPr="00A60B24">
        <w:rPr>
          <w:rStyle w:val="authors"/>
          <w:rFonts w:ascii="Times New Roman" w:hAnsi="Times New Roman" w:cs="Times New Roman"/>
          <w:sz w:val="20"/>
          <w:szCs w:val="20"/>
        </w:rPr>
        <w:t>New</w:t>
      </w:r>
      <w:r w:rsidR="00BF7D07" w:rsidRPr="00A60B24">
        <w:rPr>
          <w:rStyle w:val="authors"/>
          <w:rFonts w:ascii="Times New Roman" w:hAnsi="Times New Roman" w:cs="Times New Roman"/>
          <w:sz w:val="20"/>
          <w:szCs w:val="20"/>
        </w:rPr>
        <w:t xml:space="preserve"> </w:t>
      </w:r>
      <w:r w:rsidRPr="00A60B24">
        <w:rPr>
          <w:rStyle w:val="authors"/>
          <w:rFonts w:ascii="Times New Roman" w:hAnsi="Times New Roman" w:cs="Times New Roman"/>
          <w:sz w:val="20"/>
          <w:szCs w:val="20"/>
        </w:rPr>
        <w:t>response</w:t>
      </w:r>
      <w:r w:rsidR="00BF7D07" w:rsidRPr="00A60B24">
        <w:rPr>
          <w:rStyle w:val="authors"/>
          <w:rFonts w:ascii="Times New Roman" w:hAnsi="Times New Roman" w:cs="Times New Roman"/>
          <w:sz w:val="20"/>
          <w:szCs w:val="20"/>
        </w:rPr>
        <w:t xml:space="preserve"> </w:t>
      </w:r>
      <w:r w:rsidRPr="00A60B24">
        <w:rPr>
          <w:rStyle w:val="authors"/>
          <w:rFonts w:ascii="Times New Roman" w:hAnsi="Times New Roman" w:cs="Times New Roman"/>
          <w:sz w:val="20"/>
          <w:szCs w:val="20"/>
        </w:rPr>
        <w:t>evaluation</w:t>
      </w:r>
      <w:r w:rsidR="00BF7D07" w:rsidRPr="00A60B24">
        <w:rPr>
          <w:rStyle w:val="authors"/>
          <w:rFonts w:ascii="Times New Roman" w:hAnsi="Times New Roman" w:cs="Times New Roman"/>
          <w:sz w:val="20"/>
          <w:szCs w:val="20"/>
        </w:rPr>
        <w:t xml:space="preserve"> </w:t>
      </w:r>
      <w:r w:rsidRPr="00A60B24">
        <w:rPr>
          <w:rStyle w:val="authors"/>
          <w:rFonts w:ascii="Times New Roman" w:hAnsi="Times New Roman" w:cs="Times New Roman"/>
          <w:sz w:val="20"/>
          <w:szCs w:val="20"/>
        </w:rPr>
        <w:t>criteria</w:t>
      </w:r>
      <w:r w:rsidR="00BF7D07" w:rsidRPr="00A60B24">
        <w:rPr>
          <w:rStyle w:val="authors"/>
          <w:rFonts w:ascii="Times New Roman" w:hAnsi="Times New Roman" w:cs="Times New Roman"/>
          <w:sz w:val="20"/>
          <w:szCs w:val="20"/>
        </w:rPr>
        <w:t xml:space="preserve"> </w:t>
      </w:r>
      <w:r w:rsidRPr="00A60B24">
        <w:rPr>
          <w:rStyle w:val="authors"/>
          <w:rFonts w:ascii="Times New Roman" w:hAnsi="Times New Roman" w:cs="Times New Roman"/>
          <w:sz w:val="20"/>
          <w:szCs w:val="20"/>
        </w:rPr>
        <w:t>in</w:t>
      </w:r>
      <w:r w:rsidR="00BF7D07" w:rsidRPr="00A60B24">
        <w:rPr>
          <w:rStyle w:val="authors"/>
          <w:rFonts w:ascii="Times New Roman" w:hAnsi="Times New Roman" w:cs="Times New Roman"/>
          <w:sz w:val="20"/>
          <w:szCs w:val="20"/>
        </w:rPr>
        <w:t xml:space="preserve"> </w:t>
      </w:r>
      <w:r w:rsidRPr="00A60B24">
        <w:rPr>
          <w:rStyle w:val="authors"/>
          <w:rFonts w:ascii="Times New Roman" w:hAnsi="Times New Roman" w:cs="Times New Roman"/>
          <w:sz w:val="20"/>
          <w:szCs w:val="20"/>
        </w:rPr>
        <w:t>solid</w:t>
      </w:r>
      <w:r w:rsidR="00BF7D07" w:rsidRPr="00A60B24">
        <w:rPr>
          <w:rStyle w:val="authors"/>
          <w:rFonts w:ascii="Times New Roman" w:hAnsi="Times New Roman" w:cs="Times New Roman"/>
          <w:sz w:val="20"/>
          <w:szCs w:val="20"/>
        </w:rPr>
        <w:t xml:space="preserve"> </w:t>
      </w:r>
      <w:proofErr w:type="spellStart"/>
      <w:r w:rsidRPr="00A60B24">
        <w:rPr>
          <w:rStyle w:val="authors"/>
          <w:rFonts w:ascii="Times New Roman" w:hAnsi="Times New Roman" w:cs="Times New Roman"/>
          <w:sz w:val="20"/>
          <w:szCs w:val="20"/>
        </w:rPr>
        <w:t>tumours</w:t>
      </w:r>
      <w:proofErr w:type="spellEnd"/>
      <w:r w:rsidRPr="00A60B24">
        <w:rPr>
          <w:rStyle w:val="authors"/>
          <w:rFonts w:ascii="Times New Roman" w:hAnsi="Times New Roman" w:cs="Times New Roman"/>
          <w:sz w:val="20"/>
          <w:szCs w:val="20"/>
        </w:rPr>
        <w:t>:</w:t>
      </w:r>
      <w:r w:rsidR="00BF7D07" w:rsidRPr="00A60B24">
        <w:rPr>
          <w:rStyle w:val="authors"/>
          <w:rFonts w:ascii="Times New Roman" w:hAnsi="Times New Roman" w:cs="Times New Roman"/>
          <w:sz w:val="20"/>
          <w:szCs w:val="20"/>
        </w:rPr>
        <w:t xml:space="preserve"> </w:t>
      </w:r>
      <w:r w:rsidRPr="00A60B24">
        <w:rPr>
          <w:rStyle w:val="authors"/>
          <w:rFonts w:ascii="Times New Roman" w:hAnsi="Times New Roman" w:cs="Times New Roman"/>
          <w:sz w:val="20"/>
          <w:szCs w:val="20"/>
        </w:rPr>
        <w:t>revised</w:t>
      </w:r>
      <w:r w:rsidR="00BF7D07" w:rsidRPr="00A60B24">
        <w:rPr>
          <w:rStyle w:val="authors"/>
          <w:rFonts w:ascii="Times New Roman" w:hAnsi="Times New Roman" w:cs="Times New Roman"/>
          <w:sz w:val="20"/>
          <w:szCs w:val="20"/>
        </w:rPr>
        <w:t xml:space="preserve"> </w:t>
      </w:r>
      <w:r w:rsidRPr="00A60B24">
        <w:rPr>
          <w:rStyle w:val="authors"/>
          <w:rFonts w:ascii="Times New Roman" w:hAnsi="Times New Roman" w:cs="Times New Roman"/>
          <w:sz w:val="20"/>
          <w:szCs w:val="20"/>
        </w:rPr>
        <w:t>RECIST</w:t>
      </w:r>
      <w:r w:rsidR="00BF7D07" w:rsidRPr="00A60B24">
        <w:rPr>
          <w:rStyle w:val="authors"/>
          <w:rFonts w:ascii="Times New Roman" w:hAnsi="Times New Roman" w:cs="Times New Roman"/>
          <w:sz w:val="20"/>
          <w:szCs w:val="20"/>
        </w:rPr>
        <w:t xml:space="preserve"> </w:t>
      </w:r>
      <w:r w:rsidRPr="00A60B24">
        <w:rPr>
          <w:rStyle w:val="authors"/>
          <w:rFonts w:ascii="Times New Roman" w:hAnsi="Times New Roman" w:cs="Times New Roman"/>
          <w:sz w:val="20"/>
          <w:szCs w:val="20"/>
        </w:rPr>
        <w:t>guideline</w:t>
      </w:r>
      <w:r w:rsidR="00BF7D07" w:rsidRPr="00A60B24">
        <w:rPr>
          <w:rStyle w:val="authors"/>
          <w:rFonts w:ascii="Times New Roman" w:hAnsi="Times New Roman" w:cs="Times New Roman"/>
          <w:sz w:val="20"/>
          <w:szCs w:val="20"/>
        </w:rPr>
        <w:t xml:space="preserve"> </w:t>
      </w:r>
      <w:r w:rsidRPr="00A60B24">
        <w:rPr>
          <w:rStyle w:val="authors"/>
          <w:rFonts w:ascii="Times New Roman" w:hAnsi="Times New Roman" w:cs="Times New Roman"/>
          <w:sz w:val="20"/>
          <w:szCs w:val="20"/>
        </w:rPr>
        <w:t>(version</w:t>
      </w:r>
      <w:r w:rsidR="00BF7D07" w:rsidRPr="00A60B24">
        <w:rPr>
          <w:rStyle w:val="authors"/>
          <w:rFonts w:ascii="Times New Roman" w:hAnsi="Times New Roman" w:cs="Times New Roman"/>
          <w:sz w:val="20"/>
          <w:szCs w:val="20"/>
        </w:rPr>
        <w:t xml:space="preserve"> </w:t>
      </w:r>
      <w:r w:rsidRPr="00A60B24">
        <w:rPr>
          <w:rStyle w:val="authors"/>
          <w:rFonts w:ascii="Times New Roman" w:hAnsi="Times New Roman" w:cs="Times New Roman"/>
          <w:sz w:val="20"/>
          <w:szCs w:val="20"/>
        </w:rPr>
        <w:t>1.1).</w:t>
      </w:r>
      <w:r w:rsidR="00BF7D07" w:rsidRPr="00A60B24">
        <w:rPr>
          <w:rStyle w:val="authors"/>
          <w:rFonts w:ascii="Times New Roman" w:hAnsi="Times New Roman" w:cs="Times New Roman"/>
          <w:sz w:val="20"/>
          <w:szCs w:val="20"/>
        </w:rPr>
        <w:t xml:space="preserve"> </w:t>
      </w:r>
      <w:proofErr w:type="spellStart"/>
      <w:r w:rsidRPr="00A60B24">
        <w:rPr>
          <w:rStyle w:val="authors"/>
          <w:rFonts w:ascii="Times New Roman" w:hAnsi="Times New Roman" w:cs="Times New Roman"/>
          <w:sz w:val="20"/>
          <w:szCs w:val="20"/>
        </w:rPr>
        <w:t>Eur</w:t>
      </w:r>
      <w:proofErr w:type="spellEnd"/>
      <w:r w:rsidR="00BF7D07" w:rsidRPr="00A60B24">
        <w:rPr>
          <w:rStyle w:val="authors"/>
          <w:rFonts w:ascii="Times New Roman" w:hAnsi="Times New Roman" w:cs="Times New Roman"/>
          <w:sz w:val="20"/>
          <w:szCs w:val="20"/>
        </w:rPr>
        <w:t xml:space="preserve"> </w:t>
      </w:r>
      <w:r w:rsidRPr="00A60B24">
        <w:rPr>
          <w:rStyle w:val="authors"/>
          <w:rFonts w:ascii="Times New Roman" w:hAnsi="Times New Roman" w:cs="Times New Roman"/>
          <w:sz w:val="20"/>
          <w:szCs w:val="20"/>
        </w:rPr>
        <w:t>J</w:t>
      </w:r>
      <w:r w:rsidR="00BF7D07" w:rsidRPr="00A60B24">
        <w:rPr>
          <w:rStyle w:val="authors"/>
          <w:rFonts w:ascii="Times New Roman" w:hAnsi="Times New Roman" w:cs="Times New Roman"/>
          <w:sz w:val="20"/>
          <w:szCs w:val="20"/>
        </w:rPr>
        <w:t xml:space="preserve"> </w:t>
      </w:r>
      <w:r w:rsidRPr="00A60B24">
        <w:rPr>
          <w:rStyle w:val="authors"/>
          <w:rFonts w:ascii="Times New Roman" w:hAnsi="Times New Roman" w:cs="Times New Roman"/>
          <w:sz w:val="20"/>
          <w:szCs w:val="20"/>
        </w:rPr>
        <w:t>Cancer.2009</w:t>
      </w:r>
      <w:r w:rsidR="00BF7D07" w:rsidRPr="00A60B24">
        <w:rPr>
          <w:rStyle w:val="authors"/>
          <w:rFonts w:ascii="Times New Roman" w:hAnsi="Times New Roman" w:cs="Times New Roman"/>
          <w:sz w:val="20"/>
          <w:szCs w:val="20"/>
        </w:rPr>
        <w:t>;</w:t>
      </w:r>
      <w:r w:rsidRPr="00A60B24">
        <w:rPr>
          <w:rStyle w:val="authors"/>
          <w:rFonts w:ascii="Times New Roman" w:hAnsi="Times New Roman" w:cs="Times New Roman"/>
          <w:sz w:val="20"/>
          <w:szCs w:val="20"/>
        </w:rPr>
        <w:t>45(2):228-4</w:t>
      </w:r>
      <w:r w:rsidR="00737872" w:rsidRPr="00A60B24">
        <w:rPr>
          <w:rStyle w:val="authors"/>
          <w:rFonts w:ascii="Times New Roman" w:hAnsi="Times New Roman" w:cs="Times New Roman"/>
          <w:sz w:val="20"/>
          <w:szCs w:val="20"/>
        </w:rPr>
        <w:t>7.</w:t>
      </w:r>
    </w:p>
    <w:p w:rsidR="00737872" w:rsidRPr="00A60B24" w:rsidRDefault="004C3E1E" w:rsidP="00737872">
      <w:pPr>
        <w:pStyle w:val="ListParagraph"/>
        <w:numPr>
          <w:ilvl w:val="0"/>
          <w:numId w:val="10"/>
        </w:numPr>
        <w:autoSpaceDE w:val="0"/>
        <w:autoSpaceDN w:val="0"/>
        <w:bidi w:val="0"/>
        <w:adjustRightInd w:val="0"/>
        <w:snapToGrid w:val="0"/>
        <w:spacing w:after="0" w:line="240" w:lineRule="auto"/>
        <w:ind w:left="425" w:hanging="425"/>
        <w:jc w:val="both"/>
        <w:rPr>
          <w:rStyle w:val="element-citation"/>
          <w:rFonts w:ascii="Times New Roman" w:hAnsi="Times New Roman" w:cs="Times New Roman"/>
          <w:color w:val="000000" w:themeColor="text1"/>
          <w:sz w:val="20"/>
          <w:szCs w:val="20"/>
          <w:lang w:val="fr-FR"/>
        </w:rPr>
      </w:pPr>
      <w:proofErr w:type="spellStart"/>
      <w:r w:rsidRPr="00A60B24">
        <w:rPr>
          <w:rFonts w:ascii="Times New Roman" w:hAnsi="Times New Roman" w:cs="Times New Roman"/>
          <w:sz w:val="20"/>
          <w:szCs w:val="20"/>
        </w:rPr>
        <w:t>Bjordal</w:t>
      </w:r>
      <w:proofErr w:type="spellEnd"/>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K,</w:t>
      </w:r>
      <w:r w:rsidR="00BF7D07" w:rsidRPr="00A60B24">
        <w:rPr>
          <w:rFonts w:ascii="Times New Roman" w:hAnsi="Times New Roman" w:cs="Times New Roman"/>
          <w:sz w:val="20"/>
          <w:szCs w:val="20"/>
        </w:rPr>
        <w:t xml:space="preserve"> </w:t>
      </w:r>
      <w:proofErr w:type="spellStart"/>
      <w:r w:rsidRPr="00A60B24">
        <w:rPr>
          <w:rFonts w:ascii="Times New Roman" w:hAnsi="Times New Roman" w:cs="Times New Roman"/>
          <w:sz w:val="20"/>
          <w:szCs w:val="20"/>
        </w:rPr>
        <w:t>Hammerlid</w:t>
      </w:r>
      <w:proofErr w:type="spellEnd"/>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E,</w:t>
      </w:r>
      <w:r w:rsidR="00BF7D07" w:rsidRPr="00A60B24">
        <w:rPr>
          <w:rFonts w:ascii="Times New Roman" w:hAnsi="Times New Roman" w:cs="Times New Roman"/>
          <w:sz w:val="20"/>
          <w:szCs w:val="20"/>
        </w:rPr>
        <w:t xml:space="preserve"> </w:t>
      </w:r>
      <w:proofErr w:type="spellStart"/>
      <w:r w:rsidRPr="00A60B24">
        <w:rPr>
          <w:rFonts w:ascii="Times New Roman" w:hAnsi="Times New Roman" w:cs="Times New Roman"/>
          <w:sz w:val="20"/>
          <w:szCs w:val="20"/>
        </w:rPr>
        <w:t>Ahlner-Elmqvist</w:t>
      </w:r>
      <w:proofErr w:type="spellEnd"/>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M,</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et</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al.</w:t>
      </w:r>
      <w:r w:rsidR="00BF7D07" w:rsidRPr="00A60B24">
        <w:rPr>
          <w:rFonts w:ascii="Times New Roman" w:hAnsi="Times New Roman" w:cs="Times New Roman"/>
          <w:sz w:val="20"/>
          <w:szCs w:val="20"/>
        </w:rPr>
        <w:t xml:space="preserve"> </w:t>
      </w:r>
      <w:r w:rsidRPr="00A60B24">
        <w:rPr>
          <w:rStyle w:val="element-citation"/>
          <w:rFonts w:ascii="Times New Roman" w:hAnsi="Times New Roman" w:cs="Times New Roman"/>
          <w:color w:val="000000" w:themeColor="text1"/>
          <w:sz w:val="20"/>
          <w:szCs w:val="20"/>
          <w:lang w:val="fr-FR"/>
        </w:rPr>
        <w:t>Quality</w:t>
      </w:r>
      <w:r w:rsidR="00BF7D07" w:rsidRPr="00A60B24">
        <w:rPr>
          <w:rStyle w:val="element-citation"/>
          <w:rFonts w:ascii="Times New Roman" w:hAnsi="Times New Roman" w:cs="Times New Roman"/>
          <w:color w:val="000000" w:themeColor="text1"/>
          <w:sz w:val="20"/>
          <w:szCs w:val="20"/>
          <w:lang w:val="fr-FR"/>
        </w:rPr>
        <w:t xml:space="preserve"> </w:t>
      </w:r>
      <w:r w:rsidRPr="00A60B24">
        <w:rPr>
          <w:rStyle w:val="element-citation"/>
          <w:rFonts w:ascii="Times New Roman" w:hAnsi="Times New Roman" w:cs="Times New Roman"/>
          <w:color w:val="000000" w:themeColor="text1"/>
          <w:sz w:val="20"/>
          <w:szCs w:val="20"/>
          <w:lang w:val="fr-FR"/>
        </w:rPr>
        <w:t>of</w:t>
      </w:r>
      <w:r w:rsidR="00BF7D07" w:rsidRPr="00A60B24">
        <w:rPr>
          <w:rStyle w:val="element-citation"/>
          <w:rFonts w:ascii="Times New Roman" w:hAnsi="Times New Roman" w:cs="Times New Roman"/>
          <w:color w:val="000000" w:themeColor="text1"/>
          <w:sz w:val="20"/>
          <w:szCs w:val="20"/>
          <w:lang w:val="fr-FR"/>
        </w:rPr>
        <w:t xml:space="preserve"> </w:t>
      </w:r>
      <w:r w:rsidRPr="00A60B24">
        <w:rPr>
          <w:rStyle w:val="element-citation"/>
          <w:rFonts w:ascii="Times New Roman" w:hAnsi="Times New Roman" w:cs="Times New Roman"/>
          <w:color w:val="000000" w:themeColor="text1"/>
          <w:sz w:val="20"/>
          <w:szCs w:val="20"/>
          <w:lang w:val="fr-FR"/>
        </w:rPr>
        <w:t>life</w:t>
      </w:r>
      <w:r w:rsidR="00BF7D07" w:rsidRPr="00A60B24">
        <w:rPr>
          <w:rStyle w:val="element-citation"/>
          <w:rFonts w:ascii="Times New Roman" w:hAnsi="Times New Roman" w:cs="Times New Roman"/>
          <w:color w:val="000000" w:themeColor="text1"/>
          <w:sz w:val="20"/>
          <w:szCs w:val="20"/>
          <w:lang w:val="fr-FR"/>
        </w:rPr>
        <w:t xml:space="preserve"> </w:t>
      </w:r>
      <w:r w:rsidRPr="00A60B24">
        <w:rPr>
          <w:rStyle w:val="element-citation"/>
          <w:rFonts w:ascii="Times New Roman" w:hAnsi="Times New Roman" w:cs="Times New Roman"/>
          <w:color w:val="000000" w:themeColor="text1"/>
          <w:sz w:val="20"/>
          <w:szCs w:val="20"/>
          <w:lang w:val="fr-FR"/>
        </w:rPr>
        <w:t>in</w:t>
      </w:r>
      <w:r w:rsidR="00BF7D07" w:rsidRPr="00A60B24">
        <w:rPr>
          <w:rStyle w:val="element-citation"/>
          <w:rFonts w:ascii="Times New Roman" w:hAnsi="Times New Roman" w:cs="Times New Roman"/>
          <w:color w:val="000000" w:themeColor="text1"/>
          <w:sz w:val="20"/>
          <w:szCs w:val="20"/>
          <w:lang w:val="fr-FR"/>
        </w:rPr>
        <w:t xml:space="preserve"> </w:t>
      </w:r>
      <w:r w:rsidRPr="00A60B24">
        <w:rPr>
          <w:rStyle w:val="element-citation"/>
          <w:rFonts w:ascii="Times New Roman" w:hAnsi="Times New Roman" w:cs="Times New Roman"/>
          <w:color w:val="000000" w:themeColor="text1"/>
          <w:sz w:val="20"/>
          <w:szCs w:val="20"/>
          <w:lang w:val="fr-FR"/>
        </w:rPr>
        <w:t>head</w:t>
      </w:r>
      <w:r w:rsidR="00BF7D07" w:rsidRPr="00A60B24">
        <w:rPr>
          <w:rStyle w:val="element-citation"/>
          <w:rFonts w:ascii="Times New Roman" w:hAnsi="Times New Roman" w:cs="Times New Roman"/>
          <w:color w:val="000000" w:themeColor="text1"/>
          <w:sz w:val="20"/>
          <w:szCs w:val="20"/>
          <w:lang w:val="fr-FR"/>
        </w:rPr>
        <w:t xml:space="preserve"> </w:t>
      </w:r>
      <w:r w:rsidRPr="00A60B24">
        <w:rPr>
          <w:rStyle w:val="element-citation"/>
          <w:rFonts w:ascii="Times New Roman" w:hAnsi="Times New Roman" w:cs="Times New Roman"/>
          <w:color w:val="000000" w:themeColor="text1"/>
          <w:sz w:val="20"/>
          <w:szCs w:val="20"/>
          <w:lang w:val="fr-FR"/>
        </w:rPr>
        <w:t>and</w:t>
      </w:r>
      <w:r w:rsidR="00BF7D07" w:rsidRPr="00A60B24">
        <w:rPr>
          <w:rStyle w:val="element-citation"/>
          <w:rFonts w:ascii="Times New Roman" w:hAnsi="Times New Roman" w:cs="Times New Roman"/>
          <w:color w:val="000000" w:themeColor="text1"/>
          <w:sz w:val="20"/>
          <w:szCs w:val="20"/>
          <w:lang w:val="fr-FR"/>
        </w:rPr>
        <w:t xml:space="preserve"> </w:t>
      </w:r>
      <w:r w:rsidRPr="00A60B24">
        <w:rPr>
          <w:rStyle w:val="element-citation"/>
          <w:rFonts w:ascii="Times New Roman" w:hAnsi="Times New Roman" w:cs="Times New Roman"/>
          <w:color w:val="000000" w:themeColor="text1"/>
          <w:sz w:val="20"/>
          <w:szCs w:val="20"/>
          <w:lang w:val="fr-FR"/>
        </w:rPr>
        <w:t>neck</w:t>
      </w:r>
      <w:r w:rsidR="00BF7D07" w:rsidRPr="00A60B24">
        <w:rPr>
          <w:rStyle w:val="element-citation"/>
          <w:rFonts w:ascii="Times New Roman" w:hAnsi="Times New Roman" w:cs="Times New Roman"/>
          <w:color w:val="000000" w:themeColor="text1"/>
          <w:sz w:val="20"/>
          <w:szCs w:val="20"/>
          <w:lang w:val="fr-FR"/>
        </w:rPr>
        <w:t xml:space="preserve"> </w:t>
      </w:r>
      <w:r w:rsidRPr="00A60B24">
        <w:rPr>
          <w:rStyle w:val="element-citation"/>
          <w:rFonts w:ascii="Times New Roman" w:hAnsi="Times New Roman" w:cs="Times New Roman"/>
          <w:color w:val="000000" w:themeColor="text1"/>
          <w:sz w:val="20"/>
          <w:szCs w:val="20"/>
          <w:lang w:val="fr-FR"/>
        </w:rPr>
        <w:t>cancer</w:t>
      </w:r>
      <w:r w:rsidR="00BF7D07" w:rsidRPr="00A60B24">
        <w:rPr>
          <w:rStyle w:val="element-citation"/>
          <w:rFonts w:ascii="Times New Roman" w:hAnsi="Times New Roman" w:cs="Times New Roman"/>
          <w:color w:val="000000" w:themeColor="text1"/>
          <w:sz w:val="20"/>
          <w:szCs w:val="20"/>
          <w:lang w:val="fr-FR"/>
        </w:rPr>
        <w:t xml:space="preserve"> </w:t>
      </w:r>
      <w:r w:rsidRPr="00A60B24">
        <w:rPr>
          <w:rStyle w:val="element-citation"/>
          <w:rFonts w:ascii="Times New Roman" w:hAnsi="Times New Roman" w:cs="Times New Roman"/>
          <w:color w:val="000000" w:themeColor="text1"/>
          <w:sz w:val="20"/>
          <w:szCs w:val="20"/>
          <w:lang w:val="fr-FR"/>
        </w:rPr>
        <w:t>patients:</w:t>
      </w:r>
      <w:r w:rsidR="00BF7D07" w:rsidRPr="00A60B24">
        <w:rPr>
          <w:rStyle w:val="element-citation"/>
          <w:rFonts w:ascii="Times New Roman" w:hAnsi="Times New Roman" w:cs="Times New Roman"/>
          <w:color w:val="000000" w:themeColor="text1"/>
          <w:sz w:val="20"/>
          <w:szCs w:val="20"/>
          <w:lang w:val="fr-FR"/>
        </w:rPr>
        <w:t xml:space="preserve"> </w:t>
      </w:r>
      <w:r w:rsidRPr="00A60B24">
        <w:rPr>
          <w:rStyle w:val="element-citation"/>
          <w:rFonts w:ascii="Times New Roman" w:hAnsi="Times New Roman" w:cs="Times New Roman"/>
          <w:color w:val="000000" w:themeColor="text1"/>
          <w:sz w:val="20"/>
          <w:szCs w:val="20"/>
          <w:lang w:val="fr-FR"/>
        </w:rPr>
        <w:t>Validation</w:t>
      </w:r>
      <w:r w:rsidR="00BF7D07" w:rsidRPr="00A60B24">
        <w:rPr>
          <w:rStyle w:val="element-citation"/>
          <w:rFonts w:ascii="Times New Roman" w:hAnsi="Times New Roman" w:cs="Times New Roman"/>
          <w:color w:val="000000" w:themeColor="text1"/>
          <w:sz w:val="20"/>
          <w:szCs w:val="20"/>
          <w:lang w:val="fr-FR"/>
        </w:rPr>
        <w:t xml:space="preserve"> </w:t>
      </w:r>
      <w:r w:rsidRPr="00A60B24">
        <w:rPr>
          <w:rStyle w:val="element-citation"/>
          <w:rFonts w:ascii="Times New Roman" w:hAnsi="Times New Roman" w:cs="Times New Roman"/>
          <w:color w:val="000000" w:themeColor="text1"/>
          <w:sz w:val="20"/>
          <w:szCs w:val="20"/>
          <w:lang w:val="fr-FR"/>
        </w:rPr>
        <w:t>of</w:t>
      </w:r>
      <w:r w:rsidR="00BF7D07" w:rsidRPr="00A60B24">
        <w:rPr>
          <w:rStyle w:val="element-citation"/>
          <w:rFonts w:ascii="Times New Roman" w:hAnsi="Times New Roman" w:cs="Times New Roman"/>
          <w:color w:val="000000" w:themeColor="text1"/>
          <w:sz w:val="20"/>
          <w:szCs w:val="20"/>
          <w:lang w:val="fr-FR"/>
        </w:rPr>
        <w:t xml:space="preserve"> </w:t>
      </w:r>
      <w:r w:rsidRPr="00A60B24">
        <w:rPr>
          <w:rStyle w:val="element-citation"/>
          <w:rFonts w:ascii="Times New Roman" w:hAnsi="Times New Roman" w:cs="Times New Roman"/>
          <w:color w:val="000000" w:themeColor="text1"/>
          <w:sz w:val="20"/>
          <w:szCs w:val="20"/>
          <w:lang w:val="fr-FR"/>
        </w:rPr>
        <w:t>the</w:t>
      </w:r>
      <w:r w:rsidR="00BF7D07" w:rsidRPr="00A60B24">
        <w:rPr>
          <w:rStyle w:val="element-citation"/>
          <w:rFonts w:ascii="Times New Roman" w:hAnsi="Times New Roman" w:cs="Times New Roman"/>
          <w:color w:val="000000" w:themeColor="text1"/>
          <w:sz w:val="20"/>
          <w:szCs w:val="20"/>
          <w:lang w:val="fr-FR"/>
        </w:rPr>
        <w:t xml:space="preserve"> </w:t>
      </w:r>
      <w:r w:rsidRPr="00A60B24">
        <w:rPr>
          <w:rStyle w:val="element-citation"/>
          <w:rFonts w:ascii="Times New Roman" w:hAnsi="Times New Roman" w:cs="Times New Roman"/>
          <w:color w:val="000000" w:themeColor="text1"/>
          <w:sz w:val="20"/>
          <w:szCs w:val="20"/>
          <w:lang w:val="fr-FR"/>
        </w:rPr>
        <w:t>EuropeanOrganization</w:t>
      </w:r>
      <w:r w:rsidR="00BF7D07" w:rsidRPr="00A60B24">
        <w:rPr>
          <w:rStyle w:val="element-citation"/>
          <w:rFonts w:ascii="Times New Roman" w:hAnsi="Times New Roman" w:cs="Times New Roman"/>
          <w:color w:val="000000" w:themeColor="text1"/>
          <w:sz w:val="20"/>
          <w:szCs w:val="20"/>
          <w:lang w:val="fr-FR"/>
        </w:rPr>
        <w:t xml:space="preserve"> </w:t>
      </w:r>
      <w:r w:rsidRPr="00A60B24">
        <w:rPr>
          <w:rStyle w:val="element-citation"/>
          <w:rFonts w:ascii="Times New Roman" w:hAnsi="Times New Roman" w:cs="Times New Roman"/>
          <w:color w:val="000000" w:themeColor="text1"/>
          <w:sz w:val="20"/>
          <w:szCs w:val="20"/>
          <w:lang w:val="fr-FR"/>
        </w:rPr>
        <w:t>for</w:t>
      </w:r>
      <w:r w:rsidR="00BF7D07" w:rsidRPr="00A60B24">
        <w:rPr>
          <w:rStyle w:val="element-citation"/>
          <w:rFonts w:ascii="Times New Roman" w:hAnsi="Times New Roman" w:cs="Times New Roman"/>
          <w:color w:val="000000" w:themeColor="text1"/>
          <w:sz w:val="20"/>
          <w:szCs w:val="20"/>
          <w:lang w:val="fr-FR"/>
        </w:rPr>
        <w:t xml:space="preserve"> </w:t>
      </w:r>
      <w:r w:rsidRPr="00A60B24">
        <w:rPr>
          <w:rStyle w:val="element-citation"/>
          <w:rFonts w:ascii="Times New Roman" w:hAnsi="Times New Roman" w:cs="Times New Roman"/>
          <w:color w:val="000000" w:themeColor="text1"/>
          <w:sz w:val="20"/>
          <w:szCs w:val="20"/>
          <w:lang w:val="fr-FR"/>
        </w:rPr>
        <w:t>Research</w:t>
      </w:r>
      <w:r w:rsidR="00BF7D07" w:rsidRPr="00A60B24">
        <w:rPr>
          <w:rStyle w:val="element-citation"/>
          <w:rFonts w:ascii="Times New Roman" w:hAnsi="Times New Roman" w:cs="Times New Roman"/>
          <w:color w:val="000000" w:themeColor="text1"/>
          <w:sz w:val="20"/>
          <w:szCs w:val="20"/>
          <w:lang w:val="fr-FR"/>
        </w:rPr>
        <w:t xml:space="preserve"> </w:t>
      </w:r>
      <w:r w:rsidRPr="00A60B24">
        <w:rPr>
          <w:rStyle w:val="element-citation"/>
          <w:rFonts w:ascii="Times New Roman" w:hAnsi="Times New Roman" w:cs="Times New Roman"/>
          <w:color w:val="000000" w:themeColor="text1"/>
          <w:sz w:val="20"/>
          <w:szCs w:val="20"/>
          <w:lang w:val="fr-FR"/>
        </w:rPr>
        <w:t>and</w:t>
      </w:r>
      <w:r w:rsidR="00BF7D07" w:rsidRPr="00A60B24">
        <w:rPr>
          <w:rStyle w:val="element-citation"/>
          <w:rFonts w:ascii="Times New Roman" w:hAnsi="Times New Roman" w:cs="Times New Roman"/>
          <w:color w:val="000000" w:themeColor="text1"/>
          <w:sz w:val="20"/>
          <w:szCs w:val="20"/>
          <w:lang w:val="fr-FR"/>
        </w:rPr>
        <w:t xml:space="preserve"> </w:t>
      </w:r>
      <w:r w:rsidRPr="00A60B24">
        <w:rPr>
          <w:rStyle w:val="element-citation"/>
          <w:rFonts w:ascii="Times New Roman" w:hAnsi="Times New Roman" w:cs="Times New Roman"/>
          <w:color w:val="000000" w:themeColor="text1"/>
          <w:sz w:val="20"/>
          <w:szCs w:val="20"/>
          <w:lang w:val="fr-FR"/>
        </w:rPr>
        <w:t>Treatment</w:t>
      </w:r>
      <w:r w:rsidR="00BF7D07" w:rsidRPr="00A60B24">
        <w:rPr>
          <w:rStyle w:val="element-citation"/>
          <w:rFonts w:ascii="Times New Roman" w:hAnsi="Times New Roman" w:cs="Times New Roman"/>
          <w:color w:val="000000" w:themeColor="text1"/>
          <w:sz w:val="20"/>
          <w:szCs w:val="20"/>
          <w:lang w:val="fr-FR"/>
        </w:rPr>
        <w:t xml:space="preserve"> </w:t>
      </w:r>
      <w:r w:rsidRPr="00A60B24">
        <w:rPr>
          <w:rStyle w:val="element-citation"/>
          <w:rFonts w:ascii="Times New Roman" w:hAnsi="Times New Roman" w:cs="Times New Roman"/>
          <w:color w:val="000000" w:themeColor="text1"/>
          <w:sz w:val="20"/>
          <w:szCs w:val="20"/>
          <w:lang w:val="fr-FR"/>
        </w:rPr>
        <w:t>of</w:t>
      </w:r>
      <w:r w:rsidR="00BF7D07" w:rsidRPr="00A60B24">
        <w:rPr>
          <w:rStyle w:val="element-citation"/>
          <w:rFonts w:ascii="Times New Roman" w:hAnsi="Times New Roman" w:cs="Times New Roman"/>
          <w:color w:val="000000" w:themeColor="text1"/>
          <w:sz w:val="20"/>
          <w:szCs w:val="20"/>
          <w:lang w:val="fr-FR"/>
        </w:rPr>
        <w:t xml:space="preserve"> </w:t>
      </w:r>
      <w:r w:rsidRPr="00A60B24">
        <w:rPr>
          <w:rStyle w:val="element-citation"/>
          <w:rFonts w:ascii="Times New Roman" w:hAnsi="Times New Roman" w:cs="Times New Roman"/>
          <w:color w:val="000000" w:themeColor="text1"/>
          <w:sz w:val="20"/>
          <w:szCs w:val="20"/>
          <w:lang w:val="fr-FR"/>
        </w:rPr>
        <w:t>Cancer</w:t>
      </w:r>
      <w:r w:rsidR="00BF7D07" w:rsidRPr="00A60B24">
        <w:rPr>
          <w:rStyle w:val="element-citation"/>
          <w:rFonts w:ascii="Times New Roman" w:hAnsi="Times New Roman" w:cs="Times New Roman"/>
          <w:color w:val="000000" w:themeColor="text1"/>
          <w:sz w:val="20"/>
          <w:szCs w:val="20"/>
          <w:lang w:val="fr-FR"/>
        </w:rPr>
        <w:t xml:space="preserve"> </w:t>
      </w:r>
      <w:r w:rsidRPr="00A60B24">
        <w:rPr>
          <w:rStyle w:val="element-citation"/>
          <w:rFonts w:ascii="Times New Roman" w:hAnsi="Times New Roman" w:cs="Times New Roman"/>
          <w:color w:val="000000" w:themeColor="text1"/>
          <w:sz w:val="20"/>
          <w:szCs w:val="20"/>
          <w:lang w:val="fr-FR"/>
        </w:rPr>
        <w:t>Quality</w:t>
      </w:r>
      <w:r w:rsidR="00BF7D07" w:rsidRPr="00A60B24">
        <w:rPr>
          <w:rStyle w:val="element-citation"/>
          <w:rFonts w:ascii="Times New Roman" w:hAnsi="Times New Roman" w:cs="Times New Roman"/>
          <w:color w:val="000000" w:themeColor="text1"/>
          <w:sz w:val="20"/>
          <w:szCs w:val="20"/>
          <w:lang w:val="fr-FR"/>
        </w:rPr>
        <w:t xml:space="preserve"> </w:t>
      </w:r>
      <w:r w:rsidRPr="00A60B24">
        <w:rPr>
          <w:rStyle w:val="element-citation"/>
          <w:rFonts w:ascii="Times New Roman" w:hAnsi="Times New Roman" w:cs="Times New Roman"/>
          <w:color w:val="000000" w:themeColor="text1"/>
          <w:sz w:val="20"/>
          <w:szCs w:val="20"/>
          <w:lang w:val="fr-FR"/>
        </w:rPr>
        <w:t>of</w:t>
      </w:r>
      <w:r w:rsidR="00BF7D07" w:rsidRPr="00A60B24">
        <w:rPr>
          <w:rStyle w:val="element-citation"/>
          <w:rFonts w:ascii="Times New Roman" w:hAnsi="Times New Roman" w:cs="Times New Roman"/>
          <w:color w:val="000000" w:themeColor="text1"/>
          <w:sz w:val="20"/>
          <w:szCs w:val="20"/>
          <w:lang w:val="fr-FR"/>
        </w:rPr>
        <w:t xml:space="preserve"> </w:t>
      </w:r>
      <w:r w:rsidRPr="00A60B24">
        <w:rPr>
          <w:rStyle w:val="element-citation"/>
          <w:rFonts w:ascii="Times New Roman" w:hAnsi="Times New Roman" w:cs="Times New Roman"/>
          <w:color w:val="000000" w:themeColor="text1"/>
          <w:sz w:val="20"/>
          <w:szCs w:val="20"/>
          <w:lang w:val="fr-FR"/>
        </w:rPr>
        <w:t>Life.</w:t>
      </w:r>
      <w:r w:rsidR="00BF7D07" w:rsidRPr="00A60B24">
        <w:rPr>
          <w:rStyle w:val="element-citation"/>
          <w:rFonts w:ascii="Times New Roman" w:hAnsi="Times New Roman" w:cs="Times New Roman"/>
          <w:color w:val="000000" w:themeColor="text1"/>
          <w:sz w:val="20"/>
          <w:szCs w:val="20"/>
          <w:lang w:val="fr-FR" w:eastAsia="zh-CN"/>
        </w:rPr>
        <w:t xml:space="preserve"> </w:t>
      </w:r>
      <w:r w:rsidRPr="00A60B24">
        <w:rPr>
          <w:rStyle w:val="element-citation"/>
          <w:rFonts w:ascii="Times New Roman" w:hAnsi="Times New Roman" w:cs="Times New Roman"/>
          <w:color w:val="000000" w:themeColor="text1"/>
          <w:sz w:val="20"/>
          <w:szCs w:val="20"/>
          <w:lang w:val="fr-FR"/>
        </w:rPr>
        <w:t>Questionnaire-H</w:t>
      </w:r>
      <w:r w:rsidR="00BF7D07" w:rsidRPr="00A60B24">
        <w:rPr>
          <w:rStyle w:val="element-citation"/>
          <w:rFonts w:ascii="Times New Roman" w:hAnsi="Times New Roman" w:cs="Times New Roman"/>
          <w:color w:val="000000" w:themeColor="text1"/>
          <w:sz w:val="20"/>
          <w:szCs w:val="20"/>
          <w:lang w:val="fr-FR" w:eastAsia="zh-CN"/>
        </w:rPr>
        <w:t xml:space="preserve"> </w:t>
      </w:r>
      <w:r w:rsidR="00BF7D07" w:rsidRPr="00A60B24">
        <w:rPr>
          <w:rStyle w:val="element-citation"/>
          <w:rFonts w:ascii="Times New Roman" w:hAnsi="Times New Roman" w:cs="Times New Roman"/>
          <w:color w:val="000000" w:themeColor="text1"/>
          <w:sz w:val="20"/>
          <w:szCs w:val="20"/>
          <w:lang w:val="fr-FR"/>
        </w:rPr>
        <w:t xml:space="preserve">&amp; </w:t>
      </w:r>
      <w:r w:rsidRPr="00A60B24">
        <w:rPr>
          <w:rStyle w:val="element-citation"/>
          <w:rFonts w:ascii="Times New Roman" w:hAnsi="Times New Roman" w:cs="Times New Roman"/>
          <w:color w:val="000000" w:themeColor="text1"/>
          <w:sz w:val="20"/>
          <w:szCs w:val="20"/>
          <w:lang w:val="fr-FR"/>
        </w:rPr>
        <w:t>N35.</w:t>
      </w:r>
      <w:r w:rsidR="00BF7D07" w:rsidRPr="00A60B24">
        <w:rPr>
          <w:rStyle w:val="element-citation"/>
          <w:rFonts w:ascii="Times New Roman" w:hAnsi="Times New Roman" w:cs="Times New Roman"/>
          <w:color w:val="000000" w:themeColor="text1"/>
          <w:sz w:val="20"/>
          <w:szCs w:val="20"/>
          <w:lang w:val="fr-FR"/>
        </w:rPr>
        <w:t xml:space="preserve"> </w:t>
      </w:r>
      <w:r w:rsidRPr="00A60B24">
        <w:rPr>
          <w:rStyle w:val="element-citation"/>
          <w:rFonts w:ascii="Times New Roman" w:hAnsi="Times New Roman" w:cs="Times New Roman"/>
          <w:color w:val="000000" w:themeColor="text1"/>
          <w:sz w:val="20"/>
          <w:szCs w:val="20"/>
          <w:lang w:val="fr-FR"/>
        </w:rPr>
        <w:t>J</w:t>
      </w:r>
      <w:r w:rsidR="00BF7D07" w:rsidRPr="00A60B24">
        <w:rPr>
          <w:rStyle w:val="element-citation"/>
          <w:rFonts w:ascii="Times New Roman" w:hAnsi="Times New Roman" w:cs="Times New Roman"/>
          <w:color w:val="000000" w:themeColor="text1"/>
          <w:sz w:val="20"/>
          <w:szCs w:val="20"/>
          <w:lang w:val="fr-FR"/>
        </w:rPr>
        <w:t xml:space="preserve"> </w:t>
      </w:r>
      <w:r w:rsidRPr="00A60B24">
        <w:rPr>
          <w:rStyle w:val="element-citation"/>
          <w:rFonts w:ascii="Times New Roman" w:hAnsi="Times New Roman" w:cs="Times New Roman"/>
          <w:color w:val="000000" w:themeColor="text1"/>
          <w:sz w:val="20"/>
          <w:szCs w:val="20"/>
          <w:lang w:val="fr-FR"/>
        </w:rPr>
        <w:t>Clin</w:t>
      </w:r>
      <w:r w:rsidR="00BF7D07" w:rsidRPr="00A60B24">
        <w:rPr>
          <w:rStyle w:val="element-citation"/>
          <w:rFonts w:ascii="Times New Roman" w:hAnsi="Times New Roman" w:cs="Times New Roman"/>
          <w:color w:val="000000" w:themeColor="text1"/>
          <w:sz w:val="20"/>
          <w:szCs w:val="20"/>
          <w:lang w:val="fr-FR"/>
        </w:rPr>
        <w:t xml:space="preserve"> </w:t>
      </w:r>
      <w:r w:rsidRPr="00A60B24">
        <w:rPr>
          <w:rStyle w:val="element-citation"/>
          <w:rFonts w:ascii="Times New Roman" w:hAnsi="Times New Roman" w:cs="Times New Roman"/>
          <w:color w:val="000000" w:themeColor="text1"/>
          <w:sz w:val="20"/>
          <w:szCs w:val="20"/>
          <w:lang w:val="fr-FR"/>
        </w:rPr>
        <w:t>Oncol.</w:t>
      </w:r>
      <w:r w:rsidR="00BF7D07" w:rsidRPr="00A60B24">
        <w:rPr>
          <w:rStyle w:val="element-citation"/>
          <w:rFonts w:ascii="Times New Roman" w:hAnsi="Times New Roman" w:cs="Times New Roman"/>
          <w:color w:val="000000" w:themeColor="text1"/>
          <w:sz w:val="20"/>
          <w:szCs w:val="20"/>
          <w:lang w:val="fr-FR"/>
        </w:rPr>
        <w:t xml:space="preserve"> </w:t>
      </w:r>
      <w:r w:rsidRPr="00A60B24">
        <w:rPr>
          <w:rStyle w:val="element-citation"/>
          <w:rFonts w:ascii="Times New Roman" w:hAnsi="Times New Roman" w:cs="Times New Roman"/>
          <w:color w:val="000000" w:themeColor="text1"/>
          <w:sz w:val="20"/>
          <w:szCs w:val="20"/>
          <w:lang w:val="fr-FR"/>
        </w:rPr>
        <w:t>1999;17:1008-101</w:t>
      </w:r>
      <w:r w:rsidR="00737872" w:rsidRPr="00A60B24">
        <w:rPr>
          <w:rStyle w:val="element-citation"/>
          <w:rFonts w:ascii="Times New Roman" w:hAnsi="Times New Roman" w:cs="Times New Roman"/>
          <w:color w:val="000000" w:themeColor="text1"/>
          <w:sz w:val="20"/>
          <w:szCs w:val="20"/>
          <w:lang w:val="fr-FR"/>
        </w:rPr>
        <w:t>9.</w:t>
      </w:r>
    </w:p>
    <w:p w:rsidR="004C3E1E" w:rsidRPr="00A60B24" w:rsidRDefault="004C3E1E" w:rsidP="00737872">
      <w:pPr>
        <w:pStyle w:val="ListParagraph"/>
        <w:numPr>
          <w:ilvl w:val="0"/>
          <w:numId w:val="10"/>
        </w:numPr>
        <w:bidi w:val="0"/>
        <w:snapToGrid w:val="0"/>
        <w:spacing w:after="0" w:line="240" w:lineRule="auto"/>
        <w:ind w:left="425" w:hanging="425"/>
        <w:jc w:val="both"/>
        <w:rPr>
          <w:rFonts w:ascii="Times New Roman" w:hAnsi="Times New Roman" w:cs="Times New Roman"/>
          <w:sz w:val="20"/>
          <w:szCs w:val="20"/>
        </w:rPr>
      </w:pPr>
      <w:r w:rsidRPr="00A60B24">
        <w:rPr>
          <w:rFonts w:ascii="Times New Roman" w:hAnsi="Times New Roman" w:cs="Times New Roman"/>
          <w:sz w:val="20"/>
          <w:szCs w:val="20"/>
        </w:rPr>
        <w:t>Kaplan</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EL,</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Meier</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P.</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Non</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parametric</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estimation</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from</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incomplete</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observations.</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J</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Am</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Stat</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Assoc.</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1958;</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53:457–81.</w:t>
      </w:r>
    </w:p>
    <w:p w:rsidR="004C3E1E" w:rsidRPr="00A60B24" w:rsidRDefault="004C3E1E" w:rsidP="00737872">
      <w:pPr>
        <w:pStyle w:val="ListParagraph"/>
        <w:numPr>
          <w:ilvl w:val="0"/>
          <w:numId w:val="10"/>
        </w:numPr>
        <w:autoSpaceDE w:val="0"/>
        <w:autoSpaceDN w:val="0"/>
        <w:bidi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A60B24">
        <w:rPr>
          <w:rFonts w:ascii="Times New Roman" w:hAnsi="Times New Roman" w:cs="Times New Roman"/>
          <w:sz w:val="20"/>
          <w:szCs w:val="20"/>
        </w:rPr>
        <w:t>S.</w:t>
      </w:r>
      <w:r w:rsidR="00BF7D07" w:rsidRPr="00A60B24">
        <w:rPr>
          <w:rFonts w:ascii="Times New Roman" w:hAnsi="Times New Roman" w:cs="Times New Roman"/>
          <w:sz w:val="20"/>
          <w:szCs w:val="20"/>
        </w:rPr>
        <w:t xml:space="preserve"> </w:t>
      </w:r>
      <w:proofErr w:type="spellStart"/>
      <w:r w:rsidRPr="00A60B24">
        <w:rPr>
          <w:rFonts w:ascii="Times New Roman" w:hAnsi="Times New Roman" w:cs="Times New Roman"/>
          <w:sz w:val="20"/>
          <w:szCs w:val="20"/>
        </w:rPr>
        <w:t>Clavel</w:t>
      </w:r>
      <w:proofErr w:type="spellEnd"/>
      <w:r w:rsidRPr="00A60B24">
        <w:rPr>
          <w:rFonts w:ascii="Times New Roman" w:hAnsi="Times New Roman" w:cs="Times New Roman"/>
          <w:sz w:val="20"/>
          <w:szCs w:val="20"/>
        </w:rPr>
        <w:t>,</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D.</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H.</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A.</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Nguyen,</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B.</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Fortin</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et</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al.,</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“Simultaneous</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integrated</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boost</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using</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intensity-modulated</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radiotherapy</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compared</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with</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conventional</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radiotherapy</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in</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patients</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treated</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with</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concurrent</w:t>
      </w:r>
      <w:r w:rsidR="00BF7D07" w:rsidRPr="00A60B24">
        <w:rPr>
          <w:rStyle w:val="Hyperlink"/>
          <w:rFonts w:ascii="Times New Roman" w:hAnsi="Times New Roman" w:cs="Times New Roman"/>
          <w:color w:val="000000" w:themeColor="text1"/>
          <w:sz w:val="20"/>
          <w:szCs w:val="20"/>
          <w:u w:val="none"/>
        </w:rPr>
        <w:t xml:space="preserve"> </w:t>
      </w:r>
      <w:proofErr w:type="spellStart"/>
      <w:r w:rsidRPr="00A60B24">
        <w:rPr>
          <w:rStyle w:val="Hyperlink"/>
          <w:rFonts w:ascii="Times New Roman" w:hAnsi="Times New Roman" w:cs="Times New Roman"/>
          <w:color w:val="000000" w:themeColor="text1"/>
          <w:sz w:val="20"/>
          <w:szCs w:val="20"/>
          <w:u w:val="none"/>
        </w:rPr>
        <w:t>carboplatin</w:t>
      </w:r>
      <w:proofErr w:type="spellEnd"/>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and</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5-fluorouracil</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for</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locally</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advanced</w:t>
      </w:r>
      <w:r w:rsidR="00BF7D07" w:rsidRPr="00A60B24">
        <w:rPr>
          <w:rStyle w:val="Hyperlink"/>
          <w:rFonts w:ascii="Times New Roman" w:hAnsi="Times New Roman" w:cs="Times New Roman"/>
          <w:color w:val="000000" w:themeColor="text1"/>
          <w:sz w:val="20"/>
          <w:szCs w:val="20"/>
          <w:u w:val="none"/>
        </w:rPr>
        <w:t xml:space="preserve"> </w:t>
      </w:r>
      <w:proofErr w:type="spellStart"/>
      <w:r w:rsidRPr="00A60B24">
        <w:rPr>
          <w:rStyle w:val="Hyperlink"/>
          <w:rFonts w:ascii="Times New Roman" w:hAnsi="Times New Roman" w:cs="Times New Roman"/>
          <w:color w:val="000000" w:themeColor="text1"/>
          <w:sz w:val="20"/>
          <w:szCs w:val="20"/>
          <w:u w:val="none"/>
        </w:rPr>
        <w:t>oropharyngeal</w:t>
      </w:r>
      <w:proofErr w:type="spellEnd"/>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carcinoma,”</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International</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Journal</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of</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Radiation</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Oncology.</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Biology.</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Physics,</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2012;</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82:</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(2);582–589,</w:t>
      </w:r>
      <w:r w:rsidR="00BF7D07" w:rsidRPr="00A60B24">
        <w:rPr>
          <w:rStyle w:val="Hyperlink"/>
          <w:rFonts w:ascii="Times New Roman" w:hAnsi="Times New Roman" w:cs="Times New Roman"/>
          <w:color w:val="000000" w:themeColor="text1"/>
          <w:sz w:val="20"/>
          <w:szCs w:val="20"/>
          <w:u w:val="none"/>
        </w:rPr>
        <w:t xml:space="preserve"> </w:t>
      </w:r>
    </w:p>
    <w:p w:rsidR="004C3E1E" w:rsidRPr="00A60B24" w:rsidRDefault="004C3E1E" w:rsidP="00737872">
      <w:pPr>
        <w:pStyle w:val="ListParagraph"/>
        <w:numPr>
          <w:ilvl w:val="0"/>
          <w:numId w:val="10"/>
        </w:numPr>
        <w:bidi w:val="0"/>
        <w:snapToGrid w:val="0"/>
        <w:spacing w:after="0" w:line="240" w:lineRule="auto"/>
        <w:ind w:left="425" w:hanging="425"/>
        <w:jc w:val="both"/>
        <w:rPr>
          <w:rFonts w:ascii="Times New Roman" w:hAnsi="Times New Roman" w:cs="Times New Roman"/>
          <w:color w:val="000000" w:themeColor="text1"/>
          <w:sz w:val="20"/>
          <w:szCs w:val="20"/>
        </w:rPr>
      </w:pPr>
      <w:r w:rsidRPr="00A60B24">
        <w:rPr>
          <w:rFonts w:ascii="Times New Roman" w:hAnsi="Times New Roman" w:cs="Times New Roman"/>
          <w:sz w:val="20"/>
          <w:szCs w:val="20"/>
        </w:rPr>
        <w:t>Gupta</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T,</w:t>
      </w:r>
      <w:r w:rsidR="00BF7D07" w:rsidRPr="00A60B24">
        <w:rPr>
          <w:rFonts w:ascii="Times New Roman" w:hAnsi="Times New Roman" w:cs="Times New Roman"/>
          <w:sz w:val="20"/>
          <w:szCs w:val="20"/>
        </w:rPr>
        <w:t xml:space="preserve"> </w:t>
      </w:r>
      <w:proofErr w:type="spellStart"/>
      <w:r w:rsidRPr="00A60B24">
        <w:rPr>
          <w:rFonts w:ascii="Times New Roman" w:hAnsi="Times New Roman" w:cs="Times New Roman"/>
          <w:sz w:val="20"/>
          <w:szCs w:val="20"/>
        </w:rPr>
        <w:t>Agarwal</w:t>
      </w:r>
      <w:proofErr w:type="spellEnd"/>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J,</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Jain</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S,</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et</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al.</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Three-dimensional</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conformal</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radiotherapy</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(3D-CRT)</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versus</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intensity</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modulated</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radiation</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therapy</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(IMRT)</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in</w:t>
      </w:r>
      <w:r w:rsidR="00BF7D07" w:rsidRPr="00A60B24">
        <w:rPr>
          <w:rFonts w:ascii="Times New Roman" w:hAnsi="Times New Roman" w:cs="Times New Roman"/>
          <w:sz w:val="20"/>
          <w:szCs w:val="20"/>
        </w:rPr>
        <w:t xml:space="preserve"> </w:t>
      </w:r>
      <w:proofErr w:type="spellStart"/>
      <w:r w:rsidRPr="00A60B24">
        <w:rPr>
          <w:rFonts w:ascii="Times New Roman" w:hAnsi="Times New Roman" w:cs="Times New Roman"/>
          <w:sz w:val="20"/>
          <w:szCs w:val="20"/>
        </w:rPr>
        <w:t>squamous</w:t>
      </w:r>
      <w:proofErr w:type="spellEnd"/>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cell</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carcinoma</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of</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the</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head</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and</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neck:</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a</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randomized</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controlled</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trial.</w:t>
      </w:r>
      <w:r w:rsidR="00BF7D07" w:rsidRPr="00A60B24">
        <w:rPr>
          <w:rFonts w:ascii="Times New Roman" w:hAnsi="Times New Roman" w:cs="Times New Roman"/>
          <w:sz w:val="20"/>
          <w:szCs w:val="20"/>
        </w:rPr>
        <w:t xml:space="preserve"> </w:t>
      </w:r>
      <w:proofErr w:type="spellStart"/>
      <w:r w:rsidRPr="00A60B24">
        <w:rPr>
          <w:rFonts w:ascii="Times New Roman" w:hAnsi="Times New Roman" w:cs="Times New Roman"/>
          <w:sz w:val="20"/>
          <w:szCs w:val="20"/>
        </w:rPr>
        <w:t>Radiother</w:t>
      </w:r>
      <w:proofErr w:type="spellEnd"/>
      <w:r w:rsidR="00BF7D07" w:rsidRPr="00A60B24">
        <w:rPr>
          <w:rFonts w:ascii="Times New Roman" w:hAnsi="Times New Roman" w:cs="Times New Roman"/>
          <w:sz w:val="20"/>
          <w:szCs w:val="20"/>
          <w:lang w:eastAsia="zh-CN"/>
        </w:rPr>
        <w:t xml:space="preserve"> </w:t>
      </w:r>
      <w:proofErr w:type="spellStart"/>
      <w:r w:rsidRPr="00A60B24">
        <w:rPr>
          <w:rFonts w:ascii="Times New Roman" w:hAnsi="Times New Roman" w:cs="Times New Roman"/>
          <w:sz w:val="20"/>
          <w:szCs w:val="20"/>
        </w:rPr>
        <w:t>Oncol</w:t>
      </w:r>
      <w:proofErr w:type="spellEnd"/>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2012;</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104(3):343-8.</w:t>
      </w:r>
    </w:p>
    <w:p w:rsidR="00737872" w:rsidRPr="00A60B24" w:rsidRDefault="004C3E1E" w:rsidP="00737872">
      <w:pPr>
        <w:pStyle w:val="ListParagraph"/>
        <w:numPr>
          <w:ilvl w:val="0"/>
          <w:numId w:val="10"/>
        </w:numPr>
        <w:bidi w:val="0"/>
        <w:snapToGrid w:val="0"/>
        <w:spacing w:after="0" w:line="240" w:lineRule="auto"/>
        <w:ind w:left="425" w:hanging="425"/>
        <w:jc w:val="both"/>
        <w:rPr>
          <w:rStyle w:val="Hyperlink"/>
          <w:rFonts w:ascii="Times New Roman" w:hAnsi="Times New Roman" w:cs="Times New Roman"/>
          <w:color w:val="000000" w:themeColor="text1"/>
          <w:sz w:val="20"/>
          <w:szCs w:val="20"/>
          <w:u w:val="none"/>
        </w:rPr>
      </w:pPr>
      <w:r w:rsidRPr="00A60B24">
        <w:rPr>
          <w:rFonts w:ascii="Times New Roman" w:hAnsi="Times New Roman" w:cs="Times New Roman"/>
          <w:sz w:val="20"/>
          <w:szCs w:val="20"/>
        </w:rPr>
        <w:t>Wang</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R,</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Wu</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F,</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Lu</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H,</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et</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al</w:t>
      </w:r>
      <w:r w:rsidR="00BF7D07" w:rsidRPr="00A60B24">
        <w:rPr>
          <w:rFonts w:ascii="Times New Roman" w:hAnsi="Times New Roman" w:cs="Times New Roman"/>
          <w:sz w:val="20"/>
          <w:szCs w:val="20"/>
        </w:rPr>
        <w:t>.</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Definitive</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intensity-modulated</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radiation</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therapy</w:t>
      </w:r>
      <w:r w:rsidR="00BF7D07" w:rsidRPr="00A60B24">
        <w:rPr>
          <w:rStyle w:val="Hyperlink"/>
          <w:rFonts w:ascii="Times New Roman" w:hAnsi="Times New Roman" w:cs="Times New Roman"/>
          <w:color w:val="000000" w:themeColor="text1"/>
          <w:sz w:val="20"/>
          <w:szCs w:val="20"/>
          <w:u w:val="none"/>
        </w:rPr>
        <w:t xml:space="preserve"> </w:t>
      </w:r>
      <w:proofErr w:type="spellStart"/>
      <w:r w:rsidRPr="00A60B24">
        <w:rPr>
          <w:rStyle w:val="Hyperlink"/>
          <w:rFonts w:ascii="Times New Roman" w:hAnsi="Times New Roman" w:cs="Times New Roman"/>
          <w:color w:val="000000" w:themeColor="text1"/>
          <w:sz w:val="20"/>
          <w:szCs w:val="20"/>
          <w:u w:val="none"/>
        </w:rPr>
        <w:t>fornasopharyngeal</w:t>
      </w:r>
      <w:proofErr w:type="spellEnd"/>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carcinoma:</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long-term</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outcome</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of</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a</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multicenter</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prospective</w:t>
      </w:r>
      <w:r w:rsidR="00BF7D07" w:rsidRPr="00A60B24">
        <w:rPr>
          <w:rStyle w:val="Hyperlink"/>
          <w:rFonts w:ascii="Times New Roman" w:hAnsi="Times New Roman" w:cs="Times New Roman"/>
          <w:color w:val="000000" w:themeColor="text1"/>
          <w:sz w:val="20"/>
          <w:szCs w:val="20"/>
          <w:u w:val="none"/>
          <w:lang w:eastAsia="zh-CN"/>
        </w:rPr>
        <w:t xml:space="preserve"> </w:t>
      </w:r>
      <w:r w:rsidRPr="00A60B24">
        <w:rPr>
          <w:rStyle w:val="Hyperlink"/>
          <w:rFonts w:ascii="Times New Roman" w:hAnsi="Times New Roman" w:cs="Times New Roman"/>
          <w:color w:val="000000" w:themeColor="text1"/>
          <w:sz w:val="20"/>
          <w:szCs w:val="20"/>
          <w:u w:val="none"/>
        </w:rPr>
        <w:t>study.</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J</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Cancer</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Res</w:t>
      </w:r>
      <w:r w:rsidR="00BF7D07" w:rsidRPr="00A60B24">
        <w:rPr>
          <w:rStyle w:val="Hyperlink"/>
          <w:rFonts w:ascii="Times New Roman" w:hAnsi="Times New Roman" w:cs="Times New Roman"/>
          <w:color w:val="000000" w:themeColor="text1"/>
          <w:sz w:val="20"/>
          <w:szCs w:val="20"/>
          <w:u w:val="none"/>
        </w:rPr>
        <w:t xml:space="preserve"> </w:t>
      </w:r>
      <w:proofErr w:type="spellStart"/>
      <w:r w:rsidRPr="00A60B24">
        <w:rPr>
          <w:rStyle w:val="Hyperlink"/>
          <w:rFonts w:ascii="Times New Roman" w:hAnsi="Times New Roman" w:cs="Times New Roman"/>
          <w:color w:val="000000" w:themeColor="text1"/>
          <w:sz w:val="20"/>
          <w:szCs w:val="20"/>
          <w:u w:val="none"/>
        </w:rPr>
        <w:t>Clin</w:t>
      </w:r>
      <w:proofErr w:type="spellEnd"/>
      <w:r w:rsidR="00BF7D07" w:rsidRPr="00A60B24">
        <w:rPr>
          <w:rStyle w:val="Hyperlink"/>
          <w:rFonts w:ascii="Times New Roman" w:hAnsi="Times New Roman" w:cs="Times New Roman"/>
          <w:color w:val="000000" w:themeColor="text1"/>
          <w:sz w:val="20"/>
          <w:szCs w:val="20"/>
          <w:u w:val="none"/>
          <w:lang w:eastAsia="zh-CN"/>
        </w:rPr>
        <w:t xml:space="preserve"> </w:t>
      </w:r>
      <w:proofErr w:type="spellStart"/>
      <w:r w:rsidRPr="00A60B24">
        <w:rPr>
          <w:rStyle w:val="Hyperlink"/>
          <w:rFonts w:ascii="Times New Roman" w:hAnsi="Times New Roman" w:cs="Times New Roman"/>
          <w:color w:val="000000" w:themeColor="text1"/>
          <w:sz w:val="20"/>
          <w:szCs w:val="20"/>
          <w:u w:val="none"/>
        </w:rPr>
        <w:t>Oncol</w:t>
      </w:r>
      <w:proofErr w:type="spellEnd"/>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2013;139(1):139–4</w:t>
      </w:r>
      <w:r w:rsidR="00737872" w:rsidRPr="00A60B24">
        <w:rPr>
          <w:rStyle w:val="Hyperlink"/>
          <w:rFonts w:ascii="Times New Roman" w:hAnsi="Times New Roman" w:cs="Times New Roman"/>
          <w:color w:val="000000" w:themeColor="text1"/>
          <w:sz w:val="20"/>
          <w:szCs w:val="20"/>
          <w:u w:val="none"/>
        </w:rPr>
        <w:t>5.</w:t>
      </w:r>
    </w:p>
    <w:p w:rsidR="004C3E1E" w:rsidRPr="00A60B24" w:rsidRDefault="004C3E1E" w:rsidP="00737872">
      <w:pPr>
        <w:pStyle w:val="ListParagraph"/>
        <w:numPr>
          <w:ilvl w:val="0"/>
          <w:numId w:val="10"/>
        </w:numPr>
        <w:autoSpaceDE w:val="0"/>
        <w:autoSpaceDN w:val="0"/>
        <w:bidi w:val="0"/>
        <w:adjustRightInd w:val="0"/>
        <w:snapToGrid w:val="0"/>
        <w:spacing w:after="0" w:line="240" w:lineRule="auto"/>
        <w:ind w:left="425" w:hanging="425"/>
        <w:jc w:val="both"/>
        <w:rPr>
          <w:rStyle w:val="Hyperlink"/>
          <w:rFonts w:ascii="Times New Roman" w:hAnsi="Times New Roman" w:cs="Times New Roman"/>
          <w:color w:val="000000" w:themeColor="text1"/>
          <w:sz w:val="20"/>
          <w:szCs w:val="20"/>
          <w:u w:val="none"/>
        </w:rPr>
      </w:pPr>
      <w:r w:rsidRPr="00A60B24">
        <w:rPr>
          <w:rFonts w:ascii="Times New Roman" w:hAnsi="Times New Roman" w:cs="Times New Roman"/>
          <w:sz w:val="20"/>
          <w:szCs w:val="20"/>
        </w:rPr>
        <w:t>Lee</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N,</w:t>
      </w:r>
      <w:r w:rsidR="00BF7D07" w:rsidRPr="00A60B24">
        <w:rPr>
          <w:rFonts w:ascii="Times New Roman" w:hAnsi="Times New Roman" w:cs="Times New Roman"/>
          <w:sz w:val="20"/>
          <w:szCs w:val="20"/>
        </w:rPr>
        <w:t xml:space="preserve"> </w:t>
      </w:r>
      <w:proofErr w:type="spellStart"/>
      <w:r w:rsidRPr="00A60B24">
        <w:rPr>
          <w:rFonts w:ascii="Times New Roman" w:hAnsi="Times New Roman" w:cs="Times New Roman"/>
          <w:sz w:val="20"/>
          <w:szCs w:val="20"/>
        </w:rPr>
        <w:t>Laufer</w:t>
      </w:r>
      <w:proofErr w:type="spellEnd"/>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M,</w:t>
      </w:r>
      <w:r w:rsidR="00BF7D07" w:rsidRPr="00A60B24">
        <w:rPr>
          <w:rFonts w:ascii="Times New Roman" w:hAnsi="Times New Roman" w:cs="Times New Roman"/>
          <w:sz w:val="20"/>
          <w:szCs w:val="20"/>
        </w:rPr>
        <w:t xml:space="preserve"> </w:t>
      </w:r>
      <w:proofErr w:type="spellStart"/>
      <w:r w:rsidRPr="00A60B24">
        <w:rPr>
          <w:rFonts w:ascii="Times New Roman" w:hAnsi="Times New Roman" w:cs="Times New Roman"/>
          <w:sz w:val="20"/>
          <w:szCs w:val="20"/>
        </w:rPr>
        <w:t>Ove</w:t>
      </w:r>
      <w:proofErr w:type="spellEnd"/>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R,</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et</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al.</w:t>
      </w:r>
      <w:r w:rsidR="00BF7D07" w:rsidRPr="00A60B24">
        <w:rPr>
          <w:rFonts w:ascii="Times New Roman" w:hAnsi="Times New Roman" w:cs="Times New Roman"/>
          <w:sz w:val="20"/>
          <w:szCs w:val="20"/>
          <w:lang w:eastAsia="zh-CN"/>
        </w:rPr>
        <w:t xml:space="preserve"> </w:t>
      </w:r>
      <w:r w:rsidRPr="00A60B24">
        <w:rPr>
          <w:rFonts w:ascii="Times New Roman" w:hAnsi="Times New Roman" w:cs="Times New Roman"/>
          <w:sz w:val="20"/>
          <w:szCs w:val="20"/>
        </w:rPr>
        <w:t>Clinical</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Radiation</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Oncology</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(Third</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Edition)</w:t>
      </w:r>
      <w:r w:rsidRPr="00A60B24">
        <w:rPr>
          <w:rStyle w:val="Hyperlink"/>
          <w:rFonts w:ascii="Times New Roman" w:hAnsi="Times New Roman" w:cs="Times New Roman"/>
          <w:color w:val="000000" w:themeColor="text1"/>
          <w:sz w:val="20"/>
          <w:szCs w:val="20"/>
          <w:u w:val="none"/>
        </w:rPr>
        <w:t>.</w:t>
      </w:r>
      <w:r w:rsidR="00BF7D07" w:rsidRPr="00A60B24">
        <w:rPr>
          <w:rStyle w:val="Hyperlink"/>
          <w:rFonts w:ascii="Times New Roman" w:hAnsi="Times New Roman" w:cs="Times New Roman"/>
          <w:color w:val="000000" w:themeColor="text1"/>
          <w:sz w:val="20"/>
          <w:szCs w:val="20"/>
          <w:u w:val="none"/>
          <w:lang w:eastAsia="zh-CN"/>
        </w:rPr>
        <w:t xml:space="preserve"> </w:t>
      </w:r>
      <w:r w:rsidRPr="00A60B24">
        <w:rPr>
          <w:rStyle w:val="Hyperlink"/>
          <w:rFonts w:ascii="Times New Roman" w:hAnsi="Times New Roman" w:cs="Times New Roman"/>
          <w:color w:val="000000" w:themeColor="text1"/>
          <w:sz w:val="20"/>
          <w:szCs w:val="20"/>
          <w:u w:val="none"/>
        </w:rPr>
        <w:t>2012.</w:t>
      </w:r>
      <w:r w:rsidR="00BF7D07" w:rsidRPr="00A60B24">
        <w:rPr>
          <w:rStyle w:val="Hyperlink"/>
          <w:rFonts w:ascii="Times New Roman" w:hAnsi="Times New Roman" w:cs="Times New Roman"/>
          <w:color w:val="000000" w:themeColor="text1"/>
          <w:sz w:val="20"/>
          <w:szCs w:val="20"/>
          <w:u w:val="none"/>
          <w:lang w:eastAsia="zh-CN"/>
        </w:rPr>
        <w:t xml:space="preserve"> </w:t>
      </w:r>
      <w:r w:rsidRPr="00A60B24">
        <w:rPr>
          <w:rStyle w:val="Hyperlink"/>
          <w:rFonts w:ascii="Times New Roman" w:hAnsi="Times New Roman" w:cs="Times New Roman"/>
          <w:color w:val="000000" w:themeColor="text1"/>
          <w:sz w:val="20"/>
          <w:szCs w:val="20"/>
          <w:u w:val="none"/>
        </w:rPr>
        <w:t>chapter</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32.</w:t>
      </w:r>
      <w:r w:rsidR="00BF7D07" w:rsidRPr="00A60B24">
        <w:rPr>
          <w:rStyle w:val="Hyperlink"/>
          <w:rFonts w:ascii="Times New Roman" w:hAnsi="Times New Roman" w:cs="Times New Roman"/>
          <w:color w:val="000000" w:themeColor="text1"/>
          <w:sz w:val="20"/>
          <w:szCs w:val="20"/>
          <w:u w:val="none"/>
        </w:rPr>
        <w:t xml:space="preserve"> </w:t>
      </w:r>
    </w:p>
    <w:p w:rsidR="004C3E1E" w:rsidRPr="00A60B24" w:rsidRDefault="004C3E1E" w:rsidP="00737872">
      <w:pPr>
        <w:pStyle w:val="ListParagraph"/>
        <w:numPr>
          <w:ilvl w:val="0"/>
          <w:numId w:val="10"/>
        </w:numPr>
        <w:autoSpaceDE w:val="0"/>
        <w:autoSpaceDN w:val="0"/>
        <w:bidi w:val="0"/>
        <w:adjustRightInd w:val="0"/>
        <w:snapToGrid w:val="0"/>
        <w:spacing w:after="0" w:line="240" w:lineRule="auto"/>
        <w:ind w:left="425" w:hanging="425"/>
        <w:jc w:val="both"/>
        <w:rPr>
          <w:rStyle w:val="Hyperlink"/>
          <w:rFonts w:ascii="Times New Roman" w:hAnsi="Times New Roman" w:cs="Times New Roman"/>
          <w:color w:val="000000" w:themeColor="text1"/>
          <w:sz w:val="20"/>
          <w:szCs w:val="20"/>
          <w:u w:val="none"/>
        </w:rPr>
      </w:pPr>
      <w:proofErr w:type="spellStart"/>
      <w:r w:rsidRPr="00A60B24">
        <w:rPr>
          <w:rFonts w:ascii="Times New Roman" w:hAnsi="Times New Roman" w:cs="Times New Roman"/>
          <w:color w:val="000000" w:themeColor="text1"/>
          <w:sz w:val="20"/>
          <w:szCs w:val="20"/>
        </w:rPr>
        <w:t>Yansu</w:t>
      </w:r>
      <w:proofErr w:type="spellEnd"/>
      <w:r w:rsidR="00BF7D07" w:rsidRPr="00A60B24">
        <w:rPr>
          <w:rFonts w:ascii="Times New Roman" w:hAnsi="Times New Roman" w:cs="Times New Roman"/>
          <w:color w:val="000000" w:themeColor="text1"/>
          <w:sz w:val="20"/>
          <w:szCs w:val="20"/>
        </w:rPr>
        <w:t xml:space="preserve"> </w:t>
      </w:r>
      <w:r w:rsidRPr="00A60B24">
        <w:rPr>
          <w:rFonts w:ascii="Times New Roman" w:hAnsi="Times New Roman" w:cs="Times New Roman"/>
          <w:color w:val="000000" w:themeColor="text1"/>
          <w:sz w:val="20"/>
          <w:szCs w:val="20"/>
        </w:rPr>
        <w:t>Wang</w:t>
      </w:r>
      <w:r w:rsidRPr="00A60B24">
        <w:rPr>
          <w:rFonts w:ascii="Times New Roman" w:hAnsi="Times New Roman" w:cs="Times New Roman"/>
          <w:sz w:val="20"/>
          <w:szCs w:val="20"/>
        </w:rPr>
        <w:t>,</w:t>
      </w:r>
      <w:r w:rsidR="00BF7D07" w:rsidRPr="00A60B24">
        <w:rPr>
          <w:rFonts w:ascii="Times New Roman" w:hAnsi="Times New Roman" w:cs="Times New Roman"/>
          <w:sz w:val="20"/>
          <w:szCs w:val="20"/>
        </w:rPr>
        <w:t xml:space="preserve"> </w:t>
      </w:r>
      <w:proofErr w:type="spellStart"/>
      <w:r w:rsidRPr="00A60B24">
        <w:rPr>
          <w:rFonts w:ascii="Times New Roman" w:hAnsi="Times New Roman" w:cs="Times New Roman"/>
          <w:color w:val="000000" w:themeColor="text1"/>
          <w:sz w:val="20"/>
          <w:szCs w:val="20"/>
        </w:rPr>
        <w:t>Chunying</w:t>
      </w:r>
      <w:proofErr w:type="spellEnd"/>
      <w:r w:rsidR="00BF7D07" w:rsidRPr="00A60B24">
        <w:rPr>
          <w:rFonts w:ascii="Times New Roman" w:hAnsi="Times New Roman" w:cs="Times New Roman"/>
          <w:color w:val="000000" w:themeColor="text1"/>
          <w:sz w:val="20"/>
          <w:szCs w:val="20"/>
          <w:lang w:eastAsia="zh-CN"/>
        </w:rPr>
        <w:t xml:space="preserve"> </w:t>
      </w:r>
      <w:proofErr w:type="spellStart"/>
      <w:r w:rsidRPr="00A60B24">
        <w:rPr>
          <w:rFonts w:ascii="Times New Roman" w:hAnsi="Times New Roman" w:cs="Times New Roman"/>
          <w:color w:val="000000" w:themeColor="text1"/>
          <w:sz w:val="20"/>
          <w:szCs w:val="20"/>
        </w:rPr>
        <w:t>Shen</w:t>
      </w:r>
      <w:proofErr w:type="spellEnd"/>
      <w:r w:rsidRPr="00A60B24">
        <w:rPr>
          <w:rFonts w:ascii="Times New Roman" w:hAnsi="Times New Roman" w:cs="Times New Roman"/>
          <w:sz w:val="20"/>
          <w:szCs w:val="20"/>
        </w:rPr>
        <w:t>,</w:t>
      </w:r>
      <w:r w:rsidR="00BF7D07" w:rsidRPr="00A60B24">
        <w:rPr>
          <w:rFonts w:ascii="Times New Roman" w:hAnsi="Times New Roman" w:cs="Times New Roman"/>
          <w:sz w:val="20"/>
          <w:szCs w:val="20"/>
        </w:rPr>
        <w:t xml:space="preserve"> </w:t>
      </w:r>
      <w:proofErr w:type="spellStart"/>
      <w:r w:rsidRPr="00A60B24">
        <w:rPr>
          <w:rFonts w:ascii="Times New Roman" w:hAnsi="Times New Roman" w:cs="Times New Roman"/>
          <w:color w:val="000000" w:themeColor="text1"/>
          <w:sz w:val="20"/>
          <w:szCs w:val="20"/>
        </w:rPr>
        <w:t>Xueguan</w:t>
      </w:r>
      <w:proofErr w:type="spellEnd"/>
      <w:r w:rsidR="00BF7D07" w:rsidRPr="00A60B24">
        <w:rPr>
          <w:rFonts w:ascii="Times New Roman" w:hAnsi="Times New Roman" w:cs="Times New Roman"/>
          <w:color w:val="000000" w:themeColor="text1"/>
          <w:sz w:val="20"/>
          <w:szCs w:val="20"/>
        </w:rPr>
        <w:t xml:space="preserve"> </w:t>
      </w:r>
      <w:r w:rsidRPr="00A60B24">
        <w:rPr>
          <w:rFonts w:ascii="Times New Roman" w:hAnsi="Times New Roman" w:cs="Times New Roman"/>
          <w:color w:val="000000" w:themeColor="text1"/>
          <w:sz w:val="20"/>
          <w:szCs w:val="20"/>
        </w:rPr>
        <w:t>Lu</w:t>
      </w:r>
      <w:r w:rsidRPr="00A60B24">
        <w:rPr>
          <w:rFonts w:ascii="Times New Roman" w:hAnsi="Times New Roman" w:cs="Times New Roman"/>
          <w:sz w:val="20"/>
          <w:szCs w:val="20"/>
        </w:rPr>
        <w:t>,</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et</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al.</w:t>
      </w:r>
      <w:r w:rsidR="00BF7D07" w:rsidRPr="00A60B24">
        <w:rPr>
          <w:rFonts w:ascii="Times New Roman" w:hAnsi="Times New Roman" w:cs="Times New Roman"/>
          <w:sz w:val="20"/>
          <w:szCs w:val="20"/>
          <w:lang w:eastAsia="zh-CN"/>
        </w:rPr>
        <w:t xml:space="preserve"> </w:t>
      </w:r>
      <w:r w:rsidRPr="00A60B24">
        <w:rPr>
          <w:rStyle w:val="Hyperlink"/>
          <w:rFonts w:ascii="Times New Roman" w:hAnsi="Times New Roman" w:cs="Times New Roman"/>
          <w:color w:val="000000" w:themeColor="text1"/>
          <w:sz w:val="20"/>
          <w:szCs w:val="20"/>
          <w:u w:val="none"/>
        </w:rPr>
        <w:t>The</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incidence</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and</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prognosis</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of</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nasopharyngeal</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carcinoma</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patients</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with</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family</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history.</w:t>
      </w:r>
      <w:r w:rsidR="00BF7D07" w:rsidRPr="00A60B24">
        <w:rPr>
          <w:rStyle w:val="Hyperlink"/>
          <w:rFonts w:ascii="Times New Roman" w:hAnsi="Times New Roman" w:cs="Times New Roman"/>
          <w:color w:val="000000" w:themeColor="text1"/>
          <w:sz w:val="20"/>
          <w:szCs w:val="20"/>
          <w:u w:val="none"/>
          <w:lang w:eastAsia="zh-CN"/>
        </w:rPr>
        <w:t xml:space="preserve"> </w:t>
      </w:r>
      <w:proofErr w:type="spellStart"/>
      <w:r w:rsidRPr="00A60B24">
        <w:rPr>
          <w:rFonts w:ascii="Times New Roman" w:hAnsi="Times New Roman" w:cs="Times New Roman"/>
          <w:sz w:val="20"/>
          <w:szCs w:val="20"/>
        </w:rPr>
        <w:t>Oncotarget</w:t>
      </w:r>
      <w:proofErr w:type="spellEnd"/>
      <w:r w:rsidRPr="00A60B24">
        <w:rPr>
          <w:rStyle w:val="Hyperlink"/>
          <w:rFonts w:ascii="Times New Roman" w:hAnsi="Times New Roman" w:cs="Times New Roman"/>
          <w:color w:val="000000" w:themeColor="text1"/>
          <w:sz w:val="20"/>
          <w:szCs w:val="20"/>
          <w:u w:val="none"/>
        </w:rPr>
        <w:t>.</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2017</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Nov</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14;</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8(57):</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97323–97330.</w:t>
      </w:r>
    </w:p>
    <w:p w:rsidR="004C3E1E" w:rsidRPr="00A60B24" w:rsidRDefault="004C3E1E" w:rsidP="00737872">
      <w:pPr>
        <w:pStyle w:val="ListParagraph"/>
        <w:numPr>
          <w:ilvl w:val="0"/>
          <w:numId w:val="10"/>
        </w:numPr>
        <w:autoSpaceDE w:val="0"/>
        <w:autoSpaceDN w:val="0"/>
        <w:bidi w:val="0"/>
        <w:adjustRightInd w:val="0"/>
        <w:snapToGrid w:val="0"/>
        <w:spacing w:after="0" w:line="240" w:lineRule="auto"/>
        <w:ind w:left="425" w:hanging="425"/>
        <w:jc w:val="both"/>
        <w:rPr>
          <w:rStyle w:val="Hyperlink"/>
          <w:rFonts w:ascii="Times New Roman" w:hAnsi="Times New Roman" w:cs="Times New Roman"/>
          <w:color w:val="000000" w:themeColor="text1"/>
          <w:sz w:val="20"/>
          <w:szCs w:val="20"/>
          <w:u w:val="none"/>
        </w:rPr>
      </w:pPr>
      <w:r w:rsidRPr="00A60B24">
        <w:rPr>
          <w:rFonts w:ascii="Times New Roman" w:hAnsi="Times New Roman" w:cs="Times New Roman"/>
          <w:sz w:val="20"/>
          <w:szCs w:val="20"/>
        </w:rPr>
        <w:t>Wang</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J,</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Shi</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M,</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Hsia</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Y,</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et</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al.</w:t>
      </w:r>
      <w:r w:rsidR="00BF7D07" w:rsidRPr="00A60B24">
        <w:rPr>
          <w:rFonts w:ascii="Times New Roman" w:hAnsi="Times New Roman" w:cs="Times New Roman"/>
          <w:sz w:val="20"/>
          <w:szCs w:val="20"/>
        </w:rPr>
        <w:t xml:space="preserve"> </w:t>
      </w:r>
      <w:r w:rsidRPr="00A60B24">
        <w:rPr>
          <w:rStyle w:val="Hyperlink"/>
          <w:rFonts w:ascii="Times New Roman" w:hAnsi="Times New Roman" w:cs="Times New Roman"/>
          <w:color w:val="000000" w:themeColor="text1"/>
          <w:sz w:val="20"/>
          <w:szCs w:val="20"/>
          <w:u w:val="none"/>
        </w:rPr>
        <w:t>Failure</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patterns</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and</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survival</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in</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patients</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with</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nasopharyngeal</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carcinoma</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treated</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with</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intensity</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modulated</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radiation</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in</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Northwest</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China:</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a</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pilot</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study.</w:t>
      </w:r>
      <w:r w:rsidR="00BF7D07" w:rsidRPr="00A60B24">
        <w:rPr>
          <w:rStyle w:val="Hyperlink"/>
          <w:rFonts w:ascii="Times New Roman" w:hAnsi="Times New Roman" w:cs="Times New Roman"/>
          <w:color w:val="000000" w:themeColor="text1"/>
          <w:sz w:val="20"/>
          <w:szCs w:val="20"/>
          <w:u w:val="none"/>
        </w:rPr>
        <w:t xml:space="preserve"> </w:t>
      </w:r>
      <w:proofErr w:type="spellStart"/>
      <w:r w:rsidRPr="00A60B24">
        <w:rPr>
          <w:rFonts w:ascii="Times New Roman" w:hAnsi="Times New Roman" w:cs="Times New Roman"/>
          <w:sz w:val="20"/>
          <w:szCs w:val="20"/>
        </w:rPr>
        <w:t>Radiat</w:t>
      </w:r>
      <w:proofErr w:type="spellEnd"/>
      <w:r w:rsidR="00BF7D07" w:rsidRPr="00A60B24">
        <w:rPr>
          <w:rFonts w:ascii="Times New Roman" w:hAnsi="Times New Roman" w:cs="Times New Roman"/>
          <w:sz w:val="20"/>
          <w:szCs w:val="20"/>
          <w:lang w:eastAsia="zh-CN"/>
        </w:rPr>
        <w:t xml:space="preserve"> </w:t>
      </w:r>
      <w:proofErr w:type="spellStart"/>
      <w:r w:rsidRPr="00A60B24">
        <w:rPr>
          <w:rFonts w:ascii="Times New Roman" w:hAnsi="Times New Roman" w:cs="Times New Roman"/>
          <w:sz w:val="20"/>
          <w:szCs w:val="20"/>
        </w:rPr>
        <w:t>Oncol</w:t>
      </w:r>
      <w:proofErr w:type="spellEnd"/>
      <w:r w:rsidRPr="00A60B24">
        <w:rPr>
          <w:rFonts w:ascii="Times New Roman" w:hAnsi="Times New Roman" w:cs="Times New Roman"/>
          <w:sz w:val="20"/>
          <w:szCs w:val="20"/>
        </w:rPr>
        <w:t>.</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2012;</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10;7:2.</w:t>
      </w:r>
      <w:r w:rsidR="00BF7D07" w:rsidRPr="00A60B24">
        <w:rPr>
          <w:rStyle w:val="Hyperlink"/>
          <w:rFonts w:ascii="Times New Roman" w:hAnsi="Times New Roman" w:cs="Times New Roman"/>
          <w:color w:val="000000" w:themeColor="text1"/>
          <w:sz w:val="20"/>
          <w:szCs w:val="20"/>
          <w:u w:val="none"/>
        </w:rPr>
        <w:t xml:space="preserve"> </w:t>
      </w:r>
    </w:p>
    <w:p w:rsidR="004C3E1E" w:rsidRPr="00A60B24" w:rsidRDefault="004C3E1E" w:rsidP="00737872">
      <w:pPr>
        <w:pStyle w:val="ListParagraph"/>
        <w:numPr>
          <w:ilvl w:val="0"/>
          <w:numId w:val="10"/>
        </w:numPr>
        <w:autoSpaceDE w:val="0"/>
        <w:autoSpaceDN w:val="0"/>
        <w:bidi w:val="0"/>
        <w:adjustRightInd w:val="0"/>
        <w:snapToGrid w:val="0"/>
        <w:spacing w:after="0" w:line="240" w:lineRule="auto"/>
        <w:ind w:left="425" w:hanging="425"/>
        <w:jc w:val="both"/>
        <w:rPr>
          <w:rStyle w:val="Hyperlink"/>
          <w:rFonts w:ascii="Times New Roman" w:hAnsi="Times New Roman" w:cs="Times New Roman"/>
          <w:color w:val="000000" w:themeColor="text1"/>
          <w:sz w:val="20"/>
          <w:szCs w:val="20"/>
          <w:u w:val="none"/>
        </w:rPr>
      </w:pPr>
      <w:r w:rsidRPr="00A60B24">
        <w:rPr>
          <w:rFonts w:ascii="Times New Roman" w:hAnsi="Times New Roman" w:cs="Times New Roman"/>
          <w:color w:val="000000" w:themeColor="text1"/>
          <w:sz w:val="20"/>
          <w:szCs w:val="20"/>
        </w:rPr>
        <w:t>Hunt</w:t>
      </w:r>
      <w:r w:rsidR="00BF7D07" w:rsidRPr="00A60B24">
        <w:rPr>
          <w:rFonts w:ascii="Times New Roman" w:hAnsi="Times New Roman" w:cs="Times New Roman"/>
          <w:color w:val="000000" w:themeColor="text1"/>
          <w:sz w:val="20"/>
          <w:szCs w:val="20"/>
        </w:rPr>
        <w:t xml:space="preserve"> </w:t>
      </w:r>
      <w:r w:rsidRPr="00A60B24">
        <w:rPr>
          <w:rFonts w:ascii="Times New Roman" w:hAnsi="Times New Roman" w:cs="Times New Roman"/>
          <w:color w:val="000000" w:themeColor="text1"/>
          <w:sz w:val="20"/>
          <w:szCs w:val="20"/>
        </w:rPr>
        <w:t>MA</w:t>
      </w:r>
      <w:r w:rsidRPr="00A60B24">
        <w:rPr>
          <w:rFonts w:ascii="Times New Roman" w:hAnsi="Times New Roman" w:cs="Times New Roman"/>
          <w:sz w:val="20"/>
          <w:szCs w:val="20"/>
        </w:rPr>
        <w:t>,</w:t>
      </w:r>
      <w:r w:rsidR="00BF7D07" w:rsidRPr="00A60B24">
        <w:rPr>
          <w:rFonts w:ascii="Times New Roman" w:hAnsi="Times New Roman" w:cs="Times New Roman"/>
          <w:sz w:val="20"/>
          <w:szCs w:val="20"/>
        </w:rPr>
        <w:t xml:space="preserve"> </w:t>
      </w:r>
      <w:proofErr w:type="spellStart"/>
      <w:r w:rsidRPr="00A60B24">
        <w:rPr>
          <w:rFonts w:ascii="Times New Roman" w:hAnsi="Times New Roman" w:cs="Times New Roman"/>
          <w:color w:val="000000" w:themeColor="text1"/>
          <w:sz w:val="20"/>
          <w:szCs w:val="20"/>
        </w:rPr>
        <w:t>Zelefsky</w:t>
      </w:r>
      <w:proofErr w:type="spellEnd"/>
      <w:r w:rsidR="00BF7D07" w:rsidRPr="00A60B24">
        <w:rPr>
          <w:rFonts w:ascii="Times New Roman" w:hAnsi="Times New Roman" w:cs="Times New Roman"/>
          <w:color w:val="000000" w:themeColor="text1"/>
          <w:sz w:val="20"/>
          <w:szCs w:val="20"/>
        </w:rPr>
        <w:t xml:space="preserve"> </w:t>
      </w:r>
      <w:r w:rsidRPr="00A60B24">
        <w:rPr>
          <w:rFonts w:ascii="Times New Roman" w:hAnsi="Times New Roman" w:cs="Times New Roman"/>
          <w:color w:val="000000" w:themeColor="text1"/>
          <w:sz w:val="20"/>
          <w:szCs w:val="20"/>
        </w:rPr>
        <w:t>MJ</w:t>
      </w:r>
      <w:r w:rsidRPr="00A60B24">
        <w:rPr>
          <w:rFonts w:ascii="Times New Roman" w:hAnsi="Times New Roman" w:cs="Times New Roman"/>
          <w:sz w:val="20"/>
          <w:szCs w:val="20"/>
        </w:rPr>
        <w:t>,</w:t>
      </w:r>
      <w:r w:rsidR="00BF7D07" w:rsidRPr="00A60B24">
        <w:rPr>
          <w:rFonts w:ascii="Times New Roman" w:hAnsi="Times New Roman" w:cs="Times New Roman"/>
          <w:sz w:val="20"/>
          <w:szCs w:val="20"/>
        </w:rPr>
        <w:t xml:space="preserve"> </w:t>
      </w:r>
      <w:proofErr w:type="spellStart"/>
      <w:r w:rsidRPr="00A60B24">
        <w:rPr>
          <w:rFonts w:ascii="Times New Roman" w:hAnsi="Times New Roman" w:cs="Times New Roman"/>
          <w:color w:val="000000" w:themeColor="text1"/>
          <w:sz w:val="20"/>
          <w:szCs w:val="20"/>
        </w:rPr>
        <w:t>Wolden</w:t>
      </w:r>
      <w:proofErr w:type="spellEnd"/>
      <w:r w:rsidR="00BF7D07" w:rsidRPr="00A60B24">
        <w:rPr>
          <w:rFonts w:ascii="Times New Roman" w:hAnsi="Times New Roman" w:cs="Times New Roman"/>
          <w:color w:val="000000" w:themeColor="text1"/>
          <w:sz w:val="20"/>
          <w:szCs w:val="20"/>
        </w:rPr>
        <w:t xml:space="preserve"> </w:t>
      </w:r>
      <w:r w:rsidRPr="00A60B24">
        <w:rPr>
          <w:rFonts w:ascii="Times New Roman" w:hAnsi="Times New Roman" w:cs="Times New Roman"/>
          <w:color w:val="000000" w:themeColor="text1"/>
          <w:sz w:val="20"/>
          <w:szCs w:val="20"/>
        </w:rPr>
        <w:t>S</w:t>
      </w:r>
      <w:r w:rsidRPr="00A60B24">
        <w:rPr>
          <w:rFonts w:ascii="Times New Roman" w:hAnsi="Times New Roman" w:cs="Times New Roman"/>
          <w:sz w:val="20"/>
          <w:szCs w:val="20"/>
        </w:rPr>
        <w:t>,</w:t>
      </w:r>
      <w:r w:rsidR="00BF7D07" w:rsidRPr="00A60B24">
        <w:rPr>
          <w:rFonts w:ascii="Times New Roman" w:hAnsi="Times New Roman" w:cs="Times New Roman"/>
          <w:sz w:val="20"/>
          <w:szCs w:val="20"/>
        </w:rPr>
        <w:t xml:space="preserve"> </w:t>
      </w:r>
      <w:r w:rsidRPr="00A60B24">
        <w:rPr>
          <w:rFonts w:ascii="Times New Roman" w:hAnsi="Times New Roman" w:cs="Times New Roman"/>
          <w:color w:val="000000" w:themeColor="text1"/>
          <w:sz w:val="20"/>
          <w:szCs w:val="20"/>
        </w:rPr>
        <w:t>et</w:t>
      </w:r>
      <w:r w:rsidR="00BF7D07" w:rsidRPr="00A60B24">
        <w:rPr>
          <w:rFonts w:ascii="Times New Roman" w:hAnsi="Times New Roman" w:cs="Times New Roman"/>
          <w:color w:val="000000" w:themeColor="text1"/>
          <w:sz w:val="20"/>
          <w:szCs w:val="20"/>
        </w:rPr>
        <w:t xml:space="preserve"> </w:t>
      </w:r>
      <w:r w:rsidRPr="00A60B24">
        <w:rPr>
          <w:rFonts w:ascii="Times New Roman" w:hAnsi="Times New Roman" w:cs="Times New Roman"/>
          <w:color w:val="000000" w:themeColor="text1"/>
          <w:sz w:val="20"/>
          <w:szCs w:val="20"/>
        </w:rPr>
        <w:t>al.</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Treatment</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planning</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and</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delivery</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of</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intensity-modulated</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radiation</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therapy</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for</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primary</w:t>
      </w:r>
      <w:r w:rsidR="00BF7D07" w:rsidRPr="00A60B24">
        <w:rPr>
          <w:rStyle w:val="Hyperlink"/>
          <w:rFonts w:ascii="Times New Roman" w:hAnsi="Times New Roman" w:cs="Times New Roman"/>
          <w:color w:val="000000" w:themeColor="text1"/>
          <w:sz w:val="20"/>
          <w:szCs w:val="20"/>
          <w:u w:val="none"/>
        </w:rPr>
        <w:t xml:space="preserve"> </w:t>
      </w:r>
      <w:proofErr w:type="spellStart"/>
      <w:r w:rsidRPr="00A60B24">
        <w:rPr>
          <w:rStyle w:val="Hyperlink"/>
          <w:rFonts w:ascii="Times New Roman" w:hAnsi="Times New Roman" w:cs="Times New Roman"/>
          <w:color w:val="000000" w:themeColor="text1"/>
          <w:sz w:val="20"/>
          <w:szCs w:val="20"/>
          <w:u w:val="none"/>
        </w:rPr>
        <w:t>nasopharynx</w:t>
      </w:r>
      <w:proofErr w:type="spellEnd"/>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cancer.</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Int.</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J.</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Radiation</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Oncology</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Biol.</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Phys.,</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2001;</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49,</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(3),</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623:632.</w:t>
      </w:r>
    </w:p>
    <w:p w:rsidR="00737872" w:rsidRPr="00A60B24" w:rsidRDefault="004C3E1E" w:rsidP="00737872">
      <w:pPr>
        <w:pStyle w:val="ListParagraph"/>
        <w:numPr>
          <w:ilvl w:val="0"/>
          <w:numId w:val="10"/>
        </w:numPr>
        <w:autoSpaceDE w:val="0"/>
        <w:autoSpaceDN w:val="0"/>
        <w:bidi w:val="0"/>
        <w:adjustRightInd w:val="0"/>
        <w:snapToGrid w:val="0"/>
        <w:spacing w:after="0" w:line="240" w:lineRule="auto"/>
        <w:ind w:left="425" w:hanging="425"/>
        <w:jc w:val="both"/>
        <w:rPr>
          <w:rStyle w:val="pagerange"/>
          <w:rFonts w:ascii="Times New Roman" w:hAnsi="Times New Roman" w:cs="Times New Roman"/>
          <w:sz w:val="20"/>
          <w:szCs w:val="20"/>
        </w:rPr>
      </w:pPr>
      <w:r w:rsidRPr="00A60B24">
        <w:rPr>
          <w:rStyle w:val="authors"/>
          <w:rFonts w:ascii="Times New Roman" w:hAnsi="Times New Roman" w:cs="Times New Roman"/>
          <w:sz w:val="20"/>
          <w:szCs w:val="20"/>
        </w:rPr>
        <w:lastRenderedPageBreak/>
        <w:t>Claus</w:t>
      </w:r>
      <w:r w:rsidR="00BF7D07" w:rsidRPr="00A60B24">
        <w:rPr>
          <w:rStyle w:val="authors"/>
          <w:rFonts w:ascii="Times New Roman" w:hAnsi="Times New Roman" w:cs="Times New Roman"/>
          <w:sz w:val="20"/>
          <w:szCs w:val="20"/>
        </w:rPr>
        <w:t xml:space="preserve"> </w:t>
      </w:r>
      <w:r w:rsidRPr="00A60B24">
        <w:rPr>
          <w:rStyle w:val="authors"/>
          <w:rFonts w:ascii="Times New Roman" w:hAnsi="Times New Roman" w:cs="Times New Roman"/>
          <w:sz w:val="20"/>
          <w:szCs w:val="20"/>
        </w:rPr>
        <w:t>A.</w:t>
      </w:r>
      <w:r w:rsidR="00BF7D07" w:rsidRPr="00A60B24">
        <w:rPr>
          <w:rStyle w:val="authors"/>
          <w:rFonts w:ascii="Times New Roman" w:hAnsi="Times New Roman" w:cs="Times New Roman"/>
          <w:sz w:val="20"/>
          <w:szCs w:val="20"/>
        </w:rPr>
        <w:t xml:space="preserve"> </w:t>
      </w:r>
      <w:proofErr w:type="spellStart"/>
      <w:r w:rsidRPr="00A60B24">
        <w:rPr>
          <w:rStyle w:val="authors"/>
          <w:rFonts w:ascii="Times New Roman" w:hAnsi="Times New Roman" w:cs="Times New Roman"/>
          <w:sz w:val="20"/>
          <w:szCs w:val="20"/>
        </w:rPr>
        <w:t>Kristensen</w:t>
      </w:r>
      <w:proofErr w:type="spellEnd"/>
      <w:r w:rsidRPr="00A60B24">
        <w:rPr>
          <w:rStyle w:val="authors"/>
          <w:rFonts w:ascii="Times New Roman" w:hAnsi="Times New Roman" w:cs="Times New Roman"/>
          <w:sz w:val="20"/>
          <w:szCs w:val="20"/>
        </w:rPr>
        <w:t>,</w:t>
      </w:r>
      <w:r w:rsidR="00BF7D07" w:rsidRPr="00A60B24">
        <w:rPr>
          <w:rStyle w:val="authors"/>
          <w:rFonts w:ascii="Times New Roman" w:hAnsi="Times New Roman" w:cs="Times New Roman"/>
          <w:sz w:val="20"/>
          <w:szCs w:val="20"/>
        </w:rPr>
        <w:t xml:space="preserve"> </w:t>
      </w:r>
      <w:proofErr w:type="spellStart"/>
      <w:r w:rsidRPr="00A60B24">
        <w:rPr>
          <w:rStyle w:val="authors"/>
          <w:rFonts w:ascii="Times New Roman" w:hAnsi="Times New Roman" w:cs="Times New Roman"/>
          <w:sz w:val="20"/>
          <w:szCs w:val="20"/>
        </w:rPr>
        <w:t>Flemming</w:t>
      </w:r>
      <w:proofErr w:type="spellEnd"/>
      <w:r w:rsidR="00BF7D07" w:rsidRPr="00A60B24">
        <w:rPr>
          <w:rStyle w:val="authors"/>
          <w:rFonts w:ascii="Times New Roman" w:hAnsi="Times New Roman" w:cs="Times New Roman"/>
          <w:sz w:val="20"/>
          <w:szCs w:val="20"/>
          <w:lang w:eastAsia="zh-CN"/>
        </w:rPr>
        <w:t xml:space="preserve"> </w:t>
      </w:r>
      <w:proofErr w:type="spellStart"/>
      <w:r w:rsidRPr="00A60B24">
        <w:rPr>
          <w:rStyle w:val="authors"/>
          <w:rFonts w:ascii="Times New Roman" w:hAnsi="Times New Roman" w:cs="Times New Roman"/>
          <w:sz w:val="20"/>
          <w:szCs w:val="20"/>
        </w:rPr>
        <w:t>Kjær-Kristoffersen</w:t>
      </w:r>
      <w:proofErr w:type="spellEnd"/>
      <w:r w:rsidRPr="00A60B24">
        <w:rPr>
          <w:rStyle w:val="authors"/>
          <w:rFonts w:ascii="Times New Roman" w:hAnsi="Times New Roman" w:cs="Times New Roman"/>
          <w:sz w:val="20"/>
          <w:szCs w:val="20"/>
        </w:rPr>
        <w:t>,</w:t>
      </w:r>
      <w:r w:rsidR="00BF7D07" w:rsidRPr="00A60B24">
        <w:rPr>
          <w:rStyle w:val="authors"/>
          <w:rFonts w:ascii="Times New Roman" w:hAnsi="Times New Roman" w:cs="Times New Roman"/>
          <w:sz w:val="20"/>
          <w:szCs w:val="20"/>
        </w:rPr>
        <w:t xml:space="preserve"> </w:t>
      </w:r>
      <w:r w:rsidRPr="00A60B24">
        <w:rPr>
          <w:rStyle w:val="authors"/>
          <w:rFonts w:ascii="Times New Roman" w:hAnsi="Times New Roman" w:cs="Times New Roman"/>
          <w:sz w:val="20"/>
          <w:szCs w:val="20"/>
        </w:rPr>
        <w:t>Wendy</w:t>
      </w:r>
      <w:r w:rsidR="00BF7D07" w:rsidRPr="00A60B24">
        <w:rPr>
          <w:rStyle w:val="authors"/>
          <w:rFonts w:ascii="Times New Roman" w:hAnsi="Times New Roman" w:cs="Times New Roman"/>
          <w:sz w:val="20"/>
          <w:szCs w:val="20"/>
        </w:rPr>
        <w:t xml:space="preserve"> </w:t>
      </w:r>
      <w:proofErr w:type="spellStart"/>
      <w:r w:rsidRPr="00A60B24">
        <w:rPr>
          <w:rStyle w:val="authors"/>
          <w:rFonts w:ascii="Times New Roman" w:hAnsi="Times New Roman" w:cs="Times New Roman"/>
          <w:sz w:val="20"/>
          <w:szCs w:val="20"/>
        </w:rPr>
        <w:t>Sapru</w:t>
      </w:r>
      <w:proofErr w:type="spellEnd"/>
      <w:r w:rsidRPr="00A60B24">
        <w:rPr>
          <w:rStyle w:val="authors"/>
          <w:rFonts w:ascii="Times New Roman" w:hAnsi="Times New Roman" w:cs="Times New Roman"/>
          <w:sz w:val="20"/>
          <w:szCs w:val="20"/>
        </w:rPr>
        <w:t>,</w:t>
      </w:r>
      <w:r w:rsidR="00BF7D07" w:rsidRPr="00A60B24">
        <w:rPr>
          <w:rStyle w:val="authors"/>
          <w:rFonts w:ascii="Times New Roman" w:hAnsi="Times New Roman" w:cs="Times New Roman"/>
          <w:sz w:val="20"/>
          <w:szCs w:val="20"/>
        </w:rPr>
        <w:t xml:space="preserve"> </w:t>
      </w:r>
      <w:r w:rsidRPr="00A60B24">
        <w:rPr>
          <w:rStyle w:val="authors"/>
          <w:rFonts w:ascii="Times New Roman" w:hAnsi="Times New Roman" w:cs="Times New Roman"/>
          <w:sz w:val="20"/>
          <w:szCs w:val="20"/>
        </w:rPr>
        <w:t>et</w:t>
      </w:r>
      <w:r w:rsidR="00BF7D07" w:rsidRPr="00A60B24">
        <w:rPr>
          <w:rStyle w:val="authors"/>
          <w:rFonts w:ascii="Times New Roman" w:hAnsi="Times New Roman" w:cs="Times New Roman"/>
          <w:sz w:val="20"/>
          <w:szCs w:val="20"/>
          <w:lang w:eastAsia="zh-CN"/>
        </w:rPr>
        <w:t xml:space="preserve"> </w:t>
      </w:r>
      <w:r w:rsidRPr="00A60B24">
        <w:rPr>
          <w:rStyle w:val="authors"/>
          <w:rFonts w:ascii="Times New Roman" w:hAnsi="Times New Roman" w:cs="Times New Roman"/>
          <w:sz w:val="20"/>
          <w:szCs w:val="20"/>
        </w:rPr>
        <w:t>al.</w:t>
      </w:r>
      <w:r w:rsidR="00BF7D07" w:rsidRPr="00A60B24">
        <w:rPr>
          <w:rStyle w:val="authors"/>
          <w:rFonts w:ascii="Times New Roman" w:hAnsi="Times New Roman" w:cs="Times New Roman"/>
          <w:sz w:val="20"/>
          <w:szCs w:val="20"/>
          <w:lang w:eastAsia="zh-CN"/>
        </w:rPr>
        <w:t xml:space="preserve"> </w:t>
      </w:r>
      <w:r w:rsidRPr="00A60B24">
        <w:rPr>
          <w:rStyle w:val="arttitle"/>
          <w:rFonts w:ascii="Times New Roman" w:hAnsi="Times New Roman" w:cs="Times New Roman"/>
          <w:sz w:val="20"/>
          <w:szCs w:val="20"/>
        </w:rPr>
        <w:t>Nasopharyngeal</w:t>
      </w:r>
      <w:r w:rsidR="00BF7D07" w:rsidRPr="00A60B24">
        <w:rPr>
          <w:rStyle w:val="arttitle"/>
          <w:rFonts w:ascii="Times New Roman" w:hAnsi="Times New Roman" w:cs="Times New Roman"/>
          <w:sz w:val="20"/>
          <w:szCs w:val="20"/>
        </w:rPr>
        <w:t xml:space="preserve"> </w:t>
      </w:r>
      <w:r w:rsidRPr="00A60B24">
        <w:rPr>
          <w:rStyle w:val="arttitle"/>
          <w:rFonts w:ascii="Times New Roman" w:hAnsi="Times New Roman" w:cs="Times New Roman"/>
          <w:sz w:val="20"/>
          <w:szCs w:val="20"/>
        </w:rPr>
        <w:t>carcinoma.</w:t>
      </w:r>
      <w:r w:rsidR="00BF7D07" w:rsidRPr="00A60B24">
        <w:rPr>
          <w:rStyle w:val="arttitle"/>
          <w:rFonts w:ascii="Times New Roman" w:hAnsi="Times New Roman" w:cs="Times New Roman"/>
          <w:sz w:val="20"/>
          <w:szCs w:val="20"/>
        </w:rPr>
        <w:t xml:space="preserve"> </w:t>
      </w:r>
      <w:r w:rsidRPr="00A60B24">
        <w:rPr>
          <w:rStyle w:val="arttitle"/>
          <w:rFonts w:ascii="Times New Roman" w:hAnsi="Times New Roman" w:cs="Times New Roman"/>
          <w:sz w:val="20"/>
          <w:szCs w:val="20"/>
        </w:rPr>
        <w:t>Treatment</w:t>
      </w:r>
      <w:r w:rsidR="00BF7D07" w:rsidRPr="00A60B24">
        <w:rPr>
          <w:rStyle w:val="arttitle"/>
          <w:rFonts w:ascii="Times New Roman" w:hAnsi="Times New Roman" w:cs="Times New Roman"/>
          <w:sz w:val="20"/>
          <w:szCs w:val="20"/>
        </w:rPr>
        <w:t xml:space="preserve"> </w:t>
      </w:r>
      <w:r w:rsidRPr="00A60B24">
        <w:rPr>
          <w:rStyle w:val="arttitle"/>
          <w:rFonts w:ascii="Times New Roman" w:hAnsi="Times New Roman" w:cs="Times New Roman"/>
          <w:sz w:val="20"/>
          <w:szCs w:val="20"/>
        </w:rPr>
        <w:t>planning</w:t>
      </w:r>
      <w:r w:rsidR="00BF7D07" w:rsidRPr="00A60B24">
        <w:rPr>
          <w:rStyle w:val="arttitle"/>
          <w:rFonts w:ascii="Times New Roman" w:hAnsi="Times New Roman" w:cs="Times New Roman"/>
          <w:sz w:val="20"/>
          <w:szCs w:val="20"/>
        </w:rPr>
        <w:t xml:space="preserve"> </w:t>
      </w:r>
      <w:r w:rsidRPr="00A60B24">
        <w:rPr>
          <w:rStyle w:val="arttitle"/>
          <w:rFonts w:ascii="Times New Roman" w:hAnsi="Times New Roman" w:cs="Times New Roman"/>
          <w:sz w:val="20"/>
          <w:szCs w:val="20"/>
        </w:rPr>
        <w:t>with</w:t>
      </w:r>
      <w:r w:rsidR="00BF7D07" w:rsidRPr="00A60B24">
        <w:rPr>
          <w:rStyle w:val="arttitle"/>
          <w:rFonts w:ascii="Times New Roman" w:hAnsi="Times New Roman" w:cs="Times New Roman"/>
          <w:sz w:val="20"/>
          <w:szCs w:val="20"/>
        </w:rPr>
        <w:t xml:space="preserve"> </w:t>
      </w:r>
      <w:r w:rsidRPr="00A60B24">
        <w:rPr>
          <w:rStyle w:val="arttitle"/>
          <w:rFonts w:ascii="Times New Roman" w:hAnsi="Times New Roman" w:cs="Times New Roman"/>
          <w:sz w:val="20"/>
          <w:szCs w:val="20"/>
        </w:rPr>
        <w:t>IMRT</w:t>
      </w:r>
      <w:r w:rsidR="00BF7D07" w:rsidRPr="00A60B24">
        <w:rPr>
          <w:rStyle w:val="arttitle"/>
          <w:rFonts w:ascii="Times New Roman" w:hAnsi="Times New Roman" w:cs="Times New Roman"/>
          <w:sz w:val="20"/>
          <w:szCs w:val="20"/>
        </w:rPr>
        <w:t xml:space="preserve"> </w:t>
      </w:r>
      <w:r w:rsidRPr="00A60B24">
        <w:rPr>
          <w:rStyle w:val="arttitle"/>
          <w:rFonts w:ascii="Times New Roman" w:hAnsi="Times New Roman" w:cs="Times New Roman"/>
          <w:sz w:val="20"/>
          <w:szCs w:val="20"/>
        </w:rPr>
        <w:t>and</w:t>
      </w:r>
      <w:r w:rsidR="00BF7D07" w:rsidRPr="00A60B24">
        <w:rPr>
          <w:rStyle w:val="arttitle"/>
          <w:rFonts w:ascii="Times New Roman" w:hAnsi="Times New Roman" w:cs="Times New Roman"/>
          <w:sz w:val="20"/>
          <w:szCs w:val="20"/>
        </w:rPr>
        <w:t xml:space="preserve"> </w:t>
      </w:r>
      <w:r w:rsidRPr="00A60B24">
        <w:rPr>
          <w:rStyle w:val="arttitle"/>
          <w:rFonts w:ascii="Times New Roman" w:hAnsi="Times New Roman" w:cs="Times New Roman"/>
          <w:sz w:val="20"/>
          <w:szCs w:val="20"/>
        </w:rPr>
        <w:t>3D</w:t>
      </w:r>
      <w:r w:rsidR="00BF7D07" w:rsidRPr="00A60B24">
        <w:rPr>
          <w:rStyle w:val="arttitle"/>
          <w:rFonts w:ascii="Times New Roman" w:hAnsi="Times New Roman" w:cs="Times New Roman"/>
          <w:sz w:val="20"/>
          <w:szCs w:val="20"/>
        </w:rPr>
        <w:t xml:space="preserve"> </w:t>
      </w:r>
      <w:r w:rsidRPr="00A60B24">
        <w:rPr>
          <w:rStyle w:val="arttitle"/>
          <w:rFonts w:ascii="Times New Roman" w:hAnsi="Times New Roman" w:cs="Times New Roman"/>
          <w:sz w:val="20"/>
          <w:szCs w:val="20"/>
        </w:rPr>
        <w:t>conformal</w:t>
      </w:r>
      <w:r w:rsidR="00BF7D07" w:rsidRPr="00A60B24">
        <w:rPr>
          <w:rStyle w:val="arttitle"/>
          <w:rFonts w:ascii="Times New Roman" w:hAnsi="Times New Roman" w:cs="Times New Roman"/>
          <w:sz w:val="20"/>
          <w:szCs w:val="20"/>
        </w:rPr>
        <w:t xml:space="preserve"> </w:t>
      </w:r>
      <w:r w:rsidRPr="00A60B24">
        <w:rPr>
          <w:rStyle w:val="arttitle"/>
          <w:rFonts w:ascii="Times New Roman" w:hAnsi="Times New Roman" w:cs="Times New Roman"/>
          <w:sz w:val="20"/>
          <w:szCs w:val="20"/>
        </w:rPr>
        <w:t>radiotherapy,</w:t>
      </w:r>
      <w:r w:rsidR="00BF7D07" w:rsidRPr="00A60B24">
        <w:rPr>
          <w:rStyle w:val="arttitle"/>
          <w:rFonts w:ascii="Times New Roman" w:hAnsi="Times New Roman" w:cs="Times New Roman"/>
          <w:sz w:val="20"/>
          <w:szCs w:val="20"/>
          <w:lang w:eastAsia="zh-CN"/>
        </w:rPr>
        <w:t xml:space="preserve"> </w:t>
      </w:r>
      <w:proofErr w:type="spellStart"/>
      <w:r w:rsidRPr="00A60B24">
        <w:rPr>
          <w:rStyle w:val="serialtitle"/>
          <w:rFonts w:ascii="Times New Roman" w:hAnsi="Times New Roman" w:cs="Times New Roman"/>
          <w:sz w:val="20"/>
          <w:szCs w:val="20"/>
        </w:rPr>
        <w:t>Acta</w:t>
      </w:r>
      <w:proofErr w:type="spellEnd"/>
      <w:r w:rsidR="00BF7D07" w:rsidRPr="00A60B24">
        <w:rPr>
          <w:rStyle w:val="serialtitle"/>
          <w:rFonts w:ascii="Times New Roman" w:hAnsi="Times New Roman" w:cs="Times New Roman"/>
          <w:sz w:val="20"/>
          <w:szCs w:val="20"/>
          <w:lang w:eastAsia="zh-CN"/>
        </w:rPr>
        <w:t xml:space="preserve"> </w:t>
      </w:r>
      <w:proofErr w:type="spellStart"/>
      <w:r w:rsidRPr="00A60B24">
        <w:rPr>
          <w:rStyle w:val="serialtitle"/>
          <w:rFonts w:ascii="Times New Roman" w:hAnsi="Times New Roman" w:cs="Times New Roman"/>
          <w:sz w:val="20"/>
          <w:szCs w:val="20"/>
        </w:rPr>
        <w:t>Oncologica</w:t>
      </w:r>
      <w:proofErr w:type="spellEnd"/>
      <w:r w:rsidRPr="00A60B24">
        <w:rPr>
          <w:rStyle w:val="serialtitle"/>
          <w:rFonts w:ascii="Times New Roman" w:hAnsi="Times New Roman" w:cs="Times New Roman"/>
          <w:sz w:val="20"/>
          <w:szCs w:val="20"/>
        </w:rPr>
        <w:t>,</w:t>
      </w:r>
      <w:r w:rsidR="00BF7D07" w:rsidRPr="00A60B24">
        <w:rPr>
          <w:rStyle w:val="serialtitle"/>
          <w:rFonts w:ascii="Times New Roman" w:hAnsi="Times New Roman" w:cs="Times New Roman"/>
          <w:sz w:val="20"/>
          <w:szCs w:val="20"/>
          <w:lang w:eastAsia="zh-CN"/>
        </w:rPr>
        <w:t xml:space="preserve"> </w:t>
      </w:r>
      <w:r w:rsidRPr="00A60B24">
        <w:rPr>
          <w:rStyle w:val="Date1"/>
          <w:rFonts w:ascii="Times New Roman" w:hAnsi="Times New Roman" w:cs="Times New Roman"/>
          <w:sz w:val="20"/>
          <w:szCs w:val="20"/>
        </w:rPr>
        <w:t>2007;</w:t>
      </w:r>
      <w:r w:rsidRPr="00A60B24">
        <w:rPr>
          <w:rStyle w:val="volumeissue"/>
          <w:rFonts w:ascii="Times New Roman" w:hAnsi="Times New Roman" w:cs="Times New Roman"/>
          <w:sz w:val="20"/>
          <w:szCs w:val="20"/>
        </w:rPr>
        <w:t>46:2,</w:t>
      </w:r>
      <w:r w:rsidRPr="00A60B24">
        <w:rPr>
          <w:rStyle w:val="pagerange"/>
          <w:rFonts w:ascii="Times New Roman" w:hAnsi="Times New Roman" w:cs="Times New Roman"/>
          <w:sz w:val="20"/>
          <w:szCs w:val="20"/>
        </w:rPr>
        <w:t>214-22</w:t>
      </w:r>
      <w:r w:rsidR="00737872" w:rsidRPr="00A60B24">
        <w:rPr>
          <w:rStyle w:val="pagerange"/>
          <w:rFonts w:ascii="Times New Roman" w:hAnsi="Times New Roman" w:cs="Times New Roman"/>
          <w:sz w:val="20"/>
          <w:szCs w:val="20"/>
        </w:rPr>
        <w:t>0.</w:t>
      </w:r>
    </w:p>
    <w:p w:rsidR="004C3E1E" w:rsidRPr="00A60B24" w:rsidRDefault="004C3E1E" w:rsidP="00737872">
      <w:pPr>
        <w:pStyle w:val="ListParagraph"/>
        <w:numPr>
          <w:ilvl w:val="0"/>
          <w:numId w:val="10"/>
        </w:numPr>
        <w:autoSpaceDE w:val="0"/>
        <w:autoSpaceDN w:val="0"/>
        <w:bidi w:val="0"/>
        <w:adjustRightInd w:val="0"/>
        <w:snapToGrid w:val="0"/>
        <w:spacing w:after="0" w:line="240" w:lineRule="auto"/>
        <w:ind w:left="425" w:hanging="425"/>
        <w:jc w:val="both"/>
        <w:rPr>
          <w:rStyle w:val="Hyperlink"/>
          <w:rFonts w:ascii="Times New Roman" w:hAnsi="Times New Roman" w:cs="Times New Roman"/>
          <w:color w:val="000000" w:themeColor="text1"/>
          <w:sz w:val="20"/>
          <w:szCs w:val="20"/>
          <w:u w:val="none"/>
        </w:rPr>
      </w:pPr>
      <w:r w:rsidRPr="00A60B24">
        <w:rPr>
          <w:rFonts w:ascii="Times New Roman" w:hAnsi="Times New Roman" w:cs="Times New Roman"/>
          <w:sz w:val="20"/>
          <w:szCs w:val="20"/>
          <w:lang w:val="fr-FR"/>
        </w:rPr>
        <w:t>Miles</w:t>
      </w:r>
      <w:r w:rsidR="00BF7D07" w:rsidRPr="00A60B24">
        <w:rPr>
          <w:rFonts w:ascii="Times New Roman" w:hAnsi="Times New Roman" w:cs="Times New Roman"/>
          <w:sz w:val="20"/>
          <w:szCs w:val="20"/>
          <w:lang w:val="fr-FR"/>
        </w:rPr>
        <w:t xml:space="preserve"> </w:t>
      </w:r>
      <w:r w:rsidRPr="00A60B24">
        <w:rPr>
          <w:rFonts w:ascii="Times New Roman" w:hAnsi="Times New Roman" w:cs="Times New Roman"/>
          <w:sz w:val="20"/>
          <w:szCs w:val="20"/>
          <w:lang w:val="fr-FR"/>
        </w:rPr>
        <w:t>EA,</w:t>
      </w:r>
      <w:r w:rsidR="00BF7D07" w:rsidRPr="00A60B24">
        <w:rPr>
          <w:rFonts w:ascii="Times New Roman" w:hAnsi="Times New Roman" w:cs="Times New Roman"/>
          <w:sz w:val="20"/>
          <w:szCs w:val="20"/>
          <w:lang w:val="fr-FR"/>
        </w:rPr>
        <w:t xml:space="preserve"> </w:t>
      </w:r>
      <w:r w:rsidRPr="00A60B24">
        <w:rPr>
          <w:rFonts w:ascii="Times New Roman" w:hAnsi="Times New Roman" w:cs="Times New Roman"/>
          <w:sz w:val="20"/>
          <w:szCs w:val="20"/>
          <w:lang w:val="fr-FR"/>
        </w:rPr>
        <w:t>Clark</w:t>
      </w:r>
      <w:r w:rsidR="00BF7D07" w:rsidRPr="00A60B24">
        <w:rPr>
          <w:rFonts w:ascii="Times New Roman" w:hAnsi="Times New Roman" w:cs="Times New Roman"/>
          <w:sz w:val="20"/>
          <w:szCs w:val="20"/>
          <w:lang w:val="fr-FR"/>
        </w:rPr>
        <w:t xml:space="preserve"> </w:t>
      </w:r>
      <w:r w:rsidRPr="00A60B24">
        <w:rPr>
          <w:rFonts w:ascii="Times New Roman" w:hAnsi="Times New Roman" w:cs="Times New Roman"/>
          <w:sz w:val="20"/>
          <w:szCs w:val="20"/>
          <w:lang w:val="fr-FR"/>
        </w:rPr>
        <w:t>CH,</w:t>
      </w:r>
      <w:r w:rsidR="00BF7D07" w:rsidRPr="00A60B24">
        <w:rPr>
          <w:rFonts w:ascii="Times New Roman" w:hAnsi="Times New Roman" w:cs="Times New Roman"/>
          <w:sz w:val="20"/>
          <w:szCs w:val="20"/>
          <w:lang w:val="fr-FR"/>
        </w:rPr>
        <w:t xml:space="preserve"> </w:t>
      </w:r>
      <w:r w:rsidRPr="00A60B24">
        <w:rPr>
          <w:rFonts w:ascii="Times New Roman" w:hAnsi="Times New Roman" w:cs="Times New Roman"/>
          <w:sz w:val="20"/>
          <w:szCs w:val="20"/>
          <w:lang w:val="fr-FR"/>
        </w:rPr>
        <w:t>Guerrero</w:t>
      </w:r>
      <w:r w:rsidR="00BF7D07" w:rsidRPr="00A60B24">
        <w:rPr>
          <w:rFonts w:ascii="Times New Roman" w:hAnsi="Times New Roman" w:cs="Times New Roman"/>
          <w:sz w:val="20"/>
          <w:szCs w:val="20"/>
          <w:lang w:val="fr-FR"/>
        </w:rPr>
        <w:t xml:space="preserve"> </w:t>
      </w:r>
      <w:r w:rsidRPr="00A60B24">
        <w:rPr>
          <w:rFonts w:ascii="Times New Roman" w:hAnsi="Times New Roman" w:cs="Times New Roman"/>
          <w:sz w:val="20"/>
          <w:szCs w:val="20"/>
          <w:lang w:val="fr-FR"/>
        </w:rPr>
        <w:t>Urbano</w:t>
      </w:r>
      <w:r w:rsidR="00BF7D07" w:rsidRPr="00A60B24">
        <w:rPr>
          <w:rFonts w:ascii="Times New Roman" w:hAnsi="Times New Roman" w:cs="Times New Roman"/>
          <w:sz w:val="20"/>
          <w:szCs w:val="20"/>
          <w:lang w:val="fr-FR"/>
        </w:rPr>
        <w:t xml:space="preserve"> </w:t>
      </w:r>
      <w:r w:rsidRPr="00A60B24">
        <w:rPr>
          <w:rFonts w:ascii="Times New Roman" w:hAnsi="Times New Roman" w:cs="Times New Roman"/>
          <w:sz w:val="20"/>
          <w:szCs w:val="20"/>
          <w:lang w:val="fr-FR"/>
        </w:rPr>
        <w:t>MT,</w:t>
      </w:r>
      <w:r w:rsidR="00BF7D07" w:rsidRPr="00A60B24">
        <w:rPr>
          <w:rFonts w:ascii="Times New Roman" w:hAnsi="Times New Roman" w:cs="Times New Roman"/>
          <w:sz w:val="20"/>
          <w:szCs w:val="20"/>
          <w:lang w:val="fr-FR"/>
        </w:rPr>
        <w:t xml:space="preserve"> </w:t>
      </w:r>
      <w:r w:rsidRPr="00A60B24">
        <w:rPr>
          <w:rFonts w:ascii="Times New Roman" w:hAnsi="Times New Roman" w:cs="Times New Roman"/>
          <w:sz w:val="20"/>
          <w:szCs w:val="20"/>
          <w:lang w:val="fr-FR"/>
        </w:rPr>
        <w:t>et</w:t>
      </w:r>
      <w:r w:rsidR="00BF7D07" w:rsidRPr="00A60B24">
        <w:rPr>
          <w:rFonts w:ascii="Times New Roman" w:hAnsi="Times New Roman" w:cs="Times New Roman"/>
          <w:sz w:val="20"/>
          <w:szCs w:val="20"/>
          <w:lang w:val="fr-FR"/>
        </w:rPr>
        <w:t xml:space="preserve"> </w:t>
      </w:r>
      <w:r w:rsidRPr="00A60B24">
        <w:rPr>
          <w:rFonts w:ascii="Times New Roman" w:hAnsi="Times New Roman" w:cs="Times New Roman"/>
          <w:sz w:val="20"/>
          <w:szCs w:val="20"/>
          <w:lang w:val="fr-FR"/>
        </w:rPr>
        <w:t>al.</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The</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impact</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of</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introducing</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intensity</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modulated</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radiotherapy</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into</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routine</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clinical</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practice.</w:t>
      </w:r>
      <w:r w:rsidR="00BF7D07" w:rsidRPr="00A60B24">
        <w:rPr>
          <w:rStyle w:val="Hyperlink"/>
          <w:rFonts w:ascii="Times New Roman" w:hAnsi="Times New Roman" w:cs="Times New Roman"/>
          <w:color w:val="000000" w:themeColor="text1"/>
          <w:sz w:val="20"/>
          <w:szCs w:val="20"/>
          <w:u w:val="none"/>
        </w:rPr>
        <w:t xml:space="preserve"> </w:t>
      </w:r>
      <w:proofErr w:type="spellStart"/>
      <w:r w:rsidRPr="00A60B24">
        <w:rPr>
          <w:rStyle w:val="Hyperlink"/>
          <w:rFonts w:ascii="Times New Roman" w:hAnsi="Times New Roman" w:cs="Times New Roman"/>
          <w:color w:val="000000" w:themeColor="text1"/>
          <w:sz w:val="20"/>
          <w:szCs w:val="20"/>
          <w:u w:val="none"/>
        </w:rPr>
        <w:t>Radiother</w:t>
      </w:r>
      <w:proofErr w:type="spellEnd"/>
      <w:r w:rsidR="00BF7D07" w:rsidRPr="00A60B24">
        <w:rPr>
          <w:rStyle w:val="Hyperlink"/>
          <w:rFonts w:ascii="Times New Roman" w:hAnsi="Times New Roman" w:cs="Times New Roman"/>
          <w:color w:val="000000" w:themeColor="text1"/>
          <w:sz w:val="20"/>
          <w:szCs w:val="20"/>
          <w:u w:val="none"/>
          <w:lang w:eastAsia="zh-CN"/>
        </w:rPr>
        <w:t xml:space="preserve"> </w:t>
      </w:r>
      <w:proofErr w:type="spellStart"/>
      <w:r w:rsidRPr="00A60B24">
        <w:rPr>
          <w:rStyle w:val="Hyperlink"/>
          <w:rFonts w:ascii="Times New Roman" w:hAnsi="Times New Roman" w:cs="Times New Roman"/>
          <w:color w:val="000000" w:themeColor="text1"/>
          <w:sz w:val="20"/>
          <w:szCs w:val="20"/>
          <w:u w:val="none"/>
        </w:rPr>
        <w:t>Oncol</w:t>
      </w:r>
      <w:proofErr w:type="spellEnd"/>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2005;77:241–6.</w:t>
      </w:r>
    </w:p>
    <w:p w:rsidR="004C3E1E" w:rsidRPr="00A60B24" w:rsidRDefault="004C3E1E" w:rsidP="00737872">
      <w:pPr>
        <w:pStyle w:val="ListParagraph"/>
        <w:numPr>
          <w:ilvl w:val="0"/>
          <w:numId w:val="10"/>
        </w:numPr>
        <w:autoSpaceDE w:val="0"/>
        <w:autoSpaceDN w:val="0"/>
        <w:bidi w:val="0"/>
        <w:adjustRightInd w:val="0"/>
        <w:snapToGrid w:val="0"/>
        <w:spacing w:after="0" w:line="240" w:lineRule="auto"/>
        <w:ind w:left="425" w:hanging="425"/>
        <w:jc w:val="both"/>
        <w:rPr>
          <w:rStyle w:val="Hyperlink"/>
          <w:rFonts w:ascii="Times New Roman" w:hAnsi="Times New Roman" w:cs="Times New Roman"/>
          <w:color w:val="000000" w:themeColor="text1"/>
          <w:sz w:val="20"/>
          <w:szCs w:val="20"/>
          <w:u w:val="none"/>
        </w:rPr>
      </w:pPr>
      <w:r w:rsidRPr="00A60B24">
        <w:rPr>
          <w:rFonts w:ascii="Times New Roman" w:hAnsi="Times New Roman" w:cs="Times New Roman"/>
          <w:sz w:val="20"/>
          <w:szCs w:val="20"/>
        </w:rPr>
        <w:t>Van</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de</w:t>
      </w:r>
      <w:r w:rsidR="00BF7D07" w:rsidRPr="00A60B24">
        <w:rPr>
          <w:rFonts w:ascii="Times New Roman" w:hAnsi="Times New Roman" w:cs="Times New Roman"/>
          <w:sz w:val="20"/>
          <w:szCs w:val="20"/>
        </w:rPr>
        <w:t xml:space="preserve"> </w:t>
      </w:r>
      <w:proofErr w:type="spellStart"/>
      <w:r w:rsidRPr="00A60B24">
        <w:rPr>
          <w:rFonts w:ascii="Times New Roman" w:hAnsi="Times New Roman" w:cs="Times New Roman"/>
          <w:sz w:val="20"/>
          <w:szCs w:val="20"/>
        </w:rPr>
        <w:t>Werf</w:t>
      </w:r>
      <w:proofErr w:type="spellEnd"/>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E,</w:t>
      </w:r>
      <w:r w:rsidR="00BF7D07" w:rsidRPr="00A60B24">
        <w:rPr>
          <w:rFonts w:ascii="Times New Roman" w:hAnsi="Times New Roman" w:cs="Times New Roman"/>
          <w:sz w:val="20"/>
          <w:szCs w:val="20"/>
        </w:rPr>
        <w:t xml:space="preserve"> </w:t>
      </w:r>
      <w:proofErr w:type="spellStart"/>
      <w:r w:rsidRPr="00A60B24">
        <w:rPr>
          <w:rFonts w:ascii="Times New Roman" w:hAnsi="Times New Roman" w:cs="Times New Roman"/>
          <w:sz w:val="20"/>
          <w:szCs w:val="20"/>
        </w:rPr>
        <w:t>Lievens</w:t>
      </w:r>
      <w:proofErr w:type="spellEnd"/>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Y,</w:t>
      </w:r>
      <w:r w:rsidR="00BF7D07" w:rsidRPr="00A60B24">
        <w:rPr>
          <w:rFonts w:ascii="Times New Roman" w:hAnsi="Times New Roman" w:cs="Times New Roman"/>
          <w:sz w:val="20"/>
          <w:szCs w:val="20"/>
        </w:rPr>
        <w:t xml:space="preserve"> </w:t>
      </w:r>
      <w:proofErr w:type="spellStart"/>
      <w:r w:rsidRPr="00A60B24">
        <w:rPr>
          <w:rFonts w:ascii="Times New Roman" w:hAnsi="Times New Roman" w:cs="Times New Roman"/>
          <w:sz w:val="20"/>
          <w:szCs w:val="20"/>
        </w:rPr>
        <w:t>Verstraete</w:t>
      </w:r>
      <w:proofErr w:type="spellEnd"/>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J,</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et</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al.</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Time</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and</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motion</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study</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of</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radiotherapy</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delivery:</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economic</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burden</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of</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increased</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quality</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assurance</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and</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IMRT.</w:t>
      </w:r>
      <w:r w:rsidR="00BF7D07" w:rsidRPr="00A60B24">
        <w:rPr>
          <w:rStyle w:val="Hyperlink"/>
          <w:rFonts w:ascii="Times New Roman" w:hAnsi="Times New Roman" w:cs="Times New Roman"/>
          <w:color w:val="000000" w:themeColor="text1"/>
          <w:sz w:val="20"/>
          <w:szCs w:val="20"/>
          <w:u w:val="none"/>
        </w:rPr>
        <w:t xml:space="preserve"> </w:t>
      </w:r>
      <w:proofErr w:type="spellStart"/>
      <w:r w:rsidRPr="00A60B24">
        <w:rPr>
          <w:rStyle w:val="Hyperlink"/>
          <w:rFonts w:ascii="Times New Roman" w:hAnsi="Times New Roman" w:cs="Times New Roman"/>
          <w:color w:val="000000" w:themeColor="text1"/>
          <w:sz w:val="20"/>
          <w:szCs w:val="20"/>
          <w:u w:val="none"/>
        </w:rPr>
        <w:t>Radiother</w:t>
      </w:r>
      <w:proofErr w:type="spellEnd"/>
      <w:r w:rsidR="00BF7D07" w:rsidRPr="00A60B24">
        <w:rPr>
          <w:rStyle w:val="Hyperlink"/>
          <w:rFonts w:ascii="Times New Roman" w:hAnsi="Times New Roman" w:cs="Times New Roman"/>
          <w:color w:val="000000" w:themeColor="text1"/>
          <w:sz w:val="20"/>
          <w:szCs w:val="20"/>
          <w:u w:val="none"/>
          <w:lang w:eastAsia="zh-CN"/>
        </w:rPr>
        <w:t xml:space="preserve"> </w:t>
      </w:r>
      <w:proofErr w:type="spellStart"/>
      <w:r w:rsidRPr="00A60B24">
        <w:rPr>
          <w:rStyle w:val="Hyperlink"/>
          <w:rFonts w:ascii="Times New Roman" w:hAnsi="Times New Roman" w:cs="Times New Roman"/>
          <w:color w:val="000000" w:themeColor="text1"/>
          <w:sz w:val="20"/>
          <w:szCs w:val="20"/>
          <w:u w:val="none"/>
        </w:rPr>
        <w:t>Oncol</w:t>
      </w:r>
      <w:proofErr w:type="spellEnd"/>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2009;93:137–40.</w:t>
      </w:r>
    </w:p>
    <w:p w:rsidR="00737872" w:rsidRPr="00A60B24" w:rsidRDefault="004C3E1E" w:rsidP="00737872">
      <w:pPr>
        <w:pStyle w:val="ListParagraph"/>
        <w:numPr>
          <w:ilvl w:val="0"/>
          <w:numId w:val="10"/>
        </w:numPr>
        <w:autoSpaceDE w:val="0"/>
        <w:autoSpaceDN w:val="0"/>
        <w:bidi w:val="0"/>
        <w:adjustRightInd w:val="0"/>
        <w:snapToGrid w:val="0"/>
        <w:spacing w:after="0" w:line="240" w:lineRule="auto"/>
        <w:ind w:left="425" w:hanging="425"/>
        <w:jc w:val="both"/>
        <w:rPr>
          <w:rStyle w:val="Hyperlink"/>
          <w:rFonts w:ascii="Times New Roman" w:hAnsi="Times New Roman" w:cs="Times New Roman"/>
          <w:color w:val="000000" w:themeColor="text1"/>
          <w:sz w:val="20"/>
          <w:szCs w:val="20"/>
          <w:u w:val="none"/>
        </w:rPr>
      </w:pPr>
      <w:r w:rsidRPr="00A60B24">
        <w:rPr>
          <w:rFonts w:ascii="Times New Roman" w:hAnsi="Times New Roman" w:cs="Times New Roman"/>
          <w:sz w:val="20"/>
          <w:szCs w:val="20"/>
          <w:lang w:val="fr-FR"/>
        </w:rPr>
        <w:t>Murthy</w:t>
      </w:r>
      <w:r w:rsidR="00BF7D07" w:rsidRPr="00A60B24">
        <w:rPr>
          <w:rFonts w:ascii="Times New Roman" w:hAnsi="Times New Roman" w:cs="Times New Roman"/>
          <w:sz w:val="20"/>
          <w:szCs w:val="20"/>
          <w:lang w:val="fr-FR"/>
        </w:rPr>
        <w:t xml:space="preserve"> </w:t>
      </w:r>
      <w:r w:rsidRPr="00A60B24">
        <w:rPr>
          <w:rFonts w:ascii="Times New Roman" w:hAnsi="Times New Roman" w:cs="Times New Roman"/>
          <w:sz w:val="20"/>
          <w:szCs w:val="20"/>
          <w:lang w:val="fr-FR"/>
        </w:rPr>
        <w:t>V,</w:t>
      </w:r>
      <w:r w:rsidR="00BF7D07" w:rsidRPr="00A60B24">
        <w:rPr>
          <w:rFonts w:ascii="Times New Roman" w:hAnsi="Times New Roman" w:cs="Times New Roman"/>
          <w:sz w:val="20"/>
          <w:szCs w:val="20"/>
          <w:lang w:val="fr-FR"/>
        </w:rPr>
        <w:t xml:space="preserve"> </w:t>
      </w:r>
      <w:r w:rsidRPr="00A60B24">
        <w:rPr>
          <w:rFonts w:ascii="Times New Roman" w:hAnsi="Times New Roman" w:cs="Times New Roman"/>
          <w:sz w:val="20"/>
          <w:szCs w:val="20"/>
          <w:lang w:val="fr-FR"/>
        </w:rPr>
        <w:t>Gupta</w:t>
      </w:r>
      <w:r w:rsidR="00BF7D07" w:rsidRPr="00A60B24">
        <w:rPr>
          <w:rFonts w:ascii="Times New Roman" w:hAnsi="Times New Roman" w:cs="Times New Roman"/>
          <w:sz w:val="20"/>
          <w:szCs w:val="20"/>
          <w:lang w:val="fr-FR"/>
        </w:rPr>
        <w:t xml:space="preserve"> </w:t>
      </w:r>
      <w:r w:rsidRPr="00A60B24">
        <w:rPr>
          <w:rFonts w:ascii="Times New Roman" w:hAnsi="Times New Roman" w:cs="Times New Roman"/>
          <w:sz w:val="20"/>
          <w:szCs w:val="20"/>
          <w:lang w:val="fr-FR"/>
        </w:rPr>
        <w:t>T,</w:t>
      </w:r>
      <w:r w:rsidR="00BF7D07" w:rsidRPr="00A60B24">
        <w:rPr>
          <w:rFonts w:ascii="Times New Roman" w:hAnsi="Times New Roman" w:cs="Times New Roman"/>
          <w:sz w:val="20"/>
          <w:szCs w:val="20"/>
          <w:lang w:val="fr-FR"/>
        </w:rPr>
        <w:t xml:space="preserve"> </w:t>
      </w:r>
      <w:r w:rsidRPr="00A60B24">
        <w:rPr>
          <w:rFonts w:ascii="Times New Roman" w:hAnsi="Times New Roman" w:cs="Times New Roman"/>
          <w:sz w:val="20"/>
          <w:szCs w:val="20"/>
          <w:lang w:val="fr-FR"/>
        </w:rPr>
        <w:t>Kadam</w:t>
      </w:r>
      <w:r w:rsidR="00BF7D07" w:rsidRPr="00A60B24">
        <w:rPr>
          <w:rFonts w:ascii="Times New Roman" w:hAnsi="Times New Roman" w:cs="Times New Roman"/>
          <w:sz w:val="20"/>
          <w:szCs w:val="20"/>
          <w:lang w:val="fr-FR"/>
        </w:rPr>
        <w:t xml:space="preserve"> </w:t>
      </w:r>
      <w:r w:rsidRPr="00A60B24">
        <w:rPr>
          <w:rFonts w:ascii="Times New Roman" w:hAnsi="Times New Roman" w:cs="Times New Roman"/>
          <w:sz w:val="20"/>
          <w:szCs w:val="20"/>
          <w:lang w:val="fr-FR"/>
        </w:rPr>
        <w:t>A,</w:t>
      </w:r>
      <w:r w:rsidR="00BF7D07" w:rsidRPr="00A60B24">
        <w:rPr>
          <w:rFonts w:ascii="Times New Roman" w:hAnsi="Times New Roman" w:cs="Times New Roman"/>
          <w:sz w:val="20"/>
          <w:szCs w:val="20"/>
          <w:lang w:val="fr-FR"/>
        </w:rPr>
        <w:t xml:space="preserve"> </w:t>
      </w:r>
      <w:r w:rsidRPr="00A60B24">
        <w:rPr>
          <w:rFonts w:ascii="Times New Roman" w:hAnsi="Times New Roman" w:cs="Times New Roman"/>
          <w:sz w:val="20"/>
          <w:szCs w:val="20"/>
          <w:lang w:val="fr-FR"/>
        </w:rPr>
        <w:t>et</w:t>
      </w:r>
      <w:r w:rsidR="00BF7D07" w:rsidRPr="00A60B24">
        <w:rPr>
          <w:rFonts w:ascii="Times New Roman" w:hAnsi="Times New Roman" w:cs="Times New Roman"/>
          <w:sz w:val="20"/>
          <w:szCs w:val="20"/>
          <w:lang w:val="fr-FR"/>
        </w:rPr>
        <w:t xml:space="preserve"> </w:t>
      </w:r>
      <w:r w:rsidRPr="00A60B24">
        <w:rPr>
          <w:rFonts w:ascii="Times New Roman" w:hAnsi="Times New Roman" w:cs="Times New Roman"/>
          <w:sz w:val="20"/>
          <w:szCs w:val="20"/>
          <w:lang w:val="fr-FR"/>
        </w:rPr>
        <w:t>al.</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Time</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trial:</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a</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prospective</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comparative</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study</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of</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the</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time-resource</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burden</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for</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three-dimensional</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conformal</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radiotherapy</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and</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intensity-modulated</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radiotherapy</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in</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head</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and</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neck</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cancers.</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J</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Cancer</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Res</w:t>
      </w:r>
      <w:r w:rsidR="00BF7D07" w:rsidRPr="00A60B24">
        <w:rPr>
          <w:rStyle w:val="Hyperlink"/>
          <w:rFonts w:ascii="Times New Roman" w:hAnsi="Times New Roman" w:cs="Times New Roman"/>
          <w:color w:val="000000" w:themeColor="text1"/>
          <w:sz w:val="20"/>
          <w:szCs w:val="20"/>
          <w:u w:val="none"/>
          <w:lang w:eastAsia="zh-CN"/>
        </w:rPr>
        <w:t xml:space="preserve"> </w:t>
      </w:r>
      <w:proofErr w:type="spellStart"/>
      <w:r w:rsidRPr="00A60B24">
        <w:rPr>
          <w:rStyle w:val="Hyperlink"/>
          <w:rFonts w:ascii="Times New Roman" w:hAnsi="Times New Roman" w:cs="Times New Roman"/>
          <w:color w:val="000000" w:themeColor="text1"/>
          <w:sz w:val="20"/>
          <w:szCs w:val="20"/>
          <w:u w:val="none"/>
        </w:rPr>
        <w:t>Ther</w:t>
      </w:r>
      <w:proofErr w:type="spellEnd"/>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2009;5:107–1</w:t>
      </w:r>
      <w:r w:rsidR="00737872" w:rsidRPr="00A60B24">
        <w:rPr>
          <w:rStyle w:val="Hyperlink"/>
          <w:rFonts w:ascii="Times New Roman" w:hAnsi="Times New Roman" w:cs="Times New Roman"/>
          <w:color w:val="000000" w:themeColor="text1"/>
          <w:sz w:val="20"/>
          <w:szCs w:val="20"/>
          <w:u w:val="none"/>
        </w:rPr>
        <w:t>2.</w:t>
      </w:r>
    </w:p>
    <w:p w:rsidR="004C3E1E" w:rsidRPr="00A60B24" w:rsidRDefault="004C3E1E" w:rsidP="00737872">
      <w:pPr>
        <w:pStyle w:val="ListParagraph"/>
        <w:numPr>
          <w:ilvl w:val="0"/>
          <w:numId w:val="10"/>
        </w:numPr>
        <w:autoSpaceDE w:val="0"/>
        <w:autoSpaceDN w:val="0"/>
        <w:bidi w:val="0"/>
        <w:adjustRightInd w:val="0"/>
        <w:snapToGrid w:val="0"/>
        <w:spacing w:after="0" w:line="240" w:lineRule="auto"/>
        <w:ind w:left="425" w:hanging="425"/>
        <w:jc w:val="both"/>
        <w:rPr>
          <w:rStyle w:val="Hyperlink"/>
          <w:rFonts w:ascii="Times New Roman" w:hAnsi="Times New Roman" w:cs="Times New Roman"/>
          <w:color w:val="000000" w:themeColor="text1"/>
          <w:sz w:val="20"/>
          <w:szCs w:val="20"/>
          <w:u w:val="none"/>
        </w:rPr>
      </w:pPr>
      <w:r w:rsidRPr="00A60B24">
        <w:rPr>
          <w:rFonts w:ascii="Times New Roman" w:hAnsi="Times New Roman" w:cs="Times New Roman"/>
          <w:sz w:val="20"/>
          <w:szCs w:val="20"/>
        </w:rPr>
        <w:t>Hall</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E</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and</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Amato</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J</w:t>
      </w:r>
      <w:r w:rsidR="00BF7D07" w:rsidRPr="00A60B24">
        <w:rPr>
          <w:rFonts w:ascii="Times New Roman" w:hAnsi="Times New Roman" w:cs="Times New Roman"/>
          <w:sz w:val="20"/>
          <w:szCs w:val="20"/>
        </w:rPr>
        <w:t xml:space="preserve"> </w:t>
      </w:r>
      <w:proofErr w:type="spellStart"/>
      <w:r w:rsidRPr="00A60B24">
        <w:rPr>
          <w:rFonts w:ascii="Times New Roman" w:hAnsi="Times New Roman" w:cs="Times New Roman"/>
          <w:sz w:val="20"/>
          <w:szCs w:val="20"/>
        </w:rPr>
        <w:t>Giaccia</w:t>
      </w:r>
      <w:proofErr w:type="spellEnd"/>
      <w:r w:rsidRPr="00A60B24">
        <w:rPr>
          <w:rStyle w:val="Hyperlink"/>
          <w:rFonts w:ascii="Times New Roman" w:hAnsi="Times New Roman" w:cs="Times New Roman"/>
          <w:color w:val="000000" w:themeColor="text1"/>
          <w:sz w:val="20"/>
          <w:szCs w:val="20"/>
          <w:u w:val="none"/>
        </w:rPr>
        <w:t>,</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Radiobiology</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for</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the</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radiobiologists;</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7th</w:t>
      </w:r>
      <w:r w:rsidR="00BF7D07" w:rsidRPr="00A60B24">
        <w:rPr>
          <w:rStyle w:val="Hyperlink"/>
          <w:rFonts w:ascii="Times New Roman" w:hAnsi="Times New Roman" w:cs="Times New Roman"/>
          <w:color w:val="000000" w:themeColor="text1"/>
          <w:sz w:val="20"/>
          <w:szCs w:val="20"/>
          <w:u w:val="none"/>
        </w:rPr>
        <w:t xml:space="preserve"> </w:t>
      </w:r>
      <w:proofErr w:type="spellStart"/>
      <w:r w:rsidRPr="00A60B24">
        <w:rPr>
          <w:rStyle w:val="Hyperlink"/>
          <w:rFonts w:ascii="Times New Roman" w:hAnsi="Times New Roman" w:cs="Times New Roman"/>
          <w:color w:val="000000" w:themeColor="text1"/>
          <w:sz w:val="20"/>
          <w:szCs w:val="20"/>
          <w:u w:val="none"/>
        </w:rPr>
        <w:t>ed</w:t>
      </w:r>
      <w:proofErr w:type="spellEnd"/>
      <w:r w:rsidRPr="00A60B24">
        <w:rPr>
          <w:rStyle w:val="Hyperlink"/>
          <w:rFonts w:ascii="Times New Roman" w:hAnsi="Times New Roman" w:cs="Times New Roman"/>
          <w:color w:val="000000" w:themeColor="text1"/>
          <w:sz w:val="20"/>
          <w:szCs w:val="20"/>
          <w:u w:val="none"/>
        </w:rPr>
        <w:t>;</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2012</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by</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Lippincott</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Williams</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and</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Wilkins.</w:t>
      </w:r>
    </w:p>
    <w:p w:rsidR="0022135E" w:rsidRPr="00A60B24" w:rsidRDefault="004C3E1E" w:rsidP="00737872">
      <w:pPr>
        <w:pStyle w:val="ListParagraph"/>
        <w:numPr>
          <w:ilvl w:val="0"/>
          <w:numId w:val="10"/>
        </w:numPr>
        <w:autoSpaceDE w:val="0"/>
        <w:autoSpaceDN w:val="0"/>
        <w:bidi w:val="0"/>
        <w:adjustRightInd w:val="0"/>
        <w:snapToGrid w:val="0"/>
        <w:spacing w:after="0" w:line="240" w:lineRule="auto"/>
        <w:ind w:left="425" w:hanging="425"/>
        <w:jc w:val="both"/>
        <w:rPr>
          <w:rStyle w:val="Hyperlink"/>
          <w:rFonts w:ascii="Times New Roman" w:hAnsi="Times New Roman" w:cs="Times New Roman"/>
          <w:color w:val="000000" w:themeColor="text1"/>
          <w:sz w:val="20"/>
          <w:szCs w:val="20"/>
          <w:u w:val="none"/>
        </w:rPr>
      </w:pPr>
      <w:r w:rsidRPr="00A60B24">
        <w:rPr>
          <w:rStyle w:val="Hyperlink"/>
          <w:rFonts w:ascii="Times New Roman" w:hAnsi="Times New Roman" w:cs="Times New Roman"/>
          <w:color w:val="000000" w:themeColor="text1"/>
          <w:sz w:val="20"/>
          <w:szCs w:val="20"/>
          <w:u w:val="none"/>
        </w:rPr>
        <w:t>Lee</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N,</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Harris</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J,</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Garden</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A,</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et</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al.</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Intensity-Modulated</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Radiation</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Therapy</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With</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or</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Without</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Chemotherapy</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for</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Nasopharyngeal</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Carcinoma:</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Radiation</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Therapy</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Oncology</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Group</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Phase</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II</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Trial</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0225.</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journal</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of</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clinical</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oncology.</w:t>
      </w:r>
      <w:r w:rsidR="00BF7D07" w:rsidRPr="00A60B24">
        <w:rPr>
          <w:rStyle w:val="Hyperlink"/>
          <w:rFonts w:ascii="Times New Roman" w:hAnsi="Times New Roman" w:cs="Times New Roman"/>
          <w:color w:val="000000" w:themeColor="text1"/>
          <w:sz w:val="20"/>
          <w:szCs w:val="20"/>
          <w:u w:val="none"/>
          <w:lang w:eastAsia="zh-CN"/>
        </w:rPr>
        <w:t xml:space="preserve"> </w:t>
      </w:r>
      <w:r w:rsidRPr="00A60B24">
        <w:rPr>
          <w:rStyle w:val="Hyperlink"/>
          <w:rFonts w:ascii="Times New Roman" w:hAnsi="Times New Roman" w:cs="Times New Roman"/>
          <w:color w:val="000000" w:themeColor="text1"/>
          <w:sz w:val="20"/>
          <w:szCs w:val="20"/>
          <w:u w:val="none"/>
        </w:rPr>
        <w:t>2009;27(22</w:t>
      </w:r>
      <w:r w:rsidR="0022135E" w:rsidRPr="00A60B24">
        <w:rPr>
          <w:rStyle w:val="Hyperlink"/>
          <w:rFonts w:ascii="Times New Roman" w:hAnsi="Times New Roman" w:cs="Times New Roman"/>
          <w:color w:val="000000" w:themeColor="text1"/>
          <w:sz w:val="20"/>
          <w:szCs w:val="20"/>
          <w:u w:val="none"/>
        </w:rPr>
        <w:t>).</w:t>
      </w:r>
    </w:p>
    <w:p w:rsidR="004C3E1E" w:rsidRPr="00A60B24" w:rsidRDefault="004C3E1E" w:rsidP="00737872">
      <w:pPr>
        <w:pStyle w:val="ListParagraph"/>
        <w:numPr>
          <w:ilvl w:val="0"/>
          <w:numId w:val="10"/>
        </w:numPr>
        <w:autoSpaceDE w:val="0"/>
        <w:autoSpaceDN w:val="0"/>
        <w:bidi w:val="0"/>
        <w:adjustRightInd w:val="0"/>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A60B24">
        <w:rPr>
          <w:rFonts w:ascii="Times New Roman" w:hAnsi="Times New Roman" w:cs="Times New Roman"/>
          <w:sz w:val="20"/>
          <w:szCs w:val="20"/>
        </w:rPr>
        <w:t>Nutting</w:t>
      </w:r>
      <w:proofErr w:type="spellEnd"/>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CM,</w:t>
      </w:r>
      <w:r w:rsidR="00BF7D07" w:rsidRPr="00A60B24">
        <w:rPr>
          <w:rFonts w:ascii="Times New Roman" w:hAnsi="Times New Roman" w:cs="Times New Roman"/>
          <w:sz w:val="20"/>
          <w:szCs w:val="20"/>
        </w:rPr>
        <w:t xml:space="preserve"> </w:t>
      </w:r>
      <w:proofErr w:type="spellStart"/>
      <w:r w:rsidRPr="00A60B24">
        <w:rPr>
          <w:rFonts w:ascii="Times New Roman" w:hAnsi="Times New Roman" w:cs="Times New Roman"/>
          <w:sz w:val="20"/>
          <w:szCs w:val="20"/>
        </w:rPr>
        <w:t>Morden</w:t>
      </w:r>
      <w:proofErr w:type="spellEnd"/>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JP,</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Harrington</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KJ,</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et</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al.</w:t>
      </w:r>
      <w:r w:rsidR="00BF7D07" w:rsidRPr="00A60B24">
        <w:rPr>
          <w:rFonts w:ascii="Times New Roman" w:hAnsi="Times New Roman" w:cs="Times New Roman"/>
          <w:color w:val="000000" w:themeColor="text1"/>
          <w:sz w:val="20"/>
          <w:szCs w:val="20"/>
        </w:rPr>
        <w:t xml:space="preserve"> </w:t>
      </w:r>
      <w:r w:rsidRPr="00A60B24">
        <w:rPr>
          <w:rFonts w:ascii="Times New Roman" w:hAnsi="Times New Roman" w:cs="Times New Roman"/>
          <w:color w:val="000000" w:themeColor="text1"/>
          <w:sz w:val="20"/>
          <w:szCs w:val="20"/>
        </w:rPr>
        <w:t>Parotid-sparing</w:t>
      </w:r>
      <w:r w:rsidR="00BF7D07" w:rsidRPr="00A60B24">
        <w:rPr>
          <w:rFonts w:ascii="Times New Roman" w:hAnsi="Times New Roman" w:cs="Times New Roman"/>
          <w:color w:val="000000" w:themeColor="text1"/>
          <w:sz w:val="20"/>
          <w:szCs w:val="20"/>
        </w:rPr>
        <w:t xml:space="preserve"> </w:t>
      </w:r>
      <w:r w:rsidRPr="00A60B24">
        <w:rPr>
          <w:rFonts w:ascii="Times New Roman" w:hAnsi="Times New Roman" w:cs="Times New Roman"/>
          <w:color w:val="000000" w:themeColor="text1"/>
          <w:sz w:val="20"/>
          <w:szCs w:val="20"/>
        </w:rPr>
        <w:t>intensity-modulated</w:t>
      </w:r>
      <w:r w:rsidR="00BF7D07" w:rsidRPr="00A60B24">
        <w:rPr>
          <w:rFonts w:ascii="Times New Roman" w:hAnsi="Times New Roman" w:cs="Times New Roman"/>
          <w:color w:val="000000" w:themeColor="text1"/>
          <w:sz w:val="20"/>
          <w:szCs w:val="20"/>
        </w:rPr>
        <w:t xml:space="preserve"> </w:t>
      </w:r>
      <w:r w:rsidRPr="00A60B24">
        <w:rPr>
          <w:rFonts w:ascii="Times New Roman" w:hAnsi="Times New Roman" w:cs="Times New Roman"/>
          <w:color w:val="000000" w:themeColor="text1"/>
          <w:sz w:val="20"/>
          <w:szCs w:val="20"/>
        </w:rPr>
        <w:t>versus</w:t>
      </w:r>
      <w:r w:rsidR="00BF7D07" w:rsidRPr="00A60B24">
        <w:rPr>
          <w:rFonts w:ascii="Times New Roman" w:hAnsi="Times New Roman" w:cs="Times New Roman"/>
          <w:color w:val="000000" w:themeColor="text1"/>
          <w:sz w:val="20"/>
          <w:szCs w:val="20"/>
        </w:rPr>
        <w:t xml:space="preserve"> </w:t>
      </w:r>
      <w:r w:rsidRPr="00A60B24">
        <w:rPr>
          <w:rFonts w:ascii="Times New Roman" w:hAnsi="Times New Roman" w:cs="Times New Roman"/>
          <w:color w:val="000000" w:themeColor="text1"/>
          <w:sz w:val="20"/>
          <w:szCs w:val="20"/>
        </w:rPr>
        <w:t>conventional</w:t>
      </w:r>
      <w:r w:rsidR="00BF7D07" w:rsidRPr="00A60B24">
        <w:rPr>
          <w:rFonts w:ascii="Times New Roman" w:hAnsi="Times New Roman" w:cs="Times New Roman"/>
          <w:color w:val="000000" w:themeColor="text1"/>
          <w:sz w:val="20"/>
          <w:szCs w:val="20"/>
        </w:rPr>
        <w:t xml:space="preserve"> </w:t>
      </w:r>
      <w:r w:rsidRPr="00A60B24">
        <w:rPr>
          <w:rFonts w:ascii="Times New Roman" w:hAnsi="Times New Roman" w:cs="Times New Roman"/>
          <w:color w:val="000000" w:themeColor="text1"/>
          <w:sz w:val="20"/>
          <w:szCs w:val="20"/>
        </w:rPr>
        <w:t>radiotherapy</w:t>
      </w:r>
      <w:r w:rsidR="00BF7D07" w:rsidRPr="00A60B24">
        <w:rPr>
          <w:rFonts w:ascii="Times New Roman" w:hAnsi="Times New Roman" w:cs="Times New Roman"/>
          <w:color w:val="000000" w:themeColor="text1"/>
          <w:sz w:val="20"/>
          <w:szCs w:val="20"/>
        </w:rPr>
        <w:t xml:space="preserve"> </w:t>
      </w:r>
      <w:r w:rsidRPr="00A60B24">
        <w:rPr>
          <w:rFonts w:ascii="Times New Roman" w:hAnsi="Times New Roman" w:cs="Times New Roman"/>
          <w:color w:val="000000" w:themeColor="text1"/>
          <w:sz w:val="20"/>
          <w:szCs w:val="20"/>
        </w:rPr>
        <w:t>in</w:t>
      </w:r>
      <w:r w:rsidR="00BF7D07" w:rsidRPr="00A60B24">
        <w:rPr>
          <w:rFonts w:ascii="Times New Roman" w:hAnsi="Times New Roman" w:cs="Times New Roman"/>
          <w:color w:val="000000" w:themeColor="text1"/>
          <w:sz w:val="20"/>
          <w:szCs w:val="20"/>
        </w:rPr>
        <w:t xml:space="preserve"> </w:t>
      </w:r>
      <w:r w:rsidRPr="00A60B24">
        <w:rPr>
          <w:rFonts w:ascii="Times New Roman" w:hAnsi="Times New Roman" w:cs="Times New Roman"/>
          <w:color w:val="000000" w:themeColor="text1"/>
          <w:sz w:val="20"/>
          <w:szCs w:val="20"/>
        </w:rPr>
        <w:t>head</w:t>
      </w:r>
      <w:r w:rsidR="00BF7D07" w:rsidRPr="00A60B24">
        <w:rPr>
          <w:rFonts w:ascii="Times New Roman" w:hAnsi="Times New Roman" w:cs="Times New Roman"/>
          <w:color w:val="000000" w:themeColor="text1"/>
          <w:sz w:val="20"/>
          <w:szCs w:val="20"/>
        </w:rPr>
        <w:t xml:space="preserve"> </w:t>
      </w:r>
      <w:r w:rsidRPr="00A60B24">
        <w:rPr>
          <w:rFonts w:ascii="Times New Roman" w:hAnsi="Times New Roman" w:cs="Times New Roman"/>
          <w:color w:val="000000" w:themeColor="text1"/>
          <w:sz w:val="20"/>
          <w:szCs w:val="20"/>
        </w:rPr>
        <w:t>and</w:t>
      </w:r>
      <w:r w:rsidR="00BF7D07" w:rsidRPr="00A60B24">
        <w:rPr>
          <w:rFonts w:ascii="Times New Roman" w:hAnsi="Times New Roman" w:cs="Times New Roman"/>
          <w:color w:val="000000" w:themeColor="text1"/>
          <w:sz w:val="20"/>
          <w:szCs w:val="20"/>
        </w:rPr>
        <w:t xml:space="preserve"> </w:t>
      </w:r>
      <w:r w:rsidRPr="00A60B24">
        <w:rPr>
          <w:rFonts w:ascii="Times New Roman" w:hAnsi="Times New Roman" w:cs="Times New Roman"/>
          <w:color w:val="000000" w:themeColor="text1"/>
          <w:sz w:val="20"/>
          <w:szCs w:val="20"/>
        </w:rPr>
        <w:t>neck</w:t>
      </w:r>
      <w:r w:rsidR="00BF7D07" w:rsidRPr="00A60B24">
        <w:rPr>
          <w:rFonts w:ascii="Times New Roman" w:hAnsi="Times New Roman" w:cs="Times New Roman"/>
          <w:color w:val="000000" w:themeColor="text1"/>
          <w:sz w:val="20"/>
          <w:szCs w:val="20"/>
        </w:rPr>
        <w:t xml:space="preserve"> </w:t>
      </w:r>
      <w:r w:rsidRPr="00A60B24">
        <w:rPr>
          <w:rFonts w:ascii="Times New Roman" w:hAnsi="Times New Roman" w:cs="Times New Roman"/>
          <w:color w:val="000000" w:themeColor="text1"/>
          <w:sz w:val="20"/>
          <w:szCs w:val="20"/>
        </w:rPr>
        <w:t>cancer</w:t>
      </w:r>
      <w:r w:rsidR="00BF7D07" w:rsidRPr="00A60B24">
        <w:rPr>
          <w:rFonts w:ascii="Times New Roman" w:hAnsi="Times New Roman" w:cs="Times New Roman"/>
          <w:color w:val="000000" w:themeColor="text1"/>
          <w:sz w:val="20"/>
          <w:szCs w:val="20"/>
        </w:rPr>
        <w:t xml:space="preserve"> </w:t>
      </w:r>
      <w:r w:rsidRPr="00A60B24">
        <w:rPr>
          <w:rFonts w:ascii="Times New Roman" w:hAnsi="Times New Roman" w:cs="Times New Roman"/>
          <w:color w:val="000000" w:themeColor="text1"/>
          <w:sz w:val="20"/>
          <w:szCs w:val="20"/>
        </w:rPr>
        <w:t>(PARSPORT):</w:t>
      </w:r>
      <w:r w:rsidR="00BF7D07" w:rsidRPr="00A60B24">
        <w:rPr>
          <w:rFonts w:ascii="Times New Roman" w:hAnsi="Times New Roman" w:cs="Times New Roman"/>
          <w:color w:val="000000" w:themeColor="text1"/>
          <w:sz w:val="20"/>
          <w:szCs w:val="20"/>
        </w:rPr>
        <w:t xml:space="preserve"> </w:t>
      </w:r>
      <w:r w:rsidRPr="00A60B24">
        <w:rPr>
          <w:rFonts w:ascii="Times New Roman" w:hAnsi="Times New Roman" w:cs="Times New Roman"/>
          <w:color w:val="000000" w:themeColor="text1"/>
          <w:sz w:val="20"/>
          <w:szCs w:val="20"/>
        </w:rPr>
        <w:t>A</w:t>
      </w:r>
      <w:r w:rsidR="00BF7D07" w:rsidRPr="00A60B24">
        <w:rPr>
          <w:rFonts w:ascii="Times New Roman" w:hAnsi="Times New Roman" w:cs="Times New Roman"/>
          <w:color w:val="000000" w:themeColor="text1"/>
          <w:sz w:val="20"/>
          <w:szCs w:val="20"/>
        </w:rPr>
        <w:t xml:space="preserve"> </w:t>
      </w:r>
      <w:r w:rsidRPr="00A60B24">
        <w:rPr>
          <w:rFonts w:ascii="Times New Roman" w:hAnsi="Times New Roman" w:cs="Times New Roman"/>
          <w:color w:val="000000" w:themeColor="text1"/>
          <w:sz w:val="20"/>
          <w:szCs w:val="20"/>
        </w:rPr>
        <w:t>phase</w:t>
      </w:r>
      <w:r w:rsidR="00BF7D07" w:rsidRPr="00A60B24">
        <w:rPr>
          <w:rFonts w:ascii="Times New Roman" w:hAnsi="Times New Roman" w:cs="Times New Roman"/>
          <w:color w:val="000000" w:themeColor="text1"/>
          <w:sz w:val="20"/>
          <w:szCs w:val="20"/>
        </w:rPr>
        <w:t xml:space="preserve"> </w:t>
      </w:r>
      <w:r w:rsidRPr="00A60B24">
        <w:rPr>
          <w:rFonts w:ascii="Times New Roman" w:hAnsi="Times New Roman" w:cs="Times New Roman"/>
          <w:color w:val="000000" w:themeColor="text1"/>
          <w:sz w:val="20"/>
          <w:szCs w:val="20"/>
        </w:rPr>
        <w:t>3</w:t>
      </w:r>
      <w:r w:rsidR="00BF7D07" w:rsidRPr="00A60B24">
        <w:rPr>
          <w:rFonts w:ascii="Times New Roman" w:hAnsi="Times New Roman" w:cs="Times New Roman"/>
          <w:color w:val="000000" w:themeColor="text1"/>
          <w:sz w:val="20"/>
          <w:szCs w:val="20"/>
        </w:rPr>
        <w:t xml:space="preserve"> </w:t>
      </w:r>
      <w:r w:rsidRPr="00A60B24">
        <w:rPr>
          <w:rFonts w:ascii="Times New Roman" w:hAnsi="Times New Roman" w:cs="Times New Roman"/>
          <w:color w:val="000000" w:themeColor="text1"/>
          <w:sz w:val="20"/>
          <w:szCs w:val="20"/>
        </w:rPr>
        <w:t>multicentre</w:t>
      </w:r>
      <w:r w:rsidR="00BF7D07" w:rsidRPr="00A60B24">
        <w:rPr>
          <w:rFonts w:ascii="Times New Roman" w:hAnsi="Times New Roman" w:cs="Times New Roman"/>
          <w:color w:val="000000" w:themeColor="text1"/>
          <w:sz w:val="20"/>
          <w:szCs w:val="20"/>
        </w:rPr>
        <w:t xml:space="preserve"> </w:t>
      </w:r>
      <w:r w:rsidRPr="00A60B24">
        <w:rPr>
          <w:rFonts w:ascii="Times New Roman" w:hAnsi="Times New Roman" w:cs="Times New Roman"/>
          <w:color w:val="000000" w:themeColor="text1"/>
          <w:sz w:val="20"/>
          <w:szCs w:val="20"/>
        </w:rPr>
        <w:t>randomized</w:t>
      </w:r>
      <w:r w:rsidR="00BF7D07" w:rsidRPr="00A60B24">
        <w:rPr>
          <w:rFonts w:ascii="Times New Roman" w:hAnsi="Times New Roman" w:cs="Times New Roman"/>
          <w:color w:val="000000" w:themeColor="text1"/>
          <w:sz w:val="20"/>
          <w:szCs w:val="20"/>
        </w:rPr>
        <w:t xml:space="preserve"> </w:t>
      </w:r>
      <w:r w:rsidRPr="00A60B24">
        <w:rPr>
          <w:rFonts w:ascii="Times New Roman" w:hAnsi="Times New Roman" w:cs="Times New Roman"/>
          <w:color w:val="000000" w:themeColor="text1"/>
          <w:sz w:val="20"/>
          <w:szCs w:val="20"/>
        </w:rPr>
        <w:t>controlled</w:t>
      </w:r>
      <w:r w:rsidR="00BF7D07" w:rsidRPr="00A60B24">
        <w:rPr>
          <w:rFonts w:ascii="Times New Roman" w:hAnsi="Times New Roman" w:cs="Times New Roman"/>
          <w:color w:val="000000" w:themeColor="text1"/>
          <w:sz w:val="20"/>
          <w:szCs w:val="20"/>
        </w:rPr>
        <w:t xml:space="preserve"> </w:t>
      </w:r>
      <w:r w:rsidRPr="00A60B24">
        <w:rPr>
          <w:rFonts w:ascii="Times New Roman" w:hAnsi="Times New Roman" w:cs="Times New Roman"/>
          <w:color w:val="000000" w:themeColor="text1"/>
          <w:sz w:val="20"/>
          <w:szCs w:val="20"/>
        </w:rPr>
        <w:t>trial.</w:t>
      </w:r>
      <w:r w:rsidR="00BF7D07" w:rsidRPr="00A60B24">
        <w:rPr>
          <w:rFonts w:ascii="Times New Roman" w:hAnsi="Times New Roman" w:cs="Times New Roman"/>
          <w:color w:val="000000" w:themeColor="text1"/>
          <w:sz w:val="20"/>
          <w:szCs w:val="20"/>
        </w:rPr>
        <w:t xml:space="preserve"> </w:t>
      </w:r>
      <w:r w:rsidRPr="00A60B24">
        <w:rPr>
          <w:rFonts w:ascii="Times New Roman" w:hAnsi="Times New Roman" w:cs="Times New Roman"/>
          <w:color w:val="000000" w:themeColor="text1"/>
          <w:sz w:val="20"/>
          <w:szCs w:val="20"/>
        </w:rPr>
        <w:t>Lancet</w:t>
      </w:r>
      <w:r w:rsidR="00BF7D07" w:rsidRPr="00A60B24">
        <w:rPr>
          <w:rFonts w:ascii="Times New Roman" w:hAnsi="Times New Roman" w:cs="Times New Roman"/>
          <w:color w:val="000000" w:themeColor="text1"/>
          <w:sz w:val="20"/>
          <w:szCs w:val="20"/>
        </w:rPr>
        <w:t xml:space="preserve"> </w:t>
      </w:r>
      <w:proofErr w:type="spellStart"/>
      <w:r w:rsidRPr="00A60B24">
        <w:rPr>
          <w:rFonts w:ascii="Times New Roman" w:hAnsi="Times New Roman" w:cs="Times New Roman"/>
          <w:color w:val="000000" w:themeColor="text1"/>
          <w:sz w:val="20"/>
          <w:szCs w:val="20"/>
        </w:rPr>
        <w:t>Oncol</w:t>
      </w:r>
      <w:proofErr w:type="spellEnd"/>
      <w:r w:rsidR="00BF7D07" w:rsidRPr="00A60B24">
        <w:rPr>
          <w:rFonts w:ascii="Times New Roman" w:hAnsi="Times New Roman" w:cs="Times New Roman"/>
          <w:color w:val="000000" w:themeColor="text1"/>
          <w:sz w:val="20"/>
          <w:szCs w:val="20"/>
        </w:rPr>
        <w:t xml:space="preserve"> </w:t>
      </w:r>
      <w:r w:rsidRPr="00A60B24">
        <w:rPr>
          <w:rFonts w:ascii="Times New Roman" w:hAnsi="Times New Roman" w:cs="Times New Roman"/>
          <w:color w:val="000000" w:themeColor="text1"/>
          <w:sz w:val="20"/>
          <w:szCs w:val="20"/>
        </w:rPr>
        <w:t>2011;12:127:136.</w:t>
      </w:r>
    </w:p>
    <w:p w:rsidR="004C3E1E" w:rsidRPr="00A60B24" w:rsidRDefault="004C3E1E" w:rsidP="00737872">
      <w:pPr>
        <w:pStyle w:val="ListParagraph"/>
        <w:numPr>
          <w:ilvl w:val="0"/>
          <w:numId w:val="10"/>
        </w:numPr>
        <w:autoSpaceDE w:val="0"/>
        <w:autoSpaceDN w:val="0"/>
        <w:bidi w:val="0"/>
        <w:adjustRightInd w:val="0"/>
        <w:snapToGrid w:val="0"/>
        <w:spacing w:after="0" w:line="240" w:lineRule="auto"/>
        <w:ind w:left="425" w:hanging="425"/>
        <w:jc w:val="both"/>
        <w:rPr>
          <w:rStyle w:val="Hyperlink"/>
          <w:rFonts w:ascii="Times New Roman" w:hAnsi="Times New Roman" w:cs="Times New Roman"/>
          <w:color w:val="000000" w:themeColor="text1"/>
          <w:sz w:val="20"/>
          <w:szCs w:val="20"/>
          <w:u w:val="none"/>
        </w:rPr>
      </w:pPr>
      <w:r w:rsidRPr="00A60B24">
        <w:rPr>
          <w:rFonts w:ascii="Times New Roman" w:hAnsi="Times New Roman" w:cs="Times New Roman"/>
          <w:sz w:val="20"/>
          <w:szCs w:val="20"/>
        </w:rPr>
        <w:t>Chen</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AM,</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Daly</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ME,</w:t>
      </w:r>
      <w:r w:rsidR="00BF7D07" w:rsidRPr="00A60B24">
        <w:rPr>
          <w:rFonts w:ascii="Times New Roman" w:hAnsi="Times New Roman" w:cs="Times New Roman"/>
          <w:sz w:val="20"/>
          <w:szCs w:val="20"/>
        </w:rPr>
        <w:t xml:space="preserve"> </w:t>
      </w:r>
      <w:proofErr w:type="spellStart"/>
      <w:r w:rsidRPr="00A60B24">
        <w:rPr>
          <w:rFonts w:ascii="Times New Roman" w:hAnsi="Times New Roman" w:cs="Times New Roman"/>
          <w:sz w:val="20"/>
          <w:szCs w:val="20"/>
        </w:rPr>
        <w:t>Bucci</w:t>
      </w:r>
      <w:proofErr w:type="spellEnd"/>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MK,</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et</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al.</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Carcinomas</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of</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the</w:t>
      </w:r>
      <w:r w:rsidR="00BF7D07" w:rsidRPr="00A60B24">
        <w:rPr>
          <w:rStyle w:val="Hyperlink"/>
          <w:rFonts w:ascii="Times New Roman" w:hAnsi="Times New Roman" w:cs="Times New Roman"/>
          <w:color w:val="000000" w:themeColor="text1"/>
          <w:sz w:val="20"/>
          <w:szCs w:val="20"/>
          <w:u w:val="none"/>
        </w:rPr>
        <w:t xml:space="preserve"> </w:t>
      </w:r>
      <w:proofErr w:type="spellStart"/>
      <w:r w:rsidRPr="00A60B24">
        <w:rPr>
          <w:rStyle w:val="Hyperlink"/>
          <w:rFonts w:ascii="Times New Roman" w:hAnsi="Times New Roman" w:cs="Times New Roman"/>
          <w:color w:val="000000" w:themeColor="text1"/>
          <w:sz w:val="20"/>
          <w:szCs w:val="20"/>
          <w:u w:val="none"/>
        </w:rPr>
        <w:t>paranasal</w:t>
      </w:r>
      <w:proofErr w:type="spellEnd"/>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sinuses</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and</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nasal</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cavity</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treated</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with</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radiotherapy</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at</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a</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single</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institution</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over</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five</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decades:</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are</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we</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making</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improvement?</w:t>
      </w:r>
      <w:r w:rsidR="00BF7D07" w:rsidRPr="00A60B24">
        <w:rPr>
          <w:rStyle w:val="Hyperlink"/>
          <w:rFonts w:ascii="Times New Roman" w:hAnsi="Times New Roman" w:cs="Times New Roman"/>
          <w:color w:val="000000" w:themeColor="text1"/>
          <w:sz w:val="20"/>
          <w:szCs w:val="20"/>
          <w:u w:val="none"/>
        </w:rPr>
        <w:t xml:space="preserve"> </w:t>
      </w:r>
      <w:proofErr w:type="spellStart"/>
      <w:r w:rsidRPr="00A60B24">
        <w:rPr>
          <w:rStyle w:val="Hyperlink"/>
          <w:rFonts w:ascii="Times New Roman" w:hAnsi="Times New Roman" w:cs="Times New Roman"/>
          <w:color w:val="000000" w:themeColor="text1"/>
          <w:sz w:val="20"/>
          <w:szCs w:val="20"/>
          <w:u w:val="none"/>
        </w:rPr>
        <w:t>Int</w:t>
      </w:r>
      <w:proofErr w:type="spellEnd"/>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J</w:t>
      </w:r>
      <w:r w:rsidR="00BF7D07" w:rsidRPr="00A60B24">
        <w:rPr>
          <w:rStyle w:val="Hyperlink"/>
          <w:rFonts w:ascii="Times New Roman" w:hAnsi="Times New Roman" w:cs="Times New Roman"/>
          <w:color w:val="000000" w:themeColor="text1"/>
          <w:sz w:val="20"/>
          <w:szCs w:val="20"/>
          <w:u w:val="none"/>
        </w:rPr>
        <w:t xml:space="preserve"> </w:t>
      </w:r>
      <w:proofErr w:type="spellStart"/>
      <w:r w:rsidRPr="00A60B24">
        <w:rPr>
          <w:rStyle w:val="Hyperlink"/>
          <w:rFonts w:ascii="Times New Roman" w:hAnsi="Times New Roman" w:cs="Times New Roman"/>
          <w:color w:val="000000" w:themeColor="text1"/>
          <w:sz w:val="20"/>
          <w:szCs w:val="20"/>
          <w:u w:val="none"/>
        </w:rPr>
        <w:t>Radiat</w:t>
      </w:r>
      <w:proofErr w:type="spellEnd"/>
      <w:r w:rsidR="00BF7D07" w:rsidRPr="00A60B24">
        <w:rPr>
          <w:rStyle w:val="Hyperlink"/>
          <w:rFonts w:ascii="Times New Roman" w:hAnsi="Times New Roman" w:cs="Times New Roman"/>
          <w:color w:val="000000" w:themeColor="text1"/>
          <w:sz w:val="20"/>
          <w:szCs w:val="20"/>
          <w:u w:val="none"/>
          <w:lang w:eastAsia="zh-CN"/>
        </w:rPr>
        <w:t xml:space="preserve"> </w:t>
      </w:r>
      <w:proofErr w:type="spellStart"/>
      <w:r w:rsidRPr="00A60B24">
        <w:rPr>
          <w:rStyle w:val="Hyperlink"/>
          <w:rFonts w:ascii="Times New Roman" w:hAnsi="Times New Roman" w:cs="Times New Roman"/>
          <w:color w:val="000000" w:themeColor="text1"/>
          <w:sz w:val="20"/>
          <w:szCs w:val="20"/>
          <w:u w:val="none"/>
        </w:rPr>
        <w:t>Oncol</w:t>
      </w:r>
      <w:proofErr w:type="spellEnd"/>
      <w:r w:rsidR="00BF7D07" w:rsidRPr="00A60B24">
        <w:rPr>
          <w:rStyle w:val="Hyperlink"/>
          <w:rFonts w:ascii="Times New Roman" w:hAnsi="Times New Roman" w:cs="Times New Roman"/>
          <w:color w:val="000000" w:themeColor="text1"/>
          <w:sz w:val="20"/>
          <w:szCs w:val="20"/>
          <w:u w:val="none"/>
          <w:lang w:eastAsia="zh-CN"/>
        </w:rPr>
        <w:t xml:space="preserve"> </w:t>
      </w:r>
      <w:proofErr w:type="spellStart"/>
      <w:r w:rsidRPr="00A60B24">
        <w:rPr>
          <w:rStyle w:val="Hyperlink"/>
          <w:rFonts w:ascii="Times New Roman" w:hAnsi="Times New Roman" w:cs="Times New Roman"/>
          <w:color w:val="000000" w:themeColor="text1"/>
          <w:sz w:val="20"/>
          <w:szCs w:val="20"/>
          <w:u w:val="none"/>
        </w:rPr>
        <w:t>Biol</w:t>
      </w:r>
      <w:proofErr w:type="spellEnd"/>
      <w:r w:rsidR="00BF7D07" w:rsidRPr="00A60B24">
        <w:rPr>
          <w:rStyle w:val="Hyperlink"/>
          <w:rFonts w:ascii="Times New Roman" w:hAnsi="Times New Roman" w:cs="Times New Roman"/>
          <w:color w:val="000000" w:themeColor="text1"/>
          <w:sz w:val="20"/>
          <w:szCs w:val="20"/>
          <w:u w:val="none"/>
          <w:lang w:eastAsia="zh-CN"/>
        </w:rPr>
        <w:t xml:space="preserve"> </w:t>
      </w:r>
      <w:r w:rsidRPr="00A60B24">
        <w:rPr>
          <w:rStyle w:val="Hyperlink"/>
          <w:rFonts w:ascii="Times New Roman" w:hAnsi="Times New Roman" w:cs="Times New Roman"/>
          <w:color w:val="000000" w:themeColor="text1"/>
          <w:sz w:val="20"/>
          <w:szCs w:val="20"/>
          <w:u w:val="none"/>
        </w:rPr>
        <w:t>Phys</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2007;69(1):</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141-147.</w:t>
      </w:r>
    </w:p>
    <w:p w:rsidR="0022135E" w:rsidRPr="00A60B24" w:rsidRDefault="004C3E1E" w:rsidP="00737872">
      <w:pPr>
        <w:pStyle w:val="ListParagraph"/>
        <w:numPr>
          <w:ilvl w:val="0"/>
          <w:numId w:val="10"/>
        </w:numPr>
        <w:autoSpaceDE w:val="0"/>
        <w:autoSpaceDN w:val="0"/>
        <w:bidi w:val="0"/>
        <w:adjustRightInd w:val="0"/>
        <w:snapToGrid w:val="0"/>
        <w:spacing w:after="0" w:line="240" w:lineRule="auto"/>
        <w:ind w:left="425" w:hanging="425"/>
        <w:jc w:val="both"/>
        <w:rPr>
          <w:rStyle w:val="Hyperlink"/>
          <w:rFonts w:ascii="Times New Roman" w:hAnsi="Times New Roman" w:cs="Times New Roman"/>
          <w:color w:val="000000" w:themeColor="text1"/>
          <w:sz w:val="20"/>
          <w:szCs w:val="20"/>
          <w:u w:val="none"/>
        </w:rPr>
      </w:pPr>
      <w:proofErr w:type="spellStart"/>
      <w:r w:rsidRPr="00A60B24">
        <w:rPr>
          <w:rFonts w:ascii="Times New Roman" w:hAnsi="Times New Roman" w:cs="Times New Roman"/>
          <w:sz w:val="20"/>
          <w:szCs w:val="20"/>
        </w:rPr>
        <w:t>Rastogi</w:t>
      </w:r>
      <w:proofErr w:type="spellEnd"/>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M,</w:t>
      </w:r>
      <w:r w:rsidR="00BF7D07" w:rsidRPr="00A60B24">
        <w:rPr>
          <w:rFonts w:ascii="Times New Roman" w:hAnsi="Times New Roman" w:cs="Times New Roman"/>
          <w:sz w:val="20"/>
          <w:szCs w:val="20"/>
        </w:rPr>
        <w:t xml:space="preserve"> </w:t>
      </w:r>
      <w:proofErr w:type="spellStart"/>
      <w:r w:rsidRPr="00A60B24">
        <w:rPr>
          <w:rFonts w:ascii="Times New Roman" w:hAnsi="Times New Roman" w:cs="Times New Roman"/>
          <w:sz w:val="20"/>
          <w:szCs w:val="20"/>
        </w:rPr>
        <w:t>Sapru</w:t>
      </w:r>
      <w:proofErr w:type="spellEnd"/>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S,</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Gupta</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P,</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et</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al.</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Prospective</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evaluation</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of</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Intensity</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Modulated</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Radiation</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Therapy</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with</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Simultaneous</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Integrated</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Boost</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(IMRT-SIB)</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in</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head</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and</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neck</w:t>
      </w:r>
      <w:r w:rsidR="00BF7D07" w:rsidRPr="00A60B24">
        <w:rPr>
          <w:rStyle w:val="Hyperlink"/>
          <w:rFonts w:ascii="Times New Roman" w:hAnsi="Times New Roman" w:cs="Times New Roman"/>
          <w:color w:val="000000" w:themeColor="text1"/>
          <w:sz w:val="20"/>
          <w:szCs w:val="20"/>
          <w:u w:val="none"/>
        </w:rPr>
        <w:t xml:space="preserve"> </w:t>
      </w:r>
      <w:proofErr w:type="spellStart"/>
      <w:r w:rsidRPr="00A60B24">
        <w:rPr>
          <w:rStyle w:val="Hyperlink"/>
          <w:rFonts w:ascii="Times New Roman" w:hAnsi="Times New Roman" w:cs="Times New Roman"/>
          <w:color w:val="000000" w:themeColor="text1"/>
          <w:sz w:val="20"/>
          <w:szCs w:val="20"/>
          <w:u w:val="none"/>
        </w:rPr>
        <w:t>squamous</w:t>
      </w:r>
      <w:proofErr w:type="spellEnd"/>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cell</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carcinoma</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in</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patients</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not</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suitable</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for</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chemo-</w:t>
      </w:r>
      <w:r w:rsidRPr="00A60B24">
        <w:rPr>
          <w:rStyle w:val="Hyperlink"/>
          <w:rFonts w:ascii="Times New Roman" w:hAnsi="Times New Roman" w:cs="Times New Roman"/>
          <w:color w:val="000000" w:themeColor="text1"/>
          <w:sz w:val="20"/>
          <w:szCs w:val="20"/>
          <w:u w:val="none"/>
        </w:rPr>
        <w:lastRenderedPageBreak/>
        <w:t>radiotherapy.</w:t>
      </w:r>
      <w:r w:rsidR="00BF7D07" w:rsidRPr="00A60B24">
        <w:rPr>
          <w:rStyle w:val="Hyperlink"/>
          <w:rFonts w:ascii="Times New Roman" w:hAnsi="Times New Roman" w:cs="Times New Roman"/>
          <w:color w:val="000000" w:themeColor="text1"/>
          <w:sz w:val="20"/>
          <w:szCs w:val="20"/>
          <w:u w:val="none"/>
        </w:rPr>
        <w:t xml:space="preserve"> </w:t>
      </w:r>
      <w:proofErr w:type="spellStart"/>
      <w:r w:rsidRPr="00A60B24">
        <w:rPr>
          <w:rStyle w:val="Hyperlink"/>
          <w:rFonts w:ascii="Times New Roman" w:hAnsi="Times New Roman" w:cs="Times New Roman"/>
          <w:color w:val="000000" w:themeColor="text1"/>
          <w:sz w:val="20"/>
          <w:szCs w:val="20"/>
          <w:u w:val="none"/>
        </w:rPr>
        <w:t>Pfister</w:t>
      </w:r>
      <w:proofErr w:type="spellEnd"/>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Oral</w:t>
      </w:r>
      <w:r w:rsidR="00BF7D07" w:rsidRPr="00A60B24">
        <w:rPr>
          <w:rStyle w:val="Hyperlink"/>
          <w:rFonts w:ascii="Times New Roman" w:hAnsi="Times New Roman" w:cs="Times New Roman"/>
          <w:color w:val="000000" w:themeColor="text1"/>
          <w:sz w:val="20"/>
          <w:szCs w:val="20"/>
          <w:u w:val="none"/>
        </w:rPr>
        <w:t xml:space="preserve"> </w:t>
      </w:r>
      <w:proofErr w:type="spellStart"/>
      <w:r w:rsidRPr="00A60B24">
        <w:rPr>
          <w:rStyle w:val="Hyperlink"/>
          <w:rFonts w:ascii="Times New Roman" w:hAnsi="Times New Roman" w:cs="Times New Roman"/>
          <w:color w:val="000000" w:themeColor="text1"/>
          <w:sz w:val="20"/>
          <w:szCs w:val="20"/>
          <w:u w:val="none"/>
        </w:rPr>
        <w:t>Oncolog</w:t>
      </w:r>
      <w:proofErr w:type="spellEnd"/>
      <w:r w:rsidRPr="00A60B24">
        <w:rPr>
          <w:rStyle w:val="Hyperlink"/>
          <w:rFonts w:ascii="Times New Roman" w:hAnsi="Times New Roman" w:cs="Times New Roman"/>
          <w:color w:val="000000" w:themeColor="text1"/>
          <w:sz w:val="20"/>
          <w:szCs w:val="20"/>
          <w:u w:val="none"/>
        </w:rPr>
        <w:t>.</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2017;67,10–1</w:t>
      </w:r>
      <w:r w:rsidR="0022135E" w:rsidRPr="00A60B24">
        <w:rPr>
          <w:rStyle w:val="Hyperlink"/>
          <w:rFonts w:ascii="Times New Roman" w:hAnsi="Times New Roman" w:cs="Times New Roman"/>
          <w:color w:val="000000" w:themeColor="text1"/>
          <w:sz w:val="20"/>
          <w:szCs w:val="20"/>
          <w:u w:val="none"/>
        </w:rPr>
        <w:t>6.</w:t>
      </w:r>
    </w:p>
    <w:p w:rsidR="004C3E1E" w:rsidRPr="00A60B24" w:rsidRDefault="004C3E1E" w:rsidP="00737872">
      <w:pPr>
        <w:pStyle w:val="ListParagraph"/>
        <w:numPr>
          <w:ilvl w:val="0"/>
          <w:numId w:val="10"/>
        </w:numPr>
        <w:autoSpaceDE w:val="0"/>
        <w:autoSpaceDN w:val="0"/>
        <w:bidi w:val="0"/>
        <w:adjustRightInd w:val="0"/>
        <w:snapToGrid w:val="0"/>
        <w:spacing w:after="0" w:line="240" w:lineRule="auto"/>
        <w:ind w:left="425" w:hanging="425"/>
        <w:jc w:val="both"/>
        <w:rPr>
          <w:rStyle w:val="Hyperlink"/>
          <w:rFonts w:ascii="Times New Roman" w:hAnsi="Times New Roman" w:cs="Times New Roman"/>
          <w:color w:val="000000" w:themeColor="text1"/>
          <w:sz w:val="20"/>
          <w:szCs w:val="20"/>
          <w:u w:val="none"/>
        </w:rPr>
      </w:pPr>
      <w:proofErr w:type="spellStart"/>
      <w:r w:rsidRPr="00A60B24">
        <w:rPr>
          <w:rFonts w:ascii="Times New Roman" w:hAnsi="Times New Roman" w:cs="Times New Roman"/>
          <w:sz w:val="20"/>
          <w:szCs w:val="20"/>
        </w:rPr>
        <w:t>Rathod</w:t>
      </w:r>
      <w:proofErr w:type="spellEnd"/>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S,</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Gupta</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T,</w:t>
      </w:r>
      <w:r w:rsidR="00BF7D07" w:rsidRPr="00A60B24">
        <w:rPr>
          <w:rFonts w:ascii="Times New Roman" w:hAnsi="Times New Roman" w:cs="Times New Roman"/>
          <w:sz w:val="20"/>
          <w:szCs w:val="20"/>
        </w:rPr>
        <w:t xml:space="preserve"> </w:t>
      </w:r>
      <w:proofErr w:type="spellStart"/>
      <w:r w:rsidRPr="00A60B24">
        <w:rPr>
          <w:rFonts w:ascii="Times New Roman" w:hAnsi="Times New Roman" w:cs="Times New Roman"/>
          <w:sz w:val="20"/>
          <w:szCs w:val="20"/>
        </w:rPr>
        <w:t>Ghosh-Laskar</w:t>
      </w:r>
      <w:proofErr w:type="spellEnd"/>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S,</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et</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al.</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Quality-of-life</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(HRQOL)</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outcomes</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in</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patients</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with</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head</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and</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neck</w:t>
      </w:r>
      <w:r w:rsidR="00BF7D07" w:rsidRPr="00A60B24">
        <w:rPr>
          <w:rStyle w:val="Hyperlink"/>
          <w:rFonts w:ascii="Times New Roman" w:hAnsi="Times New Roman" w:cs="Times New Roman"/>
          <w:color w:val="000000" w:themeColor="text1"/>
          <w:sz w:val="20"/>
          <w:szCs w:val="20"/>
          <w:u w:val="none"/>
        </w:rPr>
        <w:t xml:space="preserve"> </w:t>
      </w:r>
      <w:proofErr w:type="spellStart"/>
      <w:r w:rsidRPr="00A60B24">
        <w:rPr>
          <w:rStyle w:val="Hyperlink"/>
          <w:rFonts w:ascii="Times New Roman" w:hAnsi="Times New Roman" w:cs="Times New Roman"/>
          <w:color w:val="000000" w:themeColor="text1"/>
          <w:sz w:val="20"/>
          <w:szCs w:val="20"/>
          <w:u w:val="none"/>
        </w:rPr>
        <w:t>squamous</w:t>
      </w:r>
      <w:proofErr w:type="spellEnd"/>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cell</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carcinoma</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(HNSCC)</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treated</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with</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intensity-modulated</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radiation</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therapy</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(IMRT)</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compared</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to</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three-dimensional</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conformal</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radiotherapy</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(3D-CRT):</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Evidence</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from</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a</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prospective</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randomized</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study.</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Oral</w:t>
      </w:r>
      <w:r w:rsidR="00BF7D07" w:rsidRPr="00A60B24">
        <w:rPr>
          <w:rStyle w:val="Hyperlink"/>
          <w:rFonts w:ascii="Times New Roman" w:hAnsi="Times New Roman" w:cs="Times New Roman"/>
          <w:color w:val="000000" w:themeColor="text1"/>
          <w:sz w:val="20"/>
          <w:szCs w:val="20"/>
          <w:u w:val="none"/>
        </w:rPr>
        <w:t xml:space="preserve"> </w:t>
      </w:r>
      <w:proofErr w:type="spellStart"/>
      <w:r w:rsidRPr="00A60B24">
        <w:rPr>
          <w:rStyle w:val="Hyperlink"/>
          <w:rFonts w:ascii="Times New Roman" w:hAnsi="Times New Roman" w:cs="Times New Roman"/>
          <w:color w:val="000000" w:themeColor="text1"/>
          <w:sz w:val="20"/>
          <w:szCs w:val="20"/>
          <w:u w:val="none"/>
        </w:rPr>
        <w:t>Oncol</w:t>
      </w:r>
      <w:proofErr w:type="spellEnd"/>
      <w:r w:rsidRPr="00A60B24">
        <w:rPr>
          <w:rStyle w:val="Hyperlink"/>
          <w:rFonts w:ascii="Times New Roman" w:hAnsi="Times New Roman" w:cs="Times New Roman"/>
          <w:color w:val="000000" w:themeColor="text1"/>
          <w:sz w:val="20"/>
          <w:szCs w:val="20"/>
          <w:u w:val="none"/>
        </w:rPr>
        <w:t>.</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2013;49:634-642.</w:t>
      </w:r>
    </w:p>
    <w:p w:rsidR="004C3E1E" w:rsidRPr="00A60B24" w:rsidRDefault="004C3E1E" w:rsidP="00737872">
      <w:pPr>
        <w:pStyle w:val="ListParagraph"/>
        <w:numPr>
          <w:ilvl w:val="0"/>
          <w:numId w:val="10"/>
        </w:numPr>
        <w:autoSpaceDE w:val="0"/>
        <w:autoSpaceDN w:val="0"/>
        <w:bidi w:val="0"/>
        <w:adjustRightInd w:val="0"/>
        <w:snapToGrid w:val="0"/>
        <w:spacing w:after="0" w:line="240" w:lineRule="auto"/>
        <w:ind w:left="425" w:hanging="425"/>
        <w:jc w:val="both"/>
        <w:rPr>
          <w:rStyle w:val="Hyperlink"/>
          <w:rFonts w:ascii="Times New Roman" w:hAnsi="Times New Roman" w:cs="Times New Roman"/>
          <w:color w:val="000000" w:themeColor="text1"/>
          <w:sz w:val="20"/>
          <w:szCs w:val="20"/>
          <w:u w:val="none"/>
        </w:rPr>
      </w:pPr>
      <w:r w:rsidRPr="00A60B24">
        <w:rPr>
          <w:rFonts w:ascii="Times New Roman" w:hAnsi="Times New Roman" w:cs="Times New Roman"/>
          <w:sz w:val="20"/>
          <w:szCs w:val="20"/>
        </w:rPr>
        <w:t>Huang</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TL,</w:t>
      </w:r>
      <w:r w:rsidR="00BF7D07" w:rsidRPr="00A60B24">
        <w:rPr>
          <w:rFonts w:ascii="Times New Roman" w:hAnsi="Times New Roman" w:cs="Times New Roman"/>
          <w:sz w:val="20"/>
          <w:szCs w:val="20"/>
        </w:rPr>
        <w:t xml:space="preserve"> </w:t>
      </w:r>
      <w:proofErr w:type="spellStart"/>
      <w:r w:rsidRPr="00A60B24">
        <w:rPr>
          <w:rFonts w:ascii="Times New Roman" w:hAnsi="Times New Roman" w:cs="Times New Roman"/>
          <w:sz w:val="20"/>
          <w:szCs w:val="20"/>
        </w:rPr>
        <w:t>Chien</w:t>
      </w:r>
      <w:proofErr w:type="spellEnd"/>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CY,</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Tsai</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WL,</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et</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al</w:t>
      </w:r>
      <w:r w:rsidRPr="00A60B24">
        <w:rPr>
          <w:rStyle w:val="Hyperlink"/>
          <w:rFonts w:ascii="Times New Roman" w:hAnsi="Times New Roman" w:cs="Times New Roman"/>
          <w:color w:val="000000" w:themeColor="text1"/>
          <w:sz w:val="20"/>
          <w:szCs w:val="20"/>
          <w:u w:val="none"/>
          <w:lang w:val="fr-FR"/>
        </w:rPr>
        <w:t>.</w:t>
      </w:r>
      <w:r w:rsidR="00BF7D07" w:rsidRPr="00A60B24">
        <w:rPr>
          <w:rStyle w:val="Hyperlink"/>
          <w:rFonts w:ascii="Times New Roman" w:hAnsi="Times New Roman" w:cs="Times New Roman"/>
          <w:color w:val="000000" w:themeColor="text1"/>
          <w:sz w:val="20"/>
          <w:szCs w:val="20"/>
          <w:u w:val="none"/>
          <w:lang w:val="fr-FR"/>
        </w:rPr>
        <w:t xml:space="preserve"> </w:t>
      </w:r>
      <w:r w:rsidRPr="00A60B24">
        <w:rPr>
          <w:rStyle w:val="Hyperlink"/>
          <w:rFonts w:ascii="Times New Roman" w:hAnsi="Times New Roman" w:cs="Times New Roman"/>
          <w:color w:val="000000" w:themeColor="text1"/>
          <w:sz w:val="20"/>
          <w:szCs w:val="20"/>
          <w:u w:val="none"/>
        </w:rPr>
        <w:t>Long-term</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late</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toxicities</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and</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quality</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of</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life</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for</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survivors</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of</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nasopharyngeal</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carcinoma</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treated</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with</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intensity-modulated</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radiotherapy</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versus</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non-intensity</w:t>
      </w:r>
      <w:r w:rsidR="00BF7D07" w:rsidRPr="00A60B24">
        <w:rPr>
          <w:rStyle w:val="Hyperlink"/>
          <w:rFonts w:ascii="Times New Roman" w:hAnsi="Times New Roman" w:cs="Times New Roman"/>
          <w:color w:val="000000" w:themeColor="text1"/>
          <w:sz w:val="20"/>
          <w:szCs w:val="20"/>
          <w:u w:val="none"/>
          <w:lang w:eastAsia="zh-CN"/>
        </w:rPr>
        <w:t xml:space="preserve"> </w:t>
      </w:r>
      <w:r w:rsidRPr="00A60B24">
        <w:rPr>
          <w:rStyle w:val="Hyperlink"/>
          <w:rFonts w:ascii="Times New Roman" w:hAnsi="Times New Roman" w:cs="Times New Roman"/>
          <w:color w:val="000000" w:themeColor="text1"/>
          <w:sz w:val="20"/>
          <w:szCs w:val="20"/>
          <w:u w:val="none"/>
        </w:rPr>
        <w:t>modulated</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radiotherapy.</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Head</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Neck.</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2016;38(1):E1026-32.</w:t>
      </w:r>
    </w:p>
    <w:p w:rsidR="00737872" w:rsidRPr="00A60B24" w:rsidRDefault="004C3E1E" w:rsidP="00737872">
      <w:pPr>
        <w:pStyle w:val="ListParagraph"/>
        <w:numPr>
          <w:ilvl w:val="0"/>
          <w:numId w:val="10"/>
        </w:numPr>
        <w:bidi w:val="0"/>
        <w:snapToGrid w:val="0"/>
        <w:spacing w:after="0" w:line="240" w:lineRule="auto"/>
        <w:ind w:left="425" w:hanging="425"/>
        <w:jc w:val="both"/>
        <w:rPr>
          <w:rFonts w:ascii="Times New Roman" w:hAnsi="Times New Roman" w:cs="Times New Roman"/>
          <w:sz w:val="20"/>
          <w:szCs w:val="20"/>
        </w:rPr>
      </w:pPr>
      <w:proofErr w:type="spellStart"/>
      <w:r w:rsidRPr="00A60B24">
        <w:rPr>
          <w:rFonts w:ascii="Times New Roman" w:hAnsi="Times New Roman" w:cs="Times New Roman"/>
          <w:color w:val="000000" w:themeColor="text1"/>
          <w:sz w:val="20"/>
          <w:szCs w:val="20"/>
        </w:rPr>
        <w:t>Edvar</w:t>
      </w:r>
      <w:r w:rsidR="0022135E" w:rsidRPr="00A60B24">
        <w:rPr>
          <w:rFonts w:ascii="Times New Roman" w:hAnsi="Times New Roman" w:cs="Times New Roman"/>
          <w:color w:val="000000" w:themeColor="text1"/>
          <w:sz w:val="20"/>
          <w:szCs w:val="20"/>
        </w:rPr>
        <w:t>d</w:t>
      </w:r>
      <w:proofErr w:type="spellEnd"/>
      <w:r w:rsidR="0022135E" w:rsidRPr="00A60B24">
        <w:rPr>
          <w:rFonts w:ascii="Times New Roman" w:hAnsi="Times New Roman" w:cs="Times New Roman"/>
          <w:color w:val="000000" w:themeColor="text1"/>
          <w:sz w:val="20"/>
          <w:szCs w:val="20"/>
        </w:rPr>
        <w:t xml:space="preserve"> A</w:t>
      </w:r>
      <w:r w:rsidRPr="00A60B24">
        <w:rPr>
          <w:rFonts w:ascii="Times New Roman" w:hAnsi="Times New Roman" w:cs="Times New Roman"/>
          <w:color w:val="000000" w:themeColor="text1"/>
          <w:sz w:val="20"/>
          <w:szCs w:val="20"/>
        </w:rPr>
        <w:t>bel,</w:t>
      </w:r>
      <w:r w:rsidR="00BF7D07" w:rsidRPr="00A60B24">
        <w:rPr>
          <w:rFonts w:ascii="Times New Roman" w:hAnsi="Times New Roman" w:cs="Times New Roman"/>
          <w:color w:val="000000" w:themeColor="text1"/>
          <w:sz w:val="20"/>
          <w:szCs w:val="20"/>
          <w:lang w:eastAsia="zh-CN"/>
        </w:rPr>
        <w:t xml:space="preserve"> </w:t>
      </w:r>
      <w:proofErr w:type="spellStart"/>
      <w:r w:rsidRPr="00A60B24">
        <w:rPr>
          <w:rFonts w:ascii="Times New Roman" w:hAnsi="Times New Roman" w:cs="Times New Roman"/>
          <w:color w:val="000000" w:themeColor="text1"/>
          <w:sz w:val="20"/>
          <w:szCs w:val="20"/>
        </w:rPr>
        <w:t>Ewa</w:t>
      </w:r>
      <w:proofErr w:type="spellEnd"/>
      <w:r w:rsidR="00BF7D07" w:rsidRPr="00A60B24">
        <w:rPr>
          <w:rFonts w:ascii="Times New Roman" w:hAnsi="Times New Roman" w:cs="Times New Roman"/>
          <w:color w:val="000000" w:themeColor="text1"/>
          <w:sz w:val="20"/>
          <w:szCs w:val="20"/>
          <w:lang w:eastAsia="zh-CN"/>
        </w:rPr>
        <w:t xml:space="preserve"> </w:t>
      </w:r>
      <w:proofErr w:type="spellStart"/>
      <w:r w:rsidRPr="00A60B24">
        <w:rPr>
          <w:rFonts w:ascii="Times New Roman" w:hAnsi="Times New Roman" w:cs="Times New Roman"/>
          <w:color w:val="000000" w:themeColor="text1"/>
          <w:sz w:val="20"/>
          <w:szCs w:val="20"/>
        </w:rPr>
        <w:t>Silander</w:t>
      </w:r>
      <w:proofErr w:type="spellEnd"/>
      <w:r w:rsidRPr="00A60B24">
        <w:rPr>
          <w:rFonts w:ascii="Times New Roman" w:hAnsi="Times New Roman" w:cs="Times New Roman"/>
          <w:color w:val="000000" w:themeColor="text1"/>
          <w:sz w:val="20"/>
          <w:szCs w:val="20"/>
        </w:rPr>
        <w:t>,</w:t>
      </w:r>
      <w:r w:rsidR="00BF7D07" w:rsidRPr="00A60B24">
        <w:rPr>
          <w:rFonts w:ascii="Times New Roman" w:hAnsi="Times New Roman" w:cs="Times New Roman"/>
          <w:color w:val="000000" w:themeColor="text1"/>
          <w:sz w:val="20"/>
          <w:szCs w:val="20"/>
        </w:rPr>
        <w:t xml:space="preserve"> </w:t>
      </w:r>
      <w:r w:rsidRPr="00A60B24">
        <w:rPr>
          <w:rFonts w:ascii="Times New Roman" w:hAnsi="Times New Roman" w:cs="Times New Roman"/>
          <w:color w:val="000000" w:themeColor="text1"/>
          <w:sz w:val="20"/>
          <w:szCs w:val="20"/>
        </w:rPr>
        <w:t>Jan</w:t>
      </w:r>
      <w:r w:rsidR="00BF7D07" w:rsidRPr="00A60B24">
        <w:rPr>
          <w:rFonts w:ascii="Times New Roman" w:hAnsi="Times New Roman" w:cs="Times New Roman"/>
          <w:color w:val="000000" w:themeColor="text1"/>
          <w:sz w:val="20"/>
          <w:szCs w:val="20"/>
        </w:rPr>
        <w:t xml:space="preserve"> </w:t>
      </w:r>
      <w:r w:rsidRPr="00A60B24">
        <w:rPr>
          <w:rFonts w:ascii="Times New Roman" w:hAnsi="Times New Roman" w:cs="Times New Roman"/>
          <w:color w:val="000000" w:themeColor="text1"/>
          <w:sz w:val="20"/>
          <w:szCs w:val="20"/>
        </w:rPr>
        <w:t>Nyman</w:t>
      </w:r>
      <w:r w:rsidR="00BF7D07" w:rsidRPr="00A60B24">
        <w:rPr>
          <w:rFonts w:ascii="Times New Roman" w:hAnsi="Times New Roman" w:cs="Times New Roman"/>
          <w:color w:val="000000" w:themeColor="text1"/>
          <w:sz w:val="20"/>
          <w:szCs w:val="20"/>
        </w:rPr>
        <w:t xml:space="preserve"> </w:t>
      </w:r>
      <w:r w:rsidRPr="00A60B24">
        <w:rPr>
          <w:rFonts w:ascii="Times New Roman" w:hAnsi="Times New Roman" w:cs="Times New Roman"/>
          <w:color w:val="000000" w:themeColor="text1"/>
          <w:sz w:val="20"/>
          <w:szCs w:val="20"/>
        </w:rPr>
        <w:t>et</w:t>
      </w:r>
      <w:r w:rsidR="00BF7D07" w:rsidRPr="00A60B24">
        <w:rPr>
          <w:rFonts w:ascii="Times New Roman" w:hAnsi="Times New Roman" w:cs="Times New Roman"/>
          <w:color w:val="000000" w:themeColor="text1"/>
          <w:sz w:val="20"/>
          <w:szCs w:val="20"/>
        </w:rPr>
        <w:t xml:space="preserve"> </w:t>
      </w:r>
      <w:r w:rsidRPr="00A60B24">
        <w:rPr>
          <w:rFonts w:ascii="Times New Roman" w:hAnsi="Times New Roman" w:cs="Times New Roman"/>
          <w:color w:val="000000" w:themeColor="text1"/>
          <w:sz w:val="20"/>
          <w:szCs w:val="20"/>
        </w:rPr>
        <w:t>al.</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Impact</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on</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quality</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of</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life</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of</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IMRT</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versus</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3-D</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conformal</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radiation</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therapy</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in</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head</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and</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neck</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cancer</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patients:</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A</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case</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control</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study.</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Advances</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in</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Radiation</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Oncology</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(2017)</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2,</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346-35</w:t>
      </w:r>
      <w:r w:rsidR="00737872" w:rsidRPr="00A60B24">
        <w:rPr>
          <w:rFonts w:ascii="Times New Roman" w:hAnsi="Times New Roman" w:cs="Times New Roman"/>
          <w:sz w:val="20"/>
          <w:szCs w:val="20"/>
        </w:rPr>
        <w:t>3.</w:t>
      </w:r>
    </w:p>
    <w:p w:rsidR="004C3E1E" w:rsidRPr="00A60B24" w:rsidRDefault="004C3E1E" w:rsidP="00737872">
      <w:pPr>
        <w:pStyle w:val="ListParagraph"/>
        <w:numPr>
          <w:ilvl w:val="0"/>
          <w:numId w:val="10"/>
        </w:numPr>
        <w:autoSpaceDE w:val="0"/>
        <w:autoSpaceDN w:val="0"/>
        <w:bidi w:val="0"/>
        <w:adjustRightInd w:val="0"/>
        <w:snapToGrid w:val="0"/>
        <w:spacing w:after="0" w:line="240" w:lineRule="auto"/>
        <w:ind w:left="425" w:hanging="425"/>
        <w:jc w:val="both"/>
        <w:rPr>
          <w:rStyle w:val="Hyperlink"/>
          <w:rFonts w:ascii="Times New Roman" w:hAnsi="Times New Roman" w:cs="Times New Roman"/>
          <w:color w:val="000000" w:themeColor="text1"/>
          <w:sz w:val="20"/>
          <w:szCs w:val="20"/>
          <w:u w:val="none"/>
        </w:rPr>
      </w:pPr>
      <w:proofErr w:type="spellStart"/>
      <w:r w:rsidRPr="00A60B24">
        <w:rPr>
          <w:rFonts w:ascii="Times New Roman" w:hAnsi="Times New Roman" w:cs="Times New Roman"/>
          <w:sz w:val="20"/>
          <w:szCs w:val="20"/>
        </w:rPr>
        <w:t>Lertbutsayanukul</w:t>
      </w:r>
      <w:proofErr w:type="spellEnd"/>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C</w:t>
      </w:r>
      <w:r w:rsidRPr="00A60B24">
        <w:rPr>
          <w:rStyle w:val="Hyperlink"/>
          <w:rFonts w:ascii="Times New Roman" w:hAnsi="Times New Roman" w:cs="Times New Roman"/>
          <w:color w:val="000000" w:themeColor="text1"/>
          <w:sz w:val="20"/>
          <w:szCs w:val="20"/>
          <w:u w:val="none"/>
        </w:rPr>
        <w:t>,</w:t>
      </w:r>
      <w:r w:rsidR="00BF7D07" w:rsidRPr="00A60B24">
        <w:rPr>
          <w:rStyle w:val="Hyperlink"/>
          <w:rFonts w:ascii="Times New Roman" w:hAnsi="Times New Roman" w:cs="Times New Roman"/>
          <w:color w:val="000000" w:themeColor="text1"/>
          <w:sz w:val="20"/>
          <w:szCs w:val="20"/>
          <w:u w:val="none"/>
        </w:rPr>
        <w:t xml:space="preserve"> </w:t>
      </w:r>
      <w:proofErr w:type="spellStart"/>
      <w:r w:rsidRPr="00A60B24">
        <w:rPr>
          <w:rFonts w:ascii="Times New Roman" w:hAnsi="Times New Roman" w:cs="Times New Roman"/>
          <w:sz w:val="20"/>
          <w:szCs w:val="20"/>
        </w:rPr>
        <w:t>Khorprasert</w:t>
      </w:r>
      <w:proofErr w:type="spellEnd"/>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C</w:t>
      </w:r>
      <w:r w:rsidRPr="00A60B24">
        <w:rPr>
          <w:rStyle w:val="Hyperlink"/>
          <w:rFonts w:ascii="Times New Roman" w:hAnsi="Times New Roman" w:cs="Times New Roman"/>
          <w:color w:val="000000" w:themeColor="text1"/>
          <w:sz w:val="20"/>
          <w:szCs w:val="20"/>
          <w:u w:val="none"/>
        </w:rPr>
        <w:t>,</w:t>
      </w:r>
      <w:r w:rsidR="00BF7D07" w:rsidRPr="00A60B24">
        <w:rPr>
          <w:rStyle w:val="Hyperlink"/>
          <w:rFonts w:ascii="Times New Roman" w:hAnsi="Times New Roman" w:cs="Times New Roman"/>
          <w:color w:val="000000" w:themeColor="text1"/>
          <w:sz w:val="20"/>
          <w:szCs w:val="20"/>
          <w:u w:val="none"/>
        </w:rPr>
        <w:t xml:space="preserve"> </w:t>
      </w:r>
      <w:proofErr w:type="spellStart"/>
      <w:r w:rsidRPr="00A60B24">
        <w:rPr>
          <w:rFonts w:ascii="Times New Roman" w:hAnsi="Times New Roman" w:cs="Times New Roman"/>
          <w:sz w:val="20"/>
          <w:szCs w:val="20"/>
        </w:rPr>
        <w:t>Shotelersuk</w:t>
      </w:r>
      <w:proofErr w:type="spellEnd"/>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K</w:t>
      </w:r>
      <w:r w:rsidRPr="00A60B24">
        <w:rPr>
          <w:rStyle w:val="Hyperlink"/>
          <w:rFonts w:ascii="Times New Roman" w:hAnsi="Times New Roman" w:cs="Times New Roman"/>
          <w:color w:val="000000" w:themeColor="text1"/>
          <w:sz w:val="20"/>
          <w:szCs w:val="20"/>
          <w:u w:val="none"/>
        </w:rPr>
        <w:t>,</w:t>
      </w:r>
      <w:r w:rsidR="00BF7D07" w:rsidRPr="00A60B24">
        <w:rPr>
          <w:rStyle w:val="Hyperlink"/>
          <w:rFonts w:ascii="Times New Roman" w:hAnsi="Times New Roman" w:cs="Times New Roman"/>
          <w:color w:val="000000" w:themeColor="text1"/>
          <w:sz w:val="20"/>
          <w:szCs w:val="20"/>
          <w:u w:val="none"/>
        </w:rPr>
        <w:t xml:space="preserve"> </w:t>
      </w:r>
      <w:r w:rsidRPr="00A60B24">
        <w:rPr>
          <w:rFonts w:ascii="Times New Roman" w:hAnsi="Times New Roman" w:cs="Times New Roman"/>
          <w:sz w:val="20"/>
          <w:szCs w:val="20"/>
        </w:rPr>
        <w:t>et</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al</w:t>
      </w:r>
      <w:r w:rsidRPr="00A60B24">
        <w:rPr>
          <w:rStyle w:val="Hyperlink"/>
          <w:rFonts w:ascii="Times New Roman" w:hAnsi="Times New Roman" w:cs="Times New Roman"/>
          <w:color w:val="000000" w:themeColor="text1"/>
          <w:sz w:val="20"/>
          <w:szCs w:val="20"/>
          <w:u w:val="none"/>
        </w:rPr>
        <w:t>.</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Intensity-modulated</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radiation</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therapy</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in</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head-and-neck</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cancer,</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first</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report</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in</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Thailand.</w:t>
      </w:r>
      <w:r w:rsidR="00BF7D07" w:rsidRPr="00A60B24">
        <w:rPr>
          <w:rStyle w:val="Hyperlink"/>
          <w:rFonts w:ascii="Times New Roman" w:hAnsi="Times New Roman" w:cs="Times New Roman"/>
          <w:color w:val="000000" w:themeColor="text1"/>
          <w:sz w:val="20"/>
          <w:szCs w:val="20"/>
          <w:u w:val="none"/>
          <w:lang w:eastAsia="zh-CN"/>
        </w:rPr>
        <w:t xml:space="preserve"> </w:t>
      </w:r>
      <w:r w:rsidRPr="00A60B24">
        <w:rPr>
          <w:rFonts w:ascii="Times New Roman" w:hAnsi="Times New Roman" w:cs="Times New Roman"/>
          <w:sz w:val="20"/>
          <w:szCs w:val="20"/>
        </w:rPr>
        <w:t>J</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Med</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Assoc</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Thai.</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2006</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Dec;</w:t>
      </w:r>
      <w:r w:rsidR="00BF7D07" w:rsidRPr="00A60B24">
        <w:rPr>
          <w:rStyle w:val="Hyperlink"/>
          <w:rFonts w:ascii="Times New Roman" w:hAnsi="Times New Roman" w:cs="Times New Roman"/>
          <w:color w:val="000000" w:themeColor="text1"/>
          <w:sz w:val="20"/>
          <w:szCs w:val="20"/>
          <w:u w:val="none"/>
          <w:lang w:eastAsia="zh-CN"/>
        </w:rPr>
        <w:t xml:space="preserve"> </w:t>
      </w:r>
      <w:r w:rsidRPr="00A60B24">
        <w:rPr>
          <w:rStyle w:val="Hyperlink"/>
          <w:rFonts w:ascii="Times New Roman" w:hAnsi="Times New Roman" w:cs="Times New Roman"/>
          <w:color w:val="000000" w:themeColor="text1"/>
          <w:sz w:val="20"/>
          <w:szCs w:val="20"/>
          <w:u w:val="none"/>
        </w:rPr>
        <w:t>89(12):2068-76.</w:t>
      </w:r>
    </w:p>
    <w:p w:rsidR="00737872" w:rsidRPr="00A60B24" w:rsidRDefault="004C3E1E" w:rsidP="00737872">
      <w:pPr>
        <w:pStyle w:val="ListParagraph"/>
        <w:numPr>
          <w:ilvl w:val="0"/>
          <w:numId w:val="10"/>
        </w:numPr>
        <w:autoSpaceDE w:val="0"/>
        <w:autoSpaceDN w:val="0"/>
        <w:bidi w:val="0"/>
        <w:adjustRightInd w:val="0"/>
        <w:snapToGrid w:val="0"/>
        <w:spacing w:after="0" w:line="240" w:lineRule="auto"/>
        <w:ind w:left="425" w:hanging="425"/>
        <w:jc w:val="both"/>
        <w:rPr>
          <w:rStyle w:val="Hyperlink"/>
          <w:rFonts w:ascii="Times New Roman" w:hAnsi="Times New Roman" w:cs="Times New Roman"/>
          <w:color w:val="000000" w:themeColor="text1"/>
          <w:sz w:val="20"/>
          <w:szCs w:val="20"/>
          <w:u w:val="none"/>
        </w:rPr>
      </w:pPr>
      <w:r w:rsidRPr="00A60B24">
        <w:rPr>
          <w:rFonts w:ascii="Times New Roman" w:hAnsi="Times New Roman" w:cs="Times New Roman"/>
          <w:sz w:val="20"/>
          <w:szCs w:val="20"/>
          <w:lang w:val="fr-FR"/>
        </w:rPr>
        <w:t>Montejo</w:t>
      </w:r>
      <w:r w:rsidR="00BF7D07" w:rsidRPr="00A60B24">
        <w:rPr>
          <w:rFonts w:ascii="Times New Roman" w:hAnsi="Times New Roman" w:cs="Times New Roman"/>
          <w:sz w:val="20"/>
          <w:szCs w:val="20"/>
          <w:lang w:val="fr-FR"/>
        </w:rPr>
        <w:t xml:space="preserve"> </w:t>
      </w:r>
      <w:r w:rsidRPr="00A60B24">
        <w:rPr>
          <w:rFonts w:ascii="Times New Roman" w:hAnsi="Times New Roman" w:cs="Times New Roman"/>
          <w:sz w:val="20"/>
          <w:szCs w:val="20"/>
          <w:lang w:val="fr-FR"/>
        </w:rPr>
        <w:t>ME,</w:t>
      </w:r>
      <w:r w:rsidR="00BF7D07" w:rsidRPr="00A60B24">
        <w:rPr>
          <w:rFonts w:ascii="Times New Roman" w:hAnsi="Times New Roman" w:cs="Times New Roman"/>
          <w:sz w:val="20"/>
          <w:szCs w:val="20"/>
          <w:lang w:val="fr-FR"/>
        </w:rPr>
        <w:t xml:space="preserve"> </w:t>
      </w:r>
      <w:r w:rsidRPr="00A60B24">
        <w:rPr>
          <w:rFonts w:ascii="Times New Roman" w:hAnsi="Times New Roman" w:cs="Times New Roman"/>
          <w:sz w:val="20"/>
          <w:szCs w:val="20"/>
          <w:lang w:val="fr-FR"/>
        </w:rPr>
        <w:t>Shrieve</w:t>
      </w:r>
      <w:r w:rsidR="00BF7D07" w:rsidRPr="00A60B24">
        <w:rPr>
          <w:rFonts w:ascii="Times New Roman" w:hAnsi="Times New Roman" w:cs="Times New Roman"/>
          <w:sz w:val="20"/>
          <w:szCs w:val="20"/>
          <w:lang w:val="fr-FR"/>
        </w:rPr>
        <w:t xml:space="preserve"> </w:t>
      </w:r>
      <w:r w:rsidRPr="00A60B24">
        <w:rPr>
          <w:rFonts w:ascii="Times New Roman" w:hAnsi="Times New Roman" w:cs="Times New Roman"/>
          <w:sz w:val="20"/>
          <w:szCs w:val="20"/>
          <w:lang w:val="fr-FR"/>
        </w:rPr>
        <w:t>DC,</w:t>
      </w:r>
      <w:r w:rsidR="00BF7D07" w:rsidRPr="00A60B24">
        <w:rPr>
          <w:rFonts w:ascii="Times New Roman" w:hAnsi="Times New Roman" w:cs="Times New Roman"/>
          <w:sz w:val="20"/>
          <w:szCs w:val="20"/>
          <w:lang w:val="fr-FR"/>
        </w:rPr>
        <w:t xml:space="preserve"> </w:t>
      </w:r>
      <w:r w:rsidRPr="00A60B24">
        <w:rPr>
          <w:rFonts w:ascii="Times New Roman" w:hAnsi="Times New Roman" w:cs="Times New Roman"/>
          <w:sz w:val="20"/>
          <w:szCs w:val="20"/>
          <w:lang w:val="fr-FR"/>
        </w:rPr>
        <w:t>Bent</w:t>
      </w:r>
      <w:r w:rsidR="0022135E" w:rsidRPr="00A60B24">
        <w:rPr>
          <w:rFonts w:ascii="Times New Roman" w:hAnsi="Times New Roman" w:cs="Times New Roman"/>
          <w:sz w:val="20"/>
          <w:szCs w:val="20"/>
          <w:lang w:val="fr-FR"/>
        </w:rPr>
        <w:t>z B</w:t>
      </w:r>
      <w:r w:rsidRPr="00A60B24">
        <w:rPr>
          <w:rFonts w:ascii="Times New Roman" w:hAnsi="Times New Roman" w:cs="Times New Roman"/>
          <w:sz w:val="20"/>
          <w:szCs w:val="20"/>
          <w:lang w:val="fr-FR"/>
        </w:rPr>
        <w:t>G</w:t>
      </w:r>
      <w:r w:rsidR="00737872" w:rsidRPr="00A60B24">
        <w:rPr>
          <w:rFonts w:ascii="Times New Roman" w:hAnsi="Times New Roman" w:cs="Times New Roman"/>
          <w:sz w:val="20"/>
          <w:szCs w:val="20"/>
          <w:lang w:val="fr-FR"/>
        </w:rPr>
        <w:t>, e</w:t>
      </w:r>
      <w:r w:rsidRPr="00A60B24">
        <w:rPr>
          <w:rFonts w:ascii="Times New Roman" w:hAnsi="Times New Roman" w:cs="Times New Roman"/>
          <w:sz w:val="20"/>
          <w:szCs w:val="20"/>
          <w:lang w:val="fr-FR"/>
        </w:rPr>
        <w:t>t</w:t>
      </w:r>
      <w:r w:rsidR="00BF7D07" w:rsidRPr="00A60B24">
        <w:rPr>
          <w:rFonts w:ascii="Times New Roman" w:hAnsi="Times New Roman" w:cs="Times New Roman"/>
          <w:sz w:val="20"/>
          <w:szCs w:val="20"/>
          <w:lang w:val="fr-FR"/>
        </w:rPr>
        <w:t xml:space="preserve"> </w:t>
      </w:r>
      <w:r w:rsidRPr="00A60B24">
        <w:rPr>
          <w:rFonts w:ascii="Times New Roman" w:hAnsi="Times New Roman" w:cs="Times New Roman"/>
          <w:sz w:val="20"/>
          <w:szCs w:val="20"/>
          <w:lang w:val="fr-FR"/>
        </w:rPr>
        <w:t>al.</w:t>
      </w:r>
      <w:r w:rsidR="00BF7D07" w:rsidRPr="00A60B24">
        <w:rPr>
          <w:rFonts w:ascii="Times New Roman" w:hAnsi="Times New Roman" w:cs="Times New Roman"/>
          <w:sz w:val="20"/>
          <w:szCs w:val="20"/>
          <w:lang w:val="fr-FR"/>
        </w:rPr>
        <w:t xml:space="preserve"> </w:t>
      </w:r>
      <w:r w:rsidRPr="00A60B24">
        <w:rPr>
          <w:rStyle w:val="Hyperlink"/>
          <w:rFonts w:ascii="Times New Roman" w:hAnsi="Times New Roman" w:cs="Times New Roman"/>
          <w:color w:val="000000" w:themeColor="text1"/>
          <w:sz w:val="20"/>
          <w:szCs w:val="20"/>
          <w:u w:val="none"/>
        </w:rPr>
        <w:t>IMRT</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with</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simultaneous</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integrated</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boost</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and</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concurrent</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chemotherapy</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for</w:t>
      </w:r>
      <w:r w:rsidR="00BF7D07" w:rsidRPr="00A60B24">
        <w:rPr>
          <w:rStyle w:val="Hyperlink"/>
          <w:rFonts w:ascii="Times New Roman" w:hAnsi="Times New Roman" w:cs="Times New Roman"/>
          <w:color w:val="000000" w:themeColor="text1"/>
          <w:sz w:val="20"/>
          <w:szCs w:val="20"/>
          <w:u w:val="none"/>
        </w:rPr>
        <w:t xml:space="preserve"> </w:t>
      </w:r>
      <w:proofErr w:type="spellStart"/>
      <w:r w:rsidRPr="00A60B24">
        <w:rPr>
          <w:rStyle w:val="Hyperlink"/>
          <w:rFonts w:ascii="Times New Roman" w:hAnsi="Times New Roman" w:cs="Times New Roman"/>
          <w:color w:val="000000" w:themeColor="text1"/>
          <w:sz w:val="20"/>
          <w:szCs w:val="20"/>
          <w:u w:val="none"/>
        </w:rPr>
        <w:t>locoregionally</w:t>
      </w:r>
      <w:proofErr w:type="spellEnd"/>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advanced</w:t>
      </w:r>
      <w:r w:rsidR="00BF7D07" w:rsidRPr="00A60B24">
        <w:rPr>
          <w:rStyle w:val="Hyperlink"/>
          <w:rFonts w:ascii="Times New Roman" w:hAnsi="Times New Roman" w:cs="Times New Roman"/>
          <w:color w:val="000000" w:themeColor="text1"/>
          <w:sz w:val="20"/>
          <w:szCs w:val="20"/>
          <w:u w:val="none"/>
        </w:rPr>
        <w:t xml:space="preserve"> </w:t>
      </w:r>
      <w:proofErr w:type="spellStart"/>
      <w:r w:rsidRPr="00A60B24">
        <w:rPr>
          <w:rStyle w:val="Hyperlink"/>
          <w:rFonts w:ascii="Times New Roman" w:hAnsi="Times New Roman" w:cs="Times New Roman"/>
          <w:color w:val="000000" w:themeColor="text1"/>
          <w:sz w:val="20"/>
          <w:szCs w:val="20"/>
          <w:u w:val="none"/>
        </w:rPr>
        <w:t>squamous</w:t>
      </w:r>
      <w:proofErr w:type="spellEnd"/>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cell</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carcinoma</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of</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the</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head</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and</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neck.</w:t>
      </w:r>
      <w:r w:rsidR="00BF7D07" w:rsidRPr="00A60B24">
        <w:rPr>
          <w:rStyle w:val="Hyperlink"/>
          <w:rFonts w:ascii="Times New Roman" w:hAnsi="Times New Roman" w:cs="Times New Roman"/>
          <w:color w:val="000000" w:themeColor="text1"/>
          <w:sz w:val="20"/>
          <w:szCs w:val="20"/>
          <w:u w:val="none"/>
        </w:rPr>
        <w:t xml:space="preserve"> </w:t>
      </w:r>
      <w:proofErr w:type="spellStart"/>
      <w:r w:rsidRPr="00A60B24">
        <w:rPr>
          <w:rFonts w:ascii="Times New Roman" w:hAnsi="Times New Roman" w:cs="Times New Roman"/>
          <w:sz w:val="20"/>
          <w:szCs w:val="20"/>
        </w:rPr>
        <w:t>Int</w:t>
      </w:r>
      <w:proofErr w:type="spellEnd"/>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J</w:t>
      </w:r>
      <w:r w:rsidR="00BF7D07" w:rsidRPr="00A60B24">
        <w:rPr>
          <w:rFonts w:ascii="Times New Roman" w:hAnsi="Times New Roman" w:cs="Times New Roman"/>
          <w:sz w:val="20"/>
          <w:szCs w:val="20"/>
        </w:rPr>
        <w:t xml:space="preserve"> </w:t>
      </w:r>
      <w:proofErr w:type="spellStart"/>
      <w:r w:rsidRPr="00A60B24">
        <w:rPr>
          <w:rFonts w:ascii="Times New Roman" w:hAnsi="Times New Roman" w:cs="Times New Roman"/>
          <w:sz w:val="20"/>
          <w:szCs w:val="20"/>
        </w:rPr>
        <w:t>Radiat</w:t>
      </w:r>
      <w:proofErr w:type="spellEnd"/>
      <w:r w:rsidR="00BF7D07" w:rsidRPr="00A60B24">
        <w:rPr>
          <w:rFonts w:ascii="Times New Roman" w:hAnsi="Times New Roman" w:cs="Times New Roman"/>
          <w:sz w:val="20"/>
          <w:szCs w:val="20"/>
          <w:lang w:eastAsia="zh-CN"/>
        </w:rPr>
        <w:t xml:space="preserve"> </w:t>
      </w:r>
      <w:proofErr w:type="spellStart"/>
      <w:r w:rsidRPr="00A60B24">
        <w:rPr>
          <w:rFonts w:ascii="Times New Roman" w:hAnsi="Times New Roman" w:cs="Times New Roman"/>
          <w:sz w:val="20"/>
          <w:szCs w:val="20"/>
        </w:rPr>
        <w:t>Oncol</w:t>
      </w:r>
      <w:proofErr w:type="spellEnd"/>
      <w:r w:rsidR="00BF7D07" w:rsidRPr="00A60B24">
        <w:rPr>
          <w:rFonts w:ascii="Times New Roman" w:hAnsi="Times New Roman" w:cs="Times New Roman"/>
          <w:sz w:val="20"/>
          <w:szCs w:val="20"/>
          <w:lang w:eastAsia="zh-CN"/>
        </w:rPr>
        <w:t xml:space="preserve"> </w:t>
      </w:r>
      <w:proofErr w:type="spellStart"/>
      <w:r w:rsidRPr="00A60B24">
        <w:rPr>
          <w:rFonts w:ascii="Times New Roman" w:hAnsi="Times New Roman" w:cs="Times New Roman"/>
          <w:sz w:val="20"/>
          <w:szCs w:val="20"/>
        </w:rPr>
        <w:t>Biol</w:t>
      </w:r>
      <w:proofErr w:type="spellEnd"/>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Phys.</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2011</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Dec</w:t>
      </w:r>
      <w:r w:rsidR="00BF7D07" w:rsidRPr="00A60B24">
        <w:rPr>
          <w:rStyle w:val="Hyperlink"/>
          <w:rFonts w:ascii="Times New Roman" w:hAnsi="Times New Roman" w:cs="Times New Roman"/>
          <w:color w:val="000000" w:themeColor="text1"/>
          <w:sz w:val="20"/>
          <w:szCs w:val="20"/>
          <w:u w:val="none"/>
        </w:rPr>
        <w:t xml:space="preserve"> </w:t>
      </w:r>
      <w:r w:rsidRPr="00A60B24">
        <w:rPr>
          <w:rStyle w:val="Hyperlink"/>
          <w:rFonts w:ascii="Times New Roman" w:hAnsi="Times New Roman" w:cs="Times New Roman"/>
          <w:color w:val="000000" w:themeColor="text1"/>
          <w:sz w:val="20"/>
          <w:szCs w:val="20"/>
          <w:u w:val="none"/>
        </w:rPr>
        <w:t>1;81(5):e845-5</w:t>
      </w:r>
      <w:r w:rsidR="00737872" w:rsidRPr="00A60B24">
        <w:rPr>
          <w:rStyle w:val="Hyperlink"/>
          <w:rFonts w:ascii="Times New Roman" w:hAnsi="Times New Roman" w:cs="Times New Roman"/>
          <w:color w:val="000000" w:themeColor="text1"/>
          <w:sz w:val="20"/>
          <w:szCs w:val="20"/>
          <w:u w:val="none"/>
        </w:rPr>
        <w:t>2.</w:t>
      </w:r>
    </w:p>
    <w:p w:rsidR="00737872" w:rsidRPr="00A60B24" w:rsidRDefault="004C3E1E" w:rsidP="00737872">
      <w:pPr>
        <w:pStyle w:val="ListParagraph"/>
        <w:numPr>
          <w:ilvl w:val="0"/>
          <w:numId w:val="10"/>
        </w:numPr>
        <w:bidi w:val="0"/>
        <w:snapToGrid w:val="0"/>
        <w:spacing w:after="0" w:line="240" w:lineRule="auto"/>
        <w:ind w:left="425" w:hanging="425"/>
        <w:jc w:val="both"/>
        <w:rPr>
          <w:rFonts w:ascii="Times New Roman" w:hAnsi="Times New Roman" w:cs="Times New Roman"/>
          <w:color w:val="000000" w:themeColor="text1"/>
          <w:sz w:val="20"/>
          <w:szCs w:val="20"/>
          <w:lang w:val="fr-FR"/>
        </w:rPr>
      </w:pPr>
      <w:r w:rsidRPr="00A60B24">
        <w:rPr>
          <w:rFonts w:ascii="Times New Roman" w:hAnsi="Times New Roman" w:cs="Times New Roman"/>
          <w:sz w:val="20"/>
          <w:szCs w:val="20"/>
        </w:rPr>
        <w:t>Kim</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JW,</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Cho</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JH,</w:t>
      </w:r>
      <w:r w:rsidR="00BF7D07" w:rsidRPr="00A60B24">
        <w:rPr>
          <w:rFonts w:ascii="Times New Roman" w:hAnsi="Times New Roman" w:cs="Times New Roman"/>
          <w:sz w:val="20"/>
          <w:szCs w:val="20"/>
        </w:rPr>
        <w:t xml:space="preserve"> </w:t>
      </w:r>
      <w:proofErr w:type="spellStart"/>
      <w:r w:rsidRPr="00A60B24">
        <w:rPr>
          <w:rFonts w:ascii="Times New Roman" w:hAnsi="Times New Roman" w:cs="Times New Roman"/>
          <w:sz w:val="20"/>
          <w:szCs w:val="20"/>
        </w:rPr>
        <w:t>Keum</w:t>
      </w:r>
      <w:proofErr w:type="spellEnd"/>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KC,</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et</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al.</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I</w:t>
      </w:r>
      <w:r w:rsidRPr="00A60B24">
        <w:rPr>
          <w:rFonts w:ascii="Times New Roman" w:hAnsi="Times New Roman" w:cs="Times New Roman"/>
          <w:color w:val="000000" w:themeColor="text1"/>
          <w:sz w:val="20"/>
          <w:szCs w:val="20"/>
          <w:lang w:val="fr-FR"/>
        </w:rPr>
        <w:t>MRT</w:t>
      </w:r>
      <w:r w:rsidR="00BF7D07" w:rsidRPr="00A60B24">
        <w:rPr>
          <w:rFonts w:ascii="Times New Roman" w:hAnsi="Times New Roman" w:cs="Times New Roman"/>
          <w:color w:val="000000" w:themeColor="text1"/>
          <w:sz w:val="20"/>
          <w:szCs w:val="20"/>
          <w:lang w:val="fr-FR"/>
        </w:rPr>
        <w:t xml:space="preserve"> </w:t>
      </w:r>
      <w:r w:rsidRPr="00A60B24">
        <w:rPr>
          <w:rFonts w:ascii="Times New Roman" w:hAnsi="Times New Roman" w:cs="Times New Roman"/>
          <w:color w:val="000000" w:themeColor="text1"/>
          <w:sz w:val="20"/>
          <w:szCs w:val="20"/>
          <w:lang w:val="fr-FR"/>
        </w:rPr>
        <w:t>wit</w:t>
      </w:r>
      <w:r w:rsidR="0022135E" w:rsidRPr="00A60B24">
        <w:rPr>
          <w:rFonts w:ascii="Times New Roman" w:hAnsi="Times New Roman" w:cs="Times New Roman"/>
          <w:color w:val="000000" w:themeColor="text1"/>
          <w:sz w:val="20"/>
          <w:szCs w:val="20"/>
          <w:lang w:val="fr-FR"/>
        </w:rPr>
        <w:t>h S</w:t>
      </w:r>
      <w:r w:rsidRPr="00A60B24">
        <w:rPr>
          <w:rFonts w:ascii="Times New Roman" w:hAnsi="Times New Roman" w:cs="Times New Roman"/>
          <w:color w:val="000000" w:themeColor="text1"/>
          <w:sz w:val="20"/>
          <w:szCs w:val="20"/>
          <w:lang w:val="fr-FR"/>
        </w:rPr>
        <w:t>imultaneou</w:t>
      </w:r>
      <w:r w:rsidR="0022135E" w:rsidRPr="00A60B24">
        <w:rPr>
          <w:rFonts w:ascii="Times New Roman" w:hAnsi="Times New Roman" w:cs="Times New Roman"/>
          <w:color w:val="000000" w:themeColor="text1"/>
          <w:sz w:val="20"/>
          <w:szCs w:val="20"/>
          <w:lang w:val="fr-FR"/>
        </w:rPr>
        <w:t>s I</w:t>
      </w:r>
      <w:r w:rsidRPr="00A60B24">
        <w:rPr>
          <w:rFonts w:ascii="Times New Roman" w:hAnsi="Times New Roman" w:cs="Times New Roman"/>
          <w:color w:val="000000" w:themeColor="text1"/>
          <w:sz w:val="20"/>
          <w:szCs w:val="20"/>
          <w:lang w:val="fr-FR"/>
        </w:rPr>
        <w:t>ntegrate</w:t>
      </w:r>
      <w:r w:rsidR="0022135E" w:rsidRPr="00A60B24">
        <w:rPr>
          <w:rFonts w:ascii="Times New Roman" w:hAnsi="Times New Roman" w:cs="Times New Roman"/>
          <w:color w:val="000000" w:themeColor="text1"/>
          <w:sz w:val="20"/>
          <w:szCs w:val="20"/>
          <w:lang w:val="fr-FR"/>
        </w:rPr>
        <w:t>d B</w:t>
      </w:r>
      <w:r w:rsidRPr="00A60B24">
        <w:rPr>
          <w:rFonts w:ascii="Times New Roman" w:hAnsi="Times New Roman" w:cs="Times New Roman"/>
          <w:color w:val="000000" w:themeColor="text1"/>
          <w:sz w:val="20"/>
          <w:szCs w:val="20"/>
          <w:lang w:val="fr-FR"/>
        </w:rPr>
        <w:t>oost</w:t>
      </w:r>
      <w:r w:rsidR="00BF7D07" w:rsidRPr="00A60B24">
        <w:rPr>
          <w:rFonts w:ascii="Times New Roman" w:hAnsi="Times New Roman" w:cs="Times New Roman"/>
          <w:color w:val="000000" w:themeColor="text1"/>
          <w:sz w:val="20"/>
          <w:szCs w:val="20"/>
          <w:lang w:val="fr-FR"/>
        </w:rPr>
        <w:t xml:space="preserve"> </w:t>
      </w:r>
      <w:r w:rsidRPr="00A60B24">
        <w:rPr>
          <w:rFonts w:ascii="Times New Roman" w:hAnsi="Times New Roman" w:cs="Times New Roman"/>
          <w:color w:val="000000" w:themeColor="text1"/>
          <w:sz w:val="20"/>
          <w:szCs w:val="20"/>
          <w:lang w:val="fr-FR"/>
        </w:rPr>
        <w:t>and</w:t>
      </w:r>
      <w:r w:rsidR="00BF7D07" w:rsidRPr="00A60B24">
        <w:rPr>
          <w:rFonts w:ascii="Times New Roman" w:hAnsi="Times New Roman" w:cs="Times New Roman"/>
          <w:color w:val="000000" w:themeColor="text1"/>
          <w:sz w:val="20"/>
          <w:szCs w:val="20"/>
          <w:lang w:val="fr-FR"/>
        </w:rPr>
        <w:t xml:space="preserve"> </w:t>
      </w:r>
      <w:r w:rsidRPr="00A60B24">
        <w:rPr>
          <w:rFonts w:ascii="Times New Roman" w:hAnsi="Times New Roman" w:cs="Times New Roman"/>
          <w:color w:val="000000" w:themeColor="text1"/>
          <w:sz w:val="20"/>
          <w:szCs w:val="20"/>
          <w:lang w:val="fr-FR"/>
        </w:rPr>
        <w:t>Concurrent</w:t>
      </w:r>
      <w:r w:rsidR="00BF7D07" w:rsidRPr="00A60B24">
        <w:rPr>
          <w:rFonts w:ascii="Times New Roman" w:hAnsi="Times New Roman" w:cs="Times New Roman"/>
          <w:color w:val="000000" w:themeColor="text1"/>
          <w:sz w:val="20"/>
          <w:szCs w:val="20"/>
          <w:lang w:val="fr-FR"/>
        </w:rPr>
        <w:t xml:space="preserve"> </w:t>
      </w:r>
      <w:r w:rsidRPr="00A60B24">
        <w:rPr>
          <w:rFonts w:ascii="Times New Roman" w:hAnsi="Times New Roman" w:cs="Times New Roman"/>
          <w:color w:val="000000" w:themeColor="text1"/>
          <w:sz w:val="20"/>
          <w:szCs w:val="20"/>
          <w:lang w:val="fr-FR"/>
        </w:rPr>
        <w:t>Chemotherapy</w:t>
      </w:r>
      <w:r w:rsidR="00BF7D07" w:rsidRPr="00A60B24">
        <w:rPr>
          <w:rFonts w:ascii="Times New Roman" w:hAnsi="Times New Roman" w:cs="Times New Roman"/>
          <w:color w:val="000000" w:themeColor="text1"/>
          <w:sz w:val="20"/>
          <w:szCs w:val="20"/>
          <w:lang w:val="fr-FR"/>
        </w:rPr>
        <w:t xml:space="preserve"> </w:t>
      </w:r>
      <w:r w:rsidRPr="00A60B24">
        <w:rPr>
          <w:rFonts w:ascii="Times New Roman" w:hAnsi="Times New Roman" w:cs="Times New Roman"/>
          <w:color w:val="000000" w:themeColor="text1"/>
          <w:sz w:val="20"/>
          <w:szCs w:val="20"/>
          <w:lang w:val="fr-FR"/>
        </w:rPr>
        <w:t>for</w:t>
      </w:r>
      <w:r w:rsidR="00BF7D07" w:rsidRPr="00A60B24">
        <w:rPr>
          <w:rFonts w:ascii="Times New Roman" w:hAnsi="Times New Roman" w:cs="Times New Roman"/>
          <w:color w:val="000000" w:themeColor="text1"/>
          <w:sz w:val="20"/>
          <w:szCs w:val="20"/>
          <w:lang w:val="fr-FR"/>
        </w:rPr>
        <w:t xml:space="preserve"> </w:t>
      </w:r>
      <w:r w:rsidRPr="00A60B24">
        <w:rPr>
          <w:rFonts w:ascii="Times New Roman" w:hAnsi="Times New Roman" w:cs="Times New Roman"/>
          <w:color w:val="000000" w:themeColor="text1"/>
          <w:sz w:val="20"/>
          <w:szCs w:val="20"/>
          <w:lang w:val="fr-FR"/>
        </w:rPr>
        <w:t>Nasopharyngeal</w:t>
      </w:r>
      <w:r w:rsidR="00BF7D07" w:rsidRPr="00A60B24">
        <w:rPr>
          <w:rFonts w:ascii="Times New Roman" w:hAnsi="Times New Roman" w:cs="Times New Roman"/>
          <w:color w:val="000000" w:themeColor="text1"/>
          <w:sz w:val="20"/>
          <w:szCs w:val="20"/>
          <w:lang w:val="fr-FR"/>
        </w:rPr>
        <w:t xml:space="preserve"> </w:t>
      </w:r>
      <w:r w:rsidRPr="00A60B24">
        <w:rPr>
          <w:rFonts w:ascii="Times New Roman" w:hAnsi="Times New Roman" w:cs="Times New Roman"/>
          <w:color w:val="000000" w:themeColor="text1"/>
          <w:sz w:val="20"/>
          <w:szCs w:val="20"/>
          <w:lang w:val="fr-FR"/>
        </w:rPr>
        <w:t>Cancer:</w:t>
      </w:r>
      <w:r w:rsidR="00BF7D07" w:rsidRPr="00A60B24">
        <w:rPr>
          <w:rFonts w:ascii="Times New Roman" w:hAnsi="Times New Roman" w:cs="Times New Roman"/>
          <w:color w:val="000000" w:themeColor="text1"/>
          <w:sz w:val="20"/>
          <w:szCs w:val="20"/>
          <w:lang w:val="fr-FR"/>
        </w:rPr>
        <w:t xml:space="preserve"> </w:t>
      </w:r>
      <w:r w:rsidRPr="00A60B24">
        <w:rPr>
          <w:rFonts w:ascii="Times New Roman" w:hAnsi="Times New Roman" w:cs="Times New Roman"/>
          <w:color w:val="000000" w:themeColor="text1"/>
          <w:sz w:val="20"/>
          <w:szCs w:val="20"/>
          <w:lang w:val="fr-FR"/>
        </w:rPr>
        <w:t>Plan</w:t>
      </w:r>
      <w:r w:rsidR="00BF7D07" w:rsidRPr="00A60B24">
        <w:rPr>
          <w:rFonts w:ascii="Times New Roman" w:hAnsi="Times New Roman" w:cs="Times New Roman"/>
          <w:color w:val="000000" w:themeColor="text1"/>
          <w:sz w:val="20"/>
          <w:szCs w:val="20"/>
          <w:lang w:val="fr-FR"/>
        </w:rPr>
        <w:t xml:space="preserve"> </w:t>
      </w:r>
      <w:r w:rsidRPr="00A60B24">
        <w:rPr>
          <w:rFonts w:ascii="Times New Roman" w:hAnsi="Times New Roman" w:cs="Times New Roman"/>
          <w:color w:val="000000" w:themeColor="text1"/>
          <w:sz w:val="20"/>
          <w:szCs w:val="20"/>
          <w:lang w:val="fr-FR"/>
        </w:rPr>
        <w:t>Evaluation</w:t>
      </w:r>
      <w:r w:rsidR="00BF7D07" w:rsidRPr="00A60B24">
        <w:rPr>
          <w:rFonts w:ascii="Times New Roman" w:hAnsi="Times New Roman" w:cs="Times New Roman"/>
          <w:color w:val="000000" w:themeColor="text1"/>
          <w:sz w:val="20"/>
          <w:szCs w:val="20"/>
          <w:lang w:val="fr-FR"/>
        </w:rPr>
        <w:t xml:space="preserve"> </w:t>
      </w:r>
      <w:r w:rsidRPr="00A60B24">
        <w:rPr>
          <w:rFonts w:ascii="Times New Roman" w:hAnsi="Times New Roman" w:cs="Times New Roman"/>
          <w:color w:val="000000" w:themeColor="text1"/>
          <w:sz w:val="20"/>
          <w:szCs w:val="20"/>
          <w:lang w:val="fr-FR"/>
        </w:rPr>
        <w:t>and</w:t>
      </w:r>
      <w:r w:rsidR="00BF7D07" w:rsidRPr="00A60B24">
        <w:rPr>
          <w:rFonts w:ascii="Times New Roman" w:hAnsi="Times New Roman" w:cs="Times New Roman"/>
          <w:color w:val="000000" w:themeColor="text1"/>
          <w:sz w:val="20"/>
          <w:szCs w:val="20"/>
          <w:lang w:val="fr-FR"/>
        </w:rPr>
        <w:t xml:space="preserve"> </w:t>
      </w:r>
      <w:r w:rsidRPr="00A60B24">
        <w:rPr>
          <w:rFonts w:ascii="Times New Roman" w:hAnsi="Times New Roman" w:cs="Times New Roman"/>
          <w:color w:val="000000" w:themeColor="text1"/>
          <w:sz w:val="20"/>
          <w:szCs w:val="20"/>
          <w:lang w:val="fr-FR"/>
        </w:rPr>
        <w:t>Treatment</w:t>
      </w:r>
      <w:r w:rsidR="00BF7D07" w:rsidRPr="00A60B24">
        <w:rPr>
          <w:rFonts w:ascii="Times New Roman" w:hAnsi="Times New Roman" w:cs="Times New Roman"/>
          <w:color w:val="000000" w:themeColor="text1"/>
          <w:sz w:val="20"/>
          <w:szCs w:val="20"/>
          <w:lang w:val="fr-FR" w:eastAsia="zh-CN"/>
        </w:rPr>
        <w:t xml:space="preserve"> </w:t>
      </w:r>
      <w:r w:rsidRPr="00A60B24">
        <w:rPr>
          <w:rFonts w:ascii="Times New Roman" w:hAnsi="Times New Roman" w:cs="Times New Roman"/>
          <w:color w:val="000000" w:themeColor="text1"/>
          <w:sz w:val="20"/>
          <w:szCs w:val="20"/>
          <w:lang w:val="fr-FR"/>
        </w:rPr>
        <w:t>Outcome</w:t>
      </w:r>
      <w:r w:rsidR="00BF7D07" w:rsidRPr="00A60B24">
        <w:rPr>
          <w:rFonts w:ascii="Times New Roman" w:hAnsi="Times New Roman" w:cs="Times New Roman"/>
          <w:color w:val="000000" w:themeColor="text1"/>
          <w:sz w:val="20"/>
          <w:szCs w:val="20"/>
          <w:lang w:val="fr-FR" w:eastAsia="zh-CN"/>
        </w:rPr>
        <w:t xml:space="preserve"> </w:t>
      </w:r>
      <w:r w:rsidRPr="00A60B24">
        <w:rPr>
          <w:rFonts w:ascii="Times New Roman" w:hAnsi="Times New Roman" w:cs="Times New Roman"/>
          <w:color w:val="000000" w:themeColor="text1"/>
          <w:sz w:val="20"/>
          <w:szCs w:val="20"/>
          <w:lang w:val="fr-FR"/>
        </w:rPr>
        <w:t>Japanese</w:t>
      </w:r>
      <w:r w:rsidR="00BF7D07" w:rsidRPr="00A60B24">
        <w:rPr>
          <w:rFonts w:ascii="Times New Roman" w:hAnsi="Times New Roman" w:cs="Times New Roman"/>
          <w:color w:val="000000" w:themeColor="text1"/>
          <w:sz w:val="20"/>
          <w:szCs w:val="20"/>
          <w:lang w:val="fr-FR"/>
        </w:rPr>
        <w:t xml:space="preserve"> </w:t>
      </w:r>
      <w:r w:rsidRPr="00A60B24">
        <w:rPr>
          <w:rFonts w:ascii="Times New Roman" w:hAnsi="Times New Roman" w:cs="Times New Roman"/>
          <w:color w:val="000000" w:themeColor="text1"/>
          <w:sz w:val="20"/>
          <w:szCs w:val="20"/>
          <w:lang w:val="fr-FR"/>
        </w:rPr>
        <w:t>Journal</w:t>
      </w:r>
      <w:r w:rsidR="00BF7D07" w:rsidRPr="00A60B24">
        <w:rPr>
          <w:rFonts w:ascii="Times New Roman" w:hAnsi="Times New Roman" w:cs="Times New Roman"/>
          <w:color w:val="000000" w:themeColor="text1"/>
          <w:sz w:val="20"/>
          <w:szCs w:val="20"/>
          <w:lang w:val="fr-FR"/>
        </w:rPr>
        <w:t xml:space="preserve"> </w:t>
      </w:r>
      <w:r w:rsidRPr="00A60B24">
        <w:rPr>
          <w:rFonts w:ascii="Times New Roman" w:hAnsi="Times New Roman" w:cs="Times New Roman"/>
          <w:color w:val="000000" w:themeColor="text1"/>
          <w:sz w:val="20"/>
          <w:szCs w:val="20"/>
          <w:lang w:val="fr-FR"/>
        </w:rPr>
        <w:t>of</w:t>
      </w:r>
      <w:r w:rsidR="00BF7D07" w:rsidRPr="00A60B24">
        <w:rPr>
          <w:rFonts w:ascii="Times New Roman" w:hAnsi="Times New Roman" w:cs="Times New Roman"/>
          <w:color w:val="000000" w:themeColor="text1"/>
          <w:sz w:val="20"/>
          <w:szCs w:val="20"/>
          <w:lang w:val="fr-FR"/>
        </w:rPr>
        <w:t xml:space="preserve"> </w:t>
      </w:r>
      <w:r w:rsidRPr="00A60B24">
        <w:rPr>
          <w:rFonts w:ascii="Times New Roman" w:hAnsi="Times New Roman" w:cs="Times New Roman"/>
          <w:color w:val="000000" w:themeColor="text1"/>
          <w:sz w:val="20"/>
          <w:szCs w:val="20"/>
          <w:lang w:val="fr-FR"/>
        </w:rPr>
        <w:t>Clinical</w:t>
      </w:r>
      <w:r w:rsidR="00BF7D07" w:rsidRPr="00A60B24">
        <w:rPr>
          <w:rFonts w:ascii="Times New Roman" w:hAnsi="Times New Roman" w:cs="Times New Roman"/>
          <w:color w:val="000000" w:themeColor="text1"/>
          <w:sz w:val="20"/>
          <w:szCs w:val="20"/>
          <w:lang w:val="fr-FR"/>
        </w:rPr>
        <w:t xml:space="preserve"> </w:t>
      </w:r>
      <w:r w:rsidRPr="00A60B24">
        <w:rPr>
          <w:rFonts w:ascii="Times New Roman" w:hAnsi="Times New Roman" w:cs="Times New Roman"/>
          <w:color w:val="000000" w:themeColor="text1"/>
          <w:sz w:val="20"/>
          <w:szCs w:val="20"/>
          <w:lang w:val="fr-FR"/>
        </w:rPr>
        <w:t>Oncology,</w:t>
      </w:r>
      <w:r w:rsidR="00BF7D07" w:rsidRPr="00A60B24">
        <w:rPr>
          <w:rFonts w:ascii="Times New Roman" w:hAnsi="Times New Roman" w:cs="Times New Roman"/>
          <w:color w:val="000000" w:themeColor="text1"/>
          <w:sz w:val="20"/>
          <w:szCs w:val="20"/>
          <w:lang w:val="fr-FR" w:eastAsia="zh-CN"/>
        </w:rPr>
        <w:t xml:space="preserve"> </w:t>
      </w:r>
      <w:r w:rsidRPr="00A60B24">
        <w:rPr>
          <w:rFonts w:ascii="Times New Roman" w:hAnsi="Times New Roman" w:cs="Times New Roman"/>
          <w:color w:val="000000" w:themeColor="text1"/>
          <w:sz w:val="20"/>
          <w:szCs w:val="20"/>
          <w:lang w:val="fr-FR"/>
        </w:rPr>
        <w:t>2012</w:t>
      </w:r>
      <w:r w:rsidR="00BF7D07" w:rsidRPr="00A60B24">
        <w:rPr>
          <w:rFonts w:ascii="Times New Roman" w:hAnsi="Times New Roman" w:cs="Times New Roman"/>
          <w:color w:val="000000" w:themeColor="text1"/>
          <w:sz w:val="20"/>
          <w:szCs w:val="20"/>
          <w:lang w:val="fr-FR"/>
        </w:rPr>
        <w:t xml:space="preserve"> </w:t>
      </w:r>
      <w:r w:rsidRPr="00A60B24">
        <w:rPr>
          <w:rFonts w:ascii="Times New Roman" w:hAnsi="Times New Roman" w:cs="Times New Roman"/>
          <w:color w:val="000000" w:themeColor="text1"/>
          <w:sz w:val="20"/>
          <w:szCs w:val="20"/>
          <w:lang w:val="fr-FR"/>
        </w:rPr>
        <w:t>42(12):1152-6</w:t>
      </w:r>
      <w:r w:rsidR="00737872" w:rsidRPr="00A60B24">
        <w:rPr>
          <w:rFonts w:ascii="Times New Roman" w:hAnsi="Times New Roman" w:cs="Times New Roman"/>
          <w:color w:val="000000" w:themeColor="text1"/>
          <w:sz w:val="20"/>
          <w:szCs w:val="20"/>
          <w:lang w:val="fr-FR"/>
        </w:rPr>
        <w:t>0.</w:t>
      </w:r>
    </w:p>
    <w:p w:rsidR="004C3E1E" w:rsidRPr="00A60B24" w:rsidRDefault="004C3E1E" w:rsidP="00737872">
      <w:pPr>
        <w:pStyle w:val="ListParagraph"/>
        <w:numPr>
          <w:ilvl w:val="0"/>
          <w:numId w:val="10"/>
        </w:numPr>
        <w:bidi w:val="0"/>
        <w:snapToGrid w:val="0"/>
        <w:spacing w:after="0" w:line="240" w:lineRule="auto"/>
        <w:ind w:left="425" w:hanging="425"/>
        <w:jc w:val="both"/>
        <w:rPr>
          <w:rFonts w:ascii="Times New Roman" w:hAnsi="Times New Roman" w:cs="Times New Roman"/>
          <w:sz w:val="20"/>
          <w:szCs w:val="20"/>
        </w:rPr>
      </w:pPr>
      <w:proofErr w:type="spellStart"/>
      <w:r w:rsidRPr="00A60B24">
        <w:rPr>
          <w:rFonts w:ascii="Times New Roman" w:hAnsi="Times New Roman" w:cs="Times New Roman"/>
          <w:sz w:val="20"/>
          <w:szCs w:val="20"/>
        </w:rPr>
        <w:t>Toledano</w:t>
      </w:r>
      <w:proofErr w:type="spellEnd"/>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I,</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Graff</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P,</w:t>
      </w:r>
      <w:r w:rsidR="00BF7D07" w:rsidRPr="00A60B24">
        <w:rPr>
          <w:rFonts w:ascii="Times New Roman" w:hAnsi="Times New Roman" w:cs="Times New Roman"/>
          <w:sz w:val="20"/>
          <w:szCs w:val="20"/>
        </w:rPr>
        <w:t xml:space="preserve"> </w:t>
      </w:r>
      <w:proofErr w:type="spellStart"/>
      <w:r w:rsidRPr="00A60B24">
        <w:rPr>
          <w:rFonts w:ascii="Times New Roman" w:hAnsi="Times New Roman" w:cs="Times New Roman"/>
          <w:sz w:val="20"/>
          <w:szCs w:val="20"/>
        </w:rPr>
        <w:t>Serr</w:t>
      </w:r>
      <w:r w:rsidR="0022135E" w:rsidRPr="00A60B24">
        <w:rPr>
          <w:rFonts w:ascii="Times New Roman" w:hAnsi="Times New Roman" w:cs="Times New Roman"/>
          <w:sz w:val="20"/>
          <w:szCs w:val="20"/>
        </w:rPr>
        <w:t>e</w:t>
      </w:r>
      <w:proofErr w:type="spellEnd"/>
      <w:r w:rsidR="0022135E" w:rsidRPr="00A60B24">
        <w:rPr>
          <w:rFonts w:ascii="Times New Roman" w:hAnsi="Times New Roman" w:cs="Times New Roman"/>
          <w:sz w:val="20"/>
          <w:szCs w:val="20"/>
        </w:rPr>
        <w:t xml:space="preserve"> A</w:t>
      </w:r>
      <w:r w:rsidR="00737872" w:rsidRPr="00A60B24">
        <w:rPr>
          <w:rFonts w:ascii="Times New Roman" w:hAnsi="Times New Roman" w:cs="Times New Roman"/>
          <w:sz w:val="20"/>
          <w:szCs w:val="20"/>
        </w:rPr>
        <w:t>, e</w:t>
      </w:r>
      <w:r w:rsidRPr="00A60B24">
        <w:rPr>
          <w:rFonts w:ascii="Times New Roman" w:hAnsi="Times New Roman" w:cs="Times New Roman"/>
          <w:sz w:val="20"/>
          <w:szCs w:val="20"/>
        </w:rPr>
        <w:t>t</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al.</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Intensity-modulated</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radiotherapy</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in</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head</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and</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neck</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cancer:</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Results</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of</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the</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pr</w:t>
      </w:r>
      <w:r w:rsidR="00290439" w:rsidRPr="00A60B24">
        <w:rPr>
          <w:rFonts w:ascii="Times New Roman" w:hAnsi="Times New Roman" w:cs="Times New Roman"/>
          <w:sz w:val="20"/>
          <w:szCs w:val="20"/>
        </w:rPr>
        <w:t>ospective</w:t>
      </w:r>
      <w:r w:rsidR="00BF7D07" w:rsidRPr="00A60B24">
        <w:rPr>
          <w:rFonts w:ascii="Times New Roman" w:hAnsi="Times New Roman" w:cs="Times New Roman"/>
          <w:sz w:val="20"/>
          <w:szCs w:val="20"/>
        </w:rPr>
        <w:t xml:space="preserve"> </w:t>
      </w:r>
      <w:r w:rsidR="00290439" w:rsidRPr="00A60B24">
        <w:rPr>
          <w:rFonts w:ascii="Times New Roman" w:hAnsi="Times New Roman" w:cs="Times New Roman"/>
          <w:sz w:val="20"/>
          <w:szCs w:val="20"/>
        </w:rPr>
        <w:t>study</w:t>
      </w:r>
      <w:r w:rsidR="00BF7D07" w:rsidRPr="00A60B24">
        <w:rPr>
          <w:rFonts w:ascii="Times New Roman" w:hAnsi="Times New Roman" w:cs="Times New Roman"/>
          <w:sz w:val="20"/>
          <w:szCs w:val="20"/>
        </w:rPr>
        <w:t xml:space="preserve"> </w:t>
      </w:r>
      <w:r w:rsidR="00290439" w:rsidRPr="00A60B24">
        <w:rPr>
          <w:rFonts w:ascii="Times New Roman" w:hAnsi="Times New Roman" w:cs="Times New Roman"/>
          <w:sz w:val="20"/>
          <w:szCs w:val="20"/>
        </w:rPr>
        <w:t>GORTEC</w:t>
      </w:r>
      <w:r w:rsidR="00BF7D07" w:rsidRPr="00A60B24">
        <w:rPr>
          <w:rFonts w:ascii="Times New Roman" w:hAnsi="Times New Roman" w:cs="Times New Roman"/>
          <w:sz w:val="20"/>
          <w:szCs w:val="20"/>
        </w:rPr>
        <w:t xml:space="preserve"> </w:t>
      </w:r>
      <w:r w:rsidR="00290439" w:rsidRPr="00A60B24">
        <w:rPr>
          <w:rFonts w:ascii="Times New Roman" w:hAnsi="Times New Roman" w:cs="Times New Roman"/>
          <w:sz w:val="20"/>
          <w:szCs w:val="20"/>
        </w:rPr>
        <w:t>2004–03.</w:t>
      </w:r>
      <w:r w:rsidR="00BF7D07" w:rsidRPr="00A60B24">
        <w:rPr>
          <w:rFonts w:ascii="Times New Roman" w:hAnsi="Times New Roman" w:cs="Times New Roman"/>
          <w:sz w:val="20"/>
          <w:szCs w:val="20"/>
        </w:rPr>
        <w:t xml:space="preserve"> </w:t>
      </w:r>
      <w:proofErr w:type="spellStart"/>
      <w:r w:rsidRPr="00A60B24">
        <w:rPr>
          <w:rFonts w:ascii="Times New Roman" w:hAnsi="Times New Roman" w:cs="Times New Roman"/>
          <w:sz w:val="20"/>
          <w:szCs w:val="20"/>
        </w:rPr>
        <w:t>Radiother</w:t>
      </w:r>
      <w:proofErr w:type="spellEnd"/>
      <w:r w:rsidR="00BF7D07" w:rsidRPr="00A60B24">
        <w:rPr>
          <w:rFonts w:ascii="Times New Roman" w:hAnsi="Times New Roman" w:cs="Times New Roman"/>
          <w:sz w:val="20"/>
          <w:szCs w:val="20"/>
          <w:lang w:eastAsia="zh-CN"/>
        </w:rPr>
        <w:t xml:space="preserve"> </w:t>
      </w:r>
      <w:proofErr w:type="spellStart"/>
      <w:r w:rsidRPr="00A60B24">
        <w:rPr>
          <w:rFonts w:ascii="Times New Roman" w:hAnsi="Times New Roman" w:cs="Times New Roman"/>
          <w:sz w:val="20"/>
          <w:szCs w:val="20"/>
        </w:rPr>
        <w:t>Oncol</w:t>
      </w:r>
      <w:proofErr w:type="spellEnd"/>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2012;103:57–62.</w:t>
      </w:r>
    </w:p>
    <w:p w:rsidR="00737872" w:rsidRPr="00A60B24" w:rsidRDefault="004C3E1E" w:rsidP="00737872">
      <w:pPr>
        <w:pStyle w:val="ListParagraph"/>
        <w:numPr>
          <w:ilvl w:val="0"/>
          <w:numId w:val="10"/>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A60B24">
        <w:rPr>
          <w:rFonts w:ascii="Times New Roman" w:hAnsi="Times New Roman" w:cs="Times New Roman"/>
          <w:sz w:val="20"/>
          <w:szCs w:val="20"/>
        </w:rPr>
        <w:t>Katano</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A,</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Takahashi</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W,</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Yamashita</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H</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et</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al.</w:t>
      </w:r>
      <w:r w:rsidR="00BF7D07" w:rsidRPr="00A60B24">
        <w:rPr>
          <w:rFonts w:ascii="Times New Roman" w:hAnsi="Times New Roman" w:cs="Times New Roman"/>
          <w:sz w:val="20"/>
          <w:szCs w:val="20"/>
          <w:lang w:eastAsia="zh-CN"/>
        </w:rPr>
        <w:t xml:space="preserve"> </w:t>
      </w:r>
      <w:r w:rsidRPr="00A60B24">
        <w:rPr>
          <w:rFonts w:ascii="Times New Roman" w:hAnsi="Times New Roman" w:cs="Times New Roman"/>
          <w:sz w:val="20"/>
          <w:szCs w:val="20"/>
        </w:rPr>
        <w:t>Radiotherapy</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alone</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and</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with</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concurrent</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chemotherapy</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for</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nasopharyngeal</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carcinoma:</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A</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retrospective</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study.</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Medicine</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(Baltimore).</w:t>
      </w:r>
      <w:r w:rsidR="00BF7D07" w:rsidRPr="00A60B24">
        <w:rPr>
          <w:rFonts w:ascii="Times New Roman" w:hAnsi="Times New Roman" w:cs="Times New Roman"/>
          <w:sz w:val="20"/>
          <w:szCs w:val="20"/>
        </w:rPr>
        <w:t xml:space="preserve"> </w:t>
      </w:r>
      <w:r w:rsidRPr="00A60B24">
        <w:rPr>
          <w:rFonts w:ascii="Times New Roman" w:hAnsi="Times New Roman" w:cs="Times New Roman"/>
          <w:sz w:val="20"/>
          <w:szCs w:val="20"/>
        </w:rPr>
        <w:t>2018;97(18):e050</w:t>
      </w:r>
      <w:r w:rsidR="00737872" w:rsidRPr="00A60B24">
        <w:rPr>
          <w:rFonts w:ascii="Times New Roman" w:hAnsi="Times New Roman" w:cs="Times New Roman"/>
          <w:sz w:val="20"/>
          <w:szCs w:val="20"/>
        </w:rPr>
        <w:t>2.</w:t>
      </w:r>
    </w:p>
    <w:p w:rsidR="00737872" w:rsidRDefault="00737872" w:rsidP="00737872">
      <w:pPr>
        <w:autoSpaceDE w:val="0"/>
        <w:autoSpaceDN w:val="0"/>
        <w:bidi w:val="0"/>
        <w:adjustRightInd w:val="0"/>
        <w:snapToGrid w:val="0"/>
        <w:spacing w:after="0" w:line="240" w:lineRule="auto"/>
        <w:ind w:left="425" w:hanging="425"/>
        <w:jc w:val="both"/>
        <w:rPr>
          <w:rStyle w:val="Hyperlink"/>
          <w:rFonts w:ascii="Times New Roman" w:hAnsi="Times New Roman" w:cs="Times New Roman"/>
          <w:color w:val="000000" w:themeColor="text1"/>
          <w:sz w:val="20"/>
          <w:szCs w:val="20"/>
          <w:u w:val="none"/>
          <w:lang w:val="fr-FR"/>
        </w:rPr>
        <w:sectPr w:rsidR="00737872" w:rsidSect="00737872">
          <w:type w:val="continuous"/>
          <w:pgSz w:w="12242" w:h="15842" w:code="1"/>
          <w:pgMar w:top="1440" w:right="1440" w:bottom="1440" w:left="1440" w:header="720" w:footer="720" w:gutter="0"/>
          <w:cols w:num="2" w:space="550"/>
          <w:docGrid w:linePitch="360"/>
        </w:sectPr>
      </w:pPr>
    </w:p>
    <w:p w:rsidR="00BF7D07" w:rsidRPr="00737872" w:rsidRDefault="00BF7D07" w:rsidP="00737872">
      <w:pPr>
        <w:autoSpaceDE w:val="0"/>
        <w:autoSpaceDN w:val="0"/>
        <w:bidi w:val="0"/>
        <w:adjustRightInd w:val="0"/>
        <w:snapToGrid w:val="0"/>
        <w:spacing w:after="0" w:line="240" w:lineRule="auto"/>
        <w:ind w:left="425" w:hanging="425"/>
        <w:jc w:val="both"/>
        <w:rPr>
          <w:rStyle w:val="Hyperlink"/>
          <w:rFonts w:ascii="Times New Roman" w:hAnsi="Times New Roman" w:cs="Times New Roman"/>
          <w:color w:val="000000" w:themeColor="text1"/>
          <w:sz w:val="20"/>
          <w:szCs w:val="20"/>
          <w:u w:val="none"/>
          <w:lang w:val="fr-FR"/>
        </w:rPr>
      </w:pPr>
      <w:r w:rsidRPr="00737872">
        <w:rPr>
          <w:rStyle w:val="Hyperlink"/>
          <w:rFonts w:ascii="Times New Roman" w:hAnsi="Times New Roman" w:cs="Times New Roman"/>
          <w:color w:val="000000" w:themeColor="text1"/>
          <w:sz w:val="20"/>
          <w:szCs w:val="20"/>
          <w:u w:val="none"/>
          <w:lang w:val="fr-FR"/>
        </w:rPr>
        <w:lastRenderedPageBreak/>
        <w:cr/>
        <w:t xml:space="preserve"> </w:t>
      </w:r>
      <w:r w:rsidRPr="00737872">
        <w:rPr>
          <w:rStyle w:val="Hyperlink"/>
          <w:rFonts w:ascii="Times New Roman" w:hAnsi="Times New Roman" w:cs="Times New Roman"/>
          <w:color w:val="000000" w:themeColor="text1"/>
          <w:sz w:val="20"/>
          <w:szCs w:val="20"/>
          <w:u w:val="none"/>
          <w:lang w:val="fr-FR"/>
        </w:rPr>
        <w:cr/>
      </w:r>
    </w:p>
    <w:p w:rsidR="004C3E1E" w:rsidRPr="00737872" w:rsidRDefault="00BF7D07" w:rsidP="00737872">
      <w:pPr>
        <w:autoSpaceDE w:val="0"/>
        <w:autoSpaceDN w:val="0"/>
        <w:bidi w:val="0"/>
        <w:adjustRightInd w:val="0"/>
        <w:snapToGrid w:val="0"/>
        <w:spacing w:after="0" w:line="240" w:lineRule="auto"/>
        <w:jc w:val="both"/>
        <w:rPr>
          <w:rStyle w:val="Hyperlink"/>
          <w:rFonts w:ascii="Times New Roman" w:hAnsi="Times New Roman" w:cs="Times New Roman"/>
          <w:color w:val="000000" w:themeColor="text1"/>
          <w:sz w:val="20"/>
          <w:szCs w:val="20"/>
          <w:u w:val="none"/>
          <w:lang w:val="fr-FR" w:eastAsia="zh-CN"/>
        </w:rPr>
      </w:pPr>
      <w:r w:rsidRPr="00737872">
        <w:rPr>
          <w:rStyle w:val="Hyperlink"/>
          <w:rFonts w:ascii="Times New Roman" w:hAnsi="Times New Roman" w:cs="Times New Roman"/>
          <w:color w:val="000000" w:themeColor="text1"/>
          <w:sz w:val="20"/>
          <w:szCs w:val="20"/>
          <w:u w:val="none"/>
          <w:lang w:val="fr-FR"/>
        </w:rPr>
        <w:t>1</w:t>
      </w:r>
      <w:r w:rsidR="00737872" w:rsidRPr="00737872">
        <w:rPr>
          <w:rStyle w:val="Hyperlink"/>
          <w:rFonts w:ascii="Times New Roman" w:hAnsi="Times New Roman" w:cs="Times New Roman"/>
          <w:color w:val="000000" w:themeColor="text1"/>
          <w:sz w:val="20"/>
          <w:szCs w:val="20"/>
          <w:u w:val="none"/>
          <w:lang w:val="fr-FR" w:eastAsia="zh-CN"/>
        </w:rPr>
        <w:t>2</w:t>
      </w:r>
      <w:r w:rsidRPr="00737872">
        <w:rPr>
          <w:rStyle w:val="Hyperlink"/>
          <w:rFonts w:ascii="Times New Roman" w:hAnsi="Times New Roman" w:cs="Times New Roman"/>
          <w:color w:val="000000" w:themeColor="text1"/>
          <w:sz w:val="20"/>
          <w:szCs w:val="20"/>
          <w:u w:val="none"/>
          <w:lang w:val="fr-FR"/>
        </w:rPr>
        <w:t>/</w:t>
      </w:r>
      <w:r w:rsidR="00737872" w:rsidRPr="00737872">
        <w:rPr>
          <w:rStyle w:val="Hyperlink"/>
          <w:rFonts w:ascii="Times New Roman" w:hAnsi="Times New Roman" w:cs="Times New Roman"/>
          <w:color w:val="000000" w:themeColor="text1"/>
          <w:sz w:val="20"/>
          <w:szCs w:val="20"/>
          <w:u w:val="none"/>
          <w:lang w:val="fr-FR" w:eastAsia="zh-CN"/>
        </w:rPr>
        <w:t>25</w:t>
      </w:r>
      <w:r w:rsidRPr="00737872">
        <w:rPr>
          <w:rStyle w:val="Hyperlink"/>
          <w:rFonts w:ascii="Times New Roman" w:hAnsi="Times New Roman" w:cs="Times New Roman"/>
          <w:color w:val="000000" w:themeColor="text1"/>
          <w:sz w:val="20"/>
          <w:szCs w:val="20"/>
          <w:u w:val="none"/>
          <w:lang w:val="fr-FR"/>
        </w:rPr>
        <w:t>/201</w:t>
      </w:r>
      <w:r w:rsidR="00737872" w:rsidRPr="00737872">
        <w:rPr>
          <w:rStyle w:val="Hyperlink"/>
          <w:rFonts w:ascii="Times New Roman" w:hAnsi="Times New Roman" w:cs="Times New Roman"/>
          <w:color w:val="000000" w:themeColor="text1"/>
          <w:sz w:val="20"/>
          <w:szCs w:val="20"/>
          <w:u w:val="none"/>
          <w:lang w:val="fr-FR" w:eastAsia="zh-CN"/>
        </w:rPr>
        <w:t>8</w:t>
      </w:r>
    </w:p>
    <w:sectPr w:rsidR="004C3E1E" w:rsidRPr="00737872" w:rsidSect="00BF7D07">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EC3" w:rsidRDefault="00241EC3" w:rsidP="00F0585D">
      <w:pPr>
        <w:spacing w:after="0" w:line="240" w:lineRule="auto"/>
      </w:pPr>
      <w:r>
        <w:separator/>
      </w:r>
    </w:p>
  </w:endnote>
  <w:endnote w:type="continuationSeparator" w:id="0">
    <w:p w:rsidR="00241EC3" w:rsidRDefault="00241EC3" w:rsidP="00F058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宋">
    <w:altName w:val="Arial Unicode MS"/>
    <w:panose1 w:val="00000000000000000000"/>
    <w:charset w:val="86"/>
    <w:family w:val="roman"/>
    <w:notTrueType/>
    <w:pitch w:val="default"/>
    <w:sig w:usb0="00000000"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872" w:rsidRPr="009544EA" w:rsidRDefault="00EB65FE" w:rsidP="009544EA">
    <w:pPr>
      <w:bidi w:val="0"/>
      <w:spacing w:after="0" w:line="240" w:lineRule="auto"/>
      <w:jc w:val="center"/>
      <w:rPr>
        <w:rFonts w:ascii="Times New Roman" w:hAnsi="Times New Roman" w:cs="Times New Roman"/>
        <w:sz w:val="20"/>
      </w:rPr>
    </w:pPr>
    <w:r w:rsidRPr="009544EA">
      <w:rPr>
        <w:rFonts w:ascii="Times New Roman" w:hAnsi="Times New Roman" w:cs="Times New Roman"/>
        <w:sz w:val="20"/>
      </w:rPr>
      <w:fldChar w:fldCharType="begin"/>
    </w:r>
    <w:r w:rsidR="009544EA" w:rsidRPr="009544EA">
      <w:rPr>
        <w:rFonts w:ascii="Times New Roman" w:hAnsi="Times New Roman" w:cs="Times New Roman"/>
        <w:sz w:val="20"/>
      </w:rPr>
      <w:instrText xml:space="preserve"> page </w:instrText>
    </w:r>
    <w:r w:rsidRPr="009544EA">
      <w:rPr>
        <w:rFonts w:ascii="Times New Roman" w:hAnsi="Times New Roman" w:cs="Times New Roman"/>
        <w:sz w:val="20"/>
      </w:rPr>
      <w:fldChar w:fldCharType="separate"/>
    </w:r>
    <w:r w:rsidR="00A60B24">
      <w:rPr>
        <w:rFonts w:ascii="Times New Roman" w:hAnsi="Times New Roman" w:cs="Times New Roman"/>
        <w:noProof/>
        <w:sz w:val="20"/>
      </w:rPr>
      <w:t>145</w:t>
    </w:r>
    <w:r w:rsidRPr="009544EA">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EC3" w:rsidRDefault="00241EC3" w:rsidP="00F0585D">
      <w:pPr>
        <w:spacing w:after="0" w:line="240" w:lineRule="auto"/>
      </w:pPr>
      <w:r>
        <w:separator/>
      </w:r>
    </w:p>
  </w:footnote>
  <w:footnote w:type="continuationSeparator" w:id="0">
    <w:p w:rsidR="00241EC3" w:rsidRDefault="00241EC3" w:rsidP="00F058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4EA" w:rsidRPr="009544EA" w:rsidRDefault="009544EA" w:rsidP="009544EA">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9544EA">
      <w:rPr>
        <w:rFonts w:ascii="Times New Roman" w:hAnsi="Times New Roman" w:cs="Times New Roman" w:hint="eastAsia"/>
        <w:iCs/>
        <w:color w:val="000000"/>
        <w:sz w:val="20"/>
      </w:rPr>
      <w:tab/>
    </w:r>
    <w:r w:rsidRPr="009544EA">
      <w:rPr>
        <w:rFonts w:ascii="Times New Roman" w:hAnsi="Times New Roman" w:cs="Times New Roman"/>
        <w:iCs/>
        <w:color w:val="000000"/>
        <w:sz w:val="20"/>
      </w:rPr>
      <w:t xml:space="preserve">Cancer Biology </w:t>
    </w:r>
    <w:r w:rsidRPr="009544EA">
      <w:rPr>
        <w:rFonts w:ascii="Times New Roman" w:hAnsi="Times New Roman" w:cs="Times New Roman"/>
        <w:iCs/>
        <w:sz w:val="20"/>
      </w:rPr>
      <w:t>201</w:t>
    </w:r>
    <w:r w:rsidRPr="009544EA">
      <w:rPr>
        <w:rFonts w:ascii="Times New Roman" w:hAnsi="Times New Roman" w:cs="Times New Roman" w:hint="eastAsia"/>
        <w:iCs/>
        <w:sz w:val="20"/>
      </w:rPr>
      <w:t>8</w:t>
    </w:r>
    <w:r w:rsidRPr="009544EA">
      <w:rPr>
        <w:rFonts w:ascii="Times New Roman" w:hAnsi="Times New Roman" w:cs="Times New Roman"/>
        <w:iCs/>
        <w:sz w:val="20"/>
      </w:rPr>
      <w:t>;</w:t>
    </w:r>
    <w:r w:rsidRPr="009544EA">
      <w:rPr>
        <w:rFonts w:ascii="Times New Roman" w:hAnsi="Times New Roman" w:cs="Times New Roman" w:hint="eastAsia"/>
        <w:iCs/>
        <w:sz w:val="20"/>
      </w:rPr>
      <w:t>8</w:t>
    </w:r>
    <w:r w:rsidRPr="009544EA">
      <w:rPr>
        <w:rFonts w:ascii="Times New Roman" w:hAnsi="Times New Roman" w:cs="Times New Roman"/>
        <w:iCs/>
        <w:sz w:val="20"/>
      </w:rPr>
      <w:t>(</w:t>
    </w:r>
    <w:r w:rsidRPr="009544EA">
      <w:rPr>
        <w:rFonts w:ascii="Times New Roman" w:hAnsi="Times New Roman" w:cs="Times New Roman" w:hint="eastAsia"/>
        <w:iCs/>
        <w:sz w:val="20"/>
      </w:rPr>
      <w:t>4</w:t>
    </w:r>
    <w:r w:rsidRPr="009544EA">
      <w:rPr>
        <w:rFonts w:ascii="Times New Roman" w:hAnsi="Times New Roman" w:cs="Times New Roman"/>
        <w:iCs/>
        <w:sz w:val="20"/>
      </w:rPr>
      <w:t xml:space="preserve">)  </w:t>
    </w:r>
    <w:r w:rsidRPr="009544EA">
      <w:rPr>
        <w:rFonts w:ascii="Times New Roman" w:hAnsi="Times New Roman" w:cs="Times New Roman" w:hint="eastAsia"/>
        <w:iCs/>
        <w:sz w:val="20"/>
      </w:rPr>
      <w:t xml:space="preserve">   </w:t>
    </w:r>
    <w:r w:rsidRPr="009544EA">
      <w:rPr>
        <w:rFonts w:ascii="Times New Roman" w:hAnsi="Times New Roman" w:cs="Times New Roman" w:hint="eastAsia"/>
        <w:iCs/>
        <w:sz w:val="20"/>
      </w:rPr>
      <w:tab/>
      <w:t xml:space="preserve">     </w:t>
    </w:r>
    <w:r w:rsidRPr="009544EA">
      <w:rPr>
        <w:rFonts w:ascii="Times New Roman" w:hAnsi="Times New Roman" w:cs="Times New Roman"/>
        <w:iCs/>
        <w:sz w:val="20"/>
      </w:rPr>
      <w:t xml:space="preserve"> </w:t>
    </w:r>
    <w:r w:rsidRPr="009544EA">
      <w:rPr>
        <w:rFonts w:ascii="Times New Roman" w:hAnsi="Times New Roman" w:cs="Times New Roman"/>
        <w:sz w:val="20"/>
      </w:rPr>
      <w:t xml:space="preserve">  </w:t>
    </w:r>
    <w:hyperlink r:id="rId1" w:history="1">
      <w:r w:rsidRPr="009544EA">
        <w:rPr>
          <w:rStyle w:val="Hyperlink"/>
          <w:rFonts w:ascii="Times New Roman" w:hAnsi="Times New Roman" w:cs="Times New Roman"/>
          <w:sz w:val="20"/>
        </w:rPr>
        <w:t>http://www.cancerbio.net</w:t>
      </w:r>
    </w:hyperlink>
  </w:p>
  <w:p w:rsidR="009544EA" w:rsidRPr="009544EA" w:rsidRDefault="009544EA" w:rsidP="009544EA">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C0DCD"/>
    <w:multiLevelType w:val="hybridMultilevel"/>
    <w:tmpl w:val="5D781B7A"/>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
    <w:nsid w:val="36593328"/>
    <w:multiLevelType w:val="hybridMultilevel"/>
    <w:tmpl w:val="EE34FCA4"/>
    <w:lvl w:ilvl="0" w:tplc="5E5EA426">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F03FF2"/>
    <w:multiLevelType w:val="hybridMultilevel"/>
    <w:tmpl w:val="AD5874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3DB6F3C"/>
    <w:multiLevelType w:val="hybridMultilevel"/>
    <w:tmpl w:val="2850D8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5A20E8E"/>
    <w:multiLevelType w:val="hybridMultilevel"/>
    <w:tmpl w:val="F2A424BC"/>
    <w:lvl w:ilvl="0" w:tplc="0C6018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4080B1F"/>
    <w:multiLevelType w:val="hybridMultilevel"/>
    <w:tmpl w:val="366C2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91177D9"/>
    <w:multiLevelType w:val="hybridMultilevel"/>
    <w:tmpl w:val="282694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A4E0E74"/>
    <w:multiLevelType w:val="hybridMultilevel"/>
    <w:tmpl w:val="5AE0AB9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FEE59BB"/>
    <w:multiLevelType w:val="hybridMultilevel"/>
    <w:tmpl w:val="39109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CA1CB7"/>
    <w:multiLevelType w:val="hybridMultilevel"/>
    <w:tmpl w:val="65108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3"/>
  </w:num>
  <w:num w:numId="4">
    <w:abstractNumId w:val="7"/>
  </w:num>
  <w:num w:numId="5">
    <w:abstractNumId w:val="0"/>
  </w:num>
  <w:num w:numId="6">
    <w:abstractNumId w:val="1"/>
  </w:num>
  <w:num w:numId="7">
    <w:abstractNumId w:val="5"/>
  </w:num>
  <w:num w:numId="8">
    <w:abstractNumId w:val="2"/>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useFELayout/>
  </w:compat>
  <w:rsids>
    <w:rsidRoot w:val="000E6553"/>
    <w:rsid w:val="00002516"/>
    <w:rsid w:val="00017C2F"/>
    <w:rsid w:val="00023A9C"/>
    <w:rsid w:val="00035FA1"/>
    <w:rsid w:val="0007119D"/>
    <w:rsid w:val="000E6553"/>
    <w:rsid w:val="000F3CD6"/>
    <w:rsid w:val="00101DC3"/>
    <w:rsid w:val="001156CD"/>
    <w:rsid w:val="001212AA"/>
    <w:rsid w:val="00131332"/>
    <w:rsid w:val="00156024"/>
    <w:rsid w:val="00176A31"/>
    <w:rsid w:val="001A0833"/>
    <w:rsid w:val="001A4F72"/>
    <w:rsid w:val="001B3E3A"/>
    <w:rsid w:val="001E3284"/>
    <w:rsid w:val="001E52B7"/>
    <w:rsid w:val="0022135E"/>
    <w:rsid w:val="00233867"/>
    <w:rsid w:val="00241EC3"/>
    <w:rsid w:val="00273369"/>
    <w:rsid w:val="00290439"/>
    <w:rsid w:val="00291C53"/>
    <w:rsid w:val="002B7144"/>
    <w:rsid w:val="002C5448"/>
    <w:rsid w:val="002C7682"/>
    <w:rsid w:val="002E5DEE"/>
    <w:rsid w:val="00300055"/>
    <w:rsid w:val="00332479"/>
    <w:rsid w:val="00384052"/>
    <w:rsid w:val="0038549F"/>
    <w:rsid w:val="003856DC"/>
    <w:rsid w:val="003931B2"/>
    <w:rsid w:val="003C2BAD"/>
    <w:rsid w:val="003D30D8"/>
    <w:rsid w:val="003F1D42"/>
    <w:rsid w:val="0040422D"/>
    <w:rsid w:val="004275D6"/>
    <w:rsid w:val="0042771D"/>
    <w:rsid w:val="00430C7A"/>
    <w:rsid w:val="004661BB"/>
    <w:rsid w:val="00467C25"/>
    <w:rsid w:val="00472EE8"/>
    <w:rsid w:val="00494B96"/>
    <w:rsid w:val="004960EE"/>
    <w:rsid w:val="00496385"/>
    <w:rsid w:val="004C3E1E"/>
    <w:rsid w:val="004E01A4"/>
    <w:rsid w:val="004E20D8"/>
    <w:rsid w:val="0050539B"/>
    <w:rsid w:val="0052509C"/>
    <w:rsid w:val="005301B1"/>
    <w:rsid w:val="005411B5"/>
    <w:rsid w:val="005420E7"/>
    <w:rsid w:val="00543B34"/>
    <w:rsid w:val="00552736"/>
    <w:rsid w:val="0056203F"/>
    <w:rsid w:val="005720B0"/>
    <w:rsid w:val="00572794"/>
    <w:rsid w:val="005751CC"/>
    <w:rsid w:val="005879A4"/>
    <w:rsid w:val="005A182E"/>
    <w:rsid w:val="005A4E90"/>
    <w:rsid w:val="005B2B0D"/>
    <w:rsid w:val="00600E84"/>
    <w:rsid w:val="00607490"/>
    <w:rsid w:val="006B1129"/>
    <w:rsid w:val="006B757F"/>
    <w:rsid w:val="00725B4C"/>
    <w:rsid w:val="00734834"/>
    <w:rsid w:val="00737872"/>
    <w:rsid w:val="007641E0"/>
    <w:rsid w:val="0076675A"/>
    <w:rsid w:val="007845C1"/>
    <w:rsid w:val="00815C7F"/>
    <w:rsid w:val="008603AF"/>
    <w:rsid w:val="00897915"/>
    <w:rsid w:val="008F0B59"/>
    <w:rsid w:val="009201A3"/>
    <w:rsid w:val="00927739"/>
    <w:rsid w:val="0095391E"/>
    <w:rsid w:val="009544EA"/>
    <w:rsid w:val="009D4910"/>
    <w:rsid w:val="00A60B24"/>
    <w:rsid w:val="00A62A4B"/>
    <w:rsid w:val="00A8560A"/>
    <w:rsid w:val="00AA2CB1"/>
    <w:rsid w:val="00AA71D5"/>
    <w:rsid w:val="00AB5C0D"/>
    <w:rsid w:val="00AE6D4E"/>
    <w:rsid w:val="00B12FFC"/>
    <w:rsid w:val="00B27B70"/>
    <w:rsid w:val="00B45AA2"/>
    <w:rsid w:val="00B70ABC"/>
    <w:rsid w:val="00B91942"/>
    <w:rsid w:val="00BC033A"/>
    <w:rsid w:val="00BF4610"/>
    <w:rsid w:val="00BF7D07"/>
    <w:rsid w:val="00C26DB6"/>
    <w:rsid w:val="00C8657A"/>
    <w:rsid w:val="00C91307"/>
    <w:rsid w:val="00CB471A"/>
    <w:rsid w:val="00CD333D"/>
    <w:rsid w:val="00CE2954"/>
    <w:rsid w:val="00D25AD1"/>
    <w:rsid w:val="00D264E3"/>
    <w:rsid w:val="00D27763"/>
    <w:rsid w:val="00D37583"/>
    <w:rsid w:val="00DD5D6F"/>
    <w:rsid w:val="00DE67CC"/>
    <w:rsid w:val="00E22B8D"/>
    <w:rsid w:val="00E3600F"/>
    <w:rsid w:val="00E5066A"/>
    <w:rsid w:val="00E525A1"/>
    <w:rsid w:val="00E80318"/>
    <w:rsid w:val="00EB3174"/>
    <w:rsid w:val="00EB65FE"/>
    <w:rsid w:val="00EC07D9"/>
    <w:rsid w:val="00EC16A1"/>
    <w:rsid w:val="00ED5737"/>
    <w:rsid w:val="00F04F15"/>
    <w:rsid w:val="00F0585D"/>
    <w:rsid w:val="00F11842"/>
    <w:rsid w:val="00F177A7"/>
    <w:rsid w:val="00F37170"/>
    <w:rsid w:val="00F76000"/>
    <w:rsid w:val="00F77648"/>
    <w:rsid w:val="00FB2072"/>
    <w:rsid w:val="00FF3F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C7F"/>
    <w:pPr>
      <w:bidi/>
    </w:pPr>
  </w:style>
  <w:style w:type="paragraph" w:styleId="Heading1">
    <w:name w:val="heading 1"/>
    <w:basedOn w:val="Normal"/>
    <w:next w:val="Normal"/>
    <w:link w:val="Heading1Char"/>
    <w:qFormat/>
    <w:rsid w:val="00B70ABC"/>
    <w:pPr>
      <w:keepNext/>
      <w:bidi w:val="0"/>
      <w:spacing w:after="0" w:line="240" w:lineRule="auto"/>
      <w:outlineLvl w:val="0"/>
    </w:pPr>
    <w:rPr>
      <w:rFonts w:ascii="Times New Roman" w:eastAsia="Times New Roman" w:hAnsi="Times New Roman" w:cs="Times New Roman"/>
      <w:sz w:val="2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177A7"/>
    <w:pPr>
      <w:ind w:left="720"/>
      <w:contextualSpacing/>
    </w:pPr>
  </w:style>
  <w:style w:type="character" w:styleId="Hyperlink">
    <w:name w:val="Hyperlink"/>
    <w:basedOn w:val="DefaultParagraphFont"/>
    <w:uiPriority w:val="99"/>
    <w:unhideWhenUsed/>
    <w:rsid w:val="004960EE"/>
    <w:rPr>
      <w:color w:val="0000FF"/>
      <w:u w:val="single"/>
    </w:rPr>
  </w:style>
  <w:style w:type="paragraph" w:customStyle="1" w:styleId="headinganchor">
    <w:name w:val="headinganchor"/>
    <w:basedOn w:val="Normal"/>
    <w:rsid w:val="00BC033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1">
    <w:name w:val="h1"/>
    <w:basedOn w:val="DefaultParagraphFont"/>
    <w:rsid w:val="00552736"/>
  </w:style>
  <w:style w:type="paragraph" w:styleId="BalloonText">
    <w:name w:val="Balloon Text"/>
    <w:basedOn w:val="Normal"/>
    <w:link w:val="BalloonTextChar"/>
    <w:uiPriority w:val="99"/>
    <w:semiHidden/>
    <w:unhideWhenUsed/>
    <w:rsid w:val="00543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B34"/>
    <w:rPr>
      <w:rFonts w:ascii="Tahoma" w:hAnsi="Tahoma" w:cs="Tahoma"/>
      <w:sz w:val="16"/>
      <w:szCs w:val="16"/>
    </w:rPr>
  </w:style>
  <w:style w:type="paragraph" w:styleId="NormalWeb">
    <w:name w:val="Normal (Web)"/>
    <w:basedOn w:val="Normal"/>
    <w:rsid w:val="00B70AB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70ABC"/>
    <w:rPr>
      <w:rFonts w:ascii="Times New Roman" w:eastAsia="Times New Roman" w:hAnsi="Times New Roman" w:cs="Times New Roman"/>
      <w:sz w:val="28"/>
      <w:szCs w:val="24"/>
      <w:lang w:eastAsia="ar-SA"/>
    </w:rPr>
  </w:style>
  <w:style w:type="character" w:customStyle="1" w:styleId="element-citation">
    <w:name w:val="element-citation"/>
    <w:basedOn w:val="DefaultParagraphFont"/>
    <w:rsid w:val="00B70ABC"/>
  </w:style>
  <w:style w:type="table" w:styleId="TableGrid">
    <w:name w:val="Table Grid"/>
    <w:basedOn w:val="TableNormal"/>
    <w:rsid w:val="005B2B0D"/>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s">
    <w:name w:val="authors"/>
    <w:basedOn w:val="DefaultParagraphFont"/>
    <w:rsid w:val="00E3600F"/>
  </w:style>
  <w:style w:type="character" w:customStyle="1" w:styleId="highlight">
    <w:name w:val="highlight"/>
    <w:basedOn w:val="DefaultParagraphFont"/>
    <w:rsid w:val="00496385"/>
  </w:style>
  <w:style w:type="character" w:customStyle="1" w:styleId="ref-journal">
    <w:name w:val="ref-journal"/>
    <w:basedOn w:val="DefaultParagraphFont"/>
    <w:rsid w:val="004C3E1E"/>
  </w:style>
  <w:style w:type="character" w:customStyle="1" w:styleId="ref-vol">
    <w:name w:val="ref-vol"/>
    <w:basedOn w:val="DefaultParagraphFont"/>
    <w:rsid w:val="004C3E1E"/>
  </w:style>
  <w:style w:type="character" w:customStyle="1" w:styleId="Date1">
    <w:name w:val="Date1"/>
    <w:basedOn w:val="DefaultParagraphFont"/>
    <w:rsid w:val="004C3E1E"/>
  </w:style>
  <w:style w:type="character" w:customStyle="1" w:styleId="arttitle">
    <w:name w:val="art_title"/>
    <w:basedOn w:val="DefaultParagraphFont"/>
    <w:rsid w:val="004C3E1E"/>
  </w:style>
  <w:style w:type="character" w:customStyle="1" w:styleId="serialtitle">
    <w:name w:val="serial_title"/>
    <w:basedOn w:val="DefaultParagraphFont"/>
    <w:rsid w:val="004C3E1E"/>
  </w:style>
  <w:style w:type="character" w:customStyle="1" w:styleId="volumeissue">
    <w:name w:val="volume_issue"/>
    <w:basedOn w:val="DefaultParagraphFont"/>
    <w:rsid w:val="004C3E1E"/>
  </w:style>
  <w:style w:type="character" w:customStyle="1" w:styleId="pagerange">
    <w:name w:val="page_range"/>
    <w:basedOn w:val="DefaultParagraphFont"/>
    <w:rsid w:val="004C3E1E"/>
  </w:style>
  <w:style w:type="paragraph" w:styleId="Header">
    <w:name w:val="header"/>
    <w:basedOn w:val="Normal"/>
    <w:link w:val="HeaderChar"/>
    <w:uiPriority w:val="99"/>
    <w:unhideWhenUsed/>
    <w:rsid w:val="00F0585D"/>
    <w:pPr>
      <w:tabs>
        <w:tab w:val="center" w:pos="4153"/>
        <w:tab w:val="right" w:pos="8306"/>
      </w:tabs>
      <w:spacing w:after="0" w:line="240" w:lineRule="auto"/>
    </w:pPr>
  </w:style>
  <w:style w:type="character" w:customStyle="1" w:styleId="HeaderChar">
    <w:name w:val="Header Char"/>
    <w:basedOn w:val="DefaultParagraphFont"/>
    <w:link w:val="Header"/>
    <w:uiPriority w:val="99"/>
    <w:rsid w:val="00F0585D"/>
  </w:style>
  <w:style w:type="paragraph" w:styleId="Footer">
    <w:name w:val="footer"/>
    <w:basedOn w:val="Normal"/>
    <w:link w:val="FooterChar"/>
    <w:uiPriority w:val="99"/>
    <w:semiHidden/>
    <w:unhideWhenUsed/>
    <w:rsid w:val="00F0585D"/>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F0585D"/>
  </w:style>
  <w:style w:type="paragraph" w:styleId="NoSpacing">
    <w:name w:val="No Spacing"/>
    <w:basedOn w:val="Normal"/>
    <w:link w:val="NoSpacingChar"/>
    <w:qFormat/>
    <w:rsid w:val="00737872"/>
    <w:pPr>
      <w:bidi w:val="0"/>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737872"/>
    <w:rPr>
      <w:rFonts w:ascii="Times New Roman" w:eastAsia="宋体" w:hAnsi="Times New Roman" w:cs="Times New Roman"/>
      <w:sz w:val="24"/>
      <w:szCs w:val="24"/>
      <w:lang w:eastAsia="zh-CN"/>
    </w:rPr>
  </w:style>
  <w:style w:type="character" w:customStyle="1" w:styleId="msonormal0">
    <w:name w:val="msonormal0"/>
    <w:basedOn w:val="DefaultParagraphFont"/>
    <w:rsid w:val="007378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qFormat/>
    <w:rsid w:val="00B70ABC"/>
    <w:pPr>
      <w:keepNext/>
      <w:bidi w:val="0"/>
      <w:spacing w:after="0" w:line="240" w:lineRule="auto"/>
      <w:outlineLvl w:val="0"/>
    </w:pPr>
    <w:rPr>
      <w:rFonts w:ascii="Times New Roman" w:eastAsia="Times New Roman" w:hAnsi="Times New Roman" w:cs="Times New Roman"/>
      <w:sz w:val="2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177A7"/>
    <w:pPr>
      <w:ind w:left="720"/>
      <w:contextualSpacing/>
    </w:pPr>
  </w:style>
  <w:style w:type="character" w:styleId="Hyperlink">
    <w:name w:val="Hyperlink"/>
    <w:basedOn w:val="DefaultParagraphFont"/>
    <w:uiPriority w:val="99"/>
    <w:semiHidden/>
    <w:unhideWhenUsed/>
    <w:rsid w:val="004960EE"/>
    <w:rPr>
      <w:color w:val="0000FF"/>
      <w:u w:val="single"/>
    </w:rPr>
  </w:style>
  <w:style w:type="paragraph" w:customStyle="1" w:styleId="headinganchor">
    <w:name w:val="headinganchor"/>
    <w:basedOn w:val="Normal"/>
    <w:rsid w:val="00BC033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1">
    <w:name w:val="h1"/>
    <w:basedOn w:val="DefaultParagraphFont"/>
    <w:rsid w:val="00552736"/>
  </w:style>
  <w:style w:type="paragraph" w:styleId="BalloonText">
    <w:name w:val="Balloon Text"/>
    <w:basedOn w:val="Normal"/>
    <w:link w:val="BalloonTextChar"/>
    <w:uiPriority w:val="99"/>
    <w:semiHidden/>
    <w:unhideWhenUsed/>
    <w:rsid w:val="00543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B34"/>
    <w:rPr>
      <w:rFonts w:ascii="Tahoma" w:hAnsi="Tahoma" w:cs="Tahoma"/>
      <w:sz w:val="16"/>
      <w:szCs w:val="16"/>
    </w:rPr>
  </w:style>
  <w:style w:type="paragraph" w:styleId="NormalWeb">
    <w:name w:val="Normal (Web)"/>
    <w:basedOn w:val="Normal"/>
    <w:rsid w:val="00B70AB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70ABC"/>
    <w:rPr>
      <w:rFonts w:ascii="Times New Roman" w:eastAsia="Times New Roman" w:hAnsi="Times New Roman" w:cs="Times New Roman"/>
      <w:sz w:val="28"/>
      <w:szCs w:val="24"/>
      <w:lang w:eastAsia="ar-SA"/>
    </w:rPr>
  </w:style>
  <w:style w:type="character" w:customStyle="1" w:styleId="element-citation">
    <w:name w:val="element-citation"/>
    <w:basedOn w:val="DefaultParagraphFont"/>
    <w:rsid w:val="00B70ABC"/>
  </w:style>
  <w:style w:type="table" w:styleId="TableGrid">
    <w:name w:val="Table Grid"/>
    <w:basedOn w:val="TableNormal"/>
    <w:rsid w:val="005B2B0D"/>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s">
    <w:name w:val="authors"/>
    <w:basedOn w:val="DefaultParagraphFont"/>
    <w:rsid w:val="00E3600F"/>
  </w:style>
  <w:style w:type="character" w:customStyle="1" w:styleId="highlight">
    <w:name w:val="highlight"/>
    <w:basedOn w:val="DefaultParagraphFont"/>
    <w:rsid w:val="00496385"/>
  </w:style>
  <w:style w:type="character" w:customStyle="1" w:styleId="ref-journal">
    <w:name w:val="ref-journal"/>
    <w:basedOn w:val="DefaultParagraphFont"/>
    <w:rsid w:val="004C3E1E"/>
  </w:style>
  <w:style w:type="character" w:customStyle="1" w:styleId="ref-vol">
    <w:name w:val="ref-vol"/>
    <w:basedOn w:val="DefaultParagraphFont"/>
    <w:rsid w:val="004C3E1E"/>
  </w:style>
  <w:style w:type="character" w:customStyle="1" w:styleId="Date1">
    <w:name w:val="Date1"/>
    <w:basedOn w:val="DefaultParagraphFont"/>
    <w:rsid w:val="004C3E1E"/>
  </w:style>
  <w:style w:type="character" w:customStyle="1" w:styleId="arttitle">
    <w:name w:val="art_title"/>
    <w:basedOn w:val="DefaultParagraphFont"/>
    <w:rsid w:val="004C3E1E"/>
  </w:style>
  <w:style w:type="character" w:customStyle="1" w:styleId="serialtitle">
    <w:name w:val="serial_title"/>
    <w:basedOn w:val="DefaultParagraphFont"/>
    <w:rsid w:val="004C3E1E"/>
  </w:style>
  <w:style w:type="character" w:customStyle="1" w:styleId="volumeissue">
    <w:name w:val="volume_issue"/>
    <w:basedOn w:val="DefaultParagraphFont"/>
    <w:rsid w:val="004C3E1E"/>
  </w:style>
  <w:style w:type="character" w:customStyle="1" w:styleId="pagerange">
    <w:name w:val="page_range"/>
    <w:basedOn w:val="DefaultParagraphFont"/>
    <w:rsid w:val="004C3E1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i_11_21@hotmail.com" TargetMode="External"/><Relationship Id="rId13" Type="http://schemas.openxmlformats.org/officeDocument/2006/relationships/hyperlink" Target="https://www.ncbi.nlm.nih.gov/pmc/articles/PMC5844099/" TargetMode="External"/><Relationship Id="rId26"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radwa.awad@med.tanta.edu.eg"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x.doi.org/10.7537/marscbj080418.11" TargetMode="External"/><Relationship Id="rId4" Type="http://schemas.openxmlformats.org/officeDocument/2006/relationships/webSettings" Target="webSettings.xml"/><Relationship Id="rId9" Type="http://schemas.openxmlformats.org/officeDocument/2006/relationships/hyperlink" Target="http://www.cancerbio.net" TargetMode="External"/><Relationship Id="rId14" Type="http://schemas.openxmlformats.org/officeDocument/2006/relationships/hyperlink" Target="http://ctep.cancer.gov/protocoldevelopment/electronic_applications/ctc.ht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7282</Words>
  <Characters>41512</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48697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Administrator</cp:lastModifiedBy>
  <cp:revision>3</cp:revision>
  <dcterms:created xsi:type="dcterms:W3CDTF">2019-01-16T14:13:00Z</dcterms:created>
  <dcterms:modified xsi:type="dcterms:W3CDTF">2019-01-17T14:06:00Z</dcterms:modified>
</cp:coreProperties>
</file>